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hint="default" w:ascii="Arial" w:hAnsi="Arial" w:eastAsia="黑体" w:cstheme="minorBidi"/>
          <w:bCs/>
          <w:sz w:val="84"/>
          <w:szCs w:val="24"/>
          <w:highlight w:val="none"/>
          <w:lang w:val="en-US" w:eastAsia="zh-CN" w:bidi="ar-SA"/>
        </w:rPr>
        <w:outlineLvl w:val="0"/>
      </w:pPr>
      <w:r/>
      <w:bookmarkStart w:id="0" w:name="_Toc2901"/>
      <w:r/>
      <w:bookmarkStart w:id="1" w:name="_Toc183693301"/>
      <w:r/>
      <w:r/>
    </w:p>
    <w:p>
      <w:pPr>
        <w:jc w:val="center"/>
        <w:spacing w:line="480" w:lineRule="auto"/>
        <w:rPr>
          <w:rFonts w:hint="default" w:ascii="Arial" w:hAnsi="Arial" w:eastAsia="黑体" w:cstheme="minorBidi"/>
          <w:bCs/>
          <w:sz w:val="84"/>
          <w:szCs w:val="24"/>
          <w:highlight w:val="none"/>
          <w:lang w:val="en-US" w:eastAsia="zh-CN" w:bidi="ar-SA"/>
        </w:rPr>
        <w:outlineLvl w:val="0"/>
      </w:pPr>
      <w:r>
        <w:rPr>
          <w:rFonts w:hint="default" w:ascii="Arial" w:hAnsi="Arial" w:eastAsia="黑体" w:cstheme="minorBidi"/>
          <w:bCs/>
          <w:sz w:val="84"/>
          <w:szCs w:val="24"/>
          <w:highlight w:val="none"/>
          <w:lang w:val="en-US" w:eastAsia="zh-CN" w:bidi="ar-SA"/>
        </w:rPr>
        <w:t xml:space="preserve">封闭式框架协议采购</w:t>
      </w:r>
      <w:bookmarkEnd w:id="0"/>
      <w:r>
        <w:rPr>
          <w:rFonts w:hint="default" w:ascii="Arial" w:hAnsi="Arial" w:eastAsia="黑体" w:cstheme="minorBidi"/>
          <w:bCs/>
          <w:sz w:val="84"/>
          <w:szCs w:val="24"/>
          <w:highlight w:val="none"/>
          <w:lang w:val="en-US" w:eastAsia="zh-CN" w:bidi="ar-SA"/>
        </w:rPr>
        <w:t xml:space="preserve">　</w:t>
      </w:r>
      <w:r/>
    </w:p>
    <w:p>
      <w:pPr>
        <w:jc w:val="center"/>
        <w:spacing w:line="480" w:lineRule="auto"/>
        <w:rPr>
          <w:highlight w:val="none"/>
        </w:rPr>
        <w:outlineLvl w:val="0"/>
      </w:pPr>
      <w:r/>
      <w:bookmarkStart w:id="2" w:name="_Toc17985"/>
      <w:r>
        <w:rPr>
          <w:rFonts w:hint="default" w:ascii="Arial" w:hAnsi="Arial" w:eastAsia="黑体" w:cstheme="minorBidi"/>
          <w:bCs/>
          <w:sz w:val="84"/>
          <w:szCs w:val="24"/>
          <w:highlight w:val="none"/>
          <w:lang w:val="en-US" w:eastAsia="zh-CN" w:bidi="ar-SA"/>
        </w:rPr>
        <w:t xml:space="preserve">征集文件</w:t>
      </w:r>
      <w:bookmarkEnd w:id="2"/>
      <w:r/>
      <w:r/>
    </w:p>
    <w:p>
      <w:pPr>
        <w:jc w:val="center"/>
        <w:spacing w:line="480" w:lineRule="auto"/>
        <w:rPr>
          <w:highlight w:val="none"/>
        </w:rPr>
        <w:outlineLvl w:val="0"/>
      </w:pPr>
      <w:r>
        <w:rPr>
          <w:highlight w:val="none"/>
        </w:rPr>
      </w:r>
      <w:r/>
    </w:p>
    <w:p>
      <w:pPr>
        <w:pStyle w:val="782"/>
        <w:rPr>
          <w:highlight w:val="none"/>
        </w:rPr>
      </w:pPr>
      <w:r>
        <w:rPr>
          <w:highlight w:val="none"/>
        </w:rPr>
      </w:r>
      <w:r/>
    </w:p>
    <w:p>
      <w:pPr>
        <w:jc w:val="center"/>
        <w:spacing w:line="480" w:lineRule="auto"/>
        <w:rPr>
          <w:highlight w:val="none"/>
        </w:rPr>
        <w:outlineLvl w:val="0"/>
      </w:pPr>
      <w:r>
        <w:rPr>
          <w:highlight w:val="none"/>
        </w:rPr>
      </w:r>
      <w:r/>
    </w:p>
    <w:p>
      <w:pPr>
        <w:jc w:val="center"/>
        <w:spacing w:line="480" w:lineRule="auto"/>
        <w:rPr>
          <w:rFonts w:hint="default" w:ascii="Arial" w:hAnsi="Arial" w:eastAsiaTheme="minorEastAsia" w:cstheme="minorBidi"/>
          <w:b/>
          <w:bCs/>
          <w:sz w:val="32"/>
          <w:szCs w:val="24"/>
          <w:highlight w:val="none"/>
          <w:lang w:val="en-US" w:eastAsia="zh-CN" w:bidi="ar-SA"/>
        </w:rPr>
        <w:outlineLvl w:val="0"/>
      </w:pPr>
      <w:r/>
      <w:bookmarkStart w:id="3" w:name="_Toc22935"/>
      <w:r>
        <w:rPr>
          <w:rFonts w:hint="default" w:ascii="Arial" w:hAnsi="Arial" w:eastAsiaTheme="minorEastAsia" w:cstheme="minorBidi"/>
          <w:b/>
          <w:bCs/>
          <w:sz w:val="32"/>
          <w:szCs w:val="24"/>
          <w:highlight w:val="none"/>
          <w:lang w:val="en-US" w:eastAsia="zh-CN" w:bidi="ar-SA"/>
        </w:rPr>
        <w:t xml:space="preserve">项目名称： </w:t>
      </w:r>
      <w:bookmarkEnd w:id="3"/>
      <w:r>
        <w:rPr>
          <w:rFonts w:hint="eastAsia" w:ascii="Arial" w:hAnsi="Arial" w:eastAsiaTheme="minorEastAsia" w:cstheme="minorBidi"/>
          <w:b/>
          <w:bCs/>
          <w:sz w:val="32"/>
          <w:szCs w:val="24"/>
          <w:highlight w:val="none"/>
          <w:lang w:val="en-US" w:eastAsia="zh-CN" w:bidi="ar-SA"/>
        </w:rPr>
        <w:t xml:space="preserve">2026-2027年度大丰区党政机关、事业单位和团体组织公务用车社会化租赁服务</w:t>
      </w:r>
      <w:r/>
    </w:p>
    <w:p>
      <w:pPr>
        <w:jc w:val="center"/>
        <w:spacing w:line="480" w:lineRule="auto"/>
        <w:rPr>
          <w:rFonts w:hint="default"/>
          <w:highlight w:val="none"/>
          <w:lang w:val="en-US"/>
        </w:rPr>
        <w:outlineLvl w:val="0"/>
      </w:pPr>
      <w:r/>
      <w:bookmarkStart w:id="4" w:name="_Toc25905"/>
      <w:r>
        <w:rPr>
          <w:rFonts w:hint="default" w:ascii="Arial" w:hAnsi="Arial" w:eastAsiaTheme="minorEastAsia" w:cstheme="minorBidi"/>
          <w:b/>
          <w:bCs/>
          <w:sz w:val="32"/>
          <w:szCs w:val="24"/>
          <w:highlight w:val="none"/>
          <w:lang w:val="en-US" w:eastAsia="zh-CN" w:bidi="ar-SA"/>
        </w:rPr>
        <w:t xml:space="preserve">项目编号：</w:t>
      </w:r>
      <w:bookmarkEnd w:id="4"/>
      <w:r>
        <w:rPr>
          <w:rFonts w:hint="eastAsia" w:ascii="Arial" w:hAnsi="Arial" w:eastAsiaTheme="minorEastAsia" w:cstheme="minorBidi"/>
          <w:b/>
          <w:bCs/>
          <w:sz w:val="32"/>
          <w:szCs w:val="24"/>
          <w:highlight w:val="none"/>
          <w:u w:val="single"/>
          <w:lang w:val="en-US" w:eastAsia="zh-CN" w:bidi="ar-SA"/>
        </w:rPr>
        <w:t xml:space="preserve">JSZC-320904-YCFB-K2026-0002</w:t>
      </w:r>
      <w:r/>
    </w:p>
    <w:p>
      <w:pPr>
        <w:jc w:val="center"/>
        <w:spacing w:line="480" w:lineRule="auto"/>
        <w:rPr>
          <w:highlight w:val="none"/>
        </w:rPr>
        <w:outlineLvl w:val="0"/>
      </w:pPr>
      <w:r>
        <w:rPr>
          <w:highlight w:val="none"/>
        </w:rPr>
      </w:r>
      <w:r/>
    </w:p>
    <w:p>
      <w:pPr>
        <w:jc w:val="center"/>
        <w:spacing w:line="480" w:lineRule="auto"/>
        <w:rPr>
          <w:highlight w:val="none"/>
        </w:rPr>
        <w:outlineLvl w:val="0"/>
      </w:pPr>
      <w:r>
        <w:rPr>
          <w:highlight w:val="none"/>
        </w:rPr>
      </w:r>
      <w:r/>
    </w:p>
    <w:p>
      <w:pPr>
        <w:jc w:val="center"/>
        <w:spacing w:line="480" w:lineRule="auto"/>
        <w:rPr>
          <w:highlight w:val="none"/>
        </w:rPr>
        <w:outlineLvl w:val="0"/>
      </w:pPr>
      <w:r>
        <w:rPr>
          <w:highlight w:val="none"/>
        </w:rPr>
      </w:r>
      <w:r/>
    </w:p>
    <w:p>
      <w:pPr>
        <w:jc w:val="center"/>
        <w:spacing w:line="480" w:lineRule="auto"/>
        <w:rPr>
          <w:highlight w:val="none"/>
        </w:rPr>
        <w:outlineLvl w:val="0"/>
      </w:pPr>
      <w:r>
        <w:rPr>
          <w:highlight w:val="none"/>
        </w:rPr>
      </w:r>
      <w:r/>
    </w:p>
    <w:p>
      <w:pPr>
        <w:ind w:left="0" w:right="0" w:firstLine="0"/>
        <w:jc w:val="center"/>
        <w:keepLines w:val="0"/>
        <w:keepNext w:val="0"/>
        <w:spacing w:before="120" w:beforeAutospacing="0" w:after="120" w:afterAutospacing="0" w:line="360" w:lineRule="auto"/>
        <w:widowControl/>
        <w:rPr>
          <w:rFonts w:hint="eastAsia" w:ascii="黑体" w:hAnsi="宋体" w:eastAsia="黑体" w:cs="黑体"/>
          <w:b w:val="0"/>
          <w:bCs w:val="0"/>
          <w:sz w:val="32"/>
          <w:szCs w:val="32"/>
          <w:highlight w:val="none"/>
          <w:lang w:val="en-US" w:eastAsia="zh-CN" w:bidi="ar"/>
        </w:rPr>
        <w:outlineLvl w:val="0"/>
        <w:suppressLineNumbers w:val="0"/>
      </w:pPr>
      <w:r>
        <w:rPr>
          <w:rFonts w:hint="eastAsia" w:ascii="黑体" w:hAnsi="宋体" w:eastAsia="黑体" w:cs="黑体"/>
          <w:b w:val="0"/>
          <w:bCs w:val="0"/>
          <w:sz w:val="32"/>
          <w:szCs w:val="32"/>
          <w:highlight w:val="none"/>
          <w:lang w:val="en-US" w:eastAsia="zh-CN" w:bidi="ar"/>
        </w:rPr>
        <w:t xml:space="preserve">盐城市大丰区机关事务服务中心</w:t>
      </w:r>
      <w:r/>
    </w:p>
    <w:p>
      <w:pPr>
        <w:jc w:val="center"/>
        <w:spacing w:line="480" w:lineRule="auto"/>
        <w:rPr>
          <w:rFonts w:hint="default"/>
          <w:highlight w:val="none"/>
          <w:lang w:val="en-US"/>
        </w:rPr>
        <w:outlineLvl w:val="0"/>
      </w:pPr>
      <w:r>
        <w:rPr>
          <w:rFonts w:hint="eastAsia" w:ascii="黑体" w:hAnsi="宋体" w:eastAsia="黑体" w:cs="黑体"/>
          <w:b w:val="0"/>
          <w:bCs w:val="0"/>
          <w:sz w:val="32"/>
          <w:szCs w:val="32"/>
          <w:highlight w:val="none"/>
          <w:lang w:val="en-US" w:eastAsia="zh-CN" w:bidi="ar"/>
        </w:rPr>
        <w:t xml:space="preserve">2026年7月</w:t>
      </w:r>
      <w:bookmarkStart w:id="5" w:name="_Toc16938516"/>
      <w:r/>
      <w:bookmarkEnd w:id="5"/>
      <w:r/>
      <w:bookmarkStart w:id="6" w:name="_Toc513029200"/>
      <w:r/>
      <w:bookmarkEnd w:id="6"/>
      <w:r/>
      <w:bookmarkStart w:id="7" w:name="_Toc523127445"/>
      <w:r/>
      <w:bookmarkEnd w:id="7"/>
      <w:r/>
      <w:bookmarkStart w:id="8" w:name="_Toc128039577"/>
      <w:r/>
      <w:bookmarkEnd w:id="8"/>
      <w:r/>
      <w:bookmarkStart w:id="9" w:name="_Toc479757206"/>
      <w:r/>
      <w:bookmarkEnd w:id="9"/>
      <w:r/>
      <w:bookmarkStart w:id="10" w:name="_Toc120614210"/>
      <w:r/>
      <w:bookmarkEnd w:id="10"/>
      <w:r/>
      <w:bookmarkStart w:id="11" w:name="_Toc20823272"/>
      <w:r/>
      <w:bookmarkEnd w:id="11"/>
      <w:r/>
      <w:r/>
    </w:p>
    <w:p>
      <w:pPr>
        <w:jc w:val="center"/>
        <w:spacing w:line="480" w:lineRule="auto"/>
        <w:rPr>
          <w:rFonts w:ascii="仿宋" w:hAnsi="仿宋" w:eastAsia="仿宋"/>
          <w:b/>
          <w:sz w:val="36"/>
          <w:szCs w:val="36"/>
          <w:highlight w:val="none"/>
        </w:rPr>
        <w:sectPr>
          <w:footerReference w:type="default" r:id="rId9"/>
          <w:footnotePr/>
          <w:endnotePr/>
          <w:type w:val="nextPage"/>
          <w:pgSz w:w="11900" w:h="16838" w:orient="portrait"/>
          <w:pgMar w:top="1440" w:right="1080" w:bottom="1440" w:left="1080" w:header="0" w:footer="1191" w:gutter="0"/>
          <w:cols w:num="1" w:sep="0" w:space="0" w:equalWidth="1"/>
          <w:docGrid w:linePitch="360"/>
          <w:titlePg/>
        </w:sectPr>
        <w:outlineLvl w:val="0"/>
      </w:pPr>
      <w:r>
        <w:rPr>
          <w:rFonts w:ascii="仿宋" w:hAnsi="仿宋" w:eastAsia="仿宋"/>
          <w:b/>
          <w:sz w:val="36"/>
          <w:szCs w:val="36"/>
          <w:highlight w:val="none"/>
        </w:rPr>
      </w:r>
      <w:r/>
    </w:p>
    <w:p>
      <w:pPr>
        <w:jc w:val="center"/>
        <w:spacing w:line="480" w:lineRule="auto"/>
        <w:rPr>
          <w:rFonts w:hint="eastAsia" w:ascii="黑体" w:hAnsi="宋体" w:eastAsia="黑体" w:cs="黑体"/>
          <w:b/>
          <w:color w:val="auto"/>
          <w:sz w:val="44"/>
          <w:szCs w:val="44"/>
          <w:highlight w:val="none"/>
          <w:lang w:val="en-US" w:eastAsia="zh-CN" w:bidi="ar-SA"/>
        </w:rPr>
        <w:outlineLvl w:val="0"/>
      </w:pPr>
      <w:r/>
      <w:bookmarkStart w:id="12" w:name="_Toc5060"/>
      <w:r>
        <w:rPr>
          <w:rFonts w:hint="default" w:ascii="黑体" w:hAnsi="宋体" w:eastAsia="黑体" w:cs="黑体"/>
          <w:b/>
          <w:color w:val="auto"/>
          <w:sz w:val="44"/>
          <w:szCs w:val="44"/>
          <w:highlight w:val="none"/>
          <w:lang w:val="en-US" w:eastAsia="zh-CN" w:bidi="ar-SA"/>
        </w:rPr>
        <w:t xml:space="preserve">总  目  录</w:t>
      </w:r>
      <w:bookmarkEnd w:id="1"/>
      <w:r/>
      <w:bookmarkEnd w:id="12"/>
      <w:r/>
      <w:r/>
    </w:p>
    <w:sdt>
      <w:sdtPr>
        <w15:appearance w15:val="boundingBox"/>
        <w15:color w:val="dbdbdb"/>
        <w:id w:val="147455884"/>
        <w:docPartObj>
          <w:docPartGallery w:val="Table of Contents"/>
          <w:docPartUnique w:val="true"/>
        </w:docPartObj>
        <w:rPr>
          <w:rFonts w:hint="default" w:ascii="宋体" w:hAnsi="宋体" w:eastAsia="宋体" w:cs="Times New Roman"/>
          <w:sz w:val="21"/>
          <w:szCs w:val="21"/>
          <w:highlight w:val="none"/>
          <w:lang w:val="en-US" w:eastAsia="zh-CN" w:bidi="ar-SA"/>
        </w:rPr>
      </w:sdtPr>
      <w:sdtContent>
        <w:p>
          <w:pPr>
            <w:ind w:left="0" w:right="0" w:firstLine="0"/>
            <w:jc w:val="center"/>
            <w:spacing w:before="0" w:after="0" w:line="240" w:lineRule="auto"/>
            <w:rPr>
              <w:highlight w:val="none"/>
            </w:rPr>
          </w:pPr>
          <w:r>
            <w:rPr>
              <w:rFonts w:hint="eastAsia" w:ascii="宋体" w:hAnsi="宋体" w:eastAsia="宋体" w:cs="宋体"/>
              <w:sz w:val="44"/>
              <w:szCs w:val="44"/>
              <w:highlight w:val="none"/>
            </w:rPr>
            <w:fldChar w:fldCharType="begin"/>
          </w:r>
          <w:r>
            <w:rPr>
              <w:rFonts w:hint="eastAsia" w:ascii="宋体" w:hAnsi="宋体" w:eastAsia="宋体" w:cs="宋体"/>
              <w:sz w:val="44"/>
              <w:szCs w:val="44"/>
              <w:highlight w:val="none"/>
            </w:rPr>
            <w:instrText xml:space="preserve">TOC \o "1-1" \h \u </w:instrText>
          </w:r>
          <w:r>
            <w:rPr>
              <w:rFonts w:hint="eastAsia" w:ascii="宋体" w:hAnsi="宋体" w:eastAsia="宋体" w:cs="宋体"/>
              <w:sz w:val="44"/>
              <w:szCs w:val="44"/>
              <w:highlight w:val="none"/>
            </w:rPr>
            <w:fldChar w:fldCharType="separate"/>
          </w:r>
          <w:r/>
        </w:p>
        <w:p>
          <w:pPr>
            <w:pStyle w:val="782"/>
            <w:keepLines w:val="0"/>
            <w:keepNext w:val="0"/>
            <w:pageBreakBefore w:val="0"/>
            <w:spacing w:line="500" w:lineRule="exact"/>
            <w:widowControl w:val="off"/>
            <w:tabs>
              <w:tab w:val="clear" w:pos="8720" w:leader="none"/>
              <w:tab w:val="right" w:pos="9740" w:leader="dot"/>
            </w:tabs>
            <w:rPr>
              <w:rFonts w:hint="eastAsia" w:ascii="黑体" w:hAnsi="黑体" w:eastAsia="黑体" w:cs="黑体"/>
              <w:sz w:val="30"/>
              <w:szCs w:val="30"/>
              <w:highlight w:val="none"/>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_Toc6988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第一章  参加征集活动的邀请</w:t>
          </w:r>
          <w:r>
            <w:rPr>
              <w:rFonts w:hint="eastAsia" w:ascii="黑体" w:hAnsi="黑体" w:eastAsia="黑体" w:cs="黑体"/>
              <w:sz w:val="30"/>
              <w:szCs w:val="30"/>
              <w:highlight w:val="none"/>
            </w:rPr>
            <w:tab/>
          </w: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PAGEREF _Toc6988 \h </w:instrText>
          </w:r>
          <w:r>
            <w:rPr>
              <w:rFonts w:hint="eastAsia" w:ascii="黑体" w:hAnsi="黑体" w:eastAsia="黑体" w:cs="黑体"/>
              <w:sz w:val="30"/>
              <w:szCs w:val="30"/>
              <w:highlight w:val="none"/>
            </w:rPr>
            <w:fldChar w:fldCharType="separate"/>
          </w:r>
          <w:r>
            <w:rPr>
              <w:rFonts w:hint="eastAsia" w:ascii="黑体" w:hAnsi="黑体" w:eastAsia="黑体" w:cs="黑体"/>
              <w:sz w:val="30"/>
              <w:szCs w:val="30"/>
              <w:highlight w:val="none"/>
            </w:rPr>
            <w:t xml:space="preserve">1</w:t>
          </w:r>
          <w:r>
            <w:rPr>
              <w:rFonts w:hint="eastAsia" w:ascii="黑体" w:hAnsi="黑体" w:eastAsia="黑体" w:cs="黑体"/>
              <w:sz w:val="30"/>
              <w:szCs w:val="30"/>
              <w:highlight w:val="none"/>
            </w:rPr>
            <w:fldChar w:fldCharType="end"/>
          </w:r>
          <w:r>
            <w:rPr>
              <w:rFonts w:hint="eastAsia" w:ascii="黑体" w:hAnsi="黑体" w:eastAsia="黑体" w:cs="黑体"/>
              <w:sz w:val="30"/>
              <w:szCs w:val="30"/>
              <w:highlight w:val="none"/>
            </w:rPr>
            <w:fldChar w:fldCharType="end"/>
          </w:r>
          <w:r/>
        </w:p>
        <w:p>
          <w:pPr>
            <w:pStyle w:val="782"/>
            <w:keepLines w:val="0"/>
            <w:keepNext w:val="0"/>
            <w:pageBreakBefore w:val="0"/>
            <w:spacing w:line="500" w:lineRule="exact"/>
            <w:widowControl w:val="off"/>
            <w:tabs>
              <w:tab w:val="clear" w:pos="8720" w:leader="none"/>
              <w:tab w:val="right" w:pos="9740" w:leader="dot"/>
            </w:tabs>
            <w:rPr>
              <w:rFonts w:hint="eastAsia" w:ascii="黑体" w:hAnsi="黑体" w:eastAsia="黑体" w:cs="黑体"/>
              <w:sz w:val="30"/>
              <w:szCs w:val="30"/>
              <w:highlight w:val="none"/>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_Toc3791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第二章  供应商须知</w:t>
          </w:r>
          <w:r>
            <w:rPr>
              <w:rFonts w:hint="eastAsia" w:ascii="黑体" w:hAnsi="黑体" w:eastAsia="黑体" w:cs="黑体"/>
              <w:sz w:val="30"/>
              <w:szCs w:val="30"/>
              <w:highlight w:val="none"/>
            </w:rPr>
            <w:tab/>
          </w: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PAGEREF _Toc3791 \h </w:instrText>
          </w:r>
          <w:r>
            <w:rPr>
              <w:rFonts w:hint="eastAsia" w:ascii="黑体" w:hAnsi="黑体" w:eastAsia="黑体" w:cs="黑体"/>
              <w:sz w:val="30"/>
              <w:szCs w:val="30"/>
              <w:highlight w:val="none"/>
            </w:rPr>
            <w:fldChar w:fldCharType="separate"/>
          </w:r>
          <w:r>
            <w:rPr>
              <w:rFonts w:hint="eastAsia" w:ascii="黑体" w:hAnsi="黑体" w:eastAsia="黑体" w:cs="黑体"/>
              <w:sz w:val="30"/>
              <w:szCs w:val="30"/>
              <w:highlight w:val="none"/>
            </w:rPr>
            <w:t xml:space="preserve">5</w:t>
          </w:r>
          <w:r>
            <w:rPr>
              <w:rFonts w:hint="eastAsia" w:ascii="黑体" w:hAnsi="黑体" w:eastAsia="黑体" w:cs="黑体"/>
              <w:sz w:val="30"/>
              <w:szCs w:val="30"/>
              <w:highlight w:val="none"/>
            </w:rPr>
            <w:fldChar w:fldCharType="end"/>
          </w:r>
          <w:r>
            <w:rPr>
              <w:rFonts w:hint="eastAsia" w:ascii="黑体" w:hAnsi="黑体" w:eastAsia="黑体" w:cs="黑体"/>
              <w:sz w:val="30"/>
              <w:szCs w:val="30"/>
              <w:highlight w:val="none"/>
            </w:rPr>
            <w:fldChar w:fldCharType="end"/>
          </w:r>
          <w:r/>
        </w:p>
        <w:p>
          <w:pPr>
            <w:pStyle w:val="782"/>
            <w:keepLines w:val="0"/>
            <w:keepNext w:val="0"/>
            <w:pageBreakBefore w:val="0"/>
            <w:spacing w:line="500" w:lineRule="exact"/>
            <w:widowControl w:val="off"/>
            <w:tabs>
              <w:tab w:val="clear" w:pos="8720" w:leader="none"/>
              <w:tab w:val="right" w:pos="9740" w:leader="dot"/>
            </w:tabs>
            <w:rPr>
              <w:rFonts w:hint="eastAsia" w:ascii="黑体" w:hAnsi="黑体" w:eastAsia="黑体" w:cs="黑体"/>
              <w:sz w:val="30"/>
              <w:szCs w:val="30"/>
              <w:highlight w:val="none"/>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_Toc10854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第三章  框架协议文本</w:t>
          </w:r>
          <w:r>
            <w:rPr>
              <w:rFonts w:hint="eastAsia" w:ascii="黑体" w:hAnsi="黑体" w:eastAsia="黑体" w:cs="黑体"/>
              <w:sz w:val="30"/>
              <w:szCs w:val="30"/>
              <w:highlight w:val="none"/>
            </w:rPr>
            <w:tab/>
          </w: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PAGEREF _Toc10854 \h </w:instrText>
          </w:r>
          <w:r>
            <w:rPr>
              <w:rFonts w:hint="eastAsia" w:ascii="黑体" w:hAnsi="黑体" w:eastAsia="黑体" w:cs="黑体"/>
              <w:sz w:val="30"/>
              <w:szCs w:val="30"/>
              <w:highlight w:val="none"/>
            </w:rPr>
            <w:fldChar w:fldCharType="separate"/>
          </w:r>
          <w:r>
            <w:rPr>
              <w:rFonts w:hint="eastAsia" w:ascii="黑体" w:hAnsi="黑体" w:eastAsia="黑体" w:cs="黑体"/>
              <w:sz w:val="30"/>
              <w:szCs w:val="30"/>
              <w:highlight w:val="none"/>
            </w:rPr>
            <w:t xml:space="preserve">15</w:t>
          </w:r>
          <w:r>
            <w:rPr>
              <w:rFonts w:hint="eastAsia" w:ascii="黑体" w:hAnsi="黑体" w:eastAsia="黑体" w:cs="黑体"/>
              <w:sz w:val="30"/>
              <w:szCs w:val="30"/>
              <w:highlight w:val="none"/>
            </w:rPr>
            <w:fldChar w:fldCharType="end"/>
          </w:r>
          <w:r>
            <w:rPr>
              <w:rFonts w:hint="eastAsia" w:ascii="黑体" w:hAnsi="黑体" w:eastAsia="黑体" w:cs="黑体"/>
              <w:sz w:val="30"/>
              <w:szCs w:val="30"/>
              <w:highlight w:val="none"/>
            </w:rPr>
            <w:fldChar w:fldCharType="end"/>
          </w:r>
          <w:r/>
        </w:p>
        <w:p>
          <w:pPr>
            <w:pStyle w:val="782"/>
            <w:keepLines w:val="0"/>
            <w:keepNext w:val="0"/>
            <w:pageBreakBefore w:val="0"/>
            <w:spacing w:line="500" w:lineRule="exact"/>
            <w:widowControl w:val="off"/>
            <w:tabs>
              <w:tab w:val="clear" w:pos="8720" w:leader="none"/>
              <w:tab w:val="right" w:pos="9740" w:leader="dot"/>
            </w:tabs>
            <w:rPr>
              <w:rFonts w:hint="eastAsia" w:ascii="黑体" w:hAnsi="黑体" w:eastAsia="黑体" w:cs="黑体"/>
              <w:sz w:val="30"/>
              <w:szCs w:val="30"/>
              <w:highlight w:val="none"/>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_Toc30702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第四章 </w:t>
          </w:r>
          <w:r>
            <w:rPr>
              <w:rFonts w:hint="eastAsia" w:ascii="黑体" w:hAnsi="黑体" w:eastAsia="黑体" w:cs="黑体"/>
              <w:bCs/>
              <w:sz w:val="30"/>
              <w:szCs w:val="30"/>
              <w:highlight w:val="none"/>
              <w:lang w:val="en-US" w:eastAsia="zh-CN"/>
            </w:rPr>
            <w:t xml:space="preserve"> </w:t>
          </w:r>
          <w:r>
            <w:rPr>
              <w:rFonts w:hint="eastAsia" w:ascii="黑体" w:hAnsi="黑体" w:eastAsia="黑体" w:cs="黑体"/>
              <w:bCs/>
              <w:sz w:val="30"/>
              <w:szCs w:val="30"/>
              <w:highlight w:val="none"/>
            </w:rPr>
            <w:t xml:space="preserve">采购需求</w:t>
          </w:r>
          <w:r>
            <w:rPr>
              <w:rFonts w:hint="eastAsia" w:ascii="黑体" w:hAnsi="黑体" w:eastAsia="黑体" w:cs="黑体"/>
              <w:sz w:val="30"/>
              <w:szCs w:val="30"/>
              <w:highlight w:val="none"/>
            </w:rPr>
            <w:tab/>
          </w: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PAGEREF _Toc30702 \h </w:instrText>
          </w:r>
          <w:r>
            <w:rPr>
              <w:rFonts w:hint="eastAsia" w:ascii="黑体" w:hAnsi="黑体" w:eastAsia="黑体" w:cs="黑体"/>
              <w:sz w:val="30"/>
              <w:szCs w:val="30"/>
              <w:highlight w:val="none"/>
            </w:rPr>
            <w:fldChar w:fldCharType="separate"/>
          </w:r>
          <w:r>
            <w:rPr>
              <w:rFonts w:hint="eastAsia" w:ascii="黑体" w:hAnsi="黑体" w:eastAsia="黑体" w:cs="黑体"/>
              <w:sz w:val="30"/>
              <w:szCs w:val="30"/>
              <w:highlight w:val="none"/>
            </w:rPr>
            <w:t xml:space="preserve">26</w:t>
          </w:r>
          <w:r>
            <w:rPr>
              <w:rFonts w:hint="eastAsia" w:ascii="黑体" w:hAnsi="黑体" w:eastAsia="黑体" w:cs="黑体"/>
              <w:sz w:val="30"/>
              <w:szCs w:val="30"/>
              <w:highlight w:val="none"/>
            </w:rPr>
            <w:fldChar w:fldCharType="end"/>
          </w:r>
          <w:r>
            <w:rPr>
              <w:rFonts w:hint="eastAsia" w:ascii="黑体" w:hAnsi="黑体" w:eastAsia="黑体" w:cs="黑体"/>
              <w:sz w:val="30"/>
              <w:szCs w:val="30"/>
              <w:highlight w:val="none"/>
            </w:rPr>
            <w:fldChar w:fldCharType="end"/>
          </w:r>
          <w:r/>
        </w:p>
        <w:p>
          <w:pPr>
            <w:pStyle w:val="782"/>
            <w:keepLines w:val="0"/>
            <w:keepNext w:val="0"/>
            <w:pageBreakBefore w:val="0"/>
            <w:spacing w:line="500" w:lineRule="exact"/>
            <w:widowControl w:val="off"/>
            <w:tabs>
              <w:tab w:val="clear" w:pos="8720" w:leader="none"/>
              <w:tab w:val="right" w:pos="9740" w:leader="dot"/>
            </w:tabs>
            <w:rPr>
              <w:rFonts w:hint="eastAsia" w:ascii="黑体" w:hAnsi="黑体" w:eastAsia="黑体" w:cs="黑体"/>
              <w:sz w:val="30"/>
              <w:szCs w:val="30"/>
              <w:highlight w:val="none"/>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_Toc26205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第五章  确定入围及成交供应商</w:t>
          </w:r>
          <w:r>
            <w:rPr>
              <w:rFonts w:hint="eastAsia" w:ascii="黑体" w:hAnsi="黑体" w:eastAsia="黑体" w:cs="黑体"/>
              <w:sz w:val="30"/>
              <w:szCs w:val="30"/>
              <w:highlight w:val="none"/>
            </w:rPr>
            <w:tab/>
          </w: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PAGEREF _Toc26205 \h </w:instrText>
          </w:r>
          <w:r>
            <w:rPr>
              <w:rFonts w:hint="eastAsia" w:ascii="黑体" w:hAnsi="黑体" w:eastAsia="黑体" w:cs="黑体"/>
              <w:sz w:val="30"/>
              <w:szCs w:val="30"/>
              <w:highlight w:val="none"/>
            </w:rPr>
            <w:fldChar w:fldCharType="separate"/>
          </w:r>
          <w:r>
            <w:rPr>
              <w:rFonts w:hint="eastAsia" w:ascii="黑体" w:hAnsi="黑体" w:eastAsia="黑体" w:cs="黑体"/>
              <w:sz w:val="30"/>
              <w:szCs w:val="30"/>
              <w:highlight w:val="none"/>
            </w:rPr>
            <w:t xml:space="preserve">36</w:t>
          </w:r>
          <w:r>
            <w:rPr>
              <w:rFonts w:hint="eastAsia" w:ascii="黑体" w:hAnsi="黑体" w:eastAsia="黑体" w:cs="黑体"/>
              <w:sz w:val="30"/>
              <w:szCs w:val="30"/>
              <w:highlight w:val="none"/>
            </w:rPr>
            <w:fldChar w:fldCharType="end"/>
          </w:r>
          <w:r>
            <w:rPr>
              <w:rFonts w:hint="eastAsia" w:ascii="黑体" w:hAnsi="黑体" w:eastAsia="黑体" w:cs="黑体"/>
              <w:sz w:val="30"/>
              <w:szCs w:val="30"/>
              <w:highlight w:val="none"/>
            </w:rPr>
            <w:fldChar w:fldCharType="end"/>
          </w:r>
          <w:r/>
        </w:p>
        <w:p>
          <w:pPr>
            <w:pStyle w:val="782"/>
            <w:keepLines w:val="0"/>
            <w:keepNext w:val="0"/>
            <w:pageBreakBefore w:val="0"/>
            <w:spacing w:line="500" w:lineRule="exact"/>
            <w:widowControl w:val="off"/>
            <w:tabs>
              <w:tab w:val="clear" w:pos="8720" w:leader="none"/>
              <w:tab w:val="right" w:pos="9740" w:leader="dot"/>
            </w:tabs>
            <w:rPr>
              <w:rFonts w:hint="eastAsia" w:ascii="黑体" w:hAnsi="黑体" w:eastAsia="黑体" w:cs="黑体"/>
              <w:sz w:val="30"/>
              <w:szCs w:val="30"/>
              <w:highlight w:val="none"/>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_Toc11817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第六章  响应文件格式</w:t>
          </w:r>
          <w:r>
            <w:rPr>
              <w:rFonts w:hint="eastAsia" w:ascii="黑体" w:hAnsi="黑体" w:eastAsia="黑体" w:cs="黑体"/>
              <w:sz w:val="30"/>
              <w:szCs w:val="30"/>
              <w:highlight w:val="none"/>
            </w:rPr>
            <w:tab/>
          </w: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PAGEREF _Toc11817 \h </w:instrText>
          </w:r>
          <w:r>
            <w:rPr>
              <w:rFonts w:hint="eastAsia" w:ascii="黑体" w:hAnsi="黑体" w:eastAsia="黑体" w:cs="黑体"/>
              <w:sz w:val="30"/>
              <w:szCs w:val="30"/>
              <w:highlight w:val="none"/>
            </w:rPr>
            <w:fldChar w:fldCharType="separate"/>
          </w:r>
          <w:r>
            <w:rPr>
              <w:rFonts w:hint="eastAsia" w:ascii="黑体" w:hAnsi="黑体" w:eastAsia="黑体" w:cs="黑体"/>
              <w:sz w:val="30"/>
              <w:szCs w:val="30"/>
              <w:highlight w:val="none"/>
            </w:rPr>
            <w:t xml:space="preserve">38</w:t>
          </w:r>
          <w:r>
            <w:rPr>
              <w:rFonts w:hint="eastAsia" w:ascii="黑体" w:hAnsi="黑体" w:eastAsia="黑体" w:cs="黑体"/>
              <w:sz w:val="30"/>
              <w:szCs w:val="30"/>
              <w:highlight w:val="none"/>
            </w:rPr>
            <w:fldChar w:fldCharType="end"/>
          </w:r>
          <w:r>
            <w:rPr>
              <w:rFonts w:hint="eastAsia" w:ascii="黑体" w:hAnsi="黑体" w:eastAsia="黑体" w:cs="黑体"/>
              <w:sz w:val="30"/>
              <w:szCs w:val="30"/>
              <w:highlight w:val="none"/>
            </w:rPr>
            <w:fldChar w:fldCharType="end"/>
          </w:r>
          <w:r/>
        </w:p>
        <w:p>
          <w:pPr>
            <w:rPr>
              <w:rFonts w:hint="eastAsia" w:ascii="宋体" w:hAnsi="宋体" w:eastAsia="宋体" w:cs="宋体"/>
              <w:sz w:val="21"/>
              <w:szCs w:val="44"/>
              <w:highlight w:val="none"/>
              <w:lang w:val="en-US" w:eastAsia="zh-CN" w:bidi="ar-SA"/>
            </w:rPr>
          </w:pPr>
          <w:r>
            <w:rPr>
              <w:rFonts w:hint="eastAsia" w:ascii="宋体" w:hAnsi="宋体" w:eastAsia="宋体" w:cs="宋体"/>
              <w:szCs w:val="44"/>
              <w:highlight w:val="none"/>
            </w:rPr>
            <w:fldChar w:fldCharType="end"/>
          </w:r>
          <w:r/>
        </w:p>
      </w:sdtContent>
    </w:sdt>
    <w:p>
      <w:pPr>
        <w:pStyle w:val="813"/>
        <w:rPr>
          <w:rFonts w:hint="eastAsia"/>
          <w:highlight w:val="none"/>
        </w:rPr>
      </w:pPr>
      <w:r>
        <w:rPr>
          <w:rFonts w:hint="eastAsia"/>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0" w:h="16838" w:orient="portrait"/>
          <w:pgMar w:top="1440" w:right="1080" w:bottom="1440" w:left="1080" w:header="0" w:footer="1191" w:gutter="0"/>
          <w:pgNumType w:start="1"/>
          <w:cols w:num="1" w:sep="0" w:space="0" w:equalWidth="1"/>
          <w:docGrid w:linePitch="360"/>
        </w:sectPr>
        <w:outlineLvl w:val="0"/>
      </w:pPr>
      <w:r/>
      <w:bookmarkStart w:id="13" w:name="_Toc183693302"/>
      <w:r/>
      <w:bookmarkStart w:id="14" w:name="_Toc6988"/>
      <w:r/>
      <w:r/>
    </w:p>
    <w:p>
      <w:pPr>
        <w:jc w:val="center"/>
        <w:keepLines w:val="0"/>
        <w:keepNext w:val="0"/>
        <w:pageBreakBefore w:val="0"/>
        <w:spacing w:after="120" w:line="48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t xml:space="preserve">第一章  参加征集活动的邀请</w:t>
      </w:r>
      <w:bookmarkEnd w:id="13"/>
      <w:r/>
      <w:bookmarkEnd w:id="14"/>
      <w:r/>
      <w:r/>
    </w:p>
    <w:p>
      <w:pPr>
        <w:pStyle w:val="965"/>
        <w:keepLines w:val="0"/>
        <w:keepNext w:val="0"/>
        <w:pageBreakBefore w:val="0"/>
        <w:spacing w:before="0" w:after="0" w:line="480" w:lineRule="exact"/>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盐城市大丰区机关事务服务中心</w:t>
      </w:r>
      <w:r>
        <w:rPr>
          <w:rFonts w:hint="eastAsia" w:ascii="宋体" w:hAnsi="宋体" w:eastAsia="宋体" w:cs="宋体"/>
          <w:sz w:val="24"/>
          <w:szCs w:val="24"/>
          <w:highlight w:val="none"/>
        </w:rPr>
        <w:t xml:space="preserve">现就</w:t>
      </w:r>
      <w:r>
        <w:rPr>
          <w:rFonts w:hint="eastAsia" w:ascii="宋体" w:hAnsi="宋体" w:cs="宋体"/>
          <w:sz w:val="24"/>
          <w:szCs w:val="24"/>
          <w:highlight w:val="none"/>
          <w:lang w:eastAsia="zh-CN"/>
        </w:rPr>
        <w:t xml:space="preserve">2026-2027年度大丰区党政机关、事业单位和团体组织公务用车社会化租赁服务</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JSZC-320904-YCFB-K2026-0002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z w:val="24"/>
          <w:szCs w:val="24"/>
          <w:highlight w:val="none"/>
        </w:rPr>
        <w:t xml:space="preserve">征集供应商，欢迎符合条件的供应商参加本次框架协议采购活动。</w:t>
      </w:r>
      <w:r/>
    </w:p>
    <w:p>
      <w:pPr>
        <w:ind w:firstLine="420"/>
        <w:keepLines w:val="0"/>
        <w:keepNext w:val="0"/>
        <w:pageBreakBefore w:val="0"/>
        <w:spacing w:line="480" w:lineRule="exact"/>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80"/>
        <w:keepLines w:val="0"/>
        <w:keepNext w:val="0"/>
        <w:pageBreakBefore w:val="0"/>
        <w:spacing w:line="480" w:lineRule="exact"/>
        <w:rPr>
          <w:rFonts w:hint="eastAsia" w:ascii="宋体" w:hAnsi="宋体" w:eastAsia="宋体" w:cs="宋体"/>
          <w:sz w:val="24"/>
          <w:szCs w:val="24"/>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lang w:eastAsia="zh-CN"/>
        </w:rPr>
        <w:t xml:space="preserve">2026-2027年度大丰区党政机关、事业单位和团体组织公务用车社会化租赁服务</w:t>
      </w:r>
      <w:r>
        <w:rPr>
          <w:rFonts w:hint="eastAsia" w:ascii="宋体" w:hAnsi="宋体" w:eastAsia="宋体" w:cs="宋体"/>
          <w:sz w:val="24"/>
          <w:szCs w:val="24"/>
          <w:highlight w:val="none"/>
        </w:rPr>
        <w:t xml:space="preserve">的潜在供应商在“苏采云”系统内免费下载（投标人必须在苏采云系统中获取征集文件，方能参与政府采购项目</w:t>
      </w:r>
      <w:r>
        <w:rPr>
          <w:rFonts w:hint="eastAsia" w:ascii="宋体" w:hAnsi="宋体" w:cs="宋体"/>
          <w:sz w:val="24"/>
          <w:szCs w:val="24"/>
          <w:highlight w:val="none"/>
          <w:lang w:eastAsia="zh-CN"/>
        </w:rPr>
        <w:t xml:space="preserve">）获取征集文件</w:t>
      </w:r>
      <w:r>
        <w:rPr>
          <w:rFonts w:hint="eastAsia" w:ascii="宋体" w:hAnsi="宋体" w:eastAsia="宋体" w:cs="宋体"/>
          <w:sz w:val="24"/>
          <w:szCs w:val="24"/>
          <w:highlight w:val="none"/>
        </w:rPr>
        <w:t xml:space="preserve">，并于</w:t>
      </w:r>
      <w:r>
        <w:rPr>
          <w:rFonts w:hint="eastAsia" w:ascii="宋体" w:hAnsi="宋体" w:cs="宋体"/>
          <w:sz w:val="24"/>
          <w:szCs w:val="24"/>
          <w:highlight w:val="none"/>
          <w:u w:val="single"/>
          <w:lang w:val="en-US" w:eastAsia="zh-CN"/>
        </w:rPr>
        <w:t xml:space="preserve">2026年8月4日</w:t>
      </w: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000000"/>
          <w:sz w:val="24"/>
          <w:szCs w:val="24"/>
          <w:highlight w:val="none"/>
          <w:u w:val="none"/>
          <w:shd w:val="clear" w:color="auto" w:fill="auto"/>
          <w:lang w:val="en-US" w:eastAsia="zh-CN"/>
        </w:rPr>
        <w:t xml:space="preserve">09</w:t>
      </w:r>
      <w:r>
        <w:rPr>
          <w:rFonts w:hint="eastAsia" w:ascii="宋体" w:hAnsi="宋体" w:eastAsia="宋体" w:cs="宋体"/>
          <w:color w:val="000000"/>
          <w:sz w:val="24"/>
          <w:szCs w:val="24"/>
          <w:highlight w:val="none"/>
          <w:u w:val="none"/>
          <w:shd w:val="clear" w:color="auto" w:fill="auto"/>
        </w:rPr>
        <w:t xml:space="preserve">:00</w:t>
      </w:r>
      <w:r>
        <w:rPr>
          <w:rFonts w:hint="eastAsia" w:ascii="宋体" w:hAnsi="宋体" w:eastAsia="宋体" w:cs="宋体"/>
          <w:sz w:val="24"/>
          <w:szCs w:val="24"/>
          <w:highlight w:val="none"/>
          <w:u w:val="none"/>
        </w:rPr>
        <w:t xml:space="preserve">（</w:t>
      </w:r>
      <w:r>
        <w:rPr>
          <w:rFonts w:hint="eastAsia" w:ascii="宋体" w:hAnsi="宋体" w:eastAsia="宋体" w:cs="宋体"/>
          <w:bCs/>
          <w:sz w:val="24"/>
          <w:szCs w:val="24"/>
          <w:highlight w:val="none"/>
          <w:u w:val="none"/>
        </w:rPr>
        <w:t xml:space="preserve">北京时间）前提交响应文件</w:t>
      </w:r>
      <w:r>
        <w:rPr>
          <w:rFonts w:hint="eastAsia" w:ascii="宋体" w:hAnsi="宋体" w:eastAsia="宋体" w:cs="宋体"/>
          <w:sz w:val="24"/>
          <w:szCs w:val="24"/>
          <w:highlight w:val="none"/>
          <w:u w:val="none"/>
        </w:rPr>
        <w:t xml:space="preserve">。</w:t>
      </w:r>
      <w:r/>
    </w:p>
    <w:p>
      <w:pPr>
        <w:pStyle w:val="970"/>
        <w:ind w:firstLine="422"/>
        <w:keepLines w:val="0"/>
        <w:keepNext w:val="0"/>
        <w:pageBreakBefore w:val="0"/>
        <w:spacing w:before="0" w:beforeAutospacing="0" w:after="0" w:afterAutospacing="0"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70"/>
        <w:ind w:firstLine="422"/>
        <w:keepLines w:val="0"/>
        <w:keepNext w:val="0"/>
        <w:pageBreakBefore w:val="0"/>
        <w:spacing w:before="0" w:beforeAutospacing="0" w:after="0" w:afterAutospacing="0" w:line="480" w:lineRule="exact"/>
        <w:rPr>
          <w:highlight w:val="none"/>
          <w:shd w:val="clear" w:color="auto" w:fill="ffffff"/>
        </w:rPr>
      </w:pPr>
      <w:r/>
      <w:bookmarkStart w:id="15" w:name="_Hlk24379207"/>
      <w:r/>
      <w:bookmarkStart w:id="16" w:name="_Toc28359079"/>
      <w:r/>
      <w:bookmarkStart w:id="17" w:name="_Toc35393790"/>
      <w:r/>
      <w:bookmarkStart w:id="18" w:name="_Toc28359002"/>
      <w:r/>
      <w:bookmarkStart w:id="19" w:name="_Toc38985263"/>
      <w:r/>
      <w:bookmarkStart w:id="20" w:name="_Toc35393621"/>
      <w:r>
        <w:rPr>
          <w:rFonts w:hint="eastAsia" w:ascii="宋体" w:hAnsi="宋体" w:eastAsia="宋体" w:cs="宋体"/>
          <w:b/>
          <w:bCs/>
          <w:sz w:val="24"/>
          <w:szCs w:val="24"/>
          <w:highlight w:val="none"/>
          <w:shd w:val="clear" w:color="auto" w:fill="ffffff"/>
        </w:rPr>
        <w:t xml:space="preserve">一、项目基本情况</w:t>
      </w:r>
      <w:bookmarkEnd w:id="15"/>
      <w:r/>
      <w:bookmarkEnd w:id="16"/>
      <w:r/>
      <w:bookmarkEnd w:id="17"/>
      <w:r/>
      <w:bookmarkEnd w:id="18"/>
      <w:r/>
      <w:bookmarkEnd w:id="19"/>
      <w:r/>
      <w:bookmarkEnd w:id="20"/>
      <w:r/>
      <w:r/>
    </w:p>
    <w:p>
      <w:pPr>
        <w:ind w:firstLine="420"/>
        <w:keepLines w:val="0"/>
        <w:keepNext w:val="0"/>
        <w:pageBreakBefore w:val="0"/>
        <w:spacing w:line="480" w:lineRule="exact"/>
        <w:rPr>
          <w:rFonts w:hint="default" w:ascii="宋体" w:hAnsi="宋体" w:eastAsia="宋体" w:cs="宋体"/>
          <w:sz w:val="24"/>
          <w:szCs w:val="24"/>
          <w:highlight w:val="none"/>
          <w:lang w:val="en-US" w:eastAsia="zh-CN"/>
        </w:rPr>
      </w:pPr>
      <w:r/>
      <w:bookmarkStart w:id="21" w:name="_Toc35393622"/>
      <w:r/>
      <w:bookmarkStart w:id="22" w:name="_Toc28359003"/>
      <w:r/>
      <w:bookmarkStart w:id="23" w:name="_Toc38985264"/>
      <w:r/>
      <w:bookmarkStart w:id="24" w:name="_Toc35393791"/>
      <w:r/>
      <w:bookmarkStart w:id="25" w:name="_Toc28359080"/>
      <w:r>
        <w:rPr>
          <w:rFonts w:hint="eastAsia" w:ascii="宋体" w:hAnsi="宋体" w:eastAsia="宋体" w:cs="宋体"/>
          <w:sz w:val="24"/>
          <w:szCs w:val="24"/>
          <w:highlight w:val="none"/>
        </w:rPr>
        <w:t xml:space="preserve">1.项目编号：</w:t>
      </w:r>
      <w:r>
        <w:rPr>
          <w:rFonts w:hint="eastAsia" w:ascii="宋体" w:hAnsi="宋体" w:cs="宋体"/>
          <w:sz w:val="24"/>
          <w:szCs w:val="24"/>
          <w:highlight w:val="none"/>
          <w:u w:val="single"/>
          <w:lang w:val="en-US" w:eastAsia="zh-CN"/>
        </w:rPr>
        <w:t xml:space="preserve">JSZC-320904-YCFB-K2026-0002</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2026-2027年度大丰区党政机关、事业单位和团体组织公务用车社会化租赁服务</w:t>
      </w:r>
      <w:r/>
    </w:p>
    <w:p>
      <w:pPr>
        <w:ind w:firstLine="420"/>
        <w:keepLines w:val="0"/>
        <w:keepNext w:val="0"/>
        <w:pageBreakBefore w:val="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3.采购方式：封闭式框架协议采购</w:t>
      </w:r>
      <w:r/>
    </w:p>
    <w:p>
      <w:pPr>
        <w:ind w:firstLine="420"/>
        <w:keepLines w:val="0"/>
        <w:keepNext w:val="0"/>
        <w:pageBreakBefore w:val="0"/>
        <w:spacing w:line="48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预算金额：</w:t>
      </w:r>
      <w:r>
        <w:rPr>
          <w:rFonts w:hint="eastAsia" w:ascii="宋体" w:hAnsi="宋体" w:cs="宋体"/>
          <w:sz w:val="24"/>
          <w:szCs w:val="24"/>
          <w:highlight w:val="none"/>
          <w:lang w:val="en-US" w:eastAsia="zh-CN"/>
        </w:rPr>
        <w:t xml:space="preserve">0.0001万元（采购包一:0.00005万元；采购包二:0.00005万元）</w:t>
      </w:r>
      <w:r>
        <w:rPr>
          <w:rFonts w:hint="eastAsia" w:ascii="宋体" w:hAnsi="宋体" w:eastAsia="宋体" w:cs="宋体"/>
          <w:sz w:val="24"/>
          <w:szCs w:val="24"/>
          <w:highlight w:val="none"/>
          <w:lang w:val="en-US"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.最高限价：</w:t>
      </w:r>
      <w:r>
        <w:rPr>
          <w:rFonts w:hint="eastAsia" w:ascii="宋体" w:hAnsi="宋体" w:eastAsia="宋体" w:cs="宋体"/>
          <w:color w:val="auto"/>
          <w:sz w:val="24"/>
          <w:szCs w:val="24"/>
          <w:highlight w:val="none"/>
        </w:rPr>
        <w:t xml:space="preserve">本项目按</w:t>
      </w:r>
      <w:r>
        <w:rPr>
          <w:rFonts w:hint="eastAsia" w:ascii="宋体" w:hAnsi="宋体" w:cs="宋体"/>
          <w:color w:val="auto"/>
          <w:sz w:val="24"/>
          <w:szCs w:val="24"/>
          <w:highlight w:val="none"/>
          <w:lang w:val="en-US" w:eastAsia="zh-CN"/>
        </w:rPr>
        <w:t xml:space="preserve">下浮</w:t>
      </w:r>
      <w:r>
        <w:rPr>
          <w:rFonts w:hint="eastAsia" w:ascii="宋体" w:hAnsi="宋体" w:eastAsia="宋体" w:cs="宋体"/>
          <w:color w:val="auto"/>
          <w:sz w:val="24"/>
          <w:szCs w:val="24"/>
          <w:highlight w:val="none"/>
        </w:rPr>
        <w:t xml:space="preserve">比例报价，0%≤下浮比例＜100%</w:t>
      </w:r>
      <w:r>
        <w:rPr>
          <w:rFonts w:hint="eastAsia" w:ascii="宋体" w:hAnsi="宋体" w:eastAsia="宋体" w:cs="宋体"/>
          <w:sz w:val="24"/>
          <w:szCs w:val="24"/>
          <w:highlight w:val="none"/>
        </w:rPr>
        <w:t xml:space="preserve">。</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.征集人：</w:t>
      </w:r>
      <w:r>
        <w:rPr>
          <w:rFonts w:hint="eastAsia" w:ascii="宋体" w:hAnsi="宋体" w:cs="宋体"/>
          <w:sz w:val="24"/>
          <w:szCs w:val="24"/>
          <w:highlight w:val="none"/>
          <w:lang w:eastAsia="zh-CN"/>
        </w:rPr>
        <w:t xml:space="preserve">盐城市大丰区机关事务服务中心</w:t>
      </w:r>
      <w:r>
        <w:rPr>
          <w:rFonts w:hint="eastAsia" w:ascii="宋体" w:hAnsi="宋体" w:eastAsia="宋体" w:cs="宋体"/>
          <w:sz w:val="24"/>
          <w:szCs w:val="24"/>
          <w:highlight w:val="none"/>
        </w:rPr>
        <w:t xml:space="preserve">。</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.适用本次框架协议的采购人或服务对象范围：</w:t>
      </w:r>
      <w:r>
        <w:rPr>
          <w:rFonts w:hint="eastAsia" w:ascii="宋体" w:hAnsi="宋体" w:cs="宋体"/>
          <w:sz w:val="24"/>
          <w:szCs w:val="24"/>
          <w:highlight w:val="none"/>
          <w:lang w:val="en-US" w:eastAsia="zh-CN"/>
        </w:rPr>
        <w:t xml:space="preserve">大丰区党政机关、事业单位和团体组织</w:t>
      </w:r>
      <w:r>
        <w:rPr>
          <w:rFonts w:hint="eastAsia" w:ascii="宋体" w:hAnsi="宋体" w:eastAsia="宋体" w:cs="宋体"/>
          <w:sz w:val="24"/>
          <w:szCs w:val="24"/>
          <w:highlight w:val="none"/>
        </w:rPr>
        <w:t xml:space="preserve">。</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.采购需求：</w:t>
      </w:r>
      <w:r>
        <w:rPr>
          <w:rFonts w:hint="eastAsia" w:ascii="宋体" w:hAnsi="宋体" w:cs="宋体"/>
          <w:sz w:val="24"/>
          <w:szCs w:val="24"/>
          <w:highlight w:val="none"/>
          <w:lang w:val="en-US" w:eastAsia="zh-CN"/>
        </w:rPr>
        <w:t xml:space="preserve">为</w:t>
      </w:r>
      <w:r>
        <w:rPr>
          <w:rFonts w:hint="eastAsia" w:ascii="宋体" w:hAnsi="宋体" w:cs="宋体"/>
          <w:sz w:val="24"/>
          <w:szCs w:val="24"/>
          <w:highlight w:val="none"/>
          <w:lang w:eastAsia="zh-CN"/>
        </w:rPr>
        <w:t xml:space="preserve">大丰区本级党政机关、事业单位和团体组织</w:t>
      </w:r>
      <w:r>
        <w:rPr>
          <w:rFonts w:hint="eastAsia" w:ascii="宋体" w:hAnsi="宋体" w:cs="宋体"/>
          <w:sz w:val="24"/>
          <w:szCs w:val="24"/>
          <w:highlight w:val="none"/>
          <w:lang w:val="en-US" w:eastAsia="zh-CN"/>
        </w:rPr>
        <w:t xml:space="preserve">提供</w:t>
      </w:r>
      <w:r>
        <w:rPr>
          <w:rFonts w:hint="eastAsia" w:ascii="宋体" w:hAnsi="宋体" w:cs="宋体"/>
          <w:sz w:val="24"/>
          <w:szCs w:val="24"/>
          <w:highlight w:val="none"/>
          <w:lang w:eastAsia="zh-CN"/>
        </w:rPr>
        <w:t xml:space="preserve">公务用车社会化租赁服务。</w:t>
      </w:r>
      <w:r>
        <w:rPr>
          <w:rFonts w:hint="eastAsia" w:ascii="宋体" w:hAnsi="宋体" w:eastAsia="宋体" w:cs="宋体"/>
          <w:sz w:val="24"/>
          <w:szCs w:val="24"/>
          <w:highlight w:val="none"/>
          <w:lang w:val="en-US" w:eastAsia="zh-CN" w:bidi="ar"/>
        </w:rPr>
        <w:t xml:space="preserve">本框架协议采购项目分为两个标段，供应商可根据自身情况选择</w:t>
      </w:r>
      <w:r>
        <w:rPr>
          <w:rFonts w:hint="eastAsia" w:ascii="宋体" w:hAnsi="宋体" w:cs="宋体"/>
          <w:sz w:val="24"/>
          <w:szCs w:val="24"/>
          <w:highlight w:val="none"/>
          <w:lang w:val="en-US" w:eastAsia="zh-CN" w:bidi="ar"/>
        </w:rPr>
        <w:t xml:space="preserve">标段</w:t>
      </w:r>
      <w:r>
        <w:rPr>
          <w:rFonts w:hint="eastAsia" w:ascii="宋体" w:hAnsi="宋体" w:eastAsia="宋体" w:cs="宋体"/>
          <w:sz w:val="24"/>
          <w:szCs w:val="24"/>
          <w:highlight w:val="none"/>
          <w:lang w:val="en-US" w:eastAsia="zh-CN" w:bidi="ar"/>
        </w:rPr>
        <w:t xml:space="preserve">进行报价，供应商可以兼投兼中，</w:t>
      </w:r>
      <w:r>
        <w:rPr>
          <w:rFonts w:hint="eastAsia" w:ascii="宋体" w:hAnsi="宋体" w:eastAsia="宋体" w:cs="宋体"/>
          <w:color w:val="auto"/>
          <w:sz w:val="24"/>
          <w:szCs w:val="24"/>
          <w:highlight w:val="none"/>
          <w:lang w:val="en-US" w:eastAsia="zh-CN"/>
        </w:rPr>
        <w:t xml:space="preserve">评审顺序为</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lang w:val="en-US" w:eastAsia="zh-CN"/>
        </w:rPr>
        <w:t xml:space="preserve">1</w:t>
      </w:r>
      <w:r>
        <w:rPr>
          <w:rFonts w:hint="default" w:ascii="Arial" w:hAnsi="Arial" w:eastAsia="宋体" w:cs="Arial"/>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000000"/>
          <w:sz w:val="24"/>
          <w:szCs w:val="24"/>
          <w:highlight w:val="none"/>
        </w:rPr>
        <w:t xml:space="preserve">（详细内容见本</w:t>
      </w:r>
      <w:r>
        <w:rPr>
          <w:rFonts w:hint="eastAsia" w:ascii="宋体" w:hAnsi="宋体" w:eastAsia="宋体" w:cs="宋体"/>
          <w:color w:val="000000"/>
          <w:sz w:val="24"/>
          <w:szCs w:val="24"/>
          <w:highlight w:val="none"/>
          <w:lang w:val="en-US" w:eastAsia="zh-CN"/>
        </w:rPr>
        <w:t xml:space="preserve">征集</w:t>
      </w:r>
      <w:r>
        <w:rPr>
          <w:rFonts w:hint="eastAsia" w:ascii="宋体" w:hAnsi="宋体" w:eastAsia="宋体" w:cs="宋体"/>
          <w:color w:val="000000"/>
          <w:sz w:val="24"/>
          <w:szCs w:val="24"/>
          <w:highlight w:val="none"/>
        </w:rPr>
        <w:t xml:space="preserve">文件第四章）</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.框架协议的期限：</w:t>
      </w:r>
      <w:r>
        <w:rPr>
          <w:rFonts w:hint="eastAsia" w:ascii="宋体" w:hAnsi="宋体" w:cs="宋体"/>
          <w:sz w:val="24"/>
          <w:szCs w:val="24"/>
          <w:highlight w:val="none"/>
          <w:lang w:val="en-US" w:eastAsia="zh-CN"/>
        </w:rPr>
        <w:t xml:space="preserve">24个月</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以合同签订时间为准</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.本项目是否专门面向中小企业：</w:t>
      </w:r>
      <w:r>
        <w:rPr>
          <w:rFonts w:hint="eastAsia" w:ascii="宋体" w:hAnsi="宋体" w:cs="宋体"/>
          <w:sz w:val="24"/>
          <w:szCs w:val="24"/>
          <w:highlight w:val="none"/>
          <w:lang w:val="en-US" w:eastAsia="zh-CN"/>
        </w:rPr>
        <w:t xml:space="preserve">否</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.本项目不接受联合体参加采购活动。</w:t>
      </w:r>
      <w:r/>
    </w:p>
    <w:p>
      <w:pPr>
        <w:pStyle w:val="970"/>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lang w:eastAsia="zh-CN"/>
        </w:rPr>
      </w:pPr>
      <w:r>
        <w:rPr>
          <w:rFonts w:hint="eastAsia" w:ascii="宋体" w:hAnsi="宋体" w:eastAsia="宋体" w:cs="宋体"/>
          <w:b/>
          <w:bCs/>
          <w:color w:val="333333"/>
          <w:sz w:val="24"/>
          <w:szCs w:val="24"/>
          <w:highlight w:val="none"/>
          <w:shd w:val="clear" w:color="auto" w:fill="ffffff"/>
        </w:rPr>
        <w:t xml:space="preserve">二、供应商的资格要求</w:t>
      </w:r>
      <w:bookmarkEnd w:id="21"/>
      <w:r/>
      <w:bookmarkEnd w:id="22"/>
      <w:r/>
      <w:bookmarkEnd w:id="23"/>
      <w:r/>
      <w:bookmarkEnd w:id="24"/>
      <w:r/>
      <w:bookmarkEnd w:id="25"/>
      <w:r/>
      <w:r/>
    </w:p>
    <w:p>
      <w:pPr>
        <w:ind w:firstLine="420"/>
        <w:keepLines w:val="0"/>
        <w:keepNext w:val="0"/>
        <w:pageBreakBefore w:val="0"/>
        <w:spacing w:line="480" w:lineRule="exact"/>
        <w:rPr>
          <w:rFonts w:hint="eastAsia" w:ascii="宋体" w:hAnsi="宋体" w:eastAsia="宋体" w:cs="宋体"/>
          <w:sz w:val="24"/>
          <w:szCs w:val="24"/>
          <w:highlight w:val="none"/>
        </w:rPr>
      </w:pPr>
      <w:r/>
      <w:bookmarkStart w:id="26" w:name="_Toc38985265"/>
      <w:r/>
      <w:bookmarkStart w:id="27" w:name="_Toc35393623"/>
      <w:r/>
      <w:bookmarkStart w:id="28" w:name="_Toc28359081"/>
      <w:r/>
      <w:bookmarkStart w:id="29" w:name="_Toc35393792"/>
      <w:r/>
      <w:bookmarkStart w:id="30" w:name="_Toc28359004"/>
      <w:r>
        <w:rPr>
          <w:rFonts w:hint="eastAsia" w:ascii="宋体" w:hAnsi="宋体" w:eastAsia="宋体" w:cs="宋体"/>
          <w:sz w:val="24"/>
          <w:szCs w:val="24"/>
          <w:highlight w:val="none"/>
        </w:rPr>
        <w:t xml:space="preserve">(一)满足《中华人民共和国政府采购法》第二十二条规定，并提供下列材料：</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1.法人或者其他组织的营业执照等证明文件，自然人的身份证明</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2.上一年度的财务状况报</w:t>
      </w:r>
      <w:r>
        <w:rPr>
          <w:rFonts w:hint="eastAsia" w:ascii="宋体" w:hAnsi="宋体" w:cs="宋体"/>
          <w:sz w:val="24"/>
          <w:szCs w:val="24"/>
          <w:highlight w:val="none"/>
          <w:lang w:val="en-US" w:eastAsia="zh-CN"/>
        </w:rPr>
        <w:t xml:space="preserve">表</w:t>
      </w:r>
      <w:r>
        <w:rPr>
          <w:rFonts w:hint="eastAsia" w:ascii="宋体" w:hAnsi="宋体" w:eastAsia="宋体" w:cs="宋体"/>
          <w:sz w:val="24"/>
          <w:szCs w:val="24"/>
          <w:highlight w:val="none"/>
        </w:rPr>
        <w:t xml:space="preserve">(成立不满一年无需提供)</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3.具备履行合同所必需的设备和专业技术能力的书面声明；</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5.参加政府采购活动前3年内在经营活动中没有重大违法记录的书面声明</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.单位负责人为同一人或者存在直接控股、管理关系的不同供应商，不得参加同一合同项下的政府采购活动</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(二)落实政府采购政策需满足的资格要求:</w:t>
      </w:r>
      <w:r>
        <w:rPr>
          <w:rFonts w:hint="eastAsia" w:ascii="宋体" w:hAnsi="宋体" w:cs="宋体"/>
          <w:sz w:val="24"/>
          <w:szCs w:val="24"/>
          <w:highlight w:val="none"/>
          <w:lang w:val="en-US" w:eastAsia="zh-CN"/>
        </w:rPr>
        <w:t xml:space="preserve">无</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(三)本项目的特定资格要求</w:t>
      </w:r>
      <w:r/>
    </w:p>
    <w:p>
      <w:pPr>
        <w:ind w:firstLine="482"/>
        <w:keepLines w:val="0"/>
        <w:keepNext w:val="0"/>
        <w:pageBreakBefore w:val="0"/>
        <w:spacing w:line="480" w:lineRule="exact"/>
        <w:shd w:val="clear" w:color="auto" w:fill="auto"/>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1.一标段：9座（含）以下轿车、小型普通客车（SUV车型除外）租赁服务。供应商应当到所在地交通运输主管部门办理备案手续，取得有效的小微型客车租赁备案证明（或许可证）；</w:t>
      </w:r>
      <w:r/>
    </w:p>
    <w:p>
      <w:pPr>
        <w:ind w:firstLine="482"/>
        <w:keepLines w:val="0"/>
        <w:keepNext w:val="0"/>
        <w:pageBreakBefore w:val="0"/>
        <w:spacing w:line="480" w:lineRule="exact"/>
        <w:shd w:val="clear" w:color="auto" w:fill="auto"/>
        <w:widowControl/>
        <w:rPr>
          <w:rFonts w:hint="eastAsia" w:ascii="宋体" w:hAnsi="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bCs/>
          <w:color w:val="auto"/>
          <w:sz w:val="24"/>
          <w:szCs w:val="24"/>
          <w:highlight w:val="none"/>
          <w:lang w:val="en-US" w:eastAsia="zh-CN"/>
        </w:rPr>
        <w:t xml:space="preserve">2.二标段：9座（不含）以上客车租赁服务。供应商应具有合法有效的道路运输经营许可证，且道路运输经营许可证经营范围须包含包车客运或公交客运。</w:t>
      </w:r>
      <w:r/>
    </w:p>
    <w:p>
      <w:pPr>
        <w:ind w:firstLine="480"/>
        <w:keepLines w:val="0"/>
        <w:keepNext w:val="0"/>
        <w:pageBreakBefore w:val="0"/>
        <w:spacing w:line="480" w:lineRule="exact"/>
        <w:shd w:val="clear" w:color="auto" w:fill="auto"/>
        <w:widowControl/>
        <w:rPr>
          <w:rFonts w:hint="eastAsia" w:ascii="宋体" w:hAnsi="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3.供应商如委托被授权人参与，则被授权人须为本单位正式职工并提供供应商近期为被授权人缴纳的社会养老保险证明。</w:t>
      </w:r>
      <w:r/>
    </w:p>
    <w:p>
      <w:pPr>
        <w:pStyle w:val="970"/>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三、</w:t>
      </w:r>
      <w:bookmarkEnd w:id="26"/>
      <w:r/>
      <w:bookmarkEnd w:id="27"/>
      <w:r/>
      <w:bookmarkEnd w:id="28"/>
      <w:r/>
      <w:bookmarkEnd w:id="29"/>
      <w:r/>
      <w:bookmarkEnd w:id="30"/>
      <w:r>
        <w:rPr>
          <w:rFonts w:hint="eastAsia" w:ascii="宋体" w:hAnsi="宋体" w:eastAsia="宋体" w:cs="宋体"/>
          <w:b/>
          <w:bCs/>
          <w:color w:val="333333"/>
          <w:sz w:val="24"/>
          <w:szCs w:val="24"/>
          <w:highlight w:val="none"/>
          <w:shd w:val="clear" w:color="auto" w:fill="ffffff"/>
        </w:rPr>
        <w:t xml:space="preserve">获取征集文件</w:t>
      </w:r>
      <w:r/>
    </w:p>
    <w:p>
      <w:pPr>
        <w:pStyle w:val="970"/>
        <w:ind w:firstLine="420"/>
        <w:keepLines w:val="0"/>
        <w:keepNext w:val="0"/>
        <w:pageBreakBefore w:val="0"/>
        <w:spacing w:before="0" w:beforeAutospacing="0" w:after="0" w:afterAutospacing="0" w:line="480" w:lineRule="exact"/>
        <w:rPr>
          <w:rFonts w:hint="eastAsia" w:ascii="宋体" w:hAnsi="宋体" w:eastAsia="宋体" w:cs="宋体"/>
          <w:color w:val="333333"/>
          <w:sz w:val="24"/>
          <w:szCs w:val="24"/>
          <w:highlight w:val="none"/>
          <w:shd w:val="clear" w:color="auto" w:fill="ffffff"/>
        </w:rPr>
      </w:pPr>
      <w:r/>
      <w:bookmarkStart w:id="31" w:name="_Toc35393796"/>
      <w:r/>
      <w:bookmarkStart w:id="32" w:name="_Toc38985269"/>
      <w:r/>
      <w:bookmarkStart w:id="33" w:name="_Toc35393627"/>
      <w:r/>
      <w:bookmarkStart w:id="34" w:name="_Toc28359085"/>
      <w:r/>
      <w:bookmarkStart w:id="35" w:name="_Toc28359008"/>
      <w:r>
        <w:rPr>
          <w:rFonts w:hint="eastAsia" w:ascii="宋体" w:hAnsi="宋体" w:eastAsia="宋体" w:cs="宋体"/>
          <w:color w:val="333333"/>
          <w:sz w:val="24"/>
          <w:szCs w:val="24"/>
          <w:highlight w:val="none"/>
          <w:shd w:val="clear" w:color="auto" w:fill="ffffff"/>
        </w:rPr>
        <w:t xml:space="preserve">时间：</w:t>
      </w:r>
      <w:r>
        <w:rPr>
          <w:rFonts w:hint="eastAsia" w:ascii="宋体" w:hAnsi="宋体" w:eastAsia="宋体" w:cs="宋体"/>
          <w:color w:val="333333"/>
          <w:sz w:val="24"/>
          <w:szCs w:val="24"/>
          <w:highlight w:val="none"/>
          <w:u w:val="none"/>
        </w:rPr>
        <w:t xml:space="preserve">自征集公告发布之日起5个工作日</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地点：“苏采云”系统内免费下载（投标人必须在苏采云系统中获取征集文件，方能参与政府采购项目）</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方式：</w:t>
      </w:r>
      <w:r>
        <w:rPr>
          <w:rFonts w:ascii="SimSun" w:hAnsi="SimSun" w:eastAsia="SimSun" w:cs="SimSun"/>
          <w:color w:val="000000"/>
          <w:sz w:val="24"/>
        </w:rPr>
        <w:t xml:space="preserve">本项目采用网上注册登记方式，网址：http:／/jszfcg.jsczt.cn／</w:t>
      </w:r>
      <w:r>
        <w:rPr>
          <w:rFonts w:hint="eastAsia" w:ascii="宋体" w:hAnsi="宋体" w:eastAsia="宋体" w:cs="宋体"/>
          <w:sz w:val="24"/>
          <w:szCs w:val="24"/>
          <w:highlight w:val="none"/>
        </w:rPr>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文件售价：0元</w:t>
      </w:r>
      <w:r/>
    </w:p>
    <w:p>
      <w:pPr>
        <w:pStyle w:val="970"/>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四、提交响应文件截止时间、开标时间和地点</w:t>
      </w:r>
      <w:r/>
    </w:p>
    <w:p>
      <w:pPr>
        <w:pStyle w:val="970"/>
        <w:ind w:firstLine="420"/>
        <w:keepLines w:val="0"/>
        <w:keepNext w:val="0"/>
        <w:pageBreakBefore w:val="0"/>
        <w:spacing w:before="0" w:beforeAutospacing="0" w:after="0" w:afterAutospacing="0" w:line="480" w:lineRule="exact"/>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 xml:space="preserve">时间：</w:t>
      </w:r>
      <w:r>
        <w:rPr>
          <w:rFonts w:hint="eastAsia" w:cs="宋体"/>
          <w:color w:val="000000"/>
          <w:sz w:val="24"/>
          <w:szCs w:val="24"/>
          <w:highlight w:val="none"/>
          <w:u w:val="single"/>
          <w:shd w:val="clear" w:color="auto" w:fill="auto"/>
          <w:lang w:val="en-US" w:eastAsia="zh-CN"/>
        </w:rPr>
        <w:t xml:space="preserve"> 2026 </w:t>
      </w:r>
      <w:r>
        <w:rPr>
          <w:rFonts w:hint="eastAsia" w:ascii="宋体" w:hAnsi="宋体" w:eastAsia="宋体" w:cs="宋体"/>
          <w:color w:val="000000"/>
          <w:sz w:val="24"/>
          <w:szCs w:val="24"/>
          <w:highlight w:val="none"/>
          <w:u w:val="single"/>
          <w:shd w:val="clear" w:color="auto" w:fill="auto"/>
        </w:rPr>
        <w:t xml:space="preserve">-</w:t>
      </w:r>
      <w:r>
        <w:rPr>
          <w:rFonts w:hint="eastAsia" w:cs="宋体"/>
          <w:color w:val="000000"/>
          <w:sz w:val="24"/>
          <w:szCs w:val="24"/>
          <w:highlight w:val="none"/>
          <w:u w:val="single"/>
          <w:shd w:val="clear" w:color="auto" w:fill="auto"/>
          <w:lang w:val="en-US" w:eastAsia="zh-CN"/>
        </w:rPr>
        <w:t xml:space="preserve"> 8 </w:t>
      </w:r>
      <w:r>
        <w:rPr>
          <w:rFonts w:hint="eastAsia" w:ascii="宋体" w:hAnsi="宋体" w:eastAsia="宋体" w:cs="宋体"/>
          <w:color w:val="000000"/>
          <w:sz w:val="24"/>
          <w:szCs w:val="24"/>
          <w:highlight w:val="none"/>
          <w:u w:val="single"/>
          <w:shd w:val="clear" w:color="auto" w:fill="auto"/>
        </w:rPr>
        <w:t xml:space="preserve">-</w:t>
      </w:r>
      <w:r>
        <w:rPr>
          <w:rFonts w:hint="eastAsia" w:cs="宋体"/>
          <w:color w:val="000000"/>
          <w:sz w:val="24"/>
          <w:szCs w:val="24"/>
          <w:highlight w:val="none"/>
          <w:u w:val="single"/>
          <w:shd w:val="clear" w:color="auto" w:fill="auto"/>
          <w:lang w:val="en-US" w:eastAsia="zh-CN"/>
        </w:rPr>
        <w:t xml:space="preserve"> 4 </w:t>
      </w:r>
      <w:r>
        <w:rPr>
          <w:rFonts w:hint="eastAsia" w:cs="宋体"/>
          <w:color w:val="000000"/>
          <w:sz w:val="24"/>
          <w:szCs w:val="24"/>
          <w:highlight w:val="none"/>
          <w:u w:val="none"/>
          <w:shd w:val="clear" w:color="auto" w:fill="auto"/>
          <w:lang w:val="en-US" w:eastAsia="zh-CN"/>
        </w:rPr>
        <w:t xml:space="preserve"> </w:t>
      </w:r>
      <w:r>
        <w:rPr>
          <w:rFonts w:hint="eastAsia" w:ascii="宋体" w:hAnsi="宋体" w:eastAsia="宋体" w:cs="宋体"/>
          <w:color w:val="000000"/>
          <w:sz w:val="24"/>
          <w:szCs w:val="24"/>
          <w:highlight w:val="none"/>
          <w:u w:val="none"/>
          <w:shd w:val="clear" w:color="auto" w:fill="auto"/>
          <w:lang w:val="en-US" w:eastAsia="zh-CN"/>
        </w:rPr>
        <w:t xml:space="preserve">09</w:t>
      </w:r>
      <w:r>
        <w:rPr>
          <w:rFonts w:hint="eastAsia" w:ascii="宋体" w:hAnsi="宋体" w:eastAsia="宋体" w:cs="宋体"/>
          <w:color w:val="000000"/>
          <w:sz w:val="24"/>
          <w:szCs w:val="24"/>
          <w:highlight w:val="none"/>
          <w:u w:val="none"/>
          <w:shd w:val="clear" w:color="auto" w:fill="auto"/>
        </w:rPr>
        <w:t xml:space="preserve">:00 （北京时间）</w:t>
      </w:r>
      <w:r/>
    </w:p>
    <w:p>
      <w:pPr>
        <w:pStyle w:val="970"/>
        <w:ind w:firstLine="420"/>
        <w:keepLines w:val="0"/>
        <w:keepNext w:val="0"/>
        <w:pageBreakBefore w:val="0"/>
        <w:spacing w:before="0" w:beforeAutospacing="0" w:after="0" w:afterAutospacing="0" w:line="480" w:lineRule="exact"/>
        <w:rPr>
          <w:rFonts w:hint="eastAsia" w:ascii="宋体" w:hAnsi="宋体" w:eastAsia="宋体" w:cs="宋体"/>
          <w:color w:val="333333"/>
          <w:sz w:val="24"/>
          <w:szCs w:val="24"/>
          <w:highlight w:val="none"/>
          <w:shd w:val="clear" w:color="auto" w:fill="ffffff"/>
          <w:lang w:val="en-US" w:eastAsia="zh-CN"/>
        </w:rPr>
      </w:pPr>
      <w:r>
        <w:rPr>
          <w:rFonts w:hint="eastAsia" w:ascii="宋体" w:hAnsi="宋体" w:eastAsia="宋体" w:cs="宋体"/>
          <w:color w:val="333333"/>
          <w:sz w:val="24"/>
          <w:szCs w:val="24"/>
          <w:highlight w:val="none"/>
          <w:shd w:val="clear" w:color="auto" w:fill="ffffff"/>
        </w:rPr>
        <w:t xml:space="preserve">地点：“苏采云”政府采购交易系统网上开标大厅</w:t>
      </w:r>
      <w:r>
        <w:rPr>
          <w:rFonts w:hint="eastAsia" w:cs="宋体"/>
          <w:color w:val="333333"/>
          <w:sz w:val="24"/>
          <w:szCs w:val="24"/>
          <w:highlight w:val="none"/>
          <w:shd w:val="clear" w:color="auto" w:fill="ffffff"/>
          <w:lang w:val="en-US" w:eastAsia="zh-CN"/>
        </w:rPr>
        <w:t xml:space="preserve"> </w:t>
      </w:r>
      <w:r/>
    </w:p>
    <w:p>
      <w:pPr>
        <w:pStyle w:val="970"/>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五、公告期限</w:t>
      </w:r>
      <w:r/>
    </w:p>
    <w:p>
      <w:pPr>
        <w:pStyle w:val="970"/>
        <w:ind w:firstLine="420"/>
        <w:keepLines w:val="0"/>
        <w:keepNext w:val="0"/>
        <w:pageBreakBefore w:val="0"/>
        <w:spacing w:before="0" w:beforeAutospacing="0" w:after="0" w:afterAutospacing="0" w:line="480" w:lineRule="exact"/>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 xml:space="preserve">自本公告发布之日起5个工作日。</w:t>
      </w:r>
      <w:r/>
    </w:p>
    <w:p>
      <w:pPr>
        <w:pStyle w:val="970"/>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六、其他补充事宜</w:t>
      </w:r>
      <w:r/>
    </w:p>
    <w:p>
      <w:pPr>
        <w:pStyle w:val="804"/>
        <w:ind w:left="0"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eastAsia="宋体" w:cs="宋体"/>
          <w:b w:val="0"/>
          <w:bCs w:val="0"/>
          <w:i w:val="0"/>
          <w:iCs w:val="0"/>
          <w:caps w:val="0"/>
          <w:color w:val="auto"/>
          <w:spacing w:val="0"/>
          <w:sz w:val="24"/>
          <w:szCs w:val="24"/>
          <w:highlight w:val="none"/>
          <w:shd w:val="clear" w:color="auto" w:fill="ffffff"/>
          <w:lang w:val="en-US" w:eastAsia="zh-CN" w:bidi="ar-SA"/>
        </w:rPr>
        <w:t xml:space="preserve">供应商</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通过苏采云系统参与政府采购项目，需要更换CA数字证书和电子签章。具体办理指南和操作手册：在盐城市政府采购网点击【办事指南】-【供应商参与政府采购活动相关资料】。</w:t>
      </w:r>
      <w:r/>
    </w:p>
    <w:p>
      <w:pPr>
        <w:pStyle w:val="804"/>
        <w:ind w:left="0"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府西路1号国投商务楼盐城市公共资源交易中心四楼大厅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潜在供应商访问“苏采云”系统方法：江苏省政府采购网首页-“苏采云”链接。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w:t>
      </w:r>
      <w:r>
        <w:rPr>
          <w:rFonts w:hint="eastAsia" w:ascii="宋体" w:hAnsi="宋体" w:cs="宋体"/>
          <w:color w:val="auto"/>
          <w:sz w:val="24"/>
          <w:szCs w:val="24"/>
          <w:highlight w:val="none"/>
          <w:lang w:val="en-US" w:eastAsia="zh-CN" w:bidi="ar-SA"/>
        </w:rPr>
        <w:t xml:space="preserve">征集文件</w:t>
      </w:r>
      <w:r>
        <w:rPr>
          <w:rFonts w:hint="eastAsia" w:ascii="宋体" w:hAnsi="宋体" w:eastAsia="宋体" w:cs="宋体"/>
          <w:color w:val="auto"/>
          <w:sz w:val="24"/>
          <w:szCs w:val="24"/>
          <w:highlight w:val="none"/>
          <w:lang w:val="en-US" w:eastAsia="zh-CN" w:bidi="ar-SA"/>
        </w:rPr>
        <w:t xml:space="preserve">（后缀名为“.kedt”）、供应商操作手册及政府采购客户端 工具可通过“苏采云”系统相应链接进行下载。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请潜在供应商提前安装相应的控件（详见《“苏采云”系统供应商操作手册》）并使用谷歌浏览器登录“苏采云”系统参与不见面开评标。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如潜在供应商未按上述要求操作，将自行承担所产生的风险。</w:t>
      </w:r>
      <w:r/>
    </w:p>
    <w:p>
      <w:pPr>
        <w:pStyle w:val="804"/>
        <w:ind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970"/>
        <w:ind w:firstLine="420"/>
        <w:keepLines w:val="0"/>
        <w:keepNext w:val="0"/>
        <w:pageBreakBefore w:val="0"/>
        <w:spacing w:before="0" w:beforeAutospacing="0" w:after="0" w:afterAutospacing="0" w:line="480" w:lineRule="exact"/>
        <w:rPr>
          <w:rFonts w:hint="eastAsia" w:ascii="宋体" w:hAnsi="宋体" w:eastAsia="宋体" w:cs="宋体"/>
          <w:color w:val="333333"/>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970"/>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sz w:val="24"/>
          <w:szCs w:val="24"/>
          <w:highlight w:val="none"/>
        </w:rPr>
        <w:t xml:space="preserve">七、</w:t>
      </w:r>
      <w:bookmarkEnd w:id="31"/>
      <w:r/>
      <w:bookmarkEnd w:id="32"/>
      <w:r/>
      <w:bookmarkEnd w:id="33"/>
      <w:r/>
      <w:bookmarkEnd w:id="34"/>
      <w:r/>
      <w:bookmarkEnd w:id="35"/>
      <w:r>
        <w:rPr>
          <w:rFonts w:hint="eastAsia" w:ascii="宋体" w:hAnsi="宋体" w:eastAsia="宋体" w:cs="宋体"/>
          <w:b/>
          <w:bCs/>
          <w:sz w:val="24"/>
          <w:szCs w:val="24"/>
          <w:highlight w:val="none"/>
        </w:rPr>
        <w:t xml:space="preserve">征集人的相关信息</w:t>
      </w:r>
      <w:r/>
    </w:p>
    <w:p>
      <w:pPr>
        <w:ind w:firstLine="420"/>
        <w:keepLines w:val="0"/>
        <w:keepNext w:val="0"/>
        <w:pageBreakBefore w:val="0"/>
        <w:spacing w:line="480" w:lineRule="exact"/>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bookmarkStart w:id="36" w:name="_Toc120614211"/>
      <w:r/>
      <w:bookmarkStart w:id="37" w:name="_Toc128039579"/>
      <w:r>
        <w:rPr>
          <w:rFonts w:hint="eastAsia" w:ascii="宋体" w:hAnsi="宋体" w:cs="宋体"/>
          <w:color w:val="000000"/>
          <w:sz w:val="24"/>
          <w:szCs w:val="24"/>
          <w:highlight w:val="none"/>
          <w:lang w:val="en-US" w:eastAsia="zh-CN"/>
        </w:rPr>
        <w:t xml:space="preserve">1.征集人信息 </w:t>
      </w:r>
      <w:r/>
    </w:p>
    <w:p>
      <w:pPr>
        <w:ind w:firstLine="420"/>
        <w:keepLines w:val="0"/>
        <w:keepNext w:val="0"/>
        <w:pageBreakBefore w:val="0"/>
        <w:spacing w:line="480" w:lineRule="exact"/>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单位名称：</w:t>
      </w:r>
      <w:r>
        <w:rPr>
          <w:rFonts w:hint="eastAsia" w:ascii="宋体" w:hAnsi="宋体" w:eastAsia="宋体" w:cs="宋体"/>
          <w:color w:val="000000"/>
          <w:sz w:val="24"/>
          <w:szCs w:val="24"/>
          <w:highlight w:val="none"/>
        </w:rPr>
        <w:t xml:space="preserve">盐城市大丰区机关事务服务中心</w:t>
      </w:r>
      <w:r/>
    </w:p>
    <w:p>
      <w:pPr>
        <w:ind w:firstLine="420"/>
        <w:keepLines w:val="0"/>
        <w:keepNext w:val="0"/>
        <w:pageBreakBefore w:val="0"/>
        <w:spacing w:line="480" w:lineRule="exact"/>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单位地址：</w:t>
      </w:r>
      <w:r>
        <w:rPr>
          <w:rFonts w:hint="eastAsia" w:ascii="宋体" w:hAnsi="宋体" w:eastAsia="宋体" w:cs="宋体"/>
          <w:color w:val="000000"/>
          <w:sz w:val="24"/>
          <w:szCs w:val="24"/>
          <w:highlight w:val="none"/>
        </w:rPr>
        <w:t xml:space="preserve">盐城市大丰区大华东路1号</w:t>
      </w:r>
      <w:r/>
    </w:p>
    <w:p>
      <w:pPr>
        <w:ind w:firstLine="420"/>
        <w:keepLines w:val="0"/>
        <w:keepNext w:val="0"/>
        <w:pageBreakBefore w:val="0"/>
        <w:spacing w:line="480" w:lineRule="exact"/>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rPr>
        <w:t xml:space="preserve">吕先生</w:t>
      </w:r>
      <w:r/>
    </w:p>
    <w:p>
      <w:pPr>
        <w:ind w:firstLine="420"/>
        <w:keepLines w:val="0"/>
        <w:keepNext w:val="0"/>
        <w:pageBreakBefore w:val="0"/>
        <w:spacing w:line="480" w:lineRule="exact"/>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联系电话：</w:t>
      </w:r>
      <w:r>
        <w:rPr>
          <w:rFonts w:hint="eastAsia" w:ascii="宋体" w:hAnsi="宋体" w:eastAsia="宋体" w:cs="宋体"/>
          <w:color w:val="000000"/>
          <w:sz w:val="24"/>
          <w:szCs w:val="24"/>
          <w:highlight w:val="none"/>
        </w:rPr>
        <w:t xml:space="preserve">13805113388</w:t>
      </w:r>
      <w:r/>
    </w:p>
    <w:p>
      <w:pPr>
        <w:ind w:firstLine="420"/>
        <w:keepLines w:val="0"/>
        <w:keepNext w:val="0"/>
        <w:pageBreakBefore w:val="0"/>
        <w:spacing w:line="480" w:lineRule="exact"/>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2.代理机构信息</w:t>
      </w:r>
      <w:r/>
    </w:p>
    <w:p>
      <w:pPr>
        <w:ind w:firstLine="420"/>
        <w:keepLines w:val="0"/>
        <w:keepNext w:val="0"/>
        <w:pageBreakBefore w:val="0"/>
        <w:spacing w:line="480" w:lineRule="exact"/>
        <w:rPr>
          <w:rFonts w:hint="default"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单位名称：盐城富邦项目管理有限公司</w:t>
      </w:r>
      <w:r/>
    </w:p>
    <w:p>
      <w:pPr>
        <w:ind w:firstLine="420"/>
        <w:keepLines w:val="0"/>
        <w:keepNext w:val="0"/>
        <w:pageBreakBefore w:val="0"/>
        <w:spacing w:line="480" w:lineRule="exact"/>
        <w:rPr>
          <w:rFonts w:hint="default"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单位地址：盐城市大丰区南翔西路辅路66号二楼</w:t>
      </w:r>
      <w:r/>
    </w:p>
    <w:p>
      <w:pPr>
        <w:ind w:firstLine="420"/>
        <w:keepLines w:val="0"/>
        <w:keepNext w:val="0"/>
        <w:pageBreakBefore w:val="0"/>
        <w:spacing w:line="480" w:lineRule="exac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联系人：孙女士</w:t>
      </w:r>
      <w:r/>
    </w:p>
    <w:p>
      <w:pPr>
        <w:ind w:firstLine="420"/>
        <w:keepLines w:val="0"/>
        <w:keepNext w:val="0"/>
        <w:pageBreakBefore w:val="0"/>
        <w:spacing w:line="480" w:lineRule="exac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联系电话：18796613698</w:t>
      </w:r>
      <w:r/>
    </w:p>
    <w:p>
      <w:pPr>
        <w:ind w:firstLine="420"/>
        <w:keepLines w:val="0"/>
        <w:keepNext w:val="0"/>
        <w:pageBreakBefore w:val="0"/>
        <w:spacing w:line="480" w:lineRule="exact"/>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3.项目联系方式</w:t>
      </w:r>
      <w:r/>
    </w:p>
    <w:p>
      <w:pPr>
        <w:ind w:firstLine="420"/>
        <w:keepLines w:val="0"/>
        <w:keepNext w:val="0"/>
        <w:pageBreakBefore w:val="0"/>
        <w:spacing w:line="480" w:lineRule="exact"/>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项目联系人：</w:t>
      </w:r>
      <w:r>
        <w:rPr>
          <w:rFonts w:hint="eastAsia" w:ascii="宋体" w:hAnsi="宋体" w:eastAsia="宋体" w:cs="宋体"/>
          <w:color w:val="000000"/>
          <w:sz w:val="24"/>
          <w:szCs w:val="24"/>
          <w:highlight w:val="none"/>
        </w:rPr>
        <w:t xml:space="preserve">吕先生</w:t>
      </w:r>
      <w:r/>
    </w:p>
    <w:p>
      <w:pPr>
        <w:ind w:firstLine="420"/>
        <w:keepLines w:val="0"/>
        <w:keepNext w:val="0"/>
        <w:pageBreakBefore w:val="0"/>
        <w:spacing w:line="480" w:lineRule="exact"/>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电话：</w:t>
      </w:r>
      <w:r>
        <w:rPr>
          <w:rFonts w:hint="eastAsia" w:ascii="宋体" w:hAnsi="宋体" w:eastAsia="宋体" w:cs="宋体"/>
          <w:color w:val="000000"/>
          <w:sz w:val="24"/>
          <w:szCs w:val="24"/>
          <w:highlight w:val="none"/>
        </w:rPr>
        <w:t xml:space="preserve">13805113388</w:t>
      </w:r>
      <w:r>
        <w:rPr>
          <w:rFonts w:hint="default" w:ascii="宋体" w:hAnsi="宋体" w:eastAsia="宋体" w:cs="宋体"/>
          <w:sz w:val="24"/>
          <w:szCs w:val="24"/>
          <w:highlight w:val="none"/>
          <w:lang w:val="en-US" w:eastAsia="zh-CN"/>
        </w:rPr>
      </w:r>
      <w:r/>
    </w:p>
    <w:p>
      <w:pPr>
        <w:jc w:val="center"/>
        <w:keepLines w:val="0"/>
        <w:keepNext w:val="0"/>
        <w:pageBreakBefore w:val="0"/>
        <w:spacing w:after="120" w:line="480" w:lineRule="exact"/>
        <w:rPr>
          <w:rFonts w:hint="eastAsia" w:ascii="宋体" w:hAnsi="宋体" w:eastAsia="宋体" w:cs="宋体"/>
          <w:color w:val="000000"/>
          <w:sz w:val="32"/>
          <w:szCs w:val="32"/>
          <w:highlight w:val="none"/>
        </w:rPr>
        <w:pBdr>
          <w:top w:val="none" w:color="000000" w:sz="0" w:space="0"/>
          <w:left w:val="none" w:color="000000" w:sz="0" w:space="0"/>
          <w:bottom w:val="none" w:color="000000" w:sz="0" w:space="0"/>
          <w:right w:val="none" w:color="000000" w:sz="0" w:space="0"/>
        </w:pBdr>
      </w:pPr>
      <w:r/>
      <w:bookmarkStart w:id="38" w:name="_Toc183693303"/>
      <w:r/>
      <w:r/>
    </w:p>
    <w:p>
      <w:pPr>
        <w:pStyle w:val="806"/>
        <w:rPr>
          <w:rFonts w:hint="eastAsia"/>
          <w:highlight w:val="none"/>
        </w:rPr>
      </w:pPr>
      <w:r>
        <w:rPr>
          <w:rFonts w:hint="eastAsia"/>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pStyle w:val="782"/>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highlight w:val="none"/>
        </w:rPr>
      </w:pPr>
      <w:r>
        <w:rPr>
          <w:rFonts w:hint="eastAsia"/>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t xml:space="preserve">第二章  </w:t>
      </w:r>
      <w:bookmarkEnd w:id="36"/>
      <w:r/>
      <w:bookmarkStart w:id="40" w:name="_Toc513029202"/>
      <w:r/>
      <w:bookmarkStart w:id="41" w:name="_Toc120614213"/>
      <w:r/>
      <w:bookmarkStart w:id="42" w:name="_Toc16938518"/>
      <w:r/>
      <w:bookmarkStart w:id="43" w:name="_Toc20823274"/>
      <w:r>
        <w:rPr>
          <w:rFonts w:hint="eastAsia" w:ascii="宋体" w:hAnsi="宋体" w:eastAsia="宋体" w:cs="宋体"/>
          <w:b/>
          <w:bCs/>
          <w:color w:val="000000"/>
          <w:sz w:val="32"/>
          <w:szCs w:val="32"/>
          <w:highlight w:val="none"/>
        </w:rPr>
        <w:t xml:space="preserve">供应商须知</w:t>
      </w:r>
      <w:bookmarkEnd w:id="37"/>
      <w:r/>
      <w:bookmarkEnd w:id="38"/>
      <w:r/>
      <w:bookmarkEnd w:id="40"/>
      <w:r/>
      <w:bookmarkEnd w:id="41"/>
      <w:r/>
      <w:bookmarkEnd w:id="42"/>
      <w:r/>
      <w:bookmarkEnd w:id="43"/>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4" w:name="_Toc513029203"/>
      <w:r/>
      <w:bookmarkStart w:id="45" w:name="_Toc20823275"/>
      <w:r/>
      <w:bookmarkStart w:id="46" w:name="_Toc16938519"/>
      <w:r/>
      <w:bookmarkStart w:id="47" w:name="_Toc120614214"/>
      <w:r>
        <w:rPr>
          <w:rFonts w:hint="eastAsia" w:ascii="宋体" w:hAnsi="宋体" w:eastAsia="宋体" w:cs="宋体"/>
          <w:b/>
          <w:bCs/>
          <w:color w:val="000000" w:themeColor="text1"/>
          <w:sz w:val="24"/>
          <w:szCs w:val="24"/>
          <w:highlight w:val="none"/>
          <w14:textFill>
            <w14:solidFill>
              <w14:schemeClr w14:val="tx1"/>
            </w14:solidFill>
          </w14:textFill>
        </w:rPr>
        <w:t xml:space="preserve">一、总则</w:t>
      </w:r>
      <w:bookmarkEnd w:id="44"/>
      <w:r/>
      <w:bookmarkEnd w:id="45"/>
      <w:r/>
      <w:bookmarkEnd w:id="46"/>
      <w:r/>
      <w:bookmarkEnd w:id="47"/>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8" w:name="_Hlt16619475"/>
      <w:r/>
      <w:bookmarkEnd w:id="48"/>
      <w:r/>
      <w:bookmarkStart w:id="49" w:name="_Toc458694821"/>
      <w:r/>
      <w:bookmarkStart w:id="50" w:name="_Toc20823276"/>
      <w:r/>
      <w:bookmarkStart w:id="51" w:name="_Toc513029204"/>
      <w:r/>
      <w:bookmarkStart w:id="52" w:name="_Toc16938520"/>
      <w:r>
        <w:rPr>
          <w:rFonts w:hint="eastAsia" w:ascii="宋体" w:hAnsi="宋体" w:eastAsia="宋体" w:cs="宋体"/>
          <w:b/>
          <w:bCs/>
          <w:color w:val="000000" w:themeColor="text1"/>
          <w:sz w:val="24"/>
          <w:szCs w:val="24"/>
          <w:highlight w:val="none"/>
          <w14:textFill>
            <w14:solidFill>
              <w14:schemeClr w14:val="tx1"/>
            </w14:solidFill>
          </w14:textFill>
        </w:rPr>
        <w:t xml:space="preserve">1</w:t>
      </w:r>
      <w:bookmarkEnd w:id="49"/>
      <w:r>
        <w:rPr>
          <w:rFonts w:hint="eastAsia" w:ascii="宋体" w:hAnsi="宋体" w:eastAsia="宋体" w:cs="宋体"/>
          <w:b/>
          <w:bCs/>
          <w:color w:val="000000" w:themeColor="text1"/>
          <w:sz w:val="24"/>
          <w:szCs w:val="24"/>
          <w:highlight w:val="none"/>
          <w14:textFill>
            <w14:solidFill>
              <w14:schemeClr w14:val="tx1"/>
            </w14:solidFill>
          </w14:textFill>
        </w:rPr>
        <w:t xml:space="preserve">、采购方式</w:t>
      </w:r>
      <w:bookmarkEnd w:id="50"/>
      <w:r/>
      <w:bookmarkEnd w:id="51"/>
      <w:r/>
      <w:bookmarkEnd w:id="52"/>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1.1本次项目采用封闭式框架协议采购方式，本征集文件仅适用于征集公告中所述项目。</w:t>
      </w:r>
      <w:bookmarkStart w:id="53" w:name="_Toc513029205"/>
      <w:r/>
      <w:bookmarkStart w:id="54" w:name="_Toc20823277"/>
      <w:r/>
      <w:bookmarkStart w:id="55" w:name="_Toc16938521"/>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2、合格的</w:t>
      </w:r>
      <w:bookmarkEnd w:id="53"/>
      <w:r/>
      <w:bookmarkEnd w:id="54"/>
      <w:r/>
      <w:bookmarkEnd w:id="55"/>
      <w:r>
        <w:rPr>
          <w:rFonts w:hint="eastAsia" w:ascii="宋体" w:hAnsi="宋体" w:eastAsia="宋体" w:cs="宋体"/>
          <w:b/>
          <w:bCs/>
          <w:color w:val="000000" w:themeColor="text1"/>
          <w:sz w:val="24"/>
          <w:szCs w:val="24"/>
          <w:highlight w:val="none"/>
          <w14:textFill>
            <w14:solidFill>
              <w14:schemeClr w14:val="tx1"/>
            </w14:solidFill>
          </w14:textFill>
        </w:rPr>
        <w:t xml:space="preserve">供应商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2.1满足征集公告中供应商资格要求的规定。</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2.2满足本征集文件实质性要求和条件的规定。</w:t>
      </w:r>
      <w:r/>
    </w:p>
    <w:p>
      <w:pPr>
        <w:ind w:firstLine="420"/>
        <w:keepLines w:val="0"/>
        <w:keepNext w:val="0"/>
        <w:pageBreakBefore w:val="0"/>
        <w:spacing w:line="5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56" w:name="_Toc20823278"/>
      <w:r/>
      <w:bookmarkStart w:id="57" w:name="_Toc16938522"/>
      <w:r/>
      <w:bookmarkStart w:id="58" w:name="_Toc513029206"/>
      <w:r>
        <w:rPr>
          <w:rFonts w:hint="eastAsia" w:ascii="宋体" w:hAnsi="宋体" w:eastAsia="宋体" w:cs="宋体"/>
          <w:b/>
          <w:bCs/>
          <w:color w:val="000000" w:themeColor="text1"/>
          <w:sz w:val="24"/>
          <w:szCs w:val="24"/>
          <w:highlight w:val="none"/>
          <w14:textFill>
            <w14:solidFill>
              <w14:schemeClr w14:val="tx1"/>
            </w14:solidFill>
          </w14:textFill>
        </w:rPr>
        <w:t xml:space="preserve">3、适用法律</w:t>
      </w:r>
      <w:bookmarkEnd w:id="56"/>
      <w:r/>
      <w:bookmarkEnd w:id="57"/>
      <w:r/>
      <w:bookmarkEnd w:id="58"/>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3.1本次封闭式框架协议采购活动（以下简称采购活动）及由此产生的框架协议文本和采购合同文本受中华人民共和国有关的法律法规制约和保护。</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9" w:name="_Toc462564067"/>
      <w:r/>
      <w:bookmarkStart w:id="60" w:name="_Toc20823279"/>
      <w:r/>
      <w:bookmarkStart w:id="61" w:name="_Toc16938523"/>
      <w:r/>
      <w:bookmarkStart w:id="62" w:name="_Toc513029207"/>
      <w:r>
        <w:rPr>
          <w:rFonts w:hint="eastAsia" w:ascii="宋体" w:hAnsi="宋体" w:eastAsia="宋体" w:cs="宋体"/>
          <w:b/>
          <w:bCs/>
          <w:color w:val="000000" w:themeColor="text1"/>
          <w:sz w:val="24"/>
          <w:szCs w:val="24"/>
          <w:highlight w:val="none"/>
          <w14:textFill>
            <w14:solidFill>
              <w14:schemeClr w14:val="tx1"/>
            </w14:solidFill>
          </w14:textFill>
        </w:rPr>
        <w:t xml:space="preserve">4、参加采购活动的费用</w:t>
      </w:r>
      <w:bookmarkEnd w:id="59"/>
      <w:r/>
      <w:bookmarkEnd w:id="60"/>
      <w:r/>
      <w:bookmarkEnd w:id="61"/>
      <w:r/>
      <w:bookmarkEnd w:id="62"/>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4.1供应商应自行承担所有与参加采购活动有关的费用，无论采购活动过程中的做法和结果如何，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在任何情况下均无义务和责任承担这些费用。</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4.2本次采购活动不收取标书工本费</w:t>
      </w:r>
      <w:bookmarkStart w:id="192" w:name="_GoBack"/>
      <w:r/>
      <w:bookmarkEnd w:id="192"/>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5、征集文件的约束力</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5.1供应商一旦参加本项目采购活动，即被认为接受了本征集文件的规定和约束。</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3" w:name="_Toc120614215"/>
      <w:r/>
      <w:bookmarkStart w:id="64" w:name="_Toc16938525"/>
      <w:r/>
      <w:bookmarkStart w:id="65" w:name="_Toc513029209"/>
      <w:r/>
      <w:bookmarkStart w:id="66" w:name="_Toc20823281"/>
      <w:r>
        <w:rPr>
          <w:rFonts w:hint="eastAsia" w:ascii="宋体" w:hAnsi="宋体" w:eastAsia="宋体" w:cs="宋体"/>
          <w:b/>
          <w:bCs/>
          <w:color w:val="000000" w:themeColor="text1"/>
          <w:sz w:val="24"/>
          <w:szCs w:val="24"/>
          <w:highlight w:val="none"/>
          <w14:textFill>
            <w14:solidFill>
              <w14:schemeClr w14:val="tx1"/>
            </w14:solidFill>
          </w14:textFill>
        </w:rPr>
        <w:t xml:space="preserve">二、征集文件</w:t>
      </w:r>
      <w:bookmarkEnd w:id="63"/>
      <w:r/>
      <w:bookmarkEnd w:id="64"/>
      <w:r/>
      <w:bookmarkEnd w:id="65"/>
      <w:r/>
      <w:bookmarkEnd w:id="66"/>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7" w:name="_Toc16938526"/>
      <w:r/>
      <w:bookmarkStart w:id="68" w:name="_Toc20823282"/>
      <w:r/>
      <w:bookmarkStart w:id="69" w:name="_Toc513029210"/>
      <w:r>
        <w:rPr>
          <w:rFonts w:hint="eastAsia" w:ascii="宋体" w:hAnsi="宋体" w:eastAsia="宋体" w:cs="宋体"/>
          <w:b/>
          <w:bCs/>
          <w:color w:val="000000" w:themeColor="text1"/>
          <w:sz w:val="24"/>
          <w:szCs w:val="24"/>
          <w:highlight w:val="none"/>
          <w14:textFill>
            <w14:solidFill>
              <w14:schemeClr w14:val="tx1"/>
            </w14:solidFill>
          </w14:textFill>
        </w:rPr>
        <w:t xml:space="preserve">6、征集文件构成</w:t>
      </w:r>
      <w:bookmarkEnd w:id="67"/>
      <w:r/>
      <w:bookmarkEnd w:id="68"/>
      <w:r/>
      <w:bookmarkEnd w:id="69"/>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6.1征集文件由以下部分组成：</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6.1.1参加征集活动的邀请</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6.1.2供应商须知</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6.1.3框架协议文本</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6.1.4采购需求</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6.1.5确定入围及成交供应商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6.1.6响应文件格式</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请仔细检查征集文件是否齐全，如有缺漏请立即与征集人联系解决。</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0" w:name="_Toc462564070"/>
      <w:r/>
      <w:bookmarkStart w:id="71" w:name="_Toc16938527"/>
      <w:r/>
      <w:bookmarkStart w:id="72" w:name="_Toc20823283"/>
      <w:r/>
      <w:bookmarkStart w:id="73" w:name="_Toc513029211"/>
      <w:r>
        <w:rPr>
          <w:rFonts w:hint="eastAsia" w:ascii="宋体" w:hAnsi="宋体" w:eastAsia="宋体" w:cs="宋体"/>
          <w:b/>
          <w:bCs/>
          <w:color w:val="000000" w:themeColor="text1"/>
          <w:sz w:val="24"/>
          <w:szCs w:val="24"/>
          <w:highlight w:val="none"/>
          <w14:textFill>
            <w14:solidFill>
              <w14:schemeClr w14:val="tx1"/>
            </w14:solidFill>
          </w14:textFill>
        </w:rPr>
        <w:t xml:space="preserve">7、征集文件的澄清</w:t>
      </w:r>
      <w:bookmarkEnd w:id="70"/>
      <w:r/>
      <w:bookmarkEnd w:id="71"/>
      <w:r/>
      <w:bookmarkEnd w:id="72"/>
      <w:r/>
      <w:bookmarkEnd w:id="73"/>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7.1任何要求对征集文件进行澄清的供应商，应在响应文件提交截止期十日前按征集公告中的通讯地址，以书面形式通知征集人。</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4" w:name="_Toc513029212"/>
      <w:r/>
      <w:bookmarkStart w:id="75" w:name="_Toc16938528"/>
      <w:r/>
      <w:bookmarkStart w:id="76" w:name="_Toc462564071"/>
      <w:r/>
      <w:bookmarkStart w:id="77" w:name="_Toc20823284"/>
      <w:r>
        <w:rPr>
          <w:rFonts w:hint="eastAsia" w:ascii="宋体" w:hAnsi="宋体" w:eastAsia="宋体" w:cs="宋体"/>
          <w:b/>
          <w:bCs/>
          <w:color w:val="000000" w:themeColor="text1"/>
          <w:sz w:val="24"/>
          <w:szCs w:val="24"/>
          <w:highlight w:val="none"/>
          <w14:textFill>
            <w14:solidFill>
              <w14:schemeClr w14:val="tx1"/>
            </w14:solidFill>
          </w14:textFill>
        </w:rPr>
        <w:t xml:space="preserve">8、征集文件的修改</w:t>
      </w:r>
      <w:bookmarkEnd w:id="74"/>
      <w:r/>
      <w:bookmarkEnd w:id="75"/>
      <w:r/>
      <w:bookmarkEnd w:id="76"/>
      <w:r/>
      <w:bookmarkEnd w:id="77"/>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8.1在响应文件提交截止时间前，征集人可以对征集文件进行修改。</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有权按照法定的要求推迟响应文件提交截止日期和开启日期。</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8.3征集文件的修改将在江苏政府采购网、盐城市政府采购网公布，补充文件将作为征集文件的组成部分，并对供应商具有约束力。</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8" w:name="_Toc462564072"/>
      <w:r/>
      <w:bookmarkStart w:id="79" w:name="_Toc120614216"/>
      <w:r/>
      <w:bookmarkStart w:id="80" w:name="_Toc20823285"/>
      <w:r/>
      <w:bookmarkStart w:id="81" w:name="_Toc513029213"/>
      <w:r/>
      <w:bookmarkStart w:id="82" w:name="_Toc16938529"/>
      <w:r>
        <w:rPr>
          <w:rFonts w:hint="eastAsia" w:ascii="宋体" w:hAnsi="宋体" w:eastAsia="宋体" w:cs="宋体"/>
          <w:b/>
          <w:bCs/>
          <w:color w:val="000000" w:themeColor="text1"/>
          <w:sz w:val="24"/>
          <w:szCs w:val="24"/>
          <w:highlight w:val="none"/>
          <w14:textFill>
            <w14:solidFill>
              <w14:schemeClr w14:val="tx1"/>
            </w14:solidFill>
          </w14:textFill>
        </w:rPr>
        <w:t xml:space="preserve">三、响应文件的编制</w:t>
      </w:r>
      <w:bookmarkEnd w:id="78"/>
      <w:r/>
      <w:bookmarkEnd w:id="79"/>
      <w:r/>
      <w:bookmarkEnd w:id="80"/>
      <w:r/>
      <w:bookmarkEnd w:id="81"/>
      <w:r/>
      <w:bookmarkEnd w:id="82"/>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83" w:name="_Toc20823286"/>
      <w:r/>
      <w:bookmarkStart w:id="84" w:name="_Toc16938530"/>
      <w:r/>
      <w:bookmarkStart w:id="85" w:name="_Toc462564073"/>
      <w:r/>
      <w:bookmarkStart w:id="86" w:name="_Toc513029214"/>
      <w:r>
        <w:rPr>
          <w:rFonts w:hint="eastAsia" w:ascii="宋体" w:hAnsi="宋体" w:eastAsia="宋体" w:cs="宋体"/>
          <w:b/>
          <w:bCs/>
          <w:color w:val="000000" w:themeColor="text1"/>
          <w:sz w:val="24"/>
          <w:szCs w:val="24"/>
          <w:highlight w:val="none"/>
          <w14:textFill>
            <w14:solidFill>
              <w14:schemeClr w14:val="tx1"/>
            </w14:solidFill>
          </w14:textFill>
        </w:rPr>
        <w:t xml:space="preserve">9、响应文件的语言及度量衡单位</w:t>
      </w:r>
      <w:bookmarkEnd w:id="83"/>
      <w:r/>
      <w:bookmarkEnd w:id="84"/>
      <w:r/>
      <w:bookmarkEnd w:id="85"/>
      <w:r/>
      <w:bookmarkEnd w:id="86"/>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9.1供应商提交的响应文件以及供应商与征集人就采购活动的所有来往通知、函件和文件均应使用简体中文。</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9.2除技术性能另有规定外，响应文件所使用的度量衡单位，均须采用国家法定计量单位。</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87" w:name="_Toc16938531"/>
      <w:r/>
      <w:bookmarkStart w:id="88" w:name="_Toc20823287"/>
      <w:r/>
      <w:bookmarkStart w:id="89" w:name="_Toc513029215"/>
      <w:r/>
      <w:bookmarkStart w:id="90" w:name="_Toc462564074"/>
      <w:r>
        <w:rPr>
          <w:rFonts w:hint="eastAsia" w:ascii="宋体" w:hAnsi="宋体" w:eastAsia="宋体" w:cs="宋体"/>
          <w:b/>
          <w:bCs/>
          <w:color w:val="000000" w:themeColor="text1"/>
          <w:sz w:val="24"/>
          <w:szCs w:val="24"/>
          <w:highlight w:val="none"/>
          <w14:textFill>
            <w14:solidFill>
              <w14:schemeClr w14:val="tx1"/>
            </w14:solidFill>
          </w14:textFill>
        </w:rPr>
        <w:t xml:space="preserve">10、响应文件构成</w:t>
      </w:r>
      <w:bookmarkEnd w:id="87"/>
      <w:r/>
      <w:bookmarkEnd w:id="88"/>
      <w:r/>
      <w:bookmarkEnd w:id="89"/>
      <w:r/>
      <w:bookmarkEnd w:id="90"/>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10.1供应商编写的响应文件应包括资格证明文件、符合性证明文件、其他证明文件、响应函、报价一览表等部分。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10.2如标书制作工具中格式和内容与“江苏政府采购网”发布的征集文件不一致，请以“江苏政府采购网”、“盐城市政府采购网”、发布的征集文件为准。</w:t>
      </w:r>
      <w:bookmarkStart w:id="91" w:name="_Hlt26670360"/>
      <w:r/>
      <w:bookmarkEnd w:id="91"/>
      <w:r/>
      <w:bookmarkStart w:id="92" w:name="_Hlt26954838"/>
      <w:r/>
      <w:bookmarkEnd w:id="92"/>
      <w:r/>
      <w:bookmarkStart w:id="93" w:name="_Hlt26670482"/>
      <w:r/>
      <w:bookmarkEnd w:id="93"/>
      <w:r/>
      <w:bookmarkStart w:id="94" w:name="_Toc513029216"/>
      <w:r/>
      <w:bookmarkEnd w:id="94"/>
      <w:r/>
      <w:bookmarkStart w:id="95" w:name="_Hlt26954731"/>
      <w:r/>
      <w:bookmarkEnd w:id="95"/>
      <w:r/>
      <w:bookmarkStart w:id="96" w:name="_Toc49090507"/>
      <w:r/>
      <w:bookmarkEnd w:id="96"/>
      <w:r/>
      <w:bookmarkStart w:id="97" w:name="_Hlt26954846"/>
      <w:r/>
      <w:bookmarkEnd w:id="97"/>
      <w:r/>
      <w:bookmarkStart w:id="98" w:name="_Toc14577354"/>
      <w:r/>
      <w:bookmarkEnd w:id="98"/>
      <w:r/>
      <w:bookmarkStart w:id="99" w:name="_Hlt26954848"/>
      <w:r/>
      <w:bookmarkEnd w:id="99"/>
      <w:r/>
      <w:bookmarkStart w:id="100" w:name="_Toc49090509"/>
      <w:r/>
      <w:bookmarkEnd w:id="100"/>
      <w:r/>
      <w:bookmarkStart w:id="101" w:name="_Hlt26668975"/>
      <w:r/>
      <w:bookmarkEnd w:id="101"/>
      <w:r/>
      <w:bookmarkStart w:id="102" w:name="_Toc513029219"/>
      <w:r/>
      <w:bookmarkEnd w:id="102"/>
      <w:r/>
      <w:bookmarkStart w:id="103" w:name="_Toc14577357"/>
      <w:r/>
      <w:bookmarkEnd w:id="103"/>
      <w:r/>
      <w:bookmarkStart w:id="104" w:name="_Hlt26670486"/>
      <w:r/>
      <w:bookmarkEnd w:id="104"/>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11、与评审有关的其他资料</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供应商可在响应文件中提供认为需要的其他技术文件或说明。</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12、服务承诺</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需根据</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征集文件</w:t>
      </w:r>
      <w:r>
        <w:rPr>
          <w:rFonts w:hint="eastAsia" w:ascii="宋体" w:hAnsi="宋体" w:eastAsia="宋体" w:cs="宋体"/>
          <w:color w:val="000000" w:themeColor="text1"/>
          <w:sz w:val="24"/>
          <w:szCs w:val="24"/>
          <w:highlight w:val="none"/>
          <w14:textFill>
            <w14:solidFill>
              <w14:schemeClr w14:val="tx1"/>
            </w14:solidFill>
          </w14:textFill>
        </w:rPr>
        <w:t xml:space="preserve">要求提供有关售后服务的管理制度，售后服务机构的分布情况，售后服务人员的数量、素质、技术水平及售后服务的反应能力等。</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05" w:name="_Toc14577359"/>
      <w:r/>
      <w:bookmarkStart w:id="106" w:name="_Toc49090510"/>
      <w:r>
        <w:rPr>
          <w:rFonts w:hint="eastAsia" w:ascii="宋体" w:hAnsi="宋体" w:eastAsia="宋体" w:cs="宋体"/>
          <w:b/>
          <w:bCs/>
          <w:color w:val="000000" w:themeColor="text1"/>
          <w:sz w:val="24"/>
          <w:szCs w:val="24"/>
          <w:highlight w:val="none"/>
          <w14:textFill>
            <w14:solidFill>
              <w14:schemeClr w14:val="tx1"/>
            </w14:solidFill>
          </w14:textFill>
        </w:rPr>
        <w:t xml:space="preserve">13、响应函和报价一览表</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13.1供应商应按照征集文件中提供的格式完整、正确填写响应函、报价一览表。</w:t>
      </w:r>
      <w:bookmarkEnd w:id="105"/>
      <w:r/>
      <w:bookmarkEnd w:id="106"/>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07" w:name="_Toc14577360"/>
      <w:r/>
      <w:bookmarkStart w:id="108" w:name="_Toc49090511"/>
      <w:r>
        <w:rPr>
          <w:rFonts w:hint="eastAsia" w:ascii="宋体" w:hAnsi="宋体" w:eastAsia="宋体" w:cs="宋体"/>
          <w:b/>
          <w:bCs/>
          <w:color w:val="000000" w:themeColor="text1"/>
          <w:sz w:val="24"/>
          <w:szCs w:val="24"/>
          <w:highlight w:val="none"/>
          <w14:textFill>
            <w14:solidFill>
              <w14:schemeClr w14:val="tx1"/>
            </w14:solidFill>
          </w14:textFill>
        </w:rPr>
        <w:t xml:space="preserve">14、响应文件有效期</w:t>
      </w:r>
      <w:bookmarkEnd w:id="107"/>
      <w:r/>
      <w:bookmarkEnd w:id="108"/>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14.1响应文件有效期为征集人规定的开标之日后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九十（90）天</w:t>
      </w:r>
      <w:r>
        <w:rPr>
          <w:rFonts w:hint="eastAsia" w:ascii="宋体" w:hAnsi="宋体" w:eastAsia="宋体" w:cs="宋体"/>
          <w:color w:val="000000" w:themeColor="text1"/>
          <w:sz w:val="24"/>
          <w:szCs w:val="24"/>
          <w:highlight w:val="none"/>
          <w14:textFill>
            <w14:solidFill>
              <w14:schemeClr w14:val="tx1"/>
            </w14:solidFill>
          </w14:textFill>
        </w:rPr>
        <w:t xml:space="preserve">。响应文件有效期比规定短的将被视为未实质性响应征集文件而予以拒绝。</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15、响应文件有效期的延长</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在特殊情况下，征集人于原响应文件有效期满之前，可向供应商提出延长响应文件有效期的要求。这种要求与答复均应采用书面形式。供应商可以拒绝征集人的这一要求而放弃参加采购活动，同意延长响应文件有效期的供应商既不能要求也不允许修改其响应文件。受响应文件有效期约束的所有权利与义务均延长至新的有效期。</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09" w:name="_Hlt26954739"/>
      <w:r/>
      <w:bookmarkEnd w:id="109"/>
      <w:r/>
      <w:bookmarkStart w:id="110" w:name="_Hlt26954852"/>
      <w:r/>
      <w:bookmarkEnd w:id="110"/>
      <w:r/>
      <w:bookmarkStart w:id="111" w:name="_Toc120614217"/>
      <w:r/>
      <w:bookmarkStart w:id="112" w:name="_Toc20823296"/>
      <w:r/>
      <w:bookmarkStart w:id="113" w:name="_Toc16938540"/>
      <w:r/>
      <w:bookmarkStart w:id="114" w:name="_Toc513029224"/>
      <w:r>
        <w:rPr>
          <w:rFonts w:hint="eastAsia" w:ascii="宋体" w:hAnsi="宋体" w:eastAsia="宋体" w:cs="宋体"/>
          <w:b/>
          <w:bCs/>
          <w:color w:val="000000" w:themeColor="text1"/>
          <w:sz w:val="24"/>
          <w:szCs w:val="24"/>
          <w:highlight w:val="none"/>
          <w14:textFill>
            <w14:solidFill>
              <w14:schemeClr w14:val="tx1"/>
            </w14:solidFill>
          </w14:textFill>
        </w:rPr>
        <w:t xml:space="preserve">四、响应文件的递交</w:t>
      </w:r>
      <w:bookmarkEnd w:id="111"/>
      <w:r/>
      <w:bookmarkEnd w:id="112"/>
      <w:r/>
      <w:bookmarkEnd w:id="113"/>
      <w:r/>
      <w:bookmarkEnd w:id="114"/>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15" w:name="_Toc513029225"/>
      <w:r/>
      <w:bookmarkStart w:id="116" w:name="_Toc16938541"/>
      <w:r/>
      <w:bookmarkStart w:id="117" w:name="_Toc20823297"/>
      <w:r/>
      <w:bookmarkStart w:id="118" w:name="_Toc462564084"/>
      <w:r>
        <w:rPr>
          <w:rFonts w:hint="eastAsia" w:ascii="宋体" w:hAnsi="宋体" w:eastAsia="宋体" w:cs="宋体"/>
          <w:b/>
          <w:bCs/>
          <w:color w:val="000000" w:themeColor="text1"/>
          <w:sz w:val="24"/>
          <w:szCs w:val="24"/>
          <w:highlight w:val="none"/>
          <w14:textFill>
            <w14:solidFill>
              <w14:schemeClr w14:val="tx1"/>
            </w14:solidFill>
          </w14:textFill>
        </w:rPr>
        <w:t xml:space="preserve">16、电子响应文件</w:t>
      </w:r>
      <w:bookmarkEnd w:id="115"/>
      <w:r/>
      <w:bookmarkEnd w:id="116"/>
      <w:r/>
      <w:bookmarkEnd w:id="117"/>
      <w:r/>
      <w:bookmarkEnd w:id="118"/>
      <w:r>
        <w:rPr>
          <w:rFonts w:hint="eastAsia" w:ascii="宋体" w:hAnsi="宋体" w:eastAsia="宋体" w:cs="宋体"/>
          <w:b/>
          <w:bCs/>
          <w:color w:val="000000" w:themeColor="text1"/>
          <w:sz w:val="24"/>
          <w:szCs w:val="24"/>
          <w:highlight w:val="none"/>
          <w14:textFill>
            <w14:solidFill>
              <w14:schemeClr w14:val="tx1"/>
            </w14:solidFill>
          </w14:textFill>
        </w:rPr>
        <w:t xml:space="preserve">的递交</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16.1供应商应当按照《操作手册》规定，在响应文件提交截止时间前制作并上传电子响应文件。</w:t>
      </w:r>
      <w:bookmarkStart w:id="119" w:name="_Toc16938542"/>
      <w:r/>
      <w:bookmarkStart w:id="120" w:name="_Toc20823298"/>
      <w:r/>
      <w:bookmarkStart w:id="121" w:name="_Toc513029226"/>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17、</w:t>
      </w:r>
      <w:bookmarkEnd w:id="119"/>
      <w:r/>
      <w:bookmarkEnd w:id="120"/>
      <w:r/>
      <w:bookmarkEnd w:id="121"/>
      <w:r>
        <w:rPr>
          <w:rFonts w:hint="eastAsia" w:ascii="宋体" w:hAnsi="宋体" w:eastAsia="宋体" w:cs="宋体"/>
          <w:b/>
          <w:bCs/>
          <w:color w:val="000000" w:themeColor="text1"/>
          <w:sz w:val="24"/>
          <w:szCs w:val="24"/>
          <w:highlight w:val="none"/>
          <w14:textFill>
            <w14:solidFill>
              <w14:schemeClr w14:val="tx1"/>
            </w14:solidFill>
          </w14:textFill>
        </w:rPr>
        <w:t xml:space="preserve">响应文件提交截止时间</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17.1供应商上传电子响应文件的时间不得迟于征集公告中规定的截止时间。</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供应商应充分考虑到网络环境、网络带宽等风险因素，如因供应商自身原因造成的电子响应文件上传不成功的按照本征集文件第二章第25.1.2条规定做无效响应处理。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17.2征集人可以按照规定，通过修改征集文件酌情延长截止日期，在此情况下，供应商的所有权利和义务以及供应商受制的截止日期均应以延长后新的截止日期为准。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2" w:name="_Toc20823299"/>
      <w:r/>
      <w:bookmarkStart w:id="123" w:name="_Toc513029227"/>
      <w:r/>
      <w:bookmarkStart w:id="124" w:name="_Toc16938543"/>
      <w:r>
        <w:rPr>
          <w:rFonts w:hint="eastAsia" w:ascii="宋体" w:hAnsi="宋体" w:eastAsia="宋体" w:cs="宋体"/>
          <w:b/>
          <w:bCs/>
          <w:color w:val="000000" w:themeColor="text1"/>
          <w:sz w:val="24"/>
          <w:szCs w:val="24"/>
          <w:highlight w:val="none"/>
          <w14:textFill>
            <w14:solidFill>
              <w14:schemeClr w14:val="tx1"/>
            </w14:solidFill>
          </w14:textFill>
        </w:rPr>
        <w:t xml:space="preserve">18、</w:t>
      </w:r>
      <w:bookmarkEnd w:id="122"/>
      <w:r/>
      <w:bookmarkEnd w:id="123"/>
      <w:r/>
      <w:bookmarkEnd w:id="124"/>
      <w:r>
        <w:rPr>
          <w:rFonts w:hint="eastAsia" w:ascii="宋体" w:hAnsi="宋体" w:eastAsia="宋体" w:cs="宋体"/>
          <w:b/>
          <w:bCs/>
          <w:color w:val="000000" w:themeColor="text1"/>
          <w:sz w:val="24"/>
          <w:szCs w:val="24"/>
          <w:highlight w:val="none"/>
          <w14:textFill>
            <w14:solidFill>
              <w14:schemeClr w14:val="tx1"/>
            </w14:solidFill>
          </w14:textFill>
        </w:rPr>
        <w:t xml:space="preserve">响应文件的拒收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18.1征集人拒绝接收在其规定的响应文件提交截止时间后上传的任何响应文件。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5" w:name="_Toc20823300"/>
      <w:r/>
      <w:bookmarkStart w:id="126" w:name="_Toc16938544"/>
      <w:r/>
      <w:bookmarkStart w:id="127" w:name="_Toc513029228"/>
      <w:r>
        <w:rPr>
          <w:rFonts w:hint="eastAsia" w:ascii="宋体" w:hAnsi="宋体" w:eastAsia="宋体" w:cs="宋体"/>
          <w:b/>
          <w:bCs/>
          <w:color w:val="000000" w:themeColor="text1"/>
          <w:sz w:val="24"/>
          <w:szCs w:val="24"/>
          <w:highlight w:val="none"/>
          <w14:textFill>
            <w14:solidFill>
              <w14:schemeClr w14:val="tx1"/>
            </w14:solidFill>
          </w14:textFill>
        </w:rPr>
        <w:t xml:space="preserve">19、响应文件的撤回和修改</w:t>
      </w:r>
      <w:bookmarkEnd w:id="125"/>
      <w:r/>
      <w:bookmarkEnd w:id="126"/>
      <w:r/>
      <w:bookmarkEnd w:id="127"/>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19.1响应文件的撤回</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19.1.1电子响应文件的撤回</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供应商可在响应文件提交截止时间前，撤回其电子响应文件，具体操作方法见《操作手册》。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19.1.2供应商撤回电子响应文件，则认为其不再参与本项采购活动。</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19.2响应文件的修改</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供应商可在响应文件提交截止时间前，对其电子响应文件进行修改，具体操作方法见《操作手册》。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19.3在响应文件提交截止时间之后，供应商不得对其电子响应文件作任何修改。</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19.4在响应文件提交截止时间至征集文件中规定的响应文件有效期满之间的这段时间内，供应商不得撤回其电子响应文件。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8" w:name="_Toc16938545"/>
      <w:r/>
      <w:bookmarkStart w:id="129" w:name="_Toc513029229"/>
      <w:r/>
      <w:bookmarkStart w:id="130" w:name="_Toc120614218"/>
      <w:r/>
      <w:bookmarkStart w:id="131" w:name="_Toc20823301"/>
      <w:r>
        <w:rPr>
          <w:rFonts w:hint="eastAsia" w:ascii="宋体" w:hAnsi="宋体" w:eastAsia="宋体" w:cs="宋体"/>
          <w:b/>
          <w:bCs/>
          <w:color w:val="000000" w:themeColor="text1"/>
          <w:sz w:val="24"/>
          <w:szCs w:val="24"/>
          <w:highlight w:val="none"/>
          <w14:textFill>
            <w14:solidFill>
              <w14:schemeClr w14:val="tx1"/>
            </w14:solidFill>
          </w14:textFill>
        </w:rPr>
        <w:t xml:space="preserve">五、响应文件的开启与</w:t>
      </w:r>
      <w:bookmarkEnd w:id="128"/>
      <w:r/>
      <w:bookmarkEnd w:id="129"/>
      <w:r/>
      <w:bookmarkEnd w:id="130"/>
      <w:r/>
      <w:bookmarkEnd w:id="131"/>
      <w:r>
        <w:rPr>
          <w:rFonts w:hint="eastAsia" w:ascii="宋体" w:hAnsi="宋体" w:eastAsia="宋体" w:cs="宋体"/>
          <w:b/>
          <w:bCs/>
          <w:color w:val="000000" w:themeColor="text1"/>
          <w:sz w:val="24"/>
          <w:szCs w:val="24"/>
          <w:highlight w:val="none"/>
          <w14:textFill>
            <w14:solidFill>
              <w14:schemeClr w14:val="tx1"/>
            </w14:solidFill>
          </w14:textFill>
        </w:rPr>
        <w:t xml:space="preserve">评审</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32" w:name="_Toc513029230"/>
      <w:r/>
      <w:bookmarkStart w:id="133" w:name="_Toc16938546"/>
      <w:r/>
      <w:bookmarkStart w:id="134" w:name="_Toc20823302"/>
      <w:r>
        <w:rPr>
          <w:rFonts w:hint="eastAsia" w:ascii="宋体" w:hAnsi="宋体" w:eastAsia="宋体" w:cs="宋体"/>
          <w:b/>
          <w:bCs/>
          <w:color w:val="000000" w:themeColor="text1"/>
          <w:sz w:val="24"/>
          <w:szCs w:val="24"/>
          <w:highlight w:val="none"/>
          <w14:textFill>
            <w14:solidFill>
              <w14:schemeClr w14:val="tx1"/>
            </w14:solidFill>
          </w14:textFill>
        </w:rPr>
        <w:t xml:space="preserve">20、</w:t>
      </w:r>
      <w:bookmarkEnd w:id="132"/>
      <w:r/>
      <w:bookmarkEnd w:id="133"/>
      <w:r/>
      <w:bookmarkEnd w:id="134"/>
      <w:r>
        <w:rPr>
          <w:rFonts w:hint="eastAsia" w:ascii="宋体" w:hAnsi="宋体" w:eastAsia="宋体" w:cs="宋体"/>
          <w:b/>
          <w:bCs/>
          <w:color w:val="000000" w:themeColor="text1"/>
          <w:sz w:val="24"/>
          <w:szCs w:val="24"/>
          <w:highlight w:val="none"/>
          <w14:textFill>
            <w14:solidFill>
              <w14:schemeClr w14:val="tx1"/>
            </w14:solidFill>
          </w14:textFill>
        </w:rPr>
        <w:t xml:space="preserve">响应文件的开启</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将在征集公告中规定的时间和地点组织开启响应文件。供应商应当按照《操作手册》规定，参加响应文件开启和在“苏采云”系统规定的时间内对电子响应文件进行解密。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20.2响应文件开启仪式由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组织,苏采云系统将自动公布各供应商的报价。</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20.3供应商在响应文件开启过程中涉及到的响应文件解密、结果确认等工作，应按照《操作手册》规定执行。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20.4供应商如果对响应文件开启过程和开启记录有疑义，应当根据《操作手册》规定提出，如“苏采云”系统中《报价一览表》宣布后5分钟内未提出的，视同认可开启结果。</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35" w:name="_Toc16938547"/>
      <w:r/>
      <w:bookmarkStart w:id="136" w:name="_Toc513029231"/>
      <w:r/>
      <w:bookmarkStart w:id="137" w:name="_Toc20823303"/>
      <w:r>
        <w:rPr>
          <w:rFonts w:hint="eastAsia" w:ascii="宋体" w:hAnsi="宋体" w:eastAsia="宋体" w:cs="宋体"/>
          <w:b/>
          <w:bCs/>
          <w:color w:val="000000" w:themeColor="text1"/>
          <w:sz w:val="24"/>
          <w:szCs w:val="24"/>
          <w:highlight w:val="none"/>
          <w14:textFill>
            <w14:solidFill>
              <w14:schemeClr w14:val="tx1"/>
            </w14:solidFill>
          </w14:textFill>
        </w:rPr>
        <w:t xml:space="preserve">21、评审小组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21.1响应文件开启后，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将立即组织评审小组进行项目评审。</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21.2评审小组由技术、经济等方面的专家组成，且人员构成符合政府采购有关规定。</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21.3评审小组独立工作，负责评审所有响应文件并确定入围供应商。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22、评审过程的保密与公正</w:t>
      </w:r>
      <w:bookmarkEnd w:id="135"/>
      <w:r/>
      <w:bookmarkEnd w:id="136"/>
      <w:r/>
      <w:bookmarkEnd w:id="137"/>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22.1凡是与审查、澄清、评价和比较的有关资料以及授标建议等，</w:t>
      </w:r>
      <w:r>
        <w:rPr>
          <w:rFonts w:hint="eastAsia" w:ascii="宋体" w:hAnsi="宋体" w:cs="宋体"/>
          <w:color w:val="000000" w:themeColor="text1"/>
          <w:sz w:val="24"/>
          <w:szCs w:val="24"/>
          <w:highlight w:val="none"/>
          <w:lang w:eastAsia="zh-CN"/>
          <w14:textFill>
            <w14:solidFill>
              <w14:schemeClr w14:val="tx1"/>
            </w14:solidFill>
          </w14:textFill>
        </w:rPr>
        <w:t xml:space="preserve">评审小组成员、征集人</w:t>
      </w:r>
      <w:r>
        <w:rPr>
          <w:rFonts w:hint="eastAsia" w:ascii="宋体" w:hAnsi="宋体" w:eastAsia="宋体" w:cs="宋体"/>
          <w:color w:val="000000" w:themeColor="text1"/>
          <w:sz w:val="24"/>
          <w:szCs w:val="24"/>
          <w:highlight w:val="none"/>
          <w14:textFill>
            <w14:solidFill>
              <w14:schemeClr w14:val="tx1"/>
            </w14:solidFill>
          </w14:textFill>
        </w:rPr>
        <w:t xml:space="preserve">均不得向供应商或与评审工作无关的其他人员透露。</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22.2在评审过程中，供应商不得以任何行为影响评审过程，否则其响应文件将被作为无效响应文件。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和评标委员会不向未中标的投标人解释未中标原因，也不公布评标过程中的相关细节。</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38" w:name="_Toc20823304"/>
      <w:r/>
      <w:bookmarkStart w:id="139" w:name="_Toc513029232"/>
      <w:r/>
      <w:bookmarkStart w:id="140" w:name="_Toc16938548"/>
      <w:r>
        <w:rPr>
          <w:rFonts w:hint="eastAsia" w:ascii="宋体" w:hAnsi="宋体" w:eastAsia="宋体" w:cs="宋体"/>
          <w:b/>
          <w:bCs/>
          <w:color w:val="000000" w:themeColor="text1"/>
          <w:sz w:val="24"/>
          <w:szCs w:val="24"/>
          <w:highlight w:val="none"/>
          <w14:textFill>
            <w14:solidFill>
              <w14:schemeClr w14:val="tx1"/>
            </w14:solidFill>
          </w14:textFill>
        </w:rPr>
        <w:t xml:space="preserve">23、响应文件的澄清</w:t>
      </w:r>
      <w:bookmarkEnd w:id="138"/>
      <w:r/>
      <w:bookmarkEnd w:id="139"/>
      <w:r/>
      <w:bookmarkEnd w:id="140"/>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23.1评审期间，对于响应文件中含义不明确、同类问题表述不一致或者有明显文字和计算错误的内容，评审小组将在苏采云系统中要求供应商作出必要的澄清、说明和补正。</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收到评审小组澄清、说明和补正要求的供应商应派人按评审小组规定的时间和格式在苏采云系统中做出澄清、说明和补正，并加盖CA电子公章。澄清、说明或者补正不得超出征集文件的范围或者改变响应文件的实质性内容。具体操作方式见《操作手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23.3供应商如未按规定做出澄清、说明和补正，其风险由供应商自行承担。</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41" w:name="_Toc513029233"/>
      <w:r/>
      <w:bookmarkStart w:id="142" w:name="_Toc16938549"/>
      <w:r/>
      <w:bookmarkStart w:id="143" w:name="_Toc20823305"/>
      <w:r>
        <w:rPr>
          <w:rFonts w:hint="eastAsia" w:ascii="宋体" w:hAnsi="宋体" w:eastAsia="宋体" w:cs="宋体"/>
          <w:b/>
          <w:bCs/>
          <w:color w:val="000000" w:themeColor="text1"/>
          <w:sz w:val="24"/>
          <w:szCs w:val="24"/>
          <w:highlight w:val="none"/>
          <w14:textFill>
            <w14:solidFill>
              <w14:schemeClr w14:val="tx1"/>
            </w14:solidFill>
          </w14:textFill>
        </w:rPr>
        <w:t xml:space="preserve">24、对响应文件的初审</w:t>
      </w:r>
      <w:bookmarkEnd w:id="141"/>
      <w:r/>
      <w:bookmarkEnd w:id="142"/>
      <w:r/>
      <w:bookmarkEnd w:id="143"/>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24.1响应文件初审分为资格审查和符合性审查。</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24.1.1资格审查：依据法律法规和征集文件规定的资格要求对供应商的资格证明文件进行审查。</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在进行资格审查的同时，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将在“信用中国”网站（www.creditchina.gov.cn）查询供应商的信用记录，以确定供应商是否具备参加本次采购活动的资格。查询结果将以网页打印的形式留存并归档。</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24.1.2符合性审查：依据征集文件的规定，由评审小组从响应文件的有效性、完整性和对征集文件的响应程度进行审查，以确定是否对征集文件的实质性要求作出响应。</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24.1.3未通过资格审查或符合性审查的供应商，征集人将在“苏采云”系统中告知未通过资格审查或符合性审查的原因，评审结束后，征集人将不再告知未通过资格审查或符合性审查的原因。</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24.2在详细评审之前，评审小组将首先审查每份响应文件是否实质性响应了征集文件的要求。实质性响应是与征集文件要求的全部条款、条件和规格相符，没有重大偏离或保留的响应。</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24.3如果响应文件实质上没有响应征集文件的要求，评审小组将予以拒绝，供应商不得通过修改或撤销不合要求的偏离或保留而使其响应文件成为实质性响应文件。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24.4评审小组将允许修正响应文件中不构成重大偏离的、微小的、非正规的、不一致的或不规则的地方，但这些修改不能影响任何供应商相应的名次排列。</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w:t>
      </w:r>
      <w:bookmarkStart w:id="144" w:name="_Toc20823306"/>
      <w:r/>
      <w:bookmarkStart w:id="145" w:name="_Toc513029234"/>
      <w:r/>
      <w:bookmarkStart w:id="146" w:name="_Toc16938550"/>
      <w:r>
        <w:rPr>
          <w:rFonts w:hint="eastAsia" w:ascii="宋体" w:hAnsi="宋体" w:eastAsia="宋体" w:cs="宋体"/>
          <w:color w:val="000000" w:themeColor="text1"/>
          <w:sz w:val="24"/>
          <w:szCs w:val="24"/>
          <w:highlight w:val="none"/>
          <w14:textFill>
            <w14:solidFill>
              <w14:schemeClr w14:val="tx1"/>
            </w14:solidFill>
          </w14:textFill>
        </w:rPr>
        <w:t xml:space="preserve">5供应商在响应文件开启及项目评审全过程中应保持通讯畅通，及时登录“苏采云”系统查阅、答复相关信息，并安排专人与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及评审小组联系。</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25、</w:t>
      </w:r>
      <w:bookmarkEnd w:id="144"/>
      <w:r/>
      <w:bookmarkEnd w:id="145"/>
      <w:r/>
      <w:bookmarkEnd w:id="146"/>
      <w:r>
        <w:rPr>
          <w:rFonts w:hint="eastAsia" w:ascii="宋体" w:hAnsi="宋体" w:eastAsia="宋体" w:cs="宋体"/>
          <w:b/>
          <w:bCs/>
          <w:color w:val="000000" w:themeColor="text1"/>
          <w:sz w:val="24"/>
          <w:szCs w:val="24"/>
          <w:highlight w:val="none"/>
          <w14:textFill>
            <w14:solidFill>
              <w14:schemeClr w14:val="tx1"/>
            </w14:solidFill>
          </w14:textFill>
        </w:rPr>
        <w:t xml:space="preserve">无效响应条款和采购活动终止条款</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47" w:name="_Toc120614219"/>
      <w:r/>
      <w:bookmarkStart w:id="148" w:name="_Toc20823307"/>
      <w:r/>
      <w:bookmarkStart w:id="149" w:name="_Toc513029235"/>
      <w:r/>
      <w:bookmarkStart w:id="150" w:name="_Toc16938551"/>
      <w:r>
        <w:rPr>
          <w:rFonts w:hint="eastAsia" w:ascii="宋体" w:hAnsi="宋体" w:eastAsia="宋体" w:cs="宋体"/>
          <w:color w:val="000000" w:themeColor="text1"/>
          <w:sz w:val="24"/>
          <w:szCs w:val="24"/>
          <w:highlight w:val="none"/>
          <w14:textFill>
            <w14:solidFill>
              <w14:schemeClr w14:val="tx1"/>
            </w14:solidFill>
          </w14:textFill>
        </w:rPr>
        <w:t xml:space="preserve">25.1无效响应条款</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25.1.1供应商在“苏采云”系统规定的时间内未成功解密电子响应文件的。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25.1.2 供应商未按照征集文件要求上传电子响应文件的。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25.1.3供应商同一分包提交两个（含两个）以上不同的报价的。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25.1.4供应商不具备征集文件中规定资格要求的。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25.1.5供应商未通过符合性审查的。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25.1.6不符合征集文件中规定的实质性要求和条件的。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25.1.8 响应文件含有征集人不能接受的附加条件的。</w:t>
      </w:r>
      <w:r/>
    </w:p>
    <w:p>
      <w:pPr>
        <w:ind w:firstLine="420"/>
        <w:keepLines w:val="0"/>
        <w:keepNext w:val="0"/>
        <w:pageBreakBefore w:val="0"/>
        <w:spacing w:line="50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9投标人不能证明其报价合理性的，评标委员会应当将其作为无效投标处理。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评审过程中出现下列情形之一的，评审委员会应当启动异常低价投标审查程序：</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1" w:name="OLE_LINK56"/>
      <w:r/>
      <w:bookmarkStart w:id="152" w:name="OLE_LINK57"/>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投标报价低于采购项目最高限价45%的，即</w:t>
      </w:r>
      <w:r>
        <w:rPr>
          <w:rFonts w:hint="eastAsia" w:ascii="宋体" w:hAnsi="宋体" w:eastAsia="宋体" w:cs="宋体"/>
          <w:color w:val="000000"/>
          <w:sz w:val="24"/>
          <w:szCs w:val="24"/>
          <w:highlight w:val="none"/>
          <w:lang w:val="en-US" w:eastAsia="zh-CN" w:bidi="ar-SA"/>
        </w:rPr>
        <w:t xml:space="preserve">投标报价&lt;采购项目最高限价×45%</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评审委员会认定的供应商报价过低、有可能影响产品质量或者不能诚信履约的其他情形。</w:t>
      </w:r>
      <w:bookmarkEnd w:id="151"/>
      <w:r/>
      <w:bookmarkEnd w:id="152"/>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启动异常低价投标审查后，评审委员会应当要求相关供应商在评标现场合理的时间内，提供项目具体成本测算等与报价合理性相关的书面说明及相关证明材料，对投标价格作出解释，由评审委员会结合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 本项目采购产品被财政部、国家发改委、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25.1.1</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响应文件未按照征集文件要求加盖电子签章。</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其他法律、法规及本征集文件规定的属无效响应的情形。</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25.2采购活动终止条款</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25.2.1出现影响采购公正的违法、违规行为。</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25.2.2因重大变故，采购任务取消的。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25.2.3评审小组认定征集文件存在歧义、重大缺陷导致评审工作无法进行。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25.2.4 因苏采云系统系统故障原因造成响应文件开启不成功的。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25.2.5 提交响应文件和通过资格审查、符合性审查的供应商数量少于2家。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六、</w:t>
      </w:r>
      <w:bookmarkEnd w:id="147"/>
      <w:r/>
      <w:bookmarkEnd w:id="148"/>
      <w:r/>
      <w:bookmarkEnd w:id="149"/>
      <w:r/>
      <w:bookmarkEnd w:id="150"/>
      <w:r>
        <w:rPr>
          <w:rFonts w:hint="eastAsia" w:ascii="宋体" w:hAnsi="宋体" w:eastAsia="宋体" w:cs="宋体"/>
          <w:b/>
          <w:bCs/>
          <w:color w:val="000000" w:themeColor="text1"/>
          <w:sz w:val="24"/>
          <w:szCs w:val="24"/>
          <w:highlight w:val="none"/>
          <w14:textFill>
            <w14:solidFill>
              <w14:schemeClr w14:val="tx1"/>
            </w14:solidFill>
          </w14:textFill>
        </w:rPr>
        <w:t xml:space="preserve">入围</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3" w:name="_Toc513029238"/>
      <w:r/>
      <w:bookmarkStart w:id="154" w:name="_Toc16938554"/>
      <w:r/>
      <w:bookmarkStart w:id="155" w:name="_Toc20823310"/>
      <w:r>
        <w:rPr>
          <w:rFonts w:hint="eastAsia" w:ascii="宋体" w:hAnsi="宋体" w:eastAsia="宋体" w:cs="宋体"/>
          <w:b/>
          <w:bCs/>
          <w:color w:val="000000" w:themeColor="text1"/>
          <w:sz w:val="24"/>
          <w:szCs w:val="24"/>
          <w:highlight w:val="none"/>
          <w14:textFill>
            <w14:solidFill>
              <w14:schemeClr w14:val="tx1"/>
            </w14:solidFill>
          </w14:textFill>
        </w:rPr>
        <w:t xml:space="preserve">26、</w:t>
      </w:r>
      <w:bookmarkEnd w:id="153"/>
      <w:r>
        <w:rPr>
          <w:rFonts w:hint="eastAsia" w:ascii="宋体" w:hAnsi="宋体" w:eastAsia="宋体" w:cs="宋体"/>
          <w:b/>
          <w:bCs/>
          <w:color w:val="000000" w:themeColor="text1"/>
          <w:sz w:val="24"/>
          <w:szCs w:val="24"/>
          <w:highlight w:val="none"/>
          <w14:textFill>
            <w14:solidFill>
              <w14:schemeClr w14:val="tx1"/>
            </w14:solidFill>
          </w14:textFill>
        </w:rPr>
        <w:t xml:space="preserve">确定</w:t>
      </w:r>
      <w:bookmarkEnd w:id="154"/>
      <w:r/>
      <w:bookmarkEnd w:id="155"/>
      <w:r>
        <w:rPr>
          <w:rFonts w:hint="eastAsia" w:ascii="宋体" w:hAnsi="宋体" w:eastAsia="宋体" w:cs="宋体"/>
          <w:b/>
          <w:bCs/>
          <w:color w:val="000000" w:themeColor="text1"/>
          <w:sz w:val="24"/>
          <w:szCs w:val="24"/>
          <w:highlight w:val="none"/>
          <w14:textFill>
            <w14:solidFill>
              <w14:schemeClr w14:val="tx1"/>
            </w14:solidFill>
          </w14:textFill>
        </w:rPr>
        <w:t xml:space="preserve">入围供应商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26.1入围供应商的选取原则和数量见征集文件第五章规定。</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将在“中国政府采购网”、“江苏政府采购网”、“盐城市政府采购网”发布“入围结果公告”，公告期限为1个工作日。</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26.3入围供应商有下列情形之一，尚未签订框架协议的，取消其入围资格；已经签订框架协议的，解除与其签订的框架协议：</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26.3.1恶意串通谋取入围或者合同成交的。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26.3.2提供虚假材料谋取入围或者合同成交的。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26.3.3无正当理由拒不接受合同授予的。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26.3.4不履行合同义务或者履行合同义务不符合约定，经采购人请求履行后仍不履行或者仍未按约定履行的。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26.3.5框架协议有效期内，因违法行为被禁止或限制参加政府采购活动的。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26.3.6框架协议约定的其他情形。</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26.3.7被取消入围资格或者被解除框架协议的供应商不得参加同一封闭式框架协议补充征集。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6" w:name="_Toc200451960"/>
      <w:r>
        <w:rPr>
          <w:rFonts w:hint="eastAsia" w:ascii="宋体" w:hAnsi="宋体" w:eastAsia="宋体" w:cs="宋体"/>
          <w:b/>
          <w:bCs/>
          <w:color w:val="000000" w:themeColor="text1"/>
          <w:sz w:val="24"/>
          <w:szCs w:val="24"/>
          <w:highlight w:val="none"/>
          <w14:textFill>
            <w14:solidFill>
              <w14:schemeClr w14:val="tx1"/>
            </w14:solidFill>
          </w14:textFill>
        </w:rPr>
        <w:t xml:space="preserve">27、质疑处理</w:t>
      </w:r>
      <w:bookmarkEnd w:id="156"/>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27.1提出质疑的供应商应当是参与所质疑封闭式框架协议项目采购活动的供应商。潜在供应商依法获取其可质疑的征集文件的，可以对征集文件提出质疑。</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27.2供应商认为征集文件、采购过程和入围结果使自己的权益受到损害的，可以在知道或应知其权益受到损害之日起七个工作日内，以书面形式向征集人提出质疑。上述应知其权益受到损害之日，是指：</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27.2.1对可以质疑的征集文件提出质疑的，为收到征集文件之日或者征集文件公告期限届满之日；</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27.2.2对采购过程提出质疑的，为各采购程序环节结束之日；</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27.2.3对入围结果提出质疑的，为入围结果公告期限届满之日。</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供应商应当在法定质疑期内一次性提出针对同一征集程序环节的质疑。供应商如在法定期限内对同一征集程序环节提出多次质疑的，征集人将只对供应商第一次质疑作出答复。</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27.3质疑函必须按照本征集文件中《质疑函范本》要求的格式和内容进行填写。</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27.4征集人只接收以纸质原件形式送达的质疑,不接受未填写快递运单的快件。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27.5以下情形的质疑不予受理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27.5.1内容不符合《政府采购质疑和投诉办法》第十二条规定的质疑。</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27.5.2超出政府采购法定期限的质疑。</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27.5.3以传真、电子邮件等方式递交的非原件形式的质疑。</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27.5.4未参加采购活动的供应商或在采购活动中自身权益未受到损害的供应商所提出的质疑。</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27.5.5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28、入围通知书</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28.1入围结果确定后，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28.2入围通知书将是框架协议的一个组成部分。对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和入围供应商均具有法律效力。入围通知书发出后，入围供应商无正当理由，不得主动放弃入围资格或者退出框架协议，否则应当依法承担法律责任。</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7" w:name="_Toc120614220"/>
      <w:r/>
      <w:bookmarkStart w:id="158" w:name="_Toc16938552"/>
      <w:r/>
      <w:bookmarkStart w:id="159" w:name="_Toc513029236"/>
      <w:r/>
      <w:bookmarkStart w:id="160" w:name="_Toc20823308"/>
      <w:r>
        <w:rPr>
          <w:rFonts w:hint="eastAsia" w:ascii="宋体" w:hAnsi="宋体" w:eastAsia="宋体" w:cs="宋体"/>
          <w:b/>
          <w:bCs/>
          <w:color w:val="000000" w:themeColor="text1"/>
          <w:sz w:val="24"/>
          <w:szCs w:val="24"/>
          <w:highlight w:val="none"/>
          <w14:textFill>
            <w14:solidFill>
              <w14:schemeClr w14:val="tx1"/>
            </w14:solidFill>
          </w14:textFill>
        </w:rPr>
        <w:t xml:space="preserve">七、</w:t>
      </w:r>
      <w:bookmarkEnd w:id="157"/>
      <w:r>
        <w:rPr>
          <w:rFonts w:hint="eastAsia" w:ascii="宋体" w:hAnsi="宋体" w:eastAsia="宋体" w:cs="宋体"/>
          <w:b/>
          <w:bCs/>
          <w:color w:val="000000" w:themeColor="text1"/>
          <w:sz w:val="24"/>
          <w:szCs w:val="24"/>
          <w:highlight w:val="none"/>
          <w14:textFill>
            <w14:solidFill>
              <w14:schemeClr w14:val="tx1"/>
            </w14:solidFill>
          </w14:textFill>
        </w:rPr>
        <w:t xml:space="preserve">签订框架协议</w:t>
      </w:r>
      <w:bookmarkEnd w:id="158"/>
      <w:r/>
      <w:bookmarkEnd w:id="159"/>
      <w:r/>
      <w:bookmarkEnd w:id="160"/>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1" w:name="_Toc513029237"/>
      <w:r/>
      <w:bookmarkStart w:id="162" w:name="_Toc16938553"/>
      <w:r/>
      <w:bookmarkStart w:id="163" w:name="_Toc20823309"/>
      <w:r>
        <w:rPr>
          <w:rFonts w:hint="eastAsia" w:ascii="宋体" w:hAnsi="宋体" w:eastAsia="宋体" w:cs="宋体"/>
          <w:b/>
          <w:bCs/>
          <w:color w:val="000000" w:themeColor="text1"/>
          <w:sz w:val="24"/>
          <w:szCs w:val="24"/>
          <w:highlight w:val="none"/>
          <w14:textFill>
            <w14:solidFill>
              <w14:schemeClr w14:val="tx1"/>
            </w14:solidFill>
          </w14:textFill>
        </w:rPr>
        <w:t xml:space="preserve">29、签订框架协议</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29.l征集人在入围通知书发出之日起30日内和入围供应商签订电子框架协议，入围供应商在接到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29.2征集文件、入围供应商的响应文件及评审过程中有关澄清、承诺文件均应作为框架协议的附件。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授权分支机构应承担相应赔偿责任。</w:t>
      </w:r>
      <w:bookmarkEnd w:id="161"/>
      <w:r/>
      <w:bookmarkEnd w:id="162"/>
      <w:r/>
      <w:bookmarkEnd w:id="163"/>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八、入围供应商的清退和补充规则</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30.2补充规则：剩余入围供应商不足入围供应商总数70%且影响框架协议执行的，将按相关规定进行补充征集供应商。补充征集的条件、程序、评审方法和淘汰比例与初次征集相同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补充征集遵守原框架协议的有效期</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补充征集期间，原框架协议继续履行。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九、其他</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31.1严格执行政府采购关于支持</w:t>
      </w:r>
      <w:r>
        <w:rPr>
          <w:rFonts w:hint="eastAsia" w:ascii="宋体" w:hAnsi="宋体" w:eastAsia="宋体" w:cs="宋体"/>
          <w:color w:val="000000" w:themeColor="text1"/>
          <w:sz w:val="24"/>
          <w:szCs w:val="24"/>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31.2供应商对于投标产品的商品包装、快递包装应按照“关于印发《商品包装政府采购需求标准（试行）》、《快递包装政府采购需求标准（试行）》的通知”（财办库〔2020〕123号）执行。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31.3本文件中若涉及到数据中心采购，应按照《&lt;绿色数据中心政府采购需求标准（试行）&gt;的通知》（财库〔2023〕7号）执行。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31.4征集人将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31.5入围供应商可以委托一家或者授权分支机构，按照框架协议约定接受采购人合同授予，并履行采购合同。</w:t>
      </w:r>
      <w:bookmarkStart w:id="164" w:name="_Toc16938558"/>
      <w:r/>
      <w:bookmarkStart w:id="165" w:name="_Toc120614221"/>
      <w:r/>
      <w:bookmarkStart w:id="166" w:name="_Toc479757207"/>
      <w:r/>
      <w:bookmarkStart w:id="167" w:name="_Toc20823314"/>
      <w:r/>
      <w:bookmarkStart w:id="168" w:name="_Toc513029242"/>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w:t>
      </w:r>
      <w:bookmarkEnd w:id="164"/>
      <w:r/>
      <w:bookmarkEnd w:id="165"/>
      <w:r/>
      <w:bookmarkEnd w:id="166"/>
      <w:r/>
      <w:bookmarkEnd w:id="167"/>
      <w:r/>
      <w:bookmarkEnd w:id="168"/>
      <w:r>
        <w:rPr>
          <w:rFonts w:hint="eastAsia" w:ascii="宋体" w:hAnsi="宋体" w:eastAsia="宋体" w:cs="宋体"/>
          <w:color w:val="000000" w:themeColor="text1"/>
          <w:sz w:val="24"/>
          <w:szCs w:val="24"/>
          <w:highlight w:val="none"/>
          <w14:textFill>
            <w14:solidFill>
              <w14:schemeClr w14:val="tx1"/>
            </w14:solidFill>
          </w14:textFill>
        </w:rPr>
        <w:t xml:space="preserve">政府采购线上合同信用融资政策</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33、确需收取履约保证金的，履约保证金的缴纳形式：</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如以履约保函（保险）形式缴纳履约保证金，供应商可通过政府采购电子履约保函（保险）平台（www.jsdzbh.com）在线申请履约保函（保险）。</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20"/>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本项目不收取履约保证金</w:t>
      </w:r>
      <w:r/>
    </w:p>
    <w:p>
      <w:pPr>
        <w:ind w:firstLine="420"/>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5、本项目征集人为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大丰区机关事务服务中心，由盐城市大丰区机关事务服务中心负责本项目征集全流程相关事宜，供应商提出质疑应当向征集人提出，征集人负责处理质疑回复等相关事宜，盐城市大丰区机关事务服务中心承担采购人主体责任。</w:t>
      </w:r>
      <w:r/>
    </w:p>
    <w:p>
      <w:pPr>
        <w:ind w:firstLine="420"/>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联系方式：</w:t>
      </w:r>
      <w:r/>
    </w:p>
    <w:p>
      <w:pPr>
        <w:ind w:firstLine="420"/>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单位名称：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盐城市大丰区机关事务服务中心</w:t>
      </w:r>
      <w:r/>
    </w:p>
    <w:p>
      <w:pPr>
        <w:ind w:firstLine="420"/>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联系人：吕永明/</w:t>
      </w:r>
      <w:r>
        <w:rPr>
          <w:rFonts w:hint="eastAsia" w:ascii="宋体" w:hAnsi="宋体" w:cs="宋体"/>
          <w:color w:val="000000" w:themeColor="text1"/>
          <w:sz w:val="24"/>
          <w:szCs w:val="24"/>
          <w:highlight w:val="none"/>
          <w:lang w:val="en-US" w:eastAsia="zh-CN"/>
          <w14:textFill>
            <w14:solidFill>
              <w14:schemeClr w14:val="tx1"/>
            </w14:solidFill>
          </w14:textFill>
        </w:rPr>
        <w:t xml:space="preserve">孙志成</w:t>
      </w:r>
      <w:r/>
    </w:p>
    <w:p>
      <w:pPr>
        <w:ind w:firstLine="420"/>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联系电话：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13805113388/</w:t>
      </w:r>
      <w:r>
        <w:rPr>
          <w:rFonts w:hint="eastAsia" w:ascii="宋体" w:hAnsi="宋体" w:cs="宋体"/>
          <w:color w:val="000000" w:themeColor="text1"/>
          <w:sz w:val="24"/>
          <w:szCs w:val="24"/>
          <w:highlight w:val="none"/>
          <w:lang w:val="en-US" w:eastAsia="zh-CN"/>
          <w14:textFill>
            <w14:solidFill>
              <w14:schemeClr w14:val="tx1"/>
            </w14:solidFill>
          </w14:textFill>
        </w:rPr>
        <w:t xml:space="preserve">18796613698</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联系地址：盐城市大丰区大华东路1号</w:t>
      </w:r>
      <w:r/>
    </w:p>
    <w:p>
      <w:pPr>
        <w:rPr>
          <w:rFonts w:hint="eastAsia" w:ascii="宋体" w:hAnsi="宋体" w:eastAsia="宋体" w:cs="宋体"/>
          <w:b/>
          <w:bCs/>
          <w:color w:val="000000"/>
          <w:sz w:val="32"/>
          <w:szCs w:val="32"/>
          <w:highlight w:val="none"/>
        </w:rPr>
      </w:pPr>
      <w:r/>
      <w:bookmarkStart w:id="169" w:name="_Toc183693304"/>
      <w:r/>
      <w:bookmarkStart w:id="170" w:name="_Toc128039580"/>
      <w:r/>
      <w:bookmarkStart w:id="171" w:name="_Toc10854"/>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jc w:val="center"/>
        <w:keepLines w:val="0"/>
        <w:keepNext w:val="0"/>
        <w:pageBreakBefore w:val="0"/>
        <w:spacing w:after="120" w:line="48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t xml:space="preserve">第三章  框架协议文本</w:t>
      </w:r>
      <w:bookmarkEnd w:id="169"/>
      <w:r/>
      <w:bookmarkEnd w:id="170"/>
      <w:r/>
      <w:bookmarkEnd w:id="171"/>
      <w:r/>
      <w:r/>
    </w:p>
    <w:p>
      <w:pPr>
        <w:ind w:left="0" w:firstLine="480"/>
        <w:jc w:val="left"/>
        <w:keepLines w:val="0"/>
        <w:keepNext w:val="0"/>
        <w:pageBreakBefore w:val="0"/>
        <w:spacing w:line="480" w:lineRule="exact"/>
        <w:widowControl/>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cs="宋体"/>
          <w:color w:val="000000" w:themeColor="text1"/>
          <w:sz w:val="24"/>
          <w:highlight w:val="none"/>
          <w14:textFill>
            <w14:solidFill>
              <w14:schemeClr w14:val="tx1"/>
            </w14:solidFill>
          </w14:textFill>
        </w:rPr>
        <w:t xml:space="preserve">项目名称：</w:t>
      </w:r>
      <w:r>
        <w:rPr>
          <w:rFonts w:hint="eastAsia" w:ascii="宋体" w:hAnsi="宋体"/>
          <w:color w:val="000000" w:themeColor="text1"/>
          <w:sz w:val="24"/>
          <w:szCs w:val="24"/>
          <w:highlight w:val="none"/>
          <w:lang w:eastAsia="zh-CN"/>
          <w14:textFill>
            <w14:solidFill>
              <w14:schemeClr w14:val="tx1"/>
            </w14:solidFill>
          </w14:textFill>
        </w:rPr>
        <w:t xml:space="preserve">2026-2027年度大丰区党政机关、事业单位和团体组织公务用车社会化租赁服务</w:t>
      </w:r>
      <w:r/>
    </w:p>
    <w:p>
      <w:pPr>
        <w:ind w:left="0" w:firstLine="480"/>
        <w:jc w:val="left"/>
        <w:keepLines w:val="0"/>
        <w:keepNext w:val="0"/>
        <w:pageBreakBefore w:val="0"/>
        <w:spacing w:line="480" w:lineRule="exact"/>
        <w:widowControl/>
        <w:rPr>
          <w:rFonts w:hint="default" w:ascii="宋体" w:hAnsi="宋体" w:eastAsia="宋体" w:cs="Times New Roman"/>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项目编号：</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p>
    <w:p>
      <w:pPr>
        <w:ind w:left="0" w:firstLine="480"/>
        <w:jc w:val="left"/>
        <w:keepLines w:val="0"/>
        <w:keepNext w:val="0"/>
        <w:pageBreakBefore w:val="0"/>
        <w:spacing w:line="480" w:lineRule="exact"/>
        <w:widowControl/>
        <w:rPr>
          <w:rFonts w:hint="default" w:ascii="宋体" w:hAnsi="宋体" w:eastAsia="宋体" w:cs="Times New Roman"/>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甲方（</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征集</w:t>
      </w:r>
      <w:r>
        <w:rPr>
          <w:rFonts w:hint="eastAsia" w:ascii="宋体" w:hAnsi="宋体" w:eastAsia="宋体" w:cs="Times New Roman"/>
          <w:color w:val="000000" w:themeColor="text1"/>
          <w:sz w:val="24"/>
          <w:szCs w:val="24"/>
          <w:highlight w:val="none"/>
          <w14:textFill>
            <w14:solidFill>
              <w14:schemeClr w14:val="tx1"/>
            </w14:solidFill>
          </w14:textFill>
        </w:rPr>
        <w:t xml:space="preserve">人）：</w:t>
      </w:r>
      <w:r>
        <w:rPr>
          <w:rFonts w:hint="eastAsia" w:ascii="宋体" w:hAnsi="宋体" w:cs="Times New Roman"/>
          <w:color w:val="000000" w:themeColor="text1"/>
          <w:sz w:val="24"/>
          <w:szCs w:val="24"/>
          <w:highlight w:val="none"/>
          <w:u w:val="single"/>
          <w:lang w:eastAsia="zh-CN"/>
          <w14:textFill>
            <w14:solidFill>
              <w14:schemeClr w14:val="tx1"/>
            </w14:solidFill>
          </w14:textFill>
        </w:rPr>
        <w:t xml:space="preserve">盐城市大丰区机关事务服务中心</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p>
    <w:p>
      <w:pPr>
        <w:ind w:left="0" w:firstLine="480"/>
        <w:jc w:val="left"/>
        <w:keepLines w:val="0"/>
        <w:keepNext w:val="0"/>
        <w:pageBreakBefore w:val="0"/>
        <w:spacing w:line="480" w:lineRule="exact"/>
        <w:widowControl/>
        <w:rPr>
          <w:rFonts w:hint="default" w:ascii="宋体" w:hAnsi="宋体" w:eastAsia="宋体" w:cs="Times New Roman"/>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乙方（入围供应商）：</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p>
    <w:p>
      <w:pPr>
        <w:ind w:left="0" w:firstLine="480"/>
        <w:jc w:val="left"/>
        <w:keepLines w:val="0"/>
        <w:keepNext w:val="0"/>
        <w:pageBreakBefore w:val="0"/>
        <w:spacing w:line="480" w:lineRule="exact"/>
        <w:widowControl/>
        <w:rPr>
          <w:rFonts w:hint="eastAsia" w:ascii="宋体" w:hAnsi="宋体" w:eastAsia="宋体" w:cs="Times New Roman"/>
          <w:color w:val="000000" w:themeColor="text1"/>
          <w:sz w:val="24"/>
          <w:szCs w:val="24"/>
          <w:highlight w:val="none"/>
          <w:lang w:eastAsia="zh-CN"/>
          <w14:textFill>
            <w14:solidFill>
              <w14:schemeClr w14:val="tx1"/>
            </w14:solidFill>
          </w14:textFill>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甲、乙双方根据</w:t>
      </w:r>
      <w:r>
        <w:rPr>
          <w:rFonts w:hint="eastAsia" w:ascii="宋体" w:hAnsi="宋体"/>
          <w:color w:val="000000" w:themeColor="text1"/>
          <w:sz w:val="24"/>
          <w:szCs w:val="24"/>
          <w:highlight w:val="none"/>
          <w:lang w:eastAsia="zh-CN"/>
          <w14:textFill>
            <w14:solidFill>
              <w14:schemeClr w14:val="tx1"/>
            </w14:solidFill>
          </w14:textFill>
        </w:rPr>
        <w:t xml:space="preserve">2</w:t>
      </w:r>
      <w:r>
        <w:rPr>
          <w:rFonts w:hint="eastAsia" w:ascii="宋体" w:hAnsi="宋体"/>
          <w:color w:val="000000" w:themeColor="text1"/>
          <w:sz w:val="24"/>
          <w:szCs w:val="24"/>
          <w:highlight w:val="none"/>
          <w:u w:val="single"/>
          <w:lang w:eastAsia="zh-CN"/>
          <w14:textFill>
            <w14:solidFill>
              <w14:schemeClr w14:val="tx1"/>
            </w14:solidFill>
          </w14:textFill>
        </w:rPr>
        <w:t xml:space="preserve">026-2027年度大丰区党政机关、事业单位和团体组织公务用车社会化租赁服务</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公开征集</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的结果，签署本</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协议</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p>
    <w:p>
      <w:pPr>
        <w:numPr>
          <w:ilvl w:val="0"/>
          <w:numId w:val="1"/>
        </w:num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服务范围</w:t>
      </w:r>
      <w:r>
        <w:rPr>
          <w:rFonts w:hint="eastAsia" w:ascii="宋体" w:hAnsi="宋体" w:cs="宋体"/>
          <w:b/>
          <w:bCs/>
          <w:sz w:val="24"/>
          <w:szCs w:val="24"/>
          <w:highlight w:val="none"/>
          <w:lang w:val="en-US" w:eastAsia="zh-CN" w:bidi="ar"/>
        </w:rPr>
        <w:t xml:space="preserve">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采购人（以下称“用车人”）是</w:t>
      </w:r>
      <w:r>
        <w:rPr>
          <w:rFonts w:hint="eastAsia" w:ascii="宋体" w:hAnsi="宋体" w:cs="宋体"/>
          <w:sz w:val="24"/>
          <w:szCs w:val="24"/>
          <w:highlight w:val="none"/>
          <w:lang w:val="en-US" w:eastAsia="zh-CN" w:bidi="ar"/>
        </w:rPr>
        <w:t xml:space="preserve">大丰区本级</w:t>
      </w:r>
      <w:r>
        <w:rPr>
          <w:rFonts w:hint="eastAsia" w:ascii="宋体" w:hAnsi="宋体" w:eastAsia="宋体" w:cs="宋体"/>
          <w:sz w:val="24"/>
          <w:szCs w:val="24"/>
          <w:highlight w:val="none"/>
          <w:lang w:val="en-US" w:eastAsia="zh-CN" w:bidi="ar"/>
        </w:rPr>
        <w:t xml:space="preserve">党政机关、事业单位及团体组织，使用财政性资金进行的公务用车社会化租赁服务。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第二条 用车范围</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大丰区单位公务活动出行符合用车规定和《盐城市大丰区党政机关租用社会车辆管理办法》。</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第三条 资质要求</w:t>
      </w:r>
      <w:r>
        <w:rPr>
          <w:rFonts w:hint="eastAsia" w:ascii="宋体" w:hAnsi="宋体" w:eastAsia="宋体" w:cs="宋体"/>
          <w:sz w:val="24"/>
          <w:szCs w:val="24"/>
          <w:highlight w:val="none"/>
          <w:lang w:val="en-US" w:eastAsia="zh-CN" w:bidi="ar"/>
        </w:rPr>
        <w:t xml:space="preserve">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乙方从事一标段应当到所在地交通运输主管部门办理备案手续，取得有效的小微型客车租赁备案证明（或许可证）；乙方从事二标段应具有合法有效的道路运输经营许可证，且道路运输经营许可证经营范围须包含</w:t>
      </w:r>
      <w:r>
        <w:rPr>
          <w:rFonts w:hint="eastAsia" w:ascii="宋体" w:hAnsi="宋体" w:eastAsia="宋体" w:cs="宋体"/>
          <w:color w:val="auto"/>
          <w:sz w:val="24"/>
          <w:szCs w:val="24"/>
          <w:highlight w:val="none"/>
          <w:lang w:val="en-US" w:eastAsia="zh-CN" w:bidi="ar"/>
        </w:rPr>
        <w:t xml:space="preserve">包车客运或公交客运</w:t>
      </w:r>
      <w:r>
        <w:rPr>
          <w:rFonts w:hint="eastAsia" w:ascii="宋体" w:hAnsi="宋体" w:eastAsia="宋体" w:cs="宋体"/>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2.乙方提供车辆的数量及车型要求：乙方需按中标车辆型号和数量进行配备，并提供</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使用。</w:t>
      </w:r>
      <w:r/>
    </w:p>
    <w:p>
      <w:pPr>
        <w:numPr>
          <w:ilvl w:val="0"/>
          <w:numId w:val="0"/>
        </w:numPr>
        <w:ind w:left="482" w:right="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第四条 对用车的要求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w:t>
      </w:r>
      <w:r>
        <w:rPr>
          <w:rFonts w:hint="eastAsia" w:ascii="宋体" w:hAnsi="宋体" w:eastAsia="宋体" w:cs="宋体"/>
          <w:b w:val="0"/>
          <w:bCs w:val="0"/>
          <w:sz w:val="24"/>
          <w:szCs w:val="24"/>
          <w:highlight w:val="none"/>
          <w:lang w:val="en-US" w:eastAsia="zh-CN" w:bidi="ar"/>
        </w:rPr>
        <w:t xml:space="preserve">乙方提供的车辆应当是公司自有车辆并且应符合党政机关公务用车配备标准，轿车价格应为18万元以内、排气量1.8升（含）以下，其他小型普通客车价格应为25万元以内、排气量3.0升（含）以下。</w:t>
      </w:r>
      <w:r>
        <w:rPr>
          <w:rFonts w:hint="eastAsia" w:ascii="宋体" w:hAnsi="宋体" w:eastAsia="宋体" w:cs="宋体"/>
          <w:sz w:val="24"/>
          <w:szCs w:val="24"/>
          <w:highlight w:val="none"/>
          <w:lang w:val="en-US" w:eastAsia="zh-CN" w:bidi="ar"/>
        </w:rPr>
        <w:t xml:space="preserve">乙方从事一标段提供服务的车辆应当取得合格有效的《行驶证》，车辆使用性质为租赁，并经车辆所在地交通运输主管部门备案取得有效的备案证明（或许可证），</w:t>
      </w:r>
      <w:r>
        <w:rPr>
          <w:rFonts w:hint="eastAsia" w:ascii="宋体" w:hAnsi="宋体" w:cs="宋体"/>
          <w:color w:val="auto"/>
          <w:sz w:val="24"/>
          <w:szCs w:val="24"/>
          <w:highlight w:val="none"/>
          <w:lang w:val="en-US" w:eastAsia="zh-CN"/>
        </w:rPr>
        <w:t xml:space="preserve">供应商需</w:t>
      </w:r>
      <w:r>
        <w:rPr>
          <w:rFonts w:hint="default" w:ascii="宋体" w:hAnsi="宋体" w:cs="宋体"/>
          <w:b w:val="0"/>
          <w:bCs w:val="0"/>
          <w:color w:val="auto"/>
          <w:sz w:val="24"/>
          <w:szCs w:val="24"/>
          <w:highlight w:val="none"/>
          <w:lang w:val="en-US" w:eastAsia="zh-CN"/>
        </w:rPr>
        <w:t xml:space="preserve">与</w:t>
      </w:r>
      <w:r>
        <w:rPr>
          <w:rFonts w:hint="eastAsia" w:ascii="宋体" w:hAnsi="宋体" w:cs="宋体"/>
          <w:b w:val="0"/>
          <w:bCs w:val="0"/>
          <w:color w:val="auto"/>
          <w:sz w:val="24"/>
          <w:szCs w:val="24"/>
          <w:highlight w:val="none"/>
          <w:lang w:val="en-US" w:eastAsia="zh-CN"/>
        </w:rPr>
        <w:t xml:space="preserve">有</w:t>
      </w:r>
      <w:r>
        <w:rPr>
          <w:rFonts w:hint="default" w:ascii="宋体" w:hAnsi="宋体" w:cs="宋体"/>
          <w:b w:val="0"/>
          <w:bCs w:val="0"/>
          <w:color w:val="auto"/>
          <w:sz w:val="24"/>
          <w:szCs w:val="24"/>
          <w:highlight w:val="none"/>
          <w:lang w:val="en-US" w:eastAsia="zh-CN"/>
        </w:rPr>
        <w:t xml:space="preserve">劳务资质相关企业签订员工派遣协议</w:t>
      </w:r>
      <w:r>
        <w:rPr>
          <w:rFonts w:hint="eastAsia" w:ascii="宋体" w:hAnsi="宋体" w:eastAsia="宋体" w:cs="宋体"/>
          <w:sz w:val="24"/>
          <w:szCs w:val="24"/>
          <w:highlight w:val="none"/>
          <w:lang w:val="en-US" w:eastAsia="zh-CN" w:bidi="ar"/>
        </w:rPr>
        <w:t xml:space="preserve">；从事二标段的车辆应当取得合格有效的《行驶证》和交通部门核发的《道路运输证》,《道路运输证》经营范围须含包车客运或公交客运。车辆运营过程中，应当遵守国家法律法规，依法签订相关合同；车辆牌照必须是盐城地区牌照，且提前上传于“全省一张网”通过审核，保证服务安全规范。</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乙方提供的承运车辆应按照国家有关部门要求及时进行车辆维护和检验，并保证所有服务车辆装备、设备良好、配套齐全、安全性能可靠。车辆内外部保持卫生、整洁，并按规定必须投保交通强制险，第三者责任险（不低于100万元），为车上乘客提供每人每座投保保额不低于50万元的保险险种，保证合同签订前提供的车辆保险险种、限额达到上述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乙方需提供车况良好、外观整洁、车内清洁卫生的服务车辆。一标段的服务车辆购置时间保证在10年以内，二标段的服务车辆购置时间保证在8年以内，相关部门有权检查乙方所提供的服务车辆行驶证、车辆登记证书，以便核实车辆购置时间，如发现一标段的服务车辆购置时间超过10年的，二标段的服务车辆购置时间超过8年的，相关部门有权要求乙方更换车辆并酌情处理，且乙方需承担在更换期间给采购方造成的损失。</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4.服务车辆车身必须去除供应商LOGO等明显标识（大客车除外），服务期间车窗前摆放“公务出行”标牌。</w:t>
      </w:r>
      <w:r/>
    </w:p>
    <w:p>
      <w:pPr>
        <w:numPr>
          <w:ilvl w:val="0"/>
          <w:numId w:val="0"/>
        </w:numPr>
        <w:ind w:left="482" w:right="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第五条 对驾驶人员的要求</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1.乙方提供的驾驶员应符合以下要求：</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驾驶员应有从事相应车型业务的相关资质，证照齐全，身体健康，技术良好，</w:t>
      </w:r>
      <w:r>
        <w:rPr>
          <w:rFonts w:hint="eastAsia" w:ascii="宋体" w:hAnsi="宋体" w:cs="宋体"/>
          <w:sz w:val="24"/>
          <w:szCs w:val="24"/>
          <w:highlight w:val="none"/>
          <w:lang w:val="en-US" w:eastAsia="zh-CN" w:bidi="ar"/>
        </w:rPr>
        <w:t xml:space="preserve">年龄不超过法定退休年龄，正常缴纳社保</w:t>
      </w:r>
      <w:r>
        <w:rPr>
          <w:rFonts w:hint="eastAsia" w:ascii="宋体" w:hAnsi="宋体" w:eastAsia="宋体" w:cs="宋体"/>
          <w:sz w:val="24"/>
          <w:szCs w:val="24"/>
          <w:highlight w:val="none"/>
          <w:lang w:val="en-US" w:eastAsia="zh-CN" w:bidi="ar"/>
        </w:rPr>
        <w:t xml:space="preserve">。一标段驾驶员须符合交通部客运管理相关规定，</w:t>
      </w:r>
      <w:r>
        <w:rPr>
          <w:rFonts w:hint="eastAsia" w:ascii="宋体" w:hAnsi="宋体" w:cs="宋体"/>
          <w:color w:val="auto"/>
          <w:sz w:val="24"/>
          <w:szCs w:val="24"/>
          <w:highlight w:val="none"/>
          <w:lang w:val="en-US" w:eastAsia="zh-CN"/>
        </w:rPr>
        <w:t xml:space="preserve">供应商应</w:t>
      </w:r>
      <w:r>
        <w:rPr>
          <w:rFonts w:hint="default" w:ascii="宋体" w:hAnsi="宋体" w:cs="宋体"/>
          <w:b w:val="0"/>
          <w:bCs w:val="0"/>
          <w:color w:val="auto"/>
          <w:sz w:val="24"/>
          <w:szCs w:val="24"/>
          <w:highlight w:val="none"/>
          <w:lang w:val="en-US" w:eastAsia="zh-CN"/>
        </w:rPr>
        <w:t xml:space="preserve">与</w:t>
      </w:r>
      <w:r>
        <w:rPr>
          <w:rFonts w:hint="eastAsia" w:ascii="宋体" w:hAnsi="宋体" w:cs="宋体"/>
          <w:b w:val="0"/>
          <w:bCs w:val="0"/>
          <w:color w:val="auto"/>
          <w:sz w:val="24"/>
          <w:szCs w:val="24"/>
          <w:highlight w:val="none"/>
          <w:lang w:val="en-US" w:eastAsia="zh-CN"/>
        </w:rPr>
        <w:t xml:space="preserve">有</w:t>
      </w:r>
      <w:r>
        <w:rPr>
          <w:rFonts w:hint="default" w:ascii="宋体" w:hAnsi="宋体" w:cs="宋体"/>
          <w:b w:val="0"/>
          <w:bCs w:val="0"/>
          <w:color w:val="auto"/>
          <w:sz w:val="24"/>
          <w:szCs w:val="24"/>
          <w:highlight w:val="none"/>
          <w:lang w:val="en-US" w:eastAsia="zh-CN"/>
        </w:rPr>
        <w:t xml:space="preserve">劳务资质相关企业签订员工派遣协议</w:t>
      </w:r>
      <w:r>
        <w:rPr>
          <w:rFonts w:hint="eastAsia" w:ascii="宋体" w:hAnsi="宋体" w:cs="宋体"/>
          <w:b w:val="0"/>
          <w:bCs w:val="0"/>
          <w:color w:val="auto"/>
          <w:sz w:val="24"/>
          <w:szCs w:val="24"/>
          <w:highlight w:val="none"/>
          <w:lang w:val="en-US" w:eastAsia="zh-CN"/>
        </w:rPr>
        <w:t xml:space="preserve">，驾驶员</w:t>
      </w:r>
      <w:r>
        <w:rPr>
          <w:rFonts w:hint="default" w:ascii="宋体" w:hAnsi="宋体" w:cs="宋体"/>
          <w:b w:val="0"/>
          <w:bCs w:val="0"/>
          <w:color w:val="auto"/>
          <w:sz w:val="24"/>
          <w:szCs w:val="24"/>
          <w:highlight w:val="none"/>
          <w:lang w:val="en-US" w:eastAsia="zh-CN"/>
        </w:rPr>
        <w:t xml:space="preserve">与</w:t>
      </w:r>
      <w:r>
        <w:rPr>
          <w:rFonts w:hint="eastAsia" w:ascii="宋体" w:hAnsi="宋体" w:cs="宋体"/>
          <w:b w:val="0"/>
          <w:bCs w:val="0"/>
          <w:color w:val="auto"/>
          <w:sz w:val="24"/>
          <w:szCs w:val="24"/>
          <w:highlight w:val="none"/>
          <w:lang w:val="en-US" w:eastAsia="zh-CN"/>
        </w:rPr>
        <w:t xml:space="preserve">有</w:t>
      </w:r>
      <w:r>
        <w:rPr>
          <w:rFonts w:hint="default" w:ascii="宋体" w:hAnsi="宋体" w:cs="宋体"/>
          <w:b w:val="0"/>
          <w:bCs w:val="0"/>
          <w:color w:val="auto"/>
          <w:sz w:val="24"/>
          <w:szCs w:val="24"/>
          <w:highlight w:val="none"/>
          <w:lang w:val="en-US" w:eastAsia="zh-CN"/>
        </w:rPr>
        <w:t xml:space="preserve">劳务资质相关企业签订</w:t>
      </w:r>
      <w:r>
        <w:rPr>
          <w:rFonts w:hint="eastAsia" w:ascii="宋体" w:hAnsi="宋体" w:eastAsia="宋体" w:cs="宋体"/>
          <w:sz w:val="24"/>
          <w:szCs w:val="24"/>
          <w:highlight w:val="none"/>
          <w:lang w:val="en-US" w:eastAsia="zh-CN" w:bidi="ar"/>
        </w:rPr>
        <w:t xml:space="preserve">合法有效的合同</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sz w:val="24"/>
          <w:szCs w:val="24"/>
          <w:highlight w:val="none"/>
          <w:lang w:val="en-US" w:eastAsia="zh-CN" w:bidi="ar"/>
        </w:rPr>
        <w:t xml:space="preserve">二标段驾驶员须具有有效的《从业资格证》，与供应商签订合法有效的合同。所有驾驶员须具有3年及以上驾龄，3年内无重大交通事故，近3个完整记分周期无扣满分记录（12分），无犯罪记录，无违法乱纪行为，文明上岗，诚信守时，作风正派，有较强的服务意识和保密意识等。</w:t>
      </w:r>
      <w:r/>
    </w:p>
    <w:p>
      <w:pPr>
        <w:numPr>
          <w:ilvl w:val="0"/>
          <w:numId w:val="0"/>
        </w:numPr>
        <w:ind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2.回场要求：服务结束后，供应商应规范、及时进行车辆回场操作。</w:t>
      </w:r>
      <w:r/>
    </w:p>
    <w:p>
      <w:pPr>
        <w:numPr>
          <w:ilvl w:val="0"/>
          <w:numId w:val="0"/>
        </w:numPr>
        <w:ind w:left="480" w:right="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第六条 服务费用及付款方式</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由用车人与乙方定期按实结算，提供服务的价格不得超出乙方入围报价。</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2.除车辆在实际使用过程中产生的过路过桥费、停车费、司机住宿费由</w:t>
      </w:r>
      <w:r>
        <w:rPr>
          <w:rFonts w:hint="eastAsia" w:ascii="宋体" w:hAnsi="宋体" w:cs="宋体"/>
          <w:color w:val="auto"/>
          <w:sz w:val="24"/>
          <w:szCs w:val="24"/>
          <w:highlight w:val="none"/>
          <w:lang w:val="en-US" w:eastAsia="zh-CN" w:bidi="ar"/>
        </w:rPr>
        <w:t xml:space="preserve">用车人</w:t>
      </w:r>
      <w:r>
        <w:rPr>
          <w:rFonts w:hint="eastAsia" w:ascii="宋体" w:hAnsi="宋体" w:eastAsia="宋体" w:cs="宋体"/>
          <w:color w:val="auto"/>
          <w:sz w:val="24"/>
          <w:szCs w:val="24"/>
          <w:highlight w:val="none"/>
          <w:lang w:val="en-US" w:eastAsia="zh-CN" w:bidi="ar"/>
        </w:rPr>
        <w:t xml:space="preserve">支付外，</w:t>
      </w:r>
      <w:r>
        <w:rPr>
          <w:rFonts w:hint="eastAsia" w:ascii="宋体" w:hAnsi="宋体" w:cs="宋体"/>
          <w:color w:val="auto"/>
          <w:sz w:val="24"/>
          <w:szCs w:val="24"/>
          <w:highlight w:val="none"/>
          <w:lang w:val="en-US" w:eastAsia="zh-CN" w:bidi="ar"/>
        </w:rPr>
        <w:t xml:space="preserve">用车人</w:t>
      </w:r>
      <w:r>
        <w:rPr>
          <w:rFonts w:hint="eastAsia" w:ascii="宋体" w:hAnsi="宋体" w:eastAsia="宋体" w:cs="宋体"/>
          <w:color w:val="auto"/>
          <w:sz w:val="24"/>
          <w:szCs w:val="24"/>
          <w:highlight w:val="none"/>
          <w:lang w:val="en-US" w:eastAsia="zh-CN" w:bidi="ar"/>
        </w:rPr>
        <w:t xml:space="preserve">不再承担乙方车辆的其它任何费用（包括且不限于油费、折旧费、保险费、修理费、交通事故产生的费用、税金和驾驶员工资、福利等费用）</w:t>
      </w:r>
      <w:r>
        <w:rPr>
          <w:rFonts w:hint="eastAsia" w:ascii="宋体" w:hAnsi="宋体" w:eastAsia="宋体" w:cs="宋体"/>
          <w:color w:val="auto"/>
          <w:sz w:val="24"/>
          <w:szCs w:val="24"/>
          <w:highlight w:val="none"/>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3.供应商将费用结算信息上传至“全省一张网”，经用车</w:t>
      </w:r>
      <w:r>
        <w:rPr>
          <w:rFonts w:hint="eastAsia" w:ascii="宋体" w:hAnsi="宋体" w:cs="宋体"/>
          <w:color w:val="auto"/>
          <w:sz w:val="24"/>
          <w:szCs w:val="24"/>
          <w:highlight w:val="none"/>
          <w:lang w:val="en-US" w:eastAsia="zh-CN" w:bidi="ar"/>
        </w:rPr>
        <w:t xml:space="preserve">人</w:t>
      </w:r>
      <w:r>
        <w:rPr>
          <w:rFonts w:hint="eastAsia" w:ascii="宋体" w:hAnsi="宋体" w:eastAsia="宋体" w:cs="宋体"/>
          <w:color w:val="auto"/>
          <w:sz w:val="24"/>
          <w:szCs w:val="24"/>
          <w:highlight w:val="none"/>
          <w:lang w:val="en-US" w:eastAsia="zh-CN" w:bidi="ar"/>
        </w:rPr>
        <w:t xml:space="preserve">确认后，平台生成完整的租赁费用结算单，</w:t>
      </w:r>
      <w:r>
        <w:rPr>
          <w:rFonts w:hint="eastAsia" w:ascii="宋体" w:hAnsi="宋体" w:cs="宋体"/>
          <w:color w:val="auto"/>
          <w:sz w:val="24"/>
          <w:szCs w:val="24"/>
          <w:highlight w:val="none"/>
          <w:lang w:val="en-US" w:eastAsia="zh-CN" w:bidi="ar"/>
        </w:rPr>
        <w:t xml:space="preserve">各单位与供应商线下结算</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4.车辆使用费支付方式为：</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通过银行转账。乙方指定收款账户信息如下：</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开户银行：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银行</w:t>
      </w:r>
      <w:r>
        <w:rPr>
          <w:rFonts w:hint="eastAsia" w:ascii="宋体" w:hAnsi="宋体" w:cs="宋体"/>
          <w:sz w:val="24"/>
          <w:szCs w:val="24"/>
          <w:highlight w:val="none"/>
          <w:lang w:val="en-US" w:eastAsia="zh-CN" w:bidi="ar"/>
        </w:rPr>
        <w:t xml:space="preserve">账号</w:t>
      </w:r>
      <w:r>
        <w:rPr>
          <w:rFonts w:hint="eastAsia" w:ascii="宋体" w:hAnsi="宋体" w:eastAsia="宋体" w:cs="宋体"/>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将款项支付至该账户，即表明甲方认可的</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已履行完毕付款义务，该账户的一切法律风险由乙方承担。</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5.乙方在收取</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款项前应向</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提供正规的增值税发票及相关用车明细汇总。</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6.增值税发票条款:乙方须按照税务局登记信息准确告知</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纳税人资质，并对此信息的准确性负责。乙方必须出具符合合同约定经济事项的正规增值税发票。乙方未提前提供合格发票的，</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有权延迟或拒绝付款；如乙方提供虚假发票的，或因乙方提供的发票瑕疵给甲方和</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造成损失的，乙方承担由此产生的一切后果。</w:t>
      </w:r>
      <w:r/>
    </w:p>
    <w:p>
      <w:pPr>
        <w:pStyle w:val="782"/>
        <w:ind w:firstLine="480"/>
        <w:keepLines w:val="0"/>
        <w:keepNext w:val="0"/>
        <w:pageBreakBefore w:val="0"/>
        <w:spacing w:line="560" w:lineRule="exact"/>
        <w:rPr>
          <w:rFonts w:hint="default"/>
          <w:highlight w:val="none"/>
          <w:lang w:val="en-US"/>
        </w:rPr>
      </w:pPr>
      <w:r>
        <w:rPr>
          <w:rFonts w:hint="eastAsia" w:cs="宋体"/>
          <w:sz w:val="24"/>
          <w:szCs w:val="24"/>
          <w:highlight w:val="none"/>
          <w:lang w:val="en-US" w:eastAsia="zh-CN" w:bidi="ar"/>
        </w:rPr>
        <w:t xml:space="preserve">7.预付款条款：</w:t>
      </w:r>
      <w:r>
        <w:rPr>
          <w:rFonts w:hint="eastAsia" w:ascii="宋体" w:hAnsi="宋体" w:eastAsia="宋体" w:cs="宋体"/>
          <w:sz w:val="24"/>
          <w:szCs w:val="24"/>
          <w:highlight w:val="none"/>
          <w:lang w:val="en-US" w:eastAsia="zh-CN" w:bidi="ar"/>
        </w:rPr>
        <w:t xml:space="preserve">用车人收到预付款发票后10</w:t>
      </w:r>
      <w:r>
        <w:rPr>
          <w:rFonts w:hint="eastAsia" w:ascii="宋体" w:hAnsi="宋体" w:eastAsia="宋体" w:cs="宋体"/>
          <w:sz w:val="24"/>
          <w:szCs w:val="24"/>
          <w:highlight w:val="none"/>
          <w:lang w:val="en-US" w:eastAsia="zh-CN" w:bidi="ar"/>
        </w:rPr>
        <w:t xml:space="preserve">个工作日内支付30%预付款（如乙方明确表示不需预付款，用车人将不执行本条款）。</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第七条 甲方和用车人的权利</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1.用车人有权获得优先服务；</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2.用车人用车期间，乙方应服从</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调配，为保障安全行车，</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应保证乙方司机的规定休息时间，合理安排使用车辆，不得强求乙方驾驶员疲劳驾驶；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甲方和用车人均有权向有关部门投诉乙方违约行为；合同期内乙方违约的，甲方有权决定是否行使合同解除权；甲方要求乙方继续履行的，乙方应当履行。乙方的违约行为给甲方造成的损失超过本合同约定的违约金数额的，乙方应按甲方的实际损失数额进行赔偿。</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4.甲方有权对服务质量进行监督和检查；</w:t>
      </w:r>
      <w:r/>
    </w:p>
    <w:p>
      <w:pPr>
        <w:ind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5.甲方有权联合相关管理部门对乙方的财务、服务记录、车辆人员等情况进行定期、不定期检查，包括但不限于：</w:t>
      </w:r>
      <w:r/>
    </w:p>
    <w:p>
      <w:pPr>
        <w:numPr>
          <w:ilvl w:val="0"/>
          <w:numId w:val="0"/>
        </w:numPr>
        <w:ind w:left="480" w:right="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乙方财务资料；</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（2）询问当事人或者有关人员，并可以要求其提供证明材料和与提供公务出行服务行为有关的其他资料；</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（3）查询、复制与提供公务出行服务行为有关的台帐、单据、凭证、文件及其他资料，核对与提供公务出行服务行为有关的技术资料；</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（4）在证据可能灭失或者以后难以取得的情况下，可以先行登记保存，乙方不得转移、隐匿或者销毁证据；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（5）委派第三方进行审计。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6.要求查询乙方提供车辆以及驾驶员的相关证明，乙方应如实提供有关资料和凭证；</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7.甲方有权将本框架协议所有内容向用车人及社会予以公布，具体方式和方法由甲方确定；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8.如乙方未能履行本协议规定的义务，甲方有权单方暂停或终止与乙方的框架协议；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9.对于用车人和乙方在费用结算过程中发生的经济纠纷，由用车人和乙方自行协商解决，甲方不承担任何责任。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第八条 甲方的义务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1.为第二阶段合同授予提供工作便利；</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2.对第二阶段最高限价和需求标准执行情况进行管理；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3.对第二阶段确定成交供应商情况进行管理；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4.建立用车人反馈和评价机制，接受采购人和服务对象对入围供应商履行框架协议和采购合同情况的反馈与评价，并作为第二阶段直接选定成交供应商的参考；</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5、第二阶段直接选定，采购人无需发布单笔公告，在框架协议有效期满后，按相关规定由系统汇总并配合甲方完成汇总公告发布；</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6.办理入围供应商清退和补充相关事宜。</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第九条 乙方的权利</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1.有权要求甲方督促用车人按时结清费用；</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2.有权拒绝甲方及用车人提出的除公务出行以外的要求；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3.有权向有关部门投诉甲方的违约行为；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4.乙方对于拖欠费用的用车人有权拒绝提供服务；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第十条 乙方的义务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1.乙方提供全天候24小时服务，临时租车市内30分钟以内到达租车单位；</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2.乙方在签订协议前按甲方要求完成对接工作；</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3.乙方在基本服务质量要求外，应就车辆的卫生保洁、驾驶人员的统一着装、服务创新、服务质量标准化、应急方案、服务监督、重大活动保障、服务创新等方面提出服务承诺；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4.乙方车辆在提供服务期间发生故障，无法正常行驶，乙方须及时调换备用服务车辆确保公务出行正常运行；</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5.乙方提供给甲方和</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的驾驶员与甲方和</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无任何关系。乙方须建立健全专门的安全管理机制，定期对驾驶员开展安全教育；对每个驾驶员进行岗前素质培训，传达、学习有关安全、文明营运文件，对驾驶员的安全行车提出具体要求，消除事故隐患，开好安全车；</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6.乙方在提供车辆服务期间，乙方引起用车人有理由投诉，</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有权扣减当天车辆服务费。</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7.服务车辆应严格依照《</w:t>
      </w:r>
      <w:r>
        <w:rPr>
          <w:rFonts w:hint="eastAsia" w:ascii="宋体" w:hAnsi="宋体" w:cs="宋体"/>
          <w:sz w:val="24"/>
          <w:szCs w:val="24"/>
          <w:highlight w:val="none"/>
          <w:lang w:val="en-US" w:eastAsia="zh-CN" w:bidi="ar"/>
        </w:rPr>
        <w:t xml:space="preserve">大丰区</w:t>
      </w:r>
      <w:r>
        <w:rPr>
          <w:rFonts w:hint="eastAsia" w:ascii="宋体" w:hAnsi="宋体" w:eastAsia="宋体" w:cs="宋体"/>
          <w:sz w:val="24"/>
          <w:szCs w:val="24"/>
          <w:highlight w:val="none"/>
          <w:lang w:val="en-US" w:eastAsia="zh-CN" w:bidi="ar"/>
        </w:rPr>
        <w:t xml:space="preserve">党政机关公务用车管理办法》进行管理。供应商要建立车辆卫星定位和监控系统，对所有运营车辆实行24小时动态监控和监管，出现违规违纪或违反《</w:t>
      </w:r>
      <w:r>
        <w:rPr>
          <w:rFonts w:hint="eastAsia" w:ascii="宋体" w:hAnsi="宋体" w:cs="宋体"/>
          <w:sz w:val="24"/>
          <w:szCs w:val="24"/>
          <w:highlight w:val="none"/>
          <w:lang w:val="en-US" w:eastAsia="zh-CN" w:bidi="ar"/>
        </w:rPr>
        <w:t xml:space="preserve">大丰区</w:t>
      </w:r>
      <w:r>
        <w:rPr>
          <w:rFonts w:hint="eastAsia" w:ascii="宋体" w:hAnsi="宋体" w:eastAsia="宋体" w:cs="宋体"/>
          <w:sz w:val="24"/>
          <w:szCs w:val="24"/>
          <w:highlight w:val="none"/>
          <w:lang w:val="en-US" w:eastAsia="zh-CN" w:bidi="ar"/>
        </w:rPr>
        <w:t xml:space="preserve">党政机关公务用车管理办法》相关规定要求等情况，即时提醒，做到“车辆一动，监督受控，车辆不停，监控不止”，以保障车辆运行的规范和安全，利用车辆卫星定位系统随时监控租赁服务车辆的去向动态及记录行驶轨迹；</w:t>
      </w:r>
      <w:r/>
    </w:p>
    <w:p>
      <w:pPr>
        <w:pStyle w:val="782"/>
        <w:ind w:firstLine="480"/>
        <w:rPr>
          <w:rFonts w:hint="default"/>
          <w:highlight w:val="none"/>
          <w:lang w:val="en-US"/>
        </w:rPr>
      </w:pPr>
      <w:r>
        <w:rPr>
          <w:rFonts w:hint="eastAsia" w:ascii="宋体" w:hAnsi="宋体" w:eastAsia="宋体" w:cs="宋体"/>
          <w:sz w:val="24"/>
          <w:szCs w:val="24"/>
          <w:highlight w:val="none"/>
          <w:lang w:val="en-US" w:eastAsia="zh-CN" w:bidi="ar"/>
        </w:rPr>
        <w:t xml:space="preserve">8.</w:t>
      </w:r>
      <w:r>
        <w:rPr>
          <w:rFonts w:hint="eastAsia" w:cs="宋体"/>
          <w:sz w:val="24"/>
          <w:szCs w:val="24"/>
          <w:highlight w:val="none"/>
          <w:lang w:val="en-US" w:eastAsia="zh-CN" w:bidi="ar"/>
        </w:rPr>
        <w:t xml:space="preserve">租赁期间车辆及人员安全由供应商负责；</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9.乙方在提供服务时须遵守有关保密规定；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10.不得向用车人或经办人员以任何形式提供好处；</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11.按服务承诺兑现各项服务措施；</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12.乙方不得给予本框架协议规定的“用车对象及范围”以外的任何单位低于本框架协议的优惠价格，即本框架协议价格是乙方的最优惠价格；</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13.不得拒绝公务用车主管部门、行业主管部门、政府采购监管部门的监督检查。</w:t>
      </w:r>
      <w:r/>
    </w:p>
    <w:p>
      <w:pPr>
        <w:ind w:left="0" w:right="0" w:firstLine="480"/>
        <w:jc w:val="left"/>
        <w:keepLines w:val="0"/>
        <w:keepNext w:val="0"/>
        <w:spacing w:before="0" w:beforeAutospacing="0" w:after="0" w:afterAutospacing="0" w:line="560" w:lineRule="exact"/>
        <w:widowControl/>
        <w:rPr>
          <w:rFonts w:hint="default" w:ascii="宋体" w:hAnsi="宋体" w:eastAsia="宋体" w:cs="宋体"/>
          <w:b/>
          <w:bCs/>
          <w:color w:val="auto"/>
          <w:sz w:val="24"/>
          <w:szCs w:val="24"/>
          <w:highlight w:val="none"/>
          <w:lang w:val="en-US" w:eastAsia="zh-CN" w:bidi="ar"/>
        </w:rPr>
        <w:suppressLineNumbers w:val="0"/>
      </w:pPr>
      <w:r>
        <w:rPr>
          <w:rFonts w:hint="eastAsia" w:ascii="宋体" w:hAnsi="宋体" w:cs="宋体"/>
          <w:b w:val="0"/>
          <w:bCs w:val="0"/>
          <w:color w:val="auto"/>
          <w:sz w:val="24"/>
          <w:szCs w:val="24"/>
          <w:highlight w:val="none"/>
          <w:lang w:val="en-US" w:eastAsia="zh-CN" w:bidi="ar"/>
        </w:rPr>
        <w:t xml:space="preserve">14.</w:t>
      </w:r>
      <w:r>
        <w:rPr>
          <w:rFonts w:hint="eastAsia" w:ascii="宋体" w:hAnsi="宋体" w:eastAsia="宋体" w:cs="宋体"/>
          <w:color w:val="auto"/>
          <w:sz w:val="24"/>
          <w:szCs w:val="24"/>
          <w:highlight w:val="none"/>
          <w:lang w:val="en-US" w:eastAsia="zh-CN" w:bidi="ar"/>
        </w:rPr>
        <w:t xml:space="preserve">乙方遇特殊原因需更换驾驶员、车辆必须提前通过用车平台或者电话告知相关调整信息；</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第十一条 违约责任</w:t>
      </w:r>
      <w:r/>
    </w:p>
    <w:p>
      <w:pPr>
        <w:ind w:left="0" w:right="0" w:firstLine="480"/>
        <w:jc w:val="left"/>
        <w:keepLines w:val="0"/>
        <w:keepNext w:val="0"/>
        <w:spacing w:before="0" w:beforeAutospacing="0" w:after="0" w:afterAutospacing="0" w:line="56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1.乙方遇特殊原因需更换驾驶员、车辆必须提前通过用车平台或者电话告知相关调整信息；如未提前告知更换车辆、车型，每辆按2000元罚款同时当月此车辆的出租费用全部扣除；如未提前告知更换驾驶员，每人按1000元罚款，罚款由用车人在出租费用中扣除；</w:t>
      </w:r>
      <w:r/>
    </w:p>
    <w:p>
      <w:pPr>
        <w:ind w:left="0" w:right="0" w:firstLine="480"/>
        <w:jc w:val="left"/>
        <w:keepLines w:val="0"/>
        <w:keepNext w:val="0"/>
        <w:spacing w:before="0" w:beforeAutospacing="0" w:after="0" w:afterAutospacing="0" w:line="56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2.乙方车辆在用车人用车期间，车辆发生抛锚等非主观原因造成用车人损失，乙方应支付用户方乘车人员当天发生的交通费；</w:t>
      </w:r>
      <w:r/>
    </w:p>
    <w:p>
      <w:pPr>
        <w:ind w:left="0" w:right="0" w:firstLine="480"/>
        <w:jc w:val="left"/>
        <w:keepLines w:val="0"/>
        <w:keepNext w:val="0"/>
        <w:spacing w:before="0" w:beforeAutospacing="0" w:after="0" w:afterAutospacing="0" w:line="56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3.乙方车辆发生事故或故障应及时启用备用车辆并提前通知用车人，以确保用车人工作的正常使用，如临时大修（修理时间超过 4 小时）或其他原因导致用车人不能正常使用，乙方应提供备用正规车辆为用车人使用，并全额承担由于车辆原因导致用车人员利用社会资源外出的相关费用；</w:t>
      </w:r>
      <w:r/>
    </w:p>
    <w:p>
      <w:pPr>
        <w:ind w:left="0" w:right="0" w:firstLine="480"/>
        <w:jc w:val="left"/>
        <w:keepLines w:val="0"/>
        <w:keepNext w:val="0"/>
        <w:spacing w:before="0" w:beforeAutospacing="0" w:after="0" w:afterAutospacing="0" w:line="56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4.因乙方原因未达到用车人计划规定的内容而造成用车人直接和间接经济损失的，由乙方负责赔偿用车人所受损失；</w:t>
      </w:r>
      <w:r/>
    </w:p>
    <w:p>
      <w:pPr>
        <w:ind w:left="0" w:right="0" w:firstLine="480"/>
        <w:jc w:val="left"/>
        <w:keepLines w:val="0"/>
        <w:keepNext w:val="0"/>
        <w:spacing w:before="0" w:beforeAutospacing="0" w:after="0" w:afterAutospacing="0" w:line="56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5.乙方接受用车人公务出行委托后，不得擅自转给其他单位，否则将追究相应责任并按相关管理措施要求进行处理。用车人自行提出转单位要求，或因乙方人员、车辆等原因确实无法履约必须转单位的，承担单位亦应具有响应资格。</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第十二条 履约管理要求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1.管理形式：公务用车主管部门、行业主管部门、政府采购监管部门定期或不定期地对入围供应商的服务质量、履约情况进行监督检查，</w:t>
      </w:r>
      <w:r>
        <w:rPr>
          <w:rFonts w:hint="eastAsia" w:ascii="宋体" w:hAnsi="宋体" w:cs="宋体"/>
          <w:color w:val="auto"/>
          <w:sz w:val="24"/>
          <w:szCs w:val="24"/>
          <w:highlight w:val="none"/>
          <w:lang w:val="en-US" w:eastAsia="zh-CN" w:bidi="ar"/>
        </w:rPr>
        <w:t xml:space="preserve">检查和处理结果将依规公布</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2.管理标准：在监管检查中，如发现以下情形，视为不合格行为。相关部门在核实情况后将对相关责任供应商予以处理：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（1）入围供应商提供的服务不符合国家有关规定、响应承诺和框架协议规定；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（2）无正当理由拒单或不按照承诺提供服务；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（3）具体项目成交价高于其入围价格或服务承诺；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（4）使用不正当竞争手段，影响采购单位正常采购活动；</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（5）满意度调查中采购人反馈不满意，经核实确系供应商责任；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（6）其他违法违规行为。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3.管理措施：对履约监管中发现的不合格行为，按以下措施处理：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（1）整改：入围供应商在框架协议服务期间存在不合格行为的，由相关部门限定时间完成整改</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被责令整改的供应商，视作差评，记录在案；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（2）暂停交易资格：对拒不接受相关部门约谈，或者规定时间未完成整改的供应商，暂</w:t>
      </w:r>
      <w:r>
        <w:rPr>
          <w:rFonts w:hint="eastAsia" w:ascii="宋体" w:hAnsi="宋体" w:eastAsia="宋体" w:cs="宋体"/>
          <w:sz w:val="24"/>
          <w:szCs w:val="24"/>
          <w:highlight w:val="none"/>
          <w:lang w:val="en-US" w:eastAsia="zh-CN" w:bidi="ar"/>
        </w:rPr>
        <w:t xml:space="preserve">停其框架协议交易资格三个月；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终止交易资格：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第十三条 框架协议的修正和终止</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1.任何一方无正当理由不得擅自解除本框架协议，否则擅自解除框架协议的一方应向对方支付违约金；</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2.经甲、乙双方一致同意，可以修正或依法终止本框架协议；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因不可抗力导致本框架协议不能履行或不能完全履行，发生不可抗力的一方及时将情况通知对方，并采取措施减少或消除不可抗力对履行框架协议的影响。框架协议双方应根据不可抗力对框架协议的影响程度，协商确定是否终止或继续履行框架协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4.乙方发生下列情况，甲方有权单方面依法终止本框架协议：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（1）乙方破产、解散、清算、停业以及其他原因无法提供租赁服务的；</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（2）乙方设施、设备发生重大变化，无法满足提供公务出行客运服务需要。</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第十四条 框架协议的期限：</w:t>
      </w:r>
      <w:r>
        <w:rPr>
          <w:rFonts w:hint="eastAsia" w:ascii="宋体" w:hAnsi="宋体" w:eastAsia="宋体" w:cs="宋体"/>
          <w:sz w:val="24"/>
          <w:szCs w:val="24"/>
          <w:highlight w:val="none"/>
          <w:lang w:val="en-US" w:eastAsia="zh-CN" w:bidi="ar"/>
        </w:rPr>
        <w:t xml:space="preserve">202</w:t>
      </w:r>
      <w:r>
        <w:rPr>
          <w:rFonts w:hint="eastAsia" w:ascii="宋体" w:hAnsi="宋体" w:cs="宋体"/>
          <w:sz w:val="24"/>
          <w:szCs w:val="24"/>
          <w:highlight w:val="none"/>
          <w:lang w:val="en-US" w:eastAsia="zh-CN" w:bidi="ar"/>
        </w:rPr>
        <w:t xml:space="preserve">6</w:t>
      </w:r>
      <w:r>
        <w:rPr>
          <w:rFonts w:hint="eastAsia" w:ascii="宋体" w:hAnsi="宋体" w:eastAsia="宋体" w:cs="宋体"/>
          <w:sz w:val="24"/>
          <w:szCs w:val="24"/>
          <w:highlight w:val="none"/>
          <w:lang w:val="en-US" w:eastAsia="zh-CN" w:bidi="ar"/>
        </w:rPr>
        <w:t xml:space="preserve">年</w:t>
      </w:r>
      <w:r>
        <w:rPr>
          <w:rFonts w:hint="eastAsia" w:ascii="宋体" w:hAnsi="宋体" w:cs="宋体"/>
          <w:sz w:val="24"/>
          <w:szCs w:val="24"/>
          <w:highlight w:val="none"/>
          <w:u w:val="single"/>
          <w:lang w:val="en-US" w:eastAsia="zh-CN" w:bidi="ar"/>
        </w:rPr>
        <w:t xml:space="preserve">   </w:t>
      </w:r>
      <w:r>
        <w:rPr>
          <w:rFonts w:hint="eastAsia" w:ascii="宋体" w:hAnsi="宋体" w:eastAsia="宋体" w:cs="宋体"/>
          <w:sz w:val="24"/>
          <w:szCs w:val="24"/>
          <w:highlight w:val="none"/>
          <w:lang w:val="en-US" w:eastAsia="zh-CN" w:bidi="ar"/>
        </w:rPr>
        <w:t xml:space="preserve">月</w:t>
      </w:r>
      <w:r>
        <w:rPr>
          <w:rFonts w:hint="eastAsia" w:ascii="宋体" w:hAnsi="宋体" w:cs="宋体"/>
          <w:sz w:val="24"/>
          <w:szCs w:val="24"/>
          <w:highlight w:val="none"/>
          <w:u w:val="single"/>
          <w:lang w:val="en-US" w:eastAsia="zh-CN" w:bidi="ar"/>
        </w:rPr>
        <w:t xml:space="preserve">   </w:t>
      </w:r>
      <w:r>
        <w:rPr>
          <w:rFonts w:hint="eastAsia" w:ascii="宋体" w:hAnsi="宋体" w:cs="宋体"/>
          <w:sz w:val="24"/>
          <w:szCs w:val="24"/>
          <w:highlight w:val="none"/>
          <w:lang w:val="en-US" w:eastAsia="zh-CN" w:bidi="ar"/>
        </w:rPr>
        <w:t xml:space="preserve">日</w:t>
      </w:r>
      <w:r>
        <w:rPr>
          <w:rFonts w:hint="eastAsia" w:ascii="宋体" w:hAnsi="宋体" w:eastAsia="宋体" w:cs="宋体"/>
          <w:sz w:val="24"/>
          <w:szCs w:val="24"/>
          <w:highlight w:val="none"/>
          <w:lang w:val="en-US" w:eastAsia="zh-CN" w:bidi="ar"/>
        </w:rPr>
        <w:t xml:space="preserve">至202</w:t>
      </w:r>
      <w:r>
        <w:rPr>
          <w:rFonts w:hint="eastAsia" w:ascii="宋体" w:hAnsi="宋体" w:cs="宋体"/>
          <w:sz w:val="24"/>
          <w:szCs w:val="24"/>
          <w:highlight w:val="none"/>
          <w:lang w:val="en-US" w:eastAsia="zh-CN" w:bidi="ar"/>
        </w:rPr>
        <w:t xml:space="preserve">8</w:t>
      </w:r>
      <w:r>
        <w:rPr>
          <w:rFonts w:hint="eastAsia" w:ascii="宋体" w:hAnsi="宋体" w:eastAsia="宋体" w:cs="宋体"/>
          <w:sz w:val="24"/>
          <w:szCs w:val="24"/>
          <w:highlight w:val="none"/>
          <w:lang w:val="en-US" w:eastAsia="zh-CN" w:bidi="ar"/>
        </w:rPr>
        <w:t xml:space="preserve">年</w:t>
      </w:r>
      <w:r>
        <w:rPr>
          <w:rFonts w:hint="eastAsia" w:ascii="宋体" w:hAnsi="宋体" w:cs="宋体"/>
          <w:sz w:val="24"/>
          <w:szCs w:val="24"/>
          <w:highlight w:val="none"/>
          <w:u w:val="single"/>
          <w:lang w:val="en-US" w:eastAsia="zh-CN" w:bidi="ar"/>
        </w:rPr>
        <w:t xml:space="preserve">   </w:t>
      </w:r>
      <w:r>
        <w:rPr>
          <w:rFonts w:hint="eastAsia" w:ascii="宋体" w:hAnsi="宋体" w:eastAsia="宋体" w:cs="宋体"/>
          <w:sz w:val="24"/>
          <w:szCs w:val="24"/>
          <w:highlight w:val="none"/>
          <w:lang w:val="en-US" w:eastAsia="zh-CN" w:bidi="ar"/>
        </w:rPr>
        <w:t xml:space="preserve">月</w:t>
      </w:r>
      <w:r>
        <w:rPr>
          <w:rFonts w:hint="eastAsia" w:ascii="宋体" w:hAnsi="宋体" w:cs="宋体"/>
          <w:sz w:val="24"/>
          <w:szCs w:val="24"/>
          <w:highlight w:val="none"/>
          <w:u w:val="single"/>
          <w:lang w:val="en-US" w:eastAsia="zh-CN" w:bidi="ar"/>
        </w:rPr>
        <w:t xml:space="preserve">   </w:t>
      </w:r>
      <w:r>
        <w:rPr>
          <w:rFonts w:hint="eastAsia" w:ascii="宋体" w:hAnsi="宋体" w:eastAsia="宋体" w:cs="宋体"/>
          <w:sz w:val="24"/>
          <w:szCs w:val="24"/>
          <w:highlight w:val="none"/>
          <w:lang w:val="en-US" w:eastAsia="zh-CN" w:bidi="ar"/>
        </w:rPr>
        <w:t xml:space="preserve">日。</w:t>
      </w:r>
      <w:r/>
    </w:p>
    <w:p>
      <w:pPr>
        <w:ind w:left="0" w:right="0" w:firstLine="480"/>
        <w:jc w:val="left"/>
        <w:keepLines w:val="0"/>
        <w:keepNext w:val="0"/>
        <w:spacing w:before="0" w:beforeAutospacing="0" w:after="0" w:afterAutospacing="0" w:line="560" w:lineRule="exact"/>
        <w:widowControl/>
        <w:rPr>
          <w:rFonts w:hint="eastAsia" w:ascii="宋体" w:hAnsi="宋体" w:eastAsia="宋体" w:cs="Times New Roman"/>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第十五条 框架协议合同授予：</w:t>
      </w:r>
      <w:r>
        <w:rPr>
          <w:rFonts w:hint="eastAsia" w:ascii="宋体" w:hAnsi="宋体" w:eastAsia="宋体" w:cs="宋体"/>
          <w:sz w:val="24"/>
          <w:szCs w:val="24"/>
          <w:highlight w:val="none"/>
          <w:lang w:val="en-US" w:eastAsia="zh-CN" w:bidi="ar"/>
        </w:rPr>
        <w:t xml:space="preserve">确定第二阶段成交供应商应当由采购人或服务对象依据质量以及服</w:t>
      </w:r>
      <w:r>
        <w:rPr>
          <w:rFonts w:hint="eastAsia" w:ascii="宋体" w:hAnsi="宋体" w:eastAsia="宋体" w:cs="宋体"/>
          <w:bCs/>
          <w:sz w:val="24"/>
          <w:szCs w:val="24"/>
          <w:highlight w:val="none"/>
          <w:lang w:val="en-US" w:eastAsia="zh-CN" w:bidi="ar"/>
        </w:rPr>
        <w:t xml:space="preserve">务便利性、</w:t>
      </w:r>
      <w:r>
        <w:rPr>
          <w:rFonts w:hint="eastAsia" w:ascii="宋体" w:hAnsi="宋体" w:cs="宋体"/>
          <w:bCs/>
          <w:sz w:val="24"/>
          <w:szCs w:val="24"/>
          <w:highlight w:val="none"/>
          <w:lang w:val="en-US" w:eastAsia="zh-CN" w:bidi="ar"/>
        </w:rPr>
        <w:t xml:space="preserve">用车人</w:t>
      </w:r>
      <w:r>
        <w:rPr>
          <w:rFonts w:hint="eastAsia" w:ascii="宋体" w:hAnsi="宋体" w:eastAsia="宋体" w:cs="宋体"/>
          <w:bCs/>
          <w:sz w:val="24"/>
          <w:szCs w:val="24"/>
          <w:highlight w:val="none"/>
          <w:lang w:val="en-US" w:eastAsia="zh-CN" w:bidi="ar"/>
        </w:rPr>
        <w:t xml:space="preserve">评价等因素，从第一阶段入围供应商中直接选定</w:t>
      </w:r>
      <w:r>
        <w:rPr>
          <w:rFonts w:hint="eastAsia" w:ascii="宋体" w:hAnsi="宋体" w:cs="宋体"/>
          <w:sz w:val="24"/>
          <w:szCs w:val="24"/>
          <w:highlight w:val="none"/>
          <w:lang w:val="en-US" w:eastAsia="zh-CN" w:bidi="ar"/>
        </w:rPr>
        <w:t xml:space="preserve">并签订采购合同（第二阶段）</w:t>
      </w:r>
      <w:r>
        <w:rPr>
          <w:rFonts w:hint="eastAsia" w:ascii="宋体" w:hAnsi="宋体" w:eastAsia="宋体" w:cs="宋体"/>
          <w:bCs/>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第十六条 入围供应商的清退和补充规则</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第十七条 解决争议的方法</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双方在执行框架协议合同中所发生的一切争议，应通过协商解决。如协商不成，可向采购人所在地人民法院起诉。</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第十八条</w:t>
      </w:r>
      <w:r>
        <w:rPr>
          <w:rFonts w:hint="eastAsia" w:ascii="宋体" w:hAnsi="宋体" w:eastAsia="宋体" w:cs="宋体"/>
          <w:sz w:val="24"/>
          <w:szCs w:val="24"/>
          <w:highlight w:val="none"/>
          <w:lang w:val="en-US" w:eastAsia="zh-CN" w:bidi="ar"/>
        </w:rPr>
        <w:t xml:space="preserve"> 本框架协议文本一式肆份，具有同等法律效力，甲、乙双方各执贰份。</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第十九条</w:t>
      </w:r>
      <w:r>
        <w:rPr>
          <w:rFonts w:hint="eastAsia" w:ascii="宋体" w:hAnsi="宋体" w:eastAsia="宋体" w:cs="宋体"/>
          <w:sz w:val="24"/>
          <w:szCs w:val="24"/>
          <w:highlight w:val="none"/>
          <w:lang w:val="en-US" w:eastAsia="zh-CN" w:bidi="ar"/>
        </w:rPr>
        <w:t xml:space="preserve"> 本框架协议经双方签字、盖章后立即生效。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第二十条 </w:t>
      </w:r>
      <w:r>
        <w:rPr>
          <w:rFonts w:hint="eastAsia" w:ascii="宋体" w:hAnsi="宋体" w:eastAsia="宋体" w:cs="宋体"/>
          <w:sz w:val="24"/>
          <w:szCs w:val="24"/>
          <w:highlight w:val="none"/>
          <w:lang w:val="en-US" w:eastAsia="zh-CN" w:bidi="ar"/>
        </w:rPr>
        <w:t xml:space="preserve">本次采购活动中的征集文件、入围供应商的响应文件、有关澄清文件，为本框架协议不可分割的组成部分，具有与本框架协议同等的法律效</w:t>
      </w:r>
      <w:r>
        <w:rPr>
          <w:rFonts w:hint="eastAsia" w:ascii="宋体" w:hAnsi="宋体" w:cs="宋体"/>
          <w:sz w:val="24"/>
          <w:szCs w:val="24"/>
          <w:highlight w:val="none"/>
          <w:lang w:val="en-US" w:eastAsia="zh-CN" w:bidi="ar"/>
        </w:rPr>
        <w:t xml:space="preserve">力</w:t>
      </w:r>
      <w:r>
        <w:rPr>
          <w:rFonts w:hint="eastAsia" w:ascii="宋体" w:hAnsi="宋体" w:eastAsia="宋体" w:cs="宋体"/>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第二十一条 </w:t>
      </w:r>
      <w:r>
        <w:rPr>
          <w:rFonts w:hint="eastAsia" w:ascii="宋体" w:hAnsi="宋体" w:eastAsia="宋体" w:cs="宋体"/>
          <w:sz w:val="24"/>
          <w:szCs w:val="24"/>
          <w:highlight w:val="none"/>
          <w:lang w:val="en-US" w:eastAsia="zh-CN" w:bidi="ar"/>
        </w:rPr>
        <w:t xml:space="preserve">本框架协议未注明事项征集文件中有规定的，按征集文件中的规定处理，没有规定的或未尽事宜，遵照《中华人民共和国民法典》有关条文执行。</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甲方（单位盖章）：                   乙方（单位盖章）：</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法定代表人（签字或盖章）：           法定代表人（签字或盖章）：</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地址：                               地址：</w:t>
      </w:r>
      <w:r/>
    </w:p>
    <w:p>
      <w:pPr>
        <w:ind w:left="0" w:right="0" w:firstLine="480"/>
        <w:jc w:val="both"/>
        <w:keepLines w:val="0"/>
        <w:keepNext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联系电话：                           联系电话：</w:t>
      </w:r>
      <w:r/>
    </w:p>
    <w:p>
      <w:pPr>
        <w:ind w:firstLine="2880"/>
        <w:jc w:val="both"/>
        <w:keepLines w:val="0"/>
        <w:keepNext w:val="0"/>
        <w:pageBreakBefore w:val="0"/>
        <w:spacing w:line="480" w:lineRule="exact"/>
        <w:widowControl/>
        <w:rPr>
          <w:rFonts w:hint="eastAsia" w:hAnsi="宋体" w:cs="宋体"/>
          <w:color w:val="auto"/>
          <w:sz w:val="24"/>
          <w:szCs w:val="24"/>
          <w:highlight w:val="none"/>
        </w:rPr>
      </w:pPr>
      <w:r>
        <w:rPr>
          <w:rFonts w:hint="eastAsia" w:hAnsi="宋体" w:cs="宋体"/>
          <w:color w:val="auto"/>
          <w:sz w:val="24"/>
          <w:szCs w:val="24"/>
          <w:highlight w:val="none"/>
        </w:rPr>
      </w:r>
      <w:r/>
    </w:p>
    <w:p>
      <w:pPr>
        <w:ind w:firstLine="5280"/>
        <w:jc w:val="both"/>
        <w:keepLines w:val="0"/>
        <w:keepNext w:val="0"/>
        <w:pageBreakBefore w:val="0"/>
        <w:spacing w:line="480" w:lineRule="exact"/>
        <w:widowControl/>
        <w:rPr>
          <w:rFonts w:hint="eastAsia" w:ascii="宋体" w:hAnsi="宋体" w:eastAsia="宋体" w:cs="宋体"/>
          <w:b/>
          <w:bCs/>
          <w:sz w:val="30"/>
          <w:szCs w:val="30"/>
          <w:highlight w:val="none"/>
        </w:rPr>
      </w:pPr>
      <w:r>
        <w:rPr>
          <w:rFonts w:hint="eastAsia" w:hAnsi="宋体" w:cs="宋体"/>
          <w:color w:val="auto"/>
          <w:sz w:val="24"/>
          <w:szCs w:val="24"/>
          <w:highlight w:val="none"/>
        </w:rPr>
        <w:t xml:space="preserve">签订日期：      年    月   日</w:t>
      </w:r>
      <w:r/>
    </w:p>
    <w:p>
      <w:pPr>
        <w:pStyle w:val="814"/>
        <w:jc w:val="right"/>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left="0" w:right="0"/>
        <w:jc w:val="center"/>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黑体" w:hAnsi="宋体" w:eastAsia="黑体" w:cs="黑体"/>
          <w:bCs/>
          <w:sz w:val="30"/>
          <w:szCs w:val="30"/>
          <w:highlight w:val="none"/>
          <w:lang w:val="en-US" w:eastAsia="zh-CN" w:bidi="ar"/>
        </w:rPr>
        <w:t xml:space="preserve">采购合同文本（第二阶段）</w:t>
      </w:r>
      <w:r/>
    </w:p>
    <w:p>
      <w:pPr>
        <w:ind w:left="0" w:right="0" w:firstLine="482"/>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b/>
          <w:bCs/>
          <w:sz w:val="24"/>
          <w:szCs w:val="24"/>
          <w:highlight w:val="none"/>
          <w:lang w:val="en-US" w:eastAsia="zh-CN" w:bidi="ar"/>
        </w:rPr>
        <w:t xml:space="preserve">一、</w:t>
      </w:r>
      <w:r>
        <w:rPr>
          <w:rFonts w:hint="eastAsia" w:ascii="宋体" w:hAnsi="宋体" w:eastAsia="宋体" w:cs="宋体"/>
          <w:b/>
          <w:bCs/>
          <w:sz w:val="24"/>
          <w:szCs w:val="24"/>
          <w:highlight w:val="none"/>
          <w:lang w:val="en-US" w:eastAsia="zh-CN" w:bidi="ar"/>
        </w:rPr>
        <w:t xml:space="preserve">本项目的</w:t>
      </w:r>
      <w:r>
        <w:rPr>
          <w:rFonts w:hint="eastAsia" w:ascii="宋体" w:hAnsi="宋体" w:cs="宋体"/>
          <w:b/>
          <w:bCs/>
          <w:sz w:val="24"/>
          <w:szCs w:val="24"/>
          <w:highlight w:val="none"/>
          <w:lang w:val="en-US" w:eastAsia="zh-CN" w:bidi="ar"/>
        </w:rPr>
        <w:t xml:space="preserve">用车表格即为</w:t>
      </w:r>
      <w:r>
        <w:rPr>
          <w:rFonts w:hint="eastAsia" w:ascii="宋体" w:hAnsi="宋体" w:eastAsia="宋体" w:cs="宋体"/>
          <w:b/>
          <w:bCs/>
          <w:sz w:val="24"/>
          <w:szCs w:val="24"/>
          <w:highlight w:val="none"/>
          <w:lang w:val="en-US" w:eastAsia="zh-CN" w:bidi="ar"/>
        </w:rPr>
        <w:t xml:space="preserve">具有合同性质的凭单、订单。</w:t>
      </w:r>
      <w:r/>
    </w:p>
    <w:p>
      <w:pPr>
        <w:ind w:left="0" w:right="0" w:firstLine="482"/>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需方（采购人）：                         </w:t>
      </w:r>
      <w:r/>
    </w:p>
    <w:p>
      <w:pPr>
        <w:ind w:left="0" w:right="0" w:firstLine="482"/>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供方（供应商）：                         </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用车内容：（填写于下方表格）</w:t>
      </w:r>
      <w:r/>
    </w:p>
    <w:tbl>
      <w:tblPr>
        <w:tblStyle w:val="808"/>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19"/>
        <w:gridCol w:w="912"/>
        <w:gridCol w:w="305"/>
        <w:gridCol w:w="541"/>
        <w:gridCol w:w="805"/>
        <w:gridCol w:w="885"/>
        <w:gridCol w:w="435"/>
        <w:gridCol w:w="418"/>
        <w:gridCol w:w="602"/>
        <w:gridCol w:w="181"/>
        <w:gridCol w:w="751"/>
        <w:gridCol w:w="32"/>
        <w:gridCol w:w="963"/>
        <w:gridCol w:w="1023"/>
      </w:tblGrid>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用车单位</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用车人</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用车人电话</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用车事由</w:t>
            </w:r>
            <w:r/>
          </w:p>
        </w:tc>
        <w:tc>
          <w:tcPr>
            <w:gridSpan w:val="6"/>
            <w:shd w:val="clear" w:color="auto" w:fill="auto"/>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用车时间</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出发</w:t>
            </w:r>
            <w:r>
              <w:rPr>
                <w:rFonts w:hint="eastAsia" w:ascii="宋体" w:hAnsi="宋体" w:eastAsia="宋体" w:cs="宋体"/>
                <w:color w:val="auto"/>
                <w:sz w:val="24"/>
                <w:szCs w:val="24"/>
                <w:highlight w:val="none"/>
                <w:lang w:val="en-US" w:eastAsia="zh-CN" w:bidi="ar"/>
              </w:rPr>
              <w:t xml:space="preserve">地点</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目的地点</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保障</w:t>
            </w:r>
            <w:r/>
          </w:p>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类型</w:t>
            </w:r>
            <w:r/>
          </w:p>
        </w:tc>
        <w:tc>
          <w:tcPr>
            <w:gridSpan w:val="2"/>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w:t>
            </w:r>
            <w:r/>
          </w:p>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人数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服务车型</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服务</w:t>
            </w:r>
            <w:r/>
          </w:p>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车牌号</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驾驶员</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出场里程（Km）</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回场里程（Km）</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服务里程   （Km）</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出发时间</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结束时间</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服务时长    （小时）</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bookmarkStart w:id="172" w:name="OLE_LINK19"/>
            <w:r>
              <w:rPr>
                <w:rFonts w:hint="eastAsia" w:ascii="宋体" w:hAnsi="宋体" w:cs="宋体"/>
                <w:color w:val="auto"/>
                <w:sz w:val="24"/>
                <w:highlight w:val="none"/>
              </w:rPr>
              <w:t xml:space="preserve">半日租/日租费用</w:t>
            </w:r>
            <w:bookmarkEnd w:id="172"/>
            <w:r>
              <w:rPr>
                <w:rFonts w:hint="eastAsia" w:ascii="宋体" w:hAnsi="宋体" w:eastAsia="宋体" w:cs="Times New Roman"/>
                <w:color w:val="auto"/>
                <w:sz w:val="24"/>
                <w:szCs w:val="24"/>
                <w:highlight w:val="none"/>
              </w:rPr>
              <w:t xml:space="preserve">（元）</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超公里  费用    （元）</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超时  费用（元）</w:t>
            </w:r>
            <w:r/>
          </w:p>
        </w:tc>
        <w:tc>
          <w:tcPr>
            <w:gridSpan w:val="2"/>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停车费（元）</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过桥过路费（元）</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住宿费（元）</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其他费用（元）</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总费用（元）</w:t>
            </w:r>
            <w:r/>
          </w:p>
        </w:tc>
        <w:tc>
          <w:tcPr>
            <w:gridSpan w:val="13"/>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服务意见反馈</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优</w:t>
            </w:r>
            <w:r/>
          </w:p>
        </w:tc>
        <w:tc>
          <w:tcPr>
            <w:gridSpan w:val="2"/>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良</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合格</w:t>
            </w:r>
            <w:r/>
          </w:p>
        </w:tc>
        <w:tc>
          <w:tcPr>
            <w:gridSpan w:val="2"/>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不合格</w:t>
            </w:r>
            <w:r/>
          </w:p>
        </w:tc>
        <w:tc>
          <w:tcPr>
            <w:shd w:val="clear" w:color="auto" w:fill="auto"/>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在对应处打“√”</w:t>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用车人  签字</w:t>
            </w:r>
            <w:r/>
          </w:p>
        </w:tc>
        <w:tc>
          <w:tcPr>
            <w:gridSpan w:val="6"/>
            <w:shd w:val="clear" w:color="auto" w:fill="auto"/>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驾驶员签字</w:t>
            </w:r>
            <w:r/>
          </w:p>
        </w:tc>
        <w:tc>
          <w:tcPr>
            <w:gridSpan w:val="5"/>
            <w:shd w:val="clear" w:color="auto" w:fill="auto"/>
            <w:tcBorders>
              <w:top w:val="single" w:color="auto" w:sz="4" w:space="0"/>
              <w:left w:val="single" w:color="auto" w:sz="4" w:space="0"/>
              <w:bottom w:val="single" w:color="auto" w:sz="4" w:space="0"/>
              <w:right w:val="single" w:color="auto" w:sz="4" w:space="0"/>
            </w:tcBorders>
            <w:tcW w:w="295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备注</w:t>
            </w:r>
            <w:r/>
          </w:p>
        </w:tc>
        <w:tc>
          <w:tcPr>
            <w:gridSpan w:val="13"/>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numPr>
                <w:ilvl w:val="0"/>
                <w:numId w:val="2"/>
              </w:numPr>
              <w:ind w:left="0" w:right="0"/>
              <w:jc w:val="both"/>
              <w:keepLines w:val="0"/>
              <w:keepNext w:val="0"/>
              <w:spacing w:before="0" w:beforeAutospacing="0" w:after="0" w:afterAutospacing="0" w:line="360" w:lineRule="auto"/>
              <w:widowControl w:val="off"/>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t xml:space="preserve">凭轨迹图报销</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含起始结束时间、以及总里程数</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w:t>
            </w:r>
            <w:r/>
          </w:p>
          <w:p>
            <w:pPr>
              <w:spacing w:after="0" w:line="360" w:lineRule="auto"/>
              <w:rPr>
                <w:rFonts w:hint="default" w:eastAsia="宋体"/>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请各单位出发前仔细对照所用车辆的车牌号，务必与</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全省一张网”</w:t>
            </w:r>
            <w:r>
              <w:rPr>
                <w:rFonts w:ascii="宋体" w:hAnsi="宋体" w:eastAsia="宋体" w:cs="Times New Roman"/>
                <w:color w:val="auto"/>
                <w:sz w:val="24"/>
                <w:szCs w:val="24"/>
                <w:highlight w:val="none"/>
              </w:rPr>
              <w:t xml:space="preserve">发出的短信中车牌号核对一致，确保用车安全。</w:t>
            </w:r>
            <w:r/>
          </w:p>
        </w:tc>
      </w:tr>
    </w:tbl>
    <w:p>
      <w:pPr>
        <w:numPr>
          <w:ilvl w:val="0"/>
          <w:numId w:val="3"/>
        </w:numPr>
        <w:ind w:left="0" w:right="0" w:firstLine="482"/>
        <w:jc w:val="left"/>
        <w:keepLines w:val="0"/>
        <w:keepNext w:val="0"/>
        <w:pageBreakBefore w:val="0"/>
        <w:spacing w:before="0" w:beforeAutospacing="0" w:after="0" w:afterAutospacing="0" w:line="520" w:lineRule="exact"/>
        <w:widowControl w:val="off"/>
        <w:rPr>
          <w:rFonts w:hint="eastAsia"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合同不可分割部分：</w:t>
      </w:r>
      <w:r/>
    </w:p>
    <w:p>
      <w:pPr>
        <w:numPr>
          <w:ilvl w:val="0"/>
          <w:numId w:val="0"/>
        </w:numPr>
        <w:ind w:right="0" w:firstLine="480"/>
        <w:jc w:val="left"/>
        <w:keepLines w:val="0"/>
        <w:keepNext w:val="0"/>
        <w:pageBreakBefore w:val="0"/>
        <w:spacing w:before="0" w:beforeAutospacing="0" w:after="0" w:afterAutospacing="0" w:line="52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征集文件、响应文件、框架协议及入围通知书，供应商在报价、评审过程中所作其它有关承诺、声明、书面澄清等均为合同不可分割的部分，与主合同具有同等法律效力。</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三、供需双方如有其他要求，可参照征集文件，响应文件（采购人不得向供应商提出超出征集文件以外的任何要求作为签订合同的条件），不得与供应商订立背离征集文件确定的合同文本以及采购项目、服务要求等实质性内容的协议) ，并在不违反框架协议内容的前提下，供需双方自行拟定补充条款。</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四、根据《政府采购法》相关规定，供需双方不得擅自变更、中止或终止合同。</w:t>
      </w:r>
      <w:r/>
    </w:p>
    <w:p>
      <w:pPr>
        <w:ind w:left="0" w:right="0"/>
        <w:jc w:val="left"/>
        <w:keepLines w:val="0"/>
        <w:keepNext w:val="0"/>
        <w:spacing w:before="0" w:beforeAutospacing="0" w:after="0" w:afterAutospacing="0" w:line="360" w:lineRule="auto"/>
        <w:widowControl/>
        <w:rPr>
          <w:rFonts w:hint="eastAsia" w:ascii="宋体" w:hAnsi="宋体" w:eastAsia="宋体" w:cs="Times New Roman"/>
          <w:bCs/>
          <w:sz w:val="24"/>
          <w:szCs w:val="24"/>
          <w:highlight w:val="none"/>
        </w:rPr>
        <w:suppressLineNumbers w:val="0"/>
      </w:pPr>
      <w:r>
        <w:rPr>
          <w:rFonts w:hint="eastAsia" w:ascii="宋体" w:hAnsi="宋体" w:eastAsia="宋体" w:cs="Times New Roman"/>
          <w:bCs/>
          <w:sz w:val="24"/>
          <w:szCs w:val="24"/>
          <w:highlight w:val="none"/>
          <w:lang w:val="en-US" w:eastAsia="zh-CN" w:bidi="ar"/>
        </w:rPr>
        <w:t xml:space="preserve"> </w:t>
      </w:r>
      <w:r/>
    </w:p>
    <w:p>
      <w:pPr>
        <w:ind w:left="0" w:right="0"/>
        <w:jc w:val="left"/>
        <w:keepLines w:val="0"/>
        <w:keepNext w:val="0"/>
        <w:spacing w:before="0" w:beforeAutospacing="0" w:after="0" w:afterAutospacing="0" w:line="440" w:lineRule="exact"/>
        <w:widowControl/>
        <w:rPr>
          <w:rFonts w:hint="eastAsia" w:ascii="宋体" w:hAnsi="宋体" w:eastAsia="宋体" w:cs="Times New Roman"/>
          <w:bCs/>
          <w:sz w:val="24"/>
          <w:szCs w:val="24"/>
          <w:highlight w:val="none"/>
        </w:rPr>
        <w:suppressLineNumbers w:val="0"/>
      </w:pPr>
      <w:r>
        <w:rPr>
          <w:rFonts w:hint="eastAsia" w:ascii="宋体" w:hAnsi="宋体" w:cs="Times New Roman"/>
          <w:bCs/>
          <w:sz w:val="24"/>
          <w:szCs w:val="24"/>
          <w:highlight w:val="none"/>
          <w:lang w:val="en-US" w:eastAsia="zh-CN" w:bidi="ar"/>
        </w:rPr>
        <w:t xml:space="preserve">  </w:t>
      </w:r>
      <w:r>
        <w:rPr>
          <w:rFonts w:hint="eastAsia" w:ascii="宋体" w:hAnsi="宋体" w:eastAsia="宋体" w:cs="Times New Roman"/>
          <w:bCs/>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bCs/>
          <w:sz w:val="24"/>
          <w:szCs w:val="24"/>
          <w:highlight w:val="none"/>
          <w:u w:val="single"/>
        </w:rPr>
        <w:suppressLineNumbers w:val="0"/>
      </w:pPr>
      <w:r>
        <w:rPr>
          <w:rFonts w:hint="eastAsia" w:ascii="宋体" w:hAnsi="宋体" w:eastAsia="宋体" w:cs="宋体"/>
          <w:bCs/>
          <w:sz w:val="24"/>
          <w:szCs w:val="24"/>
          <w:highlight w:val="none"/>
          <w:lang w:val="en-US" w:eastAsia="zh-CN" w:bidi="ar"/>
        </w:rPr>
        <w:t xml:space="preserve">需方（</w:t>
      </w:r>
      <w:r>
        <w:rPr>
          <w:rFonts w:hint="eastAsia" w:ascii="宋体" w:hAnsi="宋体" w:cs="宋体"/>
          <w:bCs/>
          <w:sz w:val="24"/>
          <w:szCs w:val="24"/>
          <w:highlight w:val="none"/>
          <w:lang w:val="en-US" w:eastAsia="zh-CN" w:bidi="ar"/>
        </w:rPr>
        <w:t xml:space="preserve">采购</w:t>
      </w:r>
      <w:r>
        <w:rPr>
          <w:rFonts w:hint="eastAsia" w:ascii="宋体" w:hAnsi="宋体" w:eastAsia="宋体" w:cs="宋体"/>
          <w:bCs/>
          <w:sz w:val="24"/>
          <w:szCs w:val="24"/>
          <w:highlight w:val="none"/>
          <w:lang w:val="en-US" w:eastAsia="zh-CN" w:bidi="ar"/>
        </w:rPr>
        <w:t xml:space="preserve">人）：</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（盖章）</w:t>
      </w:r>
      <w:r>
        <w:rPr>
          <w:rFonts w:hint="eastAsia" w:ascii="宋体" w:hAnsi="宋体" w:eastAsia="宋体" w:cs="Times New Roman"/>
          <w:bCs/>
          <w:sz w:val="24"/>
          <w:szCs w:val="24"/>
          <w:highlight w:val="none"/>
          <w:lang w:val="en-US" w:eastAsia="zh-CN" w:bidi="ar"/>
        </w:rPr>
        <w:t xml:space="preserve">   </w:t>
      </w:r>
      <w:r>
        <w:rPr>
          <w:rFonts w:hint="eastAsia" w:ascii="宋体" w:hAnsi="宋体" w:eastAsia="宋体" w:cs="宋体"/>
          <w:bCs/>
          <w:sz w:val="24"/>
          <w:szCs w:val="24"/>
          <w:highlight w:val="none"/>
          <w:lang w:val="en-US" w:eastAsia="zh-CN" w:bidi="ar"/>
        </w:rPr>
        <w:t xml:space="preserve">供方（供应商）：</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（盖章）</w:t>
      </w:r>
      <w:r/>
    </w:p>
    <w:p>
      <w:pPr>
        <w:pStyle w:val="782"/>
        <w:ind w:firstLine="480"/>
        <w:rPr>
          <w:rFonts w:hint="eastAsia"/>
          <w:highlight w:val="none"/>
        </w:rPr>
      </w:pP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年</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月</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日</w:t>
      </w:r>
      <w:r>
        <w:rPr>
          <w:rFonts w:hint="eastAsia" w:ascii="宋体" w:hAnsi="宋体" w:eastAsia="宋体" w:cs="Times New Roman"/>
          <w:bCs/>
          <w:sz w:val="24"/>
          <w:szCs w:val="24"/>
          <w:highlight w:val="none"/>
          <w:lang w:val="en-US" w:eastAsia="zh-CN" w:bidi="ar"/>
        </w:rPr>
        <w:t xml:space="preserve">               </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年</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月</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日</w:t>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highlight w:val="none"/>
        </w:rPr>
        <w:sectPr>
          <w:footerReference w:type="default" r:id="rId11"/>
          <w:footnotePr/>
          <w:endnotePr/>
          <w:type w:val="nextPage"/>
          <w:pgSz w:w="11900" w:h="16838" w:orient="portrait"/>
          <w:pgMar w:top="1440" w:right="1080" w:bottom="1440" w:left="1080" w:header="0" w:footer="1191" w:gutter="0"/>
          <w:pgNumType w:start="1"/>
          <w:cols w:num="1" w:sep="0" w:space="0" w:equalWidth="1"/>
          <w:docGrid w:linePitch="360"/>
        </w:sectPr>
      </w:pPr>
      <w:r>
        <w:rPr>
          <w:rFonts w:hint="eastAsia"/>
          <w:highlight w:val="none"/>
        </w:rPr>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政府采购合同履约验收书（参考格式）</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根据政府采购合同（编号：</w:t>
      </w:r>
      <w:r>
        <w:rPr>
          <w:rFonts w:ascii="SimSun" w:hAnsi="SimSun" w:eastAsia="SimSun" w:cs="SimSun"/>
          <w:color w:val="000000"/>
          <w:sz w:val="24"/>
          <w:u w:val="single"/>
        </w:rPr>
        <w:t xml:space="preserve">          </w:t>
      </w:r>
      <w:r>
        <w:rPr>
          <w:rFonts w:ascii="SimSun" w:hAnsi="SimSun" w:eastAsia="SimSun" w:cs="SimSun"/>
          <w:color w:val="000000"/>
          <w:sz w:val="24"/>
        </w:rPr>
        <w:t xml:space="preserve">）的约定，我单位组织对</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项目中标（成交）供应商</w:t>
      </w:r>
      <w:r>
        <w:rPr>
          <w:rFonts w:ascii="SimSun" w:hAnsi="SimSun" w:eastAsia="SimSun" w:cs="SimSun"/>
          <w:color w:val="000000"/>
          <w:sz w:val="24"/>
          <w:u w:val="single"/>
        </w:rPr>
        <w:t xml:space="preserve">（公司名称）</w:t>
      </w:r>
      <w:r>
        <w:rPr>
          <w:rFonts w:ascii="SimSun" w:hAnsi="SimSun" w:eastAsia="SimSun" w:cs="SimSun"/>
          <w:color w:val="000000"/>
          <w:sz w:val="24"/>
        </w:rPr>
        <w:t xml:space="preserve">提供的货物（工程、服务）进行了履约验收，验收情况如下：</w:t>
      </w:r>
      <w:r/>
    </w:p>
    <w:tbl>
      <w:tblPr>
        <w:tblStyle w:val="8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1"/>
        <w:gridCol w:w="2416"/>
        <w:gridCol w:w="1564"/>
        <w:gridCol w:w="3164"/>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6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6"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验收情况和验收意见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（可另附）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验收小组（签名）：</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供应商确认意见（签章）：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采购人确认意见（签章）：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bl>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highlight w:val="none"/>
        </w:rPr>
      </w:r>
      <w:r>
        <w:rPr>
          <w:highlight w:val="none"/>
        </w:rPr>
      </w:r>
      <w:r/>
    </w:p>
    <w:p>
      <w:pPr>
        <w:jc w:val="center"/>
        <w:keepLines w:val="0"/>
        <w:keepNext w:val="0"/>
        <w:pageBreakBefore w:val="0"/>
        <w:spacing w:after="120" w:line="480" w:lineRule="exact"/>
        <w:rPr>
          <w:highlight w:val="none"/>
        </w:rPr>
        <w:pBdr>
          <w:top w:val="none" w:color="000000" w:sz="0" w:space="0"/>
          <w:left w:val="none" w:color="000000" w:sz="0" w:space="0"/>
          <w:bottom w:val="none" w:color="000000" w:sz="0" w:space="0"/>
          <w:right w:val="none" w:color="000000" w:sz="0" w:space="0"/>
        </w:pBdr>
        <w:outlineLvl w:val="0"/>
      </w:pPr>
      <w:r>
        <w:rPr>
          <w:highlight w:val="none"/>
        </w:rPr>
      </w:r>
      <w:r>
        <w:rPr>
          <w:highlight w:val="none"/>
        </w:rPr>
      </w:r>
      <w:r/>
    </w:p>
    <w:p>
      <w:pPr>
        <w:jc w:val="center"/>
        <w:keepLines w:val="0"/>
        <w:keepNext w:val="0"/>
        <w:pageBreakBefore w:val="0"/>
        <w:spacing w:after="120" w:line="480" w:lineRule="exact"/>
        <w:rPr>
          <w:highlight w:val="none"/>
        </w:rPr>
        <w:pBdr>
          <w:top w:val="none" w:color="000000" w:sz="0" w:space="0"/>
          <w:left w:val="none" w:color="000000" w:sz="0" w:space="0"/>
          <w:bottom w:val="none" w:color="000000" w:sz="0" w:space="0"/>
          <w:right w:val="none" w:color="000000" w:sz="0" w:space="0"/>
        </w:pBdr>
        <w:outlineLvl w:val="0"/>
      </w:pPr>
      <w:r>
        <w:rPr>
          <w:highlight w:val="none"/>
        </w:rPr>
      </w:r>
      <w:r>
        <w:rPr>
          <w:highlight w:val="none"/>
        </w:rPr>
      </w:r>
      <w:r/>
    </w:p>
    <w:p>
      <w:pPr>
        <w:jc w:val="center"/>
        <w:keepLines w:val="0"/>
        <w:keepNext w:val="0"/>
        <w:pageBreakBefore w:val="0"/>
        <w:spacing w:after="120" w:line="480" w:lineRule="exact"/>
        <w:rPr>
          <w:highlight w:val="none"/>
        </w:rPr>
        <w:pBdr>
          <w:top w:val="none" w:color="000000" w:sz="0" w:space="0"/>
          <w:left w:val="none" w:color="000000" w:sz="0" w:space="0"/>
          <w:bottom w:val="none" w:color="000000" w:sz="0" w:space="0"/>
          <w:right w:val="none" w:color="000000" w:sz="0" w:space="0"/>
        </w:pBdr>
        <w:outlineLvl w:val="0"/>
      </w:pPr>
      <w:r>
        <w:rPr>
          <w:highlight w:val="none"/>
        </w:rPr>
      </w:r>
      <w:r>
        <w:rPr>
          <w:highlight w:val="none"/>
        </w:rPr>
      </w:r>
      <w:r/>
    </w:p>
    <w:p>
      <w:pPr>
        <w:jc w:val="center"/>
        <w:keepLines w:val="0"/>
        <w:keepNext w:val="0"/>
        <w:pageBreakBefore w:val="0"/>
        <w:spacing w:after="120" w:line="480" w:lineRule="exact"/>
        <w:rPr>
          <w:highlight w:val="none"/>
        </w:rPr>
        <w:pBdr>
          <w:top w:val="none" w:color="000000" w:sz="0" w:space="0"/>
          <w:left w:val="none" w:color="000000" w:sz="0" w:space="0"/>
          <w:bottom w:val="none" w:color="000000" w:sz="0" w:space="0"/>
          <w:right w:val="none" w:color="000000" w:sz="0" w:space="0"/>
        </w:pBdr>
        <w:outlineLvl w:val="0"/>
      </w:pPr>
      <w:r>
        <w:rPr>
          <w:highlight w:val="none"/>
        </w:rPr>
      </w:r>
      <w:r>
        <w:rPr>
          <w:highlight w:val="none"/>
        </w:rPr>
      </w:r>
      <w:r/>
    </w:p>
    <w:p>
      <w:pPr>
        <w:jc w:val="center"/>
        <w:keepLines w:val="0"/>
        <w:keepNext w:val="0"/>
        <w:pageBreakBefore w:val="0"/>
        <w:spacing w:after="120" w:line="480" w:lineRule="exact"/>
        <w:rPr>
          <w:highlight w:val="none"/>
        </w:rPr>
        <w:pBdr>
          <w:top w:val="none" w:color="000000" w:sz="0" w:space="0"/>
          <w:left w:val="none" w:color="000000" w:sz="0" w:space="0"/>
          <w:bottom w:val="none" w:color="000000" w:sz="0" w:space="0"/>
          <w:right w:val="none" w:color="000000" w:sz="0" w:space="0"/>
        </w:pBdr>
        <w:outlineLvl w:val="0"/>
      </w:pPr>
      <w:r/>
      <w:bookmarkStart w:id="173" w:name="_Toc30702"/>
      <w:r/>
      <w:bookmarkStart w:id="174" w:name="_Toc183693305"/>
      <w:r/>
      <w:bookmarkStart w:id="175" w:name="_Toc128039582"/>
      <w:r>
        <w:rPr>
          <w:rFonts w:hint="eastAsia" w:ascii="宋体" w:hAnsi="宋体" w:eastAsia="宋体" w:cs="宋体"/>
          <w:b/>
          <w:bCs/>
          <w:color w:val="000000"/>
          <w:sz w:val="32"/>
          <w:szCs w:val="32"/>
          <w:highlight w:val="none"/>
        </w:rPr>
        <w:t xml:space="preserve">第四章 采购需求</w:t>
      </w:r>
      <w:bookmarkEnd w:id="173"/>
      <w:r/>
      <w:bookmarkEnd w:id="174"/>
      <w:r/>
      <w:bookmarkEnd w:id="175"/>
      <w:r/>
      <w:r/>
    </w:p>
    <w:p>
      <w:pPr>
        <w:ind w:firstLine="482"/>
        <w:keepLines w:val="0"/>
        <w:keepNext w:val="0"/>
        <w:pageBreakBefore w:val="0"/>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项目类型：服务类项目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cs="宋体"/>
          <w:b/>
          <w:bCs/>
          <w:sz w:val="24"/>
          <w:szCs w:val="24"/>
          <w:highlight w:val="none"/>
          <w:lang w:val="en-US" w:eastAsia="zh-CN" w:bidi="ar"/>
        </w:rPr>
        <w:t xml:space="preserve">一、</w:t>
      </w:r>
      <w:r>
        <w:rPr>
          <w:rFonts w:hint="eastAsia" w:ascii="宋体" w:hAnsi="宋体" w:eastAsia="宋体" w:cs="宋体"/>
          <w:b/>
          <w:bCs/>
          <w:sz w:val="24"/>
          <w:szCs w:val="24"/>
          <w:highlight w:val="none"/>
          <w:lang w:val="en-US" w:eastAsia="zh-CN" w:bidi="ar"/>
        </w:rPr>
        <w:t xml:space="preserve">采购需求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1.项目概况</w:t>
      </w:r>
      <w:r/>
    </w:p>
    <w:p>
      <w:pPr>
        <w:ind w:left="0" w:right="0" w:firstLine="480"/>
        <w:jc w:val="left"/>
        <w:keepLines w:val="0"/>
        <w:keepNext w:val="0"/>
        <w:spacing w:before="0" w:beforeAutospacing="0" w:after="0" w:afterAutospacing="0" w:line="560" w:lineRule="exact"/>
        <w:widowControl/>
        <w:rPr>
          <w:rFonts w:hint="default"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1.1 项目名称：</w:t>
      </w:r>
      <w:r>
        <w:rPr>
          <w:rFonts w:hint="eastAsia" w:ascii="宋体" w:hAnsi="宋体" w:cs="宋体"/>
          <w:sz w:val="24"/>
          <w:szCs w:val="24"/>
          <w:highlight w:val="none"/>
          <w:lang w:val="en-US" w:eastAsia="zh-CN" w:bidi="ar"/>
        </w:rPr>
        <w:t xml:space="preserve">2026-2027年度大丰区党政机关、事业单位和团体组织公务用车社会化租赁服务</w:t>
      </w:r>
      <w:r>
        <w:rPr>
          <w:rFonts w:hint="eastAsia" w:ascii="宋体" w:hAnsi="宋体" w:eastAsia="宋体" w:cs="宋体"/>
          <w:sz w:val="24"/>
          <w:szCs w:val="24"/>
          <w:highlight w:val="none"/>
          <w:lang w:val="en-US" w:eastAsia="zh-CN" w:bidi="ar"/>
        </w:rPr>
        <w:t xml:space="preserve">                                             </w:t>
      </w:r>
      <w:r/>
    </w:p>
    <w:p>
      <w:pPr>
        <w:ind w:left="0" w:right="0" w:firstLine="480"/>
        <w:jc w:val="left"/>
        <w:keepLines w:val="0"/>
        <w:keepNext w:val="0"/>
        <w:spacing w:before="0" w:beforeAutospacing="0" w:after="0" w:afterAutospacing="0" w:line="560" w:lineRule="exact"/>
        <w:widowControl/>
        <w:rPr>
          <w:rFonts w:hint="default"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1.2 框架协议的期限：</w:t>
      </w:r>
      <w:r>
        <w:rPr>
          <w:rFonts w:hint="eastAsia" w:ascii="宋体" w:hAnsi="宋体" w:cs="宋体"/>
          <w:sz w:val="24"/>
          <w:szCs w:val="24"/>
          <w:highlight w:val="none"/>
          <w:lang w:val="en-US" w:eastAsia="zh-CN" w:bidi="ar"/>
        </w:rPr>
        <w:t xml:space="preserve">24个月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1.3 采购方式：封闭式框架协议采购</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1.4 征集人：</w:t>
      </w:r>
      <w:r>
        <w:rPr>
          <w:rFonts w:hint="eastAsia" w:ascii="宋体" w:hAnsi="宋体" w:cs="宋体"/>
          <w:sz w:val="24"/>
          <w:szCs w:val="24"/>
          <w:highlight w:val="none"/>
          <w:lang w:val="en-US" w:eastAsia="zh-CN" w:bidi="ar"/>
        </w:rPr>
        <w:t xml:space="preserve">盐城市大丰区机关事务服务中心</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1.5 适用框架协议的采购人或服务对象范围：</w:t>
      </w:r>
      <w:r>
        <w:rPr>
          <w:rFonts w:hint="eastAsia" w:ascii="宋体" w:hAnsi="宋体" w:cs="宋体"/>
          <w:sz w:val="24"/>
          <w:szCs w:val="24"/>
          <w:highlight w:val="none"/>
          <w:lang w:val="en-US" w:eastAsia="zh-CN" w:bidi="ar"/>
        </w:rPr>
        <w:t xml:space="preserve">大丰区本级</w:t>
      </w:r>
      <w:r>
        <w:rPr>
          <w:rFonts w:hint="eastAsia" w:ascii="宋体" w:hAnsi="宋体" w:eastAsia="宋体" w:cs="宋体"/>
          <w:sz w:val="24"/>
          <w:szCs w:val="24"/>
          <w:highlight w:val="none"/>
          <w:lang w:val="en-US" w:eastAsia="zh-CN" w:bidi="ar"/>
        </w:rPr>
        <w:t xml:space="preserve">党政机关、事业单位及团体组织。</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1.6 采购标段的划分：</w:t>
      </w:r>
      <w:r/>
    </w:p>
    <w:p>
      <w:pPr>
        <w:ind w:left="0" w:right="0" w:firstLine="480"/>
        <w:jc w:val="left"/>
        <w:keepLines w:val="0"/>
        <w:keepNext w:val="0"/>
        <w:spacing w:before="0" w:beforeAutospacing="0" w:after="0" w:afterAutospacing="0" w:line="560" w:lineRule="exact"/>
        <w:widowControl/>
        <w:rPr>
          <w:rFonts w:hint="default"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一标段：9座（含）以下轿车、</w:t>
      </w:r>
      <w:r>
        <w:rPr>
          <w:rFonts w:hint="eastAsia" w:ascii="宋体" w:hAnsi="宋体" w:cs="宋体"/>
          <w:b w:val="0"/>
          <w:bCs w:val="0"/>
          <w:color w:val="auto"/>
          <w:sz w:val="24"/>
          <w:szCs w:val="24"/>
          <w:highlight w:val="none"/>
          <w:lang w:val="en-US" w:eastAsia="zh-CN" w:bidi="ar"/>
        </w:rPr>
        <w:t xml:space="preserve">小型普通客车（SUV车型除外）</w:t>
      </w:r>
      <w:r>
        <w:rPr>
          <w:rFonts w:hint="eastAsia" w:ascii="宋体" w:hAnsi="宋体" w:eastAsia="宋体" w:cs="宋体"/>
          <w:b w:val="0"/>
          <w:bCs w:val="0"/>
          <w:color w:val="auto"/>
          <w:sz w:val="24"/>
          <w:szCs w:val="24"/>
          <w:highlight w:val="none"/>
          <w:lang w:val="en-US" w:eastAsia="zh-CN" w:bidi="ar"/>
        </w:rPr>
        <w:t xml:space="preserve">租赁服务。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二标段：9座（不含）以上客车租赁服务。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1.7用车范围：</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大丰区单位公务活动出行符合用车规定和《盐城市大丰区党政机关租用社会车辆管理办法》</w:t>
      </w:r>
      <w:r>
        <w:rPr>
          <w:rFonts w:hint="eastAsia" w:ascii="宋体" w:hAnsi="宋体" w:eastAsia="宋体" w:cs="宋体"/>
          <w:sz w:val="24"/>
          <w:szCs w:val="24"/>
          <w:highlight w:val="none"/>
          <w:lang w:val="en-US" w:eastAsia="zh-CN" w:bidi="ar"/>
        </w:rPr>
        <w:t xml:space="preserve">。</w:t>
      </w:r>
      <w:r/>
    </w:p>
    <w:p>
      <w:pPr>
        <w:numPr>
          <w:ilvl w:val="0"/>
          <w:numId w:val="4"/>
        </w:numPr>
        <w:ind w:left="0" w:right="0" w:firstLine="480"/>
        <w:jc w:val="left"/>
        <w:keepLines w:val="0"/>
        <w:keepNext w:val="0"/>
        <w:spacing w:before="0" w:beforeAutospacing="0" w:after="0" w:afterAutospacing="0" w:line="560" w:lineRule="exact"/>
        <w:widowControl/>
        <w:rPr>
          <w:rFonts w:hint="eastAsia" w:ascii="宋体" w:hAnsi="宋体" w:cs="宋体"/>
          <w:b/>
          <w:bCs/>
          <w:sz w:val="24"/>
          <w:szCs w:val="24"/>
          <w:highlight w:val="none"/>
          <w:lang w:val="en-US" w:eastAsia="zh-CN" w:bidi="ar"/>
        </w:rPr>
        <w:suppressLineNumbers w:val="0"/>
      </w:pPr>
      <w:r>
        <w:rPr>
          <w:rFonts w:hint="eastAsia" w:ascii="宋体" w:hAnsi="宋体" w:cs="宋体"/>
          <w:b/>
          <w:bCs/>
          <w:sz w:val="24"/>
          <w:szCs w:val="24"/>
          <w:highlight w:val="none"/>
          <w:lang w:val="en-US" w:eastAsia="zh-CN" w:bidi="ar"/>
        </w:rPr>
        <w:t xml:space="preserve">商务要求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2.1 报价要求：</w:t>
      </w:r>
      <w:r>
        <w:rPr>
          <w:rFonts w:hint="eastAsia" w:ascii="宋体" w:hAnsi="宋体" w:eastAsia="宋体" w:cs="宋体"/>
          <w:color w:val="auto"/>
          <w:sz w:val="24"/>
          <w:szCs w:val="24"/>
          <w:highlight w:val="none"/>
          <w:lang w:val="en-US" w:eastAsia="zh-CN" w:bidi="ar"/>
        </w:rPr>
        <w:t xml:space="preserve">供应商可根据自身情况选择标段进行报价，最高限价单价如下：</w:t>
      </w:r>
      <w:r/>
    </w:p>
    <w:p>
      <w:pPr>
        <w:rPr>
          <w:rFonts w:hint="eastAsia" w:ascii="宋体" w:hAnsi="宋体" w:eastAsia="宋体" w:cs="宋体"/>
          <w:b/>
          <w:bCs/>
          <w:caps/>
          <w:color w:val="auto"/>
          <w:sz w:val="24"/>
          <w:szCs w:val="24"/>
          <w:highlight w:val="none"/>
          <w:lang w:val="en-US" w:eastAsia="zh-CN" w:bidi="ar"/>
        </w:rPr>
      </w:pPr>
      <w:r>
        <w:rPr>
          <w:rFonts w:hint="eastAsia" w:ascii="宋体" w:hAnsi="宋体" w:eastAsia="宋体" w:cs="宋体"/>
          <w:b/>
          <w:bCs/>
          <w:caps/>
          <w:color w:val="auto"/>
          <w:sz w:val="24"/>
          <w:szCs w:val="24"/>
          <w:highlight w:val="none"/>
          <w:lang w:val="en-US" w:eastAsia="zh-CN" w:bidi="ar"/>
        </w:rPr>
        <w:br w:type="page" w:clear="all"/>
      </w:r>
      <w:r/>
    </w:p>
    <w:tbl>
      <w:tblPr>
        <w:tblStyle w:val="808"/>
        <w:tblW w:w="87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5"/>
        <w:gridCol w:w="2144"/>
        <w:gridCol w:w="1304"/>
        <w:gridCol w:w="1472"/>
        <w:gridCol w:w="1528"/>
        <w:gridCol w:w="1440"/>
      </w:tblGrid>
      <w:tr>
        <w:trPr>
          <w:jc w:val="center"/>
          <w:trHeight w:val="995"/>
        </w:trPr>
        <w:tc>
          <w:tcPr>
            <w:shd w:val="clear" w:color="auto" w:fill="auto"/>
            <w:tcW w:w="905"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标段</w:t>
            </w:r>
            <w:r/>
          </w:p>
        </w:tc>
        <w:tc>
          <w:tcPr>
            <w:shd w:val="clear" w:color="auto" w:fill="auto"/>
            <w:tcW w:w="2144" w:type="dxa"/>
            <w:vAlign w:val="center"/>
            <w:textDirection w:val="lrTb"/>
            <w:noWrap w:val="false"/>
          </w:tcPr>
          <w:p>
            <w:pPr>
              <w:ind w:firstLine="47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车辆类型</w:t>
            </w:r>
            <w:r/>
          </w:p>
        </w:tc>
        <w:tc>
          <w:tcPr>
            <w:shd w:val="clear" w:color="auto" w:fill="auto"/>
            <w:tcW w:w="1304"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半日租（4小时/50公里）</w:t>
            </w:r>
            <w:r/>
          </w:p>
        </w:tc>
        <w:tc>
          <w:tcPr>
            <w:shd w:val="clear" w:color="auto" w:fill="auto"/>
            <w:tcW w:w="1472"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日租（8小时/100公里）</w:t>
            </w:r>
            <w:r/>
          </w:p>
        </w:tc>
        <w:tc>
          <w:tcPr>
            <w:shd w:val="clear" w:color="auto" w:fill="auto"/>
            <w:tcW w:w="1528"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超时</w:t>
            </w:r>
            <w:r/>
          </w:p>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（元/小时）</w:t>
            </w:r>
            <w:r/>
          </w:p>
        </w:tc>
        <w:tc>
          <w:tcPr>
            <w:shd w:val="clear" w:color="auto" w:fill="auto"/>
            <w:tcW w:w="1440"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超公里</w:t>
            </w:r>
            <w:r/>
          </w:p>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（元/公里）</w:t>
            </w:r>
            <w:r/>
          </w:p>
        </w:tc>
      </w:tr>
      <w:tr>
        <w:trPr>
          <w:jc w:val="center"/>
          <w:trHeight w:val="965"/>
        </w:trPr>
        <w:tc>
          <w:tcPr>
            <w:shd w:val="clear" w:color="auto" w:fill="auto"/>
            <w:tcW w:w="905" w:type="dxa"/>
            <w:vAlign w:val="center"/>
            <w:vMerge w:val="restart"/>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一标段</w:t>
            </w:r>
            <w:r/>
          </w:p>
        </w:tc>
        <w:tc>
          <w:tcPr>
            <w:shd w:val="clear" w:color="auto" w:fill="auto"/>
            <w:tcW w:w="2144" w:type="dxa"/>
            <w:vAlign w:val="center"/>
            <w:textDirection w:val="lrTb"/>
            <w:noWrap w:val="false"/>
          </w:tcPr>
          <w:p>
            <w:pPr>
              <w:ind w:firstLine="120"/>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5座新能源类车（纯电汽车）</w:t>
            </w:r>
            <w:r/>
          </w:p>
        </w:tc>
        <w:tc>
          <w:tcPr>
            <w:shd w:val="clear" w:color="auto" w:fill="auto"/>
            <w:tcW w:w="130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300</w:t>
            </w:r>
            <w:r/>
          </w:p>
        </w:tc>
        <w:tc>
          <w:tcPr>
            <w:shd w:val="clear" w:color="auto" w:fill="auto"/>
            <w:tcW w:w="1472" w:type="dxa"/>
            <w:vAlign w:val="center"/>
            <w:textDirection w:val="lrTb"/>
            <w:noWrap w:val="false"/>
          </w:tcPr>
          <w:p>
            <w:pPr>
              <w:ind w:firstLine="480"/>
              <w:jc w:val="both"/>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450</w:t>
            </w:r>
            <w:r/>
          </w:p>
        </w:tc>
        <w:tc>
          <w:tcPr>
            <w:shd w:val="clear" w:color="auto" w:fill="auto"/>
            <w:tcW w:w="15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w:t>
            </w:r>
            <w:r/>
          </w:p>
        </w:tc>
        <w:tc>
          <w:tcPr>
            <w:shd w:val="clear" w:color="auto" w:fill="auto"/>
            <w:tcW w:w="1440"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w:t>
            </w:r>
            <w:r/>
          </w:p>
        </w:tc>
      </w:tr>
      <w:tr>
        <w:trPr>
          <w:jc w:val="center"/>
          <w:trHeight w:val="817"/>
        </w:trPr>
        <w:tc>
          <w:tcPr>
            <w:shd w:val="clear" w:color="auto" w:fill="auto"/>
            <w:tcW w:w="905" w:type="dxa"/>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2144" w:type="dxa"/>
            <w:vAlign w:val="center"/>
            <w:textDirection w:val="lrTb"/>
            <w:noWrap w:val="false"/>
          </w:tcPr>
          <w:p>
            <w:pPr>
              <w:ind w:firstLine="12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5座燃油类轿车（含混动车）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6-9</w:t>
            </w:r>
            <w:r>
              <w:rPr>
                <w:rFonts w:hint="eastAsia" w:ascii="宋体" w:hAnsi="宋体" w:eastAsia="宋体" w:cs="宋体"/>
                <w:color w:val="auto"/>
                <w:sz w:val="24"/>
                <w:szCs w:val="24"/>
                <w:highlight w:val="none"/>
              </w:rPr>
              <w:t xml:space="preserve">座新能源类车（纯电汽车）</w:t>
            </w:r>
            <w:r/>
          </w:p>
        </w:tc>
        <w:tc>
          <w:tcPr>
            <w:shd w:val="clear" w:color="auto" w:fill="auto"/>
            <w:tcW w:w="130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350</w:t>
            </w:r>
            <w:r/>
          </w:p>
        </w:tc>
        <w:tc>
          <w:tcPr>
            <w:shd w:val="clear" w:color="auto" w:fill="auto"/>
            <w:tcW w:w="1472"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480</w:t>
            </w:r>
            <w:r/>
          </w:p>
        </w:tc>
        <w:tc>
          <w:tcPr>
            <w:shd w:val="clear" w:color="auto" w:fill="auto"/>
            <w:tcW w:w="15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w:t>
            </w:r>
            <w:r/>
          </w:p>
        </w:tc>
        <w:tc>
          <w:tcPr>
            <w:shd w:val="clear" w:color="auto" w:fill="auto"/>
            <w:tcW w:w="1440"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w:t>
            </w:r>
            <w:r/>
          </w:p>
        </w:tc>
      </w:tr>
      <w:tr>
        <w:trPr>
          <w:jc w:val="center"/>
          <w:trHeight w:val="847"/>
        </w:trPr>
        <w:tc>
          <w:tcPr>
            <w:shd w:val="clear" w:color="auto" w:fill="auto"/>
            <w:tcW w:w="905" w:type="dxa"/>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214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座-</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座燃油类车（含混动车）</w:t>
            </w:r>
            <w:r/>
          </w:p>
        </w:tc>
        <w:tc>
          <w:tcPr>
            <w:shd w:val="clear" w:color="auto" w:fill="auto"/>
            <w:tcW w:w="130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w:t>
            </w:r>
            <w:r/>
          </w:p>
        </w:tc>
        <w:tc>
          <w:tcPr>
            <w:shd w:val="clear" w:color="auto" w:fill="auto"/>
            <w:tcW w:w="1472"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600</w:t>
            </w:r>
            <w:r/>
          </w:p>
        </w:tc>
        <w:tc>
          <w:tcPr>
            <w:shd w:val="clear" w:color="auto" w:fill="auto"/>
            <w:tcW w:w="15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w:t>
            </w:r>
            <w:r/>
          </w:p>
        </w:tc>
        <w:tc>
          <w:tcPr>
            <w:shd w:val="clear" w:color="auto" w:fill="auto"/>
            <w:tcW w:w="1440"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w:t>
            </w:r>
            <w:r/>
          </w:p>
        </w:tc>
      </w:tr>
      <w:tr>
        <w:trPr>
          <w:jc w:val="center"/>
          <w:trHeight w:val="847"/>
        </w:trPr>
        <w:tc>
          <w:tcPr>
            <w:shd w:val="clear" w:color="auto" w:fill="auto"/>
            <w:tcW w:w="905" w:type="dxa"/>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214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座-9座燃油类车（含混动车）</w:t>
            </w:r>
            <w:r/>
          </w:p>
        </w:tc>
        <w:tc>
          <w:tcPr>
            <w:shd w:val="clear" w:color="auto" w:fill="auto"/>
            <w:tcW w:w="130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460</w:t>
            </w:r>
            <w:r/>
          </w:p>
        </w:tc>
        <w:tc>
          <w:tcPr>
            <w:shd w:val="clear" w:color="auto" w:fill="auto"/>
            <w:tcW w:w="1472"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650</w:t>
            </w:r>
            <w:r/>
          </w:p>
        </w:tc>
        <w:tc>
          <w:tcPr>
            <w:shd w:val="clear" w:color="auto" w:fill="auto"/>
            <w:tcW w:w="15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w:t>
            </w:r>
            <w:r/>
          </w:p>
        </w:tc>
        <w:tc>
          <w:tcPr>
            <w:shd w:val="clear" w:color="auto" w:fill="auto"/>
            <w:tcW w:w="1440"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w:t>
            </w:r>
            <w:r/>
          </w:p>
        </w:tc>
      </w:tr>
      <w:tr>
        <w:trPr>
          <w:jc w:val="center"/>
          <w:trHeight w:val="862"/>
        </w:trPr>
        <w:tc>
          <w:tcPr>
            <w:shd w:val="clear" w:color="auto" w:fill="auto"/>
            <w:tcW w:w="905"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标段</w:t>
            </w:r>
            <w:r/>
          </w:p>
        </w:tc>
        <w:tc>
          <w:tcPr>
            <w:shd w:val="clear" w:color="auto" w:fill="auto"/>
            <w:tcW w:w="2144" w:type="dxa"/>
            <w:vAlign w:val="center"/>
            <w:textDirection w:val="lrTb"/>
            <w:noWrap w:val="false"/>
          </w:tcPr>
          <w:p>
            <w:pPr>
              <w:ind w:firstLine="47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车辆类型</w:t>
            </w:r>
            <w:r/>
          </w:p>
        </w:tc>
        <w:tc>
          <w:tcPr>
            <w:shd w:val="clear" w:color="auto" w:fill="auto"/>
            <w:tcW w:w="1304"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半日租（4小时/50公里）</w:t>
            </w:r>
            <w:r/>
          </w:p>
        </w:tc>
        <w:tc>
          <w:tcPr>
            <w:shd w:val="clear" w:color="auto" w:fill="auto"/>
            <w:tcW w:w="1472"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日租（8小时/100公里）</w:t>
            </w:r>
            <w:r/>
          </w:p>
        </w:tc>
        <w:tc>
          <w:tcPr>
            <w:shd w:val="clear" w:color="auto" w:fill="auto"/>
            <w:tcW w:w="1528"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超时</w:t>
            </w:r>
            <w:r/>
          </w:p>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（元/小时）</w:t>
            </w:r>
            <w:r/>
          </w:p>
        </w:tc>
        <w:tc>
          <w:tcPr>
            <w:shd w:val="clear" w:color="auto" w:fill="auto"/>
            <w:tcW w:w="1440"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超公里</w:t>
            </w:r>
            <w:r/>
          </w:p>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（元/公里）</w:t>
            </w:r>
            <w:r/>
          </w:p>
        </w:tc>
      </w:tr>
      <w:tr>
        <w:trPr>
          <w:jc w:val="center"/>
          <w:trHeight w:val="90"/>
        </w:trPr>
        <w:tc>
          <w:tcPr>
            <w:shd w:val="clear" w:color="auto" w:fill="auto"/>
            <w:tcW w:w="905" w:type="dxa"/>
            <w:vAlign w:val="center"/>
            <w:vMerge w:val="restart"/>
            <w:textDirection w:val="lrTb"/>
            <w:noWrap w:val="false"/>
          </w:tcPr>
          <w:p>
            <w:pPr>
              <w:jc w:val="center"/>
              <w:spacing w:after="0"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二标段</w:t>
            </w:r>
            <w:r/>
          </w:p>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
              <w:jc w:val="center"/>
              <w:spacing w:after="0"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214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9座（不含）至</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座（含）客车</w:t>
            </w:r>
            <w:r/>
          </w:p>
          <w:p>
            <w:pPr>
              <w:jc w:val="center"/>
              <w:spacing w:after="100" w:line="259"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（含新能源汽车）</w:t>
            </w:r>
            <w:r/>
          </w:p>
        </w:tc>
        <w:tc>
          <w:tcPr>
            <w:shd w:val="clear" w:color="auto" w:fill="auto"/>
            <w:tcW w:w="130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550</w:t>
            </w:r>
            <w:r/>
          </w:p>
        </w:tc>
        <w:tc>
          <w:tcPr>
            <w:shd w:val="clear" w:color="auto" w:fill="auto"/>
            <w:tcW w:w="1472"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800</w:t>
            </w:r>
            <w:r/>
          </w:p>
        </w:tc>
        <w:tc>
          <w:tcPr>
            <w:shd w:val="clear" w:color="auto" w:fill="auto"/>
            <w:tcW w:w="15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w:t>
            </w:r>
            <w:r/>
          </w:p>
        </w:tc>
        <w:tc>
          <w:tcPr>
            <w:shd w:val="clear" w:color="auto" w:fill="auto"/>
            <w:tcW w:w="1440"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w:t>
            </w:r>
            <w:r/>
          </w:p>
        </w:tc>
      </w:tr>
      <w:tr>
        <w:trPr>
          <w:jc w:val="center"/>
          <w:trHeight w:val="90"/>
        </w:trPr>
        <w:tc>
          <w:tcPr>
            <w:shd w:val="clear" w:color="auto" w:fill="auto"/>
            <w:tcW w:w="905"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214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座（不含）至23座（含）客车</w:t>
            </w:r>
            <w:r/>
          </w:p>
          <w:p>
            <w:pPr>
              <w:jc w:val="center"/>
              <w:spacing w:after="100" w:line="259"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（含新能源汽车）</w:t>
            </w:r>
            <w:r/>
          </w:p>
        </w:tc>
        <w:tc>
          <w:tcPr>
            <w:shd w:val="clear" w:color="auto" w:fill="auto"/>
            <w:tcW w:w="130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600</w:t>
            </w:r>
            <w:r/>
          </w:p>
        </w:tc>
        <w:tc>
          <w:tcPr>
            <w:shd w:val="clear" w:color="auto" w:fill="auto"/>
            <w:tcW w:w="1472"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850</w:t>
            </w:r>
            <w:r/>
          </w:p>
        </w:tc>
        <w:tc>
          <w:tcPr>
            <w:shd w:val="clear" w:color="auto" w:fill="auto"/>
            <w:tcW w:w="15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w:t>
            </w:r>
            <w:r/>
          </w:p>
        </w:tc>
        <w:tc>
          <w:tcPr>
            <w:shd w:val="clear" w:color="auto" w:fill="auto"/>
            <w:tcW w:w="1440"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w:t>
            </w:r>
            <w:r/>
          </w:p>
        </w:tc>
      </w:tr>
      <w:tr>
        <w:trPr>
          <w:jc w:val="center"/>
          <w:trHeight w:val="1153"/>
        </w:trPr>
        <w:tc>
          <w:tcPr>
            <w:shd w:val="clear" w:color="auto" w:fill="auto"/>
            <w:tcW w:w="905"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214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23座（不含）至45座（不含）大型客车（含新能源汽车）</w:t>
            </w:r>
            <w:r/>
          </w:p>
        </w:tc>
        <w:tc>
          <w:tcPr>
            <w:shd w:val="clear" w:color="auto" w:fill="auto"/>
            <w:tcW w:w="130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650</w:t>
            </w:r>
            <w:r/>
          </w:p>
        </w:tc>
        <w:tc>
          <w:tcPr>
            <w:shd w:val="clear" w:color="auto" w:fill="auto"/>
            <w:tcW w:w="1472"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900</w:t>
            </w:r>
            <w:r/>
          </w:p>
        </w:tc>
        <w:tc>
          <w:tcPr>
            <w:shd w:val="clear" w:color="auto" w:fill="auto"/>
            <w:tcW w:w="15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w:t>
            </w:r>
            <w:r/>
          </w:p>
        </w:tc>
        <w:tc>
          <w:tcPr>
            <w:shd w:val="clear" w:color="auto" w:fill="auto"/>
            <w:tcW w:w="1440"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w:t>
            </w:r>
            <w:r/>
          </w:p>
        </w:tc>
      </w:tr>
      <w:tr>
        <w:trPr>
          <w:jc w:val="center"/>
          <w:trHeight w:val="1208"/>
        </w:trPr>
        <w:tc>
          <w:tcPr>
            <w:shd w:val="clear" w:color="auto" w:fill="auto"/>
            <w:tcW w:w="905"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214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45座（含）以上大型客车（含新能源汽车）</w:t>
            </w:r>
            <w:r/>
          </w:p>
        </w:tc>
        <w:tc>
          <w:tcPr>
            <w:shd w:val="clear" w:color="auto" w:fill="auto"/>
            <w:tcW w:w="130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680</w:t>
            </w:r>
            <w:r/>
          </w:p>
        </w:tc>
        <w:tc>
          <w:tcPr>
            <w:shd w:val="clear" w:color="auto" w:fill="auto"/>
            <w:tcW w:w="1472"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950</w:t>
            </w:r>
            <w:r/>
          </w:p>
        </w:tc>
        <w:tc>
          <w:tcPr>
            <w:shd w:val="clear" w:color="auto" w:fill="auto"/>
            <w:tcW w:w="15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w:t>
            </w:r>
            <w:r/>
          </w:p>
        </w:tc>
        <w:tc>
          <w:tcPr>
            <w:shd w:val="clear" w:color="auto" w:fill="auto"/>
            <w:tcW w:w="1440"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w:t>
            </w:r>
            <w:r/>
          </w:p>
        </w:tc>
      </w:tr>
    </w:tbl>
    <w:p>
      <w:pPr>
        <w:ind w:right="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注：（1）本项目基准价为各标段每种车型具体的每天日租费、半日租费、超时加收费用或超公里加收费用等。</w:t>
      </w:r>
      <w:r/>
    </w:p>
    <w:p>
      <w:pPr>
        <w:ind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（2）对应的半日租、日租，如有超时或超公里情况，由供应商选取超时费或超公里费中的任意一项计入总费用，不得将超时费和超公里费同时计入总费用。</w:t>
      </w:r>
      <w:r/>
    </w:p>
    <w:p>
      <w:pPr>
        <w:ind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本项目采取下浮比例报价，以（1-下浮比例）作为供应商的报价参与价格评审，报价要求0%≤下浮比例＜100%，供应商的报价最多精确到小数点后两位。供应商投标报价时，须按照各标段相关车型基准价填报下浮比例，每个标段仅需报一个下浮比例。</w:t>
      </w:r>
      <w:r/>
    </w:p>
    <w:p>
      <w:pPr>
        <w:ind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（4）实际用车费用示例如下</w:t>
      </w:r>
      <w:r/>
    </w:p>
    <w:p>
      <w:pPr>
        <w:ind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例：如供应商一标段所报下浮比例为15%，则其5座燃油类轿车（含混动车）、6-9座新能源类车（纯电汽车）半日租（4小时/50公里）价格为</w:t>
      </w:r>
      <w:r>
        <w:rPr>
          <w:rFonts w:hint="eastAsia" w:ascii="宋体" w:hAnsi="宋体" w:cs="宋体"/>
          <w:color w:val="auto"/>
          <w:sz w:val="24"/>
          <w:szCs w:val="24"/>
          <w:highlight w:val="none"/>
          <w:lang w:val="en-US" w:eastAsia="zh-CN" w:bidi="ar"/>
        </w:rPr>
        <w:t xml:space="preserve">350</w:t>
      </w:r>
      <w:r>
        <w:rPr>
          <w:rFonts w:hint="eastAsia" w:ascii="宋体" w:hAnsi="宋体" w:eastAsia="宋体" w:cs="宋体"/>
          <w:color w:val="auto"/>
          <w:sz w:val="24"/>
          <w:szCs w:val="24"/>
          <w:highlight w:val="none"/>
          <w:lang w:val="en-US" w:eastAsia="zh-CN" w:bidi="ar"/>
        </w:rPr>
        <w:t xml:space="preserve">*（1-15%）=</w:t>
      </w:r>
      <w:r>
        <w:rPr>
          <w:rFonts w:hint="eastAsia" w:ascii="宋体" w:hAnsi="宋体" w:cs="宋体"/>
          <w:color w:val="auto"/>
          <w:sz w:val="24"/>
          <w:szCs w:val="24"/>
          <w:highlight w:val="none"/>
          <w:lang w:val="en-US" w:eastAsia="zh-CN" w:bidi="ar"/>
        </w:rPr>
        <w:t xml:space="preserve">297.5</w:t>
      </w:r>
      <w:r>
        <w:rPr>
          <w:rFonts w:hint="eastAsia" w:ascii="宋体" w:hAnsi="宋体" w:eastAsia="宋体" w:cs="宋体"/>
          <w:color w:val="auto"/>
          <w:sz w:val="24"/>
          <w:szCs w:val="24"/>
          <w:highlight w:val="none"/>
          <w:lang w:val="en-US" w:eastAsia="zh-CN" w:bidi="ar"/>
        </w:rPr>
        <w:t xml:space="preserve">元；若超时1小时但未超出50公里，价格为</w:t>
      </w:r>
      <w:r>
        <w:rPr>
          <w:rFonts w:hint="eastAsia" w:ascii="宋体" w:hAnsi="宋体" w:cs="宋体"/>
          <w:color w:val="auto"/>
          <w:sz w:val="24"/>
          <w:szCs w:val="24"/>
          <w:highlight w:val="none"/>
          <w:lang w:val="en-US" w:eastAsia="zh-CN" w:bidi="ar"/>
        </w:rPr>
        <w:t xml:space="preserve">350</w:t>
      </w:r>
      <w:r>
        <w:rPr>
          <w:rFonts w:hint="eastAsia" w:ascii="宋体" w:hAnsi="宋体" w:eastAsia="宋体" w:cs="宋体"/>
          <w:color w:val="auto"/>
          <w:sz w:val="24"/>
          <w:szCs w:val="24"/>
          <w:highlight w:val="none"/>
          <w:lang w:val="en-US" w:eastAsia="zh-CN" w:bidi="ar"/>
        </w:rPr>
        <w:t xml:space="preserve">*（1-15%）+ </w:t>
      </w:r>
      <w:r>
        <w:rPr>
          <w:rFonts w:hint="eastAsia" w:ascii="宋体" w:hAnsi="宋体" w:cs="宋体"/>
          <w:color w:val="auto"/>
          <w:sz w:val="24"/>
          <w:szCs w:val="24"/>
          <w:highlight w:val="none"/>
          <w:lang w:val="en-US" w:eastAsia="zh-CN" w:bidi="ar"/>
        </w:rPr>
        <w:t xml:space="preserve">45</w:t>
      </w:r>
      <w:r>
        <w:rPr>
          <w:rFonts w:hint="eastAsia" w:ascii="宋体" w:hAnsi="宋体" w:eastAsia="宋体" w:cs="宋体"/>
          <w:color w:val="auto"/>
          <w:sz w:val="24"/>
          <w:szCs w:val="24"/>
          <w:highlight w:val="none"/>
          <w:lang w:val="en-US" w:eastAsia="zh-CN" w:bidi="ar"/>
        </w:rPr>
        <w:t xml:space="preserve">*（1-15%）=</w:t>
      </w:r>
      <w:r>
        <w:rPr>
          <w:rFonts w:hint="eastAsia" w:ascii="宋体" w:hAnsi="宋体" w:cs="宋体"/>
          <w:color w:val="auto"/>
          <w:sz w:val="24"/>
          <w:szCs w:val="24"/>
          <w:highlight w:val="none"/>
          <w:lang w:val="en-US" w:eastAsia="zh-CN" w:bidi="ar"/>
        </w:rPr>
        <w:t xml:space="preserve">335.75</w:t>
      </w:r>
      <w:r>
        <w:rPr>
          <w:rFonts w:hint="eastAsia" w:ascii="宋体" w:hAnsi="宋体" w:eastAsia="宋体" w:cs="宋体"/>
          <w:color w:val="auto"/>
          <w:sz w:val="24"/>
          <w:szCs w:val="24"/>
          <w:highlight w:val="none"/>
          <w:lang w:val="en-US" w:eastAsia="zh-CN" w:bidi="ar"/>
        </w:rPr>
        <w:t xml:space="preserve">元。</w:t>
      </w:r>
      <w:r/>
    </w:p>
    <w:p>
      <w:pPr>
        <w:ind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如供应商二标段所报下浮比例为10%，9座（不含）至14座（含）客车（含新能源汽车）日租（8小时/100公里）价格为</w:t>
      </w:r>
      <w:r>
        <w:rPr>
          <w:rFonts w:hint="eastAsia" w:ascii="宋体" w:hAnsi="宋体" w:cs="宋体"/>
          <w:color w:val="auto"/>
          <w:sz w:val="24"/>
          <w:szCs w:val="24"/>
          <w:highlight w:val="none"/>
          <w:lang w:val="en-US" w:eastAsia="zh-CN" w:bidi="ar"/>
        </w:rPr>
        <w:t xml:space="preserve">800</w:t>
      </w:r>
      <w:r>
        <w:rPr>
          <w:rFonts w:hint="eastAsia" w:ascii="宋体" w:hAnsi="宋体" w:eastAsia="宋体" w:cs="宋体"/>
          <w:color w:val="auto"/>
          <w:sz w:val="24"/>
          <w:szCs w:val="24"/>
          <w:highlight w:val="none"/>
          <w:lang w:val="en-US" w:eastAsia="zh-CN" w:bidi="ar"/>
        </w:rPr>
        <w:t xml:space="preserve">*（1-10%）=</w:t>
      </w:r>
      <w:r>
        <w:rPr>
          <w:rFonts w:hint="eastAsia" w:ascii="宋体" w:hAnsi="宋体" w:cs="宋体"/>
          <w:color w:val="auto"/>
          <w:sz w:val="24"/>
          <w:szCs w:val="24"/>
          <w:highlight w:val="none"/>
          <w:lang w:val="en-US" w:eastAsia="zh-CN" w:bidi="ar"/>
        </w:rPr>
        <w:t xml:space="preserve">720</w:t>
      </w:r>
      <w:r>
        <w:rPr>
          <w:rFonts w:hint="eastAsia" w:ascii="宋体" w:hAnsi="宋体" w:eastAsia="宋体" w:cs="宋体"/>
          <w:color w:val="auto"/>
          <w:sz w:val="24"/>
          <w:szCs w:val="24"/>
          <w:highlight w:val="none"/>
          <w:lang w:val="en-US" w:eastAsia="zh-CN" w:bidi="ar"/>
        </w:rPr>
        <w:t xml:space="preserve">元；若超出10公里但未超过8小时，价格为</w:t>
      </w:r>
      <w:r>
        <w:rPr>
          <w:rFonts w:hint="eastAsia" w:ascii="宋体" w:hAnsi="宋体" w:cs="宋体"/>
          <w:color w:val="auto"/>
          <w:sz w:val="24"/>
          <w:szCs w:val="24"/>
          <w:highlight w:val="none"/>
          <w:lang w:val="en-US" w:eastAsia="zh-CN" w:bidi="ar"/>
        </w:rPr>
        <w:t xml:space="preserve">800</w:t>
      </w:r>
      <w:r>
        <w:rPr>
          <w:rFonts w:hint="eastAsia" w:ascii="宋体" w:hAnsi="宋体" w:eastAsia="宋体" w:cs="宋体"/>
          <w:color w:val="auto"/>
          <w:sz w:val="24"/>
          <w:szCs w:val="24"/>
          <w:highlight w:val="none"/>
          <w:lang w:val="en-US" w:eastAsia="zh-CN" w:bidi="ar"/>
        </w:rPr>
        <w:t xml:space="preserve">*（1-10%）+ 4*10*（1-10%）=</w:t>
      </w:r>
      <w:r>
        <w:rPr>
          <w:rFonts w:hint="eastAsia" w:ascii="宋体" w:hAnsi="宋体" w:cs="宋体"/>
          <w:color w:val="auto"/>
          <w:sz w:val="24"/>
          <w:szCs w:val="24"/>
          <w:highlight w:val="none"/>
          <w:lang w:val="en-US" w:eastAsia="zh-CN" w:bidi="ar"/>
        </w:rPr>
        <w:t xml:space="preserve">756</w:t>
      </w:r>
      <w:r>
        <w:rPr>
          <w:rFonts w:hint="eastAsia" w:ascii="宋体" w:hAnsi="宋体" w:eastAsia="宋体" w:cs="宋体"/>
          <w:color w:val="auto"/>
          <w:sz w:val="24"/>
          <w:szCs w:val="24"/>
          <w:highlight w:val="none"/>
          <w:lang w:val="en-US" w:eastAsia="zh-CN" w:bidi="ar"/>
        </w:rPr>
        <w:t xml:space="preserve">元。</w:t>
      </w:r>
      <w:r/>
    </w:p>
    <w:p>
      <w:pPr>
        <w:ind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请各供应商结合市场实际合理进行下浮比例报价。</w:t>
      </w:r>
      <w:r/>
    </w:p>
    <w:p>
      <w:pPr>
        <w:numPr>
          <w:ilvl w:val="0"/>
          <w:numId w:val="5"/>
        </w:numPr>
        <w:ind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入围供应商的投标报价为第二阶段的最高限价，供应商可在此基础上继续下浮与用车人结算，不得低于入围下浮比例。</w:t>
      </w:r>
      <w:r/>
    </w:p>
    <w:p>
      <w:pPr>
        <w:numPr>
          <w:ilvl w:val="0"/>
          <w:numId w:val="0"/>
        </w:numPr>
        <w:ind w:right="0" w:firstLine="482"/>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2.2 第二阶段费用结算方式</w:t>
      </w:r>
      <w:r/>
    </w:p>
    <w:p>
      <w:pPr>
        <w:ind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（1）由用车人与乙方定期按实结算，提供服务的价格不得超出乙方入围报价。</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除车辆在实际使用过程中产生的过路过桥费、停车费、司机住宿费由用户支付外，用户不再承担乙方车辆的其它任何费用（包括且不限于油费、折旧费、保险费、修理费、交通事故产生的费用、税金和驾驶员工资、福利等费用）。驾驶员或劳务派遣人员的住宿费不超过《盐城市大丰区党政机关租用社会车辆管理办法》规定的有关标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（3）上述所有费用均为含税价。</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2.3 其它未尽事项参照《盐城市大丰区党政机关公务用车管理办法》。</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3.技术要求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3.1 服务要求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（1）服务对象及范围：大丰区党政机关、事业单位及团体组织，使用财政性资金进行的公务用车社会化租赁服务。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（2）入围供应商提供全天候24小时服务，临时租车大丰区内30分钟以内到达租车单位。</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（3）车辆维护保养管理规范，有专业固定的维修保养定点场所。</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（4）车辆在提供服务期间发生故障，无法正常行驶，能及时调换备用服务车辆确保公务出行正常运行。</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（5）报价人的车辆保险及年检均合法有效,</w:t>
      </w:r>
      <w:r>
        <w:rPr>
          <w:rFonts w:hint="eastAsia" w:ascii="宋体" w:hAnsi="宋体" w:cs="宋体"/>
          <w:b/>
          <w:bCs/>
          <w:color w:val="auto"/>
          <w:sz w:val="24"/>
          <w:szCs w:val="24"/>
          <w:highlight w:val="none"/>
          <w:lang w:val="en-US" w:eastAsia="zh-CN" w:bidi="ar"/>
        </w:rPr>
        <w:t xml:space="preserve">投标时</w:t>
      </w:r>
      <w:r>
        <w:rPr>
          <w:rFonts w:hint="eastAsia" w:ascii="宋体" w:hAnsi="宋体" w:eastAsia="宋体" w:cs="宋体"/>
          <w:b/>
          <w:bCs/>
          <w:color w:val="auto"/>
          <w:sz w:val="24"/>
          <w:szCs w:val="24"/>
          <w:highlight w:val="none"/>
          <w:lang w:val="en-US" w:eastAsia="zh-CN" w:bidi="ar"/>
        </w:rPr>
        <w:t xml:space="preserve">须提供相应证明材料（所有车辆须提供行驶证、机动车登记证书、保险单据等原件扫描件，二标段车辆还须提供《道路运输证》原件扫描件，否则响应文件无效）</w:t>
      </w:r>
      <w:r>
        <w:rPr>
          <w:rFonts w:hint="eastAsia" w:ascii="宋体" w:hAnsi="宋体" w:eastAsia="宋体" w:cs="宋体"/>
          <w:b w:val="0"/>
          <w:bCs w:val="0"/>
          <w:color w:val="auto"/>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6）入围供应商提供服务的所有车辆技术状况良好、安全性能可靠。除国家规定的必保险种，入围供应商应额外为政府采购提供租赁服务的车辆投保，投保应包括第三者责任险（投保保额不低于100万元），为车上乘客提供每人每座投保保额不低于50万元的保险险种，保证合同签订前提供的车辆保险险种、限额达到上述要求，否则入围供应商应承担由此产生的所有责任（除国家规定的必保险种外，如</w:t>
      </w:r>
      <w:r>
        <w:rPr>
          <w:rFonts w:hint="eastAsia" w:ascii="宋体" w:hAnsi="宋体" w:eastAsia="宋体" w:cs="宋体"/>
          <w:b/>
          <w:bCs/>
          <w:color w:val="auto"/>
          <w:sz w:val="24"/>
          <w:szCs w:val="24"/>
          <w:highlight w:val="none"/>
          <w:lang w:val="en-US" w:eastAsia="zh-CN"/>
        </w:rPr>
        <w:t xml:space="preserve">其他保险不齐全须提供车辆保险承诺函</w:t>
      </w:r>
      <w:r>
        <w:rPr>
          <w:rFonts w:hint="eastAsia" w:ascii="宋体" w:hAnsi="宋体" w:eastAsia="宋体" w:cs="宋体"/>
          <w:b/>
          <w:bCs/>
          <w:color w:val="auto"/>
          <w:sz w:val="24"/>
          <w:szCs w:val="24"/>
          <w:highlight w:val="none"/>
          <w:lang w:val="en-US" w:eastAsia="zh-CN" w:bidi="ar"/>
        </w:rPr>
        <w:t xml:space="preserve">，否则响应文件无效，格式见附件）。</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（7）服务车辆车身必须去除供应商LOGO（大客车除外）等明显标识，服务期间车窗前摆放“公务出行”标牌。</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（8）入围供应商须提供车况良好、外观整洁、车内清洁卫生的服务车辆。</w:t>
      </w:r>
      <w:r>
        <w:rPr>
          <w:rFonts w:hint="eastAsia" w:ascii="宋体" w:hAnsi="宋体" w:eastAsia="宋体" w:cs="宋体"/>
          <w:b/>
          <w:bCs/>
          <w:color w:val="auto"/>
          <w:sz w:val="24"/>
          <w:szCs w:val="24"/>
          <w:highlight w:val="none"/>
          <w:lang w:val="en-US" w:eastAsia="zh-CN" w:bidi="ar"/>
        </w:rPr>
        <w:t xml:space="preserve">一标段的服务车辆购置时间保证在10年以内，二标段的服务车辆购置时间保证在8年以内</w:t>
      </w:r>
      <w:r>
        <w:rPr>
          <w:rFonts w:hint="eastAsia" w:ascii="宋体" w:hAnsi="宋体" w:eastAsia="宋体" w:cs="宋体"/>
          <w:color w:val="auto"/>
          <w:sz w:val="24"/>
          <w:szCs w:val="24"/>
          <w:highlight w:val="none"/>
          <w:lang w:val="en-US" w:eastAsia="zh-CN" w:bidi="ar"/>
        </w:rPr>
        <w:t xml:space="preserve">，相关部门有权检查入围供应商所提供的服务车辆行驶证、车辆登记证书，以便核实车辆购置时间，如发现一标段的服务车辆购置时间超过10年的，二标段的服务车辆购置时间超过8年的相关部门有权要求入围供应商更换车辆并酌情处理，且供应商需承担在更换期间给相关部门造成的损失。</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（9）用于服务的车辆产权必须属于入围供应商, 车辆产权无任何外包或变相外包情形。</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（10）入围供应商在基本服务质量要求外，应就车辆的卫生保洁、驾驶人员的统一着装、服务创新、服务质量标准化、应急方案、疫情防控、服务监督、重大活动保障等方面提出服务承诺。</w:t>
      </w:r>
      <w:r>
        <w:rPr>
          <w:rFonts w:hint="eastAsia" w:ascii="宋体" w:hAnsi="宋体" w:eastAsia="宋体" w:cs="宋体"/>
          <w:b/>
          <w:bCs/>
          <w:color w:val="auto"/>
          <w:sz w:val="24"/>
          <w:szCs w:val="24"/>
          <w:highlight w:val="none"/>
          <w:lang w:val="en-US" w:eastAsia="zh-CN" w:bidi="ar"/>
        </w:rPr>
        <w:t xml:space="preserve">供应商须在响应文件中提供服务承诺书（格式见附件），否则响应文件无效。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入围供应商应积极接受采购履约监督及现场检查，配合相关部门组织的日常考核、监督检查和管理。若相关部门投诉入围供应商服务态度恶劣或入围供应商在服务期内出现重大交通安全事故等不良情况，相关部门代表有权约谈并督其改正或终止其协议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（12）对接要求</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①</w:t>
      </w:r>
      <w:r>
        <w:rPr>
          <w:rFonts w:hint="eastAsia" w:ascii="宋体" w:hAnsi="宋体" w:eastAsia="宋体" w:cs="宋体"/>
          <w:color w:val="auto"/>
          <w:sz w:val="24"/>
          <w:szCs w:val="24"/>
          <w:highlight w:val="none"/>
          <w:lang w:val="en-US" w:eastAsia="zh-CN" w:bidi="ar"/>
        </w:rPr>
        <w:t xml:space="preserve">供应商自建车辆信息化管理系统。主要对接要求：</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实现车辆调度与管理。供应商应根据管理部门的要求，将相关车辆信息上传至“全省一张网”并自主打印“公务出行”标识牌，并提供准确的可用车辆数量和车型信息，并及时回应“全省一张网”端口发出的申请车辆订单，并将调度信息反馈给平台。</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2）实现线上费用信息核对、线下结算。对于每单服务保障费用进行单独结算，供应商在“全省一张网”上传每单费用信息，经用车单位确认费用后的订单，方可开票线下结算。</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3）实现全过程可控可查。对于每单服务保障的运行轨迹应全程可控可查，数据存储时间至少一年备查。</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积极配合联调联试周期。供应商自建平台的接口协议、开发内容符合标准的情况下，调试周期最长为2周，“全省一张网”软件开发商免费提供一次联调联试，供应商需据实支付因自建系统开发问题产生的额外调试费用并承担因延期造成的其他后果。</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②</w:t>
      </w:r>
      <w:r>
        <w:rPr>
          <w:rFonts w:hint="eastAsia" w:ascii="宋体" w:hAnsi="宋体" w:eastAsia="宋体" w:cs="宋体"/>
          <w:color w:val="auto"/>
          <w:sz w:val="24"/>
          <w:szCs w:val="24"/>
          <w:highlight w:val="none"/>
          <w:lang w:val="en-US" w:eastAsia="zh-CN" w:bidi="ar"/>
        </w:rPr>
        <w:t xml:space="preserve">供应商没有自建系统。没有自建系统的供应商须通过“全省一张网”人工完成车辆调度、费用结算等电子化交易所需的全部信息。</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1）上传车辆基本信息。将参与公务出行保障的车辆信息上传至“全省一张网”并自主打印“公务出行”标识牌。</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2）通过“全省一张网”或短信接收用车人发起的用车订单信息，并在规定时间内输入车辆信息和驾驶员联系方式。</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3）服务结束后，根据用车人签字确认的《公务出行车辆租赁服务单》，在“全省一张网”上输入服务时长、服务里程和其他结算需要的信息。</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4）车载定位终端的信息需妥善留存，存储时间至少一年，随时备查。</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5）没有自建平台的供应商须登录“全省一张网”完成车辆调度信息、费用信息的输入，留存一年内的租赁车辆行车轨迹，并据实向“全省一张网”维保方支付产生的短信和流量通信费。</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3.2 车辆及汽车驾驶员要求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（1）一标段车辆类型、数量及劳务派遣人数：</w:t>
      </w:r>
      <w:r/>
    </w:p>
    <w:tbl>
      <w:tblPr>
        <w:tblStyle w:val="781"/>
        <w:tblW w:w="8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59"/>
        <w:gridCol w:w="2203"/>
        <w:gridCol w:w="2302"/>
        <w:gridCol w:w="3055"/>
      </w:tblGrid>
      <w:tr>
        <w:trPr>
          <w:jc w:val="center"/>
          <w:trHeight w:val="562"/>
        </w:trPr>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203"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车辆类型</w:t>
            </w:r>
            <w:r/>
          </w:p>
        </w:tc>
        <w:tc>
          <w:tcPr>
            <w:shd w:val="clear" w:color="auto" w:fill="auto"/>
            <w:tcBorders>
              <w:top w:val="single" w:color="auto" w:sz="4" w:space="0"/>
              <w:left w:val="none" w:color="000000"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3055"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劳务派遣人数</w:t>
            </w:r>
            <w:r/>
          </w:p>
        </w:tc>
      </w:tr>
      <w:tr>
        <w:trPr>
          <w:jc w:val="center"/>
          <w:trHeight w:val="675"/>
        </w:trPr>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一标段</w:t>
            </w:r>
            <w:r/>
          </w:p>
        </w:tc>
        <w:tc>
          <w:tcPr>
            <w:shd w:val="clear" w:color="auto" w:fill="auto"/>
            <w:tcBorders>
              <w:top w:val="single" w:color="auto" w:sz="4" w:space="0"/>
              <w:left w:val="none" w:color="000000" w:sz="4" w:space="0"/>
              <w:bottom w:val="single" w:color="auto" w:sz="4" w:space="0"/>
              <w:right w:val="single" w:color="auto" w:sz="4" w:space="0"/>
            </w:tcBorders>
            <w:tcW w:w="220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9座（含）以下轿车、</w:t>
            </w:r>
            <w:r>
              <w:rPr>
                <w:rFonts w:hint="eastAsia" w:ascii="宋体" w:hAnsi="宋体" w:cs="宋体"/>
                <w:b/>
                <w:bCs/>
                <w:color w:val="auto"/>
                <w:sz w:val="21"/>
                <w:szCs w:val="21"/>
                <w:highlight w:val="none"/>
                <w:lang w:val="en-US" w:eastAsia="zh-CN" w:bidi="ar"/>
              </w:rPr>
              <w:t xml:space="preserve">小型普通客车（SUV车型除外）</w:t>
            </w:r>
            <w:r/>
          </w:p>
        </w:tc>
        <w:tc>
          <w:tcPr>
            <w:shd w:val="clear" w:color="auto" w:fill="auto"/>
            <w:tcBorders>
              <w:top w:val="single" w:color="auto" w:sz="4" w:space="0"/>
              <w:left w:val="none" w:color="000000"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不少于15辆，其中7座商务车不少于2辆</w:t>
            </w:r>
            <w:r/>
          </w:p>
        </w:tc>
        <w:tc>
          <w:tcPr>
            <w:shd w:val="clear" w:color="auto" w:fill="auto"/>
            <w:tcBorders>
              <w:top w:val="single" w:color="auto" w:sz="4" w:space="0"/>
              <w:left w:val="none" w:color="000000" w:sz="4" w:space="0"/>
              <w:bottom w:val="single" w:color="auto" w:sz="4" w:space="0"/>
              <w:right w:val="single" w:color="auto" w:sz="4" w:space="0"/>
            </w:tcBorders>
            <w:tcW w:w="305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Times New Roman"/>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每辆车须配备一名符合车辆驾驶要求的劳务派遣员。（详见本需求驾驶员要求）</w:t>
            </w:r>
            <w:r/>
          </w:p>
        </w:tc>
      </w:tr>
    </w:tbl>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二标段车辆类型、数量及驾驶员人数：</w:t>
      </w:r>
      <w:r/>
    </w:p>
    <w:tbl>
      <w:tblPr>
        <w:tblStyle w:val="781"/>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06"/>
        <w:gridCol w:w="1824"/>
        <w:gridCol w:w="1784"/>
        <w:gridCol w:w="4184"/>
      </w:tblGrid>
      <w:tr>
        <w:trPr>
          <w:jc w:val="center"/>
          <w:trHeight w:val="482"/>
        </w:trPr>
        <w:tc>
          <w:tcPr>
            <w:shd w:val="clear" w:color="auto" w:fill="auto"/>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24"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车辆类型</w:t>
            </w:r>
            <w:r/>
          </w:p>
        </w:tc>
        <w:tc>
          <w:tcPr>
            <w:shd w:val="clear" w:color="auto" w:fill="auto"/>
            <w:tcBorders>
              <w:top w:val="single" w:color="auto" w:sz="4" w:space="0"/>
              <w:left w:val="none" w:color="000000" w:sz="4" w:space="0"/>
              <w:bottom w:val="single" w:color="auto" w:sz="4" w:space="0"/>
              <w:right w:val="single" w:color="auto" w:sz="4" w:space="0"/>
            </w:tcBorders>
            <w:tcW w:w="1784"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4184"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驾驶员人数</w:t>
            </w:r>
            <w:r/>
          </w:p>
        </w:tc>
      </w:tr>
      <w:tr>
        <w:trPr>
          <w:jc w:val="center"/>
          <w:trHeight w:val="758"/>
        </w:trPr>
        <w:tc>
          <w:tcPr>
            <w:shd w:val="clear" w:color="auto" w:fill="auto"/>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二标段</w:t>
            </w:r>
            <w:r/>
          </w:p>
        </w:tc>
        <w:tc>
          <w:tcPr>
            <w:shd w:val="clear" w:color="auto" w:fill="auto"/>
            <w:tcBorders>
              <w:top w:val="single" w:color="auto" w:sz="4" w:space="0"/>
              <w:left w:val="none" w:color="000000" w:sz="4" w:space="0"/>
              <w:bottom w:val="single" w:color="auto" w:sz="4" w:space="0"/>
              <w:right w:val="single" w:color="auto" w:sz="4" w:space="0"/>
            </w:tcBorders>
            <w:tcW w:w="1824"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9座（不含）以上客车</w:t>
            </w:r>
            <w:r/>
          </w:p>
        </w:tc>
        <w:tc>
          <w:tcPr>
            <w:shd w:val="clear" w:color="auto" w:fill="auto"/>
            <w:tcBorders>
              <w:top w:val="single" w:color="auto" w:sz="4" w:space="0"/>
              <w:left w:val="none" w:color="000000" w:sz="4" w:space="0"/>
              <w:bottom w:val="single" w:color="auto" w:sz="4" w:space="0"/>
              <w:right w:val="single" w:color="auto" w:sz="4" w:space="0"/>
            </w:tcBorders>
            <w:tcW w:w="1784"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不少于10辆</w:t>
            </w:r>
            <w:r/>
          </w:p>
        </w:tc>
        <w:tc>
          <w:tcPr>
            <w:shd w:val="clear" w:color="auto" w:fill="auto"/>
            <w:tcBorders>
              <w:top w:val="single" w:color="auto" w:sz="4" w:space="0"/>
              <w:left w:val="none" w:color="000000" w:sz="4" w:space="0"/>
              <w:bottom w:val="single" w:color="auto" w:sz="4" w:space="0"/>
              <w:right w:val="single" w:color="auto" w:sz="4" w:space="0"/>
            </w:tcBorders>
            <w:tcW w:w="4184"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每辆车须配备一名符合车辆驾驶要求的驾驶员。（详见本需求驾驶员要求）</w:t>
            </w:r>
            <w:r/>
          </w:p>
        </w:tc>
      </w:tr>
    </w:tbl>
    <w:p>
      <w:pPr>
        <w:numPr>
          <w:ilvl w:val="0"/>
          <w:numId w:val="0"/>
        </w:numPr>
        <w:ind w:left="48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bidi="ar"/>
        </w:rPr>
        <w:t xml:space="preserve">（2）</w:t>
      </w:r>
      <w:r>
        <w:rPr>
          <w:rFonts w:hint="eastAsia" w:ascii="宋体" w:hAnsi="宋体" w:eastAsia="宋体" w:cs="宋体"/>
          <w:b/>
          <w:bCs/>
          <w:color w:val="auto"/>
          <w:sz w:val="24"/>
          <w:szCs w:val="24"/>
          <w:highlight w:val="none"/>
          <w:lang w:val="en-US" w:eastAsia="zh-CN" w:bidi="ar"/>
        </w:rPr>
        <w:t xml:space="preserve">供应商所提供车辆应是自有车辆，车辆牌照必须是盐城地区牌照，</w:t>
      </w:r>
      <w:r>
        <w:rPr>
          <w:rFonts w:hint="eastAsia" w:ascii="宋体" w:hAnsi="宋体" w:eastAsia="宋体" w:cs="宋体"/>
          <w:color w:val="auto"/>
          <w:sz w:val="24"/>
          <w:szCs w:val="24"/>
          <w:highlight w:val="none"/>
          <w:lang w:val="en-US" w:eastAsia="zh-CN" w:bidi="ar"/>
        </w:rPr>
        <w:t xml:space="preserve">符合安全行驶标准，不包含特种车辆（校车、非急救转运车等），车辆品牌以国产车为主，优先提供国产自主品牌车辆，在满足出行要求情况下优先使用新能源汽车，车辆应安全、大方、舒适，有效维护政府工作形象。</w:t>
      </w:r>
      <w:r>
        <w:rPr>
          <w:rFonts w:hint="eastAsia" w:ascii="宋体" w:hAnsi="宋体" w:eastAsia="宋体" w:cs="宋体"/>
          <w:b/>
          <w:bCs/>
          <w:color w:val="auto"/>
          <w:sz w:val="24"/>
          <w:szCs w:val="24"/>
          <w:highlight w:val="none"/>
          <w:lang w:val="en-US" w:eastAsia="zh-CN" w:bidi="ar"/>
        </w:rPr>
        <w:t xml:space="preserve">供应商所提供车辆应符合党政机关公务用车配备标准，轿车价格应为18万元以内、排气量1.8升（含）以下，其他小型普通客车价格应为25万元以内、排气量3.0升（含）以下。</w:t>
      </w:r>
      <w:r>
        <w:rPr>
          <w:rFonts w:hint="eastAsia" w:ascii="宋体" w:hAnsi="宋体" w:eastAsia="宋体" w:cs="宋体"/>
          <w:color w:val="auto"/>
          <w:sz w:val="24"/>
          <w:szCs w:val="24"/>
          <w:highlight w:val="none"/>
          <w:lang w:val="en-US" w:eastAsia="zh-CN" w:bidi="ar"/>
        </w:rPr>
        <w:t xml:space="preserve">供应商提供租赁的车辆须列明于《可供租赁车辆清单》中，正式提供服务前须报备公务用车主管部门并通过审核。二标段在二阶段提供服务时，入围供应商及所提供车辆须具备相应的营运资质。</w:t>
      </w:r>
      <w:r/>
    </w:p>
    <w:p>
      <w:pPr>
        <w:numPr>
          <w:ilvl w:val="0"/>
          <w:numId w:val="0"/>
        </w:numPr>
        <w:ind w:right="0" w:firstLine="482"/>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一标段供应商应当到所在地交通运输主管部门办理备案手续，取得有效的小微型客车租赁备案证明（或许可证）；车辆应当取得合格有效的《行驶证》，车辆使用性质为租赁。</w:t>
      </w:r>
      <w:r/>
    </w:p>
    <w:p>
      <w:pPr>
        <w:numPr>
          <w:ilvl w:val="0"/>
          <w:numId w:val="0"/>
        </w:numPr>
        <w:ind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bidi="ar"/>
        </w:rPr>
        <w:t xml:space="preserve"> </w:t>
      </w:r>
      <w:r>
        <w:rPr>
          <w:rFonts w:hint="eastAsia" w:ascii="宋体" w:hAnsi="宋体" w:eastAsia="宋体" w:cs="宋体"/>
          <w:b/>
          <w:bCs/>
          <w:color w:val="auto"/>
          <w:sz w:val="24"/>
          <w:szCs w:val="24"/>
          <w:highlight w:val="none"/>
          <w:lang w:val="en-US" w:eastAsia="zh-CN" w:bidi="ar"/>
        </w:rPr>
        <w:t xml:space="preserve">二标段供应商应具有合法有效的道路运输经营许可证，且道路运输经营许可证经营范围须包含包车客运或公交客运；车辆应当取得合格有效的《行驶证》和交通部门核发的《道路运输证》，《道路运输证》经营范围须含包车客运或公交客运。以上提供相应的原件扫描件，原件签订合同时备查）。</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驾驶员应有从事相应车型业务的相关资质，证照齐全，身体健康，技术良好，年龄60周岁以下，正常缴纳社保。一标段驾驶员须符合交通部客运管理相关规定，供应商应与有劳务资质相关企业签订员工派遣协议，驾驶员与有劳务资质相关企业签订合法有效的合同；二标段驾驶员须具有有效的《从业资格证》，与供应商签订合法有效的合同。所有驾驶员须具有3年及以上驾龄，3年内无重大交通事故，近3个完整记分周期无扣满分记录（12分），无犯罪记录，无违法乱纪行为，文明上岗，诚信守时，作风正派，有较强的服务意识和保密意识等。</w:t>
      </w:r>
      <w:r>
        <w:rPr>
          <w:rFonts w:hint="eastAsia" w:ascii="宋体" w:hAnsi="宋体" w:eastAsia="宋体" w:cs="宋体"/>
          <w:b/>
          <w:bCs/>
          <w:color w:val="auto"/>
          <w:sz w:val="24"/>
          <w:szCs w:val="24"/>
          <w:highlight w:val="none"/>
          <w:lang w:val="en-US" w:eastAsia="zh-CN" w:bidi="ar"/>
        </w:rPr>
        <w:t xml:space="preserve">供应商须提供所有驾驶员的驾驶证、3年安全驾驶证明、以及近1年任意一个月份为其缴纳社保的证明材料原件扫描件，否则响应文件无效。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（4）回场要求：服务结束后，供应商应规范、及时进行车辆回场操作。</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3.3安全及监管要求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供应商须建立健全专门的安全管理机制，定期对驾驶员开展安全教育；对每个驾驶员进行岗前素质培训，传达、学习有关安全、文明营运文件，对驾驶员的安全行车提出具体要求，消除事故隐患，开好安全车。</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服务车辆应严格依照《盐城市大丰区党政机关公务用车管理办法》进行管理。供应商要建立车辆卫星定位和监控系统，对所有运营车辆实行24小时动态监控和监管，出现违规违纪或违反《盐城市大丰区党政机关公务用车管理办法》相关规定要求等情况，即时提醒，做到“车辆一动，监督受控，车辆不停，监控不止”，以保障车辆运行的规范和安全，利用车辆卫星定位系统随时监控租赁服务车辆的去向动态及记录行驶轨迹。</w:t>
      </w:r>
      <w:r/>
    </w:p>
    <w:p>
      <w:pPr>
        <w:ind w:firstLine="480"/>
        <w:jc w:val="left"/>
        <w:spacing w:before="120" w:beforeAutospacing="0" w:after="120" w:afterAutospacing="0" w:line="400" w:lineRule="exact"/>
        <w:widowControl w:val="off"/>
        <w:rPr>
          <w:rFonts w:hint="default" w:ascii="宋体" w:hAnsi="宋体" w:eastAsia="宋体" w:cs="Times New Roman"/>
          <w:caps/>
          <w:color w:val="auto"/>
          <w:sz w:val="24"/>
          <w:szCs w:val="24"/>
          <w:highlight w:val="none"/>
          <w:lang w:val="en-US" w:eastAsia="zh-CN" w:bidi="ar"/>
        </w:rPr>
      </w:pPr>
      <w:r>
        <w:rPr>
          <w:rFonts w:hint="eastAsia" w:ascii="宋体" w:hAnsi="宋体" w:eastAsia="宋体" w:cs="宋体"/>
          <w:caps/>
          <w:color w:val="auto"/>
          <w:sz w:val="24"/>
          <w:szCs w:val="24"/>
          <w:highlight w:val="none"/>
          <w:lang w:val="en-US" w:eastAsia="zh-CN" w:bidi="ar"/>
        </w:rPr>
        <w:t xml:space="preserve">（3）租赁期间车辆及人员安全由供应商负责。</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（4）入围供应商在提供服务时须遵守有关保密规定。</w:t>
      </w:r>
      <w:r>
        <w:rPr>
          <w:rFonts w:hint="eastAsia" w:ascii="宋体" w:hAnsi="宋体" w:eastAsia="宋体" w:cs="宋体"/>
          <w:b/>
          <w:bCs/>
          <w:color w:val="auto"/>
          <w:sz w:val="24"/>
          <w:szCs w:val="24"/>
          <w:highlight w:val="none"/>
          <w:lang w:val="en-US" w:eastAsia="zh-CN" w:bidi="ar"/>
        </w:rPr>
        <w:t xml:space="preserve">供应商在响应文件中须提供</w:t>
      </w:r>
      <w:r>
        <w:rPr>
          <w:rFonts w:hint="eastAsia" w:ascii="宋体" w:hAnsi="宋体" w:cs="宋体"/>
          <w:b/>
          <w:bCs/>
          <w:color w:val="auto"/>
          <w:sz w:val="24"/>
          <w:szCs w:val="24"/>
          <w:highlight w:val="none"/>
          <w:lang w:val="en-US" w:eastAsia="zh-CN" w:bidi="ar"/>
        </w:rPr>
        <w:t xml:space="preserve">保密承诺书</w:t>
      </w:r>
      <w:r>
        <w:rPr>
          <w:rFonts w:hint="eastAsia" w:ascii="宋体" w:hAnsi="宋体" w:eastAsia="宋体" w:cs="宋体"/>
          <w:b/>
          <w:bCs/>
          <w:color w:val="auto"/>
          <w:sz w:val="24"/>
          <w:szCs w:val="24"/>
          <w:highlight w:val="none"/>
          <w:lang w:val="en-US" w:eastAsia="zh-CN" w:bidi="ar"/>
        </w:rPr>
        <w:t xml:space="preserve">（格式见附件），否则响应文件无效。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3.4第一阶段入围供应商确定后，供应商应当在‘苏采云’系统框架协议电子采购平台维护并展示其具体的服务信息，便于用车人线上下单采购。</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i w:val="0"/>
          <w:iCs w:val="0"/>
          <w:color w:val="auto"/>
          <w:sz w:val="24"/>
          <w:szCs w:val="24"/>
          <w:highlight w:val="none"/>
          <w:lang w:val="en-US" w:eastAsia="zh-CN" w:bidi="ar"/>
        </w:rPr>
        <w:suppressLineNumbers w:val="0"/>
      </w:pPr>
      <w:r>
        <w:rPr>
          <w:rFonts w:hint="eastAsia" w:ascii="宋体" w:hAnsi="宋体" w:eastAsia="宋体" w:cs="宋体"/>
          <w:b/>
          <w:bCs/>
          <w:i w:val="0"/>
          <w:iCs w:val="0"/>
          <w:color w:val="auto"/>
          <w:sz w:val="24"/>
          <w:szCs w:val="24"/>
          <w:highlight w:val="none"/>
          <w:lang w:val="en-US" w:eastAsia="zh-CN" w:bidi="ar"/>
        </w:rPr>
        <w:t xml:space="preserve">4.二阶段合同授予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4.1 供应商应按照《关于启用江苏省政府采购框架协议电子采购平台的通知》（苏财购〔2023〕35号）要求，登陆‘苏采云’系统框架协议电子采购平台进行报价、合同签订等工作”相关内容。</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4.2确定第二阶段成交供应商应当由用车人或服务对象依据入围产品价格、质量以及服务便利性、用户评价等因素，从第一阶段入围供应商中直接选定。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5.履约管理要求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5.1 管理形式</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公务用车主管部门、行业主管部门、政府采购监管部门定期或不定期地对入围供应商的服务质量、履约情况进行监督检查。检查和处理结果将在框架协议系统公布。</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5.2 管理标准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在监管检查中，如发现以下情形，视为不合格行为。相关部门在核实情况后将对相关责任供应商予以处理：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（1）入围供应商提供的服务不符合国家有关规定、响应承诺和框架协议规定。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（2）无正当理由拒单或不按照承诺提供服务。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（3）具体项目成交价高于其入围价格或服务承诺。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（4）使用不正当竞争手段，影响采购单位正常采购活动。</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（5）满意度调查中采购人反馈不满意，经核实确系供应商责任。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（6）其他违法违规行为。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5.3 管理措施</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对履约监管中发现的不合格行为，按以下措施处理：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（1）整改</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入围供应商在框架协议服务期间存在不合格行为的，由相关部门出具《责令整改通知书》，限定时间完成整改。被开具《责令整改通知书》的供应商，视作差评，记录在案。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（2）暂停交易资格</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对拒不接受相关部门约谈，或者规定时间未按《责令整改通知书》完成整改的供应商，暂停其框架协议交易资格三个月。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（3）终止交易资格</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（4）解决争议的方法</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双方在执行合同中所发生的一切争议，应通过协商解决。如协商不成，可向采购人所在地人民法院起诉。</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（二）有关说明</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1.供应商框架协议期内的综合报价包括满足本项目服务要求的从项目入围起到项目正式交付所发生的一切费用。</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2.供应商必须在满足征集文件要求的基础上进行报价。</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质量及验收：采购人根据国家有关规定、征集文件、供应商的响应文件以及合同约定的内容和验收标准进行验收。验收情况作为支付货款的依据。如有质疑，以相关质量技术检验检测机构的检验结果为准，如产生检验费用，则该费用由过失方承担。</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入围供应商为小微企业或残疾人福利性单位的，其《中小企业声明函》或《残疾人福利性单位声明函》将随入围公告同时发布，接受社会监督。供应商提供的《中小企业声明函》或《残疾人福利性单位声明函》与事实不符的，依照《政府采购法》第七十七条第一款的规定追究法律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5.依据《政府采购促进中小企业发展管理办法》规定享受扶持政策获得政府采购合同的，小微企业不得将合同分包给大中型企业，中型企业不得将合同分包给大型企业。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征集活动开始后，供应商须自行准备设备（包括但不限于笔记本电脑、无线网络）登录“苏采云”，按征集文件规定时间解密后，在评审过程中保持在线，等待评审小组的询标和评审结果，中途不得离开。如未按要求应答，由此所产生的损失及风险由供应商自行承担。</w:t>
      </w:r>
      <w:r/>
    </w:p>
    <w:p>
      <w:pPr>
        <w:ind w:firstLine="482"/>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采购标的对应的中小企业划分标准所属行业一览表</w:t>
      </w:r>
      <w:r/>
    </w:p>
    <w:p>
      <w:pPr>
        <w:pStyle w:val="813"/>
        <w:rPr>
          <w:rFonts w:hint="eastAsia"/>
          <w:highlight w:val="none"/>
        </w:rPr>
      </w:pPr>
      <w:r>
        <w:rPr>
          <w:rFonts w:hint="eastAsia"/>
          <w:highlight w:val="none"/>
        </w:rPr>
      </w:r>
      <w:r/>
    </w:p>
    <w:tbl>
      <w:tblPr>
        <w:tblStyle w:val="781"/>
        <w:tblW w:w="896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58"/>
        <w:gridCol w:w="4053"/>
        <w:gridCol w:w="3749"/>
      </w:tblGrid>
      <w:tr>
        <w:trPr>
          <w:jc w:val="center"/>
          <w:tblCellSpacing w:w="0" w:type="dxa"/>
          <w:trHeight w:val="470"/>
        </w:trPr>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pStyle w:val="804"/>
              <w:jc w:val="center"/>
              <w:keepLines w:val="0"/>
              <w:keepNext w:val="0"/>
              <w:pageBreakBefore w:val="0"/>
              <w:spacing w:before="0" w:beforeAutospacing="0" w:after="0" w:afterAutospacing="0" w:line="480" w:lineRule="exact"/>
              <w:rPr>
                <w:rFonts w:hint="eastAsia" w:ascii="宋体" w:hAnsi="宋体" w:eastAsia="宋体" w:cs="宋体"/>
                <w:sz w:val="24"/>
                <w:szCs w:val="24"/>
                <w:highlight w:val="none"/>
              </w:rPr>
            </w:pPr>
            <w:r/>
            <w:bookmarkStart w:id="176" w:name="_Toc128039583"/>
            <w:r>
              <w:rPr>
                <w:rFonts w:hint="eastAsia" w:ascii="宋体" w:hAnsi="宋体" w:eastAsia="宋体" w:cs="宋体"/>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804"/>
              <w:jc w:val="center"/>
              <w:keepLines w:val="0"/>
              <w:keepNext w:val="0"/>
              <w:pageBreakBefore w:val="0"/>
              <w:spacing w:before="0" w:beforeAutospacing="0" w:after="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804"/>
              <w:jc w:val="center"/>
              <w:keepLines w:val="0"/>
              <w:keepNext w:val="0"/>
              <w:pageBreakBefore w:val="0"/>
              <w:spacing w:before="0" w:beforeAutospacing="0" w:after="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对应中小企业划分标准所属行业</w:t>
            </w:r>
            <w:r/>
          </w:p>
        </w:tc>
      </w:tr>
      <w:tr>
        <w:trPr>
          <w:jc w:val="center"/>
          <w:tblCellSpacing w:w="0" w:type="dxa"/>
          <w:trHeight w:val="533"/>
        </w:trPr>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pStyle w:val="804"/>
              <w:jc w:val="center"/>
              <w:keepLines w:val="0"/>
              <w:keepNext w:val="0"/>
              <w:pageBreakBefore w:val="0"/>
              <w:spacing w:before="0" w:beforeAutospacing="0" w:after="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804"/>
              <w:jc w:val="center"/>
              <w:keepLines w:val="0"/>
              <w:keepNext w:val="0"/>
              <w:pageBreakBefore w:val="0"/>
              <w:spacing w:before="0" w:beforeAutospacing="0" w:after="0" w:afterAutospacing="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 </w:t>
            </w:r>
            <w:r>
              <w:rPr>
                <w:rFonts w:hint="eastAsia" w:ascii="宋体" w:hAnsi="宋体" w:cs="宋体"/>
                <w:sz w:val="24"/>
                <w:szCs w:val="24"/>
                <w:highlight w:val="none"/>
                <w:lang w:eastAsia="zh-CN"/>
              </w:rPr>
              <w:t xml:space="preserve">2026-2027年度大丰区党政机关、事业单位和团体组织公务用车社会化租赁服务</w:t>
            </w:r>
            <w:r/>
          </w:p>
        </w:tc>
        <w:tc>
          <w:tcPr>
            <w:shd w:val="clear" w:color="auto" w:fill="auto"/>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804"/>
              <w:jc w:val="center"/>
              <w:keepLines w:val="0"/>
              <w:keepNext w:val="0"/>
              <w:pageBreakBefore w:val="0"/>
              <w:spacing w:before="0" w:beforeAutospacing="0" w:after="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交通运输业</w:t>
            </w:r>
            <w:r/>
          </w:p>
        </w:tc>
      </w:tr>
    </w:tbl>
    <w:p>
      <w:pPr>
        <w:ind w:firstLine="360"/>
        <w:keepLines w:val="0"/>
        <w:keepNext w:val="0"/>
        <w:pageBreakBefore w:val="0"/>
        <w:spacing w:line="480" w:lineRule="exact"/>
        <w:rPr>
          <w:rFonts w:hint="eastAsia" w:ascii="宋体" w:hAnsi="宋体" w:eastAsia="宋体" w:cs="宋体"/>
          <w:sz w:val="24"/>
          <w:szCs w:val="24"/>
          <w:highlight w:val="none"/>
        </w:rPr>
      </w:pPr>
      <w:r/>
      <w:bookmarkStart w:id="177" w:name="_Toc183693306"/>
      <w:r>
        <w:rPr>
          <w:rFonts w:hint="eastAsia" w:ascii="宋体" w:hAnsi="宋体" w:eastAsia="宋体" w:cs="宋体"/>
          <w:sz w:val="24"/>
          <w:szCs w:val="24"/>
          <w:highlight w:val="none"/>
        </w:rPr>
        <w:t xml:space="preserve">交通运输业</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bookmarkStart w:id="178" w:name="_Toc26205"/>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第五章  确定入围及成交供应商</w:t>
      </w:r>
      <w:bookmarkEnd w:id="176"/>
      <w:r/>
      <w:bookmarkEnd w:id="177"/>
      <w:r/>
      <w:bookmarkEnd w:id="178"/>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一、确定入围及成交供应商的方法</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确定第一阶段入围供应商的评审方法为价格优先法。价格优先法是指对满足采购需求且响应报价不超过最高限制单价，按照响应报价从低到高排序，根据征集文件规定的淘汰率或者入围供应商数量上限，确定入围供应商的评审方法。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入围供应商的淘汰比例：20%，淘汰家数按照逢点进位，且至少淘汰一家供应商（提交响应文件和符合资格条件、实质性要求的供应商少于2家时，采购活动终止）。淘汰供应商家数的计算规则为：通过资格性及符合性供应商家数×淘汰率=X，X=A+B，A为整数部分，B为小数部分。当B为零时，淘汰家数为A；当B不为零时，淘汰家数为A+1。</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3、报价规则</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1）除车辆在实际使用过程中产生的过路过桥费、停车费、司机住宿费由用车人支付外，用车人不再承担供应商车辆的其它任何费用（包括且不限于油费、折旧费、保险费、修理费、交通事故产生的费用、税金和驾驶员工资、福利等费用），由用车人据实支付的驾驶员住宿费不得超过《盐城市大丰区党政机关租用社会车辆管理办法》规定的有关标准。</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（2）本项目基准价为各标段每种车型具体的每天日租费、半日租费、超时加收费用或超公里加收费用等。</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（3）对应的半日租、日租，如有超时或超公里情况，由供应商选取超时费或超公里费中的任意一项计入总费用，不得将超时费和超公里费同时计入总费用。</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4）本项目采取下浮比例报价，以（1-下浮比例）作为供应商的报价参与价格评审，报价要求0%≤下浮比例＜100%，供应商的报价最多精确到小数点后两位。供应商投标报价时，须按照各标段相关车型基准价填报下浮比例，每个标段仅需报一个下浮比例。</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（5）实际用车费用示例如下</w:t>
      </w:r>
      <w:r/>
    </w:p>
    <w:p>
      <w:pPr>
        <w:ind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例：如供应商一标段所报下浮比例为15%，则其5座燃油类轿车（含混动车）、6-9座新能源类车（纯电汽车）半日租（4小时/50公里）价格为</w:t>
      </w:r>
      <w:r>
        <w:rPr>
          <w:rFonts w:hint="eastAsia" w:ascii="宋体" w:hAnsi="宋体" w:cs="宋体"/>
          <w:color w:val="auto"/>
          <w:sz w:val="24"/>
          <w:szCs w:val="24"/>
          <w:highlight w:val="none"/>
          <w:lang w:val="en-US" w:eastAsia="zh-CN" w:bidi="ar"/>
        </w:rPr>
        <w:t xml:space="preserve">350</w:t>
      </w:r>
      <w:r>
        <w:rPr>
          <w:rFonts w:hint="eastAsia" w:ascii="宋体" w:hAnsi="宋体" w:eastAsia="宋体" w:cs="宋体"/>
          <w:color w:val="auto"/>
          <w:sz w:val="24"/>
          <w:szCs w:val="24"/>
          <w:highlight w:val="none"/>
          <w:lang w:val="en-US" w:eastAsia="zh-CN" w:bidi="ar"/>
        </w:rPr>
        <w:t xml:space="preserve">*（1-15%）=</w:t>
      </w:r>
      <w:r>
        <w:rPr>
          <w:rFonts w:hint="eastAsia" w:ascii="宋体" w:hAnsi="宋体" w:cs="宋体"/>
          <w:color w:val="auto"/>
          <w:sz w:val="24"/>
          <w:szCs w:val="24"/>
          <w:highlight w:val="none"/>
          <w:lang w:val="en-US" w:eastAsia="zh-CN" w:bidi="ar"/>
        </w:rPr>
        <w:t xml:space="preserve">297.5</w:t>
      </w:r>
      <w:r>
        <w:rPr>
          <w:rFonts w:hint="eastAsia" w:ascii="宋体" w:hAnsi="宋体" w:eastAsia="宋体" w:cs="宋体"/>
          <w:color w:val="auto"/>
          <w:sz w:val="24"/>
          <w:szCs w:val="24"/>
          <w:highlight w:val="none"/>
          <w:lang w:val="en-US" w:eastAsia="zh-CN" w:bidi="ar"/>
        </w:rPr>
        <w:t xml:space="preserve">元；若超时1小时但未超出50公里，价格为</w:t>
      </w:r>
      <w:r>
        <w:rPr>
          <w:rFonts w:hint="eastAsia" w:ascii="宋体" w:hAnsi="宋体" w:cs="宋体"/>
          <w:color w:val="auto"/>
          <w:sz w:val="24"/>
          <w:szCs w:val="24"/>
          <w:highlight w:val="none"/>
          <w:lang w:val="en-US" w:eastAsia="zh-CN" w:bidi="ar"/>
        </w:rPr>
        <w:t xml:space="preserve">350</w:t>
      </w:r>
      <w:r>
        <w:rPr>
          <w:rFonts w:hint="eastAsia" w:ascii="宋体" w:hAnsi="宋体" w:eastAsia="宋体" w:cs="宋体"/>
          <w:color w:val="auto"/>
          <w:sz w:val="24"/>
          <w:szCs w:val="24"/>
          <w:highlight w:val="none"/>
          <w:lang w:val="en-US" w:eastAsia="zh-CN" w:bidi="ar"/>
        </w:rPr>
        <w:t xml:space="preserve">*（1-15%）+ </w:t>
      </w:r>
      <w:r>
        <w:rPr>
          <w:rFonts w:hint="eastAsia" w:ascii="宋体" w:hAnsi="宋体" w:cs="宋体"/>
          <w:color w:val="auto"/>
          <w:sz w:val="24"/>
          <w:szCs w:val="24"/>
          <w:highlight w:val="none"/>
          <w:lang w:val="en-US" w:eastAsia="zh-CN" w:bidi="ar"/>
        </w:rPr>
        <w:t xml:space="preserve">45</w:t>
      </w:r>
      <w:r>
        <w:rPr>
          <w:rFonts w:hint="eastAsia" w:ascii="宋体" w:hAnsi="宋体" w:eastAsia="宋体" w:cs="宋体"/>
          <w:color w:val="auto"/>
          <w:sz w:val="24"/>
          <w:szCs w:val="24"/>
          <w:highlight w:val="none"/>
          <w:lang w:val="en-US" w:eastAsia="zh-CN" w:bidi="ar"/>
        </w:rPr>
        <w:t xml:space="preserve">*（1-15%）=</w:t>
      </w:r>
      <w:r>
        <w:rPr>
          <w:rFonts w:hint="eastAsia" w:ascii="宋体" w:hAnsi="宋体" w:cs="宋体"/>
          <w:color w:val="auto"/>
          <w:sz w:val="24"/>
          <w:szCs w:val="24"/>
          <w:highlight w:val="none"/>
          <w:lang w:val="en-US" w:eastAsia="zh-CN" w:bidi="ar"/>
        </w:rPr>
        <w:t xml:space="preserve">335.75</w:t>
      </w:r>
      <w:r>
        <w:rPr>
          <w:rFonts w:hint="eastAsia" w:ascii="宋体" w:hAnsi="宋体" w:eastAsia="宋体" w:cs="宋体"/>
          <w:color w:val="auto"/>
          <w:sz w:val="24"/>
          <w:szCs w:val="24"/>
          <w:highlight w:val="none"/>
          <w:lang w:val="en-US" w:eastAsia="zh-CN" w:bidi="ar"/>
        </w:rPr>
        <w:t xml:space="preserve">元。</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如供应商二标段所报下浮比例为10%，9座（不含）至14座（含）客车（含新能源汽车）日租（8小时/100公里）价格为</w:t>
      </w:r>
      <w:r>
        <w:rPr>
          <w:rFonts w:hint="eastAsia" w:ascii="宋体" w:hAnsi="宋体" w:cs="宋体"/>
          <w:color w:val="auto"/>
          <w:sz w:val="24"/>
          <w:szCs w:val="24"/>
          <w:highlight w:val="none"/>
          <w:lang w:val="en-US" w:eastAsia="zh-CN" w:bidi="ar"/>
        </w:rPr>
        <w:t xml:space="preserve">800</w:t>
      </w:r>
      <w:r>
        <w:rPr>
          <w:rFonts w:hint="eastAsia" w:ascii="宋体" w:hAnsi="宋体" w:eastAsia="宋体" w:cs="宋体"/>
          <w:color w:val="auto"/>
          <w:sz w:val="24"/>
          <w:szCs w:val="24"/>
          <w:highlight w:val="none"/>
          <w:lang w:val="en-US" w:eastAsia="zh-CN" w:bidi="ar"/>
        </w:rPr>
        <w:t xml:space="preserve">*（1-10%）=</w:t>
      </w:r>
      <w:r>
        <w:rPr>
          <w:rFonts w:hint="eastAsia" w:ascii="宋体" w:hAnsi="宋体" w:cs="宋体"/>
          <w:color w:val="auto"/>
          <w:sz w:val="24"/>
          <w:szCs w:val="24"/>
          <w:highlight w:val="none"/>
          <w:lang w:val="en-US" w:eastAsia="zh-CN" w:bidi="ar"/>
        </w:rPr>
        <w:t xml:space="preserve">720</w:t>
      </w:r>
      <w:r>
        <w:rPr>
          <w:rFonts w:hint="eastAsia" w:ascii="宋体" w:hAnsi="宋体" w:eastAsia="宋体" w:cs="宋体"/>
          <w:color w:val="auto"/>
          <w:sz w:val="24"/>
          <w:szCs w:val="24"/>
          <w:highlight w:val="none"/>
          <w:lang w:val="en-US" w:eastAsia="zh-CN" w:bidi="ar"/>
        </w:rPr>
        <w:t xml:space="preserve">元；若超出10公里但未超过8小时，价格为</w:t>
      </w:r>
      <w:r>
        <w:rPr>
          <w:rFonts w:hint="eastAsia" w:ascii="宋体" w:hAnsi="宋体" w:cs="宋体"/>
          <w:color w:val="auto"/>
          <w:sz w:val="24"/>
          <w:szCs w:val="24"/>
          <w:highlight w:val="none"/>
          <w:lang w:val="en-US" w:eastAsia="zh-CN" w:bidi="ar"/>
        </w:rPr>
        <w:t xml:space="preserve">800</w:t>
      </w:r>
      <w:r>
        <w:rPr>
          <w:rFonts w:hint="eastAsia" w:ascii="宋体" w:hAnsi="宋体" w:eastAsia="宋体" w:cs="宋体"/>
          <w:color w:val="auto"/>
          <w:sz w:val="24"/>
          <w:szCs w:val="24"/>
          <w:highlight w:val="none"/>
          <w:lang w:val="en-US" w:eastAsia="zh-CN" w:bidi="ar"/>
        </w:rPr>
        <w:t xml:space="preserve">*（1-10%）+ 4*10*（1-10%）=</w:t>
      </w:r>
      <w:r>
        <w:rPr>
          <w:rFonts w:hint="eastAsia" w:ascii="宋体" w:hAnsi="宋体" w:cs="宋体"/>
          <w:color w:val="auto"/>
          <w:sz w:val="24"/>
          <w:szCs w:val="24"/>
          <w:highlight w:val="none"/>
          <w:lang w:val="en-US" w:eastAsia="zh-CN" w:bidi="ar"/>
        </w:rPr>
        <w:t xml:space="preserve">756</w:t>
      </w:r>
      <w:r>
        <w:rPr>
          <w:rFonts w:hint="eastAsia" w:ascii="宋体" w:hAnsi="宋体" w:eastAsia="宋体" w:cs="宋体"/>
          <w:color w:val="auto"/>
          <w:sz w:val="24"/>
          <w:szCs w:val="24"/>
          <w:highlight w:val="none"/>
          <w:lang w:val="en-US" w:eastAsia="zh-CN" w:bidi="ar"/>
        </w:rPr>
        <w:t xml:space="preserve">元。</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请各供应商结合市场实际合理进行下浮比例报价。</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（6）入围供应商的投标报价为第二阶段的最高限价，供应商可在此基础上继续下浮与用车人结算，不得低于入围下浮比例。</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（7）如供应商报价相同，按照符合要求的车辆配备数量、驾驶员配备数量进行排序。若上述因素均相同，由评审小组通过现场抽签确定此类供应商排名顺序。</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二、确定第二阶段成交供应商的方式</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确定第二阶段成交供应商的方式为直接选定。由采购人通过“全省一张网”从第一阶段入围供应商中直接选定。第一阶段入围供应商的协议价格是采购人确定第二阶段成交供应商的最高限价。</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采购人在确定成交供应商后，不得擅自改变框架协议约定的实质性条款。供应商履行</w:t>
      </w:r>
      <w:r>
        <w:rPr>
          <w:rFonts w:hint="eastAsia" w:ascii="宋体" w:hAnsi="宋体" w:cs="宋体"/>
          <w:sz w:val="24"/>
          <w:szCs w:val="24"/>
          <w:highlight w:val="none"/>
          <w:lang w:val="en-US" w:eastAsia="zh-CN" w:bidi="ar"/>
        </w:rPr>
        <w:t xml:space="preserve">采购合同后</w:t>
      </w:r>
      <w:r>
        <w:rPr>
          <w:rFonts w:hint="eastAsia" w:ascii="宋体" w:hAnsi="宋体" w:eastAsia="宋体" w:cs="宋体"/>
          <w:sz w:val="24"/>
          <w:szCs w:val="24"/>
          <w:highlight w:val="none"/>
          <w:lang w:val="en-US" w:eastAsia="zh-CN" w:bidi="ar"/>
        </w:rPr>
        <w:t xml:space="preserve">，依据采购合同的约定与采购人进行费用结算。</w:t>
      </w:r>
      <w:r/>
    </w:p>
    <w:p>
      <w:pPr>
        <w:ind w:firstLine="42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政府采购政策功能落实</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1、小微型企业价格扣除</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（1）本项目不专门面向中小企业采购，对符合规定的小型和微型企业报价给予20%的扣除价格，用扣除后的价格参与评审。</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（2）供应商需按照采购文件的要求提供相应的《中小企业声明函》。</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（3）企业标准请参照《关于印发中小企业划型标准规定的通知》（工信部联企业[2011]300号）文件规定自行填写。</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2、残疾人福利单位价格扣除</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（1）本项目对残疾人福利性单位视同小型、微型企业，给予20%的价格扣除。</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（2）残疾人福利单位需按照采购文件的要求提供《残疾人福利性单位声明函》。</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（3）残疾人福利单位标准请参照《关于促进残疾人就业政府采购政策的通知》（财库〔2017〕141号）。</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3、监狱和戒毒企业价格扣除</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（1）本项目对监狱和戒毒企业（简称监狱企业）视同小型、微型企业，给予20%的价格扣除。</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（3）监狱企业标准请参照《关于政府采购支持监狱企业发展有关问题的通知》（财库[2014]68号）。</w:t>
      </w:r>
      <w:r/>
    </w:p>
    <w:p>
      <w:pPr>
        <w:ind w:firstLine="480"/>
        <w:keepLines w:val="0"/>
        <w:keepNext w:val="0"/>
        <w:pageBreakBefore w:val="0"/>
        <w:spacing w:line="52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4、残疾人福利单位、监狱企业属于小型、微型企业的，不重复享受政策。</w:t>
      </w:r>
      <w:r/>
    </w:p>
    <w:p>
      <w:pPr>
        <w:ind w:firstLine="480"/>
        <w:keepLines w:val="0"/>
        <w:keepNext w:val="0"/>
        <w:pageBreakBefore w:val="0"/>
        <w:spacing w:line="520" w:lineRule="exact"/>
        <w:widowControl w:val="off"/>
        <w:rPr>
          <w:rFonts w:ascii="宋体" w:hAnsi="宋体" w:eastAsia="宋体" w:cs="宋体"/>
          <w:bCs/>
          <w:color w:val="000000"/>
          <w:sz w:val="24"/>
          <w:szCs w:val="20"/>
          <w:highlight w:val="none"/>
        </w:rPr>
      </w:pPr>
      <w:r>
        <w:rPr>
          <w:rFonts w:hint="eastAsia" w:ascii="宋体" w:hAnsi="宋体" w:cs="宋体"/>
          <w:bCs/>
          <w:color w:val="000000"/>
          <w:sz w:val="24"/>
          <w:szCs w:val="20"/>
          <w:highlight w:val="none"/>
          <w:lang w:val="en-US" w:eastAsia="zh-CN"/>
        </w:rPr>
        <w:t xml:space="preserve">5、</w:t>
      </w:r>
      <w:r>
        <w:rPr>
          <w:rFonts w:hint="eastAsia" w:ascii="宋体" w:hAnsi="宋体" w:eastAsia="宋体" w:cs="宋体"/>
          <w:bCs/>
          <w:color w:val="000000"/>
          <w:sz w:val="24"/>
          <w:szCs w:val="20"/>
          <w:highlight w:val="none"/>
        </w:rPr>
        <w:t xml:space="preserve">严格执行政府采购关于支持</w:t>
      </w:r>
      <w:r>
        <w:rPr>
          <w:rFonts w:hint="eastAsia" w:ascii="宋体" w:hAnsi="宋体" w:eastAsia="宋体" w:cs="宋体"/>
          <w:bCs/>
          <w:color w:val="000000"/>
          <w:sz w:val="24"/>
          <w:szCs w:val="2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65"/>
        <w:ind w:firstLine="420"/>
        <w:keepLines w:val="0"/>
        <w:keepNext w:val="0"/>
        <w:pageBreakBefore w:val="0"/>
        <w:spacing w:before="0" w:after="0" w:line="480" w:lineRule="exact"/>
        <w:rPr>
          <w:rFonts w:hint="eastAsia" w:ascii="宋体" w:hAnsi="宋体" w:eastAsia="宋体" w:cs="宋体"/>
          <w:sz w:val="24"/>
          <w:szCs w:val="24"/>
          <w:highlight w:val="none"/>
        </w:rPr>
      </w:pPr>
      <w:r/>
      <w:bookmarkStart w:id="179" w:name="_Toc128039584"/>
      <w:r/>
      <w:r/>
    </w:p>
    <w:p>
      <w:pPr>
        <w:jc w:val="left"/>
        <w:keepLines w:val="0"/>
        <w:keepNext w:val="0"/>
        <w:pageBreakBefore w:val="0"/>
        <w:spacing w:line="480" w:lineRule="exact"/>
        <w:widowControl/>
        <w:rPr>
          <w:rFonts w:hint="eastAsia" w:ascii="宋体" w:hAnsi="宋体" w:eastAsia="宋体" w:cs="宋体"/>
          <w:bCs/>
          <w:sz w:val="44"/>
          <w:highlight w:val="none"/>
        </w:rPr>
      </w:pPr>
      <w:r>
        <w:rPr>
          <w:rFonts w:hint="eastAsia" w:ascii="宋体" w:hAnsi="宋体" w:eastAsia="宋体" w:cs="宋体"/>
          <w:bCs/>
          <w:sz w:val="44"/>
          <w:highlight w:val="none"/>
        </w:rPr>
        <w:br w:type="page" w:clear="all"/>
      </w:r>
      <w:bookmarkEnd w:id="179"/>
      <w:r/>
      <w:r/>
    </w:p>
    <w:p>
      <w:pPr>
        <w:pStyle w:val="772"/>
        <w:rPr>
          <w:rFonts w:hint="eastAsia" w:ascii="黑体" w:eastAsia="黑体"/>
          <w:bCs/>
          <w:color w:val="000000" w:themeColor="text1"/>
          <w:sz w:val="44"/>
          <w:highlight w:val="none"/>
          <w14:textFill>
            <w14:solidFill>
              <w14:schemeClr w14:val="tx1"/>
            </w14:solidFill>
          </w14:textFill>
        </w:rPr>
      </w:pPr>
      <w:r>
        <w:rPr>
          <w:rFonts w:hint="eastAsia" w:ascii="黑体" w:eastAsia="黑体"/>
          <w:bCs/>
          <w:color w:val="000000" w:themeColor="text1"/>
          <w:sz w:val="44"/>
          <w:highlight w:val="none"/>
          <w14:textFill>
            <w14:solidFill>
              <w14:schemeClr w14:val="tx1"/>
            </w14:solidFill>
          </w14:textFill>
        </w:rPr>
      </w:r>
      <w:r/>
    </w:p>
    <w:p>
      <w:pPr>
        <w:pStyle w:val="772"/>
        <w:rPr>
          <w:rFonts w:hint="eastAsia" w:ascii="黑体" w:eastAsia="黑体"/>
          <w:bCs/>
          <w:color w:val="000000" w:themeColor="text1"/>
          <w:sz w:val="44"/>
          <w:highlight w:val="none"/>
          <w14:textFill>
            <w14:solidFill>
              <w14:schemeClr w14:val="tx1"/>
            </w14:solidFill>
          </w14:textFill>
        </w:rPr>
        <w:outlineLvl w:val="0"/>
      </w:pPr>
      <w:r/>
      <w:bookmarkStart w:id="180" w:name="_Toc11817"/>
      <w:r>
        <w:rPr>
          <w:rFonts w:hint="eastAsia" w:ascii="黑体" w:eastAsia="黑体"/>
          <w:bCs/>
          <w:color w:val="000000" w:themeColor="text1"/>
          <w:sz w:val="44"/>
          <w:highlight w:val="none"/>
          <w14:textFill>
            <w14:solidFill>
              <w14:schemeClr w14:val="tx1"/>
            </w14:solidFill>
          </w14:textFill>
        </w:rPr>
        <w:t xml:space="preserve">第六章  响应文件格式</w:t>
      </w:r>
      <w:bookmarkEnd w:id="180"/>
      <w:r>
        <w:rPr>
          <w:rFonts w:hint="eastAsia" w:ascii="黑体" w:eastAsia="黑体"/>
          <w:bCs/>
          <w:color w:val="000000" w:themeColor="text1"/>
          <w:sz w:val="44"/>
          <w:highlight w:val="none"/>
          <w14:textFill>
            <w14:solidFill>
              <w14:schemeClr w14:val="tx1"/>
            </w14:solidFill>
          </w14:textFill>
        </w:rPr>
        <w:t xml:space="preserve"> </w:t>
      </w:r>
      <w:r/>
    </w:p>
    <w:p>
      <w:pPr>
        <w:jc w:val="center"/>
        <w:rPr>
          <w:rFonts w:hint="eastAsia" w:ascii="宋体" w:hAnsi="宋体"/>
          <w:b/>
          <w:color w:val="000000" w:themeColor="text1"/>
          <w:sz w:val="72"/>
          <w:highlight w:val="none"/>
          <w14:textFill>
            <w14:solidFill>
              <w14:schemeClr w14:val="tx1"/>
            </w14:solidFill>
          </w14:textFill>
        </w:rPr>
      </w:pPr>
      <w:r/>
      <w:bookmarkStart w:id="181" w:name="_Hlt26955039"/>
      <w:r/>
      <w:bookmarkEnd w:id="181"/>
      <w:r/>
      <w:bookmarkStart w:id="182" w:name="_Hlt26671244"/>
      <w:r/>
      <w:bookmarkEnd w:id="182"/>
      <w:r/>
      <w:bookmarkStart w:id="183" w:name="_Toc26554094"/>
      <w:r/>
      <w:bookmarkStart w:id="184" w:name="_Toc49090576"/>
      <w:r/>
      <w:bookmarkStart w:id="185" w:name="_Toc120614282"/>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响  应  文  件</w:t>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ind w:firstLine="1084"/>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p>
    <w:p>
      <w:pPr>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供应商名称 ：</w:t>
      </w:r>
      <w:r>
        <w:rPr>
          <w:rFonts w:hint="eastAsia" w:ascii="宋体" w:hAnsi="宋体"/>
          <w:b/>
          <w:color w:val="000000" w:themeColor="text1"/>
          <w:sz w:val="36"/>
          <w:highlight w:val="none"/>
          <w:u w:val="single"/>
          <w14:textFill>
            <w14:solidFill>
              <w14:schemeClr w14:val="tx1"/>
            </w14:solidFill>
          </w14:textFill>
        </w:rPr>
        <w:t xml:space="preserve">（加盖CA电子公章）</w:t>
      </w:r>
      <w:r/>
    </w:p>
    <w:p>
      <w:pPr>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1084"/>
        <w:rPr>
          <w:rFonts w:ascii="宋体" w:hAnsi="宋体"/>
          <w:b/>
          <w:bCs/>
          <w:color w:val="000000" w:themeColor="text1"/>
          <w:sz w:val="32"/>
          <w:szCs w:val="32"/>
          <w:highlight w:val="none"/>
          <w14:textFill>
            <w14:solidFill>
              <w14:schemeClr w14:val="tx1"/>
            </w14:solidFill>
          </w14:textFill>
        </w:rPr>
      </w:pPr>
      <w:r>
        <w:rPr>
          <w:rFonts w:ascii="宋体" w:hAnsi="宋体"/>
          <w:b/>
          <w:color w:val="000000" w:themeColor="text1"/>
          <w:sz w:val="36"/>
          <w:highlight w:val="none"/>
          <w:u w:val="single"/>
          <w14:textFill>
            <w14:solidFill>
              <w14:schemeClr w14:val="tx1"/>
            </w14:solidFill>
          </w14:textFill>
        </w:rPr>
        <w:br w:type="page" w:clear="all"/>
      </w:r>
      <w:bookmarkEnd w:id="183"/>
      <w:r/>
      <w:bookmarkEnd w:id="184"/>
      <w:r/>
      <w:bookmarkEnd w:id="185"/>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响应文件目录</w:t>
      </w:r>
      <w:r/>
    </w:p>
    <w:p>
      <w:pPr>
        <w:pStyle w:val="804"/>
        <w:ind w:left="480"/>
        <w:jc w:val="both"/>
        <w:keepLines w:val="0"/>
        <w:keepNext w:val="0"/>
        <w:pageBreakBefore w:val="0"/>
        <w:spacing w:beforeAutospacing="0" w:afterAutospacing="0" w:line="420" w:lineRule="exact"/>
        <w:widowControl w:val="off"/>
        <w:rPr>
          <w:rFonts w:ascii="宋体" w:hAnsi="宋体" w:eastAsia="宋体" w:cs="宋体"/>
          <w:i w:val="0"/>
          <w:iCs/>
          <w:color w:val="000000" w:themeColor="text1"/>
          <w:highlight w:val="none"/>
          <w:u w:val="none"/>
          <w14:textFill>
            <w14:solidFill>
              <w14:schemeClr w14:val="tx1"/>
            </w14:solidFill>
          </w14:textFill>
        </w:rPr>
      </w:pPr>
      <w:r/>
      <w:bookmarkStart w:id="186" w:name="_Hlt26609389"/>
      <w:r/>
      <w:bookmarkEnd w:id="186"/>
      <w:r/>
      <w:bookmarkStart w:id="187" w:name="_Hlt26671374"/>
      <w:r/>
      <w:bookmarkEnd w:id="187"/>
      <w:r/>
      <w:bookmarkStart w:id="188" w:name="_Hlt26955066"/>
      <w:r/>
      <w:bookmarkEnd w:id="188"/>
      <w:r/>
      <w:bookmarkStart w:id="189" w:name="_Toc462564146"/>
      <w:r>
        <w:rPr>
          <w:rFonts w:hint="eastAsia" w:ascii="宋体" w:hAnsi="宋体" w:eastAsia="宋体" w:cs="宋体"/>
          <w:i w:val="0"/>
          <w:iCs/>
          <w:color w:val="000000" w:themeColor="text1"/>
          <w:highlight w:val="none"/>
          <w:u w:val="none"/>
          <w14:textFill>
            <w14:solidFill>
              <w14:schemeClr w14:val="tx1"/>
            </w14:solidFill>
          </w14:textFill>
        </w:rPr>
        <w:t xml:space="preserve">一、法人或者其他组织的营业执照等证明文件，自然人的身份证明</w:t>
      </w:r>
      <w:r/>
    </w:p>
    <w:p>
      <w:pPr>
        <w:ind w:firstLine="480"/>
        <w:jc w:val="left"/>
        <w:keepLines w:val="0"/>
        <w:keepNext w:val="0"/>
        <w:pageBreakBefore w:val="0"/>
        <w:spacing w:line="420" w:lineRule="exact"/>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二、</w:t>
      </w:r>
      <w:r>
        <w:rPr>
          <w:rFonts w:hint="eastAsia" w:ascii="宋体" w:hAnsi="宋体" w:cs="宋体"/>
          <w:bCs/>
          <w:color w:val="000000"/>
          <w:sz w:val="24"/>
          <w:highlight w:val="none"/>
        </w:rPr>
        <w:t xml:space="preserve">上一年度的财务状况</w:t>
      </w:r>
      <w:r>
        <w:rPr>
          <w:rFonts w:hint="eastAsia" w:ascii="宋体" w:hAnsi="宋体" w:eastAsia="宋体" w:cs="宋体"/>
          <w:i w:val="0"/>
          <w:iCs/>
          <w:color w:val="000000"/>
          <w:sz w:val="24"/>
          <w:szCs w:val="24"/>
          <w:highlight w:val="none"/>
          <w:u w:val="none"/>
          <w:lang w:val="en-US" w:eastAsia="zh-CN" w:bidi="ar-SA"/>
        </w:rPr>
        <w:t xml:space="preserve">报</w:t>
      </w:r>
      <w:r>
        <w:rPr>
          <w:rFonts w:hint="eastAsia" w:ascii="宋体" w:hAnsi="宋体" w:cs="宋体"/>
          <w:i w:val="0"/>
          <w:iCs/>
          <w:color w:val="000000"/>
          <w:sz w:val="24"/>
          <w:szCs w:val="24"/>
          <w:highlight w:val="none"/>
          <w:u w:val="none"/>
          <w:lang w:val="en-US" w:eastAsia="zh-CN" w:bidi="ar-SA"/>
        </w:rPr>
        <w:t xml:space="preserve">表</w:t>
      </w:r>
      <w:r>
        <w:rPr>
          <w:rFonts w:hint="eastAsia" w:ascii="宋体" w:hAnsi="宋体" w:cs="宋体"/>
          <w:bCs/>
          <w:color w:val="000000"/>
          <w:sz w:val="24"/>
          <w:highlight w:val="none"/>
        </w:rPr>
        <w:t xml:space="preserve">（至少提供资产负债表、利润表、现金流量表，投标人成立不满一年无需提供）</w:t>
      </w:r>
      <w:r/>
    </w:p>
    <w:p>
      <w:pPr>
        <w:pStyle w:val="804"/>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三</w:t>
      </w:r>
      <w:r>
        <w:rPr>
          <w:rFonts w:hint="eastAsia" w:ascii="宋体" w:hAnsi="宋体" w:eastAsia="宋体" w:cs="宋体"/>
          <w:i w:val="0"/>
          <w:iCs/>
          <w:color w:val="000000" w:themeColor="text1"/>
          <w:highlight w:val="none"/>
          <w:u w:val="none"/>
          <w14:textFill>
            <w14:solidFill>
              <w14:schemeClr w14:val="tx1"/>
            </w14:solidFill>
          </w14:textFill>
        </w:rPr>
        <w:t xml:space="preserve">、具备履行合同所必需的设备和专业技术能力的书面声明</w:t>
      </w:r>
      <w:r/>
    </w:p>
    <w:p>
      <w:pPr>
        <w:pStyle w:val="804"/>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四</w:t>
      </w:r>
      <w:r>
        <w:rPr>
          <w:rFonts w:hint="eastAsia" w:ascii="宋体" w:hAnsi="宋体" w:eastAsia="宋体" w:cs="宋体"/>
          <w:i w:val="0"/>
          <w:iCs/>
          <w:color w:val="000000" w:themeColor="text1"/>
          <w:highlight w:val="none"/>
          <w:u w:val="none"/>
          <w14:textFill>
            <w14:solidFill>
              <w14:schemeClr w14:val="tx1"/>
            </w14:solidFill>
          </w14:textFill>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04"/>
        <w:ind w:left="480"/>
        <w:jc w:val="both"/>
        <w:keepLines w:val="0"/>
        <w:keepNext w:val="0"/>
        <w:pageBreakBefore w:val="0"/>
        <w:spacing w:beforeAutospacing="0" w:afterAutospacing="0" w:line="420" w:lineRule="exact"/>
        <w:widowControl w:val="off"/>
        <w:rPr>
          <w:rFonts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五、参加政府采购活动前 3 年内在经营活动中没有重大违法记录的书面声明</w:t>
      </w:r>
      <w:r/>
    </w:p>
    <w:p>
      <w:pPr>
        <w:pStyle w:val="804"/>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单位负责人为同一人或者存在直接控股、管理关系的不同供应商，不得参加同一合同项下的政府采购活动（自行承诺，格式</w:t>
      </w:r>
      <w:r>
        <w:rPr>
          <w:rFonts w:hint="eastAsia" w:ascii="宋体" w:hAnsi="宋体" w:cs="宋体"/>
          <w:i w:val="0"/>
          <w:iCs/>
          <w:color w:val="000000"/>
          <w:highlight w:val="none"/>
          <w:u w:val="none"/>
          <w:lang w:val="en-US" w:eastAsia="zh-CN"/>
        </w:rPr>
        <w:t xml:space="preserve">自拟</w:t>
      </w:r>
      <w:r>
        <w:rPr>
          <w:rFonts w:hint="eastAsia" w:ascii="宋体" w:hAnsi="宋体" w:eastAsia="宋体" w:cs="宋体"/>
          <w:i w:val="0"/>
          <w:iCs/>
          <w:color w:val="000000"/>
          <w:highlight w:val="none"/>
          <w:u w:val="none"/>
        </w:rPr>
        <w:t xml:space="preserve">）</w:t>
      </w:r>
      <w:r/>
    </w:p>
    <w:p>
      <w:pPr>
        <w:pStyle w:val="804"/>
        <w:ind w:left="480"/>
        <w:jc w:val="both"/>
        <w:keepLines w:val="0"/>
        <w:keepNext w:val="0"/>
        <w:pageBreakBefore w:val="0"/>
        <w:spacing w:beforeAutospacing="0" w:afterAutospacing="0" w:line="420" w:lineRule="exact"/>
        <w:widowControl w:val="off"/>
        <w:rPr>
          <w:rFonts w:hint="eastAsia" w:ascii="宋体" w:hAnsi="宋体" w:cs="宋体"/>
          <w:i w:val="0"/>
          <w:iCs/>
          <w:color w:val="auto"/>
          <w:highlight w:val="none"/>
          <w:u w:val="none"/>
          <w:lang w:val="en-US" w:eastAsia="zh-CN"/>
        </w:rPr>
      </w:pPr>
      <w:r>
        <w:rPr>
          <w:rFonts w:hint="eastAsia" w:ascii="宋体" w:hAnsi="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w:t>
      </w:r>
      <w:r>
        <w:rPr>
          <w:rFonts w:hint="eastAsia" w:ascii="宋体" w:hAnsi="宋体" w:cs="宋体"/>
          <w:i w:val="0"/>
          <w:iCs/>
          <w:color w:val="auto"/>
          <w:highlight w:val="none"/>
          <w:u w:val="none"/>
          <w:lang w:val="en-US" w:eastAsia="zh-CN"/>
        </w:rPr>
        <w:t xml:space="preserve">供应商按标段提供：一标段供应商提供有效的小微型客车租赁备案证明（或许可证）；二标段供应商提供合法有效的道路运输经营许可证，且道路运输经营许可证经营范围须包含包车客运或公交客运</w:t>
      </w:r>
      <w:r/>
    </w:p>
    <w:p>
      <w:pPr>
        <w:pStyle w:val="804"/>
        <w:ind w:left="480"/>
        <w:jc w:val="both"/>
        <w:keepLines w:val="0"/>
        <w:keepNext w:val="0"/>
        <w:pageBreakBefore w:val="0"/>
        <w:spacing w:beforeAutospacing="0" w:afterAutospacing="0" w:line="420" w:lineRule="exact"/>
        <w:widowControl w:val="off"/>
        <w:rPr>
          <w:rFonts w:hint="default" w:ascii="宋体" w:hAnsi="宋体" w:eastAsia="宋体" w:cs="宋体"/>
          <w:i w:val="0"/>
          <w:iCs/>
          <w:color w:val="auto"/>
          <w:highlight w:val="none"/>
          <w:u w:val="none"/>
          <w:lang w:val="en-US" w:eastAsia="zh-CN"/>
        </w:rPr>
      </w:pPr>
      <w:r>
        <w:rPr>
          <w:rFonts w:hint="eastAsia" w:ascii="宋体" w:hAnsi="宋体" w:cs="宋体"/>
          <w:i w:val="0"/>
          <w:iCs/>
          <w:color w:val="auto"/>
          <w:highlight w:val="none"/>
          <w:u w:val="none"/>
          <w:lang w:val="en-US" w:eastAsia="zh-CN"/>
        </w:rPr>
        <w:t xml:space="preserve">八、供应商如委托被授权人参与，则被授权人须为本单位正式职工并提供供应商近期为被授权人缴纳的社会养老保险证明</w:t>
      </w:r>
      <w:r/>
    </w:p>
    <w:p>
      <w:pPr>
        <w:pStyle w:val="964"/>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hAnsi="宋体" w:cs="宋体"/>
          <w:color w:val="auto"/>
          <w:sz w:val="24"/>
          <w:szCs w:val="22"/>
          <w:highlight w:val="none"/>
          <w:lang w:val="en-US" w:eastAsia="zh-CN" w:bidi="ar-SA"/>
        </w:rPr>
        <w:t xml:space="preserve">九</w:t>
      </w:r>
      <w:r>
        <w:rPr>
          <w:rFonts w:hint="eastAsia" w:ascii="宋体" w:hAnsi="宋体" w:eastAsia="宋体" w:cs="宋体"/>
          <w:color w:val="auto"/>
          <w:sz w:val="24"/>
          <w:szCs w:val="22"/>
          <w:highlight w:val="none"/>
          <w:lang w:val="en-US" w:eastAsia="zh-CN" w:bidi="ar-SA"/>
        </w:rPr>
        <w:t xml:space="preserve">、报价一览表</w:t>
      </w:r>
      <w:r/>
    </w:p>
    <w:p>
      <w:pPr>
        <w:pStyle w:val="964"/>
        <w:ind w:firstLine="480"/>
        <w:keepLines w:val="0"/>
        <w:keepNext w:val="0"/>
        <w:pageBreakBefore w:val="0"/>
        <w:spacing w:line="420" w:lineRule="exact"/>
        <w:widowControl w:val="off"/>
        <w:rPr>
          <w:rFonts w:hint="default" w:ascii="宋体" w:hAnsi="宋体" w:eastAsia="宋体" w:cs="宋体"/>
          <w:color w:val="auto"/>
          <w:sz w:val="24"/>
          <w:szCs w:val="22"/>
          <w:highlight w:val="none"/>
          <w:lang w:val="en-US" w:eastAsia="zh-CN" w:bidi="ar-SA"/>
        </w:rPr>
      </w:pPr>
      <w:r>
        <w:rPr>
          <w:rFonts w:hint="eastAsia" w:hAnsi="宋体" w:cs="宋体"/>
          <w:color w:val="auto"/>
          <w:sz w:val="24"/>
          <w:szCs w:val="22"/>
          <w:highlight w:val="none"/>
          <w:lang w:val="en-US" w:eastAsia="zh-CN" w:bidi="ar-SA"/>
        </w:rPr>
        <w:t xml:space="preserve">十</w:t>
      </w:r>
      <w:r>
        <w:rPr>
          <w:rFonts w:hint="eastAsia" w:ascii="宋体" w:hAnsi="宋体" w:eastAsia="宋体" w:cs="宋体"/>
          <w:color w:val="auto"/>
          <w:sz w:val="24"/>
          <w:szCs w:val="22"/>
          <w:highlight w:val="none"/>
          <w:lang w:val="en-US" w:eastAsia="zh-CN" w:bidi="ar-SA"/>
        </w:rPr>
        <w:t xml:space="preserve">、法人授权书</w:t>
      </w:r>
      <w:r/>
    </w:p>
    <w:p>
      <w:pPr>
        <w:pStyle w:val="964"/>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w:t>
      </w:r>
      <w:r>
        <w:rPr>
          <w:rFonts w:hint="eastAsia" w:hAnsi="宋体" w:cs="宋体"/>
          <w:color w:val="auto"/>
          <w:sz w:val="24"/>
          <w:szCs w:val="22"/>
          <w:highlight w:val="none"/>
          <w:lang w:val="en-US" w:eastAsia="zh-CN" w:bidi="ar-SA"/>
        </w:rPr>
        <w:t xml:space="preserve">一</w:t>
      </w:r>
      <w:r>
        <w:rPr>
          <w:rFonts w:hint="eastAsia" w:ascii="宋体" w:hAnsi="宋体" w:eastAsia="宋体" w:cs="宋体"/>
          <w:color w:val="auto"/>
          <w:sz w:val="24"/>
          <w:szCs w:val="22"/>
          <w:highlight w:val="none"/>
          <w:lang w:val="en-US" w:eastAsia="zh-CN" w:bidi="ar-SA"/>
        </w:rPr>
        <w:t xml:space="preserve">、响应函</w:t>
      </w:r>
      <w:r/>
    </w:p>
    <w:p>
      <w:pPr>
        <w:pStyle w:val="964"/>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highlight w:val="none"/>
          <w:lang w:val="en-US" w:eastAsia="zh-CN"/>
        </w:rPr>
        <w:t xml:space="preserve">十</w:t>
      </w:r>
      <w:r>
        <w:rPr>
          <w:rFonts w:hint="eastAsia" w:hAnsi="宋体" w:cs="宋体"/>
          <w:color w:val="auto"/>
          <w:sz w:val="24"/>
          <w:highlight w:val="none"/>
          <w:lang w:val="en-US" w:eastAsia="zh-CN"/>
        </w:rPr>
        <w:t xml:space="preserve">二</w:t>
      </w:r>
      <w:r>
        <w:rPr>
          <w:rFonts w:hint="eastAsia" w:ascii="宋体" w:hAnsi="宋体" w:eastAsia="宋体" w:cs="宋体"/>
          <w:color w:val="auto"/>
          <w:sz w:val="24"/>
          <w:highlight w:val="none"/>
          <w:lang w:val="en-US" w:eastAsia="zh-CN"/>
        </w:rPr>
        <w:t xml:space="preserve">、供应商情况表</w:t>
      </w:r>
      <w:r/>
    </w:p>
    <w:p>
      <w:pPr>
        <w:pStyle w:val="964"/>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w:t>
      </w:r>
      <w:r>
        <w:rPr>
          <w:rFonts w:hint="eastAsia" w:hAnsi="宋体" w:cs="宋体"/>
          <w:color w:val="auto"/>
          <w:sz w:val="24"/>
          <w:szCs w:val="22"/>
          <w:highlight w:val="none"/>
          <w:lang w:val="en-US" w:eastAsia="zh-CN" w:bidi="ar-SA"/>
        </w:rPr>
        <w:t xml:space="preserve">三</w:t>
      </w:r>
      <w:r>
        <w:rPr>
          <w:rFonts w:hint="eastAsia" w:ascii="宋体" w:hAnsi="宋体" w:eastAsia="宋体" w:cs="宋体"/>
          <w:color w:val="auto"/>
          <w:sz w:val="24"/>
          <w:szCs w:val="22"/>
          <w:highlight w:val="none"/>
          <w:lang w:val="en-US" w:eastAsia="zh-CN" w:bidi="ar-SA"/>
        </w:rPr>
        <w:t xml:space="preserve">、可供租赁车辆清单</w:t>
      </w:r>
      <w:r/>
    </w:p>
    <w:p>
      <w:pPr>
        <w:pStyle w:val="964"/>
        <w:ind w:firstLine="480"/>
        <w:keepLines w:val="0"/>
        <w:keepNext w:val="0"/>
        <w:pageBreakBefore w:val="0"/>
        <w:spacing w:line="420" w:lineRule="exact"/>
        <w:widowControl w:val="off"/>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w:t>
      </w:r>
      <w:r>
        <w:rPr>
          <w:rFonts w:hint="eastAsia" w:hAnsi="宋体" w:cs="宋体"/>
          <w:color w:val="auto"/>
          <w:sz w:val="24"/>
          <w:szCs w:val="22"/>
          <w:highlight w:val="none"/>
          <w:lang w:val="en-US" w:eastAsia="zh-CN" w:bidi="ar-SA"/>
        </w:rPr>
        <w:t xml:space="preserve">四</w:t>
      </w:r>
      <w:r>
        <w:rPr>
          <w:rFonts w:hint="eastAsia" w:ascii="宋体" w:hAnsi="宋体" w:eastAsia="宋体" w:cs="宋体"/>
          <w:color w:val="auto"/>
          <w:sz w:val="24"/>
          <w:szCs w:val="22"/>
          <w:highlight w:val="none"/>
          <w:lang w:val="en-US" w:eastAsia="zh-CN" w:bidi="ar-SA"/>
        </w:rPr>
        <w:t xml:space="preserve">、车辆保险承诺函</w:t>
      </w:r>
      <w:r/>
    </w:p>
    <w:p>
      <w:pPr>
        <w:pStyle w:val="964"/>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w:t>
      </w:r>
      <w:r>
        <w:rPr>
          <w:rFonts w:hint="eastAsia" w:hAnsi="宋体" w:cs="宋体"/>
          <w:color w:val="auto"/>
          <w:sz w:val="24"/>
          <w:szCs w:val="22"/>
          <w:highlight w:val="none"/>
          <w:lang w:val="en-US" w:eastAsia="zh-CN" w:bidi="ar-SA"/>
        </w:rPr>
        <w:t xml:space="preserve">五</w:t>
      </w:r>
      <w:r>
        <w:rPr>
          <w:rFonts w:hint="eastAsia" w:ascii="宋体" w:hAnsi="宋体" w:eastAsia="宋体" w:cs="宋体"/>
          <w:color w:val="auto"/>
          <w:sz w:val="24"/>
          <w:szCs w:val="22"/>
          <w:highlight w:val="none"/>
          <w:lang w:val="en-US" w:eastAsia="zh-CN" w:bidi="ar-SA"/>
        </w:rPr>
        <w:t xml:space="preserve">、驾驶人员</w:t>
      </w:r>
      <w:r>
        <w:rPr>
          <w:rFonts w:hint="eastAsia" w:hAnsi="宋体" w:cs="宋体"/>
          <w:color w:val="auto"/>
          <w:sz w:val="24"/>
          <w:szCs w:val="22"/>
          <w:highlight w:val="none"/>
          <w:lang w:val="en-US" w:eastAsia="zh-CN" w:bidi="ar-SA"/>
        </w:rPr>
        <w:t xml:space="preserve">配置</w:t>
      </w:r>
      <w:r>
        <w:rPr>
          <w:rFonts w:hint="eastAsia" w:ascii="宋体" w:hAnsi="宋体" w:eastAsia="宋体" w:cs="宋体"/>
          <w:color w:val="auto"/>
          <w:sz w:val="24"/>
          <w:szCs w:val="22"/>
          <w:highlight w:val="none"/>
          <w:lang w:val="en-US" w:eastAsia="zh-CN" w:bidi="ar-SA"/>
        </w:rPr>
        <w:t xml:space="preserve">表</w:t>
      </w:r>
      <w:r/>
    </w:p>
    <w:p>
      <w:pPr>
        <w:pStyle w:val="964"/>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w:t>
      </w:r>
      <w:r>
        <w:rPr>
          <w:rFonts w:hint="eastAsia" w:hAnsi="宋体" w:cs="宋体"/>
          <w:color w:val="auto"/>
          <w:sz w:val="24"/>
          <w:szCs w:val="22"/>
          <w:highlight w:val="none"/>
          <w:lang w:val="en-US" w:eastAsia="zh-CN" w:bidi="ar-SA"/>
        </w:rPr>
        <w:t xml:space="preserve">六</w:t>
      </w:r>
      <w:r>
        <w:rPr>
          <w:rFonts w:hint="eastAsia" w:ascii="宋体" w:hAnsi="宋体" w:eastAsia="宋体" w:cs="宋体"/>
          <w:color w:val="auto"/>
          <w:sz w:val="24"/>
          <w:szCs w:val="22"/>
          <w:highlight w:val="none"/>
          <w:lang w:val="en-US" w:eastAsia="zh-CN" w:bidi="ar-SA"/>
        </w:rPr>
        <w:t xml:space="preserve">、保密承诺书</w:t>
      </w:r>
      <w:r/>
    </w:p>
    <w:p>
      <w:pPr>
        <w:pStyle w:val="964"/>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w:t>
      </w:r>
      <w:r>
        <w:rPr>
          <w:rFonts w:hint="eastAsia" w:hAnsi="宋体" w:cs="宋体"/>
          <w:color w:val="auto"/>
          <w:sz w:val="24"/>
          <w:szCs w:val="22"/>
          <w:highlight w:val="none"/>
          <w:lang w:val="en-US" w:eastAsia="zh-CN" w:bidi="ar-SA"/>
        </w:rPr>
        <w:t xml:space="preserve">七</w:t>
      </w:r>
      <w:r>
        <w:rPr>
          <w:rFonts w:hint="eastAsia" w:ascii="宋体" w:hAnsi="宋体" w:eastAsia="宋体" w:cs="宋体"/>
          <w:color w:val="auto"/>
          <w:sz w:val="24"/>
          <w:szCs w:val="22"/>
          <w:highlight w:val="none"/>
          <w:lang w:val="en-US" w:eastAsia="zh-CN" w:bidi="ar-SA"/>
        </w:rPr>
        <w:t xml:space="preserve">、服务承诺书</w:t>
      </w:r>
      <w:r/>
    </w:p>
    <w:p>
      <w:pPr>
        <w:pStyle w:val="964"/>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w:t>
      </w:r>
      <w:r>
        <w:rPr>
          <w:rFonts w:hint="eastAsia" w:hAnsi="宋体" w:cs="宋体"/>
          <w:color w:val="auto"/>
          <w:sz w:val="24"/>
          <w:szCs w:val="22"/>
          <w:highlight w:val="none"/>
          <w:lang w:val="en-US" w:eastAsia="zh-CN" w:bidi="ar-SA"/>
        </w:rPr>
        <w:t xml:space="preserve">八</w:t>
      </w:r>
      <w:r>
        <w:rPr>
          <w:rFonts w:hint="eastAsia" w:ascii="宋体" w:hAnsi="宋体" w:eastAsia="宋体" w:cs="宋体"/>
          <w:color w:val="auto"/>
          <w:sz w:val="24"/>
          <w:szCs w:val="22"/>
          <w:highlight w:val="none"/>
          <w:lang w:val="en-US" w:eastAsia="zh-CN" w:bidi="ar-SA"/>
        </w:rPr>
        <w:t xml:space="preserve">、中小企业声明函</w:t>
      </w:r>
      <w:r/>
    </w:p>
    <w:p>
      <w:pPr>
        <w:pStyle w:val="964"/>
        <w:ind w:firstLine="480"/>
        <w:keepLines w:val="0"/>
        <w:keepNext w:val="0"/>
        <w:pageBreakBefore w:val="0"/>
        <w:spacing w:line="420" w:lineRule="exact"/>
        <w:widowControl w:val="off"/>
        <w:rPr>
          <w:rFonts w:hint="default" w:ascii="宋体" w:hAnsi="宋体" w:eastAsia="宋体" w:cs="宋体"/>
          <w:color w:val="auto"/>
          <w:sz w:val="24"/>
          <w:szCs w:val="22"/>
          <w:highlight w:val="none"/>
          <w:lang w:val="en-US" w:eastAsia="zh-CN" w:bidi="ar-SA"/>
        </w:rPr>
      </w:pPr>
      <w:r>
        <w:rPr>
          <w:rFonts w:hint="eastAsia" w:hAnsi="宋体" w:cs="宋体"/>
          <w:color w:val="auto"/>
          <w:sz w:val="24"/>
          <w:szCs w:val="22"/>
          <w:highlight w:val="none"/>
          <w:lang w:val="en-US" w:eastAsia="zh-CN" w:bidi="ar-SA"/>
        </w:rPr>
        <w:t xml:space="preserve">十九</w:t>
      </w:r>
      <w:r>
        <w:rPr>
          <w:rFonts w:hint="eastAsia" w:ascii="宋体" w:hAnsi="宋体" w:eastAsia="宋体" w:cs="宋体"/>
          <w:color w:val="auto"/>
          <w:sz w:val="24"/>
          <w:szCs w:val="22"/>
          <w:highlight w:val="none"/>
          <w:lang w:val="en-US" w:eastAsia="zh-CN" w:bidi="ar-SA"/>
        </w:rPr>
        <w:t xml:space="preserve">、残疾人福利性单位声明函（如有）</w:t>
      </w:r>
      <w:r/>
    </w:p>
    <w:p>
      <w:pPr>
        <w:pStyle w:val="964"/>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二十、</w:t>
      </w:r>
      <w:r>
        <w:rPr>
          <w:rFonts w:hint="eastAsia" w:ascii="宋体" w:hAnsi="宋体"/>
          <w:color w:val="000000" w:themeColor="text1"/>
          <w:sz w:val="24"/>
          <w:highlight w:val="none"/>
          <w14:textFill>
            <w14:solidFill>
              <w14:schemeClr w14:val="tx1"/>
            </w14:solidFill>
          </w14:textFill>
        </w:rPr>
        <w:t xml:space="preserve">盐城市政府采购事前信用承诺书</w:t>
      </w:r>
      <w:r/>
    </w:p>
    <w:p>
      <w:pPr>
        <w:ind w:firstLine="480"/>
        <w:keepLines w:val="0"/>
        <w:keepNext w:val="0"/>
        <w:pageBreakBefore w:val="0"/>
        <w:spacing w:line="420" w:lineRule="exact"/>
        <w:widowControl w:val="off"/>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宋体" w:hAnsi="宋体" w:eastAsia="宋体" w:cs="宋体"/>
          <w:color w:val="auto"/>
          <w:sz w:val="24"/>
          <w:szCs w:val="22"/>
          <w:highlight w:val="none"/>
          <w:lang w:val="en-US" w:eastAsia="zh-CN" w:bidi="ar-SA"/>
        </w:rPr>
        <w:t xml:space="preserve">二十</w:t>
      </w:r>
      <w:r>
        <w:rPr>
          <w:rFonts w:hint="eastAsia" w:ascii="宋体" w:hAnsi="宋体" w:cs="宋体"/>
          <w:color w:val="auto"/>
          <w:sz w:val="24"/>
          <w:szCs w:val="22"/>
          <w:highlight w:val="none"/>
          <w:lang w:val="en-US" w:eastAsia="zh-CN" w:bidi="ar-SA"/>
        </w:rPr>
        <w:t xml:space="preserve">一</w:t>
      </w:r>
      <w:r>
        <w:rPr>
          <w:rFonts w:hint="eastAsia" w:ascii="宋体" w:hAnsi="宋体" w:eastAsia="宋体" w:cs="宋体"/>
          <w:color w:val="auto"/>
          <w:sz w:val="24"/>
          <w:szCs w:val="22"/>
          <w:highlight w:val="none"/>
          <w:lang w:val="en-US" w:eastAsia="zh-CN" w:bidi="ar-SA"/>
        </w:rPr>
        <w:t xml:space="preserve">、与评审有关的其他资料（如有）</w:t>
      </w:r>
      <w:r/>
    </w:p>
    <w:p>
      <w:pPr>
        <w:ind w:firstLine="480"/>
        <w:keepLines w:val="0"/>
        <w:keepNext w:val="0"/>
        <w:pageBreakBefore w:val="0"/>
        <w:spacing w:line="420" w:lineRule="exact"/>
        <w:widowControl w:val="off"/>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ind w:left="0" w:right="0" w:firstLine="0"/>
        <w:jc w:val="center"/>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ascii="黑体" w:hAnsi="黑体" w:eastAsia="黑体"/>
          <w:i/>
          <w:color w:val="000000" w:themeColor="text1"/>
          <w:sz w:val="32"/>
          <w:szCs w:val="32"/>
          <w:highlight w:val="none"/>
          <w:u w:val="single"/>
          <w14:textFill>
            <w14:solidFill>
              <w14:schemeClr w14:val="tx1"/>
            </w14:solidFill>
          </w14:textFill>
        </w:rPr>
        <w:br w:type="page" w:clear="all"/>
      </w:r>
      <w:bookmarkStart w:id="190" w:name="_Toc120614284"/>
      <w:r>
        <w:rPr>
          <w:rFonts w:hint="eastAsia" w:ascii="黑体" w:eastAsia="黑体" w:cs="Times New Roman"/>
          <w:b/>
          <w:bCs/>
          <w:sz w:val="32"/>
          <w:szCs w:val="32"/>
          <w:highlight w:val="none"/>
          <w:lang w:val="en-US" w:eastAsia="zh-CN"/>
        </w:rPr>
        <w:t xml:space="preserve">一、</w:t>
      </w:r>
      <w:r>
        <w:rPr>
          <w:rFonts w:hint="eastAsia" w:ascii="黑体" w:hAnsi="Times New Roman" w:eastAsia="黑体" w:cs="Times New Roman"/>
          <w:b/>
          <w:bCs/>
          <w:sz w:val="32"/>
          <w:szCs w:val="32"/>
          <w:highlight w:val="none"/>
          <w:lang w:val="en-US" w:eastAsia="zh-CN"/>
        </w:rPr>
        <w:t xml:space="preserve">法人或者其他组织的营业执照等证明文件，自然人的身份证明</w:t>
      </w:r>
      <w:r/>
    </w:p>
    <w:p>
      <w:pPr>
        <w:ind w:left="0" w:right="0" w:firstLine="420"/>
        <w:jc w:val="left"/>
        <w:keepLines w:val="0"/>
        <w:keepNext w:val="0"/>
        <w:spacing w:before="0" w:beforeAutospacing="0" w:after="0" w:afterAutospacing="0" w:line="50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0"/>
        <w:jc w:val="both"/>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t xml:space="preserve">二、</w:t>
      </w:r>
      <w:r>
        <w:rPr>
          <w:rFonts w:hint="eastAsia" w:ascii="黑体" w:hAnsi="Times New Roman" w:eastAsia="黑体" w:cs="Times New Roman"/>
          <w:b/>
          <w:bCs/>
          <w:sz w:val="32"/>
          <w:szCs w:val="32"/>
          <w:highlight w:val="none"/>
          <w:lang w:val="en-US" w:eastAsia="zh-CN"/>
        </w:rPr>
        <w:t xml:space="preserve">上一年度的财务状况报</w:t>
      </w:r>
      <w:r>
        <w:rPr>
          <w:rFonts w:hint="eastAsia" w:ascii="黑体" w:eastAsia="黑体" w:cs="Times New Roman"/>
          <w:b/>
          <w:bCs/>
          <w:sz w:val="32"/>
          <w:szCs w:val="32"/>
          <w:highlight w:val="none"/>
          <w:lang w:val="en-US" w:eastAsia="zh-CN"/>
        </w:rPr>
        <w:t xml:space="preserve">表</w:t>
      </w:r>
      <w:r>
        <w:rPr>
          <w:rFonts w:hint="eastAsia" w:ascii="黑体" w:hAnsi="Times New Roman" w:eastAsia="黑体" w:cs="Times New Roman"/>
          <w:b/>
          <w:bCs/>
          <w:sz w:val="32"/>
          <w:szCs w:val="32"/>
          <w:highlight w:val="none"/>
          <w:lang w:val="en-US" w:eastAsia="zh-CN"/>
        </w:rPr>
        <w:t xml:space="preserve">（至少提供资产负债表、利润表、现金流量表，投标人成立不满一年无需提供）</w:t>
      </w:r>
      <w:r/>
    </w:p>
    <w:p>
      <w:pPr>
        <w:ind w:left="0" w:right="0" w:firstLine="0"/>
        <w:jc w:val="left"/>
        <w:keepLines w:val="0"/>
        <w:keepNext w:val="0"/>
        <w:spacing w:before="0" w:beforeAutospacing="0" w:after="0" w:afterAutospacing="0" w:line="500" w:lineRule="exact"/>
        <w:widowControl w:val="off"/>
        <w:rPr>
          <w:rFonts w:hint="eastAsia" w:ascii="宋体" w:hAnsi="宋体"/>
          <w:sz w:val="32"/>
          <w:szCs w:val="32"/>
          <w:highlight w:val="none"/>
          <w:lang w:val="en-US" w:eastAsia="zh-CN"/>
        </w:rPr>
        <w:suppressLineNumbers w:val="0"/>
      </w:pPr>
      <w:r>
        <w:rPr>
          <w:rFonts w:hint="eastAsia"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rPr>
          <w:rFonts w:hint="eastAsia" w:ascii="黑体" w:eastAsia="黑体"/>
          <w:b/>
          <w:bCs/>
          <w:sz w:val="32"/>
          <w:szCs w:val="32"/>
          <w:highlight w:val="none"/>
          <w:lang w:val="en-US" w:eastAsia="zh-CN"/>
        </w:rPr>
      </w:pPr>
      <w:r>
        <w:rPr>
          <w:rFonts w:hint="eastAsia" w:ascii="黑体" w:eastAsia="黑体"/>
          <w:b/>
          <w:bCs/>
          <w:sz w:val="32"/>
          <w:szCs w:val="32"/>
          <w:highlight w:val="none"/>
          <w:lang w:val="en-US" w:eastAsia="zh-CN"/>
        </w:rPr>
        <w:br w:type="page" w:clear="all"/>
      </w:r>
      <w:r/>
    </w:p>
    <w:p>
      <w:pPr>
        <w:numPr>
          <w:ilvl w:val="0"/>
          <w:numId w:val="0"/>
        </w:numPr>
        <w:ind w:right="0"/>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rPr>
        <w:suppressLineNumbers w:val="0"/>
      </w:pPr>
      <w:r>
        <w:rPr>
          <w:rFonts w:hint="eastAsia" w:ascii="黑体" w:eastAsia="黑体" w:cs="Times New Roman"/>
          <w:b/>
          <w:bCs/>
          <w:sz w:val="32"/>
          <w:szCs w:val="32"/>
          <w:highlight w:val="none"/>
          <w:lang w:val="en-US" w:eastAsia="zh-CN"/>
        </w:rPr>
        <w:t xml:space="preserve">三、</w:t>
      </w:r>
      <w:r>
        <w:rPr>
          <w:rFonts w:hint="eastAsia" w:ascii="黑体" w:hAnsi="Times New Roman" w:eastAsia="黑体" w:cs="Times New Roman"/>
          <w:b/>
          <w:bCs/>
          <w:sz w:val="32"/>
          <w:szCs w:val="32"/>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rPr>
          <w:rFonts w:hint="eastAsia" w:ascii="黑体" w:eastAsia="黑体"/>
          <w:b/>
          <w:bCs/>
          <w:sz w:val="32"/>
          <w:szCs w:val="32"/>
          <w:highlight w:val="none"/>
          <w:lang w:val="en-US" w:eastAsia="zh-CN"/>
        </w:rPr>
      </w:pPr>
      <w:r>
        <w:rPr>
          <w:rFonts w:hint="eastAsia" w:ascii="黑体" w:eastAsia="黑体"/>
          <w:b/>
          <w:bCs/>
          <w:sz w:val="32"/>
          <w:szCs w:val="32"/>
          <w:highlight w:val="none"/>
          <w:lang w:val="en-US" w:eastAsia="zh-CN"/>
        </w:rPr>
        <w:br w:type="page" w:clear="all"/>
      </w:r>
      <w:r/>
    </w:p>
    <w:p>
      <w:pPr>
        <w:ind w:left="0" w:right="0" w:firstLine="643"/>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lang w:val="en-US" w:eastAsia="zh-CN"/>
        </w:rPr>
        <w:t xml:space="preserve">四、</w:t>
      </w:r>
      <w:r>
        <w:rPr>
          <w:rFonts w:hint="eastAsia" w:ascii="黑体" w:hAnsi="Calibri" w:eastAsia="黑体" w:cs="Times New Roman"/>
          <w:b/>
          <w:bCs/>
          <w:sz w:val="32"/>
          <w:szCs w:val="32"/>
          <w:highlight w:val="none"/>
        </w:rPr>
        <w:t xml:space="preserve">具</w:t>
      </w:r>
      <w:r>
        <w:rPr>
          <w:rFonts w:hint="eastAsia" w:ascii="黑体" w:eastAsia="黑体"/>
          <w:b/>
          <w:bCs/>
          <w:sz w:val="32"/>
          <w:szCs w:val="32"/>
          <w:highlight w:val="none"/>
        </w:rPr>
        <w:t xml:space="preserve">有履行合同所必需的设备和专业技术能力的书面声明</w:t>
      </w:r>
      <w:r/>
    </w:p>
    <w:p>
      <w:pPr>
        <w:rPr>
          <w:rFonts w:hint="eastAsia" w:ascii="仿宋_GB2312" w:eastAsia="仿宋_GB2312"/>
          <w:sz w:val="24"/>
          <w:highlight w:val="none"/>
        </w:rPr>
      </w:pPr>
      <w:r>
        <w:rPr>
          <w:rFonts w:hint="eastAsia" w:ascii="仿宋_GB2312" w:eastAsia="仿宋_GB2312"/>
          <w:sz w:val="24"/>
          <w:highlight w:val="none"/>
        </w:rPr>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主要设备有：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主要专业技术能力有：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28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288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left="0" w:right="0" w:firstLine="5520"/>
        <w:jc w:val="left"/>
        <w:keepLines w:val="0"/>
        <w:keepNext w:val="0"/>
        <w:spacing w:before="0" w:beforeAutospacing="0" w:after="0" w:afterAutospacing="0" w:line="460" w:lineRule="exact"/>
        <w:widowControl/>
        <w:rPr>
          <w:rFonts w:hint="eastAsia" w:ascii="宋体" w:hAnsi="宋体" w:eastAsia="宋体" w:cs="宋体"/>
          <w:bCs/>
          <w:sz w:val="24"/>
          <w:szCs w:val="24"/>
          <w:highlight w:val="none"/>
        </w:rPr>
        <w:suppressLineNumbers w:val="0"/>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left="0" w:right="0"/>
        <w:jc w:val="left"/>
        <w:keepLines w:val="0"/>
        <w:keepNext w:val="0"/>
        <w:spacing w:before="0" w:beforeAutospacing="0" w:after="0" w:afterAutospacing="0"/>
        <w:widowControl/>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firstLine="420"/>
        <w:jc w:val="left"/>
        <w:keepLines w:val="0"/>
        <w:keepNext w:val="0"/>
        <w:spacing w:before="0" w:beforeAutospacing="0" w:after="0" w:afterAutospacing="0"/>
        <w:widowControl/>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left"/>
        <w:keepLines w:val="0"/>
        <w:keepNext w:val="0"/>
        <w:spacing w:before="0" w:beforeAutospacing="0" w:after="0" w:afterAutospacing="0"/>
        <w:widowControl/>
        <w:rPr>
          <w:rFonts w:hint="eastAsia" w:ascii="黑体" w:hAnsi="宋体" w:eastAsia="黑体" w:cs="Times New Roman"/>
          <w:bCs/>
          <w:sz w:val="24"/>
          <w:szCs w:val="24"/>
          <w:highlight w:val="none"/>
        </w:rPr>
        <w:outlineLvl w:val="9"/>
        <w:suppressLineNumbers w:val="0"/>
      </w:pPr>
      <w:r>
        <w:rPr>
          <w:rFonts w:hint="eastAsia" w:ascii="黑体" w:hAnsi="宋体" w:eastAsia="黑体" w:cs="Times New Roman"/>
          <w:bCs/>
          <w:sz w:val="24"/>
          <w:szCs w:val="24"/>
          <w:highlight w:val="none"/>
          <w:lang w:val="en-US" w:eastAsia="zh-CN" w:bidi="ar"/>
        </w:rPr>
        <w:t xml:space="preserve"> </w:t>
      </w:r>
      <w:r/>
    </w:p>
    <w:p>
      <w:pPr>
        <w:pStyle w:val="807"/>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7"/>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7"/>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7"/>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7"/>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7"/>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7"/>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7"/>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7"/>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7"/>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7"/>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7"/>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7"/>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7"/>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7"/>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7"/>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ind w:left="0" w:right="0"/>
        <w:jc w:val="left"/>
        <w:keepLines w:val="0"/>
        <w:keepNext w:val="0"/>
        <w:spacing w:before="0" w:beforeAutospacing="0" w:after="0" w:afterAutospacing="0"/>
        <w:widowControl/>
        <w:rPr>
          <w:rFonts w:hint="eastAsia" w:ascii="宋体" w:hAnsi="宋体" w:eastAsia="宋体" w:cs="宋体"/>
          <w:highlight w:val="none"/>
        </w:rPr>
        <w:suppressLineNumbers w:val="0"/>
      </w:pPr>
      <w:r>
        <w:rPr>
          <w:rFonts w:hint="eastAsia" w:ascii="宋体" w:hAnsi="宋体" w:eastAsia="宋体" w:cs="宋体"/>
          <w:highlight w:val="none"/>
        </w:rPr>
      </w:r>
      <w:r/>
    </w:p>
    <w:p>
      <w:pPr>
        <w:ind w:right="0"/>
        <w:jc w:val="center"/>
        <w:keepLines w:val="0"/>
        <w:keepNext w:val="0"/>
        <w:spacing w:before="0" w:beforeAutospacing="0" w:after="0" w:afterAutospacing="0"/>
        <w:widowControl/>
        <w:rPr>
          <w:rFonts w:hint="eastAsia" w:ascii="黑体" w:eastAsia="黑体"/>
          <w:b/>
          <w:bCs/>
          <w:sz w:val="32"/>
          <w:szCs w:val="32"/>
          <w:highlight w:val="none"/>
        </w:rPr>
        <w:suppressLineNumbers w:val="0"/>
      </w:pPr>
      <w:r>
        <w:rPr>
          <w:rFonts w:hint="eastAsia" w:ascii="黑体" w:eastAsia="黑体"/>
          <w:b/>
          <w:bCs/>
          <w:sz w:val="32"/>
          <w:szCs w:val="32"/>
          <w:highlight w:val="none"/>
          <w:lang w:val="en-US" w:eastAsia="zh-CN"/>
        </w:rPr>
        <w:t xml:space="preserve">五、</w:t>
      </w:r>
      <w:r>
        <w:rPr>
          <w:rFonts w:hint="eastAsia" w:ascii="黑体" w:hAnsi="Calibri" w:eastAsia="黑体" w:cs="Times New Roman"/>
          <w:b/>
          <w:bCs/>
          <w:sz w:val="32"/>
          <w:szCs w:val="32"/>
          <w:highlight w:val="none"/>
        </w:rPr>
        <w:t xml:space="preserve">参加</w:t>
      </w:r>
      <w:r>
        <w:rPr>
          <w:rFonts w:hint="eastAsia" w:ascii="黑体" w:eastAsia="黑体"/>
          <w:b/>
          <w:bCs/>
          <w:sz w:val="32"/>
          <w:szCs w:val="32"/>
          <w:highlight w:val="none"/>
        </w:rPr>
        <w:t xml:space="preserve">政府采购活动前3年内在经营活动中</w:t>
      </w:r>
      <w:r/>
    </w:p>
    <w:p>
      <w:pPr>
        <w:jc w:val="center"/>
        <w:spacing w:line="600" w:lineRule="exact"/>
        <w:rPr>
          <w:rFonts w:hint="eastAsia" w:ascii="黑体" w:eastAsia="黑体"/>
          <w:b/>
          <w:bCs/>
          <w:sz w:val="32"/>
          <w:szCs w:val="32"/>
          <w:highlight w:val="none"/>
        </w:rPr>
      </w:pPr>
      <w:r>
        <w:rPr>
          <w:rFonts w:hint="eastAsia" w:ascii="黑体" w:eastAsia="黑体"/>
          <w:b/>
          <w:bCs/>
          <w:sz w:val="32"/>
          <w:szCs w:val="32"/>
          <w:highlight w:val="none"/>
        </w:rPr>
        <w:t xml:space="preserve">没有重大违法记录的书面声明</w:t>
      </w:r>
      <w:r/>
    </w:p>
    <w:p>
      <w:pPr>
        <w:spacing w:line="600" w:lineRule="exact"/>
        <w:rPr>
          <w:rFonts w:hint="eastAsia" w:ascii="仿宋_GB2312" w:eastAsia="仿宋_GB2312"/>
          <w:sz w:val="24"/>
          <w:highlight w:val="none"/>
        </w:rPr>
      </w:pPr>
      <w:r>
        <w:rPr>
          <w:rFonts w:hint="eastAsia" w:ascii="仿宋_GB2312" w:eastAsia="仿宋_GB2312"/>
          <w:sz w:val="24"/>
          <w:highlight w:val="none"/>
        </w:rPr>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left="0" w:right="0"/>
        <w:jc w:val="left"/>
        <w:keepLines w:val="0"/>
        <w:keepNext w:val="0"/>
        <w:spacing w:before="0" w:beforeAutospacing="0" w:after="0" w:afterAutospacing="0" w:line="460" w:lineRule="exact"/>
        <w:widowControl/>
        <w:rPr>
          <w:rFonts w:hint="eastAsia" w:ascii="宋体" w:hAnsi="宋体" w:eastAsia="宋体" w:cs="宋体"/>
          <w:bCs/>
          <w:sz w:val="24"/>
          <w:szCs w:val="24"/>
          <w:highlight w:val="none"/>
        </w:rPr>
        <w:suppressLineNumbers w:val="0"/>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left="0" w:right="0"/>
        <w:jc w:val="left"/>
        <w:keepLines w:val="0"/>
        <w:keepNext w:val="0"/>
        <w:spacing w:before="0" w:beforeAutospacing="0" w:after="0" w:afterAutospacing="0" w:line="46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 </w:t>
      </w:r>
      <w:r/>
    </w:p>
    <w:p>
      <w:pPr>
        <w:pStyle w:val="807"/>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7"/>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7"/>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7"/>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7"/>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7"/>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7"/>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7"/>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7"/>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7"/>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7"/>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7"/>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7"/>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jc w:val="center"/>
        <w:spacing w:line="600" w:lineRule="exact"/>
        <w:rPr>
          <w:rFonts w:hint="eastAsia" w:ascii="黑体" w:eastAsia="黑体" w:cs="Times New Roman"/>
          <w:b/>
          <w:bCs/>
          <w:sz w:val="32"/>
          <w:szCs w:val="32"/>
          <w:highlight w:val="none"/>
          <w:lang w:val="en-US" w:eastAsia="zh-CN"/>
        </w:rPr>
        <w:outlineLvl w:val="1"/>
      </w:pPr>
      <w:r>
        <w:rPr>
          <w:rFonts w:hint="eastAsia" w:ascii="黑体" w:eastAsia="黑体" w:cs="Times New Roman"/>
          <w:b/>
          <w:bCs/>
          <w:sz w:val="32"/>
          <w:szCs w:val="32"/>
          <w:highlight w:val="none"/>
          <w:lang w:val="en-US" w:eastAsia="zh-CN"/>
        </w:rPr>
      </w:r>
      <w:r/>
    </w:p>
    <w:p>
      <w:pPr>
        <w:jc w:val="center"/>
        <w:spacing w:line="600" w:lineRule="exact"/>
        <w:rPr>
          <w:rFonts w:hint="eastAsia" w:ascii="黑体" w:eastAsia="黑体" w:cs="Times New Roman"/>
          <w:b/>
          <w:bCs/>
          <w:sz w:val="32"/>
          <w:szCs w:val="32"/>
          <w:highlight w:val="none"/>
          <w:lang w:val="en-US" w:eastAsia="zh-CN"/>
        </w:rPr>
        <w:outlineLvl w:val="1"/>
      </w:pPr>
      <w:r>
        <w:rPr>
          <w:rFonts w:hint="eastAsia" w:ascii="黑体" w:eastAsia="黑体" w:cs="Times New Roman"/>
          <w:b/>
          <w:bCs/>
          <w:sz w:val="32"/>
          <w:szCs w:val="32"/>
          <w:highlight w:val="none"/>
          <w:lang w:val="en-US" w:eastAsia="zh-CN"/>
        </w:rPr>
      </w:r>
      <w:r/>
    </w:p>
    <w:p>
      <w:pPr>
        <w:jc w:val="center"/>
        <w:spacing w:line="600" w:lineRule="exact"/>
        <w:rPr>
          <w:rFonts w:hint="eastAsia" w:ascii="黑体" w:eastAsia="黑体" w:cs="Times New Roman"/>
          <w:b/>
          <w:bCs/>
          <w:sz w:val="32"/>
          <w:szCs w:val="32"/>
          <w:highlight w:val="none"/>
          <w:lang w:val="en-US" w:eastAsia="zh-CN"/>
        </w:rPr>
        <w:outlineLvl w:val="1"/>
      </w:pPr>
      <w:r>
        <w:rPr>
          <w:rFonts w:hint="eastAsia" w:ascii="黑体" w:eastAsia="黑体" w:cs="Times New Roman"/>
          <w:b/>
          <w:bCs/>
          <w:sz w:val="32"/>
          <w:szCs w:val="32"/>
          <w:highlight w:val="none"/>
          <w:lang w:val="en-US" w:eastAsia="zh-CN"/>
        </w:rPr>
      </w:r>
      <w:r/>
    </w:p>
    <w:p>
      <w:pPr>
        <w:jc w:val="center"/>
        <w:spacing w:line="600" w:lineRule="exact"/>
        <w:rPr>
          <w:rFonts w:hint="eastAsia" w:ascii="黑体" w:eastAsia="黑体" w:cs="Times New Roman"/>
          <w:b/>
          <w:bCs/>
          <w:sz w:val="32"/>
          <w:szCs w:val="32"/>
          <w:highlight w:val="none"/>
          <w:lang w:val="en-US" w:eastAsia="zh-CN"/>
        </w:rPr>
        <w:outlineLvl w:val="1"/>
      </w:pPr>
      <w:r>
        <w:rPr>
          <w:rFonts w:hint="eastAsia" w:ascii="黑体" w:eastAsia="黑体" w:cs="Times New Roman"/>
          <w:b/>
          <w:bCs/>
          <w:sz w:val="32"/>
          <w:szCs w:val="32"/>
          <w:highlight w:val="none"/>
          <w:lang w:val="en-US" w:eastAsia="zh-CN"/>
        </w:rPr>
      </w:r>
      <w:r/>
    </w:p>
    <w:p>
      <w:pPr>
        <w:jc w:val="center"/>
        <w:spacing w:line="600" w:lineRule="exact"/>
        <w:rPr>
          <w:rFonts w:hint="eastAsia" w:ascii="黑体" w:eastAsia="黑体" w:cs="Times New Roman"/>
          <w:b/>
          <w:bCs/>
          <w:sz w:val="32"/>
          <w:szCs w:val="32"/>
          <w:highlight w:val="none"/>
          <w:lang w:val="en-US" w:eastAsia="zh-CN"/>
        </w:rPr>
        <w:outlineLvl w:val="1"/>
      </w:pPr>
      <w:r>
        <w:rPr>
          <w:rFonts w:hint="eastAsia" w:ascii="黑体" w:eastAsia="黑体" w:cs="Times New Roman"/>
          <w:b/>
          <w:bCs/>
          <w:sz w:val="32"/>
          <w:szCs w:val="32"/>
          <w:highlight w:val="none"/>
          <w:lang w:val="en-US" w:eastAsia="zh-CN"/>
        </w:rPr>
      </w:r>
      <w:r/>
    </w:p>
    <w:p>
      <w:pPr>
        <w:jc w:val="center"/>
        <w:spacing w:line="600" w:lineRule="exact"/>
        <w:rPr>
          <w:rFonts w:hint="eastAsia" w:ascii="黑体" w:hAnsi="宋体" w:eastAsia="黑体" w:cs="Times New Roman"/>
          <w:bCs/>
          <w:sz w:val="24"/>
          <w:szCs w:val="24"/>
          <w:highlight w:val="none"/>
        </w:rPr>
        <w:outlineLvl w:val="1"/>
      </w:pPr>
      <w:r>
        <w:rPr>
          <w:rFonts w:hint="eastAsia" w:ascii="黑体" w:eastAsia="黑体" w:cs="Times New Roman"/>
          <w:b/>
          <w:bCs/>
          <w:sz w:val="32"/>
          <w:szCs w:val="32"/>
          <w:highlight w:val="none"/>
          <w:lang w:val="en-US" w:eastAsia="zh-CN"/>
        </w:rPr>
        <w:t xml:space="preserve">六、</w:t>
      </w:r>
      <w:r>
        <w:rPr>
          <w:rFonts w:hint="eastAsia" w:ascii="黑体" w:hAnsi="Times New Roman" w:eastAsia="黑体" w:cs="Times New Roman"/>
          <w:b/>
          <w:bCs/>
          <w:sz w:val="32"/>
          <w:szCs w:val="32"/>
          <w:highlight w:val="none"/>
        </w:rPr>
        <w:t xml:space="preserve">单位负责人为同一人或者存在直接控股、管理关系的不同供应商，不得参加同一合同项下的政府采购活动（自行承诺，格式</w:t>
      </w:r>
      <w:r>
        <w:rPr>
          <w:rFonts w:hint="eastAsia" w:ascii="黑体" w:eastAsia="黑体" w:cs="Times New Roman"/>
          <w:b/>
          <w:bCs/>
          <w:sz w:val="32"/>
          <w:szCs w:val="32"/>
          <w:highlight w:val="none"/>
          <w:lang w:val="en-US" w:eastAsia="zh-CN"/>
        </w:rPr>
        <w:t xml:space="preserve">自拟</w:t>
      </w:r>
      <w:r>
        <w:rPr>
          <w:rFonts w:hint="eastAsia" w:ascii="黑体" w:hAnsi="Times New Roman" w:eastAsia="黑体" w:cs="Times New Roman"/>
          <w:b/>
          <w:bCs/>
          <w:sz w:val="32"/>
          <w:szCs w:val="32"/>
          <w:highlight w:val="none"/>
        </w:rPr>
        <w:t xml:space="preserve">）</w:t>
      </w:r>
      <w:r>
        <w:rPr>
          <w:rFonts w:hint="eastAsia" w:ascii="黑体" w:hAnsi="宋体" w:eastAsia="黑体" w:cs="Times New Roman"/>
          <w:bCs/>
          <w:sz w:val="24"/>
          <w:szCs w:val="24"/>
          <w:highlight w:val="none"/>
        </w:rPr>
        <w:t xml:space="preserve"> </w:t>
      </w:r>
      <w:r/>
    </w:p>
    <w:p>
      <w:pPr>
        <w:jc w:val="center"/>
        <w:spacing w:line="600" w:lineRule="exact"/>
        <w:rPr>
          <w:rFonts w:hint="eastAsia" w:ascii="黑体" w:hAnsi="宋体" w:eastAsia="黑体" w:cs="Times New Roman"/>
          <w:bCs/>
          <w:sz w:val="24"/>
          <w:szCs w:val="24"/>
          <w:highlight w:val="none"/>
        </w:rPr>
        <w:sectPr>
          <w:footerReference w:type="default" r:id="rId12"/>
          <w:footnotePr/>
          <w:endnotePr/>
          <w:type w:val="nextPage"/>
          <w:pgSz w:w="11906" w:h="16838" w:orient="portrait"/>
          <w:pgMar w:top="1440" w:right="1080" w:bottom="1440" w:left="1080" w:header="851" w:footer="992" w:gutter="0"/>
          <w:cols w:num="1" w:sep="0" w:space="425" w:equalWidth="1"/>
          <w:docGrid w:linePitch="360"/>
        </w:sectPr>
        <w:outlineLvl w:val="1"/>
      </w:pPr>
      <w:r>
        <w:rPr>
          <w:rFonts w:hint="eastAsia" w:ascii="黑体" w:hAnsi="宋体" w:eastAsia="黑体" w:cs="Times New Roman"/>
          <w:bCs/>
          <w:sz w:val="24"/>
          <w:szCs w:val="24"/>
          <w:highlight w:val="none"/>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t xml:space="preserve">七、供应商按标段提供：一标段供应商提供有效的小微型客车租赁备案证明（或许可证）；二标段供应商提供合法有效的道路运输经营许可证，且道路运输经营许可证经营范围须包含包车客运或公交客运</w:t>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t xml:space="preserve">八、供应商如委托被授权人参与，则被授权人须为本单位正式职工并提供供应商近期为被授权人缴纳的社会养老保险证明</w:t>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4"/>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t xml:space="preserve">九、</w:t>
      </w:r>
      <w:r>
        <w:rPr>
          <w:rFonts w:hint="eastAsia" w:ascii="黑体" w:hAnsi="Times New Roman" w:eastAsia="黑体" w:cs="Times New Roman"/>
          <w:b/>
          <w:bCs/>
          <w:sz w:val="32"/>
          <w:szCs w:val="32"/>
          <w:highlight w:val="none"/>
          <w:lang w:val="en-US" w:eastAsia="zh-CN" w:bidi="ar-SA"/>
        </w:rPr>
        <w:t xml:space="preserve">报价一览表</w:t>
      </w:r>
      <w:r/>
    </w:p>
    <w:p>
      <w:pPr>
        <w:ind w:firstLine="480"/>
        <w:rPr>
          <w:rFonts w:ascii="仿宋" w:hAnsi="仿宋" w:eastAsia="仿宋"/>
          <w:sz w:val="24"/>
          <w:highlight w:val="none"/>
        </w:rPr>
      </w:pPr>
      <w:r>
        <w:rPr>
          <w:rFonts w:ascii="仿宋" w:hAnsi="仿宋" w:eastAsia="仿宋"/>
          <w:sz w:val="24"/>
          <w:highlight w:val="none"/>
        </w:rPr>
      </w:r>
      <w:r/>
    </w:p>
    <w:tbl>
      <w:tblPr>
        <w:tblStyle w:val="781"/>
        <w:tblW w:w="9738" w:type="dxa"/>
        <w:jc w:val="center"/>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autofit"/>
        <w:tblCellMar>
          <w:left w:w="108" w:type="dxa"/>
          <w:top w:w="0" w:type="dxa"/>
          <w:right w:w="108" w:type="dxa"/>
          <w:bottom w:w="0" w:type="dxa"/>
        </w:tblCellMar>
        <w:tblLook w:val="04A0" w:firstRow="1" w:lastRow="0" w:firstColumn="1" w:lastColumn="0" w:noHBand="0" w:noVBand="1"/>
      </w:tblPr>
      <w:tblGrid>
        <w:gridCol w:w="942"/>
        <w:gridCol w:w="1674"/>
        <w:gridCol w:w="3231"/>
        <w:gridCol w:w="2310"/>
        <w:gridCol w:w="1581"/>
      </w:tblGrid>
      <w:tr>
        <w:trPr>
          <w:jc w:val="center"/>
          <w:trHeight w:val="116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cs="宋体"/>
                <w:b/>
                <w:color w:val="auto"/>
                <w:spacing w:val="6"/>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674"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color w:val="auto"/>
                <w:highlight w:val="none"/>
                <w:lang w:val="en-US" w:eastAsia="zh-CN"/>
              </w:rPr>
              <w:suppressLineNumbers w:val="0"/>
            </w:pPr>
            <w:r>
              <w:rPr>
                <w:rFonts w:hint="eastAsia" w:ascii="宋体" w:hAnsi="宋体" w:cs="宋体"/>
                <w:b/>
                <w:color w:val="auto"/>
                <w:spacing w:val="6"/>
                <w:sz w:val="24"/>
                <w:highlight w:val="none"/>
                <w:lang w:val="en-US" w:eastAsia="zh-CN"/>
              </w:rPr>
              <w:t xml:space="preserve">标段号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231"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cs="宋体"/>
                <w:b/>
                <w:color w:val="auto"/>
                <w:spacing w:val="6"/>
                <w:sz w:val="24"/>
                <w:highlight w:val="none"/>
                <w:lang w:val="en-US" w:eastAsia="zh-CN"/>
              </w:rPr>
              <w:t xml:space="preserve">车辆</w:t>
            </w:r>
            <w:r>
              <w:rPr>
                <w:rFonts w:hint="eastAsia" w:ascii="宋体" w:hAnsi="宋体" w:cs="宋体"/>
                <w:b/>
                <w:color w:val="auto"/>
                <w:spacing w:val="6"/>
                <w:sz w:val="24"/>
                <w:highlight w:val="none"/>
              </w:rPr>
              <w:t xml:space="preserve">类型</w:t>
            </w:r>
            <w:r/>
          </w:p>
        </w:tc>
        <w:tc>
          <w:tcPr>
            <w:tcBorders>
              <w:top w:val="single" w:color="000000" w:sz="8" w:space="0"/>
              <w:left w:val="none" w:color="000000" w:sz="4" w:space="0"/>
              <w:bottom w:val="single" w:color="000000" w:sz="8" w:space="0"/>
              <w:right w:val="single" w:color="auto" w:sz="4" w:space="0"/>
            </w:tcBorders>
            <w:tcMar>
              <w:left w:w="15" w:type="dxa"/>
              <w:top w:w="15" w:type="dxa"/>
              <w:right w:w="15" w:type="dxa"/>
              <w:bottom w:w="15" w:type="dxa"/>
            </w:tcMar>
            <w:tcW w:w="23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pacing w:val="6"/>
                <w:sz w:val="24"/>
                <w:highlight w:val="none"/>
                <w:lang w:val="en-US" w:eastAsia="zh-CN"/>
              </w:rPr>
              <w:suppressLineNumbers w:val="0"/>
            </w:pPr>
            <w:r>
              <w:rPr>
                <w:rFonts w:hint="eastAsia" w:ascii="宋体" w:hAnsi="宋体" w:cs="宋体"/>
                <w:b/>
                <w:color w:val="auto"/>
                <w:spacing w:val="6"/>
                <w:sz w:val="24"/>
                <w:highlight w:val="none"/>
                <w:lang w:val="en-US" w:eastAsia="zh-CN"/>
              </w:rPr>
              <w:t xml:space="preserve">按基准价</w:t>
            </w:r>
            <w:r/>
          </w:p>
          <w:p>
            <w:pPr>
              <w:ind w:left="0" w:right="0"/>
              <w:jc w:val="center"/>
              <w:keepLines w:val="0"/>
              <w:keepNext w:val="0"/>
              <w:spacing w:before="0" w:beforeAutospacing="0" w:after="0" w:afterAutospacing="0" w:line="360" w:lineRule="auto"/>
              <w:rPr>
                <w:rFonts w:hint="default" w:eastAsia="宋体"/>
                <w:color w:val="auto"/>
                <w:highlight w:val="none"/>
                <w:lang w:val="en-US" w:eastAsia="zh-CN"/>
              </w:rPr>
              <w:suppressLineNumbers w:val="0"/>
            </w:pPr>
            <w:r>
              <w:rPr>
                <w:rFonts w:hint="eastAsia" w:ascii="宋体" w:hAnsi="宋体" w:cs="宋体"/>
                <w:b/>
                <w:color w:val="auto"/>
                <w:spacing w:val="6"/>
                <w:sz w:val="24"/>
                <w:highlight w:val="none"/>
                <w:lang w:val="en-US" w:eastAsia="zh-CN"/>
              </w:rPr>
              <w:t xml:space="preserve">下浮比例</w:t>
            </w:r>
            <w:r/>
          </w:p>
        </w:tc>
        <w:tc>
          <w:tcPr>
            <w:tcBorders>
              <w:top w:val="single" w:color="000000" w:sz="8" w:space="0"/>
              <w:left w:val="single" w:color="auto" w:sz="4" w:space="0"/>
              <w:bottom w:val="single" w:color="000000" w:sz="8" w:space="0"/>
              <w:right w:val="single" w:color="000000" w:sz="8" w:space="0"/>
            </w:tcBorders>
            <w:tcMar>
              <w:left w:w="15" w:type="dxa"/>
              <w:top w:w="15" w:type="dxa"/>
              <w:right w:w="15" w:type="dxa"/>
              <w:bottom w:w="15" w:type="dxa"/>
            </w:tcMar>
            <w:tcW w:w="158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
                <w:color w:val="auto"/>
                <w:spacing w:val="6"/>
                <w:sz w:val="24"/>
                <w:highlight w:val="none"/>
                <w:lang w:val="en-US" w:eastAsia="zh-CN"/>
              </w:rPr>
              <w:suppressLineNumbers w:val="0"/>
            </w:pPr>
            <w:r>
              <w:rPr>
                <w:rFonts w:hint="eastAsia" w:ascii="宋体" w:hAnsi="宋体" w:cs="宋体"/>
                <w:b/>
                <w:color w:val="auto"/>
                <w:spacing w:val="6"/>
                <w:sz w:val="24"/>
                <w:highlight w:val="none"/>
                <w:lang w:val="en-US" w:eastAsia="zh-CN"/>
              </w:rPr>
              <w:t xml:space="preserve">单位</w:t>
            </w:r>
            <w:r/>
          </w:p>
        </w:tc>
      </w:tr>
      <w:tr>
        <w:trPr>
          <w:jc w:val="center"/>
          <w:trHeight w:val="10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cs="宋体"/>
                <w:color w:val="auto"/>
                <w:spacing w:val="6"/>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74"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color w:val="auto"/>
                <w:highlight w:val="none"/>
                <w:lang w:val="en-US" w:eastAsia="zh-CN"/>
              </w:rPr>
              <w:suppressLineNumbers w:val="0"/>
            </w:pPr>
            <w:r>
              <w:rPr>
                <w:rFonts w:hint="eastAsia" w:ascii="宋体" w:hAnsi="宋体" w:cs="宋体"/>
                <w:color w:val="auto"/>
                <w:spacing w:val="6"/>
                <w:sz w:val="24"/>
                <w:highlight w:val="none"/>
                <w:lang w:val="en-US" w:eastAsia="zh-CN"/>
              </w:rPr>
              <w:t xml:space="preserve">一标段</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eastAsia="宋体" w:cs="宋体"/>
                <w:sz w:val="24"/>
                <w:szCs w:val="24"/>
                <w:highlight w:val="none"/>
                <w:lang w:val="en-US" w:eastAsia="zh-CN" w:bidi="ar"/>
              </w:rPr>
              <w:t xml:space="preserve">9座（含）以下轿车、</w:t>
            </w:r>
            <w:r>
              <w:rPr>
                <w:rFonts w:hint="eastAsia" w:ascii="宋体" w:hAnsi="宋体" w:cs="宋体"/>
                <w:sz w:val="24"/>
                <w:szCs w:val="24"/>
                <w:highlight w:val="none"/>
                <w:lang w:val="en-US" w:eastAsia="zh-CN" w:bidi="ar"/>
              </w:rPr>
              <w:t xml:space="preserve">小型普通客车（SUV车型除外）</w:t>
            </w:r>
            <w:r/>
          </w:p>
        </w:tc>
        <w:tc>
          <w:tcPr>
            <w:tcBorders>
              <w:top w:val="none" w:color="000000" w:sz="4" w:space="0"/>
              <w:left w:val="none" w:color="000000" w:sz="4" w:space="0"/>
              <w:bottom w:val="single" w:color="000000" w:sz="8" w:space="0"/>
              <w:right w:val="single" w:color="auto" w:sz="4" w:space="0"/>
            </w:tcBorders>
            <w:tcMar>
              <w:left w:w="15" w:type="dxa"/>
              <w:top w:w="15" w:type="dxa"/>
              <w:right w:w="15" w:type="dxa"/>
              <w:bottom w:w="15" w:type="dxa"/>
            </w:tcMar>
            <w:tcW w:w="23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cs="宋体"/>
                <w:color w:val="auto"/>
                <w:spacing w:val="6"/>
                <w:sz w:val="24"/>
                <w:highlight w:val="none"/>
                <w:lang w:val="en-US" w:eastAsia="zh-CN"/>
              </w:rPr>
            </w:r>
            <w:r/>
          </w:p>
        </w:tc>
        <w:tc>
          <w:tcPr>
            <w:tcBorders>
              <w:top w:val="none" w:color="000000" w:sz="4" w:space="0"/>
              <w:left w:val="single" w:color="auto" w:sz="4" w:space="0"/>
              <w:bottom w:val="single" w:color="000000" w:sz="8" w:space="0"/>
              <w:right w:val="single" w:color="000000" w:sz="8" w:space="0"/>
            </w:tcBorders>
            <w:tcMar>
              <w:left w:w="15" w:type="dxa"/>
              <w:top w:w="15" w:type="dxa"/>
              <w:right w:w="15" w:type="dxa"/>
              <w:bottom w:w="15" w:type="dxa"/>
            </w:tcMar>
            <w:tcW w:w="158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pacing w:val="6"/>
                <w:sz w:val="24"/>
                <w:highlight w:val="none"/>
                <w:lang w:val="en-US" w:eastAsia="zh-CN"/>
              </w:rPr>
              <w:suppressLineNumbers w:val="0"/>
            </w:pPr>
            <w:r>
              <w:rPr>
                <w:rFonts w:hint="eastAsia" w:ascii="宋体" w:hAnsi="宋体" w:cs="宋体"/>
                <w:color w:val="auto"/>
                <w:spacing w:val="6"/>
                <w:sz w:val="24"/>
                <w:highlight w:val="none"/>
                <w:lang w:val="en-US" w:eastAsia="zh-CN"/>
              </w:rPr>
              <w:t xml:space="preserve">%</w:t>
            </w:r>
            <w:r/>
          </w:p>
        </w:tc>
      </w:tr>
      <w:tr>
        <w:trPr>
          <w:jc w:val="center"/>
          <w:trHeight w:val="113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cs="宋体"/>
                <w:color w:val="auto"/>
                <w:spacing w:val="6"/>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74"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color w:val="auto"/>
                <w:highlight w:val="none"/>
                <w:lang w:val="en-US" w:eastAsia="zh-CN"/>
              </w:rPr>
              <w:suppressLineNumbers w:val="0"/>
            </w:pPr>
            <w:r>
              <w:rPr>
                <w:rFonts w:hint="eastAsia" w:ascii="宋体" w:hAnsi="宋体" w:cs="宋体"/>
                <w:color w:val="auto"/>
                <w:spacing w:val="6"/>
                <w:sz w:val="24"/>
                <w:highlight w:val="none"/>
                <w:lang w:val="en-US" w:eastAsia="zh-CN"/>
              </w:rPr>
              <w:t xml:space="preserve">二标段</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eastAsia="宋体" w:cs="宋体"/>
                <w:sz w:val="24"/>
                <w:szCs w:val="24"/>
                <w:highlight w:val="none"/>
                <w:lang w:val="en-US" w:eastAsia="zh-CN" w:bidi="ar"/>
              </w:rPr>
              <w:t xml:space="preserve">9座（不含）以上客车</w:t>
            </w:r>
            <w:r/>
          </w:p>
        </w:tc>
        <w:tc>
          <w:tcPr>
            <w:tcBorders>
              <w:top w:val="none" w:color="000000" w:sz="4" w:space="0"/>
              <w:left w:val="none" w:color="000000" w:sz="4" w:space="0"/>
              <w:bottom w:val="single" w:color="000000" w:sz="8" w:space="0"/>
              <w:right w:val="single" w:color="auto" w:sz="4" w:space="0"/>
            </w:tcBorders>
            <w:tcMar>
              <w:left w:w="15" w:type="dxa"/>
              <w:top w:w="15" w:type="dxa"/>
              <w:right w:w="15" w:type="dxa"/>
              <w:bottom w:w="15" w:type="dxa"/>
            </w:tcMar>
            <w:tcW w:w="23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cs="宋体"/>
                <w:color w:val="auto"/>
                <w:spacing w:val="6"/>
                <w:sz w:val="24"/>
                <w:highlight w:val="none"/>
                <w:lang w:val="en-US" w:eastAsia="zh-CN"/>
              </w:rPr>
            </w:r>
            <w:r/>
          </w:p>
        </w:tc>
        <w:tc>
          <w:tcPr>
            <w:tcBorders>
              <w:top w:val="none" w:color="000000" w:sz="4" w:space="0"/>
              <w:left w:val="single" w:color="auto" w:sz="4" w:space="0"/>
              <w:bottom w:val="single" w:color="000000" w:sz="8" w:space="0"/>
              <w:right w:val="single" w:color="000000" w:sz="8" w:space="0"/>
            </w:tcBorders>
            <w:tcMar>
              <w:left w:w="15" w:type="dxa"/>
              <w:top w:w="15" w:type="dxa"/>
              <w:right w:w="15" w:type="dxa"/>
              <w:bottom w:w="15" w:type="dxa"/>
            </w:tcMar>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cs="宋体"/>
                <w:color w:val="auto"/>
                <w:spacing w:val="6"/>
                <w:sz w:val="24"/>
                <w:highlight w:val="none"/>
                <w:lang w:val="en-US" w:eastAsia="zh-CN"/>
              </w:rPr>
              <w:t xml:space="preserve">%</w:t>
            </w:r>
            <w:r/>
          </w:p>
        </w:tc>
      </w:tr>
    </w:tbl>
    <w:p>
      <w:pPr>
        <w:numPr>
          <w:ilvl w:val="0"/>
          <w:numId w:val="0"/>
        </w:numPr>
        <w:ind w:right="0" w:firstLine="480"/>
        <w:jc w:val="left"/>
        <w:keepLines w:val="0"/>
        <w:keepNext w:val="0"/>
        <w:pageBreakBefore w:val="0"/>
        <w:spacing w:before="0" w:beforeAutospacing="0" w:after="0" w:afterAutospacing="0" w:line="380" w:lineRule="exact"/>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注：（1）供应商综合考虑国家收费标准并结合市场实际进行报价，在各类车型基准价上，统一填报下浮比例（0%≤下浮比例＜100%，超出该范围的响应无效）。</w:t>
      </w:r>
      <w:r/>
    </w:p>
    <w:p>
      <w:pPr>
        <w:numPr>
          <w:ilvl w:val="0"/>
          <w:numId w:val="0"/>
        </w:numPr>
        <w:ind w:right="0" w:firstLine="480"/>
        <w:jc w:val="left"/>
        <w:keepLines w:val="0"/>
        <w:keepNext w:val="0"/>
        <w:pageBreakBefore w:val="0"/>
        <w:spacing w:before="0" w:beforeAutospacing="0" w:after="0" w:afterAutospacing="0" w:line="38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（2）本项目采取下浮比例报价，以（1-下浮比例）作为供应商的报价参与价格评审。</w:t>
      </w:r>
      <w:r/>
    </w:p>
    <w:p>
      <w:pPr>
        <w:ind w:firstLine="4080"/>
        <w:spacing w:line="6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4080"/>
        <w:spacing w:line="6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538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jc w:val="center"/>
        <w:spacing w:line="600" w:lineRule="exact"/>
        <w:rPr>
          <w:rFonts w:hint="eastAsia" w:ascii="宋体" w:hAnsi="宋体" w:eastAsia="宋体" w:cs="宋体"/>
          <w:sz w:val="24"/>
          <w:highlight w:val="none"/>
        </w:rPr>
        <w:outlineLvl w:val="1"/>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jc w:val="center"/>
        <w:spacing w:line="400" w:lineRule="exact"/>
        <w:rPr>
          <w:rFonts w:hint="eastAsia" w:ascii="黑体" w:eastAsia="黑体"/>
          <w:b/>
          <w:bCs/>
          <w:sz w:val="32"/>
          <w:szCs w:val="32"/>
          <w:highlight w:val="none"/>
        </w:rPr>
      </w:pPr>
      <w:r>
        <w:rPr>
          <w:rFonts w:hint="eastAsia" w:ascii="黑体" w:eastAsia="黑体"/>
          <w:b/>
          <w:bCs/>
          <w:sz w:val="32"/>
          <w:szCs w:val="32"/>
          <w:highlight w:val="none"/>
        </w:rPr>
      </w:r>
      <w:r/>
    </w:p>
    <w:p>
      <w:pPr>
        <w:rPr>
          <w:rFonts w:hint="eastAsia" w:ascii="黑体" w:eastAsia="黑体"/>
          <w:b/>
          <w:bCs/>
          <w:sz w:val="32"/>
          <w:szCs w:val="32"/>
          <w:highlight w:val="none"/>
        </w:rPr>
      </w:pPr>
      <w:r>
        <w:rPr>
          <w:rFonts w:hint="eastAsia" w:ascii="黑体" w:eastAsia="黑体"/>
          <w:b/>
          <w:bCs/>
          <w:sz w:val="32"/>
          <w:szCs w:val="32"/>
          <w:highlight w:val="none"/>
        </w:rPr>
        <w:br w:type="page" w:clear="all"/>
      </w:r>
      <w:r/>
    </w:p>
    <w:p>
      <w:pPr>
        <w:jc w:val="center"/>
        <w:spacing w:line="400" w:lineRule="exact"/>
        <w:rPr>
          <w:rFonts w:hint="eastAsia" w:ascii="黑体" w:eastAsia="黑体"/>
          <w:sz w:val="28"/>
          <w:highlight w:val="none"/>
        </w:rPr>
      </w:pPr>
      <w:r>
        <w:rPr>
          <w:rFonts w:hint="eastAsia" w:ascii="黑体" w:eastAsia="黑体"/>
          <w:b/>
          <w:bCs/>
          <w:sz w:val="32"/>
          <w:szCs w:val="32"/>
          <w:highlight w:val="none"/>
        </w:rPr>
        <w:t xml:space="preserve"> </w:t>
      </w:r>
      <w:r>
        <w:rPr>
          <w:rFonts w:hint="eastAsia" w:ascii="黑体" w:eastAsia="黑体"/>
          <w:b/>
          <w:bCs/>
          <w:sz w:val="32"/>
          <w:szCs w:val="32"/>
          <w:highlight w:val="none"/>
          <w:lang w:val="en-US" w:eastAsia="zh-CN"/>
        </w:rPr>
        <w:t xml:space="preserve">十、法人授</w:t>
      </w:r>
      <w:r>
        <w:rPr>
          <w:rFonts w:hint="eastAsia" w:ascii="黑体" w:hAnsi="Calibri" w:eastAsia="黑体" w:cs="Times New Roman"/>
          <w:b/>
          <w:bCs/>
          <w:sz w:val="32"/>
          <w:szCs w:val="32"/>
          <w:highlight w:val="none"/>
          <w:lang w:val="en-US" w:eastAsia="zh-CN"/>
        </w:rPr>
        <w:t xml:space="preserve">权</w:t>
      </w:r>
      <w:r>
        <w:rPr>
          <w:rFonts w:hint="eastAsia" w:ascii="黑体" w:eastAsia="黑体"/>
          <w:b/>
          <w:bCs/>
          <w:sz w:val="32"/>
          <w:szCs w:val="32"/>
          <w:highlight w:val="none"/>
        </w:rPr>
        <w:t xml:space="preserve">书</w:t>
      </w:r>
      <w:r/>
    </w:p>
    <w:p>
      <w:pPr>
        <w:jc w:val="center"/>
        <w:spacing w:line="400" w:lineRule="exact"/>
        <w:rPr>
          <w:rFonts w:hint="eastAsia" w:ascii="黑体" w:eastAsia="黑体"/>
          <w:b/>
          <w:sz w:val="28"/>
          <w:highlight w:val="none"/>
        </w:rPr>
      </w:pPr>
      <w:r>
        <w:rPr>
          <w:rFonts w:hint="eastAsia" w:ascii="黑体" w:eastAsia="黑体"/>
          <w:b/>
          <w:sz w:val="28"/>
          <w:highlight w:val="none"/>
        </w:rPr>
      </w:r>
      <w:r/>
    </w:p>
    <w:p>
      <w:pPr>
        <w:ind w:firstLine="480"/>
        <w:keepLines w:val="0"/>
        <w:keepNext w:val="0"/>
        <w:pageBreakBefore w:val="0"/>
        <w:spacing w:line="6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本授权书声明：____________（供应商名称）授权________________（被授权人的姓名）为我方就</w:t>
      </w:r>
      <w:r>
        <w:rPr>
          <w:rFonts w:hint="eastAsia" w:ascii="宋体" w:hAnsi="宋体" w:cs="宋体"/>
          <w:color w:val="000000"/>
          <w:sz w:val="24"/>
          <w:szCs w:val="24"/>
          <w:highlight w:val="none"/>
          <w:u w:val="single"/>
          <w:lang w:val="en-US" w:eastAsia="zh-CN"/>
        </w:rPr>
        <w:t xml:space="preserve">      项目编号      </w:t>
      </w:r>
      <w:r>
        <w:rPr>
          <w:rFonts w:hint="eastAsia" w:ascii="宋体" w:hAnsi="宋体" w:eastAsia="宋体" w:cs="宋体"/>
          <w:color w:val="000000"/>
          <w:sz w:val="24"/>
          <w:szCs w:val="24"/>
          <w:highlight w:val="none"/>
        </w:rPr>
        <w:t xml:space="preserve">号项目框架协议采购活动的合法代理人，以本单位名义全权处理一切与该项目采购有关的事务。</w:t>
      </w:r>
      <w:r/>
    </w:p>
    <w:p>
      <w:pPr>
        <w:ind w:firstLine="480"/>
        <w:keepLines w:val="0"/>
        <w:keepNext w:val="0"/>
        <w:pageBreakBefore w:val="0"/>
        <w:spacing w:line="600" w:lineRule="exact"/>
        <w:widowControl w:val="off"/>
        <w:rPr>
          <w:rFonts w:hint="eastAsia" w:ascii="宋体" w:hAnsi="宋体" w:eastAsia="宋体" w:cs="宋体"/>
          <w:sz w:val="24"/>
          <w:highlight w:val="none"/>
        </w:rPr>
      </w:pPr>
      <w:r>
        <w:rPr>
          <w:rFonts w:hint="eastAsia" w:ascii="宋体" w:hAnsi="宋体" w:eastAsia="宋体" w:cs="宋体"/>
          <w:sz w:val="24"/>
          <w:szCs w:val="24"/>
          <w:highlight w:val="none"/>
        </w:rPr>
        <w:t xml:space="preserve">特此委托。</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04"/>
        <w:ind w:firstLine="1024"/>
        <w:keepLines w:val="0"/>
        <w:keepNext w:val="0"/>
        <w:pageBreakBefore w:val="0"/>
        <w:spacing w:beforeAutospacing="0" w:afterAutospacing="0" w:line="600" w:lineRule="exact"/>
        <w:widowControl w:val="off"/>
        <w:tabs>
          <w:tab w:val="left" w:pos="360" w:leader="none"/>
        </w:tabs>
        <w:rPr>
          <w:rFonts w:hint="eastAsia"/>
          <w:highlight w:val="none"/>
        </w:rPr>
      </w:pPr>
      <w:r>
        <w:rPr>
          <w:rFonts w:ascii="Times New Roman" w:hAnsi="Times New Roman"/>
          <w:color w:val="000000"/>
          <w:highlight w:val="none"/>
        </w:rPr>
        <w:t xml:space="preserve">本授权书于______年____月____日起生效，特此声明。</w:t>
      </w:r>
      <w:r/>
    </w:p>
    <w:p>
      <w:pPr>
        <w:pStyle w:val="804"/>
        <w:ind w:firstLine="1024"/>
        <w:keepLines w:val="0"/>
        <w:keepNext w:val="0"/>
        <w:pageBreakBefore w:val="0"/>
        <w:spacing w:beforeAutospacing="0" w:afterAutospacing="0" w:line="600" w:lineRule="exact"/>
        <w:widowControl w:val="off"/>
        <w:tabs>
          <w:tab w:val="left" w:pos="360" w:leader="none"/>
        </w:tabs>
        <w:rPr>
          <w:rFonts w:hint="eastAsia"/>
          <w:highlight w:val="none"/>
        </w:rPr>
      </w:pPr>
      <w:r>
        <w:rPr>
          <w:rFonts w:ascii="Times New Roman" w:hAnsi="Times New Roman"/>
          <w:color w:val="000000"/>
          <w:highlight w:val="none"/>
        </w:rPr>
        <w:t xml:space="preserve">被授权人身份证号码：</w:t>
      </w:r>
      <w:r>
        <w:rPr>
          <w:rFonts w:ascii="Times New Roman" w:hAnsi="Times New Roman"/>
          <w:color w:val="000000"/>
          <w:highlight w:val="none"/>
          <w:u w:val="single"/>
        </w:rPr>
        <w:t xml:space="preserve">                              </w:t>
      </w:r>
      <w:r/>
    </w:p>
    <w:p>
      <w:pPr>
        <w:pStyle w:val="804"/>
        <w:ind w:firstLine="1024"/>
        <w:keepLines w:val="0"/>
        <w:keepNext w:val="0"/>
        <w:pageBreakBefore w:val="0"/>
        <w:spacing w:beforeAutospacing="0" w:afterAutospacing="0" w:line="600" w:lineRule="exact"/>
        <w:widowControl w:val="off"/>
        <w:tabs>
          <w:tab w:val="left" w:pos="360" w:leader="none"/>
        </w:tabs>
        <w:rPr>
          <w:rFonts w:hint="eastAsia"/>
          <w:highlight w:val="none"/>
        </w:rPr>
      </w:pPr>
      <w:r>
        <w:rPr>
          <w:rFonts w:ascii="Times New Roman" w:hAnsi="Times New Roman"/>
          <w:color w:val="000000"/>
          <w:highlight w:val="none"/>
        </w:rPr>
        <w:t xml:space="preserve">被授权人联系电话：（手机）</w:t>
      </w:r>
      <w:r>
        <w:rPr>
          <w:rFonts w:ascii="Times New Roman" w:hAnsi="Times New Roman"/>
          <w:color w:val="000000"/>
          <w:highlight w:val="none"/>
          <w:u w:val="single"/>
        </w:rPr>
        <w:t xml:space="preserve">                          </w:t>
      </w:r>
      <w:r/>
    </w:p>
    <w:p>
      <w:pPr>
        <w:pStyle w:val="804"/>
        <w:ind w:firstLine="1024"/>
        <w:keepLines w:val="0"/>
        <w:keepNext w:val="0"/>
        <w:pageBreakBefore w:val="0"/>
        <w:spacing w:beforeAutospacing="0" w:afterAutospacing="0" w:line="600" w:lineRule="exact"/>
        <w:widowControl w:val="off"/>
        <w:tabs>
          <w:tab w:val="left" w:pos="360" w:leader="none"/>
        </w:tabs>
        <w:rPr>
          <w:rFonts w:hint="eastAsia"/>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04"/>
        <w:ind w:firstLine="1024"/>
        <w:keepLines w:val="0"/>
        <w:keepNext w:val="0"/>
        <w:pageBreakBefore w:val="0"/>
        <w:spacing w:beforeAutospacing="0" w:afterAutospacing="0" w:line="600" w:lineRule="exact"/>
        <w:widowControl w:val="off"/>
        <w:tabs>
          <w:tab w:val="left" w:pos="360" w:leader="none"/>
        </w:tabs>
        <w:rPr>
          <w:rFonts w:ascii="Times New Roman" w:hAnsi="Times New Roman"/>
          <w:color w:val="000000"/>
          <w:highlight w:val="none"/>
          <w:u w:val="single"/>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p>
    <w:p>
      <w:pPr>
        <w:pStyle w:val="804"/>
        <w:ind w:firstLine="1024"/>
        <w:keepLines w:val="0"/>
        <w:keepNext w:val="0"/>
        <w:pageBreakBefore w:val="0"/>
        <w:spacing w:beforeAutospacing="0" w:afterAutospacing="0" w:line="600" w:lineRule="exact"/>
        <w:widowControl w:val="off"/>
        <w:tabs>
          <w:tab w:val="left" w:pos="360" w:leader="none"/>
        </w:tabs>
        <w:rPr>
          <w:rFonts w:hint="eastAsia" w:ascii="宋体" w:hAnsi="宋体" w:eastAsia="宋体" w:cs="宋体"/>
          <w:sz w:val="24"/>
          <w:highlight w:val="none"/>
        </w:rPr>
      </w:pPr>
      <w:r>
        <w:rPr>
          <w:rFonts w:ascii="Times New Roman" w:hAnsi="Times New Roman"/>
          <w:color w:val="000000"/>
          <w:highlight w:val="none"/>
        </w:rPr>
        <w:t xml:space="preserve">日期：</w:t>
      </w:r>
      <w:r>
        <w:rPr>
          <w:rFonts w:ascii="Times New Roman" w:hAnsi="Times New Roman"/>
          <w:color w:val="000000"/>
          <w:highlight w:val="none"/>
          <w:u w:val="single"/>
        </w:rPr>
        <w:t xml:space="preserve">                                         </w:t>
      </w:r>
      <w:r/>
    </w:p>
    <w:p>
      <w:pPr>
        <w:ind w:firstLine="2126"/>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83"/>
        <w:ind w:firstLine="0"/>
        <w:keepLines w:val="0"/>
        <w:keepNext w:val="0"/>
        <w:pageBreakBefore w:val="0"/>
        <w:spacing w:line="700" w:lineRule="exact"/>
        <w:widowControl w:val="off"/>
        <w:rPr>
          <w:rFonts w:hint="eastAsia"/>
          <w:color w:val="000000" w:themeColor="text1"/>
          <w:highlight w:val="none"/>
          <w14:textFill>
            <w14:solidFill>
              <w14:schemeClr w14:val="tx1"/>
            </w14:solidFill>
          </w14:textFill>
        </w:rPr>
      </w:pPr>
      <w:r>
        <w:rPr>
          <w:rFonts w:hint="eastAsia" w:ascii="宋体" w:hAnsi="宋体" w:eastAsia="宋体" w:cs="宋体"/>
          <w:b/>
          <w:bCs/>
          <w:sz w:val="24"/>
          <w:highlight w:val="none"/>
        </w:rPr>
        <w:t xml:space="preserve">（附：</w:t>
      </w:r>
      <w:r>
        <w:rPr>
          <w:rFonts w:hint="eastAsia" w:ascii="宋体" w:hAnsi="宋体" w:eastAsia="宋体" w:cs="宋体"/>
          <w:b/>
          <w:bCs/>
          <w:sz w:val="24"/>
          <w:highlight w:val="none"/>
          <w:lang w:eastAsia="zh-CN"/>
        </w:rPr>
        <w:t xml:space="preserve">被授权人</w:t>
      </w:r>
      <w:r>
        <w:rPr>
          <w:rFonts w:hint="eastAsia" w:ascii="宋体" w:hAnsi="宋体" w:eastAsia="宋体" w:cs="宋体"/>
          <w:b/>
          <w:bCs/>
          <w:sz w:val="24"/>
          <w:highlight w:val="none"/>
        </w:rPr>
        <w:t xml:space="preserve">身份证正反面）</w:t>
      </w:r>
      <w:r/>
    </w:p>
    <w:p>
      <w:pPr>
        <w:spacing w:line="4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center"/>
        <w:spacing w:line="440" w:lineRule="exact"/>
        <w:rPr>
          <w:rFonts w:hint="eastAsia" w:ascii="黑体" w:eastAsia="黑体"/>
          <w:b/>
          <w:bCs/>
          <w:sz w:val="32"/>
          <w:szCs w:val="32"/>
          <w:highlight w:val="none"/>
          <w:lang w:val="en-US" w:eastAsia="zh-CN"/>
        </w:rPr>
      </w:pPr>
      <w:r>
        <w:rPr>
          <w:rFonts w:ascii="宋体" w:hAnsi="宋体"/>
          <w:bCs w:val="0"/>
          <w:color w:val="000000" w:themeColor="text1"/>
          <w:sz w:val="24"/>
          <w:highlight w:val="none"/>
          <w14:textFill>
            <w14:solidFill>
              <w14:schemeClr w14:val="tx1"/>
            </w14:solidFill>
          </w14:textFill>
        </w:rPr>
        <w:br w:type="page" w:clear="all"/>
      </w:r>
      <w:r>
        <w:rPr>
          <w:rFonts w:hint="eastAsia" w:ascii="黑体" w:eastAsia="黑体"/>
          <w:b/>
          <w:bCs/>
          <w:sz w:val="32"/>
          <w:szCs w:val="32"/>
          <w:highlight w:val="none"/>
          <w:lang w:val="en-US" w:eastAsia="zh-CN"/>
        </w:rPr>
        <w:t xml:space="preserve">十一、响应函</w:t>
      </w:r>
      <w:r/>
    </w:p>
    <w:p>
      <w:pPr>
        <w:pStyle w:val="965"/>
        <w:ind w:firstLine="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w:t>
      </w:r>
      <w:r>
        <w:rPr>
          <w:rFonts w:hint="eastAsia" w:ascii="宋体" w:hAnsi="宋体"/>
          <w:color w:val="000000" w:themeColor="text1"/>
          <w:szCs w:val="21"/>
          <w:highlight w:val="none"/>
          <w:lang w:eastAsia="zh-CN"/>
          <w14:textFill>
            <w14:solidFill>
              <w14:schemeClr w14:val="tx1"/>
            </w14:solidFill>
          </w14:textFill>
        </w:rPr>
        <w:t xml:space="preserve">盐城市大丰区机关事务服务中心</w:t>
      </w:r>
      <w:r/>
    </w:p>
    <w:p>
      <w:pPr>
        <w:pStyle w:val="96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根据贵方的</w:t>
      </w:r>
      <w:r>
        <w:rPr>
          <w:rFonts w:hint="eastAsia" w:ascii="宋体" w:hAnsi="宋体"/>
          <w:color w:val="000000" w:themeColor="text1"/>
          <w:szCs w:val="21"/>
          <w:highlight w:val="none"/>
          <w:u w:val="single"/>
          <w:lang w:val="en-US" w:eastAsia="zh-CN"/>
          <w14:textFill>
            <w14:solidFill>
              <w14:schemeClr w14:val="tx1"/>
            </w14:solidFill>
          </w14:textFill>
        </w:rPr>
        <w:t xml:space="preserve">   项目编号        </w:t>
      </w:r>
      <w:r>
        <w:rPr>
          <w:rFonts w:hint="eastAsia" w:ascii="宋体" w:hAnsi="宋体"/>
          <w:color w:val="000000" w:themeColor="text1"/>
          <w:szCs w:val="21"/>
          <w:highlight w:val="none"/>
          <w14:textFill>
            <w14:solidFill>
              <w14:schemeClr w14:val="tx1"/>
            </w14:solidFill>
          </w14:textFill>
        </w:rPr>
        <w:t xml:space="preserve">号框架协议</w:t>
      </w:r>
      <w:r>
        <w:rPr>
          <w:rFonts w:ascii="宋体" w:hAnsi="宋体"/>
          <w:color w:val="000000" w:themeColor="text1"/>
          <w:szCs w:val="21"/>
          <w:highlight w:val="none"/>
          <w14:textFill>
            <w14:solidFill>
              <w14:schemeClr w14:val="tx1"/>
            </w14:solidFill>
          </w14:textFill>
        </w:rPr>
        <w:t xml:space="preserve">采购征集</w:t>
      </w:r>
      <w:r>
        <w:rPr>
          <w:rFonts w:hint="eastAsia" w:ascii="宋体" w:hAnsi="宋体"/>
          <w:color w:val="000000" w:themeColor="text1"/>
          <w:szCs w:val="21"/>
          <w:highlight w:val="none"/>
          <w14:textFill>
            <w14:solidFill>
              <w14:schemeClr w14:val="tx1"/>
            </w14:solidFill>
          </w14:textFill>
        </w:rPr>
        <w:t xml:space="preserve">文件，正式授权下述签字人_________________(姓名)代表我方______________（供应商的名称），全权处理本次项目的有关事宜。</w:t>
      </w:r>
      <w:r/>
    </w:p>
    <w:p>
      <w:pPr>
        <w:pStyle w:val="96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据此函，__________签字人兹宣布同意如下：</w:t>
      </w:r>
      <w:r/>
    </w:p>
    <w:p>
      <w:pPr>
        <w:pStyle w:val="96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w:t>
      </w:r>
      <w:r>
        <w:rPr>
          <w:rFonts w:ascii="宋体" w:hAnsi="宋体"/>
          <w:color w:val="000000" w:themeColor="text1"/>
          <w:szCs w:val="21"/>
          <w:highlight w:val="none"/>
          <w14:textFill>
            <w14:solidFill>
              <w14:schemeClr w14:val="tx1"/>
            </w14:solidFill>
          </w14:textFill>
        </w:rPr>
        <w:t xml:space="preserve">征集</w:t>
      </w:r>
      <w:r>
        <w:rPr>
          <w:rFonts w:hint="eastAsia" w:ascii="宋体" w:hAnsi="宋体"/>
          <w:color w:val="000000" w:themeColor="text1"/>
          <w:szCs w:val="21"/>
          <w:highlight w:val="none"/>
          <w14:textFill>
            <w14:solidFill>
              <w14:schemeClr w14:val="tx1"/>
            </w14:solidFill>
          </w14:textFill>
        </w:rPr>
        <w:t xml:space="preserve">文件规定的各项要求，向采购人提供所需货物与服务。</w:t>
      </w:r>
      <w:r/>
    </w:p>
    <w:p>
      <w:pPr>
        <w:pStyle w:val="96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2.我们完全理解采购人不一定将采购合同授予协议价格</w:t>
      </w:r>
      <w:r>
        <w:rPr>
          <w:rFonts w:ascii="宋体" w:hAnsi="宋体"/>
          <w:color w:val="000000" w:themeColor="text1"/>
          <w:szCs w:val="21"/>
          <w:highlight w:val="none"/>
          <w14:textFill>
            <w14:solidFill>
              <w14:schemeClr w14:val="tx1"/>
            </w14:solidFill>
          </w14:textFill>
        </w:rPr>
        <w:t xml:space="preserve">最低</w:t>
      </w:r>
      <w:r>
        <w:rPr>
          <w:rFonts w:hint="eastAsia" w:ascii="宋体" w:hAnsi="宋体"/>
          <w:color w:val="000000" w:themeColor="text1"/>
          <w:szCs w:val="21"/>
          <w:highlight w:val="none"/>
          <w14:textFill>
            <w14:solidFill>
              <w14:schemeClr w14:val="tx1"/>
            </w14:solidFill>
          </w14:textFill>
        </w:rPr>
        <w:t xml:space="preserve">的供应商。</w:t>
      </w:r>
      <w:r/>
    </w:p>
    <w:p>
      <w:pPr>
        <w:pStyle w:val="96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w:t>
      </w:r>
      <w:r>
        <w:rPr>
          <w:rFonts w:ascii="宋体" w:hAnsi="宋体"/>
          <w:color w:val="000000" w:themeColor="text1"/>
          <w:szCs w:val="21"/>
          <w:highlight w:val="none"/>
          <w14:textFill>
            <w14:solidFill>
              <w14:schemeClr w14:val="tx1"/>
            </w14:solidFill>
          </w14:textFill>
        </w:rPr>
        <w:t xml:space="preserve">征集</w:t>
      </w:r>
      <w:r>
        <w:rPr>
          <w:rFonts w:hint="eastAsia" w:ascii="宋体" w:hAnsi="宋体"/>
          <w:color w:val="000000" w:themeColor="text1"/>
          <w:szCs w:val="21"/>
          <w:highlight w:val="none"/>
          <w14:textFill>
            <w14:solidFill>
              <w14:schemeClr w14:val="tx1"/>
            </w14:solidFill>
          </w14:textFill>
        </w:rPr>
        <w:t xml:space="preserve">文件及其有效补充文件，我们知道必须放弃提出含糊不清或误解问题的权利。</w:t>
      </w:r>
      <w:r/>
    </w:p>
    <w:p>
      <w:pPr>
        <w:pStyle w:val="96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4.我们同意从规定的响应</w:t>
      </w:r>
      <w:r>
        <w:rPr>
          <w:rFonts w:ascii="宋体" w:hAnsi="宋体"/>
          <w:color w:val="000000" w:themeColor="text1"/>
          <w:szCs w:val="21"/>
          <w:highlight w:val="none"/>
          <w14:textFill>
            <w14:solidFill>
              <w14:schemeClr w14:val="tx1"/>
            </w14:solidFill>
          </w14:textFill>
        </w:rPr>
        <w:t xml:space="preserve">文件开启</w:t>
      </w:r>
      <w:r>
        <w:rPr>
          <w:rFonts w:hint="eastAsia" w:ascii="宋体" w:hAnsi="宋体"/>
          <w:color w:val="000000" w:themeColor="text1"/>
          <w:szCs w:val="21"/>
          <w:highlight w:val="none"/>
          <w14:textFill>
            <w14:solidFill>
              <w14:schemeClr w14:val="tx1"/>
            </w14:solidFill>
          </w14:textFill>
        </w:rPr>
        <w:t xml:space="preserve">日期起遵循本响应文件，并在规定的响应文件有效期期满之前均具有约束力。</w:t>
      </w:r>
      <w:r/>
    </w:p>
    <w:p>
      <w:pPr>
        <w:pStyle w:val="965"/>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.同意向贵方提供贵方可能另外要求的与本次采购</w:t>
      </w:r>
      <w:r>
        <w:rPr>
          <w:rFonts w:ascii="宋体" w:hAnsi="宋体"/>
          <w:color w:val="000000" w:themeColor="text1"/>
          <w:szCs w:val="21"/>
          <w:highlight w:val="none"/>
          <w14:textFill>
            <w14:solidFill>
              <w14:schemeClr w14:val="tx1"/>
            </w14:solidFill>
          </w14:textFill>
        </w:rPr>
        <w:t xml:space="preserve">活动</w:t>
      </w:r>
      <w:r>
        <w:rPr>
          <w:rFonts w:hint="eastAsia" w:ascii="宋体" w:hAnsi="宋体"/>
          <w:color w:val="000000" w:themeColor="text1"/>
          <w:szCs w:val="21"/>
          <w:highlight w:val="none"/>
          <w14:textFill>
            <w14:solidFill>
              <w14:schemeClr w14:val="tx1"/>
            </w14:solidFill>
          </w14:textFill>
        </w:rPr>
        <w:t xml:space="preserve">有关的任何证据或资料，并保证我方已提供和将要提供的文件是真实的、准确的。</w:t>
      </w:r>
      <w:r/>
    </w:p>
    <w:p>
      <w:pPr>
        <w:pStyle w:val="965"/>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.一旦我方成为入围</w:t>
      </w:r>
      <w:r>
        <w:rPr>
          <w:rFonts w:ascii="宋体" w:hAnsi="宋体"/>
          <w:color w:val="000000" w:themeColor="text1"/>
          <w:szCs w:val="21"/>
          <w:highlight w:val="none"/>
          <w14:textFill>
            <w14:solidFill>
              <w14:schemeClr w14:val="tx1"/>
            </w14:solidFill>
          </w14:textFill>
        </w:rPr>
        <w:t xml:space="preserve">供应商</w:t>
      </w:r>
      <w:r>
        <w:rPr>
          <w:rFonts w:hint="eastAsia" w:ascii="宋体" w:hAnsi="宋体"/>
          <w:color w:val="000000" w:themeColor="text1"/>
          <w:szCs w:val="21"/>
          <w:highlight w:val="none"/>
          <w14:textFill>
            <w14:solidFill>
              <w14:schemeClr w14:val="tx1"/>
            </w14:solidFill>
          </w14:textFill>
        </w:rPr>
        <w:t xml:space="preserve">,我方将根据征集文件的规定，严格履行合同的责任和义务,并保证在征集文件规定的时间完成项目，交付采购人验收、使用。</w:t>
      </w:r>
      <w:r/>
    </w:p>
    <w:p>
      <w:pPr>
        <w:pStyle w:val="965"/>
        <w:ind w:left="425" w:firstLine="0"/>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.与本次</w:t>
      </w:r>
      <w:r>
        <w:rPr>
          <w:rFonts w:ascii="宋体" w:hAnsi="宋体"/>
          <w:color w:val="000000" w:themeColor="text1"/>
          <w:szCs w:val="21"/>
          <w:highlight w:val="none"/>
          <w14:textFill>
            <w14:solidFill>
              <w14:schemeClr w14:val="tx1"/>
            </w14:solidFill>
          </w14:textFill>
        </w:rPr>
        <w:t xml:space="preserve">采购活动</w:t>
      </w:r>
      <w:r>
        <w:rPr>
          <w:rFonts w:hint="eastAsia" w:ascii="宋体" w:hAnsi="宋体"/>
          <w:color w:val="000000" w:themeColor="text1"/>
          <w:szCs w:val="21"/>
          <w:highlight w:val="none"/>
          <w14:textFill>
            <w14:solidFill>
              <w14:schemeClr w14:val="tx1"/>
            </w14:solidFill>
          </w14:textFill>
        </w:rPr>
        <w:t xml:space="preserve">有关的正式通讯地址为：</w:t>
      </w:r>
      <w:r/>
    </w:p>
    <w:p>
      <w:pPr>
        <w:pStyle w:val="965"/>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965"/>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965"/>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965"/>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965"/>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供应商开户行：</w:t>
      </w:r>
      <w:r/>
    </w:p>
    <w:p>
      <w:pPr>
        <w:pStyle w:val="965"/>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户： </w:t>
      </w:r>
      <w:r/>
    </w:p>
    <w:p>
      <w:pPr>
        <w:pStyle w:val="965"/>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312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w:t>
      </w:r>
      <w:r>
        <w:rPr>
          <w:rFonts w:hint="eastAsia" w:ascii="宋体" w:hAnsi="宋体" w:eastAsia="宋体" w:cs="宋体"/>
          <w:color w:val="auto"/>
          <w:sz w:val="24"/>
          <w:szCs w:val="24"/>
          <w:highlight w:val="none"/>
          <w:lang w:eastAsia="zh-CN"/>
        </w:rPr>
        <w:t xml:space="preserve">被授权人（</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312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（盖单位公章）：</w:t>
      </w:r>
      <w:r/>
    </w:p>
    <w:p>
      <w:pPr>
        <w:rPr>
          <w:rFonts w:hint="eastAsia" w:ascii="宋体" w:hAnsi="宋体" w:eastAsiaTheme="minorEastAsia" w:cstheme="minorBidi"/>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pStyle w:val="804"/>
        <w:ind w:firstLine="240"/>
        <w:jc w:val="center"/>
        <w:spacing w:beforeAutospacing="0" w:afterAutospacing="0" w:line="0" w:lineRule="atLeast"/>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jc w:val="center"/>
        <w:spacing w:before="50" w:after="50"/>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黑体" w:hAnsi="Calibri" w:eastAsia="黑体" w:cs="Times New Roman"/>
          <w:b/>
          <w:bCs/>
          <w:sz w:val="32"/>
          <w:szCs w:val="32"/>
          <w:highlight w:val="none"/>
          <w:lang w:val="en-US" w:eastAsia="zh-CN"/>
        </w:rPr>
        <w:t xml:space="preserve">十二、供应商情况表</w:t>
      </w:r>
      <w:r/>
    </w:p>
    <w:tbl>
      <w:tblPr>
        <w:tblStyle w:val="8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2"/>
        <w:gridCol w:w="1400"/>
        <w:gridCol w:w="853"/>
        <w:gridCol w:w="603"/>
        <w:gridCol w:w="576"/>
        <w:gridCol w:w="836"/>
        <w:gridCol w:w="83"/>
        <w:gridCol w:w="630"/>
        <w:gridCol w:w="942"/>
        <w:gridCol w:w="1384"/>
      </w:tblGrid>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供应商名称（全称）</w:t>
            </w:r>
            <w:r/>
          </w:p>
        </w:tc>
        <w:tc>
          <w:tcPr>
            <w:gridSpan w:val="9"/>
            <w:tcW w:w="7307"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企业地址</w:t>
            </w:r>
            <w:r/>
          </w:p>
        </w:tc>
        <w:tc>
          <w:tcPr>
            <w:gridSpan w:val="9"/>
            <w:tcW w:w="7307"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成立日期</w:t>
            </w:r>
            <w:r/>
          </w:p>
        </w:tc>
        <w:tc>
          <w:tcPr>
            <w:gridSpan w:val="2"/>
            <w:tcW w:w="225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4"/>
            <w:tcW w:w="209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注册资金</w:t>
            </w:r>
            <w:r/>
          </w:p>
        </w:tc>
        <w:tc>
          <w:tcPr>
            <w:gridSpan w:val="3"/>
            <w:tcW w:w="295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万元</w:t>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统一社会信用代码</w:t>
            </w:r>
            <w:r/>
          </w:p>
        </w:tc>
        <w:tc>
          <w:tcPr>
            <w:gridSpan w:val="9"/>
            <w:tcW w:w="7307"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999"/>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经营面积</w:t>
            </w:r>
            <w:r/>
          </w:p>
        </w:tc>
        <w:tc>
          <w:tcPr>
            <w:gridSpan w:val="2"/>
            <w:tcW w:w="225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color w:val="auto"/>
                <w:sz w:val="24"/>
                <w:szCs w:val="24"/>
                <w:highlight w:val="none"/>
              </w:rPr>
              <w:t xml:space="preserve">平方米</w:t>
            </w:r>
            <w:r/>
          </w:p>
        </w:tc>
        <w:tc>
          <w:tcPr>
            <w:gridSpan w:val="4"/>
            <w:tcW w:w="209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其中：</w:t>
            </w:r>
            <w:r/>
          </w:p>
        </w:tc>
        <w:tc>
          <w:tcPr>
            <w:gridSpan w:val="3"/>
            <w:tcW w:w="2956" w:type="dxa"/>
            <w:vAlign w:val="center"/>
            <w:textDirection w:val="lrTb"/>
            <w:noWrap w:val="false"/>
          </w:tcPr>
          <w:p>
            <w:pPr>
              <w:pStyle w:val="783"/>
              <w:ind w:firstLine="0"/>
              <w:jc w:val="both"/>
              <w:keepLines w:val="0"/>
              <w:keepNext w:val="0"/>
              <w:spacing w:after="0" w:line="360" w:lineRule="auto"/>
              <w:widowControl w:val="off"/>
              <w:rPr>
                <w:rFonts w:ascii="宋体" w:hAnsi="宋体"/>
                <w:color w:val="auto"/>
                <w:sz w:val="24"/>
                <w:szCs w:val="24"/>
                <w:highlight w:val="none"/>
              </w:rPr>
              <w:suppressLineNumbers w:val="0"/>
            </w:pPr>
            <w:r>
              <w:rPr>
                <w:rFonts w:ascii="宋体" w:hAnsi="宋体"/>
                <w:color w:val="auto"/>
                <w:sz w:val="24"/>
                <w:szCs w:val="24"/>
                <w:highlight w:val="none"/>
              </w:rPr>
              <w:t xml:space="preserve">自有面积</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平方米</w:t>
            </w:r>
            <w:r/>
          </w:p>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color w:val="auto"/>
                <w:sz w:val="24"/>
                <w:szCs w:val="24"/>
                <w:highlight w:val="none"/>
              </w:rPr>
              <w:t xml:space="preserve">承租面积</w:t>
            </w:r>
            <w:r>
              <w:rPr>
                <w:rFonts w:hint="default" w:ascii="宋体" w:hAnsi="宋体"/>
                <w:color w:val="auto"/>
                <w:sz w:val="24"/>
                <w:szCs w:val="24"/>
                <w:highlight w:val="none"/>
                <w:u w:val="single"/>
              </w:rPr>
              <w:t xml:space="preserve">      </w:t>
            </w:r>
            <w:r>
              <w:rPr>
                <w:rFonts w:hint="default" w:ascii="宋体" w:hAnsi="宋体"/>
                <w:color w:val="auto"/>
                <w:sz w:val="24"/>
                <w:szCs w:val="24"/>
                <w:highlight w:val="none"/>
              </w:rPr>
              <w:t xml:space="preserve">平方米</w:t>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客运</w:t>
            </w:r>
            <w:r>
              <w:rPr>
                <w:rFonts w:hint="default" w:ascii="宋体" w:hAnsi="宋体"/>
                <w:bCs/>
                <w:color w:val="auto"/>
                <w:sz w:val="24"/>
                <w:szCs w:val="24"/>
                <w:highlight w:val="none"/>
              </w:rPr>
              <w:t xml:space="preserve">资质</w:t>
            </w:r>
            <w:r/>
          </w:p>
        </w:tc>
        <w:tc>
          <w:tcPr>
            <w:gridSpan w:val="2"/>
            <w:tcW w:w="2253"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4"/>
            <w:tcW w:w="2098"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经营范围</w:t>
            </w:r>
            <w:r/>
          </w:p>
        </w:tc>
        <w:tc>
          <w:tcPr>
            <w:gridSpan w:val="3"/>
            <w:tcW w:w="2956"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开户银行</w:t>
            </w:r>
            <w:r/>
          </w:p>
        </w:tc>
        <w:tc>
          <w:tcPr>
            <w:gridSpan w:val="9"/>
            <w:tcW w:w="7307"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w:t>
            </w:r>
            <w:r>
              <w:rPr>
                <w:rFonts w:hint="eastAsia" w:ascii="宋体" w:hAnsi="宋体"/>
                <w:bCs/>
                <w:color w:val="auto"/>
                <w:sz w:val="24"/>
                <w:szCs w:val="24"/>
                <w:highlight w:val="none"/>
              </w:rPr>
              <w:t xml:space="preserve">开户行、开户名称、银行账号</w:t>
            </w:r>
            <w:r>
              <w:rPr>
                <w:rFonts w:hint="default" w:ascii="宋体" w:hAnsi="宋体"/>
                <w:bCs/>
                <w:color w:val="auto"/>
                <w:sz w:val="24"/>
                <w:szCs w:val="24"/>
                <w:highlight w:val="none"/>
              </w:rPr>
              <w:t xml:space="preserve">）</w:t>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法定代表人</w:t>
            </w:r>
            <w:r/>
          </w:p>
        </w:tc>
        <w:tc>
          <w:tcPr>
            <w:gridSpan w:val="4"/>
            <w:tcW w:w="343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3"/>
            <w:tcW w:w="154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联系电话</w:t>
            </w:r>
            <w:r/>
          </w:p>
        </w:tc>
        <w:tc>
          <w:tcPr>
            <w:gridSpan w:val="2"/>
            <w:tcW w:w="2326"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925"/>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总协调人</w:t>
            </w:r>
            <w:r/>
          </w:p>
        </w:tc>
        <w:tc>
          <w:tcPr>
            <w:gridSpan w:val="4"/>
            <w:tcW w:w="343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3"/>
            <w:tcW w:w="154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联系电话</w:t>
            </w:r>
            <w:r/>
          </w:p>
        </w:tc>
        <w:tc>
          <w:tcPr>
            <w:gridSpan w:val="2"/>
            <w:tcW w:w="2326"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职工人员总数</w:t>
            </w:r>
            <w:r/>
          </w:p>
        </w:tc>
        <w:tc>
          <w:tcPr>
            <w:tcW w:w="140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2"/>
            <w:tcW w:w="145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管理人员数</w:t>
            </w:r>
            <w:r/>
          </w:p>
        </w:tc>
        <w:tc>
          <w:tcPr>
            <w:gridSpan w:val="2"/>
            <w:tcW w:w="1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3"/>
            <w:tcW w:w="165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驾驶员数量</w:t>
            </w:r>
            <w:r/>
          </w:p>
        </w:tc>
        <w:tc>
          <w:tcPr>
            <w:tcW w:w="1384"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2304"/>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其他需要说明的情况</w:t>
            </w:r>
            <w:r>
              <w:rPr>
                <w:rFonts w:hint="eastAsia" w:ascii="宋体" w:hAnsi="宋体"/>
                <w:color w:val="auto"/>
                <w:sz w:val="24"/>
                <w:szCs w:val="24"/>
                <w:highlight w:val="none"/>
                <w:lang w:eastAsia="zh-CN"/>
              </w:rPr>
              <w:t xml:space="preserve">（如有）</w:t>
            </w:r>
            <w:r>
              <w:rPr>
                <w:rFonts w:hint="eastAsia" w:ascii="宋体" w:hAnsi="宋体"/>
                <w:color w:val="auto"/>
                <w:sz w:val="24"/>
                <w:szCs w:val="24"/>
                <w:highlight w:val="none"/>
              </w:rPr>
              <w:t xml:space="preserve">：</w:t>
            </w:r>
            <w:r/>
          </w:p>
        </w:tc>
        <w:tc>
          <w:tcPr>
            <w:gridSpan w:val="9"/>
            <w:tcW w:w="7307"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bl>
    <w:p>
      <w:pPr>
        <w:jc w:val="center"/>
        <w:spacing w:before="50" w:after="50"/>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jc w:val="center"/>
        <w:spacing w:before="50" w:after="50"/>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ind w:firstLine="40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both"/>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50" w:after="50"/>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黑体" w:hAnsi="Calibri" w:eastAsia="黑体" w:cs="Times New Roman"/>
          <w:b/>
          <w:bCs/>
          <w:sz w:val="32"/>
          <w:szCs w:val="32"/>
          <w:highlight w:val="none"/>
          <w:lang w:val="en-US" w:eastAsia="zh-CN"/>
        </w:rPr>
        <w:t xml:space="preserve">十三、可供租赁车辆清单__标段</w:t>
      </w:r>
      <w:r/>
    </w:p>
    <w:tbl>
      <w:tblPr>
        <w:tblStyle w:val="781"/>
        <w:tblW w:w="895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57" w:type="dxa"/>
          <w:top w:w="57" w:type="dxa"/>
          <w:right w:w="57" w:type="dxa"/>
          <w:bottom w:w="57" w:type="dxa"/>
        </w:tblCellMar>
        <w:tblLook w:val="04A0" w:firstRow="1" w:lastRow="0" w:firstColumn="1" w:lastColumn="0" w:noHBand="0" w:noVBand="1"/>
      </w:tblPr>
      <w:tblGrid>
        <w:gridCol w:w="2069"/>
        <w:gridCol w:w="850"/>
        <w:gridCol w:w="1134"/>
        <w:gridCol w:w="1134"/>
        <w:gridCol w:w="851"/>
        <w:gridCol w:w="1199"/>
        <w:gridCol w:w="1718"/>
      </w:tblGrid>
      <w:tr>
        <w:trPr>
          <w:jc w:val="center"/>
          <w:trHeight w:val="627"/>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车辆类型</w:t>
            </w:r>
            <w:r/>
          </w:p>
        </w:tc>
        <w:tc>
          <w:tcP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车牌号</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品牌型号</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座位数</w:t>
            </w:r>
            <w:r/>
          </w:p>
        </w:tc>
        <w:tc>
          <w:tcPr>
            <w:tcW w:w="11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注册日期</w:t>
            </w:r>
            <w:r/>
          </w:p>
        </w:tc>
        <w:tc>
          <w:tcPr>
            <w:tcW w:w="17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新能源车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（是或否）</w:t>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before="5"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 xml:space="preserve"> 备注：</w:t>
      </w:r>
      <w:r>
        <w:rPr>
          <w:rFonts w:hint="eastAsia" w:ascii="宋体" w:hAnsi="宋体" w:eastAsia="宋体" w:cs="宋体"/>
          <w:color w:val="auto"/>
          <w:sz w:val="24"/>
          <w:szCs w:val="24"/>
          <w:highlight w:val="none"/>
          <w:lang w:val="en-US" w:eastAsia="zh-CN"/>
        </w:rPr>
        <w:t xml:space="preserve">1</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所有车辆</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机动车行驶证、机动车登记证书、保险单据原件扫描件作为该清单附件。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供应商须提供</w:t>
      </w:r>
      <w:r>
        <w:rPr>
          <w:rFonts w:hint="eastAsia" w:ascii="宋体" w:hAnsi="宋体" w:eastAsia="宋体" w:cs="宋体"/>
          <w:b/>
          <w:bCs/>
          <w:color w:val="auto"/>
          <w:sz w:val="24"/>
          <w:szCs w:val="24"/>
          <w:highlight w:val="none"/>
          <w:lang w:eastAsia="zh-CN"/>
        </w:rPr>
        <w:t xml:space="preserve">国家规定必保险</w:t>
      </w:r>
      <w:r>
        <w:rPr>
          <w:rFonts w:hint="eastAsia" w:ascii="宋体" w:hAnsi="宋体" w:eastAsia="宋体" w:cs="宋体"/>
          <w:b/>
          <w:bCs/>
          <w:color w:val="auto"/>
          <w:sz w:val="24"/>
          <w:szCs w:val="24"/>
          <w:highlight w:val="none"/>
          <w:lang w:val="en-US" w:eastAsia="zh-CN"/>
        </w:rPr>
        <w:t xml:space="preserve">种保险单据原件扫描件，如其他保险不齐全须提供保险承诺函，</w:t>
      </w:r>
      <w:r>
        <w:rPr>
          <w:rFonts w:hint="eastAsia" w:ascii="宋体" w:hAnsi="宋体" w:eastAsia="宋体" w:cs="宋体"/>
          <w:b/>
          <w:bCs/>
          <w:sz w:val="24"/>
          <w:szCs w:val="24"/>
          <w:highlight w:val="none"/>
          <w:lang w:val="en-US" w:eastAsia="zh-CN" w:bidi="ar"/>
        </w:rPr>
        <w:t xml:space="preserve">否则响应文件无效，</w:t>
      </w:r>
      <w:r>
        <w:rPr>
          <w:rFonts w:hint="eastAsia" w:ascii="宋体" w:hAnsi="宋体" w:eastAsia="宋体" w:cs="宋体"/>
          <w:b/>
          <w:bCs/>
          <w:color w:val="auto"/>
          <w:sz w:val="24"/>
          <w:szCs w:val="24"/>
          <w:highlight w:val="none"/>
          <w:lang w:val="en-US" w:eastAsia="zh-CN"/>
        </w:rPr>
        <w:t xml:space="preserve">格式附后</w:t>
      </w:r>
      <w:r>
        <w:rPr>
          <w:rFonts w:hint="eastAsia" w:ascii="宋体" w:hAnsi="宋体" w:eastAsia="宋体" w:cs="宋体"/>
          <w:b/>
          <w:bCs/>
          <w:color w:val="auto"/>
          <w:sz w:val="24"/>
          <w:szCs w:val="24"/>
          <w:highlight w:val="none"/>
          <w:lang w:eastAsia="zh-CN"/>
        </w:rPr>
        <w:t xml:space="preserve">）</w:t>
      </w:r>
      <w:r/>
    </w:p>
    <w:p>
      <w:pPr>
        <w:pStyle w:val="782"/>
        <w:rPr>
          <w:rFonts w:hint="default" w:eastAsia="宋体"/>
          <w:highlight w:val="none"/>
          <w:lang w:val="en-US" w:eastAsia="zh-CN"/>
        </w:rPr>
      </w:pPr>
      <w:r>
        <w:rPr>
          <w:rFonts w:hint="eastAsia" w:cs="宋体"/>
          <w:color w:val="auto"/>
          <w:sz w:val="24"/>
          <w:szCs w:val="24"/>
          <w:highlight w:val="none"/>
          <w:lang w:val="en-US" w:eastAsia="zh-CN"/>
        </w:rPr>
        <w:t xml:space="preserve">      2.二标段</w:t>
      </w:r>
      <w:r>
        <w:rPr>
          <w:rFonts w:hint="eastAsia" w:ascii="宋体" w:hAnsi="宋体"/>
          <w:bCs/>
          <w:color w:val="auto"/>
          <w:sz w:val="24"/>
          <w:szCs w:val="24"/>
          <w:highlight w:val="none"/>
          <w:lang w:val="en-US" w:eastAsia="zh-CN"/>
        </w:rPr>
        <w:t xml:space="preserve">车辆</w:t>
      </w:r>
      <w:r>
        <w:rPr>
          <w:rFonts w:hint="eastAsia"/>
          <w:bCs/>
          <w:color w:val="auto"/>
          <w:sz w:val="24"/>
          <w:szCs w:val="24"/>
          <w:highlight w:val="none"/>
          <w:lang w:val="en-US" w:eastAsia="zh-CN"/>
        </w:rPr>
        <w:t xml:space="preserve">还</w:t>
      </w:r>
      <w:r>
        <w:rPr>
          <w:rFonts w:hint="eastAsia" w:cs="宋体"/>
          <w:color w:val="auto"/>
          <w:sz w:val="24"/>
          <w:szCs w:val="24"/>
          <w:highlight w:val="none"/>
          <w:lang w:val="en-US" w:eastAsia="zh-CN"/>
        </w:rPr>
        <w:t xml:space="preserve">须提供《道路运输证》原件扫描件作为该清单附件。</w:t>
      </w:r>
      <w:r/>
    </w:p>
    <w:p>
      <w:pPr>
        <w:ind w:left="0" w:right="0"/>
        <w:jc w:val="center"/>
        <w:keepLines w:val="0"/>
        <w:keepNext w:val="0"/>
        <w:spacing w:before="50" w:beforeAutospacing="0" w:after="5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left="0" w:right="0"/>
        <w:jc w:val="center"/>
        <w:keepLines w:val="0"/>
        <w:keepNext w:val="0"/>
        <w:spacing w:before="50" w:beforeAutospacing="0" w:after="50" w:afterAutospacing="0"/>
        <w:widowControl/>
        <w:rPr>
          <w:rFonts w:hint="eastAsia" w:ascii="宋体" w:hAnsi="宋体"/>
          <w:color w:val="auto"/>
          <w:sz w:val="24"/>
          <w:szCs w:val="24"/>
          <w:highlight w:val="none"/>
        </w:rPr>
        <w:suppressLineNumbers w:val="0"/>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82"/>
        <w:jc w:val="cente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82"/>
        <w:jc w:val="center"/>
        <w:rPr>
          <w:rFonts w:hint="default"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t xml:space="preserve">十四、车辆保险承诺函</w:t>
      </w:r>
      <w:r/>
    </w:p>
    <w:p>
      <w:pPr>
        <w:jc w:val="left"/>
        <w:keepLines w:val="0"/>
        <w:keepNext w:val="0"/>
        <w:pageBreakBefore w:val="0"/>
        <w:spacing w:line="560"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jc w:val="left"/>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（供应商单位全称）</w:t>
      </w:r>
      <w:r>
        <w:rPr>
          <w:rFonts w:hint="eastAsia" w:ascii="宋体" w:hAnsi="宋体" w:eastAsia="宋体" w:cs="宋体"/>
          <w:b/>
          <w:bCs/>
          <w:color w:val="auto"/>
          <w:sz w:val="24"/>
          <w:szCs w:val="24"/>
          <w:highlight w:val="none"/>
        </w:rPr>
        <w:t xml:space="preserve">就本项目</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标段车辆保险</w:t>
      </w:r>
      <w:r>
        <w:rPr>
          <w:rFonts w:hint="eastAsia" w:ascii="宋体" w:hAnsi="宋体" w:eastAsia="宋体" w:cs="宋体"/>
          <w:b/>
          <w:bCs/>
          <w:color w:val="auto"/>
          <w:sz w:val="24"/>
          <w:szCs w:val="24"/>
          <w:highlight w:val="none"/>
        </w:rPr>
        <w:t xml:space="preserve">承诺如下：</w:t>
      </w:r>
      <w:r/>
    </w:p>
    <w:p>
      <w:pPr>
        <w:jc w:val="left"/>
        <w:keepLines w:val="0"/>
        <w:keepNext w:val="0"/>
        <w:pageBreakBefore w:val="0"/>
        <w:spacing w:before="50" w:after="50" w:line="560" w:lineRule="exact"/>
        <w:widowControl w:val="off"/>
        <w:rPr>
          <w:rFonts w:hint="eastAsia" w:ascii="黑体" w:hAnsi="Calibri" w:eastAsia="黑体" w:cs="Times New Roman"/>
          <w:b/>
          <w:bCs/>
          <w:sz w:val="32"/>
          <w:szCs w:val="32"/>
          <w:highlight w:val="none"/>
          <w:lang w:val="en-US" w:eastAsia="zh-CN"/>
        </w:rPr>
      </w:pPr>
      <w:r>
        <w:rPr>
          <w:rFonts w:hint="eastAsia" w:ascii="宋体" w:hAnsi="宋体" w:eastAsia="宋体" w:cs="宋体"/>
          <w:b w:val="0"/>
          <w:bCs w:val="0"/>
          <w:sz w:val="24"/>
          <w:szCs w:val="24"/>
          <w:highlight w:val="none"/>
          <w:lang w:val="en-US" w:eastAsia="zh-CN" w:bidi="ar"/>
        </w:rPr>
        <w:t xml:space="preserve">    除国家规定的必保险种，我单位额外为政府采购提供租赁服务的车辆投保，投保包括第三者责任险（投保保额不低于100万元），为车上乘客提供每人每座投保保额不低于50万元的保险险种，保证合同签订前提供的车辆保险险种、限额达到上述要求，否则我单位承担由此产生的所有责任。</w:t>
      </w:r>
      <w:r/>
    </w:p>
    <w:p>
      <w:pPr>
        <w:pStyle w:val="782"/>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82"/>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黑体" w:hAnsi="Calibri" w:eastAsia="黑体" w:cs="Times New Roman"/>
          <w:b/>
          <w:bCs/>
          <w:sz w:val="32"/>
          <w:szCs w:val="32"/>
          <w:highlight w:val="none"/>
          <w:lang w:val="en-US" w:eastAsia="zh-CN"/>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pStyle w:val="782"/>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82"/>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82"/>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82"/>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82"/>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82"/>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82"/>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jc w:val="center"/>
        <w:spacing w:before="50" w:after="50"/>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黑体" w:hAnsi="Calibri" w:eastAsia="黑体" w:cs="Times New Roman"/>
          <w:b/>
          <w:bCs/>
          <w:sz w:val="32"/>
          <w:szCs w:val="32"/>
          <w:highlight w:val="none"/>
          <w:lang w:val="en-US" w:eastAsia="zh-CN"/>
        </w:rPr>
        <w:t xml:space="preserve">十五、驾驶人员配置表__标段</w:t>
      </w:r>
      <w:r/>
    </w:p>
    <w:tbl>
      <w:tblPr>
        <w:tblStyle w:val="7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2327"/>
        <w:gridCol w:w="1233"/>
        <w:gridCol w:w="2312"/>
        <w:gridCol w:w="1837"/>
      </w:tblGrid>
      <w:tr>
        <w:trPr>
          <w:jc w:val="center"/>
          <w:trHeight w:val="940"/>
        </w:trPr>
        <w:tc>
          <w:tcPr>
            <w:tcW w:w="1209" w:type="dxa"/>
            <w:vAlign w:val="center"/>
            <w:textDirection w:val="lrTb"/>
            <w:noWrap w:val="false"/>
          </w:tcPr>
          <w:p>
            <w:pPr>
              <w:ind w:left="0" w:right="0"/>
              <w:jc w:val="center"/>
              <w:keepLines w:val="0"/>
              <w:keepNext w:val="0"/>
              <w:spacing w:before="0" w:beforeAutospacing="0" w:after="0" w:afterAutospacing="0"/>
              <w:rPr>
                <w:rFonts w:hint="default"/>
                <w:b/>
                <w:color w:val="auto"/>
                <w:sz w:val="24"/>
                <w:highlight w:val="none"/>
              </w:rPr>
              <w:suppressLineNumbers w:val="0"/>
            </w:pPr>
            <w:r>
              <w:rPr>
                <w:rFonts w:hint="eastAsia"/>
                <w:b/>
                <w:color w:val="auto"/>
                <w:sz w:val="24"/>
                <w:highlight w:val="none"/>
              </w:rPr>
              <w:t xml:space="preserve">序号</w:t>
            </w:r>
            <w:r/>
          </w:p>
        </w:tc>
        <w:tc>
          <w:tcPr>
            <w:tcW w:w="2327" w:type="dxa"/>
            <w:vAlign w:val="center"/>
            <w:textDirection w:val="lrTb"/>
            <w:noWrap w:val="false"/>
          </w:tcPr>
          <w:p>
            <w:pPr>
              <w:ind w:left="0" w:right="0"/>
              <w:jc w:val="center"/>
              <w:keepLines w:val="0"/>
              <w:keepNext w:val="0"/>
              <w:spacing w:before="0" w:beforeAutospacing="0" w:after="0" w:afterAutospacing="0"/>
              <w:rPr>
                <w:rFonts w:hint="default"/>
                <w:b/>
                <w:color w:val="auto"/>
                <w:sz w:val="24"/>
                <w:highlight w:val="none"/>
              </w:rPr>
              <w:suppressLineNumbers w:val="0"/>
            </w:pPr>
            <w:r>
              <w:rPr>
                <w:rFonts w:hint="eastAsia"/>
                <w:b/>
                <w:color w:val="auto"/>
                <w:sz w:val="24"/>
                <w:highlight w:val="none"/>
              </w:rPr>
              <w:t xml:space="preserve">姓名</w:t>
            </w:r>
            <w:r/>
          </w:p>
        </w:tc>
        <w:tc>
          <w:tcPr>
            <w:tcW w:w="1233" w:type="dxa"/>
            <w:vAlign w:val="center"/>
            <w:textDirection w:val="lrTb"/>
            <w:noWrap w:val="false"/>
          </w:tcPr>
          <w:p>
            <w:pPr>
              <w:ind w:left="0" w:right="0"/>
              <w:jc w:val="center"/>
              <w:keepLines w:val="0"/>
              <w:keepNext w:val="0"/>
              <w:spacing w:before="0" w:beforeAutospacing="0" w:after="0" w:afterAutospacing="0"/>
              <w:rPr>
                <w:rFonts w:hint="default"/>
                <w:b/>
                <w:color w:val="auto"/>
                <w:sz w:val="24"/>
                <w:highlight w:val="none"/>
              </w:rPr>
              <w:suppressLineNumbers w:val="0"/>
            </w:pPr>
            <w:r>
              <w:rPr>
                <w:rFonts w:hint="eastAsia"/>
                <w:b/>
                <w:color w:val="auto"/>
                <w:sz w:val="24"/>
                <w:highlight w:val="none"/>
              </w:rPr>
              <w:t xml:space="preserve">驾龄</w:t>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b/>
                <w:color w:val="auto"/>
                <w:sz w:val="24"/>
                <w:highlight w:val="none"/>
              </w:rPr>
              <w:suppressLineNumbers w:val="0"/>
            </w:pPr>
            <w:r>
              <w:rPr>
                <w:rFonts w:hint="eastAsia"/>
                <w:b/>
                <w:color w:val="auto"/>
                <w:sz w:val="24"/>
                <w:highlight w:val="none"/>
              </w:rPr>
              <w:t xml:space="preserve">响应单位工作年限</w:t>
            </w:r>
            <w:r/>
          </w:p>
        </w:tc>
        <w:tc>
          <w:tcPr>
            <w:tcW w:w="1837" w:type="dxa"/>
            <w:vAlign w:val="center"/>
            <w:textDirection w:val="lrTb"/>
            <w:noWrap w:val="false"/>
          </w:tcPr>
          <w:p>
            <w:pPr>
              <w:ind w:left="0" w:right="0"/>
              <w:jc w:val="center"/>
              <w:keepLines w:val="0"/>
              <w:keepNext w:val="0"/>
              <w:spacing w:before="0" w:beforeAutospacing="0" w:after="0" w:afterAutospacing="0"/>
              <w:rPr>
                <w:rFonts w:hint="default"/>
                <w:b/>
                <w:color w:val="auto"/>
                <w:sz w:val="24"/>
                <w:highlight w:val="none"/>
              </w:rPr>
              <w:suppressLineNumbers w:val="0"/>
            </w:pPr>
            <w:r>
              <w:rPr>
                <w:rFonts w:hint="eastAsia"/>
                <w:b/>
                <w:color w:val="auto"/>
                <w:sz w:val="24"/>
                <w:highlight w:val="none"/>
              </w:rPr>
              <w:t xml:space="preserve">3年内有无重大交通事故</w:t>
            </w:r>
            <w:r/>
          </w:p>
        </w:tc>
      </w:tr>
      <w:tr>
        <w:trPr>
          <w:jc w:val="center"/>
          <w:trHeight w:val="744"/>
        </w:trPr>
        <w:tc>
          <w:tcPr>
            <w:tcW w:w="1209"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ascii="宋体" w:hAnsi="宋体"/>
                <w:bCs/>
                <w:color w:val="auto"/>
                <w:sz w:val="24"/>
                <w:szCs w:val="24"/>
                <w:highlight w:val="none"/>
              </w:rPr>
              <w:outlineLvl w:val="9"/>
              <w:suppressLineNumbers w:val="0"/>
            </w:pPr>
            <w:r>
              <w:rPr>
                <w:rFonts w:hint="default" w:ascii="宋体" w:hAnsi="宋体"/>
                <w:bCs/>
                <w:color w:val="auto"/>
                <w:sz w:val="24"/>
                <w:szCs w:val="24"/>
                <w:highlight w:val="none"/>
              </w:rPr>
            </w:r>
            <w:r/>
          </w:p>
        </w:tc>
        <w:tc>
          <w:tcPr>
            <w:tcW w:w="1837" w:type="dxa"/>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r>
      <w:tr>
        <w:trPr>
          <w:jc w:val="center"/>
          <w:trHeight w:val="744"/>
        </w:trPr>
        <w:tc>
          <w:tcPr>
            <w:tcW w:w="1209"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ascii="宋体" w:hAnsi="宋体"/>
                <w:bCs/>
                <w:color w:val="auto"/>
                <w:sz w:val="24"/>
                <w:szCs w:val="24"/>
                <w:highlight w:val="none"/>
              </w:rPr>
              <w:outlineLvl w:val="9"/>
              <w:suppressLineNumbers w:val="0"/>
            </w:pPr>
            <w:r>
              <w:rPr>
                <w:rFonts w:hint="default" w:ascii="宋体" w:hAnsi="宋体"/>
                <w:bCs/>
                <w:color w:val="auto"/>
                <w:sz w:val="24"/>
                <w:szCs w:val="24"/>
                <w:highlight w:val="none"/>
              </w:rPr>
            </w:r>
            <w:r/>
          </w:p>
        </w:tc>
        <w:tc>
          <w:tcPr>
            <w:tcW w:w="1837" w:type="dxa"/>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r>
      <w:tr>
        <w:trPr>
          <w:jc w:val="center"/>
          <w:trHeight w:val="744"/>
        </w:trPr>
        <w:tc>
          <w:tcPr>
            <w:tcW w:w="1209"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ascii="宋体" w:hAnsi="宋体"/>
                <w:bCs/>
                <w:color w:val="auto"/>
                <w:sz w:val="24"/>
                <w:szCs w:val="24"/>
                <w:highlight w:val="none"/>
              </w:rPr>
              <w:outlineLvl w:val="9"/>
              <w:suppressLineNumbers w:val="0"/>
            </w:pPr>
            <w:r>
              <w:rPr>
                <w:rFonts w:hint="default" w:ascii="宋体" w:hAnsi="宋体"/>
                <w:bCs/>
                <w:color w:val="auto"/>
                <w:sz w:val="24"/>
                <w:szCs w:val="24"/>
                <w:highlight w:val="none"/>
              </w:rPr>
            </w:r>
            <w:r/>
          </w:p>
        </w:tc>
        <w:tc>
          <w:tcPr>
            <w:tcW w:w="1837" w:type="dxa"/>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r>
      <w:tr>
        <w:trPr>
          <w:jc w:val="center"/>
          <w:trHeight w:val="765"/>
        </w:trPr>
        <w:tc>
          <w:tcPr>
            <w:tcW w:w="1209"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1837" w:type="dxa"/>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r>
    </w:tbl>
    <w:p>
      <w:pPr>
        <w:ind w:firstLine="480"/>
        <w:spacing w:before="5"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注：1. 表格不够可自行延长。</w:t>
      </w:r>
      <w:r/>
    </w:p>
    <w:p>
      <w:pPr>
        <w:ind w:firstLine="480"/>
        <w:spacing w:line="360" w:lineRule="auto"/>
        <w:rPr>
          <w:rFonts w:hint="eastAsia" w:ascii="黑体" w:hAnsi="宋体" w:eastAsiaTheme="minorEastAsia"/>
          <w:bCs/>
          <w:color w:val="auto"/>
          <w:sz w:val="24"/>
          <w:szCs w:val="24"/>
          <w:highlight w:val="none"/>
          <w:lang w:eastAsia="zh-CN"/>
        </w:rPr>
        <w:outlineLvl w:val="0"/>
      </w:pPr>
      <w:r/>
      <w:bookmarkStart w:id="191" w:name="_Toc5359"/>
      <w:r>
        <w:rPr>
          <w:rFonts w:hint="eastAsia" w:ascii="宋体" w:hAnsi="宋体"/>
          <w:bCs/>
          <w:color w:val="auto"/>
          <w:sz w:val="24"/>
          <w:szCs w:val="24"/>
          <w:highlight w:val="none"/>
        </w:rPr>
        <w:t xml:space="preserve">2. 所有驾驶员须符合征集文件相关要求（详见“</w:t>
      </w:r>
      <w:r>
        <w:rPr>
          <w:rFonts w:hint="eastAsia" w:ascii="宋体" w:hAnsi="宋体"/>
          <w:bCs/>
          <w:color w:val="auto"/>
          <w:sz w:val="24"/>
          <w:szCs w:val="24"/>
          <w:highlight w:val="none"/>
          <w:lang w:val="en-US" w:eastAsia="zh-CN"/>
        </w:rPr>
        <w:t xml:space="preserve">第四章 采购需求</w:t>
      </w:r>
      <w:r>
        <w:rPr>
          <w:rFonts w:hint="eastAsia" w:ascii="宋体" w:hAnsi="宋体"/>
          <w:bCs/>
          <w:color w:val="auto"/>
          <w:sz w:val="24"/>
          <w:szCs w:val="24"/>
          <w:highlight w:val="none"/>
        </w:rPr>
        <w:t xml:space="preserve">”中“3</w:t>
      </w:r>
      <w:r>
        <w:rPr>
          <w:rFonts w:ascii="宋体" w:hAnsi="宋体"/>
          <w:bCs/>
          <w:color w:val="auto"/>
          <w:sz w:val="24"/>
          <w:szCs w:val="24"/>
          <w:highlight w:val="none"/>
        </w:rPr>
        <w:t xml:space="preserve">.2 </w:t>
      </w:r>
      <w:r>
        <w:rPr>
          <w:rFonts w:hint="eastAsia" w:ascii="宋体" w:hAnsi="宋体"/>
          <w:bCs/>
          <w:color w:val="auto"/>
          <w:sz w:val="24"/>
          <w:szCs w:val="24"/>
          <w:highlight w:val="none"/>
        </w:rPr>
        <w:t xml:space="preserve">车辆及汽车驾驶员要求”）</w:t>
      </w:r>
      <w:r>
        <w:rPr>
          <w:rFonts w:hint="eastAsia" w:ascii="宋体" w:hAnsi="宋体"/>
          <w:bCs/>
          <w:color w:val="auto"/>
          <w:sz w:val="24"/>
          <w:szCs w:val="24"/>
          <w:highlight w:val="none"/>
          <w:lang w:eastAsia="zh-CN"/>
        </w:rPr>
        <w:t xml:space="preserve">。</w:t>
      </w:r>
      <w:bookmarkEnd w:id="191"/>
      <w:r/>
      <w:r/>
    </w:p>
    <w:p>
      <w:pPr>
        <w:ind w:right="0" w:firstLine="480"/>
        <w:jc w:val="both"/>
        <w:keepLines w:val="0"/>
        <w:keepNext w:val="0"/>
        <w:spacing w:before="0" w:beforeAutospacing="0" w:after="0" w:afterAutospacing="0" w:line="560" w:lineRule="exact"/>
        <w:widowControl/>
        <w:rPr>
          <w:rFonts w:hint="eastAsia" w:ascii="宋体" w:hAnsi="宋体"/>
          <w:bCs/>
          <w:color w:val="auto"/>
          <w:sz w:val="24"/>
          <w:szCs w:val="24"/>
          <w:highlight w:val="none"/>
          <w:lang w:val="en-US" w:eastAsia="zh-CN"/>
        </w:rPr>
        <w:suppressLineNumbers w:val="0"/>
      </w:pPr>
      <w:r>
        <w:rPr>
          <w:rFonts w:hint="eastAsia" w:ascii="宋体" w:hAnsi="宋体"/>
          <w:bCs/>
          <w:color w:val="auto"/>
          <w:sz w:val="24"/>
          <w:szCs w:val="24"/>
          <w:highlight w:val="none"/>
          <w:lang w:val="en-US" w:eastAsia="zh-CN"/>
        </w:rPr>
        <w:t xml:space="preserve">3.上表内容须提供所有驾驶员的驾驶证、3年安全驾驶记录证明原件扫描件，作为填列证明材料附在本表之后。</w:t>
      </w:r>
      <w:r/>
    </w:p>
    <w:p>
      <w:pPr>
        <w:ind w:left="0" w:right="0" w:firstLine="480"/>
        <w:jc w:val="left"/>
        <w:keepLines w:val="0"/>
        <w:keepNext w:val="0"/>
        <w:spacing w:before="0" w:beforeAutospacing="0" w:after="0" w:afterAutospacing="0"/>
        <w:widowControl/>
        <w:rPr>
          <w:rFonts w:hint="eastAsia" w:ascii="黑体" w:hAnsi="宋体" w:eastAsia="黑体" w:cs="Times New Roman"/>
          <w:bCs/>
          <w:sz w:val="24"/>
          <w:szCs w:val="24"/>
          <w:highlight w:val="none"/>
          <w:lang w:val="en-US" w:eastAsia="zh-CN" w:bidi="ar"/>
        </w:rPr>
        <w:outlineLvl w:val="9"/>
        <w:suppressLineNumbers w:val="0"/>
      </w:pPr>
      <w:r>
        <w:rPr>
          <w:rFonts w:hint="eastAsia" w:ascii="黑体" w:hAnsi="宋体" w:eastAsia="黑体" w:cs="Times New Roman"/>
          <w:bCs/>
          <w:sz w:val="24"/>
          <w:szCs w:val="24"/>
          <w:highlight w:val="none"/>
          <w:lang w:val="en-US" w:eastAsia="zh-CN" w:bidi="ar"/>
        </w:rPr>
        <w:t xml:space="preserve"> </w:t>
      </w:r>
      <w:r/>
    </w:p>
    <w:p>
      <w:pPr>
        <w:pStyle w:val="782"/>
        <w:rPr>
          <w:rFonts w:hint="eastAsia" w:ascii="黑体" w:hAnsi="宋体" w:eastAsia="黑体" w:cs="Times New Roman"/>
          <w:bCs/>
          <w:sz w:val="24"/>
          <w:szCs w:val="24"/>
          <w:highlight w:val="none"/>
          <w:lang w:val="en-US" w:eastAsia="zh-CN" w:bidi="ar"/>
        </w:rPr>
      </w:pPr>
      <w:r>
        <w:rPr>
          <w:rFonts w:hint="eastAsia" w:ascii="黑体" w:hAnsi="宋体" w:eastAsia="黑体" w:cs="Times New Roman"/>
          <w:bCs/>
          <w:sz w:val="24"/>
          <w:szCs w:val="24"/>
          <w:highlight w:val="none"/>
          <w:lang w:val="en-US" w:eastAsia="zh-CN" w:bidi="ar"/>
        </w:rPr>
      </w:r>
      <w:r/>
    </w:p>
    <w:p>
      <w:pPr>
        <w:ind w:firstLine="40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highlight w:val="none"/>
        </w:rPr>
      </w:pP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left="0" w:right="0" w:firstLine="480"/>
        <w:jc w:val="left"/>
        <w:keepLines w:val="0"/>
        <w:keepNext w:val="0"/>
        <w:spacing w:before="0" w:beforeAutospacing="0" w:after="0" w:afterAutospacing="0"/>
        <w:widowControl/>
        <w:rPr>
          <w:rFonts w:hint="eastAsia" w:ascii="黑体" w:hAnsi="宋体" w:eastAsia="黑体" w:cs="Times New Roman"/>
          <w:bCs/>
          <w:sz w:val="24"/>
          <w:szCs w:val="24"/>
          <w:highlight w:val="none"/>
        </w:rPr>
        <w:outlineLvl w:val="9"/>
        <w:suppressLineNumbers w:val="0"/>
      </w:pPr>
      <w:r>
        <w:rPr>
          <w:rFonts w:hint="eastAsia" w:ascii="黑体" w:hAnsi="宋体" w:eastAsia="黑体" w:cs="Times New Roman"/>
          <w:bCs/>
          <w:sz w:val="24"/>
          <w:szCs w:val="24"/>
          <w:highlight w:val="none"/>
          <w:lang w:val="en-US" w:eastAsia="zh-CN" w:bidi="ar"/>
        </w:rPr>
        <w:t xml:space="preserve"> </w:t>
      </w:r>
      <w:r/>
    </w:p>
    <w:p>
      <w:pPr>
        <w:ind w:left="0" w:right="0"/>
        <w:jc w:val="center"/>
        <w:keepLines w:val="0"/>
        <w:keepNext w:val="0"/>
        <w:spacing w:before="50" w:beforeAutospacing="0" w:after="50" w:afterAutospacing="0"/>
        <w:widowControl/>
        <w:rPr>
          <w:rFonts w:hint="default" w:ascii="方正小标宋简体" w:hAnsi="方正小标宋简体" w:eastAsia="方正小标宋简体" w:cs="方正小标宋简体"/>
          <w:b w:val="0"/>
          <w:bCs w:val="0"/>
          <w:sz w:val="32"/>
          <w:szCs w:val="32"/>
          <w:highlight w:val="none"/>
          <w:lang w:val="en-US" w:eastAsia="zh-CN" w:bidi="ar"/>
        </w:rPr>
        <w:suppressLineNumbers w:val="0"/>
      </w:pPr>
      <w:r>
        <w:rPr>
          <w:rFonts w:hint="default" w:ascii="方正小标宋简体" w:hAnsi="方正小标宋简体" w:eastAsia="方正小标宋简体" w:cs="方正小标宋简体"/>
          <w:b w:val="0"/>
          <w:bCs w:val="0"/>
          <w:sz w:val="32"/>
          <w:szCs w:val="32"/>
          <w:highlight w:val="none"/>
          <w:lang w:val="en-US" w:eastAsia="zh-CN" w:bidi="ar"/>
        </w:rPr>
      </w:r>
      <w:r/>
    </w:p>
    <w:p>
      <w:pPr>
        <w:ind w:left="0" w:right="0"/>
        <w:jc w:val="center"/>
        <w:keepLines w:val="0"/>
        <w:keepNext w:val="0"/>
        <w:spacing w:before="50" w:beforeAutospacing="0" w:after="50" w:afterAutospacing="0"/>
        <w:widowControl/>
        <w:rPr>
          <w:rFonts w:hint="default" w:ascii="方正小标宋简体" w:hAnsi="方正小标宋简体" w:eastAsia="方正小标宋简体" w:cs="方正小标宋简体"/>
          <w:b w:val="0"/>
          <w:bCs w:val="0"/>
          <w:sz w:val="32"/>
          <w:szCs w:val="32"/>
          <w:highlight w:val="none"/>
          <w:lang w:val="en-US" w:eastAsia="zh-CN" w:bidi="ar"/>
        </w:rPr>
        <w:suppressLineNumbers w:val="0"/>
      </w:pPr>
      <w:r>
        <w:rPr>
          <w:rFonts w:hint="default" w:ascii="方正小标宋简体" w:hAnsi="方正小标宋简体" w:eastAsia="方正小标宋简体" w:cs="方正小标宋简体"/>
          <w:b w:val="0"/>
          <w:bCs w:val="0"/>
          <w:sz w:val="32"/>
          <w:szCs w:val="32"/>
          <w:highlight w:val="none"/>
          <w:lang w:val="en-US" w:eastAsia="zh-CN" w:bidi="ar"/>
        </w:rPr>
      </w:r>
      <w:r/>
    </w:p>
    <w:p>
      <w:pPr>
        <w:pStyle w:val="782"/>
        <w:rPr>
          <w:rFonts w:hint="default"/>
          <w:highlight w:val="none"/>
          <w:lang w:val="en-US" w:eastAsia="zh-CN"/>
        </w:rPr>
      </w:pPr>
      <w:r>
        <w:rPr>
          <w:rFonts w:hint="default"/>
          <w:highlight w:val="none"/>
          <w:lang w:val="en-US" w:eastAsia="zh-CN"/>
        </w:rPr>
      </w:r>
      <w:r/>
    </w:p>
    <w:p>
      <w:pPr>
        <w:ind w:left="0" w:right="0"/>
        <w:jc w:val="center"/>
        <w:keepLines w:val="0"/>
        <w:keepNext w:val="0"/>
        <w:spacing w:before="50" w:beforeAutospacing="0" w:after="50" w:afterAutospacing="0"/>
        <w:widowControl/>
        <w:rPr>
          <w:rFonts w:hint="default" w:ascii="方正小标宋简体" w:hAnsi="方正小标宋简体" w:eastAsia="方正小标宋简体" w:cs="方正小标宋简体"/>
          <w:b w:val="0"/>
          <w:bCs w:val="0"/>
          <w:sz w:val="32"/>
          <w:szCs w:val="32"/>
          <w:highlight w:val="none"/>
          <w:lang w:val="en-US" w:eastAsia="zh-CN" w:bidi="ar"/>
        </w:rPr>
        <w:suppressLineNumbers w:val="0"/>
      </w:pPr>
      <w:r>
        <w:rPr>
          <w:rFonts w:hint="default" w:ascii="方正小标宋简体" w:hAnsi="方正小标宋简体" w:eastAsia="方正小标宋简体" w:cs="方正小标宋简体"/>
          <w:b w:val="0"/>
          <w:bCs w:val="0"/>
          <w:sz w:val="32"/>
          <w:szCs w:val="32"/>
          <w:highlight w:val="none"/>
          <w:lang w:val="en-US" w:eastAsia="zh-CN" w:bidi="ar"/>
        </w:rPr>
      </w:r>
      <w:r/>
    </w:p>
    <w:p>
      <w:pPr>
        <w:ind w:left="0" w:right="0"/>
        <w:jc w:val="center"/>
        <w:keepLines w:val="0"/>
        <w:keepNext w:val="0"/>
        <w:spacing w:before="50" w:beforeAutospacing="0" w:after="50" w:afterAutospacing="0"/>
        <w:widowControl/>
        <w:rPr>
          <w:rFonts w:hint="default" w:ascii="方正小标宋简体" w:hAnsi="方正小标宋简体" w:eastAsia="方正小标宋简体" w:cs="方正小标宋简体"/>
          <w:b w:val="0"/>
          <w:bCs w:val="0"/>
          <w:sz w:val="32"/>
          <w:szCs w:val="32"/>
          <w:highlight w:val="none"/>
        </w:rPr>
        <w:suppressLineNumbers w:val="0"/>
      </w:pPr>
      <w:r>
        <w:rPr>
          <w:rFonts w:hint="default" w:ascii="方正小标宋简体" w:hAnsi="方正小标宋简体" w:eastAsia="方正小标宋简体" w:cs="方正小标宋简体"/>
          <w:b w:val="0"/>
          <w:bCs w:val="0"/>
          <w:sz w:val="32"/>
          <w:szCs w:val="32"/>
          <w:highlight w:val="none"/>
          <w:lang w:val="en-US" w:eastAsia="zh-CN" w:bidi="ar"/>
        </w:rPr>
        <w:t xml:space="preserve"> </w:t>
      </w:r>
      <w:r/>
    </w:p>
    <w:p>
      <w:pPr>
        <w:pStyle w:val="825"/>
        <w:ind w:firstLine="3840"/>
        <w:jc w:val="left"/>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r>
      <w:r/>
    </w:p>
    <w:p>
      <w:pPr>
        <w:pStyle w:val="825"/>
        <w:ind w:firstLine="3840"/>
        <w:jc w:val="left"/>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r>
      <w:r/>
    </w:p>
    <w:p>
      <w:pPr>
        <w:pStyle w:val="825"/>
        <w:ind w:firstLine="3840"/>
        <w:jc w:val="left"/>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r>
      <w:r/>
    </w:p>
    <w:p>
      <w:pPr>
        <w:pStyle w:val="825"/>
        <w:ind w:firstLine="3840"/>
        <w:jc w:val="left"/>
        <w:rPr>
          <w:rFonts w:hint="eastAsia" w:ascii="方正小标宋简体" w:hAnsi="方正小标宋简体" w:eastAsia="方正小标宋简体" w:cs="方正小标宋简体"/>
          <w:b w:val="0"/>
          <w:bCs w:val="0"/>
          <w:color w:val="auto"/>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t xml:space="preserve">十六、保密承诺书</w:t>
      </w:r>
      <w:r/>
    </w:p>
    <w:p>
      <w:pPr>
        <w:pStyle w:val="825"/>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                       </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w:t>
      </w:r>
      <w:r>
        <w:rPr>
          <w:rFonts w:hint="eastAsia" w:ascii="宋体" w:hAnsi="宋体" w:eastAsia="宋体" w:cs="宋体"/>
          <w:bCs/>
          <w:color w:val="auto"/>
          <w:sz w:val="24"/>
          <w:szCs w:val="24"/>
          <w:highlight w:val="none"/>
          <w:lang w:eastAsia="zh-CN"/>
        </w:rPr>
        <w:t xml:space="preserve">单位</w:t>
      </w:r>
      <w:r>
        <w:rPr>
          <w:rFonts w:hint="eastAsia" w:ascii="宋体" w:hAnsi="宋体" w:eastAsia="宋体" w:cs="宋体"/>
          <w:bCs/>
          <w:color w:val="auto"/>
          <w:sz w:val="24"/>
          <w:szCs w:val="24"/>
          <w:highlight w:val="none"/>
        </w:rPr>
        <w:t xml:space="preserve">了解有关保密法规制度，知悉应当承担的保密义务和法律责任，在此承诺：</w:t>
      </w:r>
      <w:r/>
    </w:p>
    <w:p>
      <w:pPr>
        <w:pStyle w:val="82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一、认真遵守国家保密法律、法规和规章制度，履行保密义务。</w:t>
      </w:r>
      <w:r/>
    </w:p>
    <w:p>
      <w:pPr>
        <w:pStyle w:val="82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二、要严守秘密，不该说的绝对不说，不该问的绝对不问，不该看的绝对不看，不该记录的绝对不记录。</w:t>
      </w:r>
      <w:r/>
    </w:p>
    <w:p>
      <w:pPr>
        <w:pStyle w:val="82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三、不提供虚假个人信息，自愿接受保密审查。</w:t>
      </w:r>
      <w:r/>
    </w:p>
    <w:p>
      <w:pPr>
        <w:pStyle w:val="82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四、不违规记录、存储、复制各类的秘密信息，不违规留存秘密载体。</w:t>
      </w:r>
      <w:r/>
    </w:p>
    <w:p>
      <w:pPr>
        <w:pStyle w:val="82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五、不准在工作场所进行拍照、摄像。</w:t>
      </w:r>
      <w:r/>
    </w:p>
    <w:p>
      <w:pPr>
        <w:pStyle w:val="82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六、所有文件按规定统一收发、统一销毁。</w:t>
      </w:r>
      <w:r/>
    </w:p>
    <w:p>
      <w:pPr>
        <w:pStyle w:val="82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七、员工离岗时，自愿接受脱密期管理。</w:t>
      </w:r>
      <w:r/>
    </w:p>
    <w:p>
      <w:pPr>
        <w:pStyle w:val="825"/>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jc w:val="center"/>
        <w:spacing w:line="520" w:lineRule="exact"/>
        <w:rPr>
          <w:rFonts w:hint="eastAsia" w:ascii="仿宋_GB2312" w:hAnsi="仿宋_GB2312" w:eastAsia="仿宋_GB2312" w:cs="仿宋_GB2312"/>
          <w:b/>
          <w:bCs/>
          <w:color w:val="auto"/>
          <w:sz w:val="28"/>
          <w:szCs w:val="28"/>
          <w:highlight w:val="none"/>
          <w:u w:val="single"/>
        </w:rPr>
      </w:pPr>
      <w:r>
        <w:rPr>
          <w:rFonts w:hint="eastAsia" w:ascii="黑体" w:hAnsi="Calibri" w:eastAsia="黑体" w:cs="Times New Roman"/>
          <w:b/>
          <w:bCs/>
          <w:sz w:val="32"/>
          <w:szCs w:val="32"/>
          <w:highlight w:val="none"/>
          <w:lang w:val="en-US" w:eastAsia="zh-CN"/>
        </w:rPr>
        <w:t xml:space="preserve">十七、服务承诺书</w:t>
      </w:r>
      <w:r/>
    </w:p>
    <w:p>
      <w:pPr>
        <w:jc w:val="left"/>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（供应商单位全称）</w:t>
      </w:r>
      <w:r>
        <w:rPr>
          <w:rFonts w:hint="eastAsia" w:ascii="宋体" w:hAnsi="宋体" w:eastAsia="宋体" w:cs="宋体"/>
          <w:b/>
          <w:bCs/>
          <w:color w:val="auto"/>
          <w:sz w:val="24"/>
          <w:szCs w:val="24"/>
          <w:highlight w:val="none"/>
        </w:rPr>
        <w:t xml:space="preserve">就本项目服务承诺如下：</w:t>
      </w:r>
      <w:r/>
    </w:p>
    <w:p>
      <w:pPr>
        <w:ind w:firstLine="56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司机住宿费不超过《盐城市大丰区党政机关租用社会车辆管理办法》规定标准</w:t>
      </w:r>
      <w:r>
        <w:rPr>
          <w:rFonts w:hint="eastAsia" w:ascii="宋体" w:hAnsi="宋体" w:eastAsia="宋体" w:cs="宋体"/>
          <w:color w:val="auto"/>
          <w:sz w:val="24"/>
          <w:szCs w:val="24"/>
          <w:highlight w:val="none"/>
        </w:rPr>
        <w:t xml:space="preserve">，如有超出，用车方有权按单位标准支付。</w:t>
      </w:r>
      <w:r/>
    </w:p>
    <w:p>
      <w:pPr>
        <w:ind w:firstLine="56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2、严格遵守国家法律法规，认真执行相关管理规定，坚持合法经营，按章办事，诚实守信，自觉维护贵单位及用车方合法权益。</w:t>
      </w:r>
      <w:r/>
    </w:p>
    <w:p>
      <w:pPr>
        <w:ind w:firstLine="56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3、严格履行服务承诺，根据征集文件、</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文件和本项目</w:t>
      </w:r>
      <w:r>
        <w:rPr>
          <w:rFonts w:hint="eastAsia" w:ascii="宋体" w:hAnsi="宋体" w:eastAsia="宋体" w:cs="宋体"/>
          <w:color w:val="auto"/>
          <w:sz w:val="24"/>
          <w:szCs w:val="24"/>
          <w:highlight w:val="none"/>
          <w:lang w:eastAsia="zh-CN"/>
        </w:rPr>
        <w:t xml:space="preserve">框架协议</w:t>
      </w:r>
      <w:r>
        <w:rPr>
          <w:rFonts w:hint="eastAsia" w:ascii="宋体" w:hAnsi="宋体" w:eastAsia="宋体" w:cs="宋体"/>
          <w:color w:val="auto"/>
          <w:sz w:val="24"/>
          <w:szCs w:val="24"/>
          <w:highlight w:val="none"/>
        </w:rPr>
        <w:t xml:space="preserve">，指派专人负责业务联络并确保联络人24小时畅通。履约期间我方保证不发生任何损害国家、贵单位和用车方信誉、利益的行为，我方自愿接受因违反合同约定的处罚，我方自愿承担因违约造成的损失。</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4、根据</w:t>
      </w:r>
      <w:r>
        <w:rPr>
          <w:rFonts w:hint="eastAsia" w:ascii="宋体" w:hAnsi="宋体" w:eastAsia="宋体" w:cs="宋体"/>
          <w:color w:val="auto"/>
          <w:sz w:val="24"/>
          <w:szCs w:val="24"/>
          <w:highlight w:val="none"/>
        </w:rPr>
        <w:t xml:space="preserve">征集文件、响应文件和本项目</w:t>
      </w:r>
      <w:r>
        <w:rPr>
          <w:rFonts w:hint="eastAsia" w:ascii="宋体" w:hAnsi="宋体" w:eastAsia="宋体" w:cs="宋体"/>
          <w:color w:val="auto"/>
          <w:sz w:val="24"/>
          <w:szCs w:val="24"/>
          <w:highlight w:val="none"/>
          <w:lang w:eastAsia="zh-CN"/>
        </w:rPr>
        <w:t xml:space="preserve">框架协议</w:t>
      </w:r>
      <w:r>
        <w:rPr>
          <w:rFonts w:hint="eastAsia" w:ascii="宋体" w:hAnsi="宋体" w:eastAsia="宋体" w:cs="宋体"/>
          <w:bCs/>
          <w:color w:val="auto"/>
          <w:sz w:val="24"/>
          <w:szCs w:val="24"/>
          <w:highlight w:val="none"/>
        </w:rPr>
        <w:t xml:space="preserve">要求选配符合条件的驾驶员。在服务期内，定期对租赁车辆驾驶员进行安全、保密教育，杜绝发生租赁车辆驾驶员疲劳驾驶等违反交通法规和行车安全的行为。加强业务培训，确保租赁车辆驾驶员熟练掌握公务用车管理平台的操作使用。驾驶员和租赁车辆严格按要求一一对应，人车匹配。按照要求及时更新调整报备最新的驾驶员花名册。</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确保服务品质。提供全天候24小时服务，临时租车市内30分钟以内到达租车单位。无条件配合做好重大活动和应急公务的服务保障任务。服务期间，对用户信息、资料、谈话内容等严格保密，承担一切因泄密造成的后果和惩处。主动承担服务人员因服务态度恶劣或发生交通安全事故造成用车方损失的一切赔偿和处罚。自愿接受满意度不达标的相关处罚。</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自觉接受监督检查。积极配合贵单位或监管部门组织的考核、监督检查和管理。对于检查中发现的或用车方投诉查实的问题，第一时间落实整改，承担一切服务纠纷和因服务不当造成的赔偿责任，整改结果或处理意见及时报监管部门。整改不到位期间，自愿接受租赁车辆下线整改或中止合同、暂停服务，经核实问题整改到位后按要求恢复上线服务。</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严格违约处理。与贵单位及用车方保持正常的业务交往，按照有关法律法规和廉政纪律的各项规定和要求开展业务活动。如存在以下违约违规违纪违法等行为，经调查属实，自愿取消车辆定点租赁资格并终止合同，承担相应责任。违约违规违纪违法行为包括但不限于：</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（1）向贵单位和用车方相关人员提供任何形式的回扣（包括宴请、旅游、礼金、烟酒等礼品）；</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（2）发生损害用车方形象、声誉、利益的或因违规行为导致投诉、举报、媒体曝光的行为； </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（3）租赁车辆在保障出行服务期间，存在不遵守法律法规或政府部门相关规定的行为；</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（4）不服从不配合相关部门（单位）监督检查及管理；瞒报谎报问题整改情况； </w:t>
      </w:r>
      <w:r/>
    </w:p>
    <w:p>
      <w:pPr>
        <w:ind w:firstLine="560"/>
        <w:spacing w:line="520" w:lineRule="exact"/>
        <w:rPr>
          <w:rFonts w:ascii="仿宋_GB2312" w:hAnsi="仿宋_GB2312" w:eastAsia="仿宋_GB2312" w:cs="仿宋_GB2312"/>
          <w:bCs/>
          <w:color w:val="auto"/>
          <w:sz w:val="28"/>
          <w:szCs w:val="28"/>
          <w:highlight w:val="none"/>
        </w:rPr>
      </w:pPr>
      <w:r>
        <w:rPr>
          <w:rFonts w:hint="eastAsia" w:ascii="宋体" w:hAnsi="宋体" w:eastAsia="宋体" w:cs="宋体"/>
          <w:bCs/>
          <w:color w:val="auto"/>
          <w:sz w:val="24"/>
          <w:szCs w:val="24"/>
          <w:highlight w:val="none"/>
        </w:rPr>
        <w:t xml:space="preserve">（5）违反承诺书的其他规定事项。</w:t>
      </w:r>
      <w:r/>
    </w:p>
    <w:p>
      <w:pPr>
        <w:pStyle w:val="782"/>
        <w:spacing w:before="0" w:after="0" w:line="520" w:lineRule="exact"/>
        <w:rPr>
          <w:rFonts w:ascii="仿宋_GB2312" w:hAnsi="仿宋_GB2312" w:eastAsia="仿宋_GB2312" w:cs="仿宋_GB2312"/>
          <w:bCs/>
          <w:color w:val="auto"/>
          <w:sz w:val="28"/>
          <w:szCs w:val="28"/>
          <w:highlight w:val="none"/>
        </w:rPr>
      </w:pPr>
      <w:r>
        <w:rPr>
          <w:rFonts w:ascii="仿宋_GB2312" w:hAnsi="仿宋_GB2312" w:eastAsia="仿宋_GB2312" w:cs="仿宋_GB2312"/>
          <w:bCs/>
          <w:color w:val="auto"/>
          <w:sz w:val="28"/>
          <w:szCs w:val="28"/>
          <w:highlight w:val="none"/>
        </w:rPr>
      </w:r>
      <w:r/>
    </w:p>
    <w:p>
      <w:pPr>
        <w:spacing w:line="520" w:lineRule="exact"/>
        <w:rPr>
          <w:rFonts w:ascii="仿宋_GB2312" w:hAnsi="仿宋_GB2312" w:eastAsia="仿宋_GB2312" w:cs="仿宋_GB2312"/>
          <w:bCs/>
          <w:color w:val="auto"/>
          <w:sz w:val="28"/>
          <w:szCs w:val="28"/>
          <w:highlight w:val="none"/>
        </w:rPr>
      </w:pPr>
      <w:r>
        <w:rPr>
          <w:rFonts w:ascii="仿宋_GB2312" w:hAnsi="仿宋_GB2312" w:eastAsia="仿宋_GB2312" w:cs="仿宋_GB2312"/>
          <w:bCs/>
          <w:color w:val="auto"/>
          <w:sz w:val="28"/>
          <w:szCs w:val="28"/>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240"/>
        <w:jc w:val="center"/>
        <w:spacing w:beforeAutospacing="0" w:afterAutospacing="0" w:line="0" w:lineRule="atLeast"/>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r>
      <w:r/>
    </w:p>
    <w:p>
      <w:pPr>
        <w:pStyle w:val="804"/>
        <w:ind w:firstLine="240"/>
        <w:jc w:val="center"/>
        <w:spacing w:beforeAutospacing="0" w:afterAutospacing="0" w:line="0" w:lineRule="atLeast"/>
        <w:rPr>
          <w:rFonts w:hint="eastAsia" w:ascii="宋体" w:hAnsi="宋体" w:eastAsia="宋体" w:cs="Times New Roman"/>
          <w:b/>
          <w:bCs/>
          <w:color w:val="000000" w:themeColor="text1"/>
          <w:sz w:val="32"/>
          <w:szCs w:val="32"/>
          <w:highlight w:val="none"/>
          <w:lang w:val="en-US" w:eastAsia="zh-CN" w:bidi="ar-SA"/>
          <w14:textFill>
            <w14:solidFill>
              <w14:schemeClr w14:val="tx1"/>
            </w14:solidFill>
          </w14:textFill>
        </w:rPr>
      </w:pPr>
      <w:r>
        <w:rPr>
          <w:rFonts w:hint="eastAsia" w:ascii="黑体" w:hAnsi="Calibri" w:eastAsia="黑体" w:cs="Times New Roman"/>
          <w:b/>
          <w:bCs/>
          <w:sz w:val="32"/>
          <w:szCs w:val="32"/>
          <w:highlight w:val="none"/>
          <w:lang w:val="en-US" w:eastAsia="zh-CN" w:bidi="ar-SA"/>
        </w:rPr>
        <w:t xml:space="preserve">十八、中小企业声明函</w:t>
      </w:r>
      <w:r/>
    </w:p>
    <w:p>
      <w:pPr>
        <w:ind w:firstLine="480"/>
        <w:jc w:val="both"/>
        <w:spacing w:line="500" w:lineRule="exact"/>
        <w:rPr>
          <w:rFonts w:hint="eastAsia"/>
          <w:color w:val="auto"/>
          <w:sz w:val="24"/>
          <w:highlight w:val="none"/>
        </w:rPr>
      </w:pPr>
      <w:r>
        <w:rPr>
          <w:rFonts w:hint="eastAsia"/>
          <w:color w:val="auto"/>
          <w:sz w:val="24"/>
          <w:highlight w:val="none"/>
        </w:rPr>
        <w:t xml:space="preserve">本公司郑重声明，根据《政府采购促进中小企业发展管理办法》（财库﹝2020﹞46 号）的规定，本公司参加</w:t>
      </w:r>
      <w:r>
        <w:rPr>
          <w:rFonts w:hint="eastAsia"/>
          <w:color w:val="auto"/>
          <w:sz w:val="24"/>
          <w:highlight w:val="none"/>
          <w:lang w:eastAsia="zh-CN"/>
        </w:rPr>
        <w:t xml:space="preserve">盐城市大丰区机关事务服务中心</w:t>
      </w:r>
      <w:r>
        <w:rPr>
          <w:rFonts w:hint="eastAsia"/>
          <w:color w:val="auto"/>
          <w:sz w:val="24"/>
          <w:highlight w:val="none"/>
        </w:rPr>
        <w:t xml:space="preserve">组织的采购编号为</w:t>
      </w:r>
      <w:r>
        <w:rPr>
          <w:rFonts w:hint="eastAsia"/>
          <w:color w:val="auto"/>
          <w:sz w:val="24"/>
          <w:highlight w:val="none"/>
          <w:u w:val="single"/>
          <w:lang w:val="en-US" w:eastAsia="zh-CN"/>
        </w:rPr>
        <w:t xml:space="preserve">   项目编号    </w:t>
      </w:r>
      <w:r>
        <w:rPr>
          <w:rFonts w:hint="eastAsia"/>
          <w:color w:val="auto"/>
          <w:sz w:val="24"/>
          <w:highlight w:val="none"/>
          <w:lang w:val="en-US" w:eastAsia="zh-CN"/>
        </w:rPr>
        <w:t xml:space="preserve">的</w:t>
      </w:r>
      <w:r>
        <w:rPr>
          <w:rFonts w:hint="eastAsia"/>
          <w:i w:val="0"/>
          <w:iCs w:val="0"/>
          <w:color w:val="auto"/>
          <w:sz w:val="24"/>
          <w:highlight w:val="none"/>
          <w:u w:val="single"/>
          <w:lang w:eastAsia="zh-CN"/>
        </w:rPr>
        <w:t xml:space="preserve">2026-2027年度大丰区党政机关、事业单位和团体组织公务用车社会化租赁服务</w:t>
      </w:r>
      <w:r>
        <w:rPr>
          <w:rFonts w:hint="eastAsia"/>
          <w:color w:val="auto"/>
          <w:sz w:val="24"/>
          <w:highlight w:val="none"/>
        </w:rPr>
        <w:t xml:space="preserve">的封闭式框架协议采购活动，服务全部由符合政策要求的中小企业承接。相关企业（含联合体中的中小企业、签订分包意向协议的中小企业）的具体情况如下：</w:t>
      </w:r>
      <w:r/>
    </w:p>
    <w:p>
      <w:pPr>
        <w:numPr>
          <w:ilvl w:val="0"/>
          <w:numId w:val="6"/>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6"/>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04"/>
        <w:ind w:right="720"/>
        <w:jc w:val="both"/>
        <w:spacing w:beforeAutospacing="0" w:afterAutospacing="0" w:line="0" w:lineRule="atLeast"/>
        <w:rPr>
          <w:color w:val="auto"/>
          <w:highlight w:val="none"/>
        </w:rPr>
      </w:pPr>
      <w:r>
        <w:rPr>
          <w:color w:val="auto"/>
          <w:highlight w:val="none"/>
        </w:rPr>
        <w:t xml:space="preserve"> </w:t>
      </w:r>
      <w:r/>
    </w:p>
    <w:p>
      <w:pPr>
        <w:pStyle w:val="804"/>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04"/>
        <w:ind w:right="480" w:firstLine="6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4"/>
        <w:ind w:right="480" w:firstLine="624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04"/>
        <w:ind w:firstLine="480"/>
        <w:keepLines w:val="0"/>
        <w:keepNext w:val="0"/>
        <w:pageBreakBefore w:val="0"/>
        <w:spacing w:beforeAutospacing="0" w:afterAutospacing="0" w:line="420" w:lineRule="exact"/>
        <w:widowControl w:val="off"/>
        <w:rPr>
          <w:rFonts w:hint="eastAsia" w:eastAsia="宋体" w:cs="宋体"/>
          <w:color w:val="000000"/>
          <w:highlight w:val="none"/>
        </w:rPr>
      </w:pPr>
      <w:r>
        <w:rPr>
          <w:rFonts w:hint="eastAsia" w:eastAsia="宋体" w:cs="宋体"/>
          <w:color w:val="000000"/>
          <w:highlight w:val="none"/>
        </w:rPr>
        <w:t xml:space="preserve"> </w:t>
      </w:r>
      <w:r/>
    </w:p>
    <w:p>
      <w:pPr>
        <w:pStyle w:val="804"/>
        <w:ind w:firstLine="480"/>
        <w:keepLines w:val="0"/>
        <w:keepNext w:val="0"/>
        <w:pageBreakBefore w:val="0"/>
        <w:spacing w:beforeAutospacing="0" w:afterAutospacing="0" w:line="420" w:lineRule="exact"/>
        <w:widowControl w:val="off"/>
        <w:rPr>
          <w:rFonts w:hint="eastAsia" w:eastAsia="宋体" w:cs="宋体"/>
          <w:color w:val="000000"/>
          <w:highlight w:val="none"/>
        </w:rPr>
      </w:pPr>
      <w:r>
        <w:rPr>
          <w:rFonts w:hint="eastAsia" w:eastAsia="宋体" w:cs="宋体"/>
          <w:color w:val="000000"/>
          <w:highlight w:val="none"/>
        </w:rPr>
        <w:t xml:space="preserve">备注1：从业人员、营业收入、资产总额填报上一年度数据，无上一年度数据的新成立企业可不填报。</w:t>
      </w:r>
      <w:r/>
    </w:p>
    <w:p>
      <w:pPr>
        <w:pStyle w:val="804"/>
        <w:ind w:firstLine="480"/>
        <w:keepLines w:val="0"/>
        <w:keepNext w:val="0"/>
        <w:pageBreakBefore w:val="0"/>
        <w:spacing w:beforeAutospacing="0" w:afterAutospacing="0" w:line="420" w:lineRule="exact"/>
        <w:widowControl w:val="off"/>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eastAsia="宋体" w:cs="宋体"/>
          <w:color w:val="000000"/>
          <w:highlight w:val="none"/>
        </w:rPr>
        <w:t xml:space="preserve">备注2：供应商如不提供此声明函，价格将不做相应扣除</w:t>
      </w:r>
      <w:r>
        <w:rPr>
          <w:rFonts w:hint="eastAsia" w:ascii="宋体" w:hAnsi="宋体" w:eastAsia="宋体" w:cs="宋体"/>
          <w:color w:val="auto"/>
          <w:highlight w:val="none"/>
        </w:rPr>
        <w:t xml:space="preserve">。</w:t>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pStyle w:val="804"/>
        <w:ind w:firstLine="240"/>
        <w:jc w:val="center"/>
        <w:spacing w:beforeAutospacing="0" w:afterAutospacing="0" w:line="0" w:lineRule="atLeast"/>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t xml:space="preserve">十九、残疾人福利性单位声明函（如有）</w:t>
      </w:r>
      <w:r/>
    </w:p>
    <w:p>
      <w:pPr>
        <w:pStyle w:val="804"/>
        <w:ind w:firstLine="480"/>
        <w:keepLines w:val="0"/>
        <w:keepNext w:val="0"/>
        <w:pageBreakBefore w:val="0"/>
        <w:spacing w:beforeAutospacing="0" w:afterAutospacing="0" w:line="420" w:lineRule="exact"/>
        <w:widowControl w:val="off"/>
        <w:rPr>
          <w:rFonts w:hint="eastAsia" w:eastAsia="宋体" w:cs="宋体"/>
          <w:color w:val="000000"/>
          <w:highlight w:val="none"/>
        </w:rPr>
      </w:pPr>
      <w:r>
        <w:rPr>
          <w:rFonts w:hint="eastAsia"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auto"/>
          <w:sz w:val="24"/>
          <w:highlight w:val="none"/>
          <w:lang w:eastAsia="zh-CN"/>
        </w:rPr>
        <w:t xml:space="preserve">盐城市大丰区机关事务服务中心</w:t>
      </w:r>
      <w:r>
        <w:rPr>
          <w:rFonts w:hint="eastAsia" w:eastAsia="宋体" w:cs="宋体"/>
          <w:color w:val="000000"/>
          <w:highlight w:val="none"/>
        </w:rPr>
        <w:t xml:space="preserve">的采购文件编号为______的______项目封闭式框架协议采购活动由本单位提供服务。</w:t>
      </w:r>
      <w:r/>
    </w:p>
    <w:p>
      <w:pPr>
        <w:pStyle w:val="804"/>
        <w:ind w:firstLine="480"/>
        <w:keepLines w:val="0"/>
        <w:keepNext w:val="0"/>
        <w:pageBreakBefore w:val="0"/>
        <w:spacing w:beforeAutospacing="0" w:afterAutospacing="0" w:line="420" w:lineRule="exact"/>
        <w:widowControl w:val="off"/>
        <w:rPr>
          <w:rFonts w:hint="eastAsia" w:eastAsia="宋体" w:cs="宋体"/>
          <w:color w:val="000000"/>
          <w:highlight w:val="none"/>
        </w:rPr>
      </w:pPr>
      <w:r>
        <w:rPr>
          <w:rFonts w:hint="eastAsia" w:eastAsia="宋体" w:cs="宋体"/>
          <w:color w:val="000000"/>
          <w:highlight w:val="none"/>
        </w:rPr>
        <w:t xml:space="preserve">本单位对上述声明的真实性负责。如有虚假，将依法承担相应责任。</w:t>
      </w:r>
      <w:r/>
    </w:p>
    <w:p>
      <w:pPr>
        <w:pStyle w:val="804"/>
        <w:ind w:firstLine="480"/>
        <w:spacing w:beforeAutospacing="0" w:afterAutospacing="0" w:line="0" w:lineRule="atLeast"/>
        <w:rPr>
          <w:rFonts w:hint="eastAsia"/>
          <w:highlight w:val="none"/>
        </w:rPr>
      </w:pPr>
      <w:r>
        <w:rPr>
          <w:highlight w:val="none"/>
        </w:rPr>
        <w:t xml:space="preserve"> </w:t>
      </w:r>
      <w:r/>
    </w:p>
    <w:p>
      <w:pPr>
        <w:pStyle w:val="804"/>
        <w:ind w:firstLine="480"/>
        <w:keepLines w:val="0"/>
        <w:keepNext w:val="0"/>
        <w:pageBreakBefore w:val="0"/>
        <w:spacing w:beforeAutospacing="0" w:afterAutospacing="0" w:line="420" w:lineRule="exact"/>
        <w:widowControl w:val="off"/>
        <w:rPr>
          <w:rFonts w:hint="eastAsia" w:eastAsia="宋体" w:cs="宋体"/>
          <w:color w:val="000000"/>
          <w:highlight w:val="none"/>
        </w:rPr>
      </w:pPr>
      <w:r>
        <w:rPr>
          <w:rFonts w:hint="eastAsia" w:eastAsia="宋体" w:cs="宋体"/>
          <w:color w:val="000000"/>
          <w:highlight w:val="none"/>
        </w:rPr>
        <w:t xml:space="preserve">备注：1、供应商如不提供此声明函，价格将不做相应扣除。</w:t>
      </w:r>
      <w:r/>
    </w:p>
    <w:p>
      <w:pPr>
        <w:pStyle w:val="804"/>
        <w:ind w:firstLine="480"/>
        <w:keepLines w:val="0"/>
        <w:keepNext w:val="0"/>
        <w:pageBreakBefore w:val="0"/>
        <w:spacing w:beforeAutospacing="0" w:afterAutospacing="0" w:line="420" w:lineRule="exact"/>
        <w:widowControl w:val="off"/>
        <w:rPr>
          <w:rFonts w:hint="eastAsia" w:eastAsia="宋体" w:cs="宋体"/>
          <w:color w:val="000000"/>
          <w:highlight w:val="none"/>
          <w:lang w:eastAsia="zh-CN"/>
        </w:rPr>
      </w:pPr>
      <w:r>
        <w:rPr>
          <w:rFonts w:hint="eastAsia" w:eastAsia="宋体" w:cs="宋体"/>
          <w:color w:val="000000"/>
          <w:highlight w:val="none"/>
        </w:rPr>
        <w:t xml:space="preserve">2、入围供应商为残疾人福利单位的，此声明函将随中标结果同时公告，接受社会监督</w:t>
      </w:r>
      <w:r>
        <w:rPr>
          <w:rFonts w:hint="eastAsia" w:cs="宋体"/>
          <w:color w:val="000000"/>
          <w:highlight w:val="none"/>
          <w:lang w:eastAsia="zh-CN"/>
        </w:rPr>
        <w:t xml:space="preserve">。</w:t>
      </w:r>
      <w:r/>
    </w:p>
    <w:p>
      <w:pPr>
        <w:pStyle w:val="804"/>
        <w:ind w:firstLine="480"/>
        <w:keepLines w:val="0"/>
        <w:keepNext w:val="0"/>
        <w:pageBreakBefore w:val="0"/>
        <w:spacing w:beforeAutospacing="0" w:afterAutospacing="0" w:line="420" w:lineRule="exact"/>
        <w:widowControl w:val="off"/>
        <w:rPr>
          <w:rFonts w:hint="eastAsia" w:eastAsia="宋体" w:cs="宋体"/>
          <w:color w:val="000000"/>
          <w:highlight w:val="none"/>
        </w:rPr>
      </w:pPr>
      <w:r>
        <w:rPr>
          <w:rFonts w:hint="eastAsia" w:eastAsia="宋体" w:cs="宋体"/>
          <w:color w:val="000000"/>
          <w:highlight w:val="none"/>
        </w:rPr>
        <w:t xml:space="preserve"> </w:t>
      </w:r>
      <w:r/>
    </w:p>
    <w:p>
      <w:pPr>
        <w:pStyle w:val="804"/>
        <w:ind w:firstLine="480"/>
        <w:keepLines w:val="0"/>
        <w:keepNext w:val="0"/>
        <w:pageBreakBefore w:val="0"/>
        <w:spacing w:beforeAutospacing="0" w:afterAutospacing="0" w:line="420" w:lineRule="exact"/>
        <w:widowControl w:val="off"/>
        <w:rPr>
          <w:rFonts w:hint="eastAsia" w:eastAsia="宋体" w:cs="宋体"/>
          <w:color w:val="000000"/>
          <w:highlight w:val="none"/>
        </w:rPr>
      </w:pPr>
      <w:r>
        <w:rPr>
          <w:rFonts w:hint="eastAsia" w:eastAsia="宋体" w:cs="宋体"/>
          <w:color w:val="000000"/>
          <w:highlight w:val="none"/>
        </w:rPr>
        <w:t xml:space="preserve">                </w:t>
      </w:r>
      <w:r/>
    </w:p>
    <w:p>
      <w:pPr>
        <w:pStyle w:val="804"/>
        <w:ind w:firstLine="4320"/>
        <w:keepLines w:val="0"/>
        <w:keepNext w:val="0"/>
        <w:pageBreakBefore w:val="0"/>
        <w:spacing w:beforeAutospacing="0" w:afterAutospacing="0" w:line="420" w:lineRule="exact"/>
        <w:widowControl w:val="off"/>
        <w:rPr>
          <w:rFonts w:hint="eastAsia" w:eastAsia="宋体" w:cs="宋体"/>
          <w:color w:val="000000"/>
          <w:highlight w:val="none"/>
        </w:rPr>
      </w:pPr>
      <w:r>
        <w:rPr>
          <w:rFonts w:hint="eastAsia" w:eastAsia="宋体" w:cs="宋体"/>
          <w:color w:val="000000"/>
          <w:highlight w:val="none"/>
        </w:rPr>
        <w:t xml:space="preserve"> 供应商全称（加盖CA电子公章）：</w:t>
      </w:r>
      <w:r/>
    </w:p>
    <w:p>
      <w:pPr>
        <w:pStyle w:val="804"/>
        <w:ind w:firstLine="480"/>
        <w:keepLines w:val="0"/>
        <w:keepNext w:val="0"/>
        <w:pageBreakBefore w:val="0"/>
        <w:spacing w:beforeAutospacing="0" w:afterAutospacing="0" w:line="420" w:lineRule="exact"/>
        <w:widowControl w:val="off"/>
        <w:rPr>
          <w:rFonts w:hint="eastAsia" w:eastAsia="宋体" w:cs="宋体"/>
          <w:color w:val="000000"/>
          <w:highlight w:val="none"/>
        </w:rPr>
      </w:pPr>
      <w:r>
        <w:rPr>
          <w:rFonts w:hint="eastAsia" w:eastAsia="宋体" w:cs="宋体"/>
          <w:color w:val="000000"/>
          <w:highlight w:val="none"/>
        </w:rPr>
        <w:t xml:space="preserve">        </w:t>
      </w:r>
      <w:r>
        <w:rPr>
          <w:rFonts w:hint="eastAsia" w:cs="宋体"/>
          <w:color w:val="000000"/>
          <w:highlight w:val="none"/>
          <w:lang w:val="en-US" w:eastAsia="zh-CN"/>
        </w:rPr>
        <w:t xml:space="preserve">                                                    </w:t>
      </w:r>
      <w:r>
        <w:rPr>
          <w:rFonts w:hint="eastAsia" w:eastAsia="宋体" w:cs="宋体"/>
          <w:color w:val="000000"/>
          <w:highlight w:val="none"/>
        </w:rPr>
        <w:t xml:space="preserve">日  期：</w:t>
      </w:r>
      <w:r/>
    </w:p>
    <w:p>
      <w:pPr>
        <w:pStyle w:val="774"/>
        <w:jc w:val="center"/>
        <w:shd w:val="clear" w:color="auto" w:fill="auto"/>
        <w:rPr>
          <w:rFonts w:hint="eastAsia" w:ascii="宋体" w:hAnsi="宋体"/>
          <w:color w:val="000000"/>
          <w:highlight w:val="none"/>
        </w:rPr>
      </w:pPr>
      <w:r>
        <w:rPr>
          <w:rFonts w:hint="eastAsia" w:ascii="宋体" w:hAnsi="宋体"/>
          <w:color w:val="000000"/>
          <w:highlight w:val="none"/>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bookmarkEnd w:id="190"/>
      <w:r/>
      <w:r/>
    </w:p>
    <w:p>
      <w:pPr>
        <w:spacing w:line="460" w:lineRule="exact"/>
        <w:rPr>
          <w:rFonts w:hint="eastAsia" w:ascii="宋体" w:hAnsi="宋体"/>
          <w:color w:val="000000" w:themeColor="text1"/>
          <w:sz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olor w:val="000000" w:themeColor="text1"/>
          <w:sz w:val="24"/>
          <w:highlight w:val="none"/>
          <w14:textFill>
            <w14:solidFill>
              <w14:schemeClr w14:val="tx1"/>
            </w14:solidFill>
          </w14:textFill>
        </w:rPr>
      </w:r>
      <w:r/>
    </w:p>
    <w:p>
      <w:pPr>
        <w:jc w:val="center"/>
        <w:spacing w:line="499" w:lineRule="atLeast"/>
        <w:widowControl/>
        <w:rPr>
          <w:rFonts w:hint="eastAsia" w:ascii="宋体" w:hAnsi="宋体" w:eastAsia="宋体" w:cs="Times New Roman"/>
          <w:b/>
          <w:bCs/>
          <w:color w:val="000000" w:themeColor="text1"/>
          <w:sz w:val="32"/>
          <w:szCs w:val="32"/>
          <w:highlight w:val="none"/>
          <w:lang w:val="en-US" w:eastAsia="zh-CN" w:bidi="ar-SA"/>
          <w14:textFill>
            <w14:solidFill>
              <w14:schemeClr w14:val="tx1"/>
            </w14:solidFill>
          </w14:textFill>
        </w:rPr>
      </w:pPr>
      <w:r>
        <w:rPr>
          <w:rFonts w:hint="eastAsia" w:ascii="黑体" w:hAnsi="Calibri" w:eastAsia="黑体" w:cs="Times New Roman"/>
          <w:b/>
          <w:bCs/>
          <w:sz w:val="32"/>
          <w:szCs w:val="32"/>
          <w:highlight w:val="none"/>
          <w:lang w:val="en-US" w:eastAsia="zh-CN" w:bidi="ar-SA"/>
        </w:rPr>
        <w:t xml:space="preserve">二十、盐城市政府采购事前信用承诺书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p>
    <w:p>
      <w:pPr>
        <w:ind w:firstLine="600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法定代表人签名：</w:t>
      </w:r>
      <w:r/>
    </w:p>
    <w:p>
      <w:pPr>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firstLine="76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189"/>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黑体" w:hAnsi="Calibri" w:eastAsia="黑体" w:cs="Times New Roman"/>
          <w:b/>
          <w:bCs/>
          <w:sz w:val="32"/>
          <w:szCs w:val="32"/>
          <w:highlight w:val="none"/>
          <w:lang w:val="en-US" w:eastAsia="zh-CN" w:bidi="ar-SA"/>
        </w:rPr>
        <w:t xml:space="preserve">二十一、与评审有关的其他材料（如有）</w:t>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t xml:space="preserve">质疑函范本</w:t>
      </w:r>
      <w:r/>
    </w:p>
    <w:p>
      <w:pPr>
        <w:spacing w:before="290"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一、质疑供应商基本信息</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质疑供应商：</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ascii="宋体" w:hAnsi="宋体" w:cs="仿宋"/>
          <w:color w:val="000000" w:themeColor="text1"/>
          <w:sz w:val="24"/>
          <w:szCs w:val="24"/>
          <w:highlight w:val="none"/>
          <w14:textFill>
            <w14:solidFill>
              <w14:schemeClr w14:val="tx1"/>
            </w14:solidFill>
          </w14:textFill>
        </w:rPr>
        <w:t xml:space="preserve"> </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二、质疑项目基本情况</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包号：</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采购文件获取日期：</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三、质疑事项具体内容</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签字(签章)：                   公章：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p>
    <w:p>
      <w:pPr>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质疑函制作说明：</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783"/>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83"/>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783"/>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sectPr>
      <w:footerReference w:type="default" r:id="rId13"/>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Adobe 仿宋 Std R">
    <w:panose1 w:val="020B0503020202020204"/>
  </w:font>
  <w:font w:name="Symbol">
    <w:panose1 w:val="05050102010706020507"/>
  </w:font>
  <w:font w:name="新宋体">
    <w:panose1 w:val="02010609030101010101"/>
  </w:font>
  <w:font w:name="Calibri">
    <w:panose1 w:val="020F050202020403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ind w:left="0" w:firstLine="0"/>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default="1">
    <w:name w:val="Normal"/>
    <w:next w:val="78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2">
    <w:name w:val="Heading 1"/>
    <w:basedOn w:val="771"/>
    <w:next w:val="771"/>
    <w:uiPriority w:val="0"/>
    <w:qFormat/>
    <w:pPr>
      <w:jc w:val="center"/>
      <w:keepNext/>
      <w:outlineLvl w:val="0"/>
    </w:pPr>
    <w:rPr>
      <w:rFonts w:ascii="楷体_GB2312" w:eastAsia="楷体_GB2312"/>
      <w:sz w:val="28"/>
      <w:szCs w:val="28"/>
    </w:rPr>
  </w:style>
  <w:style w:type="paragraph" w:styleId="773">
    <w:name w:val="Heading 2"/>
    <w:basedOn w:val="771"/>
    <w:next w:val="78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74">
    <w:name w:val="Heading 3"/>
    <w:basedOn w:val="771"/>
    <w:next w:val="771"/>
    <w:uiPriority w:val="0"/>
    <w:qFormat/>
    <w:pPr>
      <w:keepLines/>
      <w:keepNext/>
      <w:spacing w:before="260" w:after="260" w:line="416" w:lineRule="auto"/>
      <w:outlineLvl w:val="2"/>
    </w:pPr>
    <w:rPr>
      <w:b/>
      <w:bCs/>
      <w:sz w:val="32"/>
      <w:szCs w:val="32"/>
    </w:rPr>
  </w:style>
  <w:style w:type="paragraph" w:styleId="775">
    <w:name w:val="Heading 5"/>
    <w:basedOn w:val="771"/>
    <w:next w:val="771"/>
    <w:link w:val="819"/>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1"/>
    <w:next w:val="771"/>
    <w:link w:val="820"/>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1"/>
    <w:next w:val="771"/>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1"/>
    <w:next w:val="771"/>
    <w:link w:val="822"/>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1"/>
    <w:next w:val="771"/>
    <w:link w:val="823"/>
    <w:uiPriority w:val="9"/>
    <w:unhideWhenUsed/>
    <w:qFormat/>
    <w:pPr>
      <w:keepLines/>
      <w:keepNext/>
      <w:spacing w:before="320" w:after="200"/>
      <w:outlineLvl w:val="8"/>
    </w:pPr>
    <w:rPr>
      <w:rFonts w:ascii="Arial" w:hAnsi="Arial" w:eastAsia="Arial" w:cs="Arial"/>
      <w:i/>
      <w:iCs/>
      <w:sz w:val="21"/>
      <w:szCs w:val="21"/>
    </w:rPr>
  </w:style>
  <w:style w:type="character" w:styleId="780" w:default="1">
    <w:name w:val="Default Paragraph Font"/>
    <w:uiPriority w:val="0"/>
    <w:semiHidden/>
    <w:qFormat/>
  </w:style>
  <w:style w:type="table" w:styleId="781" w:default="1">
    <w:name w:val="Normal Table"/>
    <w:uiPriority w:val="0"/>
    <w:semiHidden/>
    <w:qFormat/>
    <w:tblPr>
      <w:tblCellMar>
        <w:left w:w="108" w:type="dxa"/>
        <w:top w:w="0" w:type="dxa"/>
        <w:right w:w="108" w:type="dxa"/>
        <w:bottom w:w="0" w:type="dxa"/>
      </w:tblCellMar>
    </w:tblPr>
  </w:style>
  <w:style w:type="paragraph" w:styleId="782">
    <w:name w:val="toc 1"/>
    <w:basedOn w:val="771"/>
    <w:next w:val="771"/>
    <w:uiPriority w:val="39"/>
    <w:qFormat/>
    <w:pPr>
      <w:jc w:val="left"/>
      <w:spacing w:before="120" w:after="120" w:line="400" w:lineRule="exact"/>
      <w:tabs>
        <w:tab w:val="right" w:pos="8720" w:leader="dot"/>
      </w:tabs>
    </w:pPr>
    <w:rPr>
      <w:rFonts w:ascii="宋体" w:hAnsi="宋体"/>
      <w:caps/>
      <w:sz w:val="24"/>
      <w:szCs w:val="24"/>
    </w:rPr>
  </w:style>
  <w:style w:type="paragraph" w:styleId="783">
    <w:name w:val="Normal Indent"/>
    <w:basedOn w:val="771"/>
    <w:uiPriority w:val="0"/>
    <w:qFormat/>
    <w:pPr>
      <w:ind w:firstLine="420"/>
    </w:pPr>
  </w:style>
  <w:style w:type="paragraph" w:styleId="784">
    <w:name w:val="toc 7"/>
    <w:basedOn w:val="771"/>
    <w:next w:val="771"/>
    <w:uiPriority w:val="39"/>
    <w:unhideWhenUsed/>
    <w:qFormat/>
    <w:pPr>
      <w:ind w:left="1701" w:right="0" w:firstLine="0"/>
      <w:spacing w:after="57"/>
    </w:pPr>
  </w:style>
  <w:style w:type="paragraph" w:styleId="785">
    <w:name w:val="Caption"/>
    <w:basedOn w:val="771"/>
    <w:next w:val="77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86">
    <w:name w:val="annotation text"/>
    <w:basedOn w:val="771"/>
    <w:uiPriority w:val="0"/>
    <w:qFormat/>
    <w:pPr>
      <w:ind w:left="0" w:right="0"/>
      <w:jc w:val="left"/>
      <w:spacing w:before="0" w:beforeAutospacing="0" w:after="0" w:afterAutospacing="0"/>
    </w:pPr>
    <w:rPr>
      <w:rFonts w:hint="default" w:ascii="Times New Roman" w:hAnsi="Times New Roman" w:eastAsia="宋体" w:cs="Times New Roman"/>
      <w:lang w:val="en-US" w:eastAsia="zh-CN" w:bidi="ar"/>
    </w:rPr>
  </w:style>
  <w:style w:type="paragraph" w:styleId="787">
    <w:name w:val="Body Text"/>
    <w:basedOn w:val="771"/>
    <w:next w:val="771"/>
    <w:uiPriority w:val="0"/>
    <w:unhideWhenUsed/>
    <w:qFormat/>
    <w:pPr>
      <w:spacing w:after="120"/>
    </w:pPr>
    <w:rPr>
      <w:rFonts w:ascii="Times New Roman" w:hAnsi="Times New Roman" w:eastAsia="宋体" w:cs="Times New Roman"/>
    </w:rPr>
  </w:style>
  <w:style w:type="paragraph" w:styleId="788">
    <w:name w:val="Body Text Indent"/>
    <w:basedOn w:val="771"/>
    <w:next w:val="789"/>
    <w:uiPriority w:val="99"/>
    <w:unhideWhenUsed/>
    <w:qFormat/>
    <w:pPr>
      <w:ind w:left="420"/>
      <w:spacing w:after="120"/>
    </w:pPr>
  </w:style>
  <w:style w:type="paragraph" w:styleId="789">
    <w:name w:val="envelope return"/>
    <w:basedOn w:val="771"/>
    <w:uiPriority w:val="0"/>
    <w:qFormat/>
    <w:rPr>
      <w:rFonts w:ascii="Arial" w:hAnsi="Arial" w:eastAsia="宋体" w:cs="Times New Roman"/>
    </w:rPr>
  </w:style>
  <w:style w:type="paragraph" w:styleId="790">
    <w:name w:val="toc 5"/>
    <w:basedOn w:val="771"/>
    <w:next w:val="771"/>
    <w:uiPriority w:val="39"/>
    <w:unhideWhenUsed/>
    <w:qFormat/>
    <w:pPr>
      <w:ind w:left="1134" w:right="0" w:firstLine="0"/>
      <w:spacing w:after="57"/>
    </w:pPr>
  </w:style>
  <w:style w:type="paragraph" w:styleId="791">
    <w:name w:val="toc 3"/>
    <w:basedOn w:val="771"/>
    <w:next w:val="771"/>
    <w:uiPriority w:val="39"/>
    <w:unhideWhenUsed/>
    <w:qFormat/>
    <w:pPr>
      <w:ind w:left="567" w:right="0" w:firstLine="0"/>
      <w:spacing w:after="57"/>
    </w:pPr>
  </w:style>
  <w:style w:type="paragraph" w:styleId="792">
    <w:name w:val="Plain Text"/>
    <w:basedOn w:val="771"/>
    <w:uiPriority w:val="0"/>
    <w:qFormat/>
    <w:rPr>
      <w:rFonts w:ascii="宋体" w:hAnsi="Courier New" w:cs="Courier New"/>
    </w:rPr>
  </w:style>
  <w:style w:type="paragraph" w:styleId="793">
    <w:name w:val="toc 8"/>
    <w:basedOn w:val="771"/>
    <w:next w:val="771"/>
    <w:uiPriority w:val="39"/>
    <w:unhideWhenUsed/>
    <w:qFormat/>
    <w:pPr>
      <w:ind w:left="1984" w:right="0" w:firstLine="0"/>
      <w:spacing w:after="57"/>
    </w:pPr>
  </w:style>
  <w:style w:type="paragraph" w:styleId="794">
    <w:name w:val="endnote text"/>
    <w:basedOn w:val="771"/>
    <w:link w:val="961"/>
    <w:uiPriority w:val="99"/>
    <w:semiHidden/>
    <w:unhideWhenUsed/>
    <w:qFormat/>
    <w:pPr>
      <w:spacing w:after="0" w:line="240" w:lineRule="auto"/>
    </w:pPr>
    <w:rPr>
      <w:sz w:val="20"/>
    </w:rPr>
  </w:style>
  <w:style w:type="paragraph" w:styleId="795">
    <w:name w:val="Footer"/>
    <w:basedOn w:val="771"/>
    <w:uiPriority w:val="0"/>
    <w:qFormat/>
    <w:pPr>
      <w:jc w:val="left"/>
      <w:tabs>
        <w:tab w:val="center" w:pos="4153" w:leader="none"/>
        <w:tab w:val="right" w:pos="8306" w:leader="none"/>
      </w:tabs>
    </w:pPr>
    <w:rPr>
      <w:sz w:val="18"/>
      <w:szCs w:val="18"/>
    </w:rPr>
  </w:style>
  <w:style w:type="paragraph" w:styleId="796">
    <w:name w:val="Header"/>
    <w:basedOn w:val="771"/>
    <w:uiPriority w:val="0"/>
    <w:qFormat/>
    <w:pPr>
      <w:jc w:val="center"/>
      <w:tabs>
        <w:tab w:val="center" w:pos="4153" w:leader="none"/>
        <w:tab w:val="right" w:pos="8306" w:leader="none"/>
      </w:tabs>
      <w:pBdr>
        <w:bottom w:val="single" w:color="auto" w:sz="6" w:space="1"/>
      </w:pBdr>
    </w:pPr>
    <w:rPr>
      <w:sz w:val="18"/>
      <w:szCs w:val="18"/>
    </w:rPr>
  </w:style>
  <w:style w:type="paragraph" w:styleId="797">
    <w:name w:val="toc 4"/>
    <w:basedOn w:val="771"/>
    <w:next w:val="771"/>
    <w:uiPriority w:val="39"/>
    <w:unhideWhenUsed/>
    <w:qFormat/>
    <w:pPr>
      <w:ind w:left="850" w:right="0" w:firstLine="0"/>
      <w:spacing w:after="57"/>
    </w:pPr>
  </w:style>
  <w:style w:type="paragraph" w:styleId="798">
    <w:name w:val="Subtitle"/>
    <w:basedOn w:val="771"/>
    <w:next w:val="771"/>
    <w:link w:val="827"/>
    <w:uiPriority w:val="11"/>
    <w:qFormat/>
    <w:pPr>
      <w:spacing w:before="200" w:after="200"/>
    </w:pPr>
    <w:rPr>
      <w:sz w:val="24"/>
      <w:szCs w:val="24"/>
    </w:rPr>
  </w:style>
  <w:style w:type="paragraph" w:styleId="799">
    <w:name w:val="footnote text"/>
    <w:basedOn w:val="771"/>
    <w:link w:val="960"/>
    <w:uiPriority w:val="99"/>
    <w:semiHidden/>
    <w:unhideWhenUsed/>
    <w:qFormat/>
    <w:pPr>
      <w:spacing w:after="40" w:line="240" w:lineRule="auto"/>
    </w:pPr>
    <w:rPr>
      <w:sz w:val="18"/>
    </w:rPr>
  </w:style>
  <w:style w:type="paragraph" w:styleId="800">
    <w:name w:val="toc 6"/>
    <w:basedOn w:val="771"/>
    <w:next w:val="771"/>
    <w:uiPriority w:val="39"/>
    <w:unhideWhenUsed/>
    <w:qFormat/>
    <w:pPr>
      <w:ind w:left="1417" w:right="0" w:firstLine="0"/>
      <w:spacing w:after="57"/>
    </w:pPr>
  </w:style>
  <w:style w:type="paragraph" w:styleId="801">
    <w:name w:val="table of figures"/>
    <w:basedOn w:val="771"/>
    <w:next w:val="771"/>
    <w:uiPriority w:val="99"/>
    <w:unhideWhenUsed/>
    <w:qFormat/>
    <w:pPr>
      <w:spacing w:after="0" w:afterAutospacing="0"/>
    </w:pPr>
  </w:style>
  <w:style w:type="paragraph" w:styleId="802">
    <w:name w:val="toc 2"/>
    <w:basedOn w:val="771"/>
    <w:next w:val="771"/>
    <w:uiPriority w:val="39"/>
    <w:unhideWhenUsed/>
    <w:qFormat/>
    <w:pPr>
      <w:ind w:left="283" w:right="0" w:firstLine="0"/>
      <w:spacing w:after="57"/>
    </w:pPr>
  </w:style>
  <w:style w:type="paragraph" w:styleId="803">
    <w:name w:val="toc 9"/>
    <w:basedOn w:val="771"/>
    <w:next w:val="771"/>
    <w:uiPriority w:val="39"/>
    <w:unhideWhenUsed/>
    <w:qFormat/>
    <w:pPr>
      <w:ind w:left="2268" w:right="0" w:firstLine="0"/>
      <w:spacing w:after="57"/>
    </w:pPr>
  </w:style>
  <w:style w:type="paragraph" w:styleId="804">
    <w:name w:val="Normal (Web)"/>
    <w:basedOn w:val="771"/>
    <w:uiPriority w:val="0"/>
    <w:qFormat/>
    <w:pPr>
      <w:ind w:left="0" w:right="0"/>
      <w:jc w:val="left"/>
      <w:spacing w:before="0" w:beforeAutospacing="1" w:after="0" w:afterAutospacing="1"/>
    </w:pPr>
    <w:rPr>
      <w:sz w:val="24"/>
      <w:lang w:val="en-US" w:eastAsia="zh-CN" w:bidi="ar"/>
    </w:rPr>
  </w:style>
  <w:style w:type="paragraph" w:styleId="805">
    <w:name w:val="Title"/>
    <w:basedOn w:val="771"/>
    <w:next w:val="771"/>
    <w:link w:val="826"/>
    <w:uiPriority w:val="10"/>
    <w:qFormat/>
    <w:pPr>
      <w:contextualSpacing/>
      <w:spacing w:before="300" w:after="200"/>
    </w:pPr>
    <w:rPr>
      <w:sz w:val="48"/>
      <w:szCs w:val="48"/>
    </w:rPr>
  </w:style>
  <w:style w:type="paragraph" w:styleId="806">
    <w:name w:val="Body Text First Indent"/>
    <w:basedOn w:val="771"/>
    <w:uiPriority w:val="0"/>
    <w:qFormat/>
    <w:pPr>
      <w:ind w:firstLine="420"/>
    </w:pPr>
  </w:style>
  <w:style w:type="paragraph" w:styleId="807">
    <w:name w:val="Body Text First Indent 2"/>
    <w:basedOn w:val="788"/>
    <w:uiPriority w:val="0"/>
    <w:qFormat/>
    <w:pPr>
      <w:ind w:firstLine="420"/>
      <w:jc w:val="both"/>
      <w:spacing w:after="0"/>
      <w:widowControl w:val="off"/>
      <w:tabs>
        <w:tab w:val="left" w:pos="180" w:leader="none"/>
      </w:tabs>
    </w:pPr>
    <w:rPr>
      <w:sz w:val="32"/>
      <w:szCs w:val="24"/>
    </w:rPr>
  </w:style>
  <w:style w:type="table" w:styleId="808">
    <w:name w:val="Table Grid"/>
    <w:basedOn w:val="78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endnote reference"/>
    <w:basedOn w:val="780"/>
    <w:uiPriority w:val="99"/>
    <w:semiHidden/>
    <w:unhideWhenUsed/>
    <w:qFormat/>
    <w:rPr>
      <w:vertAlign w:val="superscript"/>
    </w:rPr>
  </w:style>
  <w:style w:type="character" w:styleId="810">
    <w:name w:val="page number"/>
    <w:basedOn w:val="780"/>
    <w:uiPriority w:val="0"/>
    <w:qFormat/>
  </w:style>
  <w:style w:type="character" w:styleId="811">
    <w:name w:val="Hyperlink"/>
    <w:uiPriority w:val="99"/>
    <w:unhideWhenUsed/>
    <w:qFormat/>
    <w:rPr>
      <w:color w:val="0026e5" w:themeColor="hyperlink"/>
      <w:u w:val="single"/>
      <w14:textFill>
        <w14:solidFill>
          <w14:schemeClr w14:val="hlink"/>
        </w14:solidFill>
      </w14:textFill>
    </w:rPr>
  </w:style>
  <w:style w:type="character" w:styleId="812">
    <w:name w:val="footnote reference"/>
    <w:basedOn w:val="780"/>
    <w:uiPriority w:val="99"/>
    <w:unhideWhenUsed/>
    <w:qFormat/>
    <w:rPr>
      <w:vertAlign w:val="superscript"/>
    </w:rPr>
  </w:style>
  <w:style w:type="paragraph" w:styleId="813" w:customStyle="1">
    <w:name w:val="正文缩进1"/>
    <w:basedOn w:val="771"/>
    <w:uiPriority w:val="0"/>
    <w:qFormat/>
    <w:pPr>
      <w:ind w:firstLine="420"/>
    </w:pPr>
  </w:style>
  <w:style w:type="paragraph" w:styleId="814" w:customStyle="1">
    <w:name w:val="目录 11"/>
    <w:basedOn w:val="771"/>
    <w:next w:val="771"/>
    <w:uiPriority w:val="39"/>
    <w:qFormat/>
    <w:pPr>
      <w:jc w:val="left"/>
      <w:spacing w:before="120" w:after="120" w:line="400" w:lineRule="exact"/>
      <w:tabs>
        <w:tab w:val="right" w:pos="8720" w:leader="dot"/>
      </w:tabs>
    </w:pPr>
    <w:rPr>
      <w:rFonts w:ascii="宋体" w:hAnsi="宋体"/>
      <w:caps/>
      <w:sz w:val="24"/>
    </w:rPr>
  </w:style>
  <w:style w:type="character" w:styleId="815" w:customStyle="1">
    <w:name w:val="Heading 1 Char"/>
    <w:basedOn w:val="780"/>
    <w:uiPriority w:val="9"/>
    <w:qFormat/>
    <w:rPr>
      <w:rFonts w:ascii="Arial" w:hAnsi="Arial" w:eastAsia="Arial" w:cs="Arial"/>
      <w:sz w:val="40"/>
      <w:szCs w:val="40"/>
    </w:rPr>
  </w:style>
  <w:style w:type="character" w:styleId="816" w:customStyle="1">
    <w:name w:val="Heading 2 Char"/>
    <w:basedOn w:val="780"/>
    <w:uiPriority w:val="9"/>
    <w:qFormat/>
    <w:rPr>
      <w:rFonts w:ascii="Arial" w:hAnsi="Arial" w:eastAsia="Arial" w:cs="Arial"/>
      <w:sz w:val="34"/>
    </w:rPr>
  </w:style>
  <w:style w:type="character" w:styleId="817" w:customStyle="1">
    <w:name w:val="Heading 3 Char"/>
    <w:basedOn w:val="780"/>
    <w:uiPriority w:val="9"/>
    <w:qFormat/>
    <w:rPr>
      <w:rFonts w:ascii="Arial" w:hAnsi="Arial" w:eastAsia="Arial" w:cs="Arial"/>
      <w:sz w:val="30"/>
      <w:szCs w:val="30"/>
    </w:rPr>
  </w:style>
  <w:style w:type="character" w:styleId="818" w:customStyle="1">
    <w:name w:val="Heading 4 Char"/>
    <w:basedOn w:val="780"/>
    <w:uiPriority w:val="9"/>
    <w:qFormat/>
    <w:rPr>
      <w:rFonts w:ascii="Arial" w:hAnsi="Arial" w:eastAsia="Arial" w:cs="Arial"/>
      <w:b/>
      <w:bCs/>
      <w:sz w:val="26"/>
      <w:szCs w:val="26"/>
    </w:rPr>
  </w:style>
  <w:style w:type="character" w:styleId="819" w:customStyle="1">
    <w:name w:val="Heading 5 Char"/>
    <w:basedOn w:val="780"/>
    <w:link w:val="775"/>
    <w:uiPriority w:val="9"/>
    <w:qFormat/>
    <w:rPr>
      <w:rFonts w:ascii="Arial" w:hAnsi="Arial" w:eastAsia="Arial" w:cs="Arial"/>
      <w:b/>
      <w:bCs/>
      <w:sz w:val="24"/>
      <w:szCs w:val="24"/>
    </w:rPr>
  </w:style>
  <w:style w:type="character" w:styleId="820" w:customStyle="1">
    <w:name w:val="Heading 6 Char"/>
    <w:basedOn w:val="780"/>
    <w:link w:val="776"/>
    <w:uiPriority w:val="9"/>
    <w:qFormat/>
    <w:rPr>
      <w:rFonts w:ascii="Arial" w:hAnsi="Arial" w:eastAsia="Arial" w:cs="Arial"/>
      <w:b/>
      <w:bCs/>
      <w:sz w:val="22"/>
      <w:szCs w:val="22"/>
    </w:rPr>
  </w:style>
  <w:style w:type="character" w:styleId="821" w:customStyle="1">
    <w:name w:val="Heading 7 Char"/>
    <w:basedOn w:val="780"/>
    <w:link w:val="777"/>
    <w:uiPriority w:val="9"/>
    <w:qFormat/>
    <w:rPr>
      <w:rFonts w:ascii="Arial" w:hAnsi="Arial" w:eastAsia="Arial" w:cs="Arial"/>
      <w:b/>
      <w:bCs/>
      <w:i/>
      <w:iCs/>
      <w:sz w:val="22"/>
      <w:szCs w:val="22"/>
    </w:rPr>
  </w:style>
  <w:style w:type="character" w:styleId="822" w:customStyle="1">
    <w:name w:val="Heading 8 Char"/>
    <w:basedOn w:val="780"/>
    <w:link w:val="778"/>
    <w:uiPriority w:val="9"/>
    <w:qFormat/>
    <w:rPr>
      <w:rFonts w:ascii="Arial" w:hAnsi="Arial" w:eastAsia="Arial" w:cs="Arial"/>
      <w:i/>
      <w:iCs/>
      <w:sz w:val="22"/>
      <w:szCs w:val="22"/>
    </w:rPr>
  </w:style>
  <w:style w:type="character" w:styleId="823" w:customStyle="1">
    <w:name w:val="Heading 9 Char"/>
    <w:basedOn w:val="780"/>
    <w:link w:val="779"/>
    <w:uiPriority w:val="9"/>
    <w:qFormat/>
    <w:rPr>
      <w:rFonts w:ascii="Arial" w:hAnsi="Arial" w:eastAsia="Arial" w:cs="Arial"/>
      <w:i/>
      <w:iCs/>
      <w:sz w:val="21"/>
      <w:szCs w:val="21"/>
    </w:rPr>
  </w:style>
  <w:style w:type="paragraph" w:styleId="824">
    <w:name w:val="List Paragraph"/>
    <w:basedOn w:val="771"/>
    <w:uiPriority w:val="34"/>
    <w:qFormat/>
    <w:pPr>
      <w:contextualSpacing/>
      <w:ind w:left="720"/>
    </w:pPr>
  </w:style>
  <w:style w:type="paragraph" w:styleId="825">
    <w:name w:val="No Spacing"/>
    <w:uiPriority w:val="1"/>
    <w:qFormat/>
    <w:pPr>
      <w:spacing w:before="0" w:after="0" w:line="240" w:lineRule="auto"/>
    </w:pPr>
    <w:rPr>
      <w:rFonts w:hint="default" w:ascii="Times New Roman" w:hAnsi="Times New Roman" w:eastAsia="宋体" w:cs="Times New Roman"/>
    </w:rPr>
  </w:style>
  <w:style w:type="character" w:styleId="826" w:customStyle="1">
    <w:name w:val="Title Char"/>
    <w:basedOn w:val="780"/>
    <w:link w:val="805"/>
    <w:uiPriority w:val="10"/>
    <w:qFormat/>
    <w:rPr>
      <w:sz w:val="48"/>
      <w:szCs w:val="48"/>
    </w:rPr>
  </w:style>
  <w:style w:type="character" w:styleId="827" w:customStyle="1">
    <w:name w:val="Subtitle Char"/>
    <w:basedOn w:val="780"/>
    <w:link w:val="798"/>
    <w:uiPriority w:val="11"/>
    <w:qFormat/>
    <w:rPr>
      <w:sz w:val="24"/>
      <w:szCs w:val="24"/>
    </w:rPr>
  </w:style>
  <w:style w:type="paragraph" w:styleId="828">
    <w:name w:val="Quote"/>
    <w:basedOn w:val="771"/>
    <w:next w:val="771"/>
    <w:link w:val="829"/>
    <w:uiPriority w:val="29"/>
    <w:qFormat/>
    <w:pPr>
      <w:ind w:left="720" w:right="720"/>
    </w:pPr>
    <w:rPr>
      <w:i/>
    </w:rPr>
  </w:style>
  <w:style w:type="character" w:styleId="829" w:customStyle="1">
    <w:name w:val="Quote Char"/>
    <w:link w:val="828"/>
    <w:uiPriority w:val="29"/>
    <w:qFormat/>
    <w:rPr>
      <w:i/>
    </w:rPr>
  </w:style>
  <w:style w:type="paragraph" w:styleId="830">
    <w:name w:val="Intense Quote"/>
    <w:basedOn w:val="771"/>
    <w:next w:val="771"/>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Intense Quote Char"/>
    <w:link w:val="830"/>
    <w:uiPriority w:val="30"/>
    <w:qFormat/>
    <w:rPr>
      <w:i/>
    </w:rPr>
  </w:style>
  <w:style w:type="character" w:styleId="832" w:customStyle="1">
    <w:name w:val="Header Char"/>
    <w:basedOn w:val="780"/>
    <w:uiPriority w:val="99"/>
    <w:qFormat/>
  </w:style>
  <w:style w:type="character" w:styleId="833" w:customStyle="1">
    <w:name w:val="Footer Char"/>
    <w:basedOn w:val="780"/>
    <w:uiPriority w:val="99"/>
    <w:qFormat/>
  </w:style>
  <w:style w:type="character" w:styleId="834" w:customStyle="1">
    <w:name w:val="Caption Char"/>
    <w:uiPriority w:val="99"/>
    <w:qFormat/>
  </w:style>
  <w:style w:type="table" w:styleId="835" w:customStyle="1">
    <w:name w:val="Table Grid Light"/>
    <w:basedOn w:val="7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6" w:customStyle="1">
    <w:name w:val="Plain Table 1"/>
    <w:basedOn w:val="7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basedOn w:val="7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basedOn w:val="7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basedOn w:val="78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8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8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8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8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8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basedOn w:val="78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basedOn w:val="78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basedOn w:val="78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basedOn w:val="78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basedOn w:val="78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4" w:customStyle="1">
    <w:name w:val="Grid Table 2 - Accent 6"/>
    <w:basedOn w:val="78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5" w:customStyle="1">
    <w:name w:val="Grid Table 3"/>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basedOn w:val="78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basedOn w:val="78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basedOn w:val="78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basedOn w:val="78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basedOn w:val="78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basedOn w:val="78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basedOn w:val="7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basedOn w:val="78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4" w:customStyle="1">
    <w:name w:val="Grid Table 4 - Accent 2"/>
    <w:basedOn w:val="78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5" w:customStyle="1">
    <w:name w:val="Grid Table 4 - Accent 3"/>
    <w:basedOn w:val="78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6" w:customStyle="1">
    <w:name w:val="Grid Table 4 - Accent 4"/>
    <w:basedOn w:val="78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7" w:customStyle="1">
    <w:name w:val="Grid Table 4 - Accent 5"/>
    <w:basedOn w:val="78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8" w:customStyle="1">
    <w:name w:val="Grid Table 4 - Accent 6"/>
    <w:basedOn w:val="78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9" w:customStyle="1">
    <w:name w:val="Grid Table 5 Dark"/>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1" w:customStyle="1">
    <w:name w:val="Grid Table 5 Dark - Accent 2"/>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2" w:customStyle="1">
    <w:name w:val="Grid Table 5 Dark - Accent 3"/>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3" w:customStyle="1">
    <w:name w:val="Grid Table 5 Dark- Accent 4"/>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4" w:customStyle="1">
    <w:name w:val="Grid Table 5 Dark - Accent 5"/>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5" w:customStyle="1">
    <w:name w:val="Grid Table 5 Dark - Accent 6"/>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6" w:customStyle="1">
    <w:name w:val="Grid Table 6 Colorful"/>
    <w:basedOn w:val="7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6 Colorful - Accent 1"/>
    <w:basedOn w:val="78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8" w:customStyle="1">
    <w:name w:val="Grid Table 6 Colorful - Accent 2"/>
    <w:basedOn w:val="78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9" w:customStyle="1">
    <w:name w:val="Grid Table 6 Colorful - Accent 3"/>
    <w:basedOn w:val="78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0" w:customStyle="1">
    <w:name w:val="Grid Table 6 Colorful - Accent 4"/>
    <w:basedOn w:val="78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1" w:customStyle="1">
    <w:name w:val="Grid Table 6 Colorful - Accent 5"/>
    <w:basedOn w:val="78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2" w:customStyle="1">
    <w:name w:val="Grid Table 6 Colorful - Accent 6"/>
    <w:basedOn w:val="78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3" w:customStyle="1">
    <w:name w:val="Grid Table 7 Colorful"/>
    <w:basedOn w:val="7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basedOn w:val="78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basedOn w:val="78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basedOn w:val="78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basedOn w:val="78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basedOn w:val="78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basedOn w:val="78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0" w:customStyle="1">
    <w:name w:val="List Table 1 Light"/>
    <w:basedOn w:val="7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basedOn w:val="78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2" w:customStyle="1">
    <w:name w:val="List Table 1 Light - Accent 2"/>
    <w:basedOn w:val="78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3" w:customStyle="1">
    <w:name w:val="List Table 1 Light - Accent 3"/>
    <w:basedOn w:val="78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4" w:customStyle="1">
    <w:name w:val="List Table 1 Light - Accent 4"/>
    <w:basedOn w:val="78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basedOn w:val="78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6" w:customStyle="1">
    <w:name w:val="List Table 1 Light - Accent 6"/>
    <w:basedOn w:val="78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7" w:customStyle="1">
    <w:name w:val="List Table 2"/>
    <w:basedOn w:val="7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basedOn w:val="78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9" w:customStyle="1">
    <w:name w:val="List Table 2 - Accent 2"/>
    <w:basedOn w:val="78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0" w:customStyle="1">
    <w:name w:val="List Table 2 - Accent 3"/>
    <w:basedOn w:val="78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1" w:customStyle="1">
    <w:name w:val="List Table 2 - Accent 4"/>
    <w:basedOn w:val="78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2" w:customStyle="1">
    <w:name w:val="List Table 2 - Accent 5"/>
    <w:basedOn w:val="78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3" w:customStyle="1">
    <w:name w:val="List Table 2 - Accent 6"/>
    <w:basedOn w:val="78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4" w:customStyle="1">
    <w:name w:val="List Table 3"/>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basedOn w:val="78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6" w:customStyle="1">
    <w:name w:val="List Table 3 - Accent 2"/>
    <w:basedOn w:val="78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7" w:customStyle="1">
    <w:name w:val="List Table 3 - Accent 3"/>
    <w:basedOn w:val="78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8" w:customStyle="1">
    <w:name w:val="List Table 3 - Accent 4"/>
    <w:basedOn w:val="78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9" w:customStyle="1">
    <w:name w:val="List Table 3 - Accent 5"/>
    <w:basedOn w:val="78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0" w:customStyle="1">
    <w:name w:val="List Table 3 - Accent 6"/>
    <w:basedOn w:val="78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1" w:customStyle="1">
    <w:name w:val="List Table 4"/>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basedOn w:val="78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3" w:customStyle="1">
    <w:name w:val="List Table 4 - Accent 2"/>
    <w:basedOn w:val="78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4" w:customStyle="1">
    <w:name w:val="List Table 4 - Accent 3"/>
    <w:basedOn w:val="78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5" w:customStyle="1">
    <w:name w:val="List Table 4 - Accent 4"/>
    <w:basedOn w:val="78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6" w:customStyle="1">
    <w:name w:val="List Table 4 - Accent 5"/>
    <w:basedOn w:val="78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7" w:customStyle="1">
    <w:name w:val="List Table 4 - Accent 6"/>
    <w:basedOn w:val="78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8" w:customStyle="1">
    <w:name w:val="List Table 5 Dark"/>
    <w:basedOn w:val="7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1"/>
    <w:basedOn w:val="78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2"/>
    <w:basedOn w:val="78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3"/>
    <w:basedOn w:val="78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4"/>
    <w:basedOn w:val="78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5"/>
    <w:basedOn w:val="78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6"/>
    <w:basedOn w:val="78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6 Colorful"/>
    <w:basedOn w:val="7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6 Colorful - Accent 1"/>
    <w:basedOn w:val="78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7" w:customStyle="1">
    <w:name w:val="List Table 6 Colorful - Accent 2"/>
    <w:basedOn w:val="78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8" w:customStyle="1">
    <w:name w:val="List Table 6 Colorful - Accent 3"/>
    <w:basedOn w:val="78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9" w:customStyle="1">
    <w:name w:val="List Table 6 Colorful - Accent 4"/>
    <w:basedOn w:val="78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0" w:customStyle="1">
    <w:name w:val="List Table 6 Colorful - Accent 5"/>
    <w:basedOn w:val="78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1" w:customStyle="1">
    <w:name w:val="List Table 6 Colorful - Accent 6"/>
    <w:basedOn w:val="78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2" w:customStyle="1">
    <w:name w:val="List Table 7 Colorful"/>
    <w:basedOn w:val="7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basedOn w:val="78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basedOn w:val="78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basedOn w:val="78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basedOn w:val="78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basedOn w:val="78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basedOn w:val="78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9" w:customStyle="1">
    <w:name w:val="Lined - Accent"/>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1" w:customStyle="1">
    <w:name w:val="Lined - Accent 2"/>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2" w:customStyle="1">
    <w:name w:val="Lined - Accent 3"/>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3" w:customStyle="1">
    <w:name w:val="Lined - Accent 4"/>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4" w:customStyle="1">
    <w:name w:val="Lined - Accent 5"/>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5" w:customStyle="1">
    <w:name w:val="Lined - Accent 6"/>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6" w:customStyle="1">
    <w:name w:val="Bordered &amp; Lined - Accent"/>
    <w:basedOn w:val="78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basedOn w:val="78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8" w:customStyle="1">
    <w:name w:val="Bordered &amp; Lined - Accent 2"/>
    <w:basedOn w:val="78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9" w:customStyle="1">
    <w:name w:val="Bordered &amp; Lined - Accent 3"/>
    <w:basedOn w:val="78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0" w:customStyle="1">
    <w:name w:val="Bordered &amp; Lined - Accent 4"/>
    <w:basedOn w:val="78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1" w:customStyle="1">
    <w:name w:val="Bordered &amp; Lined - Accent 5"/>
    <w:basedOn w:val="78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2" w:customStyle="1">
    <w:name w:val="Bordered &amp; Lined - Accent 6"/>
    <w:basedOn w:val="78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3" w:customStyle="1">
    <w:name w:val="Bordered"/>
    <w:basedOn w:val="78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basedOn w:val="78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5" w:customStyle="1">
    <w:name w:val="Bordered - Accent 2"/>
    <w:basedOn w:val="78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6" w:customStyle="1">
    <w:name w:val="Bordered - Accent 3"/>
    <w:basedOn w:val="78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7" w:customStyle="1">
    <w:name w:val="Bordered - Accent 4"/>
    <w:basedOn w:val="78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8" w:customStyle="1">
    <w:name w:val="Bordered - Accent 5"/>
    <w:basedOn w:val="78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9" w:customStyle="1">
    <w:name w:val="Bordered - Accent 6"/>
    <w:basedOn w:val="78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0" w:customStyle="1">
    <w:name w:val="Footnote Text Char"/>
    <w:link w:val="799"/>
    <w:uiPriority w:val="99"/>
    <w:qFormat/>
    <w:rPr>
      <w:sz w:val="18"/>
    </w:rPr>
  </w:style>
  <w:style w:type="character" w:styleId="961" w:customStyle="1">
    <w:name w:val="Endnote Text Char"/>
    <w:link w:val="794"/>
    <w:uiPriority w:val="99"/>
    <w:qFormat/>
    <w:rPr>
      <w:sz w:val="20"/>
    </w:rPr>
  </w:style>
  <w:style w:type="paragraph" w:styleId="962" w:customStyle="1">
    <w:name w:val="TOC Heading"/>
    <w:uiPriority w:val="39"/>
    <w:unhideWhenUsed/>
    <w:qFormat/>
    <w:rPr>
      <w:rFonts w:hint="default" w:ascii="Times New Roman" w:hAnsi="Times New Roman" w:eastAsia="宋体" w:cs="Times New Roman"/>
    </w:rPr>
  </w:style>
  <w:style w:type="paragraph" w:styleId="963" w:customStyle="1">
    <w:name w:val="正文文本1"/>
    <w:basedOn w:val="771"/>
    <w:next w:val="813"/>
    <w:uiPriority w:val="0"/>
    <w:qFormat/>
    <w:rPr>
      <w:rFonts w:ascii="楷体_GB2312" w:hAnsi="Arial" w:eastAsia="楷体_GB2312"/>
      <w:sz w:val="28"/>
      <w:szCs w:val="28"/>
    </w:rPr>
  </w:style>
  <w:style w:type="paragraph" w:styleId="964" w:customStyle="1">
    <w:name w:val="Default"/>
    <w:basedOn w:val="771"/>
    <w:uiPriority w:val="0"/>
    <w:semiHidden/>
    <w:qFormat/>
    <w:pPr>
      <w:jc w:val="left"/>
    </w:pPr>
    <w:rPr>
      <w:rFonts w:ascii="宋体" w:hAnsi="Calibri" w:cs="宋体"/>
      <w:color w:val="000000"/>
      <w:sz w:val="24"/>
    </w:rPr>
  </w:style>
  <w:style w:type="paragraph" w:styleId="965" w:customStyle="1">
    <w:name w:val="普通正文"/>
    <w:basedOn w:val="771"/>
    <w:uiPriority w:val="0"/>
    <w:qFormat/>
    <w:pPr>
      <w:ind w:firstLine="480"/>
      <w:jc w:val="left"/>
      <w:spacing w:before="120" w:after="120" w:line="360" w:lineRule="auto"/>
    </w:pPr>
    <w:rPr>
      <w:rFonts w:ascii="Arial" w:hAnsi="Arial"/>
      <w:sz w:val="24"/>
      <w:szCs w:val="24"/>
    </w:rPr>
  </w:style>
  <w:style w:type="paragraph" w:styleId="966" w:customStyle="1">
    <w:name w:val="Heading 4"/>
    <w:basedOn w:val="771"/>
    <w:next w:val="771"/>
    <w:uiPriority w:val="0"/>
    <w:qFormat/>
    <w:pPr>
      <w:jc w:val="center"/>
      <w:keepNext/>
      <w:outlineLvl w:val="3"/>
    </w:pPr>
    <w:rPr>
      <w:rFonts w:eastAsia="新宋体"/>
      <w:sz w:val="30"/>
      <w:szCs w:val="21"/>
    </w:rPr>
  </w:style>
  <w:style w:type="paragraph" w:styleId="967" w:customStyle="1">
    <w:name w:val="p0"/>
    <w:basedOn w:val="771"/>
    <w:uiPriority w:val="0"/>
    <w:qFormat/>
    <w:pPr>
      <w:jc w:val="left"/>
      <w:spacing w:before="100" w:beforeAutospacing="1" w:after="100" w:afterAutospacing="1"/>
      <w:widowControl/>
    </w:pPr>
    <w:rPr>
      <w:rFonts w:ascii="宋体" w:hAnsi="宋体" w:cs="宋体"/>
      <w:sz w:val="24"/>
      <w:szCs w:val="24"/>
    </w:rPr>
  </w:style>
  <w:style w:type="paragraph" w:styleId="968" w:customStyle="1">
    <w:name w:val="正文1"/>
    <w:basedOn w:val="771"/>
    <w:uiPriority w:val="0"/>
    <w:qFormat/>
    <w:pPr>
      <w:contextualSpacing/>
      <w:ind w:firstLine="200"/>
      <w:jc w:val="left"/>
      <w:spacing w:before="120" w:after="120"/>
      <w:widowControl/>
    </w:pPr>
    <w:rPr>
      <w:rFonts w:ascii="Calibri" w:hAnsi="Calibri" w:eastAsia="Adobe 仿宋 Std R"/>
    </w:rPr>
  </w:style>
  <w:style w:type="paragraph" w:styleId="969" w:customStyle="1">
    <w:name w:val="Char"/>
    <w:basedOn w:val="771"/>
    <w:uiPriority w:val="0"/>
    <w:qFormat/>
    <w:pPr>
      <w:ind w:firstLine="200"/>
      <w:tabs>
        <w:tab w:val="left" w:pos="360" w:leader="none"/>
      </w:tabs>
    </w:pPr>
    <w:rPr>
      <w:sz w:val="28"/>
      <w:szCs w:val="30"/>
    </w:rPr>
  </w:style>
  <w:style w:type="paragraph" w:styleId="970" w:customStyle="1">
    <w:name w:val="普通(网站)1"/>
    <w:basedOn w:val="771"/>
    <w:uiPriority w:val="0"/>
    <w:qFormat/>
    <w:pPr>
      <w:jc w:val="left"/>
      <w:spacing w:before="100" w:beforeAutospacing="1" w:after="100" w:afterAutospacing="1"/>
      <w:widowControl/>
    </w:pPr>
    <w:rPr>
      <w:rFonts w:ascii="宋体" w:hAnsi="宋体" w:cs="宋体"/>
      <w:sz w:val="24"/>
    </w:rPr>
  </w:style>
  <w:style w:type="paragraph" w:styleId="971" w:customStyle="1">
    <w:name w:val="纯文本1"/>
    <w:basedOn w:val="771"/>
    <w:uiPriority w:val="0"/>
    <w:qFormat/>
    <w:rPr>
      <w:rFonts w:ascii="宋体" w:hAnsi="Courier New"/>
    </w:rPr>
  </w:style>
  <w:style w:type="character" w:styleId="972" w:customStyle="1">
    <w:name w:val="font11"/>
    <w:basedOn w:val="780"/>
    <w:uiPriority w:val="99"/>
    <w:qFormat/>
    <w:rPr>
      <w:rFonts w:ascii="方正小标宋简体" w:hAnsi="方正小标宋简体" w:eastAsia="方正小标宋简体" w:cs="方正小标宋简体"/>
      <w:color w:val="000000"/>
      <w:sz w:val="36"/>
      <w:szCs w:val="36"/>
      <w:u w:val="none"/>
    </w:rPr>
  </w:style>
  <w:style w:type="paragraph" w:styleId="973" w:customStyle="1">
    <w:name w:val="Table Paragraph"/>
    <w:basedOn w:val="771"/>
    <w:uiPriority w:val="1"/>
    <w:qFormat/>
    <w:rPr>
      <w:rFonts w:ascii="宋体" w:hAnsi="宋体" w:eastAsia="宋体" w:cs="宋体"/>
      <w:lang w:val="zh-CN" w:bidi="zh-CN"/>
    </w:rPr>
  </w:style>
  <w:style w:type="table" w:styleId="974" w:customStyle="1">
    <w:name w:val="普通表格1"/>
    <w:uiPriority w:val="0"/>
    <w:semiHidden/>
    <w:qFormat/>
    <w:tblPr>
      <w:tblCellMar>
        <w:left w:w="108" w:type="dxa"/>
        <w:top w:w="0" w:type="dxa"/>
        <w:right w:w="108" w:type="dxa"/>
        <w:bottom w:w="0" w:type="dxa"/>
      </w:tblCellMar>
    </w:tblPr>
  </w:style>
  <w:style w:type="numbering" w:styleId="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朱晓进</dc:creator>
  <cp:lastModifiedBy>孙志成</cp:lastModifiedBy>
  <cp:revision>16</cp:revision>
  <dcterms:created xsi:type="dcterms:W3CDTF">2025-01-16T07:52:00Z</dcterms:created>
  <dcterms:modified xsi:type="dcterms:W3CDTF">2026-07-27T07:22:50Z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F96682F378BF4759A9DA79A716CB11BF_13</vt:lpwstr>
  </property>
  <property fmtid="{D5CDD505-2E9C-101B-9397-08002B2CF9AE}" pid="4" name="KSOTemplateDocerSaveRecord">
    <vt:lpwstr>eyJoZGlkIjoiNzE2YTFhMzIzYWQ4ZTU0ZmE2NmY2ZTY3NTJjMzBmNTYiLCJ1c2VySWQiOiI0ODA0NzMwMjQifQ==</vt:lpwstr>
  </property>
</Properties>
</file>