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1"/>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1"/>
        <w:spacing w:line="360" w:lineRule="auto"/>
        <w:widowControl/>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1121"/>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竞争性磋商文件</w:t>
      </w:r>
      <w:r/>
    </w:p>
    <w:p>
      <w:pPr>
        <w:pStyle w:val="1121"/>
        <w:jc w:val="center"/>
        <w:spacing w:line="360" w:lineRule="auto"/>
        <w:rPr>
          <w:rFonts w:ascii="Arial" w:hAnsi="Arial" w:cs="Arial"/>
          <w:b/>
          <w:color w:val="000000" w:themeColor="text1"/>
          <w:highlight w:val="none"/>
          <w14:textFill>
            <w14:solidFill>
              <w14:schemeClr w14:val="tx1"/>
            </w14:solidFill>
          </w14:textFill>
        </w:rPr>
      </w:pPr>
      <w:r>
        <w:rPr>
          <w:rFonts w:ascii="Arial" w:hAnsi="Arial" w:cs="Arial"/>
          <w:b/>
          <w:color w:val="000000" w:themeColor="text1"/>
          <w:highlight w:val="none"/>
          <w14:textFill>
            <w14:solidFill>
              <w14:schemeClr w14:val="tx1"/>
            </w14:solidFill>
          </w14:textFill>
        </w:rPr>
      </w:r>
      <w:r/>
    </w:p>
    <w:p>
      <w:pPr>
        <w:pStyle w:val="1121"/>
        <w:jc w:val="center"/>
        <w:spacing w:line="360" w:lineRule="auto"/>
        <w:rPr>
          <w:rFonts w:ascii="Arial" w:hAnsi="Arial" w:cs="Arial"/>
          <w:b/>
          <w:color w:val="000000" w:themeColor="text1"/>
          <w:highlight w:val="none"/>
          <w14:textFill>
            <w14:solidFill>
              <w14:schemeClr w14:val="tx1"/>
            </w14:solidFill>
          </w14:textFill>
        </w:rPr>
      </w:pPr>
      <w:r>
        <w:rPr>
          <w:rFonts w:ascii="Arial" w:hAnsi="Arial" w:cs="Arial"/>
          <w:b/>
          <w:color w:val="000000" w:themeColor="text1"/>
          <w:highlight w:val="none"/>
          <w14:textFill>
            <w14:solidFill>
              <w14:schemeClr w14:val="tx1"/>
            </w14:solidFill>
          </w14:textFill>
        </w:rPr>
      </w:r>
      <w:r/>
    </w:p>
    <w:p>
      <w:pPr>
        <w:pStyle w:val="1121"/>
        <w:jc w:val="center"/>
        <w:spacing w:line="360" w:lineRule="auto"/>
        <w:rPr>
          <w:rFonts w:hint="eastAsia" w:ascii="宋体" w:hAnsi="宋体" w:eastAsia="宋体" w:cs="宋体"/>
          <w:b/>
          <w:color w:val="000000" w:themeColor="text1"/>
          <w:highlight w:val="none"/>
          <w14:textFill>
            <w14:solidFill>
              <w14:schemeClr w14:val="tx1"/>
            </w14:solidFill>
          </w14:textFill>
        </w:rPr>
        <w:outlineLvl w:val="0"/>
      </w:pPr>
      <w:r>
        <w:rPr>
          <w:rFonts w:hint="eastAsia" w:ascii="宋体" w:hAnsi="宋体" w:eastAsia="宋体" w:cs="宋体"/>
          <w:b/>
          <w:color w:val="000000" w:themeColor="text1"/>
          <w:highlight w:val="none"/>
          <w14:textFill>
            <w14:solidFill>
              <w14:schemeClr w14:val="tx1"/>
            </w14:solidFill>
          </w14:textFill>
        </w:rPr>
        <w:t xml:space="preserve">项目编号：JSZC-320900-JZCG-C2026-0032</w:t>
      </w:r>
      <w:r/>
    </w:p>
    <w:p>
      <w:pPr>
        <w:pStyle w:val="1121"/>
        <w:jc w:val="center"/>
        <w:spacing w:line="360" w:lineRule="auto"/>
        <w:rPr>
          <w:rFonts w:hint="eastAsia" w:ascii="宋体" w:hAnsi="宋体" w:eastAsia="宋体" w:cs="宋体"/>
          <w:b/>
          <w:color w:val="000000" w:themeColor="text1"/>
          <w:highlight w:val="none"/>
          <w14:textFill>
            <w14:solidFill>
              <w14:schemeClr w14:val="tx1"/>
            </w14:solidFill>
          </w14:textFill>
        </w:rPr>
        <w:outlineLvl w:val="0"/>
      </w:pPr>
      <w:r>
        <w:rPr>
          <w:rFonts w:hint="eastAsia" w:ascii="宋体" w:hAnsi="宋体" w:eastAsia="宋体" w:cs="宋体"/>
          <w:b/>
          <w:color w:val="000000" w:themeColor="text1"/>
          <w:highlight w:val="none"/>
          <w14:textFill>
            <w14:solidFill>
              <w14:schemeClr w14:val="tx1"/>
            </w14:solidFill>
          </w14:textFill>
        </w:rPr>
      </w:r>
      <w:r/>
    </w:p>
    <w:p>
      <w:pPr>
        <w:pStyle w:val="1121"/>
        <w:jc w:val="center"/>
        <w:spacing w:line="360" w:lineRule="auto"/>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highlight w:val="none"/>
          <w14:textFill>
            <w14:solidFill>
              <w14:schemeClr w14:val="tx1"/>
            </w14:solidFill>
          </w14:textFill>
        </w:rPr>
        <w:t xml:space="preserve">项目名称：盐城市碳达峰碳中和数据监测分析管理系统</w:t>
      </w:r>
      <w:r/>
    </w:p>
    <w:p>
      <w:pPr>
        <w:pStyle w:val="1121"/>
        <w:jc w:val="center"/>
        <w:spacing w:line="360" w:lineRule="auto"/>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14:textFill>
            <w14:solidFill>
              <w14:schemeClr w14:val="tx1"/>
            </w14:solidFill>
          </w14:textFill>
        </w:rPr>
      </w:r>
      <w:r/>
    </w:p>
    <w:p>
      <w:pPr>
        <w:pStyle w:val="1121"/>
        <w:jc w:val="center"/>
        <w:spacing w:line="360" w:lineRule="auto"/>
        <w:rPr>
          <w:rFonts w:hint="eastAsia" w:ascii="宋体" w:hAnsi="宋体" w:eastAsia="宋体" w:cs="宋体"/>
          <w:color w:val="000000" w:themeColor="text1"/>
          <w:highlight w:val="none"/>
          <w14:textFill>
            <w14:solidFill>
              <w14:schemeClr w14:val="tx1"/>
            </w14:solidFill>
          </w14:textFill>
        </w:rPr>
        <w:outlineLvl w:val="0"/>
      </w:pPr>
      <w:r>
        <w:rPr>
          <w:rFonts w:hint="eastAsia" w:ascii="宋体" w:hAnsi="宋体" w:eastAsia="宋体" w:cs="宋体"/>
          <w:color w:val="000000" w:themeColor="text1"/>
          <w:highlight w:val="none"/>
          <w14:textFill>
            <w14:solidFill>
              <w14:schemeClr w14:val="tx1"/>
            </w14:solidFill>
          </w14:textFill>
        </w:rPr>
      </w:r>
      <w:r/>
    </w:p>
    <w:p>
      <w:pPr>
        <w:pStyle w:val="112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12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1"/>
        <w:jc w:val="center"/>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1"/>
        <w:jc w:val="center"/>
        <w:spacing w:line="400" w:lineRule="exact"/>
        <w:rPr>
          <w:rFonts w:hint="eastAsia" w:ascii="宋体" w:hAnsi="宋体" w:eastAsia="宋体" w:cs="宋体"/>
          <w:bCs/>
          <w:color w:val="000000" w:themeColor="text1"/>
          <w:highlight w:val="none"/>
          <w:u w:val="none"/>
          <w14:textFill>
            <w14:solidFill>
              <w14:schemeClr w14:val="tx1"/>
            </w14:solidFill>
          </w14:textFill>
        </w:rPr>
        <w:outlineLvl w:val="0"/>
      </w:pPr>
      <w:r>
        <w:rPr>
          <w:rFonts w:hint="eastAsia" w:ascii="宋体" w:hAnsi="宋体" w:eastAsia="宋体" w:cs="宋体"/>
          <w:bCs/>
          <w:color w:val="000000" w:themeColor="text1"/>
          <w:highlight w:val="none"/>
          <w:u w:val="none"/>
          <w14:textFill>
            <w14:solidFill>
              <w14:schemeClr w14:val="tx1"/>
            </w14:solidFill>
          </w14:textFill>
        </w:rPr>
        <w:t xml:space="preserve">盐城市发展和改革委员会</w:t>
      </w:r>
      <w:r/>
    </w:p>
    <w:p>
      <w:pPr>
        <w:pStyle w:val="931"/>
        <w:jc w:val="center"/>
        <w:spacing w:line="400" w:lineRule="exact"/>
        <w:rPr>
          <w:rFonts w:hint="eastAsia" w:ascii="宋体" w:hAnsi="宋体" w:eastAsia="宋体" w:cs="宋体"/>
          <w:bCs/>
          <w:color w:val="000000" w:themeColor="text1"/>
          <w:highlight w:val="none"/>
          <w14:textFill>
            <w14:solidFill>
              <w14:schemeClr w14:val="tx1"/>
            </w14:solidFill>
          </w14:textFill>
        </w:rPr>
        <w:outlineLvl w:val="0"/>
      </w:pPr>
      <w:r>
        <w:rPr>
          <w:rFonts w:hint="eastAsia" w:ascii="宋体" w:hAnsi="宋体" w:eastAsia="宋体" w:cs="宋体"/>
          <w:bCs/>
          <w:color w:val="000000" w:themeColor="text1"/>
          <w:highlight w:val="none"/>
          <w14:textFill>
            <w14:solidFill>
              <w14:schemeClr w14:val="tx1"/>
            </w14:solidFill>
          </w14:textFill>
        </w:rPr>
        <w:t xml:space="preserve">2026年6月</w:t>
      </w:r>
      <w:r/>
    </w:p>
    <w:p>
      <w:pPr>
        <w:pStyle w:val="1121"/>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121"/>
        <w:widowControl/>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p>
      <w:pPr>
        <w:jc w:val="center"/>
        <w:spacing w:line="700" w:lineRule="exact"/>
        <w:widowControl/>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37" w:footer="1134" w:gutter="0"/>
          <w:pgNumType w:start="1"/>
          <w:cols w:num="1" w:sep="0" w:space="1701" w:equalWidth="1"/>
          <w:docGrid w:linePitch="360"/>
          <w:titlePg/>
        </w:sectPr>
        <w:outlineLvl w:val="0"/>
      </w:pPr>
      <w:r>
        <w:rPr>
          <w:rFonts w:hint="eastAsia" w:ascii="黑体" w:hAnsi="黑体" w:eastAsia="黑体" w:cs="黑体"/>
          <w:color w:val="000000" w:themeColor="text1"/>
          <w:sz w:val="44"/>
          <w:szCs w:val="44"/>
          <w:highlight w:val="none"/>
          <w14:textFill>
            <w14:solidFill>
              <w14:schemeClr w14:val="tx1"/>
            </w14:solidFill>
          </w14:textFill>
        </w:rPr>
      </w:r>
      <w:r/>
    </w:p>
    <w:p>
      <w:pPr>
        <w:pStyle w:val="10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700" w:lineRule="exact"/>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总  目  录</w:t>
      </w:r>
      <w:r/>
    </w:p>
    <w:p>
      <w:pP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ind w:left="1856" w:hanging="1018"/>
        <w:spacing w:line="560" w:lineRule="exact"/>
        <w:rPr>
          <w:rFonts w:ascii="黑体" w:hAnsi="Showcard Gothic" w:eastAsia="黑体" w:cs="Times New Roman"/>
          <w:color w:val="000000" w:themeColor="text1"/>
          <w:sz w:val="36"/>
          <w:highlight w:val="none"/>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第一章  竞争性磋商公告………………………2</w:t>
      </w:r>
      <w:r/>
    </w:p>
    <w:p>
      <w:pPr>
        <w:ind w:left="1856" w:hanging="1018"/>
        <w:spacing w:line="560" w:lineRule="exact"/>
        <w:rPr>
          <w:rFonts w:hint="eastAsia" w:ascii="黑体" w:hAnsi="Showcard Gothic" w:eastAsia="黑体" w:cs="Times New Roman"/>
          <w:color w:val="000000" w:themeColor="text1"/>
          <w:sz w:val="36"/>
          <w:highlight w:val="none"/>
          <w:lang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第二章  供应商须知……………………………</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7</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第三章  合同文本………………………………</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27</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第四章  采购需求………………………………</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42</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85</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第六章  响应文件格式…………………………</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102</w:t>
      </w:r>
      <w:r/>
    </w:p>
    <w:p>
      <w:pPr>
        <w:ind w:firstLine="420"/>
        <w:spacing w:after="200" w:line="600" w:lineRule="exact"/>
        <w:widowControl/>
        <w:tabs>
          <w:tab w:val="left" w:pos="1440" w:leader="none"/>
        </w:tabs>
        <w:rPr>
          <w:rFonts w:ascii="黑体" w:hAnsi="Showcard Gothic" w:eastAsia="黑体" w:cs="Times New Roman"/>
          <w:color w:val="000000" w:themeColor="text1"/>
          <w:sz w:val="28"/>
          <w:szCs w:val="22"/>
          <w:highlight w:val="none"/>
          <w14:textFill>
            <w14:solidFill>
              <w14:schemeClr w14:val="tx1"/>
            </w14:solidFill>
          </w14:textFill>
        </w:rPr>
      </w:pPr>
      <w:r>
        <w:rPr>
          <w:rFonts w:ascii="黑体" w:hAnsi="Showcard Gothic" w:eastAsia="黑体" w:cs="Times New Roman"/>
          <w:color w:val="000000" w:themeColor="text1"/>
          <w:sz w:val="28"/>
          <w:szCs w:val="22"/>
          <w:highlight w:val="none"/>
          <w14:textFill>
            <w14:solidFill>
              <w14:schemeClr w14:val="tx1"/>
            </w14:solidFill>
          </w14:textFill>
        </w:rPr>
      </w:r>
      <w:r/>
    </w:p>
    <w:p>
      <w:pPr>
        <w:pStyle w:val="1121"/>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700" w:lineRule="exact"/>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5"/>
          <w:footerReference w:type="first" r:id="rId16"/>
          <w:footnotePr/>
          <w:endnotePr/>
          <w:type w:val="nextPage"/>
          <w:pgSz w:w="11906" w:h="16838" w:orient="portrait"/>
          <w:pgMar w:top="1134" w:right="1134" w:bottom="1134" w:left="1134" w:header="737" w:footer="1134" w:gutter="0"/>
          <w:pgNumType w:start="1"/>
          <w:cols w:num="1" w:sep="0" w:space="1701" w:equalWidth="1"/>
          <w:docGrid w:linePitch="360"/>
          <w:titlePg/>
        </w:sectPr>
      </w:pPr>
      <w:r/>
      <w:bookmarkStart w:id="0" w:name="_Toc203060312"/>
      <w:r/>
      <w:r/>
    </w:p>
    <w:p>
      <w:pPr>
        <w:jc w:val="center"/>
        <w:spacing w:line="700" w:lineRule="exact"/>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第一章  </w:t>
      </w:r>
      <w:r>
        <w:rPr>
          <w:rFonts w:hint="eastAsia" w:ascii="Times New Roman" w:hAnsi="Times New Roman" w:eastAsia="黑体" w:cs="黑体"/>
          <w:color w:val="000000" w:themeColor="text1"/>
          <w:sz w:val="44"/>
          <w:szCs w:val="44"/>
          <w:highlight w:val="none"/>
          <w14:textFill>
            <w14:solidFill>
              <w14:schemeClr w14:val="tx1"/>
            </w14:solidFill>
          </w14:textFill>
        </w:rPr>
        <w:t xml:space="preserve">竞争性磋商公告</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4"/>
          <w:szCs w:val="20"/>
          <w:highlight w:val="none"/>
          <w14:textFill>
            <w14:solidFill>
              <w14:schemeClr w14:val="tx1"/>
            </w14:solidFill>
          </w14:textFill>
        </w:rPr>
        <w:t xml:space="preserve">项目概况</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4"/>
          <w:szCs w:val="20"/>
          <w:highlight w:val="none"/>
          <w14:textFill>
            <w14:solidFill>
              <w14:schemeClr w14:val="tx1"/>
            </w14:solidFill>
          </w14:textFill>
        </w:rPr>
        <w:t xml:space="preserve">盐城市碳达峰碳中和数据监测分析管理系统JSZC-320900-JZCG-</w:t>
      </w:r>
      <w:r>
        <w:rPr>
          <w:rFonts w:hint="eastAsia" w:ascii="宋体" w:hAnsi="宋体" w:cs="宋体"/>
          <w:color w:val="000000" w:themeColor="text1"/>
          <w:sz w:val="24"/>
          <w:szCs w:val="20"/>
          <w:highlight w:val="none"/>
          <w:lang w:val="en-US" w:eastAsia="zh-CN"/>
          <w14:textFill>
            <w14:solidFill>
              <w14:schemeClr w14:val="tx1"/>
            </w14:solidFill>
          </w14:textFill>
        </w:rPr>
        <w:t xml:space="preserve">C</w:t>
      </w:r>
      <w:r>
        <w:rPr>
          <w:rFonts w:hint="eastAsia" w:ascii="宋体" w:hAnsi="宋体" w:cs="宋体"/>
          <w:color w:val="000000" w:themeColor="text1"/>
          <w:sz w:val="24"/>
          <w:szCs w:val="20"/>
          <w:highlight w:val="none"/>
          <w14:textFill>
            <w14:solidFill>
              <w14:schemeClr w14:val="tx1"/>
            </w14:solidFill>
          </w14:textFill>
        </w:rPr>
        <w:t xml:space="preserve">2026-</w:t>
      </w:r>
      <w:r>
        <w:rPr>
          <w:rFonts w:hint="eastAsia" w:ascii="宋体" w:hAnsi="宋体" w:cs="宋体"/>
          <w:color w:val="000000" w:themeColor="text1"/>
          <w:sz w:val="24"/>
          <w:szCs w:val="20"/>
          <w:highlight w:val="none"/>
          <w:lang w:val="en-US" w:eastAsia="zh-CN"/>
          <w14:textFill>
            <w14:solidFill>
              <w14:schemeClr w14:val="tx1"/>
            </w14:solidFill>
          </w14:textFill>
        </w:rPr>
        <w:t xml:space="preserve">0032</w:t>
      </w:r>
      <w:r>
        <w:rPr>
          <w:rFonts w:hint="eastAsia" w:ascii="宋体" w:hAnsi="宋体" w:cs="宋体"/>
          <w:color w:val="000000" w:themeColor="text1"/>
          <w:sz w:val="24"/>
          <w:szCs w:val="20"/>
          <w:highlight w:val="none"/>
          <w14:textFill>
            <w14:solidFill>
              <w14:schemeClr w14:val="tx1"/>
            </w14:solidFill>
          </w14:textFill>
        </w:rPr>
        <w:t xml:space="preserve">的潜在供应商应在“苏采云”系统内免费下载（投标人必须在苏采云系统中获取磋商文件，方能参与政府采购项目），并于</w:t>
      </w:r>
      <w:r>
        <w:rPr>
          <w:rFonts w:hint="eastAsia" w:ascii="宋体" w:hAnsi="宋体" w:cs="宋体"/>
          <w:color w:val="000000" w:themeColor="text1"/>
          <w:sz w:val="24"/>
          <w:highlight w:val="none"/>
          <w14:textFill>
            <w14:solidFill>
              <w14:schemeClr w14:val="tx1"/>
            </w14:solidFill>
          </w14:textFill>
        </w:rPr>
        <w:t xml:space="preserve">2026年6月26日9点30分（北京时间）</w:t>
      </w:r>
      <w:r>
        <w:rPr>
          <w:rFonts w:hint="eastAsia" w:ascii="宋体" w:hAnsi="宋体" w:cs="宋体"/>
          <w:color w:val="000000" w:themeColor="text1"/>
          <w:sz w:val="24"/>
          <w:szCs w:val="20"/>
          <w:highlight w:val="none"/>
          <w14:textFill>
            <w14:solidFill>
              <w14:schemeClr w14:val="tx1"/>
            </w14:solidFill>
          </w14:textFill>
        </w:rPr>
        <w:t xml:space="preserve">前递交响应文件。</w:t>
      </w:r>
      <w:bookmarkEnd w:id="0"/>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bookmarkStart w:id="1" w:name="_Toc35393790"/>
      <w:r/>
      <w:bookmarkStart w:id="2" w:name="_Toc28359002"/>
      <w:r/>
      <w:bookmarkStart w:id="3" w:name="_Toc28359079"/>
      <w:r/>
      <w:bookmarkStart w:id="4" w:name="_Toc35393621"/>
      <w:r/>
      <w:bookmarkStart w:id="5" w:name="_Hlk24379207"/>
      <w:r/>
      <w:bookmarkStart w:id="6" w:name="_Toc38985263"/>
      <w:r/>
      <w:bookmarkStart w:id="7" w:name="_Toc28359086"/>
      <w:r>
        <w:rPr>
          <w:rFonts w:hint="eastAsia" w:ascii="宋体" w:hAnsi="宋体" w:cs="宋体"/>
          <w:b/>
          <w:bCs/>
          <w:color w:val="000000" w:themeColor="text1"/>
          <w:sz w:val="24"/>
          <w:szCs w:val="20"/>
          <w:highlight w:val="none"/>
          <w14:textFill>
            <w14:solidFill>
              <w14:schemeClr w14:val="tx1"/>
            </w14:solidFill>
          </w14:textFill>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1.项目编号：JSZC-320900-JZCG-</w:t>
      </w:r>
      <w:r>
        <w:rPr>
          <w:rFonts w:hint="eastAsia" w:ascii="宋体" w:hAnsi="宋体" w:cs="宋体"/>
          <w:color w:val="000000" w:themeColor="text1"/>
          <w:sz w:val="24"/>
          <w:szCs w:val="20"/>
          <w:highlight w:val="none"/>
          <w:lang w:val="en-US" w:eastAsia="zh-CN"/>
          <w14:textFill>
            <w14:solidFill>
              <w14:schemeClr w14:val="tx1"/>
            </w14:solidFill>
          </w14:textFill>
        </w:rPr>
        <w:t xml:space="preserve">C</w:t>
      </w:r>
      <w:r>
        <w:rPr>
          <w:rFonts w:hint="eastAsia" w:ascii="宋体" w:hAnsi="宋体" w:cs="宋体"/>
          <w:color w:val="000000" w:themeColor="text1"/>
          <w:sz w:val="24"/>
          <w:szCs w:val="20"/>
          <w:highlight w:val="none"/>
          <w14:textFill>
            <w14:solidFill>
              <w14:schemeClr w14:val="tx1"/>
            </w14:solidFill>
          </w14:textFill>
        </w:rPr>
        <w:t xml:space="preserve">2026-</w:t>
      </w:r>
      <w:r>
        <w:rPr>
          <w:rFonts w:hint="eastAsia" w:ascii="宋体" w:hAnsi="宋体" w:cs="宋体"/>
          <w:color w:val="000000" w:themeColor="text1"/>
          <w:sz w:val="24"/>
          <w:szCs w:val="20"/>
          <w:highlight w:val="none"/>
          <w:lang w:val="en-US" w:eastAsia="zh-CN"/>
          <w14:textFill>
            <w14:solidFill>
              <w14:schemeClr w14:val="tx1"/>
            </w14:solidFill>
          </w14:textFill>
        </w:rPr>
        <w:t xml:space="preserve">0032</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w:t>
      </w:r>
      <w:bookmarkStart w:id="8" w:name="OLE_LINK3"/>
      <w:r/>
      <w:bookmarkStart w:id="9" w:name="OLE_LINK4"/>
      <w:r>
        <w:rPr>
          <w:rFonts w:hint="eastAsia" w:ascii="宋体" w:hAnsi="宋体" w:cs="宋体"/>
          <w:color w:val="000000" w:themeColor="text1"/>
          <w:sz w:val="24"/>
          <w:szCs w:val="20"/>
          <w:highlight w:val="none"/>
          <w14:textFill>
            <w14:solidFill>
              <w14:schemeClr w14:val="tx1"/>
            </w14:solidFill>
          </w14:textFill>
        </w:rPr>
        <w:t xml:space="preserve">项目名称：盐城市碳达峰碳中和数据监测分析管理系统</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3.采购方式：竞争性磋商</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bookmarkStart w:id="10" w:name="OLE_LINK7"/>
      <w:r>
        <w:rPr>
          <w:rFonts w:hint="eastAsia" w:ascii="宋体" w:hAnsi="宋体" w:cs="宋体"/>
          <w:color w:val="000000" w:themeColor="text1"/>
          <w:sz w:val="24"/>
          <w:szCs w:val="20"/>
          <w:highlight w:val="none"/>
          <w14:textFill>
            <w14:solidFill>
              <w14:schemeClr w14:val="tx1"/>
            </w14:solidFill>
          </w14:textFill>
        </w:rPr>
        <w:t xml:space="preserve">4.预算金额：</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394</w:t>
      </w:r>
      <w:r>
        <w:rPr>
          <w:rFonts w:hint="eastAsia" w:ascii="宋体" w:hAnsi="宋体" w:eastAsia="宋体" w:cs="宋体"/>
          <w:color w:val="000000" w:themeColor="text1"/>
          <w:sz w:val="24"/>
          <w:szCs w:val="20"/>
          <w:highlight w:val="none"/>
          <w14:textFill>
            <w14:solidFill>
              <w14:schemeClr w14:val="tx1"/>
            </w14:solidFill>
          </w14:textFill>
        </w:rPr>
        <w:t xml:space="preserve">.00 万元</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388</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采购包2：</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5.最高限价：</w:t>
      </w:r>
      <w:bookmarkEnd w:id="8"/>
      <w:r/>
      <w:bookmarkEnd w:id="9"/>
      <w:r/>
      <w:bookmarkEnd w:id="10"/>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394</w:t>
      </w:r>
      <w:r>
        <w:rPr>
          <w:rFonts w:hint="eastAsia" w:ascii="宋体" w:hAnsi="宋体" w:eastAsia="宋体" w:cs="宋体"/>
          <w:color w:val="000000" w:themeColor="text1"/>
          <w:sz w:val="24"/>
          <w:szCs w:val="20"/>
          <w:highlight w:val="none"/>
          <w14:textFill>
            <w14:solidFill>
              <w14:schemeClr w14:val="tx1"/>
            </w14:solidFill>
          </w14:textFill>
        </w:rPr>
        <w:t xml:space="preserve">.00 万元</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388</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采购包2：</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default"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default"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6.采购需求：</w:t>
      </w:r>
      <w:bookmarkStart w:id="11" w:name="OLE_LINK1"/>
      <w:r/>
      <w:bookmarkStart w:id="12" w:name="OLE_LINK2"/>
      <w:r>
        <w:rPr>
          <w:rFonts w:hint="eastAsia" w:ascii="宋体" w:hAnsi="宋体" w:cs="宋体"/>
          <w:color w:val="000000" w:themeColor="text1"/>
          <w:sz w:val="24"/>
          <w:szCs w:val="20"/>
          <w:highlight w:val="none"/>
          <w14:textFill>
            <w14:solidFill>
              <w14:schemeClr w14:val="tx1"/>
            </w14:solidFill>
          </w14:textFill>
        </w:rPr>
        <w:t xml:space="preserve">盐城市碳达峰碳中和数据监测分析管理系统，本项目共划分为两个采购包</w:t>
      </w:r>
      <w:r>
        <w:rPr>
          <w:rFonts w:hint="eastAsia" w:ascii="宋体" w:hAnsi="宋体" w:cs="宋体"/>
          <w:color w:val="000000" w:themeColor="text1"/>
          <w:sz w:val="24"/>
          <w:szCs w:val="20"/>
          <w:highlight w:val="none"/>
          <w:lang w:eastAsia="zh-CN"/>
          <w14:textFill>
            <w14:solidFill>
              <w14:schemeClr w14:val="tx1"/>
            </w14:solidFill>
          </w14:textFill>
        </w:rPr>
        <w:t xml:space="preserve">，其中，采购包1</w:t>
      </w:r>
      <w:r>
        <w:rPr>
          <w:rFonts w:hint="eastAsia" w:ascii="宋体" w:hAnsi="宋体" w:cs="宋体"/>
          <w:color w:val="000000" w:themeColor="text1"/>
          <w:sz w:val="24"/>
          <w:szCs w:val="20"/>
          <w:highlight w:val="none"/>
          <w:lang w:val="en-US" w:eastAsia="zh-CN"/>
          <w14:textFill>
            <w14:solidFill>
              <w14:schemeClr w14:val="tx1"/>
            </w14:solidFill>
          </w14:textFill>
        </w:rPr>
        <w:t xml:space="preserve">主要为</w:t>
      </w:r>
      <w:r>
        <w:rPr>
          <w:rFonts w:hint="eastAsia" w:ascii="宋体" w:hAnsi="宋体" w:cs="宋体"/>
          <w:color w:val="000000" w:themeColor="text1"/>
          <w:sz w:val="24"/>
          <w:szCs w:val="20"/>
          <w:highlight w:val="none"/>
          <w14:textFill>
            <w14:solidFill>
              <w14:schemeClr w14:val="tx1"/>
            </w14:solidFill>
          </w14:textFill>
        </w:rPr>
        <w:t xml:space="preserve">盐城市碳达峰碳中和数据监测分析管理系统</w:t>
      </w:r>
      <w:r>
        <w:rPr>
          <w:rFonts w:hint="eastAsia" w:ascii="宋体" w:hAnsi="宋体" w:cs="宋体"/>
          <w:color w:val="000000" w:themeColor="text1"/>
          <w:sz w:val="24"/>
          <w:szCs w:val="20"/>
          <w:highlight w:val="none"/>
          <w:lang w:val="en-US" w:eastAsia="zh-CN"/>
          <w14:textFill>
            <w14:solidFill>
              <w14:schemeClr w14:val="tx1"/>
            </w14:solidFill>
          </w14:textFill>
        </w:rPr>
        <w:t xml:space="preserve">软件设计与开发，采购包2主要为软件测试服务。</w:t>
      </w:r>
      <w:r>
        <w:rPr>
          <w:rFonts w:hint="eastAsia" w:ascii="宋体" w:hAnsi="宋体" w:cs="宋体"/>
          <w:color w:val="000000" w:themeColor="text1"/>
          <w:sz w:val="24"/>
          <w:szCs w:val="20"/>
          <w:highlight w:val="none"/>
          <w14:textFill>
            <w14:solidFill>
              <w14:schemeClr w14:val="tx1"/>
            </w14:solidFill>
          </w14:textFill>
        </w:rPr>
        <w:t xml:space="preserve">具体详见第四章采购需求。</w:t>
      </w:r>
      <w:bookmarkEnd w:id="11"/>
      <w:r/>
      <w:bookmarkEnd w:id="12"/>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供应商可同时投2个采购包，但只能中1个采购包。</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定标顺序为：采购包1→采购包2</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注：当供应商在采购包1中已确定为第一</w:t>
      </w:r>
      <w:r>
        <w:rPr>
          <w:rFonts w:hint="eastAsia" w:ascii="宋体" w:hAnsi="宋体" w:cs="宋体"/>
          <w:color w:val="000000" w:themeColor="text1"/>
          <w:sz w:val="24"/>
          <w:szCs w:val="20"/>
          <w:highlight w:val="none"/>
          <w:lang w:val="en-US" w:eastAsia="zh-CN"/>
          <w14:textFill>
            <w14:solidFill>
              <w14:schemeClr w14:val="tx1"/>
            </w14:solidFill>
          </w14:textFill>
        </w:rPr>
        <w:t xml:space="preserve">成交人</w:t>
      </w:r>
      <w:r>
        <w:rPr>
          <w:rFonts w:hint="eastAsia" w:ascii="宋体" w:hAnsi="宋体" w:cs="宋体"/>
          <w:color w:val="000000" w:themeColor="text1"/>
          <w:sz w:val="24"/>
          <w:szCs w:val="20"/>
          <w:highlight w:val="none"/>
          <w14:textFill>
            <w14:solidFill>
              <w14:schemeClr w14:val="tx1"/>
            </w14:solidFill>
          </w14:textFill>
        </w:rPr>
        <w:t xml:space="preserve">时，其</w:t>
      </w:r>
      <w:r>
        <w:rPr>
          <w:rFonts w:hint="eastAsia" w:ascii="宋体" w:hAnsi="宋体" w:cs="宋体"/>
          <w:color w:val="000000" w:themeColor="text1"/>
          <w:sz w:val="24"/>
          <w:szCs w:val="20"/>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0"/>
          <w:highlight w:val="none"/>
          <w14:textFill>
            <w14:solidFill>
              <w14:schemeClr w14:val="tx1"/>
            </w14:solidFill>
          </w14:textFill>
        </w:rPr>
        <w:t xml:space="preserve">文件</w:t>
      </w:r>
      <w:r>
        <w:rPr>
          <w:rFonts w:hint="eastAsia" w:ascii="宋体" w:hAnsi="宋体" w:cs="宋体"/>
          <w:color w:val="000000" w:themeColor="text1"/>
          <w:sz w:val="24"/>
          <w:szCs w:val="20"/>
          <w:highlight w:val="none"/>
          <w:lang w:val="en-US" w:eastAsia="zh-CN"/>
          <w14:textFill>
            <w14:solidFill>
              <w14:schemeClr w14:val="tx1"/>
            </w14:solidFill>
          </w14:textFill>
        </w:rPr>
        <w:t xml:space="preserve">不再</w:t>
      </w:r>
      <w:r>
        <w:rPr>
          <w:rFonts w:hint="eastAsia" w:ascii="宋体" w:hAnsi="宋体" w:cs="宋体"/>
          <w:color w:val="000000" w:themeColor="text1"/>
          <w:sz w:val="24"/>
          <w:szCs w:val="20"/>
          <w:highlight w:val="none"/>
          <w14:textFill>
            <w14:solidFill>
              <w14:schemeClr w14:val="tx1"/>
            </w14:solidFill>
          </w14:textFill>
        </w:rPr>
        <w:t xml:space="preserve">参与采购包2的评审。</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7</w:t>
      </w:r>
      <w:bookmarkStart w:id="13" w:name="OLE_LINK25"/>
      <w:r/>
      <w:bookmarkStart w:id="14" w:name="OLE_LINK20"/>
      <w:r>
        <w:rPr>
          <w:rFonts w:hint="eastAsia" w:ascii="宋体" w:hAnsi="宋体" w:cs="宋体"/>
          <w:color w:val="000000" w:themeColor="text1"/>
          <w:sz w:val="24"/>
          <w:szCs w:val="20"/>
          <w:highlight w:val="none"/>
          <w14:textFill>
            <w14:solidFill>
              <w14:schemeClr w14:val="tx1"/>
            </w14:solidFill>
          </w14:textFill>
        </w:rPr>
        <w:t xml:space="preserve">.</w:t>
      </w:r>
      <w:bookmarkEnd w:id="13"/>
      <w:r/>
      <w:bookmarkEnd w:id="14"/>
      <w:r>
        <w:rPr>
          <w:rFonts w:hint="eastAsia" w:ascii="宋体" w:hAnsi="宋体" w:cs="宋体"/>
          <w:color w:val="000000" w:themeColor="text1"/>
          <w:sz w:val="24"/>
          <w:szCs w:val="20"/>
          <w:highlight w:val="none"/>
          <w14:textFill>
            <w14:solidFill>
              <w14:schemeClr w14:val="tx1"/>
            </w14:solidFill>
          </w14:textFill>
        </w:rPr>
        <w:t xml:space="preserve">合同履行期限：采购包1</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自合同签订之日起12个月内完成需求调研、设计、编码、测试、实施与上线试运行工作并完成项目最终验收。终验完成后提供3年免费维护及升级服务。采购包2</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lang w:val="en-US" w:eastAsia="zh-CN"/>
          <w14:textFill>
            <w14:solidFill>
              <w14:schemeClr w14:val="tx1"/>
            </w14:solidFill>
          </w14:textFill>
        </w:rPr>
        <w:t xml:space="preserve">自签订测试服务合同之日起开始，直到所测试项目终验合格。(具体履行期按采购人通知为准)。</w:t>
      </w:r>
      <w:r/>
    </w:p>
    <w:p>
      <w:pPr>
        <w:ind w:firstLine="482"/>
        <w:jc w:val="left"/>
        <w:spacing w:line="560" w:lineRule="exact"/>
        <w:widowControl/>
        <w:rPr>
          <w:rFonts w:hint="default" w:ascii="宋体" w:hAnsi="宋体" w:cs="宋体"/>
          <w:color w:val="000000" w:themeColor="text1"/>
          <w:sz w:val="24"/>
          <w:szCs w:val="20"/>
          <w:highlight w:val="none"/>
          <w:lang w:val="en-US"/>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8.本项目（是/否）接受联合体投标：采购包1</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是，成员单位不超过3家。采购包</w:t>
      </w:r>
      <w:r>
        <w:rPr>
          <w:rFonts w:hint="eastAsia" w:ascii="宋体" w:hAnsi="宋体"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lang w:val="en-US" w:eastAsia="zh-CN"/>
          <w14:textFill>
            <w14:solidFill>
              <w14:schemeClr w14:val="tx1"/>
            </w14:solidFill>
          </w14:textFill>
        </w:rPr>
        <w:t xml:space="preserve">否。</w:t>
      </w:r>
      <w:r/>
    </w:p>
    <w:p>
      <w:pPr>
        <w:ind w:firstLine="480"/>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二、申请人的资格要求：</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1.2 </w:t>
      </w:r>
      <w:r>
        <w:rPr>
          <w:rFonts w:hint="eastAsia" w:ascii="宋体" w:hAnsi="宋体" w:cs="宋体"/>
          <w:color w:val="000000" w:themeColor="text1"/>
          <w:sz w:val="24"/>
          <w:szCs w:val="20"/>
          <w:highlight w:val="none"/>
          <w:lang w:val="en-US" w:eastAsia="zh-CN"/>
          <w14:textFill>
            <w14:solidFill>
              <w14:schemeClr w14:val="tx1"/>
            </w14:solidFill>
          </w14:textFill>
        </w:rPr>
        <w:t xml:space="preserve">上一年</w:t>
      </w:r>
      <w:r>
        <w:rPr>
          <w:rFonts w:hint="eastAsia" w:ascii="宋体" w:hAnsi="宋体" w:cs="宋体"/>
          <w:color w:val="000000" w:themeColor="text1"/>
          <w:sz w:val="24"/>
          <w:szCs w:val="20"/>
          <w:highlight w:val="none"/>
          <w14:textFill>
            <w14:solidFill>
              <w14:schemeClr w14:val="tx1"/>
            </w14:solidFill>
          </w14:textFill>
        </w:rPr>
        <w:t xml:space="preserve">度的财务状况报告（成立不满一年无需提供）；</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1.6法律、行政法规规定的其他条件。</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2.落实政府采购政策需满足的资格要求：无</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3.本项目的特定资格要求：无</w:t>
      </w:r>
      <w:r/>
    </w:p>
    <w:p>
      <w:pPr>
        <w:ind w:firstLine="480"/>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三、获取磋商文件</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bookmarkStart w:id="15" w:name="_Toc35393624"/>
      <w:r/>
      <w:bookmarkStart w:id="16" w:name="_Toc38985266"/>
      <w:r/>
      <w:bookmarkStart w:id="17" w:name="_Toc28359082"/>
      <w:r/>
      <w:bookmarkStart w:id="18" w:name="_Toc28359005"/>
      <w:r/>
      <w:bookmarkStart w:id="19" w:name="_Toc35393793"/>
      <w:r>
        <w:rPr>
          <w:rFonts w:hint="eastAsia" w:ascii="宋体" w:hAnsi="宋体" w:cs="宋体"/>
          <w:color w:val="000000" w:themeColor="text1"/>
          <w:sz w:val="24"/>
          <w:szCs w:val="20"/>
          <w:highlight w:val="none"/>
          <w14:textFill>
            <w14:solidFill>
              <w14:schemeClr w14:val="tx1"/>
            </w14:solidFill>
          </w14:textFill>
        </w:rPr>
        <w:t xml:space="preserve">1.时间：自磋商文件公告发布之日起5个工作日。</w:t>
      </w:r>
      <w:bookmarkEnd w:id="15"/>
      <w:r/>
      <w:bookmarkEnd w:id="16"/>
      <w:r/>
      <w:bookmarkEnd w:id="17"/>
      <w:r/>
      <w:bookmarkEnd w:id="18"/>
      <w:r/>
      <w:bookmarkEnd w:id="19"/>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2.地点：“苏采云”系统内免费下载（投标人必须在苏采云系统中获取磋商文件，方能参与政府采购项目）；</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3.方式：本项目采用网上注册登记方式。</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4.售价：0元</w:t>
      </w:r>
      <w:r/>
    </w:p>
    <w:p>
      <w:pPr>
        <w:ind w:firstLine="480"/>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四、响应文件提交</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1.截止时间：2026年6月26日</w:t>
      </w:r>
      <w:r>
        <w:rPr>
          <w:rFonts w:hint="eastAsia" w:ascii="宋体" w:hAnsi="宋体" w:cs="宋体"/>
          <w:color w:val="000000" w:themeColor="text1"/>
          <w:sz w:val="24"/>
          <w:szCs w:val="20"/>
          <w:highlight w:val="none"/>
          <w:lang w:val="en-US" w:eastAsia="zh-CN"/>
          <w14:textFill>
            <w14:solidFill>
              <w14:schemeClr w14:val="tx1"/>
            </w14:solidFill>
          </w14:textFill>
        </w:rPr>
        <w:t xml:space="preserve">9 </w:t>
      </w:r>
      <w:r>
        <w:rPr>
          <w:rFonts w:hint="eastAsia" w:ascii="宋体" w:hAnsi="宋体" w:cs="宋体"/>
          <w:color w:val="000000" w:themeColor="text1"/>
          <w:sz w:val="24"/>
          <w:szCs w:val="20"/>
          <w:highlight w:val="none"/>
          <w14:textFill>
            <w14:solidFill>
              <w14:schemeClr w14:val="tx1"/>
            </w14:solidFill>
          </w14:textFill>
        </w:rPr>
        <w:t xml:space="preserve">点30</w:t>
      </w:r>
      <w:r>
        <w:rPr>
          <w:rFonts w:hint="eastAsia" w:ascii="宋体" w:hAnsi="宋体"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分（北京时间）。</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2.地点：苏采云“不见面”开标大厅。</w:t>
      </w:r>
      <w:r/>
    </w:p>
    <w:p>
      <w:pPr>
        <w:ind w:firstLine="480"/>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bookmarkStart w:id="20" w:name="_Toc35393795"/>
      <w:r/>
      <w:bookmarkStart w:id="21" w:name="_Toc38985268"/>
      <w:r/>
      <w:bookmarkStart w:id="22" w:name="_Toc35393626"/>
      <w:r>
        <w:rPr>
          <w:rFonts w:hint="eastAsia" w:ascii="宋体" w:hAnsi="宋体" w:cs="宋体"/>
          <w:b/>
          <w:bCs/>
          <w:color w:val="000000" w:themeColor="text1"/>
          <w:sz w:val="24"/>
          <w:szCs w:val="20"/>
          <w:highlight w:val="none"/>
          <w14:textFill>
            <w14:solidFill>
              <w14:schemeClr w14:val="tx1"/>
            </w14:solidFill>
          </w14:textFill>
        </w:rPr>
        <w:t xml:space="preserve">五、开启</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1.时间：2026年6</w:t>
      </w:r>
      <w:r>
        <w:rPr>
          <w:rFonts w:hint="eastAsia" w:ascii="宋体" w:hAnsi="宋体" w:cs="宋体"/>
          <w:color w:val="000000" w:themeColor="text1"/>
          <w:sz w:val="24"/>
          <w:szCs w:val="20"/>
          <w:highlight w:val="none"/>
          <w14:textFill>
            <w14:solidFill>
              <w14:schemeClr w14:val="tx1"/>
            </w14:solidFill>
          </w14:textFill>
        </w:rPr>
        <w:t xml:space="preserve">月26</w:t>
      </w:r>
      <w:r>
        <w:rPr>
          <w:rFonts w:hint="eastAsia" w:ascii="宋体" w:hAnsi="宋体" w:cs="宋体"/>
          <w:color w:val="000000" w:themeColor="text1"/>
          <w:sz w:val="24"/>
          <w:szCs w:val="20"/>
          <w:highlight w:val="none"/>
          <w14:textFill>
            <w14:solidFill>
              <w14:schemeClr w14:val="tx1"/>
            </w14:solidFill>
          </w14:textFill>
        </w:rPr>
        <w:t xml:space="preserve">日9</w:t>
      </w:r>
      <w:r>
        <w:rPr>
          <w:rFonts w:hint="eastAsia" w:ascii="宋体" w:hAnsi="宋体" w:cs="宋体"/>
          <w:color w:val="000000" w:themeColor="text1"/>
          <w:sz w:val="24"/>
          <w:szCs w:val="20"/>
          <w:highlight w:val="none"/>
          <w14:textFill>
            <w14:solidFill>
              <w14:schemeClr w14:val="tx1"/>
            </w14:solidFill>
          </w14:textFill>
        </w:rPr>
        <w:t xml:space="preserve">点30</w:t>
      </w:r>
      <w:r>
        <w:rPr>
          <w:rFonts w:hint="eastAsia" w:ascii="宋体" w:hAnsi="宋体"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分（北京时间）。</w:t>
      </w:r>
      <w:bookmarkEnd w:id="20"/>
      <w:r/>
      <w:bookmarkEnd w:id="21"/>
      <w:r/>
      <w:bookmarkEnd w:id="22"/>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2.地点：苏采云“不见面”开标大厅。</w:t>
      </w:r>
      <w:r/>
    </w:p>
    <w:p>
      <w:pPr>
        <w:ind w:firstLine="480"/>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bookmarkStart w:id="23" w:name="_Toc28359094"/>
      <w:r>
        <w:rPr>
          <w:rFonts w:hint="eastAsia" w:ascii="宋体" w:hAnsi="宋体" w:cs="宋体"/>
          <w:b/>
          <w:bCs/>
          <w:color w:val="000000" w:themeColor="text1"/>
          <w:sz w:val="24"/>
          <w:szCs w:val="20"/>
          <w:highlight w:val="none"/>
          <w14:textFill>
            <w14:solidFill>
              <w14:schemeClr w14:val="tx1"/>
            </w14:solidFill>
          </w14:textFill>
        </w:rPr>
        <w:t xml:space="preserve">六、公告期限</w:t>
      </w:r>
      <w:bookmarkEnd w:id="23"/>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自本公告发布之日起3个工作日。</w:t>
      </w:r>
      <w:r/>
    </w:p>
    <w:p>
      <w:pPr>
        <w:ind w:firstLine="480"/>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七、其他补充事宜</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2.2潜在投标人访问“苏采云”系统方法：江苏省政府采购网首页-“苏采云”链接。 </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2.3采购文件（后缀名为“.kedt”）、供应商操作手册及政府采购客户端工具可通过“苏采云”系统相应链接进行下载。 </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2.4采购代理机构将数据电文形式的采购文件加载至“苏采云”系统，供潜在供应商下载或者查阅。 </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3.有关本次磋商的事项若存在变动或修改，敬请及时关注盐城市政府采购中心在“中国政府采购网”“江苏政府采购网”“盐城市政府采购网”发布的更正公告。</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宋体"/>
          <w:color w:val="000000" w:themeColor="text1"/>
          <w:sz w:val="24"/>
          <w:szCs w:val="20"/>
          <w:highlight w:val="none"/>
          <w14:textFill>
            <w14:solidFill>
              <w14:schemeClr w14:val="tx1"/>
            </w14:solidFill>
          </w14:textFill>
        </w:rPr>
        <w:t xml:space="preserve">4.本次磋商不收取投标保证金，不收取质量保证金。</w:t>
      </w:r>
      <w:r/>
    </w:p>
    <w:p>
      <w:pPr>
        <w:ind w:firstLine="480"/>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七、对本次采购提出询问，请按以下方式联系。</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1.采购人信息 </w:t>
      </w:r>
      <w:r/>
    </w:p>
    <w:p>
      <w:pPr>
        <w:ind w:firstLine="482"/>
        <w:jc w:val="left"/>
        <w:spacing w:line="52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单位名称：</w:t>
      </w:r>
      <w:r>
        <w:rPr>
          <w:rFonts w:hint="eastAsia" w:ascii="宋体" w:hAnsi="宋体" w:cs="宋体"/>
          <w:color w:val="000000" w:themeColor="text1"/>
          <w:sz w:val="24"/>
          <w:szCs w:val="20"/>
          <w:highlight w:val="none"/>
          <w14:textFill>
            <w14:solidFill>
              <w14:schemeClr w14:val="tx1"/>
            </w14:solidFill>
          </w14:textFill>
        </w:rPr>
        <w:t xml:space="preserve">盐城市发展和改革委员会</w:t>
      </w:r>
      <w:r/>
    </w:p>
    <w:p>
      <w:pPr>
        <w:ind w:firstLine="482"/>
        <w:jc w:val="left"/>
        <w:spacing w:line="52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单位地址：</w:t>
      </w:r>
      <w:r>
        <w:rPr>
          <w:rFonts w:hint="eastAsia" w:ascii="宋体" w:hAnsi="宋体" w:cs="宋体"/>
          <w:color w:val="000000" w:themeColor="text1"/>
          <w:sz w:val="24"/>
          <w:szCs w:val="20"/>
          <w:highlight w:val="none"/>
          <w14:textFill>
            <w14:solidFill>
              <w14:schemeClr w14:val="tx1"/>
            </w14:solidFill>
          </w14:textFill>
        </w:rPr>
        <w:t xml:space="preserve">盐城市盐都区世纪大道21号</w:t>
      </w:r>
      <w:r/>
    </w:p>
    <w:p>
      <w:pPr>
        <w:ind w:firstLine="482"/>
        <w:jc w:val="left"/>
        <w:spacing w:line="52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 系 人：</w:t>
      </w:r>
      <w:r>
        <w:rPr>
          <w:rFonts w:hint="eastAsia" w:ascii="宋体" w:hAnsi="宋体" w:cs="宋体"/>
          <w:color w:val="000000" w:themeColor="text1"/>
          <w:sz w:val="24"/>
          <w:szCs w:val="20"/>
          <w:highlight w:val="none"/>
          <w14:textFill>
            <w14:solidFill>
              <w14:schemeClr w14:val="tx1"/>
            </w14:solidFill>
          </w14:textFill>
        </w:rPr>
        <w:t xml:space="preserve">刘先生</w:t>
      </w:r>
      <w:r/>
    </w:p>
    <w:p>
      <w:pPr>
        <w:ind w:firstLine="482"/>
        <w:jc w:val="left"/>
        <w:spacing w:line="52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联系电话：</w:t>
      </w:r>
      <w:r>
        <w:rPr>
          <w:rFonts w:hint="eastAsia" w:ascii="宋体" w:hAnsi="宋体" w:cs="宋体" w:eastAsiaTheme="minorEastAsia"/>
          <w:color w:val="000000" w:themeColor="text1"/>
          <w:sz w:val="24"/>
          <w:szCs w:val="20"/>
          <w:highlight w:val="none"/>
          <w14:textFill>
            <w14:solidFill>
              <w14:schemeClr w14:val="tx1"/>
            </w14:solidFill>
          </w14:textFill>
        </w:rPr>
        <w:t xml:space="preserve">0515-</w:t>
      </w:r>
      <w:r>
        <w:rPr>
          <w:rFonts w:hint="eastAsia" w:ascii="宋体" w:hAnsi="宋体" w:cs="宋体"/>
          <w:color w:val="000000" w:themeColor="text1"/>
          <w:sz w:val="24"/>
          <w:szCs w:val="20"/>
          <w:highlight w:val="none"/>
          <w14:textFill>
            <w14:solidFill>
              <w14:schemeClr w14:val="tx1"/>
            </w14:solidFill>
          </w14:textFill>
        </w:rPr>
        <w:t xml:space="preserve">86660550</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2.采购代理机构信息</w:t>
      </w:r>
      <w:r/>
    </w:p>
    <w:p>
      <w:pPr>
        <w:ind w:firstLine="482"/>
        <w:jc w:val="left"/>
        <w:spacing w:line="52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名 </w:t>
      </w: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称：盐城市政府采购中心 </w:t>
      </w:r>
      <w:r/>
    </w:p>
    <w:p>
      <w:pPr>
        <w:ind w:firstLine="482"/>
        <w:jc w:val="left"/>
        <w:spacing w:line="52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2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 系 人： </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倪女士</w:t>
      </w:r>
      <w:r>
        <w:rPr>
          <w:rFonts w:hint="eastAsia" w:ascii="宋体" w:hAnsi="宋体" w:eastAsia="Arial" w:cs="宋体"/>
          <w:color w:val="000000" w:themeColor="text1"/>
          <w:sz w:val="24"/>
          <w:szCs w:val="20"/>
          <w:highlight w:val="none"/>
          <w14:textFill>
            <w14:solidFill>
              <w14:schemeClr w14:val="tx1"/>
            </w14:solidFill>
          </w14:textFill>
        </w:rPr>
        <w:t xml:space="preserve">                   </w:t>
      </w:r>
      <w:r/>
    </w:p>
    <w:p>
      <w:pPr>
        <w:ind w:firstLine="482"/>
        <w:jc w:val="left"/>
        <w:spacing w:line="52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联系方式：</w:t>
      </w:r>
      <w:bookmarkStart w:id="24" w:name="_Toc28359087"/>
      <w:r/>
      <w:bookmarkStart w:id="25" w:name="_Toc28359010"/>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0515-69083502</w:t>
      </w:r>
      <w:r>
        <w:rPr>
          <w:rFonts w:hint="eastAsia" w:ascii="宋体" w:hAnsi="宋体" w:eastAsia="Arial" w:cs="宋体"/>
          <w:color w:val="000000" w:themeColor="text1"/>
          <w:sz w:val="24"/>
          <w:szCs w:val="20"/>
          <w:highlight w:val="none"/>
          <w14:textFill>
            <w14:solidFill>
              <w14:schemeClr w14:val="tx1"/>
            </w14:solidFill>
          </w14:textFill>
        </w:rPr>
        <w:t xml:space="preserve"> </w:t>
      </w:r>
      <w:bookmarkEnd w:id="24"/>
      <w:r/>
      <w:bookmarkEnd w:id="25"/>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26" w:name="_Toc28359021"/>
      <w:r>
        <w:rPr>
          <w:rFonts w:hint="eastAsia" w:ascii="宋体" w:hAnsi="宋体" w:eastAsia="Arial" w:cs="宋体"/>
          <w:b/>
          <w:bCs/>
          <w:color w:val="000000" w:themeColor="text1"/>
          <w:sz w:val="24"/>
          <w:szCs w:val="20"/>
          <w:highlight w:val="none"/>
          <w14:textFill>
            <w14:solidFill>
              <w14:schemeClr w14:val="tx1"/>
            </w14:solidFill>
          </w14:textFill>
        </w:rPr>
        <w:t xml:space="preserve">3.</w:t>
      </w:r>
      <w:bookmarkEnd w:id="26"/>
      <w:r>
        <w:rPr>
          <w:rFonts w:hint="eastAsia" w:ascii="宋体" w:hAnsi="宋体" w:eastAsia="Arial" w:cs="宋体"/>
          <w:b/>
          <w:bCs/>
          <w:color w:val="000000" w:themeColor="text1"/>
          <w:sz w:val="24"/>
          <w:szCs w:val="20"/>
          <w:highlight w:val="none"/>
          <w14:textFill>
            <w14:solidFill>
              <w14:schemeClr w14:val="tx1"/>
            </w14:solidFill>
          </w14:textFill>
        </w:rPr>
        <w:t xml:space="preserve">项目联系方式</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项目联系人：</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倪女士</w:t>
      </w:r>
      <w:r/>
    </w:p>
    <w:p>
      <w:pPr>
        <w:ind w:firstLine="480"/>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w:t>
      </w: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系</w:t>
      </w: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电话：</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0515-69083502</w:t>
      </w:r>
      <w:r/>
    </w:p>
    <w:p>
      <w:pPr>
        <w:spacing w:line="400" w:lineRule="exact"/>
        <w:rPr>
          <w:rFonts w:hint="eastAsia" w:ascii="黑体" w:hAnsi="黑体" w:eastAsia="黑体" w:cs="黑体"/>
          <w:color w:val="000000" w:themeColor="text1"/>
          <w:sz w:val="44"/>
          <w:szCs w:val="20"/>
          <w:highlight w:val="none"/>
          <w14:textFill>
            <w14:solidFill>
              <w14:schemeClr w14:val="tx1"/>
            </w14:solidFill>
          </w14:textFill>
        </w:rPr>
      </w:pPr>
      <w:r/>
      <w:bookmarkStart w:id="27" w:name="_Toc203060313"/>
      <w:r/>
      <w:bookmarkStart w:id="28" w:name="_Toc120614211"/>
      <w:r/>
      <w:bookmarkEnd w:id="27"/>
      <w:r/>
      <w:bookmarkEnd w:id="28"/>
      <w:r/>
      <w:r/>
    </w:p>
    <w:p>
      <w:pPr>
        <w:rPr>
          <w:rFonts w:hint="eastAsia" w:eastAsia="黑体" w:cs="黑体"/>
          <w:color w:val="000000" w:themeColor="text1"/>
          <w:sz w:val="44"/>
          <w:szCs w:val="44"/>
          <w:highlight w:val="none"/>
          <w14:textFill>
            <w14:solidFill>
              <w14:schemeClr w14:val="tx1"/>
            </w14:solidFill>
          </w14:textFill>
        </w:rPr>
      </w:pPr>
      <w:r/>
      <w:bookmarkStart w:id="29" w:name="_Toc222837039"/>
      <w:r/>
      <w:bookmarkStart w:id="30" w:name="_Toc203060314"/>
      <w:r/>
      <w:bookmarkStart w:id="31" w:name="_Toc16938590"/>
      <w:r/>
      <w:bookmarkStart w:id="32" w:name="_Toc479757211"/>
      <w:r/>
      <w:bookmarkStart w:id="33" w:name="_Toc462564139"/>
      <w:r/>
      <w:bookmarkStart w:id="34" w:name="_Toc120614244"/>
      <w:r/>
      <w:bookmarkStart w:id="35" w:name="_Toc20823346"/>
      <w:r/>
      <w:bookmarkStart w:id="36" w:name="_Hlt26954852"/>
      <w:r/>
      <w:bookmarkStart w:id="37" w:name="_Hlt26670360"/>
      <w:r/>
      <w:bookmarkStart w:id="38" w:name="_Hlt26954848"/>
      <w:r/>
      <w:bookmarkStart w:id="39" w:name="_Hlt26954846"/>
      <w:r/>
      <w:bookmarkStart w:id="40" w:name="_Toc513029226"/>
      <w:r/>
      <w:bookmarkStart w:id="41" w:name="_Hlt16619475"/>
      <w:r/>
      <w:bookmarkStart w:id="42" w:name="_Hlt26668975"/>
      <w:r/>
      <w:bookmarkStart w:id="43" w:name="_Hlt26954731"/>
      <w:r/>
      <w:bookmarkStart w:id="44" w:name="_Hlt26954838"/>
      <w:r/>
      <w:bookmarkStart w:id="45" w:name="_Hlt16619350"/>
      <w:r/>
      <w:bookmarkStart w:id="46" w:name="_Hlt26954739"/>
      <w:r/>
      <w:bookmarkStart w:id="47" w:name="_Hlt26670486"/>
      <w:r/>
      <w:bookmarkStart w:id="48" w:name="_Hlt16619369"/>
      <w:r/>
      <w:bookmarkStart w:id="49" w:name="_Hlt26670482"/>
      <w:r>
        <w:rPr>
          <w:rFonts w:hint="eastAsia" w:eastAsia="黑体" w:cs="黑体"/>
          <w:color w:val="000000" w:themeColor="text1"/>
          <w:sz w:val="44"/>
          <w:szCs w:val="44"/>
          <w:highlight w:val="none"/>
          <w14:textFill>
            <w14:solidFill>
              <w14:schemeClr w14:val="tx1"/>
            </w14:solidFill>
          </w14:textFill>
        </w:rPr>
        <w:br w:type="page" w:clear="all"/>
      </w:r>
      <w:r/>
    </w:p>
    <w:p>
      <w:pPr>
        <w:pStyle w:val="931"/>
        <w:jc w:val="center"/>
        <w:spacing w:line="508" w:lineRule="exact"/>
        <w:rPr>
          <w:rFonts w:eastAsia="黑体" w:cs="黑体"/>
          <w:color w:val="000000" w:themeColor="text1"/>
          <w:sz w:val="44"/>
          <w:szCs w:val="44"/>
          <w:highlight w:val="none"/>
          <w14:textFill>
            <w14:solidFill>
              <w14:schemeClr w14:val="tx1"/>
            </w14:solidFill>
          </w14:textFill>
        </w:rPr>
        <w:outlineLvl w:val="0"/>
      </w:pPr>
      <w:r>
        <w:rPr>
          <w:rFonts w:hint="eastAsia" w:eastAsia="黑体" w:cs="黑体"/>
          <w:color w:val="000000" w:themeColor="text1"/>
          <w:sz w:val="44"/>
          <w:szCs w:val="44"/>
          <w:highlight w:val="none"/>
          <w14:textFill>
            <w14:solidFill>
              <w14:schemeClr w14:val="tx1"/>
            </w14:solidFill>
          </w14:textFill>
        </w:rPr>
        <w:t xml:space="preserve">第二章  供应商须知</w:t>
      </w:r>
      <w:bookmarkEnd w:id="29"/>
      <w:r/>
      <w:r/>
    </w:p>
    <w:p>
      <w:pPr>
        <w:ind w:firstLine="560"/>
        <w:spacing w:line="508" w:lineRule="exact"/>
        <w:rPr>
          <w:rFonts w:ascii="Times New Roman" w:hAnsi="Times New Roman"/>
          <w:color w:val="000000" w:themeColor="text1"/>
          <w:sz w:val="28"/>
          <w:szCs w:val="28"/>
          <w:highlight w:val="none"/>
          <w14:textFill>
            <w14:solidFill>
              <w14:schemeClr w14:val="tx1"/>
            </w14:solidFill>
          </w14:textFill>
        </w:rPr>
      </w:pPr>
      <w:r>
        <w:rPr>
          <w:rFonts w:ascii="Times New Roman" w:hAnsi="Times New Roman"/>
          <w:color w:val="000000" w:themeColor="text1"/>
          <w:sz w:val="28"/>
          <w:szCs w:val="28"/>
          <w:highlight w:val="none"/>
          <w14:textFill>
            <w14:solidFill>
              <w14:schemeClr w14:val="tx1"/>
            </w14:solidFill>
          </w14:textFill>
        </w:rPr>
      </w:r>
      <w:r/>
    </w:p>
    <w:p>
      <w:pPr>
        <w:pStyle w:val="931"/>
        <w:ind w:firstLine="560"/>
        <w:jc w:val="both"/>
        <w:spacing w:line="508" w:lineRule="exact"/>
        <w:rPr>
          <w:rFonts w:eastAsia="方正黑体_GBK" w:cs="宋体"/>
          <w:color w:val="000000" w:themeColor="text1"/>
          <w:sz w:val="24"/>
          <w:szCs w:val="24"/>
          <w:highlight w:val="none"/>
          <w14:textFill>
            <w14:solidFill>
              <w14:schemeClr w14:val="tx1"/>
            </w14:solidFill>
          </w14:textFill>
        </w:rPr>
      </w:pPr>
      <w:r/>
      <w:bookmarkStart w:id="50" w:name="_Toc513029203"/>
      <w:r/>
      <w:bookmarkStart w:id="51" w:name="_Toc16938519"/>
      <w:r/>
      <w:bookmarkStart w:id="52" w:name="_Toc120614214"/>
      <w:r/>
      <w:bookmarkStart w:id="53" w:name="_Toc20823275"/>
      <w:r>
        <w:rPr>
          <w:rFonts w:hint="eastAsia" w:eastAsia="方正黑体_GBK" w:cs="宋体"/>
          <w:color w:val="000000" w:themeColor="text1"/>
          <w:sz w:val="24"/>
          <w:szCs w:val="24"/>
          <w:highlight w:val="none"/>
          <w14:textFill>
            <w14:solidFill>
              <w14:schemeClr w14:val="tx1"/>
            </w14:solidFill>
          </w14:textFill>
        </w:rPr>
        <w:t xml:space="preserve">一、总则</w:t>
      </w:r>
      <w:bookmarkEnd w:id="50"/>
      <w:r/>
      <w:bookmarkEnd w:id="51"/>
      <w:r/>
      <w:bookmarkEnd w:id="52"/>
      <w:r/>
      <w:bookmarkEnd w:id="53"/>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54" w:name="_Toc20823276"/>
      <w:r/>
      <w:bookmarkStart w:id="55" w:name="_Toc513029204"/>
      <w:r/>
      <w:bookmarkStart w:id="56" w:name="_Toc458694821"/>
      <w:r/>
      <w:bookmarkStart w:id="57" w:name="_Toc16938520"/>
      <w:r>
        <w:rPr>
          <w:rFonts w:hint="eastAsia" w:eastAsia="宋体" w:cs="宋体"/>
          <w:color w:val="000000" w:themeColor="text1"/>
          <w:sz w:val="24"/>
          <w:szCs w:val="24"/>
          <w:highlight w:val="none"/>
          <w14:textFill>
            <w14:solidFill>
              <w14:schemeClr w14:val="tx1"/>
            </w14:solidFill>
          </w14:textFill>
        </w:rPr>
        <w:t xml:space="preserve">1</w:t>
      </w:r>
      <w:bookmarkEnd w:id="54"/>
      <w:r>
        <w:rPr>
          <w:rFonts w:hint="eastAsia" w:eastAsia="宋体" w:cs="宋体"/>
          <w:color w:val="000000" w:themeColor="text1"/>
          <w:sz w:val="24"/>
          <w:szCs w:val="24"/>
          <w:highlight w:val="none"/>
          <w14:textFill>
            <w14:solidFill>
              <w14:schemeClr w14:val="tx1"/>
            </w14:solidFill>
          </w14:textFill>
        </w:rPr>
        <w:t xml:space="preserve">.采购方式</w:t>
      </w:r>
      <w:bookmarkEnd w:id="55"/>
      <w:r/>
      <w:bookmarkEnd w:id="56"/>
      <w:r/>
      <w:bookmarkEnd w:id="57"/>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1.1本次政府采购活动采取竞争性磋商(以下简称磋商)方式，本磋商文件仅适用于磋商公告中所述项目。</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58" w:name="_Toc20823277"/>
      <w:r/>
      <w:bookmarkStart w:id="59" w:name="_Toc513029205"/>
      <w:r/>
      <w:bookmarkStart w:id="60" w:name="_Toc16938521"/>
      <w:r>
        <w:rPr>
          <w:rFonts w:hint="eastAsia" w:eastAsia="宋体" w:cs="宋体"/>
          <w:color w:val="000000" w:themeColor="text1"/>
          <w:sz w:val="24"/>
          <w:szCs w:val="24"/>
          <w:highlight w:val="none"/>
          <w14:textFill>
            <w14:solidFill>
              <w14:schemeClr w14:val="tx1"/>
            </w14:solidFill>
          </w14:textFill>
        </w:rPr>
        <w:t xml:space="preserve">2.合格的</w:t>
      </w:r>
      <w:bookmarkEnd w:id="58"/>
      <w:r/>
      <w:bookmarkEnd w:id="59"/>
      <w:r/>
      <w:bookmarkEnd w:id="60"/>
      <w:r>
        <w:rPr>
          <w:rFonts w:hint="eastAsia" w:eastAsia="宋体" w:cs="宋体"/>
          <w:color w:val="000000" w:themeColor="text1"/>
          <w:sz w:val="24"/>
          <w:szCs w:val="24"/>
          <w:highlight w:val="none"/>
          <w14:textFill>
            <w14:solidFill>
              <w14:schemeClr w14:val="tx1"/>
            </w14:solidFill>
          </w14:textFill>
        </w:rPr>
        <w:t xml:space="preserve">供应商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2.1满足磋商公告中供应商资格要求的规定。</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2.2满足本磋商文件实质性要求和条件的规定。</w:t>
      </w:r>
      <w:r/>
    </w:p>
    <w:p>
      <w:pPr>
        <w:ind w:firstLine="560"/>
        <w:spacing w:line="508" w:lineRule="exact"/>
        <w:rPr>
          <w:rFonts w:ascii="Times New Roman" w:hAnsi="Times New Roman" w:cs="方正魏碑_GBK"/>
          <w:color w:val="000000" w:themeColor="text1"/>
          <w:sz w:val="24"/>
          <w:highlight w:val="none"/>
          <w14:textFill>
            <w14:solidFill>
              <w14:schemeClr w14:val="tx1"/>
            </w14:solidFill>
          </w14:textFill>
        </w:rPr>
      </w:pPr>
      <w:r/>
      <w:bookmarkStart w:id="61" w:name="_Toc20823278"/>
      <w:r/>
      <w:bookmarkStart w:id="62" w:name="_Toc16938522"/>
      <w:r/>
      <w:bookmarkStart w:id="63" w:name="_Toc513029206"/>
      <w:r/>
      <w:bookmarkStart w:id="64" w:name="_Toc16938523"/>
      <w:r/>
      <w:bookmarkStart w:id="65" w:name="_Toc513029207"/>
      <w:r/>
      <w:bookmarkStart w:id="66" w:name="_Toc20823279"/>
      <w:r/>
      <w:bookmarkStart w:id="67" w:name="_Toc462564067"/>
      <w:r>
        <w:rPr>
          <w:rFonts w:hint="eastAsia" w:ascii="Times New Roman" w:hAnsi="Times New Roman" w:cs="方正魏碑_GBK"/>
          <w:color w:val="000000" w:themeColor="text1"/>
          <w:sz w:val="24"/>
          <w:highlight w:val="none"/>
          <w14:textFill>
            <w14:solidFill>
              <w14:schemeClr w14:val="tx1"/>
            </w14:solidFill>
          </w14:textFill>
        </w:rPr>
        <w:t xml:space="preserve">3.适用法律</w:t>
      </w:r>
      <w:bookmarkEnd w:id="61"/>
      <w:r/>
      <w:bookmarkEnd w:id="62"/>
      <w:r/>
      <w:bookmarkEnd w:id="63"/>
      <w:r>
        <w:rPr>
          <w:rFonts w:hint="eastAsia" w:ascii="Times New Roman" w:hAnsi="Times New Roman" w:cs="方正魏碑_GBK"/>
          <w:color w:val="000000" w:themeColor="text1"/>
          <w:sz w:val="24"/>
          <w:highlight w:val="none"/>
          <w14:textFill>
            <w14:solidFill>
              <w14:schemeClr w14:val="tx1"/>
            </w14:solidFill>
          </w14:textFill>
        </w:rPr>
        <w:t xml:space="preserve">和标准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方正魏碑_GBK"/>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4.磋商费用</w:t>
      </w:r>
      <w:bookmarkEnd w:id="64"/>
      <w:r/>
      <w:bookmarkEnd w:id="65"/>
      <w:r/>
      <w:bookmarkEnd w:id="66"/>
      <w:r/>
      <w:bookmarkEnd w:id="67"/>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4.1供应商应自行承担所有与参加本次磋商有关的费用，无论磋商过程中的做法和结果如何，盐城市政府采购中心（以下简称采购中心）在任何情况下均无义务和责任承担这些费用。</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4.2本次磋商采购中心和采购人不收取标书工本费与成交服务费。</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5.磋商文件的约束力</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5.1供应商一旦参加本项目采购活动，即被认为接受了本磋商文件的规定和约束。</w:t>
      </w:r>
      <w:r/>
    </w:p>
    <w:p>
      <w:pPr>
        <w:pStyle w:val="931"/>
        <w:ind w:firstLine="560"/>
        <w:jc w:val="both"/>
        <w:spacing w:line="508" w:lineRule="exact"/>
        <w:rPr>
          <w:rFonts w:eastAsia="方正黑体_GBK" w:cs="宋体"/>
          <w:color w:val="000000" w:themeColor="text1"/>
          <w:sz w:val="24"/>
          <w:szCs w:val="24"/>
          <w:highlight w:val="none"/>
          <w14:textFill>
            <w14:solidFill>
              <w14:schemeClr w14:val="tx1"/>
            </w14:solidFill>
          </w14:textFill>
        </w:rPr>
      </w:pPr>
      <w:r/>
      <w:bookmarkStart w:id="68" w:name="_Toc120614215"/>
      <w:r/>
      <w:bookmarkStart w:id="69" w:name="_Toc20823281"/>
      <w:r/>
      <w:bookmarkStart w:id="70" w:name="_Toc16938525"/>
      <w:r/>
      <w:bookmarkStart w:id="71" w:name="_Toc513029209"/>
      <w:r>
        <w:rPr>
          <w:rFonts w:hint="eastAsia" w:eastAsia="方正黑体_GBK" w:cs="宋体"/>
          <w:color w:val="000000" w:themeColor="text1"/>
          <w:sz w:val="24"/>
          <w:szCs w:val="24"/>
          <w:highlight w:val="none"/>
          <w14:textFill>
            <w14:solidFill>
              <w14:schemeClr w14:val="tx1"/>
            </w14:solidFill>
          </w14:textFill>
        </w:rPr>
        <w:t xml:space="preserve">二、</w:t>
      </w:r>
      <w:bookmarkEnd w:id="68"/>
      <w:r/>
      <w:bookmarkEnd w:id="69"/>
      <w:r/>
      <w:bookmarkEnd w:id="70"/>
      <w:r/>
      <w:bookmarkEnd w:id="71"/>
      <w:r>
        <w:rPr>
          <w:rFonts w:hint="eastAsia" w:eastAsia="方正黑体_GBK" w:cs="宋体"/>
          <w:color w:val="000000" w:themeColor="text1"/>
          <w:sz w:val="24"/>
          <w:szCs w:val="24"/>
          <w:highlight w:val="none"/>
          <w14:textFill>
            <w14:solidFill>
              <w14:schemeClr w14:val="tx1"/>
            </w14:solidFill>
          </w14:textFill>
        </w:rPr>
        <w:t xml:space="preserve">磋商文件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72" w:name="_Toc16938526"/>
      <w:r/>
      <w:bookmarkStart w:id="73" w:name="_Toc20823282"/>
      <w:r/>
      <w:bookmarkStart w:id="74" w:name="_Toc513029210"/>
      <w:r>
        <w:rPr>
          <w:rFonts w:hint="eastAsia" w:eastAsia="宋体" w:cs="宋体"/>
          <w:color w:val="000000" w:themeColor="text1"/>
          <w:sz w:val="24"/>
          <w:szCs w:val="24"/>
          <w:highlight w:val="none"/>
          <w14:textFill>
            <w14:solidFill>
              <w14:schemeClr w14:val="tx1"/>
            </w14:solidFill>
          </w14:textFill>
        </w:rPr>
        <w:t xml:space="preserve">6.磋商文件构成</w:t>
      </w:r>
      <w:bookmarkEnd w:id="72"/>
      <w:r/>
      <w:bookmarkEnd w:id="73"/>
      <w:r/>
      <w:bookmarkEnd w:id="74"/>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6.1磋商文件由以下部分组成：</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（1）磋商公告</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（2）供应商须知</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（3）合同文本</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（4）采购需求</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（5）评审方法与评审标准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（6）响应文件格式</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请仔细检查磋商文件是否齐全，如有缺漏请立即与采购中心联系解决。</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75" w:name="_Toc16938527"/>
      <w:r/>
      <w:bookmarkStart w:id="76" w:name="_Toc462564070"/>
      <w:r/>
      <w:bookmarkStart w:id="77" w:name="_Toc513029211"/>
      <w:r/>
      <w:bookmarkStart w:id="78" w:name="_Toc20823283"/>
      <w:r>
        <w:rPr>
          <w:rFonts w:hint="eastAsia" w:eastAsia="宋体" w:cs="宋体"/>
          <w:color w:val="000000" w:themeColor="text1"/>
          <w:sz w:val="24"/>
          <w:szCs w:val="24"/>
          <w:highlight w:val="none"/>
          <w14:textFill>
            <w14:solidFill>
              <w14:schemeClr w14:val="tx1"/>
            </w14:solidFill>
          </w14:textFill>
        </w:rPr>
        <w:t xml:space="preserve">7.磋商文件的澄清</w:t>
      </w:r>
      <w:bookmarkEnd w:id="75"/>
      <w:r/>
      <w:bookmarkEnd w:id="76"/>
      <w:r/>
      <w:bookmarkEnd w:id="77"/>
      <w:r/>
      <w:bookmarkEnd w:id="78"/>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7.1任何要求对磋商文件进行澄清的供应商，应在磋商截止期5日前按磋商公告中的通讯地址，以书面形式通知采购中心。</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79" w:name="_Toc462564071"/>
      <w:r/>
      <w:bookmarkStart w:id="80" w:name="_Toc513029212"/>
      <w:r/>
      <w:bookmarkStart w:id="81" w:name="_Toc16938528"/>
      <w:r/>
      <w:bookmarkStart w:id="82" w:name="_Toc20823284"/>
      <w:r>
        <w:rPr>
          <w:rFonts w:hint="eastAsia" w:eastAsia="宋体" w:cs="宋体"/>
          <w:color w:val="000000" w:themeColor="text1"/>
          <w:sz w:val="24"/>
          <w:szCs w:val="24"/>
          <w:highlight w:val="none"/>
          <w14:textFill>
            <w14:solidFill>
              <w14:schemeClr w14:val="tx1"/>
            </w14:solidFill>
          </w14:textFill>
        </w:rPr>
        <w:t xml:space="preserve">8.磋商文件的澄清和修改</w:t>
      </w:r>
      <w:bookmarkEnd w:id="79"/>
      <w:r/>
      <w:bookmarkEnd w:id="80"/>
      <w:r/>
      <w:bookmarkEnd w:id="81"/>
      <w:r/>
      <w:bookmarkEnd w:id="82"/>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8.1在响应文件提交截止时间前，采购中心可以对磋商文件进行澄清和修改，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中心将顺延提交首次响应文件截止时间。</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8.2采购中心可以视采购项目的具体情况，组织供应商进行现场考察或召开磋商前答疑会，但不单独或分别组织只有一个供应商参加的现场考察和答疑会。</w:t>
      </w:r>
      <w:r/>
    </w:p>
    <w:p>
      <w:pPr>
        <w:pStyle w:val="931"/>
        <w:ind w:firstLine="560"/>
        <w:jc w:val="both"/>
        <w:spacing w:line="508" w:lineRule="exact"/>
        <w:rPr>
          <w:rFonts w:eastAsia="方正黑体_GBK" w:cs="宋体"/>
          <w:color w:val="000000" w:themeColor="text1"/>
          <w:sz w:val="24"/>
          <w:szCs w:val="24"/>
          <w:highlight w:val="none"/>
          <w14:textFill>
            <w14:solidFill>
              <w14:schemeClr w14:val="tx1"/>
            </w14:solidFill>
          </w14:textFill>
        </w:rPr>
      </w:pPr>
      <w:r/>
      <w:bookmarkStart w:id="83" w:name="_Toc513029213"/>
      <w:r/>
      <w:bookmarkStart w:id="84" w:name="_Toc20823285"/>
      <w:r/>
      <w:bookmarkStart w:id="85" w:name="_Toc120614216"/>
      <w:r/>
      <w:bookmarkStart w:id="86" w:name="_Toc16938529"/>
      <w:r/>
      <w:bookmarkStart w:id="87" w:name="_Toc462564072"/>
      <w:r>
        <w:rPr>
          <w:rFonts w:hint="eastAsia" w:eastAsia="方正黑体_GBK" w:cs="宋体"/>
          <w:color w:val="000000" w:themeColor="text1"/>
          <w:sz w:val="24"/>
          <w:szCs w:val="24"/>
          <w:highlight w:val="none"/>
          <w14:textFill>
            <w14:solidFill>
              <w14:schemeClr w14:val="tx1"/>
            </w14:solidFill>
          </w14:textFill>
        </w:rPr>
        <w:t xml:space="preserve">三、响应文件的编制</w:t>
      </w:r>
      <w:bookmarkEnd w:id="83"/>
      <w:r/>
      <w:bookmarkEnd w:id="84"/>
      <w:r/>
      <w:bookmarkEnd w:id="85"/>
      <w:r/>
      <w:bookmarkEnd w:id="86"/>
      <w:r/>
      <w:bookmarkEnd w:id="87"/>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88" w:name="_Toc513029214"/>
      <w:r/>
      <w:bookmarkStart w:id="89" w:name="_Toc20823286"/>
      <w:r/>
      <w:bookmarkStart w:id="90" w:name="_Toc462564073"/>
      <w:r/>
      <w:bookmarkStart w:id="91" w:name="_Toc16938530"/>
      <w:r>
        <w:rPr>
          <w:rFonts w:hint="eastAsia" w:eastAsia="宋体" w:cs="宋体"/>
          <w:color w:val="000000" w:themeColor="text1"/>
          <w:sz w:val="24"/>
          <w:szCs w:val="24"/>
          <w:highlight w:val="none"/>
          <w14:textFill>
            <w14:solidFill>
              <w14:schemeClr w14:val="tx1"/>
            </w14:solidFill>
          </w14:textFill>
        </w:rPr>
        <w:t xml:space="preserve">9.响应文件的语言及度量衡单位</w:t>
      </w:r>
      <w:bookmarkEnd w:id="88"/>
      <w:r/>
      <w:bookmarkEnd w:id="89"/>
      <w:r/>
      <w:bookmarkEnd w:id="90"/>
      <w:r/>
      <w:bookmarkEnd w:id="91"/>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9.1供应商提交的响应文件以及供应商与采购中心就有关磋商的所有来往通知、函件和文件均应使用</w:t>
      </w:r>
      <w:r>
        <w:rPr>
          <w:rFonts w:hint="eastAsia" w:eastAsia="宋体" w:cs="宋体"/>
          <w:b/>
          <w:color w:val="000000" w:themeColor="text1"/>
          <w:sz w:val="24"/>
          <w:szCs w:val="24"/>
          <w:highlight w:val="none"/>
          <w14:textFill>
            <w14:solidFill>
              <w14:schemeClr w14:val="tx1"/>
            </w14:solidFill>
          </w14:textFill>
        </w:rPr>
        <w:t xml:space="preserve">简体中文</w:t>
      </w:r>
      <w:r>
        <w:rPr>
          <w:rFonts w:hint="eastAsia" w:eastAsia="宋体" w:cs="宋体"/>
          <w:color w:val="000000" w:themeColor="text1"/>
          <w:sz w:val="24"/>
          <w:szCs w:val="24"/>
          <w:highlight w:val="none"/>
          <w14:textFill>
            <w14:solidFill>
              <w14:schemeClr w14:val="tx1"/>
            </w14:solidFill>
          </w14:textFill>
        </w:rPr>
        <w:t xml:space="preserve">。</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9.2 除技术性能另有规定外，响应文件所使用的度量衡单位，均须采用国家法定计量单位。</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92" w:name="_Toc20823287"/>
      <w:r/>
      <w:bookmarkStart w:id="93" w:name="_Toc462564074"/>
      <w:r/>
      <w:bookmarkStart w:id="94" w:name="_Toc513029215"/>
      <w:r/>
      <w:bookmarkStart w:id="95" w:name="_Toc16938531"/>
      <w:r>
        <w:rPr>
          <w:rFonts w:hint="eastAsia" w:eastAsia="宋体" w:cs="宋体"/>
          <w:color w:val="000000" w:themeColor="text1"/>
          <w:sz w:val="24"/>
          <w:szCs w:val="24"/>
          <w:highlight w:val="none"/>
          <w14:textFill>
            <w14:solidFill>
              <w14:schemeClr w14:val="tx1"/>
            </w14:solidFill>
          </w14:textFill>
        </w:rPr>
        <w:t xml:space="preserve">10.响应文件构成</w:t>
      </w:r>
      <w:bookmarkEnd w:id="92"/>
      <w:r/>
      <w:bookmarkEnd w:id="93"/>
      <w:r/>
      <w:bookmarkEnd w:id="94"/>
      <w:r/>
      <w:bookmarkEnd w:id="95"/>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96" w:name="_Toc513029219"/>
      <w:r/>
      <w:bookmarkStart w:id="97" w:name="_Toc49090507"/>
      <w:r/>
      <w:bookmarkStart w:id="98" w:name="_Toc513029216"/>
      <w:r/>
      <w:bookmarkStart w:id="99" w:name="_Toc14577357"/>
      <w:r/>
      <w:bookmarkStart w:id="100" w:name="_Toc49090508"/>
      <w:r/>
      <w:bookmarkStart w:id="101" w:name="_Toc14577354"/>
      <w:r/>
      <w:bookmarkStart w:id="102" w:name="_Toc49090509"/>
      <w:r/>
      <w:bookmarkStart w:id="103" w:name="_Toc14577355"/>
      <w:r>
        <w:rPr>
          <w:rFonts w:hint="eastAsia"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96"/>
      <w:r/>
      <w:bookmarkEnd w:id="97"/>
      <w:r/>
      <w:bookmarkEnd w:id="98"/>
      <w:r/>
      <w:bookmarkEnd w:id="99"/>
      <w:r/>
      <w:bookmarkEnd w:id="100"/>
      <w:r/>
      <w:bookmarkEnd w:id="101"/>
      <w:r/>
      <w:bookmarkEnd w:id="102"/>
      <w:r/>
      <w:bookmarkEnd w:id="103"/>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12.分项报价表</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12.1供应商应按照磋商文件规定格式填报分项报价表。</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12.2磋商货币。响应文件中的单价和总价无特殊规定的采用人民币报价，以元为单位标注。磋商文件中另有规定的按规定执行。</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13.1供应商需对磋商文件中的技术要求与商务要求逐项作出响应或偏离，并说明原因。</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13.2供应商可在响应文件中提供认为需要的其他技术文件或说明。</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14.2供应商需根据磋商文件要求提供培训计划。</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14.3供应商需根据磋商文件要求提供磋商响应标的的主要组成部分、功能设计、实现思路及关键技术等。</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04" w:name="_Toc49090510"/>
      <w:r/>
      <w:bookmarkStart w:id="105" w:name="_Toc14577359"/>
      <w:r>
        <w:rPr>
          <w:rFonts w:hint="eastAsia" w:eastAsia="宋体" w:cs="宋体"/>
          <w:color w:val="000000" w:themeColor="text1"/>
          <w:sz w:val="24"/>
          <w:szCs w:val="24"/>
          <w:highlight w:val="none"/>
          <w14:textFill>
            <w14:solidFill>
              <w14:schemeClr w14:val="tx1"/>
            </w14:solidFill>
          </w14:textFill>
        </w:rPr>
        <w:t xml:space="preserve">15.磋商响应函</w:t>
      </w:r>
      <w:bookmarkEnd w:id="104"/>
      <w:r/>
      <w:bookmarkEnd w:id="105"/>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15.1供应商应按照磋商文件中提供的格式完整、正确填写磋商响应函。</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06" w:name="_Toc49090511"/>
      <w:r/>
      <w:bookmarkStart w:id="107" w:name="_Toc14577360"/>
      <w:r>
        <w:rPr>
          <w:rFonts w:hint="eastAsia" w:eastAsia="宋体" w:cs="宋体"/>
          <w:color w:val="000000" w:themeColor="text1"/>
          <w:sz w:val="24"/>
          <w:szCs w:val="24"/>
          <w:highlight w:val="none"/>
          <w14:textFill>
            <w14:solidFill>
              <w14:schemeClr w14:val="tx1"/>
            </w14:solidFill>
          </w14:textFill>
        </w:rPr>
        <w:t xml:space="preserve">16.磋商有效期</w:t>
      </w:r>
      <w:bookmarkEnd w:id="106"/>
      <w:r/>
      <w:bookmarkEnd w:id="107"/>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16.1磋商有效期为采购中心规定的提交响应文件截止之日后</w:t>
      </w:r>
      <w:r>
        <w:rPr>
          <w:rFonts w:hint="eastAsia" w:eastAsia="宋体" w:cs="宋体"/>
          <w:b/>
          <w:color w:val="000000" w:themeColor="text1"/>
          <w:sz w:val="24"/>
          <w:szCs w:val="24"/>
          <w:highlight w:val="none"/>
          <w:u w:val="single"/>
          <w14:textFill>
            <w14:solidFill>
              <w14:schemeClr w14:val="tx1"/>
            </w14:solidFill>
          </w14:textFill>
        </w:rPr>
        <w:t xml:space="preserve">九十（90）天</w:t>
      </w:r>
      <w:r>
        <w:rPr>
          <w:rFonts w:hint="eastAsia" w:eastAsia="宋体" w:cs="宋体"/>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17.磋商有效期的延长</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931"/>
        <w:ind w:firstLine="560"/>
        <w:jc w:val="both"/>
        <w:spacing w:line="508" w:lineRule="exact"/>
        <w:rPr>
          <w:rFonts w:eastAsia="方正黑体_GBK" w:cs="宋体"/>
          <w:color w:val="000000" w:themeColor="text1"/>
          <w:sz w:val="24"/>
          <w:szCs w:val="24"/>
          <w:highlight w:val="none"/>
          <w14:textFill>
            <w14:solidFill>
              <w14:schemeClr w14:val="tx1"/>
            </w14:solidFill>
          </w14:textFill>
        </w:rPr>
      </w:pPr>
      <w:r/>
      <w:bookmarkStart w:id="108" w:name="_Toc20823296"/>
      <w:r/>
      <w:bookmarkStart w:id="109" w:name="_Toc513029224"/>
      <w:r/>
      <w:bookmarkStart w:id="110" w:name="_Toc120614217"/>
      <w:r/>
      <w:bookmarkStart w:id="111" w:name="_Toc16938540"/>
      <w:r>
        <w:rPr>
          <w:rFonts w:hint="eastAsia" w:eastAsia="方正黑体_GBK" w:cs="宋体"/>
          <w:color w:val="000000" w:themeColor="text1"/>
          <w:sz w:val="24"/>
          <w:szCs w:val="24"/>
          <w:highlight w:val="none"/>
          <w14:textFill>
            <w14:solidFill>
              <w14:schemeClr w14:val="tx1"/>
            </w14:solidFill>
          </w14:textFill>
        </w:rPr>
        <w:t xml:space="preserve">四、响应文件的递交</w:t>
      </w:r>
      <w:bookmarkEnd w:id="108"/>
      <w:r/>
      <w:bookmarkEnd w:id="109"/>
      <w:r/>
      <w:bookmarkEnd w:id="110"/>
      <w:r/>
      <w:bookmarkEnd w:id="111"/>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12" w:name="_Toc20823297"/>
      <w:r/>
      <w:bookmarkStart w:id="113" w:name="_Toc16938541"/>
      <w:r/>
      <w:bookmarkStart w:id="114" w:name="_Toc513029225"/>
      <w:r/>
      <w:bookmarkStart w:id="115" w:name="_Toc462564084"/>
      <w:r>
        <w:rPr>
          <w:rFonts w:hint="eastAsia" w:eastAsia="宋体" w:cs="宋体"/>
          <w:color w:val="000000" w:themeColor="text1"/>
          <w:sz w:val="24"/>
          <w:szCs w:val="24"/>
          <w:highlight w:val="none"/>
          <w14:textFill>
            <w14:solidFill>
              <w14:schemeClr w14:val="tx1"/>
            </w14:solidFill>
          </w14:textFill>
        </w:rPr>
        <w:t xml:space="preserve">18.电子磋商</w:t>
      </w:r>
      <w:bookmarkEnd w:id="112"/>
      <w:r/>
      <w:bookmarkEnd w:id="113"/>
      <w:r/>
      <w:bookmarkEnd w:id="114"/>
      <w:r/>
      <w:bookmarkEnd w:id="115"/>
      <w:r>
        <w:rPr>
          <w:rFonts w:hint="eastAsia" w:eastAsia="宋体" w:cs="宋体"/>
          <w:color w:val="000000" w:themeColor="text1"/>
          <w:sz w:val="24"/>
          <w:szCs w:val="24"/>
          <w:highlight w:val="none"/>
          <w14:textFill>
            <w14:solidFill>
              <w14:schemeClr w14:val="tx1"/>
            </w14:solidFill>
          </w14:textFill>
        </w:rPr>
        <w:t xml:space="preserve">响应文件的递交</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16" w:name="_Toc20823298"/>
      <w:r/>
      <w:bookmarkEnd w:id="116"/>
      <w:r/>
      <w:bookmarkStart w:id="117" w:name="_Toc16938542"/>
      <w:r/>
      <w:bookmarkEnd w:id="117"/>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19.提交响应文件截止时间</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i/>
          <w:color w:val="000000" w:themeColor="text1"/>
          <w:sz w:val="24"/>
          <w:szCs w:val="24"/>
          <w:highlight w:val="none"/>
          <w:u w:val="single"/>
          <w14:textFill>
            <w14:solidFill>
              <w14:schemeClr w14:val="tx1"/>
            </w14:solidFill>
          </w14:textFill>
        </w:rPr>
        <w:t xml:space="preserve">19.1供应商上传电子响应文件的时间不得迟于磋商公告中规定的提交响应文件截止时间。</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19.2采购中心可以按照规定，通过修改磋商文件酌情延长提交响应文件截止日期，在此情况下，供应商的所有权利和义务以及供应商受制的截止日期均应以延长后新的截止日期为准。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18" w:name="_Toc513029227"/>
      <w:r/>
      <w:bookmarkStart w:id="119" w:name="_Toc16938543"/>
      <w:r/>
      <w:bookmarkStart w:id="120" w:name="_Toc20823299"/>
      <w:r>
        <w:rPr>
          <w:rFonts w:hint="eastAsia" w:eastAsia="宋体" w:cs="宋体"/>
          <w:color w:val="000000" w:themeColor="text1"/>
          <w:sz w:val="24"/>
          <w:szCs w:val="24"/>
          <w:highlight w:val="none"/>
          <w14:textFill>
            <w14:solidFill>
              <w14:schemeClr w14:val="tx1"/>
            </w14:solidFill>
          </w14:textFill>
        </w:rPr>
        <w:t xml:space="preserve">20.响应文件</w:t>
      </w:r>
      <w:bookmarkEnd w:id="118"/>
      <w:r/>
      <w:bookmarkEnd w:id="119"/>
      <w:r/>
      <w:bookmarkEnd w:id="120"/>
      <w:r>
        <w:rPr>
          <w:rFonts w:hint="eastAsia" w:eastAsia="宋体" w:cs="宋体"/>
          <w:color w:val="000000" w:themeColor="text1"/>
          <w:sz w:val="24"/>
          <w:szCs w:val="24"/>
          <w:highlight w:val="none"/>
          <w14:textFill>
            <w14:solidFill>
              <w14:schemeClr w14:val="tx1"/>
            </w14:solidFill>
          </w14:textFill>
        </w:rPr>
        <w:t xml:space="preserve">的拒收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20.1采购中心拒绝接收在其规定的提交响应文件截止时间后上传的任何电子响应文件。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21" w:name="_Toc513029228"/>
      <w:r/>
      <w:bookmarkStart w:id="122" w:name="_Toc16938544"/>
      <w:r/>
      <w:bookmarkStart w:id="123" w:name="_Toc20823300"/>
      <w:r>
        <w:rPr>
          <w:rFonts w:hint="eastAsia" w:eastAsia="宋体" w:cs="宋体"/>
          <w:color w:val="000000" w:themeColor="text1"/>
          <w:sz w:val="24"/>
          <w:szCs w:val="24"/>
          <w:highlight w:val="none"/>
          <w14:textFill>
            <w14:solidFill>
              <w14:schemeClr w14:val="tx1"/>
            </w14:solidFill>
          </w14:textFill>
        </w:rPr>
        <w:t xml:space="preserve">21.响应文件的撤回和修改</w:t>
      </w:r>
      <w:bookmarkEnd w:id="121"/>
      <w:r/>
      <w:bookmarkEnd w:id="122"/>
      <w:r/>
      <w:bookmarkEnd w:id="123"/>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21.1响应文件的撤回</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21.1.1电子响应文件的撤回</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供应商可在提交响应文件截止时间前，撤回其电子响应文件，具体操作方法见《操作手册》。</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21.2响应文件的修改</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供应商可在提交响应文件截止时间前，对其电子响应文件进行修改，具体操作方法见《操作手册》。</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21.3在提交响应文件截止时间之后，供应商不得对其电子响应文件作任何修改。</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21.4在提交响应文件截止时间至磋商文件中规定的磋商有效期满之间的这段时间内，供应商不得撤回其响应文件。</w:t>
      </w:r>
      <w:r/>
    </w:p>
    <w:p>
      <w:pPr>
        <w:pStyle w:val="931"/>
        <w:ind w:firstLine="560"/>
        <w:jc w:val="both"/>
        <w:spacing w:line="508" w:lineRule="exact"/>
        <w:rPr>
          <w:rFonts w:eastAsia="方正黑体_GBK" w:cs="宋体"/>
          <w:color w:val="000000" w:themeColor="text1"/>
          <w:sz w:val="24"/>
          <w:szCs w:val="24"/>
          <w:highlight w:val="none"/>
          <w14:textFill>
            <w14:solidFill>
              <w14:schemeClr w14:val="tx1"/>
            </w14:solidFill>
          </w14:textFill>
        </w:rPr>
      </w:pPr>
      <w:r/>
      <w:bookmarkStart w:id="124" w:name="_Toc20823301"/>
      <w:r/>
      <w:bookmarkStart w:id="125" w:name="_Toc16938545"/>
      <w:r/>
      <w:bookmarkStart w:id="126" w:name="_Toc120614218"/>
      <w:r/>
      <w:bookmarkStart w:id="127" w:name="_Toc513029229"/>
      <w:r>
        <w:rPr>
          <w:rFonts w:hint="eastAsia" w:eastAsia="方正黑体_GBK" w:cs="宋体"/>
          <w:color w:val="000000" w:themeColor="text1"/>
          <w:sz w:val="24"/>
          <w:szCs w:val="24"/>
          <w:highlight w:val="none"/>
          <w14:textFill>
            <w14:solidFill>
              <w14:schemeClr w14:val="tx1"/>
            </w14:solidFill>
          </w14:textFill>
        </w:rPr>
        <w:t xml:space="preserve">五、响应文件的解密与评审</w:t>
      </w:r>
      <w:bookmarkEnd w:id="124"/>
      <w:r/>
      <w:bookmarkEnd w:id="125"/>
      <w:r/>
      <w:bookmarkEnd w:id="126"/>
      <w:r/>
      <w:bookmarkEnd w:id="127"/>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28" w:name="_Toc513029230"/>
      <w:r/>
      <w:bookmarkStart w:id="129" w:name="_Toc16938546"/>
      <w:r/>
      <w:bookmarkStart w:id="130" w:name="_Toc20823302"/>
      <w:r>
        <w:rPr>
          <w:rFonts w:hint="eastAsia" w:eastAsia="宋体" w:cs="宋体"/>
          <w:color w:val="000000" w:themeColor="text1"/>
          <w:sz w:val="24"/>
          <w:szCs w:val="24"/>
          <w:highlight w:val="none"/>
          <w14:textFill>
            <w14:solidFill>
              <w14:schemeClr w14:val="tx1"/>
            </w14:solidFill>
          </w14:textFill>
        </w:rPr>
        <w:t xml:space="preserve">22</w:t>
      </w:r>
      <w:bookmarkEnd w:id="128"/>
      <w:r/>
      <w:bookmarkEnd w:id="129"/>
      <w:r/>
      <w:bookmarkEnd w:id="130"/>
      <w:r>
        <w:rPr>
          <w:rFonts w:hint="eastAsia" w:eastAsia="宋体" w:cs="宋体"/>
          <w:color w:val="000000" w:themeColor="text1"/>
          <w:sz w:val="24"/>
          <w:szCs w:val="24"/>
          <w:highlight w:val="none"/>
          <w14:textFill>
            <w14:solidFill>
              <w14:schemeClr w14:val="tx1"/>
            </w14:solidFill>
          </w14:textFill>
        </w:rPr>
        <w:t xml:space="preserve">.响应文件解密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22.1供应商应当按照《操作手册》规定，在苏采云系统规定的时间内对磋商响应文件进行解密。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31" w:name="_Toc16938547"/>
      <w:r/>
      <w:bookmarkStart w:id="132" w:name="_Toc513029231"/>
      <w:r/>
      <w:bookmarkStart w:id="133" w:name="_Toc20823303"/>
      <w:r>
        <w:rPr>
          <w:rFonts w:hint="eastAsia" w:eastAsia="宋体" w:cs="宋体"/>
          <w:color w:val="000000" w:themeColor="text1"/>
          <w:sz w:val="24"/>
          <w:szCs w:val="24"/>
          <w:highlight w:val="none"/>
          <w14:textFill>
            <w14:solidFill>
              <w14:schemeClr w14:val="tx1"/>
            </w14:solidFill>
          </w14:textFill>
        </w:rPr>
        <w:t xml:space="preserve">23.磋商小组</w:t>
      </w:r>
      <w:bookmarkEnd w:id="131"/>
      <w:r/>
      <w:bookmarkEnd w:id="132"/>
      <w:r/>
      <w:bookmarkEnd w:id="133"/>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23.1采购中心将组织磋商小组对响应文件进行评审。磋商小组由采购人代表和有关技术、经济等方面的专家组成，且人员构成符合政府采购有关规定。</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23.2磋商小组独立工作，负责评审所有响应文件并确定成交候选人。</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24.评审过程的保密与公正</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24.1磋商小组、采购人和采购中心工作人员、相关监督人员等与评审工作有关的人员，对评审情况以及在评审过程中获悉的国家秘密、商业秘密负有保密责任。</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24.2在评审过程中，供应商不得以任何行为影响磋商评审过程，否则其响应文件将被视为无效响应文件。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24.3在项目评审期间，采购中心将设专门人员与供应商联系。</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24.4采购中心和磋商小组不向未成交的供应商解释未成交原因，也不公布评审过程中的相关细节。</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34" w:name="_Toc16938548"/>
      <w:r/>
      <w:bookmarkStart w:id="135" w:name="_Toc20823304"/>
      <w:r/>
      <w:bookmarkStart w:id="136" w:name="_Toc513029232"/>
      <w:r>
        <w:rPr>
          <w:rFonts w:hint="eastAsia" w:eastAsia="宋体" w:cs="宋体"/>
          <w:color w:val="000000" w:themeColor="text1"/>
          <w:sz w:val="24"/>
          <w:szCs w:val="24"/>
          <w:highlight w:val="none"/>
          <w14:textFill>
            <w14:solidFill>
              <w14:schemeClr w14:val="tx1"/>
            </w14:solidFill>
          </w14:textFill>
        </w:rPr>
        <w:t xml:space="preserve">25.评审过程中的澄清</w:t>
      </w:r>
      <w:bookmarkEnd w:id="134"/>
      <w:r/>
      <w:bookmarkEnd w:id="135"/>
      <w:r/>
      <w:bookmarkEnd w:id="136"/>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磋商小组并非对每个供应商都作澄清要求。</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25.3接到磋商小组澄清、说明和更正要求的供应商如未按规定作出澄清、说明和更正，其风险由供应商自行承担。</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37" w:name="_Toc513029233"/>
      <w:r/>
      <w:bookmarkStart w:id="138" w:name="_Toc16938549"/>
      <w:r/>
      <w:bookmarkStart w:id="139" w:name="_Toc20823305"/>
      <w:r>
        <w:rPr>
          <w:rFonts w:hint="eastAsia" w:eastAsia="宋体" w:cs="宋体"/>
          <w:color w:val="000000" w:themeColor="text1"/>
          <w:sz w:val="24"/>
          <w:szCs w:val="24"/>
          <w:highlight w:val="none"/>
          <w14:textFill>
            <w14:solidFill>
              <w14:schemeClr w14:val="tx1"/>
            </w14:solidFill>
          </w14:textFill>
        </w:rPr>
        <w:t xml:space="preserve">26.对响应文件的审</w:t>
      </w:r>
      <w:bookmarkEnd w:id="137"/>
      <w:r/>
      <w:bookmarkEnd w:id="138"/>
      <w:r/>
      <w:bookmarkEnd w:id="139"/>
      <w:r>
        <w:rPr>
          <w:rFonts w:hint="eastAsia" w:eastAsia="宋体" w:cs="宋体"/>
          <w:color w:val="000000" w:themeColor="text1"/>
          <w:sz w:val="24"/>
          <w:szCs w:val="24"/>
          <w:highlight w:val="none"/>
          <w14:textFill>
            <w14:solidFill>
              <w14:schemeClr w14:val="tx1"/>
            </w14:solidFill>
          </w14:textFill>
        </w:rPr>
        <w:t xml:space="preserve">查</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26.1响应文件审查分为资格审查和符合性审查。</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26.3未实质性响应磋商文件的情形</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26.3.1供应商在苏采云系统规定的时间内未成功解密电子响应文件的。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26.3.2供应商未按照磋商文件要求上传电子响应文件的。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26.3.4供应商不具备磋商文件中规定资格要求的。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26.3.5供应商的最后报价超过了采购预算。</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26.3.6不符合磋商文件中规定的实质性要求和条件的</w:t>
      </w:r>
      <w:r>
        <w:rPr>
          <w:rFonts w:hint="eastAsia" w:eastAsia="宋体" w:cs="宋体"/>
          <w:i/>
          <w:color w:val="000000" w:themeColor="text1"/>
          <w:sz w:val="24"/>
          <w:szCs w:val="24"/>
          <w:highlight w:val="none"/>
          <w:u w:val="single"/>
          <w14:textFill>
            <w14:solidFill>
              <w14:schemeClr w14:val="tx1"/>
            </w14:solidFill>
          </w14:textFill>
        </w:rPr>
        <w:t xml:space="preserve">（本磋商文件中斜体且有下划线部分为实质性要求和条件）。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26.3.8响应文件含有采购人不能接受的附加条件的。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26.3.10供应商不能证明其报价合理性的，磋商小组应当将其作为无效响应处理。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（一）评审过程中出现下列情形之一的，磋商小组应当启动异常低价响应审查程序：</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pStyle w:val="931"/>
        <w:ind w:firstLine="562"/>
        <w:jc w:val="both"/>
        <w:spacing w:line="508" w:lineRule="exact"/>
        <w:rPr>
          <w:rFonts w:eastAsia="宋体" w:cs="宋体"/>
          <w:b/>
          <w:bCs/>
          <w:color w:val="000000" w:themeColor="text1"/>
          <w:sz w:val="24"/>
          <w:szCs w:val="24"/>
          <w:highlight w:val="none"/>
          <w:u w:val="single"/>
          <w14:textFill>
            <w14:solidFill>
              <w14:schemeClr w14:val="tx1"/>
            </w14:solidFill>
          </w14:textFill>
        </w:rPr>
      </w:pPr>
      <w:r>
        <w:rPr>
          <w:rFonts w:hint="eastAsia" w:eastAsia="宋体" w:cs="宋体"/>
          <w:b/>
          <w:bCs/>
          <w:color w:val="000000" w:themeColor="text1"/>
          <w:sz w:val="24"/>
          <w:szCs w:val="24"/>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相关法律法规对供应商报价有规定的，从其规定。</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26.3.11响应文件未按照磋商文件要求加盖CA电子公章的。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26.4未实质性响应磋商文件的响应文件按无效响应处理。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26.5如果响应文件实质上没有响应磋商文件的要求，磋商小组将予以拒绝，供应商不得通过修改或撤销不符合要求的偏离或保留而使其成为实质性响应的文件。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40" w:name="_Toc16938550"/>
      <w:r/>
      <w:bookmarkStart w:id="141" w:name="_Toc513029234"/>
      <w:r/>
      <w:bookmarkStart w:id="142" w:name="_Toc20823306"/>
      <w:r>
        <w:rPr>
          <w:rFonts w:hint="eastAsia" w:eastAsia="宋体" w:cs="宋体"/>
          <w:color w:val="000000" w:themeColor="text1"/>
          <w:sz w:val="24"/>
          <w:szCs w:val="24"/>
          <w:highlight w:val="none"/>
          <w14:textFill>
            <w14:solidFill>
              <w14:schemeClr w14:val="tx1"/>
            </w14:solidFill>
          </w14:textFill>
        </w:rPr>
        <w:t xml:space="preserve">26.6供应商在项目评审全过程中应保持通信畅通，并安排专人与采购中心及磋商小组联系。</w:t>
      </w:r>
      <w:bookmarkEnd w:id="140"/>
      <w:r/>
      <w:bookmarkEnd w:id="141"/>
      <w:r/>
      <w:bookmarkEnd w:id="142"/>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27.磋商程序及评审方法和评审标准</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27.1磋商程序</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27.2评审方法和评审标准</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27.2.2评审标准</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见本磋商文件第五章规定。</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27.3采购活动终止的情况</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27.3.2出现影响采购公正的违法、违规行为的。</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27.3.4在苏采云系统规定时间内成功解密电子响应文件的供应商不足3家的。</w:t>
      </w:r>
      <w:r/>
    </w:p>
    <w:p>
      <w:pPr>
        <w:pStyle w:val="931"/>
        <w:ind w:firstLine="560"/>
        <w:jc w:val="both"/>
        <w:spacing w:line="508" w:lineRule="exact"/>
        <w:rPr>
          <w:rFonts w:eastAsia="方正黑体_GBK" w:cs="宋体"/>
          <w:color w:val="000000" w:themeColor="text1"/>
          <w:sz w:val="24"/>
          <w:szCs w:val="24"/>
          <w:highlight w:val="none"/>
          <w14:textFill>
            <w14:solidFill>
              <w14:schemeClr w14:val="tx1"/>
            </w14:solidFill>
          </w14:textFill>
        </w:rPr>
      </w:pPr>
      <w:r/>
      <w:bookmarkStart w:id="143" w:name="_Toc513029235"/>
      <w:r/>
      <w:bookmarkStart w:id="144" w:name="_Toc20823307"/>
      <w:r/>
      <w:bookmarkStart w:id="145" w:name="_Toc16938551"/>
      <w:r/>
      <w:bookmarkStart w:id="146" w:name="_Toc120614219"/>
      <w:r>
        <w:rPr>
          <w:rFonts w:hint="eastAsia" w:eastAsia="方正黑体_GBK" w:cs="宋体"/>
          <w:color w:val="000000" w:themeColor="text1"/>
          <w:sz w:val="24"/>
          <w:szCs w:val="24"/>
          <w:highlight w:val="none"/>
          <w14:textFill>
            <w14:solidFill>
              <w14:schemeClr w14:val="tx1"/>
            </w14:solidFill>
          </w14:textFill>
        </w:rPr>
        <w:t xml:space="preserve">六、</w:t>
      </w:r>
      <w:bookmarkEnd w:id="143"/>
      <w:r/>
      <w:bookmarkEnd w:id="144"/>
      <w:r/>
      <w:bookmarkEnd w:id="145"/>
      <w:r/>
      <w:bookmarkEnd w:id="146"/>
      <w:r>
        <w:rPr>
          <w:rFonts w:hint="eastAsia" w:eastAsia="方正黑体_GBK" w:cs="宋体"/>
          <w:color w:val="000000" w:themeColor="text1"/>
          <w:sz w:val="24"/>
          <w:szCs w:val="24"/>
          <w:highlight w:val="none"/>
          <w14:textFill>
            <w14:solidFill>
              <w14:schemeClr w14:val="tx1"/>
            </w14:solidFill>
          </w14:textFill>
        </w:rPr>
        <w:t xml:space="preserve">成交</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47" w:name="_Toc20823310"/>
      <w:r/>
      <w:bookmarkStart w:id="148" w:name="_Toc16938554"/>
      <w:r/>
      <w:bookmarkStart w:id="149" w:name="_Toc513029238"/>
      <w:r>
        <w:rPr>
          <w:rFonts w:hint="eastAsia" w:eastAsia="宋体" w:cs="宋体"/>
          <w:color w:val="000000" w:themeColor="text1"/>
          <w:sz w:val="24"/>
          <w:szCs w:val="24"/>
          <w:highlight w:val="none"/>
          <w14:textFill>
            <w14:solidFill>
              <w14:schemeClr w14:val="tx1"/>
            </w14:solidFill>
          </w14:textFill>
        </w:rPr>
        <w:t xml:space="preserve">28</w:t>
      </w:r>
      <w:bookmarkEnd w:id="147"/>
      <w:r>
        <w:rPr>
          <w:rFonts w:hint="eastAsia" w:eastAsia="宋体" w:cs="宋体"/>
          <w:color w:val="000000" w:themeColor="text1"/>
          <w:sz w:val="24"/>
          <w:szCs w:val="24"/>
          <w:highlight w:val="none"/>
          <w14:textFill>
            <w14:solidFill>
              <w14:schemeClr w14:val="tx1"/>
            </w14:solidFill>
          </w14:textFill>
        </w:rPr>
        <w:t xml:space="preserve">.确定</w:t>
      </w:r>
      <w:bookmarkEnd w:id="148"/>
      <w:r/>
      <w:bookmarkEnd w:id="149"/>
      <w:r>
        <w:rPr>
          <w:rFonts w:hint="eastAsia" w:eastAsia="宋体" w:cs="宋体"/>
          <w:color w:val="000000" w:themeColor="text1"/>
          <w:sz w:val="24"/>
          <w:szCs w:val="24"/>
          <w:highlight w:val="none"/>
          <w14:textFill>
            <w14:solidFill>
              <w14:schemeClr w14:val="tx1"/>
            </w14:solidFill>
          </w14:textFill>
        </w:rPr>
        <w:t xml:space="preserve">成交单位</w:t>
      </w:r>
      <w:r/>
    </w:p>
    <w:p>
      <w:pPr>
        <w:pStyle w:val="931"/>
        <w:ind w:firstLine="560"/>
        <w:jc w:val="both"/>
        <w:spacing w:line="508" w:lineRule="exact"/>
        <w:tabs>
          <w:tab w:val="left" w:pos="901" w:leader="none"/>
        </w:tabs>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28.3若有充分证据证明，成交供应商出现下列情况之一的，一经查实，将被取消成交资格：</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28.3.1提供虚假材料谋取成交的。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28.3.2与评审专家、采购人、其他供应商或者采购中心工作人员恶意串通的。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28.3.3向评审专家、采购人或采购中心工作人员行贿或者提供其他不正当利益的。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28.3.4恶意竞争，最后报价明显低于其自身合理成本且又无法提供证明的。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28.3.5不满足本磋商文件规定的实质性要求，但在评审过程中又未被磋商小组发现的。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28.3.7将政府采购合同转包的。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50" w:name="_Toc200451960"/>
      <w:r>
        <w:rPr>
          <w:rFonts w:hint="eastAsia" w:eastAsia="宋体" w:cs="宋体"/>
          <w:color w:val="000000" w:themeColor="text1"/>
          <w:sz w:val="24"/>
          <w:szCs w:val="24"/>
          <w:highlight w:val="none"/>
          <w14:textFill>
            <w14:solidFill>
              <w14:schemeClr w14:val="tx1"/>
            </w14:solidFill>
          </w14:textFill>
        </w:rPr>
        <w:t xml:space="preserve">29.质疑处理</w:t>
      </w:r>
      <w:bookmarkEnd w:id="150"/>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29.1提出质疑的供应商应当是参与所质疑项目采购活动的供应商。潜在供应商依法获取其可质疑的磋商文件的，可以对磋商文件提出质疑。</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29.2供应商认为磋商文件、磋商过程和磋商结果使自己的权益受到损害的，可以在知道或应知其权益受到损害之日起七个工作日内，以书面形式根据下述29.4条款的规定向采购中心或采购人提出质疑。上述应知其权益受到损害之日，是指：</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29.2.1对可以质疑的磋商文件提出质疑的，为收到磋商文件之日或者磋商文件公告期限届满之日。</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29.2.2对磋商过程提出质疑的，为各采购程序环节结束之日。</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29.4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采购人及采购中心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29.5以下情形的质疑不予受理</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29.5.1内容不符合《政府采购质疑和投诉办法》第十二条规定的质疑。</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29.5.2超出政府采购法定期限的质疑。</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29.5.3以传真、电子邮件等方式递交的非原件形式的质疑。</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30.成交通知书</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31"/>
        <w:ind w:firstLine="560"/>
        <w:jc w:val="both"/>
        <w:spacing w:line="508" w:lineRule="exact"/>
        <w:rPr>
          <w:rFonts w:eastAsia="方正黑体_GBK" w:cs="宋体"/>
          <w:color w:val="000000" w:themeColor="text1"/>
          <w:sz w:val="24"/>
          <w:szCs w:val="24"/>
          <w:highlight w:val="none"/>
          <w14:textFill>
            <w14:solidFill>
              <w14:schemeClr w14:val="tx1"/>
            </w14:solidFill>
          </w14:textFill>
        </w:rPr>
      </w:pPr>
      <w:r/>
      <w:bookmarkStart w:id="151" w:name="_Toc513029236"/>
      <w:r/>
      <w:bookmarkStart w:id="152" w:name="_Toc120614220"/>
      <w:r/>
      <w:bookmarkStart w:id="153" w:name="_Toc16938552"/>
      <w:r/>
      <w:bookmarkStart w:id="154" w:name="_Toc20823308"/>
      <w:r>
        <w:rPr>
          <w:rFonts w:hint="eastAsia" w:eastAsia="方正黑体_GBK" w:cs="宋体"/>
          <w:color w:val="000000" w:themeColor="text1"/>
          <w:sz w:val="24"/>
          <w:szCs w:val="24"/>
          <w:highlight w:val="none"/>
          <w14:textFill>
            <w14:solidFill>
              <w14:schemeClr w14:val="tx1"/>
            </w14:solidFill>
          </w14:textFill>
        </w:rPr>
        <w:t xml:space="preserve">七、授予合同</w:t>
      </w:r>
      <w:bookmarkEnd w:id="151"/>
      <w:r/>
      <w:bookmarkEnd w:id="152"/>
      <w:r/>
      <w:bookmarkEnd w:id="153"/>
      <w:r/>
      <w:bookmarkEnd w:id="154"/>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bookmarkStart w:id="155" w:name="_Toc16938553"/>
      <w:r/>
      <w:bookmarkStart w:id="156" w:name="_Toc20823309"/>
      <w:r/>
      <w:bookmarkStart w:id="157" w:name="_Toc513029237"/>
      <w:r>
        <w:rPr>
          <w:rFonts w:hint="eastAsia" w:eastAsia="宋体" w:cs="宋体"/>
          <w:color w:val="000000" w:themeColor="text1"/>
          <w:sz w:val="24"/>
          <w:szCs w:val="24"/>
          <w:highlight w:val="none"/>
          <w14:textFill>
            <w14:solidFill>
              <w14:schemeClr w14:val="tx1"/>
            </w14:solidFill>
          </w14:textFill>
        </w:rPr>
        <w:t xml:space="preserve">31.签订合同</w:t>
      </w:r>
      <w:bookmarkEnd w:id="155"/>
      <w:r/>
      <w:bookmarkEnd w:id="156"/>
      <w:r/>
      <w:bookmarkEnd w:id="157"/>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31.l成交供应商应当在成交通知书发出之日起三十日内，按照磋商文件确定的事项与采购人签订政府采购合同。</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31.3签订合同后，</w:t>
      </w:r>
      <w:r>
        <w:rPr>
          <w:rFonts w:hint="eastAsia" w:eastAsia="宋体" w:cs="宋体"/>
          <w:i/>
          <w:color w:val="000000" w:themeColor="text1"/>
          <w:sz w:val="24"/>
          <w:szCs w:val="24"/>
          <w:highlight w:val="none"/>
          <w:u w:val="single"/>
          <w14:textFill>
            <w14:solidFill>
              <w14:schemeClr w14:val="tx1"/>
            </w14:solidFill>
          </w14:textFill>
        </w:rPr>
        <w:t xml:space="preserve">成交供应商不得将合同标的进行转包</w:t>
      </w:r>
      <w:r>
        <w:rPr>
          <w:rFonts w:hint="eastAsia" w:eastAsia="宋体" w:cs="宋体"/>
          <w:color w:val="000000" w:themeColor="text1"/>
          <w:sz w:val="24"/>
          <w:szCs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（备注：项目经办人在发标前应与采购人商定是否允许成交供应商分包履行合同，确定后该备注删除）</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32.标的物的追加</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33.政府采购政策功能落实</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33.1政府采购线上合同信用融资政策</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33.2进口产品</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33.3中小企业、监狱企业及残疾人福利性单位</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33.3.1中小企业定义：</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中小企业</w:t>
      </w:r>
      <w:r>
        <w:rPr>
          <w:rFonts w:hint="eastAsia" w:eastAsia="宋体" w:cs="宋体"/>
          <w:color w:val="000000" w:themeColor="text1"/>
          <w:sz w:val="24"/>
          <w:szCs w:val="24"/>
          <w:highlight w:val="none"/>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33.3.2供应商提供的货物、工程或者服务符合下列情形的，享受中小企业扶持政策：</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33.3.2.1在货物采购项目中，货物由中小企业制造，即货物由中小企业生产且使用该中小企业商号或者注册商标；</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33.3.2.2在工程采购项目中，工程由中小企业承建，即工程施工单位为中小企业；</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33.3.3在货物采购项目中，供应商提供的货物既有中小企业制造货物，也有大型企业制造货物的，不享受中小企业扶持政策。</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33.3.6残疾人福利单位定义：享受政府采购支持政策的残疾人福利性单位应当同时满足以下条件：</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33.3.6.1安置的残疾人占本单位在职职工人数的比例不低于25%（含25%），并且安置的残疾人人数不少于10 人（含10 人）；</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33.3.6.2依法与安置的每位残疾人签订了一年以上（含一年）的劳动合同或服务协议；</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33.3.6.3为安置的每位残疾人按月足额缴纳了基本养老保险、基本医疗保险、失业保险、工伤保险和生育保险等社会保险费；</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33.3.7本项目是否专门面向中小企业预留采购份额见第一章《竞争性磋商公告》。</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33.3.8采购标的对应的中小企业划分标准所属行业见第四章《采购需求》。</w:t>
      </w:r>
      <w:r/>
    </w:p>
    <w:p>
      <w:pPr>
        <w:pStyle w:val="931"/>
        <w:ind w:firstLine="56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33.3.9小微企业价格评审优惠的政策：见第五章《评标方法和评标标准》。</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33.4政府采购节能产品、环境标志产品</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imes New Roman" w:hAnsi="Times New Roman"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Times New Roman" w:hAnsi="Times New Roman" w:cs="宋体"/>
          <w:i/>
          <w:color w:val="000000" w:themeColor="text1"/>
          <w:sz w:val="24"/>
          <w:highlight w:val="none"/>
          <w14:textFill>
            <w14:solidFill>
              <w14:schemeClr w14:val="tx1"/>
            </w14:solidFill>
          </w14:textFill>
        </w:rPr>
        <w:t xml:space="preserve">。</w:t>
      </w:r>
      <w:r>
        <w:rPr>
          <w:rFonts w:hint="eastAsia" w:ascii="Times New Roman" w:hAnsi="Times New Roman"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33.5绿色包装</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33.6政府采购创新产品</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33.7绿色数据中心政策</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Times New Roman" w:hAnsi="Times New Roman"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33.8实施本国产品标准及相关政策</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1.本项目对采购本国产品给予政策支持，具体内容见采购文件“第五章 评标方法与评标标准”。</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8" w:lineRule="exact"/>
        <w:rPr>
          <w:rFonts w:ascii="Times New Roman" w:hAnsi="Times New Roman" w:cs="宋体"/>
          <w:color w:val="000000" w:themeColor="text1"/>
          <w:sz w:val="24"/>
          <w:highlight w:val="none"/>
          <w:u w:val="singl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imes New Roman" w:hAnsi="Times New Roman" w:cs="宋体"/>
          <w:color w:val="000000" w:themeColor="text1"/>
          <w:sz w:val="24"/>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33.9履约保证金政策</w:t>
      </w:r>
      <w:r/>
    </w:p>
    <w:p>
      <w:pPr>
        <w:pStyle w:val="1125"/>
        <w:ind w:left="0" w:firstLine="560"/>
        <w:spacing w:after="0"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确需收取履约保证金的，履约保证金的缴纳形式：</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lang w:val="en-US" w:eastAsia="zh-CN"/>
          <w14:textFill>
            <w14:solidFill>
              <w14:schemeClr w14:val="tx1"/>
            </w14:solidFill>
          </w14:textFill>
        </w:rPr>
        <w:t xml:space="preserve">采购包1：</w:t>
      </w:r>
      <w:r>
        <w:rPr>
          <w:rFonts w:hint="eastAsia" w:ascii="Times New Roman" w:hAnsi="Times New Roman" w:cs="宋体"/>
          <w:color w:val="000000" w:themeColor="text1"/>
          <w:sz w:val="24"/>
          <w:highlight w:val="none"/>
          <w14:textFill>
            <w14:solidFill>
              <w14:schemeClr w14:val="tx1"/>
            </w14:solidFill>
          </w14:textFill>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560"/>
        <w:spacing w:line="508" w:lineRule="exact"/>
        <w:tabs>
          <w:tab w:val="left" w:pos="1381" w:leader="none"/>
        </w:tabs>
        <w:rPr>
          <w:rFonts w:hint="default" w:ascii="Times New Roman" w:hAnsi="Times New Roman" w:cs="宋体"/>
          <w:color w:val="000000" w:themeColor="text1"/>
          <w:sz w:val="24"/>
          <w:highlight w:val="none"/>
          <w:lang w:val="en-US"/>
          <w14:textFill>
            <w14:solidFill>
              <w14:schemeClr w14:val="tx1"/>
            </w14:solidFill>
          </w14:textFill>
        </w:rPr>
      </w:pPr>
      <w:r>
        <w:rPr>
          <w:rFonts w:hint="eastAsia" w:ascii="Times New Roman" w:hAnsi="Times New Roman" w:cs="宋体"/>
          <w:color w:val="000000" w:themeColor="text1"/>
          <w:sz w:val="24"/>
          <w:highlight w:val="none"/>
          <w:lang w:val="en-US" w:eastAsia="zh-CN"/>
          <w14:textFill>
            <w14:solidFill>
              <w14:schemeClr w14:val="tx1"/>
            </w14:solidFill>
          </w14:textFill>
        </w:rPr>
        <w:t xml:space="preserve">采购包2：免收履约保证金。</w:t>
      </w:r>
      <w:r/>
    </w:p>
    <w:p>
      <w:pPr>
        <w:ind w:firstLine="560"/>
        <w:spacing w:line="508" w:lineRule="exact"/>
        <w:tabs>
          <w:tab w:val="left" w:pos="1381" w:leader="none"/>
        </w:tabs>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34.预付款制度</w:t>
      </w:r>
      <w:r/>
    </w:p>
    <w:p>
      <w:pPr>
        <w:ind w:firstLine="560"/>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本项目落实预付款制度，预付款比例为</w:t>
      </w:r>
      <w:r>
        <w:rPr>
          <w:rFonts w:hint="eastAsia" w:ascii="Times New Roman" w:hAnsi="Times New Roman" w:cs="宋体"/>
          <w:color w:val="000000" w:themeColor="text1"/>
          <w:sz w:val="24"/>
          <w:highlight w:val="none"/>
          <w:u w:val="single"/>
          <w14:textFill>
            <w14:solidFill>
              <w14:schemeClr w14:val="tx1"/>
            </w14:solidFill>
          </w14:textFill>
        </w:rPr>
        <w:t xml:space="preserve">30%</w:t>
      </w:r>
      <w:r>
        <w:rPr>
          <w:rFonts w:hint="eastAsia" w:ascii="Times New Roman" w:hAnsi="Times New Roman" w:cs="宋体"/>
          <w:color w:val="000000" w:themeColor="text1"/>
          <w:sz w:val="24"/>
          <w:highlight w:val="none"/>
          <w14:textFill>
            <w14:solidFill>
              <w14:schemeClr w14:val="tx1"/>
            </w14:solidFill>
          </w14:textFill>
        </w:rPr>
        <w:t xml:space="preserve">（原则上不低于合同金额的30%）。在签订合同时，中标、成交供应商明确书面表示无需预付款或者主动要求降低预付款比例的，采购人可就预付款比例作相应调整。</w:t>
      </w:r>
      <w:r/>
    </w:p>
    <w:p>
      <w:pPr>
        <w:jc w:val="left"/>
        <w:spacing w:line="500" w:lineRule="exact"/>
        <w:rPr>
          <w:rFonts w:hint="eastAsia" w:ascii="黑体" w:hAnsi="黑体" w:eastAsia="黑体" w:cs="黑体"/>
          <w:color w:val="000000" w:themeColor="text1"/>
          <w:sz w:val="44"/>
          <w:szCs w:val="20"/>
          <w:highlight w:val="none"/>
          <w14:textFill>
            <w14:solidFill>
              <w14:schemeClr w14:val="tx1"/>
            </w14:solidFill>
          </w14:textFill>
        </w:rPr>
      </w:pPr>
      <w:r>
        <w:rPr>
          <w:rFonts w:hint="eastAsia" w:ascii="黑体" w:hAnsi="黑体" w:eastAsia="黑体" w:cs="黑体"/>
          <w:color w:val="000000" w:themeColor="text1"/>
          <w:sz w:val="44"/>
          <w:szCs w:val="20"/>
          <w:highlight w:val="none"/>
          <w14:textFill>
            <w14:solidFill>
              <w14:schemeClr w14:val="tx1"/>
            </w14:solidFill>
          </w14:textFill>
        </w:rPr>
      </w:r>
      <w:r/>
    </w:p>
    <w:p>
      <w:pPr>
        <w:jc w:val="center"/>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20"/>
          <w:highlight w:val="none"/>
          <w14:textFill>
            <w14:solidFill>
              <w14:schemeClr w14:val="tx1"/>
            </w14:solidFill>
          </w14:textFill>
        </w:rPr>
        <w:t xml:space="preserve">第三章  合同</w:t>
      </w:r>
      <w:bookmarkEnd w:id="30"/>
      <w:r>
        <w:rPr>
          <w:rFonts w:hint="eastAsia" w:ascii="黑体" w:hAnsi="黑体" w:eastAsia="黑体" w:cs="黑体"/>
          <w:color w:val="000000" w:themeColor="text1"/>
          <w:sz w:val="44"/>
          <w:szCs w:val="20"/>
          <w:highlight w:val="none"/>
          <w14:textFill>
            <w14:solidFill>
              <w14:schemeClr w14:val="tx1"/>
            </w14:solidFill>
          </w14:textFill>
        </w:rPr>
        <w:t xml:space="preserve">文本</w:t>
      </w:r>
      <w:r/>
    </w:p>
    <w:p>
      <w:pPr>
        <w:pStyle w:val="1121"/>
        <w:jc w:val="center"/>
        <w:spacing w:before="0" w:after="0" w:line="240" w:lineRule="auto"/>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r>
      <w:r/>
    </w:p>
    <w:p>
      <w:pPr>
        <w:ind w:firstLine="482"/>
        <w:jc w:val="center"/>
        <w:spacing w:line="560" w:lineRule="exact"/>
        <w:widowControl/>
        <w:rPr>
          <w:rFonts w:hint="eastAsia" w:ascii="宋体" w:hAnsi="宋体" w:cs="宋体"/>
          <w:b/>
          <w:bCs/>
          <w:color w:val="000000" w:themeColor="text1"/>
          <w:sz w:val="28"/>
          <w:szCs w:val="21"/>
          <w:highlight w:val="none"/>
          <w14:textFill>
            <w14:solidFill>
              <w14:schemeClr w14:val="tx1"/>
            </w14:solidFill>
          </w14:textFill>
        </w:rPr>
      </w:pPr>
      <w:r>
        <w:rPr>
          <w:rFonts w:hint="eastAsia" w:ascii="宋体" w:hAnsi="宋体" w:cs="宋体"/>
          <w:b/>
          <w:bCs/>
          <w:color w:val="000000" w:themeColor="text1"/>
          <w:sz w:val="28"/>
          <w:szCs w:val="21"/>
          <w:highlight w:val="none"/>
          <w:lang w:eastAsia="zh-CN"/>
          <w14:textFill>
            <w14:solidFill>
              <w14:schemeClr w14:val="tx1"/>
            </w14:solidFill>
          </w14:textFill>
        </w:rPr>
        <w:t xml:space="preserve">（</w:t>
      </w:r>
      <w:r>
        <w:rPr>
          <w:rFonts w:hint="eastAsia" w:ascii="宋体" w:hAnsi="宋体" w:cs="宋体"/>
          <w:b/>
          <w:bCs/>
          <w:color w:val="000000" w:themeColor="text1"/>
          <w:sz w:val="28"/>
          <w:szCs w:val="21"/>
          <w:highlight w:val="none"/>
          <w:lang w:val="en-US" w:eastAsia="zh-CN"/>
          <w14:textFill>
            <w14:solidFill>
              <w14:schemeClr w14:val="tx1"/>
            </w14:solidFill>
          </w14:textFill>
        </w:rPr>
        <w:t xml:space="preserve">采购包1</w:t>
      </w:r>
      <w:r>
        <w:rPr>
          <w:rFonts w:hint="eastAsia" w:ascii="宋体" w:hAnsi="宋体" w:cs="宋体"/>
          <w:b/>
          <w:bCs/>
          <w:color w:val="000000" w:themeColor="text1"/>
          <w:sz w:val="28"/>
          <w:szCs w:val="21"/>
          <w:highlight w:val="none"/>
          <w:lang w:eastAsia="zh-CN"/>
          <w14:textFill>
            <w14:solidFill>
              <w14:schemeClr w14:val="tx1"/>
            </w14:solidFill>
          </w14:textFill>
        </w:rPr>
        <w:t xml:space="preserve">）</w:t>
      </w:r>
      <w:r/>
    </w:p>
    <w:p>
      <w:pPr>
        <w:ind w:firstLine="482"/>
        <w:jc w:val="left"/>
        <w:spacing w:line="560" w:lineRule="exact"/>
        <w:widowControl/>
        <w:rPr>
          <w:rFonts w:hint="eastAsia" w:ascii="宋体" w:hAnsi="宋体" w:cs="宋体"/>
          <w:color w:val="000000" w:themeColor="text1"/>
          <w:sz w:val="24"/>
          <w:szCs w:val="20"/>
          <w:highlight w:val="none"/>
          <w:u w:val="singl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项目名称：</w:t>
      </w:r>
      <w:r>
        <w:rPr>
          <w:rFonts w:hint="eastAsia" w:ascii="宋体" w:hAnsi="宋体" w:cs="宋体"/>
          <w:color w:val="000000" w:themeColor="text1"/>
          <w:sz w:val="24"/>
          <w:szCs w:val="20"/>
          <w:highlight w:val="none"/>
          <w:u w:val="single"/>
          <w14:textFill>
            <w14:solidFill>
              <w14:schemeClr w14:val="tx1"/>
            </w14:solidFill>
          </w14:textFill>
        </w:rPr>
        <w:t xml:space="preserve">盐城市碳达峰碳中和数据监测分析管理系统</w:t>
      </w:r>
      <w:r/>
    </w:p>
    <w:p>
      <w:pPr>
        <w:ind w:firstLine="482"/>
        <w:jc w:val="left"/>
        <w:spacing w:line="560" w:lineRule="exact"/>
        <w:widowControl/>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项目编号：</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JSZC-320900-JZCG-C2026-0032</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甲方：（采购人）</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乙方：（成交人）</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0"/>
          <w:highlight w:val="none"/>
          <w:lang w:val="en-US" w:eastAsia="zh-CN"/>
          <w14:textFill>
            <w14:solidFill>
              <w14:schemeClr w14:val="tx1"/>
            </w14:solidFill>
          </w14:textFill>
        </w:rPr>
        <w:t xml:space="preserve">所属采购包：</w:t>
      </w:r>
      <w:r>
        <w:rPr>
          <w:rFonts w:hint="eastAsia" w:ascii="宋体" w:hAnsi="宋体" w:cs="宋体"/>
          <w:color w:val="000000" w:themeColor="text1"/>
          <w:sz w:val="24"/>
          <w:szCs w:val="20"/>
          <w:highlight w:val="none"/>
          <w:u w:val="single"/>
          <w:lang w:val="en-US" w:eastAsia="zh-CN"/>
          <w14:textFill>
            <w14:solidFill>
              <w14:schemeClr w14:val="tx1"/>
            </w14:solidFill>
          </w14:textFill>
        </w:rPr>
        <w:t xml:space="preserve">   1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甲、乙双方根据盐城市政府采购中心</w:t>
      </w:r>
      <w:r>
        <w:rPr>
          <w:rFonts w:hint="eastAsia" w:ascii="宋体" w:hAnsi="宋体" w:cs="宋体"/>
          <w:color w:val="000000" w:themeColor="text1"/>
          <w:sz w:val="24"/>
          <w:szCs w:val="20"/>
          <w:highlight w:val="none"/>
          <w:u w:val="single"/>
          <w14:textFill>
            <w14:solidFill>
              <w14:schemeClr w14:val="tx1"/>
            </w14:solidFill>
          </w14:textFill>
        </w:rPr>
        <w:t xml:space="preserve">盐城市碳达峰碳中和数据监测分析管理系统</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0"/>
          <w:highlight w:val="none"/>
          <w:u w:val="single"/>
          <w:lang w:val="en-US" w:eastAsia="zh-CN"/>
          <w14:textFill>
            <w14:solidFill>
              <w14:schemeClr w14:val="tx1"/>
            </w14:solidFill>
          </w14:textFill>
        </w:rPr>
        <w:t xml:space="preserve">采购包1</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0"/>
          <w:highlight w:val="none"/>
          <w:u w:val="single"/>
          <w14:textFill>
            <w14:solidFill>
              <w14:schemeClr w14:val="tx1"/>
            </w14:solidFill>
          </w14:textFill>
        </w:rPr>
        <w:t xml:space="preserve">竞</w:t>
      </w:r>
      <w:r>
        <w:rPr>
          <w:rFonts w:hint="eastAsia" w:ascii="宋体" w:hAnsi="宋体" w:cs="宋体"/>
          <w:color w:val="000000" w:themeColor="text1"/>
          <w:sz w:val="24"/>
          <w:szCs w:val="20"/>
          <w:highlight w:val="none"/>
          <w14:textFill>
            <w14:solidFill>
              <w14:schemeClr w14:val="tx1"/>
            </w14:solidFill>
          </w14:textFill>
        </w:rPr>
        <w:t xml:space="preserve">争性磋商的结果，签署本合同。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一、合同内容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bookmarkStart w:id="158" w:name="_Toc203060316"/>
      <w:r>
        <w:rPr>
          <w:rFonts w:hint="eastAsia" w:ascii="宋体" w:hAnsi="宋体" w:cs="宋体"/>
          <w:color w:val="000000" w:themeColor="text1"/>
          <w:sz w:val="24"/>
          <w:szCs w:val="20"/>
          <w:highlight w:val="none"/>
          <w14:textFill>
            <w14:solidFill>
              <w14:schemeClr w14:val="tx1"/>
            </w14:solidFill>
          </w14:textFill>
        </w:rPr>
        <w:t xml:space="preserve">1.1 标的名称：盐城市碳达峰碳中和数据监测分析管理系统</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1.2标的质量：详见采购需求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1.3 标的数量（规模）：详见采购需求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 履行时间（期限）：自合同签订之日起12个月内完成需求调研、设计、编码、测试、实施与上线试运行工作并完成项目最终验收。终验完成后提供3年免费维护及升级服务。</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1.5 履行地点：盐城市发展和改革委员会指定地点。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1.6 履行方式：按甲方指定方式。</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二、合同金额</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2.1本合同金额为（大写）：_________________（_______________元）人民币或其他币种。</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三、技术资料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3.1乙方应按采购文件规定的时间向甲方提供服务（包含与服务相关的货物）的有关技术资料。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四、知识产权</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numPr>
          <w:ilvl w:val="0"/>
          <w:numId w:val="3"/>
        </w:numPr>
        <w:ind w:firstLine="482"/>
        <w:jc w:val="left"/>
        <w:spacing w:line="5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产权担保</w:t>
      </w:r>
      <w:r/>
    </w:p>
    <w:p>
      <w:pPr>
        <w:ind w:firstLine="480"/>
        <w:jc w:val="left"/>
        <w:spacing w:line="560" w:lineRule="exact"/>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六、履约保证金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szCs w:val="20"/>
          <w:highlight w:val="none"/>
          <w14:textFill>
            <w14:solidFill>
              <w14:schemeClr w14:val="tx1"/>
            </w14:solidFill>
          </w14:textFill>
        </w:rPr>
        <w:t xml:space="preserve">乙方交纳人民币_____元作为本合同的履约保证金。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备注：履约保证金为合同金额的5%，采购人对AA评级及以上政府采购供应商（需提供信用管理部门备案的第三方信用报告）</w:t>
      </w:r>
      <w:r>
        <w:rPr>
          <w:rFonts w:hint="eastAsia" w:ascii="宋体" w:hAnsi="宋体" w:cs="宋体"/>
          <w:b/>
          <w:bCs/>
          <w:color w:val="000000" w:themeColor="text1"/>
          <w:sz w:val="24"/>
          <w:szCs w:val="20"/>
          <w:highlight w:val="none"/>
          <w14:textFill>
            <w14:solidFill>
              <w14:schemeClr w14:val="tx1"/>
            </w14:solidFill>
          </w14:textFill>
        </w:rPr>
        <w:t xml:space="preserve">免收履约保证金</w:t>
      </w:r>
      <w:r>
        <w:rPr>
          <w:rFonts w:hint="eastAsia" w:ascii="宋体" w:hAnsi="宋体"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6.2确需收取履约保证金的，履约保证金的缴纳形式：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6.2.2 如以履约保函（保险）形式缴纳履约保证金，乙方可通过政府采购电子履约保函（保险）平台（www.jsdzbh.com）在线申请履约保函（保险）。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6.3合同履行结束后，甲方应及时退还交纳的履约保证金。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6.4履约保证金的退还：</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6.4.1方式：退还至投标人乙方缴纳履约保证金的账户。如为保函，在到期时自行失效。</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6.4.2时间：验收合格且甲方收到发票后30日内。</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6.4.3条件：按合同要求全部履约完成并经甲方验收合格，且甲方收到乙方出具的发票。</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6.4.4不予退还情形：</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除不可抗力情况外，投标人出现下列情形之一的，其履约保证金，甲方将视情节决定不予退还或部分不予退还。</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（1）乙方无正当理由拒绝签订合同的，或者在签订合同时向采购人提出附加条件或者更改合同实质性内容要求的；</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（2）乙方不履行与采购人订立的合同的；</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（3）乙方所供货物或服务不符合采购文件规定要求的；</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（4）乙方采取欺骗、弄虚作假方式投标的或与其它投标人串通投标的；</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（5）乙方将合同内容转包、违法分包的；</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（6）乙方故意捏造事实或伪造证明材料，进行虚假恶意投诉或反映的。</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6.4.5逾期退还的违约责任：采购人逾期无故未退还履约保证金的，按中国人民银行同期贷款基准利率上浮20%后的利率支付超期资金占用费，但因乙方自身原因导致无法及时退还的除外。</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七、合同转包或分包</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7.1乙方不得将合同标的转包给他人履行。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7.2乙方不得将合同标的分包给他人履行。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7.3乙方如有转包或未经甲方同意的分包行为，甲方有权解除合同。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八、合同款项支付</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8.1合同款项的支付方式及进度安排</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8.1.1 预付款支付时间：</w:t>
      </w:r>
      <w:r>
        <w:rPr>
          <w:rFonts w:hint="eastAsia" w:ascii="宋体" w:hAnsi="宋体" w:cs="宋体"/>
          <w:color w:val="000000" w:themeColor="text1"/>
          <w:sz w:val="24"/>
          <w:szCs w:val="20"/>
          <w:highlight w:val="none"/>
          <w14:textFill>
            <w14:solidFill>
              <w14:schemeClr w14:val="tx1"/>
            </w14:solidFill>
          </w14:textFill>
        </w:rPr>
        <w:t xml:space="preserve">合同签订后，甲方收到预付款发票后10个工作日内，预付款支付比例：合同金额的30%。</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8.1.2 尾款支付时间：</w:t>
      </w:r>
      <w:r>
        <w:rPr>
          <w:rFonts w:ascii="宋体" w:hAnsi="宋体" w:cs="宋体"/>
          <w:color w:val="000000" w:themeColor="text1"/>
          <w:sz w:val="24"/>
          <w:szCs w:val="20"/>
          <w:highlight w:val="none"/>
          <w14:textFill>
            <w14:solidFill>
              <w14:schemeClr w14:val="tx1"/>
            </w14:solidFill>
          </w14:textFill>
        </w:rPr>
        <w:t xml:space="preserve">平台上线经甲方组织初验后，甲方以转账方式支付合同金额的30%；经甲方组织竣工验收合格后，甲方以转账方式支付合同金额的10%；运维</w:t>
      </w:r>
      <w:r>
        <w:rPr>
          <w:rFonts w:hint="eastAsia" w:ascii="宋体" w:hAnsi="宋体" w:cs="宋体"/>
          <w:color w:val="000000" w:themeColor="text1"/>
          <w:sz w:val="24"/>
          <w:szCs w:val="20"/>
          <w:highlight w:val="none"/>
          <w14:textFill>
            <w14:solidFill>
              <w14:schemeClr w14:val="tx1"/>
            </w14:solidFill>
          </w14:textFill>
        </w:rPr>
        <w:t xml:space="preserve">期</w:t>
      </w:r>
      <w:r>
        <w:rPr>
          <w:rFonts w:ascii="宋体" w:hAnsi="宋体" w:cs="宋体"/>
          <w:color w:val="000000" w:themeColor="text1"/>
          <w:sz w:val="24"/>
          <w:szCs w:val="20"/>
          <w:highlight w:val="none"/>
          <w14:textFill>
            <w14:solidFill>
              <w14:schemeClr w14:val="tx1"/>
            </w14:solidFill>
          </w14:textFill>
        </w:rPr>
        <w:t xml:space="preserve">间，甲方每年以转账方式支付合同金额的10%，</w:t>
      </w:r>
      <w:r>
        <w:rPr>
          <w:rFonts w:hint="eastAsia" w:ascii="宋体" w:hAnsi="宋体" w:cs="宋体"/>
          <w:color w:val="000000" w:themeColor="text1"/>
          <w:sz w:val="24"/>
          <w:szCs w:val="20"/>
          <w:highlight w:val="none"/>
          <w14:textFill>
            <w14:solidFill>
              <w14:schemeClr w14:val="tx1"/>
            </w14:solidFill>
          </w14:textFill>
        </w:rPr>
        <w:t xml:space="preserve">于每年运维期满后支付，共支付三年</w:t>
      </w:r>
      <w:r>
        <w:rPr>
          <w:rFonts w:ascii="宋体" w:hAnsi="宋体" w:cs="宋体"/>
          <w:color w:val="000000" w:themeColor="text1"/>
          <w:sz w:val="24"/>
          <w:szCs w:val="20"/>
          <w:highlight w:val="none"/>
          <w14:textFill>
            <w14:solidFill>
              <w14:schemeClr w14:val="tx1"/>
            </w14:solidFill>
          </w14:textFill>
        </w:rPr>
        <w:t xml:space="preserve">。以上付款均无息。甲方收到乙方发票10个工作日内支付款项。</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九、税费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本合同执行中相关的一切税费均由乙方负担。</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十、项目验收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10.1甲方依法组织履约验收工作。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10.3对于实际使用人和甲方分离的项目，甲方邀请实际使用人参与验收。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10.4如有必要，甲方邀请参加本项目的其他供应商或第三方专业机构及专家参与验收，相关意见将作为验收书的参考资料。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10.6 项目完成终验后，乙方需提供3年免费维护和升级服务。</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10.7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十一、违约责任</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11.1甲方无正当理由拒绝接受乙方提供服务的，甲方向乙方偿付拒绝接受服务合同价款总值</w:t>
      </w:r>
      <w:r>
        <w:rPr>
          <w:rFonts w:hint="eastAsia" w:ascii="宋体" w:hAnsi="宋体" w:cs="宋体"/>
          <w:color w:val="000000" w:themeColor="text1"/>
          <w:sz w:val="24"/>
          <w:szCs w:val="20"/>
          <w:highlight w:val="none"/>
          <w:u w:val="single"/>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的违约金。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11.2甲方无故逾期验收和办理合同款项支付手续的,甲方应按逾期付款总额</w:t>
      </w:r>
      <w:r>
        <w:rPr>
          <w:rFonts w:hint="eastAsia" w:ascii="宋体" w:hAnsi="宋体" w:cs="宋体"/>
          <w:color w:val="000000" w:themeColor="text1"/>
          <w:sz w:val="24"/>
          <w:szCs w:val="20"/>
          <w:highlight w:val="none"/>
          <w:u w:val="single"/>
          <w14:textFill>
            <w14:solidFill>
              <w14:schemeClr w14:val="tx1"/>
            </w14:solidFill>
          </w14:textFill>
        </w:rPr>
        <w:t xml:space="preserve">0.</w:t>
      </w:r>
      <w:r>
        <w:rPr>
          <w:rFonts w:hint="eastAsia" w:ascii="宋体" w:hAnsi="宋体" w:cs="宋体"/>
          <w:color w:val="000000" w:themeColor="text1"/>
          <w:sz w:val="24"/>
          <w:szCs w:val="20"/>
          <w:highlight w:val="none"/>
          <w:u w:val="single"/>
          <w:lang w:val="en-US" w:eastAsia="zh-CN"/>
          <w14:textFill>
            <w14:solidFill>
              <w14:schemeClr w14:val="tx1"/>
            </w14:solidFill>
          </w14:textFill>
        </w:rPr>
        <w:t xml:space="preserve">03</w:t>
      </w:r>
      <w:r>
        <w:rPr>
          <w:rFonts w:hint="eastAsia" w:ascii="宋体" w:hAnsi="宋体" w:cs="宋体"/>
          <w:color w:val="000000" w:themeColor="text1"/>
          <w:sz w:val="24"/>
          <w:szCs w:val="20"/>
          <w:highlight w:val="none"/>
          <w:u w:val="single"/>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每日向乙方支付违约金。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themeColor="text1"/>
          <w:sz w:val="24"/>
          <w:szCs w:val="20"/>
          <w:highlight w:val="none"/>
          <w:u w:val="single"/>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的违约金，如造成甲方损失超过违约金的，超出部分由乙方继续承担赔偿责任。</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11.4乙方所提供服务的标准不符合合同规定及采购文件规定标准的，甲方有权拒绝接受服务，并可单方面解除合同。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十二、不可抗力事件处理</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12.2不可抗力事件发生后，应立即通知对方，并寄送有关权威机构出具的证明。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12.3不可抗力事件延续120天以上，双方应通过友好协商，确定是否继续履行合同。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十三、解决争议的方法</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13.1双方在签订、履行合同中所发生的一切争议，应通过友好协商解决。如协商不成，由甲方住所地人民法院管辖。</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十四、合同生效及其他</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14.1合同经双方法定代表人或授权委托代表人签字并加盖单位公章后生效。</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14.2本合同未尽事宜，遵照《中华人民共和国民法典》、《中华人民共和国政府采购法》有关条文执行。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14.3 本合同正本一式陆份，具有同等法律效力，甲方、乙方各执叁份。</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72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                                  乙方： </w:t>
      </w:r>
      <w:r/>
    </w:p>
    <w:p>
      <w:pPr>
        <w:ind w:firstLine="24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地址：                                  地址： </w:t>
      </w:r>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法定代表人或授权代表：                  法定代表人或授权代表：</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联系电话：                              联系电话：</w:t>
      </w:r>
      <w:r/>
    </w:p>
    <w:p>
      <w:pPr>
        <w:ind w:firstLine="552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      年  月  日</w:t>
      </w:r>
      <w:r/>
    </w:p>
    <w:p>
      <w:pPr>
        <w:jc w:val="center"/>
        <w:spacing w:line="480" w:lineRule="exact"/>
        <w:rPr>
          <w:rFonts w:hint="eastAsia" w:ascii="宋体" w:hAnsi="宋体" w:cs="宋体"/>
          <w:strike/>
          <w:color w:val="000000" w:themeColor="text1"/>
          <w:sz w:val="24"/>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r/>
    </w:p>
    <w:p>
      <w:pPr>
        <w:widowControl/>
        <w:rPr>
          <w:rFonts w:hint="eastAsia" w:asciiTheme="majorEastAsia" w:hAnsiTheme="majorEastAsia" w:eastAsiaTheme="majorEastAsia" w:cstheme="majorEastAsia"/>
          <w:bCs/>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8"/>
          <w:szCs w:val="28"/>
          <w:highlight w:val="none"/>
          <w14:textFill>
            <w14:solidFill>
              <w14:schemeClr w14:val="tx1"/>
            </w14:solidFill>
          </w14:textFill>
        </w:rPr>
      </w:r>
      <w:r/>
    </w:p>
    <w:p>
      <w:pPr>
        <w:jc w:val="center"/>
        <w:widowControl/>
        <w:rPr>
          <w:rFonts w:hint="eastAsia" w:ascii="黑体" w:hAnsi="黑体" w:eastAsia="黑体" w:cs="黑体"/>
          <w:bCs/>
          <w:color w:val="000000" w:themeColor="text1"/>
          <w:sz w:val="28"/>
          <w:szCs w:val="28"/>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t xml:space="preserve">保密协议书</w:t>
      </w:r>
      <w:r/>
    </w:p>
    <w:p>
      <w:pPr>
        <w:pStyle w:val="918"/>
        <w:spacing w:line="500" w:lineRule="exact"/>
        <w:widowControl/>
        <w:rPr>
          <w:rFonts w:hAnsi="宋体" w:eastAsia="Arial" w:cs="宋体"/>
          <w:color w:val="000000" w:themeColor="text1"/>
          <w:sz w:val="24"/>
          <w:szCs w:val="20"/>
          <w:highlight w:val="none"/>
          <w14:textFill>
            <w14:solidFill>
              <w14:schemeClr w14:val="tx1"/>
            </w14:solidFill>
          </w14:textFill>
        </w:rPr>
      </w:pPr>
      <w:r>
        <w:rPr>
          <w:rFonts w:hint="eastAsia" w:hAnsi="宋体" w:eastAsia="Arial" w:cs="宋体"/>
          <w:color w:val="000000" w:themeColor="text1"/>
          <w:sz w:val="24"/>
          <w:szCs w:val="20"/>
          <w:highlight w:val="none"/>
          <w14:textFill>
            <w14:solidFill>
              <w14:schemeClr w14:val="tx1"/>
            </w14:solidFill>
          </w14:textFill>
        </w:rPr>
        <w:t xml:space="preserve">甲方：</w:t>
      </w:r>
      <w:r>
        <w:rPr>
          <w:rFonts w:hint="eastAsia" w:hAnsi="宋体" w:eastAsia="Arial" w:cs="宋体"/>
          <w:color w:val="000000" w:themeColor="text1"/>
          <w:sz w:val="24"/>
          <w:szCs w:val="20"/>
          <w:highlight w:val="none"/>
          <w:u w:val="single"/>
          <w14:textFill>
            <w14:solidFill>
              <w14:schemeClr w14:val="tx1"/>
            </w14:solidFill>
          </w14:textFill>
        </w:rPr>
        <w:t xml:space="preserve">                 </w:t>
      </w:r>
      <w:r>
        <w:rPr>
          <w:rFonts w:hint="eastAsia" w:hAnsi="宋体" w:eastAsia="Arial" w:cs="宋体"/>
          <w:color w:val="000000" w:themeColor="text1"/>
          <w:sz w:val="24"/>
          <w:szCs w:val="20"/>
          <w:highlight w:val="none"/>
          <w14:textFill>
            <w14:solidFill>
              <w14:schemeClr w14:val="tx1"/>
            </w14:solidFill>
          </w14:textFill>
        </w:rPr>
        <w:t xml:space="preserve">                     </w:t>
      </w:r>
      <w:r/>
    </w:p>
    <w:p>
      <w:pPr>
        <w:pStyle w:val="918"/>
        <w:spacing w:line="500" w:lineRule="exact"/>
        <w:widowControl/>
        <w:rPr>
          <w:rFonts w:hAnsi="宋体" w:eastAsia="Arial" w:cs="宋体"/>
          <w:color w:val="000000" w:themeColor="text1"/>
          <w:sz w:val="24"/>
          <w:szCs w:val="20"/>
          <w:highlight w:val="none"/>
          <w14:textFill>
            <w14:solidFill>
              <w14:schemeClr w14:val="tx1"/>
            </w14:solidFill>
          </w14:textFill>
        </w:rPr>
      </w:pPr>
      <w:r>
        <w:rPr>
          <w:rFonts w:hint="eastAsia" w:hAnsi="宋体" w:eastAsia="Arial" w:cs="宋体"/>
          <w:color w:val="000000" w:themeColor="text1"/>
          <w:sz w:val="24"/>
          <w:szCs w:val="20"/>
          <w:highlight w:val="none"/>
          <w14:textFill>
            <w14:solidFill>
              <w14:schemeClr w14:val="tx1"/>
            </w14:solidFill>
          </w14:textFill>
        </w:rPr>
        <w:t xml:space="preserve">乙方：</w:t>
      </w:r>
      <w:r>
        <w:rPr>
          <w:rFonts w:hint="eastAsia" w:hAnsi="宋体" w:eastAsia="Arial" w:cs="宋体"/>
          <w:color w:val="000000" w:themeColor="text1"/>
          <w:sz w:val="24"/>
          <w:szCs w:val="20"/>
          <w:highlight w:val="none"/>
          <w:u w:val="single"/>
          <w14:textFill>
            <w14:solidFill>
              <w14:schemeClr w14:val="tx1"/>
            </w14:solidFill>
          </w14:textFill>
        </w:rPr>
        <w:t xml:space="preserve">                 </w:t>
      </w:r>
      <w:r>
        <w:rPr>
          <w:rFonts w:hint="eastAsia" w:hAnsi="宋体" w:eastAsia="Arial" w:cs="宋体"/>
          <w:color w:val="000000" w:themeColor="text1"/>
          <w:sz w:val="24"/>
          <w:szCs w:val="20"/>
          <w:highlight w:val="none"/>
          <w14:textFill>
            <w14:solidFill>
              <w14:schemeClr w14:val="tx1"/>
            </w14:solidFill>
          </w14:textFill>
        </w:rPr>
        <w:t xml:space="preserve">  </w:t>
      </w:r>
      <w:bookmarkStart w:id="159" w:name="OLE_LINK26"/>
      <w:r/>
      <w:bookmarkStart w:id="160" w:name="OLE_LINK28"/>
      <w:r>
        <w:rPr>
          <w:rFonts w:hint="eastAsia" w:hAnsi="宋体" w:eastAsia="Arial" w:cs="宋体"/>
          <w:color w:val="000000" w:themeColor="text1"/>
          <w:sz w:val="24"/>
          <w:szCs w:val="20"/>
          <w:highlight w:val="none"/>
          <w14:textFill>
            <w14:solidFill>
              <w14:schemeClr w14:val="tx1"/>
            </w14:solidFill>
          </w14:textFill>
        </w:rPr>
        <w:t xml:space="preserve">                </w:t>
      </w:r>
      <w:bookmarkEnd w:id="159"/>
      <w:r/>
      <w:bookmarkEnd w:id="160"/>
      <w:r>
        <w:rPr>
          <w:rFonts w:hint="eastAsia" w:hAnsi="宋体" w:eastAsia="Arial"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鉴于乙方接受甲方委托，将在合同规定的期限内对甲方有关</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一、甲方职责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二、乙方职责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3.乙方在为甲方提供技术服务时，甲方根据乙方提出的要求，必须提供保密资料时，双方应当办理交接手续，做好登记、</w:t>
      </w:r>
      <w:r>
        <w:rPr>
          <w:rFonts w:hint="eastAsia" w:ascii="宋体" w:hAnsi="宋体" w:cs="宋体"/>
          <w:color w:val="000000" w:themeColor="text1"/>
          <w:sz w:val="24"/>
          <w:szCs w:val="20"/>
          <w:highlight w:val="none"/>
          <w14:textFill>
            <w14:solidFill>
              <w14:schemeClr w14:val="tx1"/>
            </w14:solidFill>
          </w14:textFill>
        </w:rPr>
        <w:t xml:space="preserve">使用台账</w:t>
      </w:r>
      <w:r>
        <w:rPr>
          <w:rFonts w:hint="eastAsia" w:ascii="宋体" w:hAnsi="宋体" w:eastAsia="Arial" w:cs="宋体"/>
          <w:color w:val="000000" w:themeColor="text1"/>
          <w:sz w:val="24"/>
          <w:szCs w:val="20"/>
          <w:highlight w:val="none"/>
          <w14:textFill>
            <w14:solidFill>
              <w14:schemeClr w14:val="tx1"/>
            </w14:solidFill>
          </w14:textFill>
        </w:rPr>
        <w:t xml:space="preserve">；乙方在将相关保密资料带回使用时，应确保携带、使用、存放全过程的安全；保密资料原则上不得另行复制，确因技术服务需要经甲方同意复制的，按原件要求严格管理。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4.乙方在完成甲方某项技术服务任务后，与此任务相关</w:t>
      </w:r>
      <w:r>
        <w:rPr>
          <w:rFonts w:hint="eastAsia" w:ascii="宋体" w:hAnsi="宋体" w:cs="宋体"/>
          <w:color w:val="000000" w:themeColor="text1"/>
          <w:sz w:val="24"/>
          <w:szCs w:val="20"/>
          <w:highlight w:val="none"/>
          <w14:textFill>
            <w14:solidFill>
              <w14:schemeClr w14:val="tx1"/>
            </w14:solidFill>
          </w14:textFill>
        </w:rPr>
        <w:t xml:space="preserve">且</w:t>
      </w:r>
      <w:r>
        <w:rPr>
          <w:rFonts w:hint="eastAsia" w:ascii="宋体" w:hAnsi="宋体" w:eastAsia="Arial" w:cs="宋体"/>
          <w:color w:val="000000" w:themeColor="text1"/>
          <w:sz w:val="24"/>
          <w:szCs w:val="20"/>
          <w:highlight w:val="none"/>
          <w14:textFill>
            <w14:solidFill>
              <w14:schemeClr w14:val="tx1"/>
            </w14:solidFill>
          </w14:textFill>
        </w:rPr>
        <w:t xml:space="preserve">短期内不再使用的先前甲方提供的保密资料，原则上应</w:t>
      </w:r>
      <w:r>
        <w:rPr>
          <w:rFonts w:hint="eastAsia" w:ascii="宋体" w:hAnsi="宋体" w:cs="宋体"/>
          <w:color w:val="000000" w:themeColor="text1"/>
          <w:sz w:val="24"/>
          <w:szCs w:val="20"/>
          <w:highlight w:val="none"/>
          <w14:textFill>
            <w14:solidFill>
              <w14:schemeClr w14:val="tx1"/>
            </w14:solidFill>
          </w14:textFill>
        </w:rPr>
        <w:t xml:space="preserve">限</w:t>
      </w:r>
      <w:r>
        <w:rPr>
          <w:rFonts w:hint="eastAsia" w:ascii="宋体" w:hAnsi="宋体" w:eastAsia="Arial" w:cs="宋体"/>
          <w:color w:val="000000" w:themeColor="text1"/>
          <w:sz w:val="24"/>
          <w:szCs w:val="20"/>
          <w:highlight w:val="none"/>
          <w14:textFill>
            <w14:solidFill>
              <w14:schemeClr w14:val="tx1"/>
            </w14:solidFill>
          </w14:textFill>
        </w:rPr>
        <w:t xml:space="preserve">期退回甲方，并办理保密资料退回手续，做好交接登记。甲方认为可以作废不需退回的保密资料，乙方应当及时进行保密销毁，并做好核销登记。</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6.乙方在使用电子设备(包括笔记本电脑、移动存储介质等)为甲方提供技术服务时，应严格按照有关保密规定要求，落实技防、人防、物防综合防范措施，确保安全。</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三、其他事宜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1.由于双方违反约定，造成泄密事件发生或者产生严重泄密隐患的，由违约一方承担全部责任。</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2.本协议未尽事宜，双方另行择机商定。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3.双方在相关问题上发生争执无法解决时，拟商请保密工作部门进行调解。</w:t>
      </w:r>
      <w:r/>
    </w:p>
    <w:p>
      <w:pPr>
        <w:pStyle w:val="918"/>
        <w:ind w:firstLine="480"/>
        <w:spacing w:line="46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甲方代表（签字）：                    乙方代表（签字）：</w:t>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460" w:lineRule="exact"/>
        <w:rPr>
          <w:rFonts w:hint="eastAsia" w:ascii="宋体" w:hAnsi="宋体" w:cs="宋体"/>
          <w:color w:val="000000" w:themeColor="text1"/>
          <w:sz w:val="22"/>
          <w:szCs w:val="22"/>
          <w:highlight w:val="none"/>
          <w14:textFill>
            <w14:solidFill>
              <w14:schemeClr w14:val="tx1"/>
            </w14:solidFill>
          </w14:textFill>
        </w:rPr>
        <w:outlineLvl w:val="0"/>
      </w:pPr>
      <w:r>
        <w:rPr>
          <w:rFonts w:hint="eastAsia" w:asciiTheme="minorEastAsia" w:hAnsiTheme="minorEastAsia" w:cstheme="minorEastAsia"/>
          <w:color w:val="000000" w:themeColor="text1"/>
          <w:sz w:val="24"/>
          <w:highlight w:val="none"/>
          <w14:textFill>
            <w14:solidFill>
              <w14:schemeClr w14:val="tx1"/>
            </w14:solidFill>
          </w14:textFill>
        </w:rPr>
        <w:t xml:space="preserve">签署日期：  年  月  日                签署日期：  年  月  日</w:t>
      </w:r>
      <w:r/>
    </w:p>
    <w:p>
      <w:pPr>
        <w:jc w:val="center"/>
        <w:rPr>
          <w:rFonts w:hint="eastAsia" w:ascii="黑体" w:hAnsi="黑体" w:eastAsia="黑体" w:cs="黑体"/>
          <w:color w:val="000000" w:themeColor="text1"/>
          <w:sz w:val="44"/>
          <w:szCs w:val="20"/>
          <w:highlight w:val="none"/>
          <w14:textFill>
            <w14:solidFill>
              <w14:schemeClr w14:val="tx1"/>
            </w14:solidFill>
          </w14:textFill>
        </w:rPr>
      </w:pPr>
      <w:r>
        <w:rPr>
          <w:rFonts w:hint="eastAsia" w:ascii="黑体" w:hAnsi="黑体" w:eastAsia="黑体" w:cs="黑体"/>
          <w:color w:val="000000" w:themeColor="text1"/>
          <w:sz w:val="44"/>
          <w:szCs w:val="20"/>
          <w:highlight w:val="none"/>
          <w14:textFill>
            <w14:solidFill>
              <w14:schemeClr w14:val="tx1"/>
            </w14:solidFill>
          </w14:textFill>
        </w:rPr>
      </w:r>
      <w:r/>
    </w:p>
    <w:p>
      <w:pPr>
        <w:jc w:val="center"/>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20"/>
          <w:highlight w:val="none"/>
          <w14:textFill>
            <w14:solidFill>
              <w14:schemeClr w14:val="tx1"/>
            </w14:solidFill>
          </w14:textFill>
        </w:rPr>
        <w:t xml:space="preserve">第三章  合同文本</w:t>
      </w:r>
      <w:r/>
    </w:p>
    <w:p>
      <w:pPr>
        <w:pStyle w:val="1121"/>
        <w:jc w:val="center"/>
        <w:spacing w:before="0" w:after="0" w:line="240" w:lineRule="auto"/>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r>
      <w:r/>
    </w:p>
    <w:p>
      <w:pPr>
        <w:ind w:firstLine="482"/>
        <w:jc w:val="center"/>
        <w:spacing w:line="560" w:lineRule="exact"/>
        <w:widowControl/>
        <w:rPr>
          <w:rFonts w:hint="eastAsia" w:ascii="宋体" w:hAnsi="宋体" w:cs="宋体"/>
          <w:b/>
          <w:bCs/>
          <w:color w:val="000000" w:themeColor="text1"/>
          <w:sz w:val="28"/>
          <w:szCs w:val="21"/>
          <w:highlight w:val="none"/>
          <w14:textFill>
            <w14:solidFill>
              <w14:schemeClr w14:val="tx1"/>
            </w14:solidFill>
          </w14:textFill>
        </w:rPr>
      </w:pPr>
      <w:r>
        <w:rPr>
          <w:rFonts w:hint="eastAsia" w:ascii="宋体" w:hAnsi="宋体" w:cs="宋体"/>
          <w:b/>
          <w:bCs/>
          <w:color w:val="000000" w:themeColor="text1"/>
          <w:sz w:val="28"/>
          <w:szCs w:val="21"/>
          <w:highlight w:val="none"/>
          <w:lang w:eastAsia="zh-CN"/>
          <w14:textFill>
            <w14:solidFill>
              <w14:schemeClr w14:val="tx1"/>
            </w14:solidFill>
          </w14:textFill>
        </w:rPr>
        <w:t xml:space="preserve">（</w:t>
      </w:r>
      <w:r>
        <w:rPr>
          <w:rFonts w:hint="eastAsia" w:ascii="宋体" w:hAnsi="宋体" w:cs="宋体"/>
          <w:b/>
          <w:bCs/>
          <w:color w:val="000000" w:themeColor="text1"/>
          <w:sz w:val="28"/>
          <w:szCs w:val="21"/>
          <w:highlight w:val="none"/>
          <w:lang w:val="en-US" w:eastAsia="zh-CN"/>
          <w14:textFill>
            <w14:solidFill>
              <w14:schemeClr w14:val="tx1"/>
            </w14:solidFill>
          </w14:textFill>
        </w:rPr>
        <w:t xml:space="preserve">采购包2</w:t>
      </w:r>
      <w:r>
        <w:rPr>
          <w:rFonts w:hint="eastAsia" w:ascii="宋体" w:hAnsi="宋体" w:cs="宋体"/>
          <w:b/>
          <w:bCs/>
          <w:color w:val="000000" w:themeColor="text1"/>
          <w:sz w:val="28"/>
          <w:szCs w:val="21"/>
          <w:highlight w:val="none"/>
          <w:lang w:eastAsia="zh-CN"/>
          <w14:textFill>
            <w14:solidFill>
              <w14:schemeClr w14:val="tx1"/>
            </w14:solidFill>
          </w14:textFill>
        </w:rPr>
        <w:t xml:space="preserve">）</w:t>
      </w:r>
      <w:r/>
    </w:p>
    <w:p>
      <w:pPr>
        <w:ind w:firstLine="482"/>
        <w:jc w:val="left"/>
        <w:spacing w:line="560" w:lineRule="exact"/>
        <w:widowControl/>
        <w:rPr>
          <w:rFonts w:hint="eastAsia" w:ascii="宋体" w:hAnsi="宋体" w:cs="宋体"/>
          <w:color w:val="000000" w:themeColor="text1"/>
          <w:sz w:val="24"/>
          <w:szCs w:val="20"/>
          <w:highlight w:val="none"/>
          <w:u w:val="singl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项目名称：</w:t>
      </w:r>
      <w:r>
        <w:rPr>
          <w:rFonts w:hint="eastAsia" w:ascii="宋体" w:hAnsi="宋体" w:cs="宋体"/>
          <w:color w:val="000000" w:themeColor="text1"/>
          <w:sz w:val="24"/>
          <w:szCs w:val="20"/>
          <w:highlight w:val="none"/>
          <w:u w:val="single"/>
          <w14:textFill>
            <w14:solidFill>
              <w14:schemeClr w14:val="tx1"/>
            </w14:solidFill>
          </w14:textFill>
        </w:rPr>
        <w:t xml:space="preserve">盐城市碳达峰碳中和数据监测分析管理系统</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项目编号：</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JSZC-320900-JZCG-C2026-0032</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甲方：（采购人）</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乙方：（成交人）</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0"/>
          <w:highlight w:val="none"/>
          <w:lang w:val="en-US" w:eastAsia="zh-CN"/>
          <w14:textFill>
            <w14:solidFill>
              <w14:schemeClr w14:val="tx1"/>
            </w14:solidFill>
          </w14:textFill>
        </w:rPr>
        <w:t xml:space="preserve">所属采购包：</w:t>
      </w:r>
      <w:r>
        <w:rPr>
          <w:rFonts w:hint="eastAsia" w:ascii="宋体" w:hAnsi="宋体" w:cs="宋体"/>
          <w:color w:val="000000" w:themeColor="text1"/>
          <w:sz w:val="24"/>
          <w:szCs w:val="20"/>
          <w:highlight w:val="none"/>
          <w:u w:val="single"/>
          <w:lang w:val="en-US" w:eastAsia="zh-CN"/>
          <w14:textFill>
            <w14:solidFill>
              <w14:schemeClr w14:val="tx1"/>
            </w14:solidFill>
          </w14:textFill>
        </w:rPr>
        <w:t xml:space="preserve">   2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甲、乙双方根据盐城市政府采购中心</w:t>
      </w:r>
      <w:r>
        <w:rPr>
          <w:rFonts w:hint="eastAsia" w:ascii="宋体" w:hAnsi="宋体" w:cs="宋体"/>
          <w:color w:val="000000" w:themeColor="text1"/>
          <w:sz w:val="24"/>
          <w:szCs w:val="20"/>
          <w:highlight w:val="none"/>
          <w:u w:val="single"/>
          <w14:textFill>
            <w14:solidFill>
              <w14:schemeClr w14:val="tx1"/>
            </w14:solidFill>
          </w14:textFill>
        </w:rPr>
        <w:t xml:space="preserve">盐城市碳达峰碳中和数据监测分析管理系统</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0"/>
          <w:highlight w:val="none"/>
          <w:u w:val="single"/>
          <w:lang w:val="en-US" w:eastAsia="zh-CN"/>
          <w14:textFill>
            <w14:solidFill>
              <w14:schemeClr w14:val="tx1"/>
            </w14:solidFill>
          </w14:textFill>
        </w:rPr>
        <w:t xml:space="preserve">采购包2</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0"/>
          <w:highlight w:val="none"/>
          <w:u w:val="single"/>
          <w14:textFill>
            <w14:solidFill>
              <w14:schemeClr w14:val="tx1"/>
            </w14:solidFill>
          </w14:textFill>
        </w:rPr>
        <w:t xml:space="preserve">竞</w:t>
      </w:r>
      <w:r>
        <w:rPr>
          <w:rFonts w:hint="eastAsia" w:ascii="宋体" w:hAnsi="宋体" w:cs="宋体"/>
          <w:color w:val="000000" w:themeColor="text1"/>
          <w:sz w:val="24"/>
          <w:szCs w:val="20"/>
          <w:highlight w:val="none"/>
          <w14:textFill>
            <w14:solidFill>
              <w14:schemeClr w14:val="tx1"/>
            </w14:solidFill>
          </w14:textFill>
        </w:rPr>
        <w:t xml:space="preserve">争性磋商的结果，签署本合同。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一、合同内容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 标的名称：盐城市碳达峰碳中和数据监测分析管理系统</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1.2标的质量：详见采购需求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1.3 标的数量（规模）：详见采购需求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 履行时间（期限）：自签订测试服务合同之日起开始，直到所测试项目终验合格</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1.5 履行地点：盐城市发展和改革委员会指定地点。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1.6 履行方式：按甲方指定方式。</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二、合同金额</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2.1本合同金额为（大写）：_________________圆（_______________元）人民币或其他币种。</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三、技术资料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3.1乙方应按采购文件规定的时间向甲方提供服务（包含与服务相关的货物）的有关技术资料。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四、知识产权</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numPr>
          <w:ilvl w:val="0"/>
          <w:numId w:val="3"/>
        </w:numPr>
        <w:ind w:firstLine="482"/>
        <w:jc w:val="left"/>
        <w:spacing w:line="560" w:lineRule="exac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产权担保</w:t>
      </w:r>
      <w:r/>
    </w:p>
    <w:p>
      <w:pPr>
        <w:ind w:firstLine="480"/>
        <w:jc w:val="left"/>
        <w:spacing w:line="560" w:lineRule="exact"/>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六、履约保证金</w:t>
      </w:r>
      <w:r/>
    </w:p>
    <w:p>
      <w:pPr>
        <w:ind w:firstLine="482"/>
        <w:jc w:val="left"/>
        <w:spacing w:line="560" w:lineRule="exact"/>
        <w:widowControl/>
        <w:rPr>
          <w:rFonts w:hint="default"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本项目免收履约保证金</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七、合同转包或分包</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7.1乙方不得将合同标的转包给他人履行。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7.2乙方不得将合同标的分包给他人履行。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7.3乙方如有转包或未经甲方同意的分包行为，甲方有权解除合同。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八、合同款项支付</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8.1合同款项的支付方式及进度安排</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8.1.1 预付款支付时间：</w:t>
      </w:r>
      <w:r>
        <w:rPr>
          <w:rFonts w:hint="eastAsia" w:ascii="宋体" w:hAnsi="宋体" w:cs="宋体"/>
          <w:color w:val="000000" w:themeColor="text1"/>
          <w:sz w:val="24"/>
          <w:szCs w:val="20"/>
          <w:highlight w:val="none"/>
          <w14:textFill>
            <w14:solidFill>
              <w14:schemeClr w14:val="tx1"/>
            </w14:solidFill>
          </w14:textFill>
        </w:rPr>
        <w:t xml:space="preserve">合同签订后，甲方收到预付款发票后10个工作日内，预付款支付比例：合同金额的30%。</w:t>
      </w:r>
      <w:r/>
    </w:p>
    <w:p>
      <w:pPr>
        <w:ind w:firstLine="482"/>
        <w:jc w:val="left"/>
        <w:spacing w:line="56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8.1.2 尾款支付时间：</w:t>
      </w:r>
      <w:r>
        <w:rPr>
          <w:rFonts w:ascii="宋体" w:hAnsi="宋体" w:cs="宋体"/>
          <w:color w:val="000000" w:themeColor="text1"/>
          <w:sz w:val="24"/>
          <w:szCs w:val="20"/>
          <w:highlight w:val="none"/>
          <w14:textFill>
            <w14:solidFill>
              <w14:schemeClr w14:val="tx1"/>
            </w14:solidFill>
          </w14:textFill>
        </w:rPr>
        <w:t xml:space="preserve">经甲方组织竣工验收合格后</w:t>
      </w:r>
      <w:r>
        <w:rPr>
          <w:rFonts w:hint="eastAsia" w:ascii="宋体" w:hAnsi="宋体" w:cs="宋体"/>
          <w:color w:val="000000" w:themeColor="text1"/>
          <w:sz w:val="24"/>
          <w:szCs w:val="20"/>
          <w:highlight w:val="none"/>
          <w:lang w:val="en-US" w:eastAsia="zh-CN"/>
          <w14:textFill>
            <w14:solidFill>
              <w14:schemeClr w14:val="tx1"/>
            </w14:solidFill>
          </w14:textFill>
        </w:rPr>
        <w:t xml:space="preserve">付清余款</w:t>
      </w:r>
      <w:r>
        <w:rPr>
          <w:rFonts w:ascii="宋体" w:hAnsi="宋体"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九、税费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本合同执行中相关的一切税费均由乙方负担。</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十、项目验收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10.1甲方依法组织履约验收工作。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10.3对于实际使用人和甲方分离的项目，甲方邀请实际使用人参与验收。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10.4如有必要，甲方邀请参加本项目的其他供应商或第三方专业机构及专家参与验收，相关意见将作为验收书的参考资料。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10.</w:t>
      </w:r>
      <w:r>
        <w:rPr>
          <w:rFonts w:hint="eastAsia" w:ascii="宋体" w:hAnsi="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cs="宋体"/>
          <w:color w:val="000000" w:themeColor="text1"/>
          <w:sz w:val="24"/>
          <w:szCs w:val="20"/>
          <w:highlight w:val="none"/>
          <w14:textFill>
            <w14:solidFill>
              <w14:schemeClr w14:val="tx1"/>
            </w14:solidFill>
          </w14:textFill>
        </w:rPr>
        <w:t xml:space="preserve"> 验收合格的项目,甲方根据采购合同的约定及时向乙方支付合同款项、退还履约保证金</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lang w:val="en-US" w:eastAsia="zh-CN"/>
          <w14:textFill>
            <w14:solidFill>
              <w14:schemeClr w14:val="tx1"/>
            </w14:solidFill>
          </w14:textFill>
        </w:rPr>
        <w:t xml:space="preserve">如有</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十一、违约责任</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11.1甲方无正当理由拒绝接受乙方提供服务的，甲方向乙方偿付拒绝接受服务合同价款总值</w:t>
      </w:r>
      <w:r>
        <w:rPr>
          <w:rFonts w:hint="eastAsia" w:ascii="宋体" w:hAnsi="宋体" w:cs="宋体"/>
          <w:color w:val="000000" w:themeColor="text1"/>
          <w:sz w:val="24"/>
          <w:szCs w:val="20"/>
          <w:highlight w:val="none"/>
          <w:u w:val="single"/>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的违约金。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11.2甲方无故逾期验收和办理合同款项支付手续的,甲方应按逾期付款总额</w:t>
      </w:r>
      <w:r>
        <w:rPr>
          <w:rFonts w:hint="eastAsia" w:ascii="宋体" w:hAnsi="宋体" w:cs="宋体"/>
          <w:color w:val="000000" w:themeColor="text1"/>
          <w:sz w:val="24"/>
          <w:szCs w:val="20"/>
          <w:highlight w:val="none"/>
          <w:u w:val="single"/>
          <w14:textFill>
            <w14:solidFill>
              <w14:schemeClr w14:val="tx1"/>
            </w14:solidFill>
          </w14:textFill>
        </w:rPr>
        <w:t xml:space="preserve">0.</w:t>
      </w:r>
      <w:r>
        <w:rPr>
          <w:rFonts w:hint="eastAsia" w:ascii="宋体" w:hAnsi="宋体" w:cs="宋体"/>
          <w:color w:val="000000" w:themeColor="text1"/>
          <w:sz w:val="24"/>
          <w:szCs w:val="20"/>
          <w:highlight w:val="none"/>
          <w:u w:val="single"/>
          <w:lang w:val="en-US" w:eastAsia="zh-CN"/>
          <w14:textFill>
            <w14:solidFill>
              <w14:schemeClr w14:val="tx1"/>
            </w14:solidFill>
          </w14:textFill>
        </w:rPr>
        <w:t xml:space="preserve">03</w:t>
      </w:r>
      <w:r>
        <w:rPr>
          <w:rFonts w:hint="eastAsia" w:ascii="宋体" w:hAnsi="宋体" w:cs="宋体"/>
          <w:color w:val="000000" w:themeColor="text1"/>
          <w:sz w:val="24"/>
          <w:szCs w:val="20"/>
          <w:highlight w:val="none"/>
          <w:u w:val="single"/>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每日向乙方支付违约金。</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themeColor="text1"/>
          <w:sz w:val="24"/>
          <w:szCs w:val="20"/>
          <w:highlight w:val="none"/>
          <w:u w:val="single"/>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的违约金，如造成甲方损失超过违约金的，超出部分由乙方继续承担赔偿责任。</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11.4乙方所提供服务的标准不符合合同规定及采购文件规定标准的，甲方有权拒绝接受服务，并可单方面解除合同。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十二、不可抗力事件处理</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12.2不可抗力事件发生后，应立即通知对方，并寄送有关权威机构出具的证明。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12.3不可抗力事件延续120天以上，双方应通过友好协商，确定是否继续履行合同。</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十三、解决争议的方法</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13.1双方在签订、履行合同中所发生的一切争议，应通过友好协商解决。如协商不成，由甲方住所地人民法院管辖。</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十四、合同生效及其他</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14.1合同经双方法定代表人或授权委托代表人签字并加盖单位公章后生效。</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14.2本合同未尽事宜，遵照《中华人民共和国民法典》、《中华人民共和国政府采购法》有关条文执行。</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14.3 本合同正本一式陆份，具有同等法律效力，甲方、乙方各执叁份。</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72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                                  乙方： </w:t>
      </w:r>
      <w:r/>
    </w:p>
    <w:p>
      <w:pPr>
        <w:ind w:firstLine="24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地址：                                  地址： </w:t>
      </w:r>
      <w:r/>
    </w:p>
    <w:p>
      <w:pPr>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法定代表人或授权代表：                  法定代表人或授权代表：</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联系电话：                              联系电话：</w:t>
      </w:r>
      <w:r/>
    </w:p>
    <w:p>
      <w:pPr>
        <w:ind w:firstLine="552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      年  月  日</w:t>
      </w:r>
      <w:r/>
    </w:p>
    <w:p>
      <w:pPr>
        <w:jc w:val="center"/>
        <w:spacing w:line="480" w:lineRule="exact"/>
        <w:rPr>
          <w:rFonts w:hint="eastAsia" w:ascii="宋体" w:hAnsi="宋体" w:cs="宋体"/>
          <w:strike/>
          <w:color w:val="000000" w:themeColor="text1"/>
          <w:sz w:val="24"/>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r/>
    </w:p>
    <w:p>
      <w:pPr>
        <w:widowControl/>
        <w:rPr>
          <w:rFonts w:hint="eastAsia" w:asciiTheme="majorEastAsia" w:hAnsiTheme="majorEastAsia" w:eastAsiaTheme="majorEastAsia" w:cstheme="majorEastAsia"/>
          <w:bCs/>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8"/>
          <w:szCs w:val="28"/>
          <w:highlight w:val="none"/>
          <w14:textFill>
            <w14:solidFill>
              <w14:schemeClr w14:val="tx1"/>
            </w14:solidFill>
          </w14:textFill>
        </w:rPr>
      </w:r>
      <w:r/>
    </w:p>
    <w:p>
      <w:pPr>
        <w:jc w:val="center"/>
        <w:widowControl/>
        <w:rPr>
          <w:rFonts w:hint="eastAsia" w:ascii="黑体" w:hAnsi="黑体" w:eastAsia="黑体" w:cs="黑体"/>
          <w:bCs/>
          <w:color w:val="000000" w:themeColor="text1"/>
          <w:sz w:val="28"/>
          <w:szCs w:val="28"/>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t xml:space="preserve">保密协议书</w:t>
      </w:r>
      <w:r/>
    </w:p>
    <w:p>
      <w:pPr>
        <w:pStyle w:val="918"/>
        <w:spacing w:line="500" w:lineRule="exact"/>
        <w:widowControl/>
        <w:rPr>
          <w:rFonts w:hAnsi="宋体" w:eastAsia="Arial" w:cs="宋体"/>
          <w:color w:val="000000" w:themeColor="text1"/>
          <w:sz w:val="24"/>
          <w:szCs w:val="20"/>
          <w:highlight w:val="none"/>
          <w14:textFill>
            <w14:solidFill>
              <w14:schemeClr w14:val="tx1"/>
            </w14:solidFill>
          </w14:textFill>
        </w:rPr>
      </w:pPr>
      <w:r>
        <w:rPr>
          <w:rFonts w:hint="eastAsia" w:hAnsi="宋体" w:eastAsia="Arial" w:cs="宋体"/>
          <w:color w:val="000000" w:themeColor="text1"/>
          <w:sz w:val="24"/>
          <w:szCs w:val="20"/>
          <w:highlight w:val="none"/>
          <w14:textFill>
            <w14:solidFill>
              <w14:schemeClr w14:val="tx1"/>
            </w14:solidFill>
          </w14:textFill>
        </w:rPr>
        <w:t xml:space="preserve">甲方：</w:t>
      </w:r>
      <w:r>
        <w:rPr>
          <w:rFonts w:hint="eastAsia" w:hAnsi="宋体" w:eastAsia="Arial" w:cs="宋体"/>
          <w:color w:val="000000" w:themeColor="text1"/>
          <w:sz w:val="24"/>
          <w:szCs w:val="20"/>
          <w:highlight w:val="none"/>
          <w:u w:val="single"/>
          <w14:textFill>
            <w14:solidFill>
              <w14:schemeClr w14:val="tx1"/>
            </w14:solidFill>
          </w14:textFill>
        </w:rPr>
        <w:t xml:space="preserve">                 </w:t>
      </w:r>
      <w:r>
        <w:rPr>
          <w:rFonts w:hint="eastAsia" w:hAnsi="宋体" w:eastAsia="Arial" w:cs="宋体"/>
          <w:color w:val="000000" w:themeColor="text1"/>
          <w:sz w:val="24"/>
          <w:szCs w:val="20"/>
          <w:highlight w:val="none"/>
          <w14:textFill>
            <w14:solidFill>
              <w14:schemeClr w14:val="tx1"/>
            </w14:solidFill>
          </w14:textFill>
        </w:rPr>
        <w:t xml:space="preserve">                     </w:t>
      </w:r>
      <w:r/>
    </w:p>
    <w:p>
      <w:pPr>
        <w:pStyle w:val="918"/>
        <w:spacing w:line="500" w:lineRule="exact"/>
        <w:widowControl/>
        <w:rPr>
          <w:rFonts w:hAnsi="宋体" w:eastAsia="Arial" w:cs="宋体"/>
          <w:color w:val="000000" w:themeColor="text1"/>
          <w:sz w:val="24"/>
          <w:szCs w:val="20"/>
          <w:highlight w:val="none"/>
          <w14:textFill>
            <w14:solidFill>
              <w14:schemeClr w14:val="tx1"/>
            </w14:solidFill>
          </w14:textFill>
        </w:rPr>
      </w:pPr>
      <w:r>
        <w:rPr>
          <w:rFonts w:hint="eastAsia" w:hAnsi="宋体" w:eastAsia="Arial" w:cs="宋体"/>
          <w:color w:val="000000" w:themeColor="text1"/>
          <w:sz w:val="24"/>
          <w:szCs w:val="20"/>
          <w:highlight w:val="none"/>
          <w14:textFill>
            <w14:solidFill>
              <w14:schemeClr w14:val="tx1"/>
            </w14:solidFill>
          </w14:textFill>
        </w:rPr>
        <w:t xml:space="preserve">乙方：</w:t>
      </w:r>
      <w:r>
        <w:rPr>
          <w:rFonts w:hint="eastAsia" w:hAnsi="宋体" w:eastAsia="Arial" w:cs="宋体"/>
          <w:color w:val="000000" w:themeColor="text1"/>
          <w:sz w:val="24"/>
          <w:szCs w:val="20"/>
          <w:highlight w:val="none"/>
          <w:u w:val="single"/>
          <w14:textFill>
            <w14:solidFill>
              <w14:schemeClr w14:val="tx1"/>
            </w14:solidFill>
          </w14:textFill>
        </w:rPr>
        <w:t xml:space="preserve">                 </w:t>
      </w:r>
      <w:r>
        <w:rPr>
          <w:rFonts w:hint="eastAsia" w:hAnsi="宋体" w:eastAsia="Arial"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鉴于乙方接受甲方委托，将在合同规定的期限内对甲方有关</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一、甲方职责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二、乙方职责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3.乙方在为甲方提供技术服务时，甲方根据乙方提出的要求，必须提供保密资料时，双方应当办理交接手续，做好登记、</w:t>
      </w:r>
      <w:r>
        <w:rPr>
          <w:rFonts w:hint="eastAsia" w:ascii="宋体" w:hAnsi="宋体" w:cs="宋体"/>
          <w:color w:val="000000" w:themeColor="text1"/>
          <w:sz w:val="24"/>
          <w:szCs w:val="20"/>
          <w:highlight w:val="none"/>
          <w14:textFill>
            <w14:solidFill>
              <w14:schemeClr w14:val="tx1"/>
            </w14:solidFill>
          </w14:textFill>
        </w:rPr>
        <w:t xml:space="preserve">使用台账</w:t>
      </w:r>
      <w:r>
        <w:rPr>
          <w:rFonts w:hint="eastAsia" w:ascii="宋体" w:hAnsi="宋体" w:eastAsia="Arial" w:cs="宋体"/>
          <w:color w:val="000000" w:themeColor="text1"/>
          <w:sz w:val="24"/>
          <w:szCs w:val="20"/>
          <w:highlight w:val="none"/>
          <w14:textFill>
            <w14:solidFill>
              <w14:schemeClr w14:val="tx1"/>
            </w14:solidFill>
          </w14:textFill>
        </w:rPr>
        <w:t xml:space="preserve">；乙方在将相关保密资料带回使用时，应确保携带、使用、存放全过程的安全；保密资料原则上不得另行复制，确因技术服务需要经甲方同意复制的，按原件要求严格管理。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4.乙方在完成甲方某项技术服务任务后，与此任务相关</w:t>
      </w:r>
      <w:r>
        <w:rPr>
          <w:rFonts w:hint="eastAsia" w:ascii="宋体" w:hAnsi="宋体" w:cs="宋体"/>
          <w:color w:val="000000" w:themeColor="text1"/>
          <w:sz w:val="24"/>
          <w:szCs w:val="20"/>
          <w:highlight w:val="none"/>
          <w14:textFill>
            <w14:solidFill>
              <w14:schemeClr w14:val="tx1"/>
            </w14:solidFill>
          </w14:textFill>
        </w:rPr>
        <w:t xml:space="preserve">且</w:t>
      </w:r>
      <w:r>
        <w:rPr>
          <w:rFonts w:hint="eastAsia" w:ascii="宋体" w:hAnsi="宋体" w:eastAsia="Arial" w:cs="宋体"/>
          <w:color w:val="000000" w:themeColor="text1"/>
          <w:sz w:val="24"/>
          <w:szCs w:val="20"/>
          <w:highlight w:val="none"/>
          <w14:textFill>
            <w14:solidFill>
              <w14:schemeClr w14:val="tx1"/>
            </w14:solidFill>
          </w14:textFill>
        </w:rPr>
        <w:t xml:space="preserve">短期内不再使用的先前甲方提供的保密资料，原则上应</w:t>
      </w:r>
      <w:r>
        <w:rPr>
          <w:rFonts w:hint="eastAsia" w:ascii="宋体" w:hAnsi="宋体" w:cs="宋体"/>
          <w:color w:val="000000" w:themeColor="text1"/>
          <w:sz w:val="24"/>
          <w:szCs w:val="20"/>
          <w:highlight w:val="none"/>
          <w14:textFill>
            <w14:solidFill>
              <w14:schemeClr w14:val="tx1"/>
            </w14:solidFill>
          </w14:textFill>
        </w:rPr>
        <w:t xml:space="preserve">限</w:t>
      </w:r>
      <w:r>
        <w:rPr>
          <w:rFonts w:hint="eastAsia" w:ascii="宋体" w:hAnsi="宋体" w:eastAsia="Arial" w:cs="宋体"/>
          <w:color w:val="000000" w:themeColor="text1"/>
          <w:sz w:val="24"/>
          <w:szCs w:val="20"/>
          <w:highlight w:val="none"/>
          <w14:textFill>
            <w14:solidFill>
              <w14:schemeClr w14:val="tx1"/>
            </w14:solidFill>
          </w14:textFill>
        </w:rPr>
        <w:t xml:space="preserve">期退回甲方，并办理保密资料退回手续，做好交接登记。甲方认为可以作废不需退回的保密资料，乙方应当及时进行保密销毁，并做好核销登记。</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6.乙方在使用电子设备(包括笔记本电脑、移动存储介质等)为甲方提供技术服务时，应严格按照有关保密规定要求，落实技防、人防、物防综合防范措施，确保安全。</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三、其他事宜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1.由于双方违反约定，造成泄密事件发生或者产生严重泄密隐患的，由违约一方承担全部责任。</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2.本协议未尽事宜，双方另行择机商定。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3.双方在相关问题上发生争执无法解决时，拟商请保密工作部门进行调解。</w:t>
      </w:r>
      <w:r/>
    </w:p>
    <w:p>
      <w:pPr>
        <w:pStyle w:val="918"/>
        <w:ind w:firstLine="480"/>
        <w:spacing w:line="460" w:lineRule="exact"/>
        <w:rPr>
          <w:rFonts w:ascii="Times New Roman" w:hAnsi="Times New Roman" w:eastAsia="仿宋_GB2312" w:cs="Times New Roman"/>
          <w:color w:val="000000" w:themeColor="text1"/>
          <w:sz w:val="24"/>
          <w:szCs w:val="24"/>
          <w:highlight w:val="none"/>
          <w14:textFill>
            <w14:solidFill>
              <w14:schemeClr w14:val="tx1"/>
            </w14:solidFill>
          </w14:textFill>
        </w:rPr>
      </w:pPr>
      <w:r>
        <w:rPr>
          <w:rFonts w:ascii="Times New Roman" w:hAnsi="Times New Roman" w:eastAsia="仿宋_GB2312" w:cs="Times New Roman"/>
          <w:color w:val="000000" w:themeColor="text1"/>
          <w:sz w:val="24"/>
          <w:szCs w:val="24"/>
          <w:highlight w:val="none"/>
          <w14:textFill>
            <w14:solidFill>
              <w14:schemeClr w14:val="tx1"/>
            </w14:solidFill>
          </w14:textFill>
        </w:rPr>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甲方代表（签字）：                    乙方代表（签字）：</w:t>
      </w:r>
      <w:r/>
    </w:p>
    <w:p>
      <w:pPr>
        <w:pStyle w:val="918"/>
        <w:ind w:firstLine="480"/>
        <w:spacing w:line="4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460" w:lineRule="exact"/>
        <w:rPr>
          <w:rFonts w:hint="eastAsia" w:ascii="宋体" w:hAnsi="宋体" w:cs="宋体"/>
          <w:color w:val="000000" w:themeColor="text1"/>
          <w:sz w:val="22"/>
          <w:szCs w:val="22"/>
          <w:highlight w:val="none"/>
          <w14:textFill>
            <w14:solidFill>
              <w14:schemeClr w14:val="tx1"/>
            </w14:solidFill>
          </w14:textFill>
        </w:rPr>
        <w:outlineLvl w:val="0"/>
      </w:pPr>
      <w:r>
        <w:rPr>
          <w:rFonts w:hint="eastAsia" w:asciiTheme="minorEastAsia" w:hAnsiTheme="minorEastAsia" w:cstheme="minorEastAsia"/>
          <w:color w:val="000000" w:themeColor="text1"/>
          <w:sz w:val="24"/>
          <w:highlight w:val="none"/>
          <w14:textFill>
            <w14:solidFill>
              <w14:schemeClr w14:val="tx1"/>
            </w14:solidFill>
          </w14:textFill>
        </w:rPr>
        <w:t xml:space="preserve">签署日期：  年  月  日                签署日期：  年  月  日</w:t>
      </w:r>
      <w:r/>
    </w:p>
    <w:p>
      <w:pPr>
        <w:jc w:val="center"/>
        <w:rPr>
          <w:rFonts w:hint="eastAsia" w:ascii="黑体" w:hAnsi="黑体" w:eastAsia="黑体" w:cs="黑体"/>
          <w:color w:val="000000" w:themeColor="text1"/>
          <w:sz w:val="24"/>
          <w:szCs w:val="11"/>
          <w:highlight w:val="none"/>
          <w14:textFill>
            <w14:solidFill>
              <w14:schemeClr w14:val="tx1"/>
            </w14:solidFill>
          </w14:textFill>
        </w:rPr>
      </w:pPr>
      <w:r>
        <w:rPr>
          <w:rFonts w:hint="eastAsia" w:ascii="黑体" w:hAnsi="黑体" w:eastAsia="黑体" w:cs="黑体"/>
          <w:color w:val="000000" w:themeColor="text1"/>
          <w:sz w:val="44"/>
          <w:szCs w:val="20"/>
          <w:highlight w:val="none"/>
          <w14:textFill>
            <w14:solidFill>
              <w14:schemeClr w14:val="tx1"/>
            </w14:solidFill>
          </w14:textFill>
        </w:rPr>
        <w:br w:type="page" w:clear="all"/>
      </w:r>
      <w:r/>
    </w:p>
    <w:p>
      <w:pPr>
        <w:jc w:val="center"/>
        <w:spacing w:line="380" w:lineRule="exact"/>
        <w:rPr>
          <w:rFonts w:hint="eastAsia" w:ascii="黑体" w:hAnsi="黑体" w:eastAsia="黑体" w:cs="黑体"/>
          <w:color w:val="000000" w:themeColor="text1"/>
          <w:sz w:val="44"/>
          <w:szCs w:val="20"/>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20"/>
          <w:highlight w:val="none"/>
          <w:lang w:val="en-US" w:eastAsia="zh-CN"/>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第四章 采购需求</w:t>
      </w:r>
      <w:r/>
    </w:p>
    <w:p>
      <w:pPr>
        <w:ind w:firstLine="482"/>
        <w:jc w:val="center"/>
        <w:spacing w:line="56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采购包1</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项目属性：服务类项目</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一、建设背景</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实现碳达峰碳中和是党中央作出的重大战略决策。党的二十届四中全会明确提出实施碳排放总量和强度双控制度。同时，</w:t>
      </w:r>
      <w:r>
        <w:rPr>
          <w:rFonts w:ascii="宋体" w:hAnsi="宋体" w:cs="宋体"/>
          <w:color w:val="000000" w:themeColor="text1"/>
          <w:sz w:val="24"/>
          <w:szCs w:val="20"/>
          <w:highlight w:val="none"/>
          <w14:textFill>
            <w14:solidFill>
              <w14:schemeClr w14:val="tx1"/>
            </w14:solidFill>
          </w14:textFill>
        </w:rPr>
        <w:t xml:space="preserve">盐城市作为国家首批碳达峰试点城市、省委省政府支持建设的绿色低碳发展示范区，承担着为全国碳达峰探索路径、积累经验的重要使命，亟需以数字化手段夯实绿色低碳发展的数据底座。作为国家级</w:t>
      </w:r>
      <w:r>
        <w:rPr>
          <w:rFonts w:hint="eastAsia" w:ascii="宋体" w:hAnsi="宋体" w:cs="宋体"/>
          <w:color w:val="000000" w:themeColor="text1"/>
          <w:sz w:val="24"/>
          <w:szCs w:val="20"/>
          <w:highlight w:val="none"/>
          <w14:textFill>
            <w14:solidFill>
              <w14:schemeClr w14:val="tx1"/>
            </w14:solidFill>
          </w14:textFill>
        </w:rPr>
        <w:t xml:space="preserve">碳达峰</w:t>
      </w:r>
      <w:r>
        <w:rPr>
          <w:rFonts w:ascii="宋体" w:hAnsi="宋体" w:cs="宋体"/>
          <w:color w:val="000000" w:themeColor="text1"/>
          <w:sz w:val="24"/>
          <w:szCs w:val="20"/>
          <w:highlight w:val="none"/>
          <w14:textFill>
            <w14:solidFill>
              <w14:schemeClr w14:val="tx1"/>
            </w14:solidFill>
          </w14:textFill>
        </w:rPr>
        <w:t xml:space="preserve">试点城市，</w:t>
      </w:r>
      <w:r>
        <w:rPr>
          <w:rFonts w:hint="eastAsia" w:ascii="宋体" w:hAnsi="宋体" w:cs="宋体"/>
          <w:b/>
          <w:bCs/>
          <w:color w:val="000000" w:themeColor="text1"/>
          <w:sz w:val="24"/>
          <w:szCs w:val="20"/>
          <w:highlight w:val="none"/>
          <w14:textFill>
            <w14:solidFill>
              <w14:schemeClr w14:val="tx1"/>
            </w14:solidFill>
          </w14:textFill>
        </w:rPr>
        <w:t xml:space="preserve">盐城市需在碳排放统计核算体系构建、碳管理数字化转型等方面率先探索、形成经验</w:t>
      </w:r>
      <w:r>
        <w:rPr>
          <w:rFonts w:ascii="宋体" w:hAnsi="宋体" w:cs="宋体"/>
          <w:color w:val="000000" w:themeColor="text1"/>
          <w:sz w:val="24"/>
          <w:szCs w:val="20"/>
          <w:highlight w:val="none"/>
          <w14:textFill>
            <w14:solidFill>
              <w14:schemeClr w14:val="tx1"/>
            </w14:solidFill>
          </w14:textFill>
        </w:rPr>
        <w:t xml:space="preserve">，为全国同类城市提供可复制、可推广的路径模式，</w:t>
      </w:r>
      <w:r>
        <w:rPr>
          <w:rFonts w:hint="eastAsia" w:ascii="宋体" w:hAnsi="宋体" w:cs="宋体"/>
          <w:color w:val="000000" w:themeColor="text1"/>
          <w:sz w:val="24"/>
          <w:szCs w:val="20"/>
          <w:highlight w:val="none"/>
          <w14:textFill>
            <w14:solidFill>
              <w14:schemeClr w14:val="tx1"/>
            </w14:solidFill>
          </w14:textFill>
        </w:rPr>
        <w:t xml:space="preserve">需要</w:t>
      </w:r>
      <w:r>
        <w:rPr>
          <w:rFonts w:ascii="宋体" w:hAnsi="宋体" w:cs="宋体"/>
          <w:color w:val="000000" w:themeColor="text1"/>
          <w:sz w:val="24"/>
          <w:szCs w:val="20"/>
          <w:highlight w:val="none"/>
          <w14:textFill>
            <w14:solidFill>
              <w14:schemeClr w14:val="tx1"/>
            </w14:solidFill>
          </w14:textFill>
        </w:rPr>
        <w:t xml:space="preserve">以平台建设为突破口，</w:t>
      </w:r>
      <w:r>
        <w:rPr>
          <w:rFonts w:hint="eastAsia" w:ascii="宋体" w:hAnsi="宋体" w:cs="宋体"/>
          <w:color w:val="000000" w:themeColor="text1"/>
          <w:sz w:val="24"/>
          <w:szCs w:val="20"/>
          <w:highlight w:val="none"/>
          <w14:textFill>
            <w14:solidFill>
              <w14:schemeClr w14:val="tx1"/>
            </w14:solidFill>
          </w14:textFill>
        </w:rPr>
        <w:t xml:space="preserve">积极面向</w:t>
      </w:r>
      <w:r>
        <w:rPr>
          <w:rFonts w:ascii="宋体" w:hAnsi="宋体" w:cs="宋体"/>
          <w:color w:val="000000" w:themeColor="text1"/>
          <w:sz w:val="24"/>
          <w:szCs w:val="20"/>
          <w:highlight w:val="none"/>
          <w14:textFill>
            <w14:solidFill>
              <w14:schemeClr w14:val="tx1"/>
            </w14:solidFill>
          </w14:textFill>
        </w:rPr>
        <w:t xml:space="preserve">地方碳考核、行业碳管控、企业碳管理、项目碳评价、产品碳足迹</w:t>
      </w:r>
      <w:r>
        <w:rPr>
          <w:rFonts w:hint="eastAsia" w:ascii="宋体" w:hAnsi="宋体" w:cs="宋体"/>
          <w:color w:val="000000" w:themeColor="text1"/>
          <w:sz w:val="24"/>
          <w:szCs w:val="20"/>
          <w:highlight w:val="none"/>
          <w14:textFill>
            <w14:solidFill>
              <w14:schemeClr w14:val="tx1"/>
            </w14:solidFill>
          </w14:textFill>
        </w:rPr>
        <w:t xml:space="preserve">，</w:t>
      </w:r>
      <w:r>
        <w:rPr>
          <w:rFonts w:ascii="宋体" w:hAnsi="宋体" w:cs="宋体"/>
          <w:color w:val="000000" w:themeColor="text1"/>
          <w:sz w:val="24"/>
          <w:szCs w:val="20"/>
          <w:highlight w:val="none"/>
          <w14:textFill>
            <w14:solidFill>
              <w14:schemeClr w14:val="tx1"/>
            </w14:solidFill>
          </w14:textFill>
        </w:rPr>
        <w:t xml:space="preserve">加快提升碳治理现代化水平。</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二、建设内容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盐城市碳达峰碳中和数据监测分析管理系统聚焦市域能碳管理标准化，立足区域能源活动及工业生产过程产生的二氧化碳开展统计核算分析，采用“市本级+县（市、区）+行业+园区+企业”的五级架构，形成“1+11+5+N”的盐城市碳达峰碳中和数据监测分析管理系统。即建设1个市本级“双碳”数据综合管理平台，集成管</w:t>
      </w:r>
      <w:r>
        <w:rPr>
          <w:rFonts w:hint="eastAsia" w:ascii="宋体" w:hAnsi="宋体" w:cs="宋体"/>
          <w:color w:val="000000" w:themeColor="text1"/>
          <w:sz w:val="24"/>
          <w:szCs w:val="20"/>
          <w:highlight w:val="none"/>
          <w14:textFill>
            <w14:solidFill>
              <w14:schemeClr w14:val="tx1"/>
            </w14:solidFill>
          </w14:textFill>
        </w:rPr>
        <w:t xml:space="preserve">理11个县（市、区）和能源、工业、城乡建设、交通运输、公共机构等5大行业领域碳排放数据，以及若干零碳园区、重点用能企业的能碳管理数据。同时，系统通过构建适用于城市、区县和园区的混合优化碳排放测算模型，绿色电力溯源分析模型，分时分区电碳因子计算模型、园区级电碳因子计算模型、行业碳排放核算模型，采用碳排放核算数据全流程认证方案，增强“双碳”管理能力，为开展地方碳考核、行业碳管控、企业碳管理、项目碳评价、产品碳足迹提供数据支撑。系统按照数据可得、安全有效的原则，建立数据共享机制，定期采集分析全市能源消费和工业生产</w:t>
      </w:r>
      <w:r>
        <w:rPr>
          <w:rFonts w:hint="eastAsia" w:ascii="宋体" w:hAnsi="宋体" w:cs="宋体"/>
          <w:color w:val="000000" w:themeColor="text1"/>
          <w:sz w:val="24"/>
          <w:szCs w:val="20"/>
          <w:highlight w:val="none"/>
          <w:lang w:val="en-US" w:eastAsia="zh-CN"/>
          <w14:textFill>
            <w14:solidFill>
              <w14:schemeClr w14:val="tx1"/>
            </w14:solidFill>
          </w14:textFill>
        </w:rPr>
        <w:t xml:space="preserve">等</w:t>
      </w:r>
      <w:r>
        <w:rPr>
          <w:rFonts w:hint="eastAsia" w:ascii="宋体" w:hAnsi="宋体" w:cs="宋体"/>
          <w:color w:val="000000" w:themeColor="text1"/>
          <w:sz w:val="24"/>
          <w:szCs w:val="20"/>
          <w:highlight w:val="none"/>
          <w14:textFill>
            <w14:solidFill>
              <w14:schemeClr w14:val="tx1"/>
            </w14:solidFill>
          </w14:textFill>
        </w:rPr>
        <w:t xml:space="preserve">活动数据，统计核算市本级及分板块、分行业、分企业碳排放情况，实现平台协同化、决策数据化、管理智能化新模式。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三、项目需求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t xml:space="preserve">盐城市碳达峰碳中和数据监测分析管理系统的建设，是响应国家碳达峰碳中和战略、落实江苏省节能减排政策的重要举措。随着盐城工业化快速推进，能源消耗和碳排放问题日益凸显，传统能源管理和环境监测手段已难以满足精准治理需求。盐城市碳达峰碳中和数据监测分析</w:t>
      </w:r>
      <w:r>
        <w:rPr>
          <w:rFonts w:hint="eastAsia" w:ascii="宋体" w:hAnsi="宋体" w:cs="宋体"/>
          <w:color w:val="000000" w:themeColor="text1"/>
          <w:sz w:val="24"/>
          <w:szCs w:val="20"/>
          <w:highlight w:val="none"/>
          <w14:textFill>
            <w14:solidFill>
              <w14:schemeClr w14:val="tx1"/>
            </w14:solidFill>
          </w14:textFill>
        </w:rPr>
        <w:t xml:space="preserve">管理</w:t>
      </w:r>
      <w:r>
        <w:rPr>
          <w:rFonts w:ascii="宋体" w:hAnsi="宋体" w:cs="宋体"/>
          <w:color w:val="000000" w:themeColor="text1"/>
          <w:sz w:val="24"/>
          <w:szCs w:val="20"/>
          <w:highlight w:val="none"/>
          <w14:textFill>
            <w14:solidFill>
              <w14:schemeClr w14:val="tx1"/>
            </w14:solidFill>
          </w14:textFill>
        </w:rPr>
        <w:t xml:space="preserve">系统的建设</w:t>
      </w:r>
      <w:r>
        <w:rPr>
          <w:rFonts w:hint="eastAsia" w:ascii="宋体" w:hAnsi="宋体" w:cs="宋体"/>
          <w:color w:val="000000" w:themeColor="text1"/>
          <w:sz w:val="24"/>
          <w:szCs w:val="20"/>
          <w:highlight w:val="none"/>
          <w14:textFill>
            <w14:solidFill>
              <w14:schemeClr w14:val="tx1"/>
            </w14:solidFill>
          </w14:textFill>
        </w:rPr>
        <w:t xml:space="preserve">主要满足以下几方面的需求：</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 形成碳排放快速测算体系服务双碳目标</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碳达峰、碳中和是中国政府对国际社会的庄严承诺，也是盐城市政府的重要政务目标。</w:t>
      </w:r>
      <w:r>
        <w:rPr>
          <w:rFonts w:ascii="宋体" w:hAnsi="宋体" w:cs="宋体"/>
          <w:color w:val="000000" w:themeColor="text1"/>
          <w:sz w:val="24"/>
          <w:szCs w:val="20"/>
          <w:highlight w:val="none"/>
          <w14:textFill>
            <w14:solidFill>
              <w14:schemeClr w14:val="tx1"/>
            </w14:solidFill>
          </w14:textFill>
        </w:rPr>
        <w:t xml:space="preserve">当前，全市碳排放核算主要依赖人工统计汇总，存在数据来源分散、核算周期冗长、时效性不足、覆盖范围有限等突出问题，难以满足政府动态监测、快速研判、精准施策的管理需求。构建系统化、便捷化的碳排放快速测算体系，实现从</w:t>
      </w:r>
      <w:r>
        <w:rPr>
          <w:rFonts w:hint="eastAsia" w:ascii="宋体" w:hAnsi="宋体" w:cs="宋体"/>
          <w:color w:val="000000" w:themeColor="text1"/>
          <w:sz w:val="24"/>
          <w:szCs w:val="20"/>
          <w:highlight w:val="none"/>
          <w14:textFill>
            <w14:solidFill>
              <w14:schemeClr w14:val="tx1"/>
            </w14:solidFill>
          </w14:textFill>
        </w:rPr>
        <w:t xml:space="preserve">“事后统计”</w:t>
      </w:r>
      <w:r>
        <w:rPr>
          <w:rFonts w:ascii="宋体" w:hAnsi="宋体" w:cs="宋体"/>
          <w:color w:val="000000" w:themeColor="text1"/>
          <w:sz w:val="24"/>
          <w:szCs w:val="20"/>
          <w:highlight w:val="none"/>
          <w14:textFill>
            <w14:solidFill>
              <w14:schemeClr w14:val="tx1"/>
            </w14:solidFill>
          </w14:textFill>
        </w:rPr>
        <w:t xml:space="preserve">向</w:t>
      </w:r>
      <w:r>
        <w:rPr>
          <w:rFonts w:hint="eastAsia" w:ascii="宋体" w:hAnsi="宋体" w:cs="宋体"/>
          <w:color w:val="000000" w:themeColor="text1"/>
          <w:sz w:val="24"/>
          <w:szCs w:val="20"/>
          <w:highlight w:val="none"/>
          <w14:textFill>
            <w14:solidFill>
              <w14:schemeClr w14:val="tx1"/>
            </w14:solidFill>
          </w14:textFill>
        </w:rPr>
        <w:t xml:space="preserve">“实时测算”</w:t>
      </w:r>
      <w:r>
        <w:rPr>
          <w:rFonts w:ascii="宋体" w:hAnsi="宋体" w:cs="宋体"/>
          <w:color w:val="000000" w:themeColor="text1"/>
          <w:sz w:val="24"/>
          <w:szCs w:val="20"/>
          <w:highlight w:val="none"/>
          <w14:textFill>
            <w14:solidFill>
              <w14:schemeClr w14:val="tx1"/>
            </w14:solidFill>
          </w14:textFill>
        </w:rPr>
        <w:t xml:space="preserve">转变，</w:t>
      </w:r>
      <w:r>
        <w:rPr>
          <w:rFonts w:hint="eastAsia" w:ascii="宋体" w:hAnsi="宋体" w:cs="宋体"/>
          <w:color w:val="000000" w:themeColor="text1"/>
          <w:sz w:val="24"/>
          <w:szCs w:val="20"/>
          <w:highlight w:val="none"/>
          <w14:textFill>
            <w14:solidFill>
              <w14:schemeClr w14:val="tx1"/>
            </w14:solidFill>
          </w14:textFill>
        </w:rPr>
        <w:t xml:space="preserve">推动覆盖全市、县区、行业、园区、企业各层级的碳排放快速核算体系，</w:t>
      </w:r>
      <w:r>
        <w:rPr>
          <w:rFonts w:ascii="宋体" w:hAnsi="宋体" w:cs="宋体"/>
          <w:color w:val="000000" w:themeColor="text1"/>
          <w:sz w:val="24"/>
          <w:szCs w:val="20"/>
          <w:highlight w:val="none"/>
          <w14:textFill>
            <w14:solidFill>
              <w14:schemeClr w14:val="tx1"/>
            </w14:solidFill>
          </w14:textFill>
        </w:rPr>
        <w:t xml:space="preserve">已成为提升全市碳排放管理效能的当务之急。</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2.2依托数字化手段赋能科学决策的技术基础</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本项目拟建设的盐城市碳达峰碳中和数据监测分析管理系统，通过整合重点用能单位能耗在线监测、企业报送及第三方核查等多源数据，搭建碳排放智能测算模型，形成“数据自动采集—排放快速核算—趋势动态分析—决策及时响应”的闭环管理机制。该体系可为政府科学管理碳排放量、确定碳排放峰值时序与水平、制定分阶段减排目标和差异化管控措施提供实时化、精准化、体系化的数据支撑，切实增强双碳工作的前瞻性、系统性与可操作性。</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 </w:t>
      </w:r>
      <w:r>
        <w:rPr>
          <w:rFonts w:ascii="宋体" w:hAnsi="宋体" w:cs="宋体"/>
          <w:b/>
          <w:bCs/>
          <w:color w:val="000000" w:themeColor="text1"/>
          <w:sz w:val="24"/>
          <w:highlight w:val="none"/>
          <w14:textFill>
            <w14:solidFill>
              <w14:schemeClr w14:val="tx1"/>
            </w14:solidFill>
          </w14:textFill>
        </w:rPr>
        <w:t xml:space="preserve">协同推进经济高质量发展与政府治理现代化的综合需要</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节能减排和绿色发展是经济高质量发展的重要内涵。盐城市碳达峰碳中和数据监测分析管理系统通过优化能源管理，促进了产业结构的优化升级和经济发展方式的转变。平台可以帮助企业发现节能减排的潜力和机会，推动企业采用先进的技术和设备，提高生产效率和产品质量。</w:t>
      </w:r>
      <w:r>
        <w:rPr>
          <w:rFonts w:ascii="宋体" w:hAnsi="宋体" w:cs="宋体"/>
          <w:color w:val="000000" w:themeColor="text1"/>
          <w:sz w:val="24"/>
          <w:szCs w:val="20"/>
          <w:highlight w:val="none"/>
          <w14:textFill>
            <w14:solidFill>
              <w14:schemeClr w14:val="tx1"/>
            </w14:solidFill>
          </w14:textFill>
        </w:rPr>
        <w:t xml:space="preserve">同时，平台建设将推动政府治理方式变革，通过能源和碳排放实时监测、精准管理，提升决策科学性和时效性；促进部门协同联动，形成工作合力，提高政府工作效率和服务水平，为人民群众提供更加优质的公共服务。</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本项目依托政务云资源进行部署，充分利用政务云提供的虚拟化计算、存储和网络资源。系统主要软件和设备选型上尽量选择国产化主流产品，保证在国产化设备与软件运行框架下系统运行的功能完整性与流畅性。</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四、招标清单</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需建设碳达峰碳中和服务门户子系统、碳达峰碳中和数据采集子系统、碳达峰碳中和核算分析子系统、碳达峰碳中和配置子系统，其中碳达峰碳中和核算分析子系统包含市本级、县级、行业、园区、企业、电碳因子</w:t>
      </w:r>
      <w:r>
        <w:rPr>
          <w:rFonts w:hint="eastAsia" w:ascii="宋体" w:hAnsi="宋体" w:cs="宋体"/>
          <w:color w:val="000000" w:themeColor="text1"/>
          <w:sz w:val="24"/>
          <w:highlight w:val="none"/>
          <w14:textFill>
            <w14:solidFill>
              <w14:schemeClr w14:val="tx1"/>
            </w14:solidFill>
          </w14:textFill>
        </w:rPr>
        <w:t xml:space="preserve">、AI碳核算七</w:t>
      </w:r>
      <w:r>
        <w:rPr>
          <w:rFonts w:ascii="宋体" w:hAnsi="宋体" w:cs="宋体"/>
          <w:color w:val="000000" w:themeColor="text1"/>
          <w:sz w:val="24"/>
          <w:highlight w:val="none"/>
          <w14:textFill>
            <w14:solidFill>
              <w14:schemeClr w14:val="tx1"/>
            </w14:solidFill>
          </w14:textFill>
        </w:rPr>
        <w:t xml:space="preserve">大管理模块。</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w:t>
      </w:r>
      <w:r>
        <w:rPr>
          <w:rFonts w:ascii="宋体" w:hAnsi="宋体" w:cs="宋体"/>
          <w:b/>
          <w:bCs/>
          <w:color w:val="000000" w:themeColor="text1"/>
          <w:sz w:val="24"/>
          <w:highlight w:val="none"/>
          <w14:textFill>
            <w14:solidFill>
              <w14:schemeClr w14:val="tx1"/>
            </w14:solidFill>
          </w14:textFill>
        </w:rPr>
        <w:t xml:space="preserve">碳达峰碳中和服务门户子系统功能需求</w:t>
      </w:r>
      <w:r/>
    </w:p>
    <w:tbl>
      <w:tblPr>
        <w:tblStyle w:val="907"/>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413"/>
        <w:gridCol w:w="1365"/>
        <w:gridCol w:w="1365"/>
        <w:gridCol w:w="5550"/>
      </w:tblGrid>
      <w:tr>
        <w:trPr>
          <w:jc w:val="center"/>
          <w:trHeight w:val="454"/>
          <w:tblHeader/>
        </w:trPr>
        <w:tc>
          <w:tcPr>
            <w:tcW w:w="238"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序号</w:t>
            </w:r>
            <w:r/>
          </w:p>
        </w:tc>
        <w:tc>
          <w:tcPr>
            <w:tcW w:w="785"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14:textFill>
                  <w14:solidFill>
                    <w14:schemeClr w14:val="tx1"/>
                  </w14:solidFill>
                </w14:textFill>
              </w:rPr>
            </w:pPr>
            <w:r>
              <w:rPr>
                <w:rFonts w:hint="eastAsia" w:ascii="Times New Roman" w:hAnsi="Times New Roman" w:eastAsia="方正黑体_GBK" w:cs="宋体"/>
                <w:color w:val="000000" w:themeColor="text1"/>
                <w:sz w:val="22"/>
                <w:szCs w:val="22"/>
                <w:highlight w:val="none"/>
                <w14:textFill>
                  <w14:solidFill>
                    <w14:schemeClr w14:val="tx1"/>
                  </w14:solidFill>
                </w14:textFill>
              </w:rPr>
              <w:t xml:space="preserve">功能模块</w:t>
            </w:r>
            <w:r/>
          </w:p>
        </w:tc>
        <w:tc>
          <w:tcPr>
            <w:tcW w:w="785"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子模块</w:t>
            </w:r>
            <w:r/>
          </w:p>
        </w:tc>
        <w:tc>
          <w:tcPr>
            <w:tcW w:w="3192"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功能、性能及配置要求</w:t>
            </w:r>
            <w:r/>
          </w:p>
        </w:tc>
      </w:tr>
      <w:tr>
        <w:trPr>
          <w:jc w:val="center"/>
          <w:trHeight w:val="454"/>
        </w:trPr>
        <w:tc>
          <w:tcPr>
            <w:gridSpan w:val="4"/>
            <w:tcW w:w="5000"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供应商须根据采购人要求，建设</w:t>
            </w:r>
            <w:r>
              <w:rPr>
                <w:rFonts w:ascii="宋体" w:hAnsi="宋体" w:cs="宋体"/>
                <w:color w:val="000000" w:themeColor="text1"/>
                <w:sz w:val="24"/>
                <w:highlight w:val="none"/>
                <w14:textFill>
                  <w14:solidFill>
                    <w14:schemeClr w14:val="tx1"/>
                  </w14:solidFill>
                </w14:textFill>
              </w:rPr>
              <w:t xml:space="preserve">双碳服务</w:t>
            </w:r>
            <w:r>
              <w:rPr>
                <w:rFonts w:hint="eastAsia" w:ascii="宋体" w:hAnsi="宋体" w:cs="宋体"/>
                <w:color w:val="000000" w:themeColor="text1"/>
                <w:sz w:val="24"/>
                <w:highlight w:val="none"/>
                <w14:textFill>
                  <w14:solidFill>
                    <w14:schemeClr w14:val="tx1"/>
                  </w14:solidFill>
                </w14:textFill>
              </w:rPr>
              <w:t xml:space="preserve">功能模块（</w:t>
            </w:r>
            <w:r>
              <w:rPr>
                <w:rFonts w:ascii="宋体" w:hAnsi="宋体" w:cs="宋体"/>
                <w:color w:val="000000" w:themeColor="text1"/>
                <w:sz w:val="24"/>
                <w:highlight w:val="none"/>
                <w14:textFill>
                  <w14:solidFill>
                    <w14:schemeClr w14:val="tx1"/>
                  </w14:solidFill>
                </w14:textFill>
              </w:rPr>
              <w:t xml:space="preserve">双碳咨询服务、数据信息公开、双碳公共服务</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bidi="ar"/>
                <w14:textFill>
                  <w14:solidFill>
                    <w14:schemeClr w14:val="tx1"/>
                  </w14:solidFill>
                </w14:textFill>
              </w:rPr>
              <w:t xml:space="preserve">AI+碳服务</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门户衔接</w:t>
            </w:r>
            <w:r>
              <w:rPr>
                <w:rFonts w:hint="eastAsia" w:ascii="宋体" w:hAnsi="宋体" w:cs="宋体"/>
                <w:color w:val="000000" w:themeColor="text1"/>
                <w:sz w:val="24"/>
                <w:highlight w:val="none"/>
                <w14:textFill>
                  <w14:solidFill>
                    <w14:schemeClr w14:val="tx1"/>
                  </w14:solidFill>
                </w14:textFill>
              </w:rPr>
              <w:t xml:space="preserve">功能模块（</w:t>
            </w:r>
            <w:r>
              <w:rPr>
                <w:rFonts w:ascii="宋体" w:hAnsi="宋体" w:cs="宋体"/>
                <w:color w:val="000000" w:themeColor="text1"/>
                <w:sz w:val="24"/>
                <w:highlight w:val="none"/>
                <w14:textFill>
                  <w14:solidFill>
                    <w14:schemeClr w14:val="tx1"/>
                  </w14:solidFill>
                </w14:textFill>
              </w:rPr>
              <w:t xml:space="preserve">门户子系统与市级碳排放及碳预算管理、区（县）级碳排放及碳预算管理</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w:t>
            </w:r>
            <w:r/>
          </w:p>
        </w:tc>
      </w:tr>
      <w:tr>
        <w:trPr>
          <w:jc w:val="center"/>
          <w:trHeight w:val="1213"/>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W w:w="785"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双碳服务</w:t>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双碳资讯服务</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通过双碳资讯服务模块</w:t>
            </w:r>
            <w:r>
              <w:rPr>
                <w:rFonts w:hint="eastAsia" w:ascii="宋体" w:hAnsi="宋体" w:cs="宋体"/>
                <w:color w:val="000000" w:themeColor="text1"/>
                <w:sz w:val="24"/>
                <w:highlight w:val="none"/>
                <w:lang w:bidi="ar"/>
                <w14:textFill>
                  <w14:solidFill>
                    <w14:schemeClr w14:val="tx1"/>
                  </w14:solidFill>
                </w14:textFill>
              </w:rPr>
              <w:t xml:space="preserve">，实现</w:t>
            </w:r>
            <w:r>
              <w:rPr>
                <w:rFonts w:ascii="宋体" w:hAnsi="宋体" w:cs="宋体"/>
                <w:color w:val="000000" w:themeColor="text1"/>
                <w:sz w:val="24"/>
                <w:highlight w:val="none"/>
                <w:lang w:bidi="ar"/>
                <w14:textFill>
                  <w14:solidFill>
                    <w14:schemeClr w14:val="tx1"/>
                  </w14:solidFill>
                </w14:textFill>
              </w:rPr>
              <w:t xml:space="preserve">碳达峰碳中和相关的各类资讯信息的收集、编辑、审核、发布等。</w:t>
            </w:r>
            <w:r/>
          </w:p>
        </w:tc>
      </w:tr>
      <w:tr>
        <w:trPr>
          <w:jc w:val="center"/>
          <w:trHeight w:val="1010"/>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p>
        </w:tc>
        <w:tc>
          <w:tcPr>
            <w:tcW w:w="785"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数据信息公开</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提供数据信息入口模块，实现对全市、分县区的碳排放数据的查询、比较和分析。</w:t>
            </w:r>
            <w:r/>
          </w:p>
        </w:tc>
      </w:tr>
      <w:tr>
        <w:trPr>
          <w:jc w:val="center"/>
          <w:trHeight w:val="1474"/>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p>
        </w:tc>
        <w:tc>
          <w:tcPr>
            <w:tcW w:w="785"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双碳公共服务窗口</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提供集信息展示、服务对接、技术支持为一体的综合性服务窗口，为用户提供与碳排放核算管理相关的咨询、金融、技术、数据应用等降碳服务。</w:t>
            </w:r>
            <w:r/>
          </w:p>
        </w:tc>
      </w:tr>
      <w:tr>
        <w:trPr>
          <w:jc w:val="center"/>
          <w:trHeight w:val="1191"/>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p>
        </w:tc>
        <w:tc>
          <w:tcPr>
            <w:tcW w:w="785"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碳排放核算第三方认证服务</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提供第三方认证流程、认证服务类型查询，进入第三方认证系统等服务。</w:t>
            </w:r>
            <w:r/>
          </w:p>
        </w:tc>
      </w:tr>
      <w:tr>
        <w:trPr>
          <w:jc w:val="center"/>
          <w:trHeight w:val="1191"/>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p>
        </w:tc>
        <w:tc>
          <w:tcPr>
            <w:tcW w:w="785"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绿电绿证交易辅助服务</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提供辅助服务内容展示、绿证类型、应用场景、交易流程查询等服务。</w:t>
            </w:r>
            <w:r/>
          </w:p>
        </w:tc>
      </w:tr>
      <w:tr>
        <w:trPr>
          <w:jc w:val="center"/>
          <w:trHeight w:val="1191"/>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p>
        </w:tc>
        <w:tc>
          <w:tcPr>
            <w:tcW w:w="785"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AI+碳服务</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为用户提供与人工智能与双碳相结合的服务门户。</w:t>
            </w:r>
            <w:r/>
          </w:p>
        </w:tc>
      </w:tr>
      <w:tr>
        <w:trPr>
          <w:jc w:val="center"/>
          <w:trHeight w:val="1673"/>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p>
        </w:tc>
        <w:tc>
          <w:tcPr>
            <w:tcW w:w="785"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门户衔接</w:t>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市级碳排放及碳预算衔接管理入口</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提供盐城全市碳排放及碳预算衔接管理服务入口，对接市级碳排放及碳预算衔接管理子系统，支持直接跳转。</w:t>
            </w:r>
            <w:r/>
          </w:p>
        </w:tc>
      </w:tr>
      <w:tr>
        <w:trPr>
          <w:jc w:val="center"/>
          <w:trHeight w:val="1270"/>
        </w:trPr>
        <w:tc>
          <w:tcPr>
            <w:tcW w:w="238"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p>
        </w:tc>
        <w:tc>
          <w:tcPr>
            <w:tcW w:w="785"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85"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区（县）级碳排放及碳预算衔接管理入口</w:t>
            </w:r>
            <w:r/>
          </w:p>
        </w:tc>
        <w:tc>
          <w:tcPr>
            <w:tcW w:w="3192"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提供盐城区（县）级碳排放及碳预算衔接管理服务入口，对接区（县）级碳排放及碳预算衔接管理子系统，支持直接跳转。</w:t>
            </w:r>
            <w:r/>
          </w:p>
        </w:tc>
      </w:tr>
    </w:tbl>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w:t>
      </w:r>
      <w:r>
        <w:rPr>
          <w:rFonts w:ascii="宋体" w:hAnsi="宋体" w:cs="宋体"/>
          <w:b/>
          <w:bCs/>
          <w:color w:val="000000" w:themeColor="text1"/>
          <w:sz w:val="24"/>
          <w:highlight w:val="none"/>
          <w14:textFill>
            <w14:solidFill>
              <w14:schemeClr w14:val="tx1"/>
            </w14:solidFill>
          </w14:textFill>
        </w:rPr>
        <w:t xml:space="preserve">碳达峰碳中和数据采集子系统功能需求</w:t>
      </w:r>
      <w:r/>
    </w:p>
    <w:tbl>
      <w:tblPr>
        <w:tblStyle w:val="907"/>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436"/>
        <w:gridCol w:w="1332"/>
        <w:gridCol w:w="1332"/>
        <w:gridCol w:w="5593"/>
      </w:tblGrid>
      <w:tr>
        <w:trPr>
          <w:trHeight w:val="454"/>
          <w:tblHeader/>
        </w:trPr>
        <w:tc>
          <w:tcPr>
            <w:tcW w:w="251"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序号</w:t>
            </w:r>
            <w:r/>
          </w:p>
        </w:tc>
        <w:tc>
          <w:tcPr>
            <w:tcW w:w="766"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hint="eastAsia" w:ascii="Times New Roman" w:hAnsi="Times New Roman" w:eastAsia="方正黑体_GBK" w:cs="宋体"/>
                <w:color w:val="000000" w:themeColor="text1"/>
                <w:sz w:val="22"/>
                <w:szCs w:val="22"/>
                <w:highlight w:val="none"/>
                <w14:textFill>
                  <w14:solidFill>
                    <w14:schemeClr w14:val="tx1"/>
                  </w14:solidFill>
                </w14:textFill>
              </w:rPr>
              <w:t xml:space="preserve">功能模块</w:t>
            </w:r>
            <w:r/>
          </w:p>
        </w:tc>
        <w:tc>
          <w:tcPr>
            <w:tcW w:w="766"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子模块</w:t>
            </w:r>
            <w:r/>
          </w:p>
        </w:tc>
        <w:tc>
          <w:tcPr>
            <w:tcW w:w="3217"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功能、性能及配置要求</w:t>
            </w:r>
            <w:r/>
          </w:p>
        </w:tc>
      </w:tr>
      <w:tr>
        <w:trPr>
          <w:trHeight w:val="454"/>
        </w:trPr>
        <w:tc>
          <w:tcPr>
            <w:gridSpan w:val="4"/>
            <w:tcW w:w="5000"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供应商须根据采购人要求，建设</w:t>
            </w:r>
            <w:r>
              <w:rPr>
                <w:rFonts w:ascii="宋体" w:hAnsi="宋体" w:cs="宋体"/>
                <w:color w:val="000000" w:themeColor="text1"/>
                <w:sz w:val="24"/>
                <w:highlight w:val="none"/>
                <w14:textFill>
                  <w14:solidFill>
                    <w14:schemeClr w14:val="tx1"/>
                  </w14:solidFill>
                </w14:textFill>
              </w:rPr>
              <w:t xml:space="preserve">数据库</w:t>
            </w:r>
            <w:r>
              <w:rPr>
                <w:rFonts w:hint="eastAsia" w:ascii="宋体" w:hAnsi="宋体" w:cs="宋体"/>
                <w:color w:val="000000" w:themeColor="text1"/>
                <w:sz w:val="24"/>
                <w:highlight w:val="none"/>
                <w14:textFill>
                  <w14:solidFill>
                    <w14:schemeClr w14:val="tx1"/>
                  </w14:solidFill>
                </w14:textFill>
              </w:rPr>
              <w:t xml:space="preserve">服务功能模块</w:t>
            </w:r>
            <w:r>
              <w:rPr>
                <w:rFonts w:ascii="宋体" w:hAnsi="宋体" w:cs="宋体"/>
                <w:color w:val="000000" w:themeColor="text1"/>
                <w:sz w:val="24"/>
                <w:highlight w:val="none"/>
                <w14:textFill>
                  <w14:solidFill>
                    <w14:schemeClr w14:val="tx1"/>
                  </w14:solidFill>
                </w14:textFill>
              </w:rPr>
              <w:t xml:space="preserve">（数据库数据规范管理、公共基础数据库建设、企业实景数据库建设、第三方背景数据库建设）、数据资源体系</w:t>
            </w:r>
            <w:r>
              <w:rPr>
                <w:rFonts w:hint="eastAsia" w:ascii="宋体" w:hAnsi="宋体" w:cs="宋体"/>
                <w:color w:val="000000" w:themeColor="text1"/>
                <w:sz w:val="24"/>
                <w:highlight w:val="none"/>
                <w14:textFill>
                  <w14:solidFill>
                    <w14:schemeClr w14:val="tx1"/>
                  </w14:solidFill>
                </w14:textFill>
              </w:rPr>
              <w:t xml:space="preserve">功能模块</w:t>
            </w:r>
            <w:r>
              <w:rPr>
                <w:rFonts w:ascii="宋体" w:hAnsi="宋体" w:cs="宋体"/>
                <w:color w:val="000000" w:themeColor="text1"/>
                <w:sz w:val="24"/>
                <w:highlight w:val="none"/>
                <w14:textFill>
                  <w14:solidFill>
                    <w14:schemeClr w14:val="tx1"/>
                  </w14:solidFill>
                </w14:textFill>
              </w:rPr>
              <w:t xml:space="preserve">（数据库数据质量服务、数据资产服务、数据共享服务）</w:t>
            </w:r>
            <w:r>
              <w:rPr>
                <w:rFonts w:ascii="宋体" w:hAnsi="宋体" w:cs="宋体"/>
                <w:color w:val="000000" w:themeColor="text1"/>
                <w:sz w:val="24"/>
                <w:highlight w:val="none"/>
                <w:lang w:bidi="ar"/>
                <w14:textFill>
                  <w14:solidFill>
                    <w14:schemeClr w14:val="tx1"/>
                  </w14:solidFill>
                </w14:textFill>
              </w:rPr>
              <w:t xml:space="preserve">。</w:t>
            </w:r>
            <w:r/>
          </w:p>
        </w:tc>
      </w:tr>
      <w:tr>
        <w:trPr>
          <w:trHeight w:val="1134"/>
        </w:trPr>
        <w:tc>
          <w:tcPr>
            <w:tcW w:w="251"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W w:w="766"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数据库</w:t>
            </w:r>
            <w:r>
              <w:rPr>
                <w:rFonts w:hint="eastAsia" w:ascii="宋体" w:hAnsi="宋体" w:cs="宋体"/>
                <w:color w:val="000000" w:themeColor="text1"/>
                <w:sz w:val="24"/>
                <w:highlight w:val="none"/>
                <w14:textFill>
                  <w14:solidFill>
                    <w14:schemeClr w14:val="tx1"/>
                  </w14:solidFill>
                </w14:textFill>
              </w:rPr>
              <w:t xml:space="preserve">服务</w:t>
            </w:r>
            <w:r/>
          </w:p>
        </w:tc>
        <w:tc>
          <w:tcPr>
            <w:tcW w:w="766"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数据库</w:t>
            </w:r>
            <w:r>
              <w:rPr>
                <w:rFonts w:ascii="宋体" w:hAnsi="宋体" w:cs="宋体"/>
                <w:color w:val="000000" w:themeColor="text1"/>
                <w:sz w:val="24"/>
                <w:highlight w:val="none"/>
                <w:lang w:bidi="ar"/>
                <w14:textFill>
                  <w14:solidFill>
                    <w14:schemeClr w14:val="tx1"/>
                  </w14:solidFill>
                </w14:textFill>
              </w:rPr>
              <w:t xml:space="preserve">数据规范管理</w:t>
            </w:r>
            <w:r/>
          </w:p>
        </w:tc>
        <w:tc>
          <w:tcPr>
            <w:tcW w:w="3217"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建设数据管理系统，进行统一的采集、管理，厘清信息资产。</w:t>
            </w:r>
            <w:r/>
          </w:p>
        </w:tc>
      </w:tr>
      <w:tr>
        <w:trPr>
          <w:trHeight w:val="1134"/>
        </w:trPr>
        <w:tc>
          <w:tcPr>
            <w:tcW w:w="251"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p>
        </w:tc>
        <w:tc>
          <w:tcPr>
            <w:tcW w:w="766"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66"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公共基础数据库建设</w:t>
            </w:r>
            <w:r/>
          </w:p>
        </w:tc>
        <w:tc>
          <w:tcPr>
            <w:tcW w:w="3217"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对公共基础数据进行梳理</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规划与汇集。</w:t>
            </w:r>
            <w:r/>
          </w:p>
        </w:tc>
      </w:tr>
      <w:tr>
        <w:trPr>
          <w:trHeight w:val="1134"/>
        </w:trPr>
        <w:tc>
          <w:tcPr>
            <w:tcW w:w="251"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p>
        </w:tc>
        <w:tc>
          <w:tcPr>
            <w:tcW w:w="766"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66"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企业实景数据库建设</w:t>
            </w:r>
            <w:r/>
          </w:p>
        </w:tc>
        <w:tc>
          <w:tcPr>
            <w:tcW w:w="3217"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梳理企业内部数据，制定企业数据质量标准。</w:t>
            </w:r>
            <w:r/>
          </w:p>
        </w:tc>
      </w:tr>
      <w:tr>
        <w:trPr>
          <w:trHeight w:val="1134"/>
        </w:trPr>
        <w:tc>
          <w:tcPr>
            <w:tcW w:w="251"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p>
        </w:tc>
        <w:tc>
          <w:tcPr>
            <w:tcW w:w="766"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66"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第三方背景数据库建设</w:t>
            </w:r>
            <w:r/>
          </w:p>
        </w:tc>
        <w:tc>
          <w:tcPr>
            <w:tcW w:w="3217"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对第三方数据源进行评估与筛选，定期更新数据库。</w:t>
            </w:r>
            <w:r/>
          </w:p>
        </w:tc>
      </w:tr>
      <w:tr>
        <w:trPr>
          <w:trHeight w:val="1134"/>
        </w:trPr>
        <w:tc>
          <w:tcPr>
            <w:tcW w:w="251"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p>
        </w:tc>
        <w:tc>
          <w:tcPr>
            <w:tcW w:w="766"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数据资源体系</w:t>
            </w:r>
            <w:r/>
          </w:p>
        </w:tc>
        <w:tc>
          <w:tcPr>
            <w:tcW w:w="766"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数据</w:t>
            </w:r>
            <w:r>
              <w:rPr>
                <w:rFonts w:hint="eastAsia" w:ascii="宋体" w:hAnsi="宋体" w:cs="宋体"/>
                <w:color w:val="000000" w:themeColor="text1"/>
                <w:sz w:val="24"/>
                <w:highlight w:val="none"/>
                <w:lang w:bidi="ar"/>
                <w14:textFill>
                  <w14:solidFill>
                    <w14:schemeClr w14:val="tx1"/>
                  </w14:solidFill>
                </w14:textFill>
              </w:rPr>
              <w:t xml:space="preserve">库</w:t>
            </w:r>
            <w:r>
              <w:rPr>
                <w:rFonts w:ascii="宋体" w:hAnsi="宋体" w:cs="宋体"/>
                <w:color w:val="000000" w:themeColor="text1"/>
                <w:sz w:val="24"/>
                <w:highlight w:val="none"/>
                <w:lang w:bidi="ar"/>
                <w14:textFill>
                  <w14:solidFill>
                    <w14:schemeClr w14:val="tx1"/>
                  </w14:solidFill>
                </w14:textFill>
              </w:rPr>
              <w:t xml:space="preserve">质量服务</w:t>
            </w:r>
            <w:r/>
          </w:p>
        </w:tc>
        <w:tc>
          <w:tcPr>
            <w:tcW w:w="3217"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定义数据质量检测规则</w:t>
            </w:r>
            <w:r>
              <w:rPr>
                <w:rFonts w:hint="eastAsia" w:ascii="宋体" w:hAnsi="宋体" w:cs="宋体"/>
                <w:color w:val="000000" w:themeColor="text1"/>
                <w:sz w:val="24"/>
                <w:highlight w:val="none"/>
                <w:lang w:bidi="ar"/>
                <w14:textFill>
                  <w14:solidFill>
                    <w14:schemeClr w14:val="tx1"/>
                  </w14:solidFill>
                </w14:textFill>
              </w:rPr>
              <w:t xml:space="preserve">、进行</w:t>
            </w:r>
            <w:r>
              <w:rPr>
                <w:rFonts w:ascii="宋体" w:hAnsi="宋体" w:cs="宋体"/>
                <w:color w:val="000000" w:themeColor="text1"/>
                <w:sz w:val="24"/>
                <w:highlight w:val="none"/>
                <w:lang w:bidi="ar"/>
                <w14:textFill>
                  <w14:solidFill>
                    <w14:schemeClr w14:val="tx1"/>
                  </w14:solidFill>
                </w14:textFill>
              </w:rPr>
              <w:t xml:space="preserve">数据</w:t>
            </w:r>
            <w:r>
              <w:rPr>
                <w:rFonts w:hint="eastAsia" w:ascii="宋体" w:hAnsi="宋体" w:cs="宋体"/>
                <w:color w:val="000000" w:themeColor="text1"/>
                <w:sz w:val="24"/>
                <w:highlight w:val="none"/>
                <w:lang w:bidi="ar"/>
                <w14:textFill>
                  <w14:solidFill>
                    <w14:schemeClr w14:val="tx1"/>
                  </w14:solidFill>
                </w14:textFill>
              </w:rPr>
              <w:t xml:space="preserve">质量检测并生成</w:t>
            </w:r>
            <w:r>
              <w:rPr>
                <w:rFonts w:ascii="宋体" w:hAnsi="宋体" w:cs="宋体"/>
                <w:color w:val="000000" w:themeColor="text1"/>
                <w:sz w:val="24"/>
                <w:highlight w:val="none"/>
                <w:lang w:bidi="ar"/>
                <w14:textFill>
                  <w14:solidFill>
                    <w14:schemeClr w14:val="tx1"/>
                  </w14:solidFill>
                </w14:textFill>
              </w:rPr>
              <w:t xml:space="preserve">质量评估报告。</w:t>
            </w:r>
            <w:r/>
          </w:p>
        </w:tc>
      </w:tr>
      <w:tr>
        <w:trPr>
          <w:trHeight w:val="1134"/>
        </w:trPr>
        <w:tc>
          <w:tcPr>
            <w:tcW w:w="251"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p>
        </w:tc>
        <w:tc>
          <w:tcPr>
            <w:tcW w:w="766"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66"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数据资产服务</w:t>
            </w:r>
            <w:r/>
          </w:p>
        </w:tc>
        <w:tc>
          <w:tcPr>
            <w:tcW w:w="3217"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根据业务需求和数据资产特点，设计数据资产服务的技术架构。</w:t>
            </w:r>
            <w:r/>
          </w:p>
        </w:tc>
      </w:tr>
      <w:tr>
        <w:trPr>
          <w:trHeight w:val="1134"/>
        </w:trPr>
        <w:tc>
          <w:tcPr>
            <w:tcW w:w="251"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p>
        </w:tc>
        <w:tc>
          <w:tcPr>
            <w:tcW w:w="766"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66"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数据共享服务</w:t>
            </w:r>
            <w:r/>
          </w:p>
        </w:tc>
        <w:tc>
          <w:tcPr>
            <w:tcW w:w="3217"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数据共享服务设计，供数据需求方申请、调用，实现数据共享。</w:t>
            </w:r>
            <w:r/>
          </w:p>
        </w:tc>
      </w:tr>
    </w:tbl>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3.3</w:t>
      </w:r>
      <w:r>
        <w:rPr>
          <w:rFonts w:ascii="宋体" w:hAnsi="宋体" w:cs="宋体"/>
          <w:b/>
          <w:bCs/>
          <w:color w:val="000000" w:themeColor="text1"/>
          <w:sz w:val="24"/>
          <w:highlight w:val="none"/>
          <w14:textFill>
            <w14:solidFill>
              <w14:schemeClr w14:val="tx1"/>
            </w14:solidFill>
          </w14:textFill>
        </w:rPr>
        <w:t xml:space="preserve">碳达峰碳中和核算分析子系统</w:t>
      </w:r>
      <w:r/>
    </w:p>
    <w:tbl>
      <w:tblPr>
        <w:tblStyle w:val="907"/>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424"/>
        <w:gridCol w:w="1354"/>
        <w:gridCol w:w="1354"/>
        <w:gridCol w:w="5561"/>
      </w:tblGrid>
      <w:tr>
        <w:trPr>
          <w:trHeight w:val="454"/>
          <w:tblHeader/>
        </w:trPr>
        <w:tc>
          <w:tcPr>
            <w:tcW w:w="244"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序号</w:t>
            </w:r>
            <w:r/>
          </w:p>
        </w:tc>
        <w:tc>
          <w:tcPr>
            <w:tcW w:w="779"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hint="eastAsia" w:ascii="Times New Roman" w:hAnsi="Times New Roman" w:eastAsia="方正黑体_GBK" w:cs="宋体"/>
                <w:color w:val="000000" w:themeColor="text1"/>
                <w:sz w:val="22"/>
                <w:szCs w:val="22"/>
                <w:highlight w:val="none"/>
                <w14:textFill>
                  <w14:solidFill>
                    <w14:schemeClr w14:val="tx1"/>
                  </w14:solidFill>
                </w14:textFill>
              </w:rPr>
              <w:t xml:space="preserve">功能模块</w:t>
            </w:r>
            <w:r/>
          </w:p>
        </w:tc>
        <w:tc>
          <w:tcPr>
            <w:tcW w:w="779"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子模块</w:t>
            </w:r>
            <w:r/>
          </w:p>
        </w:tc>
        <w:tc>
          <w:tcPr>
            <w:tcW w:w="3198" w:type="pct"/>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功能、性能及配置要求</w:t>
            </w:r>
            <w:r/>
          </w:p>
        </w:tc>
      </w:tr>
      <w:tr>
        <w:trPr>
          <w:trHeight w:val="454"/>
        </w:trPr>
        <w:tc>
          <w:tcPr>
            <w:gridSpan w:val="4"/>
            <w:tcW w:w="5000"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供应商须根据采购人要求，建设市本级碳排放管理模块、县级碳排放管理模块、行业碳排放管理模块、零碳园区能碳管理模块、重点企业能碳管理模块</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电碳因子管理模块、AI+碳核算服务模块。</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1</w:t>
            </w:r>
            <w:r/>
          </w:p>
        </w:tc>
        <w:tc>
          <w:tcPr>
            <w:tcW w:w="779"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市本级碳排放管理</w:t>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全域能碳全景监测</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实时展示全市能碳核心指标，支持指标数据钻取；生成全市碳排放、综合能耗的趋势曲线，分析可再生能源发展趋势。</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2</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五级核算统筹管理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支持一键触发 “市→县→行业→园区→企业” 级联核算任务，汇总生成《盐城市碳排放核算总报告》。</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3</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碳达峰目标管理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录入盐城市碳达峰总体目标，生成目标分解方案并支持目标动态调整。</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政策模拟与决策支持</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基于核算结果计算全市及各行业、各区域的减排潜力；建立减排项目库，录入全市重点减排项目内容与进度。</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考核评价与监督管理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建立盐城市双碳工作考核指标体系，支持考核指标动态调整。</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碳达峰推演模型</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基于碳达峰场景选择开展碳达峰路径推演，展示达峰前后全市碳排放逐年数据。</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市级碳预测</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基于模型预测实现未来五年能源供给结构、能源消费总量等数据预测及展示。</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p>
        </w:tc>
        <w:tc>
          <w:tcPr>
            <w:tcW w:w="779"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县级碳排放管理</w:t>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县级能碳检测看板</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实时展示本县能碳核心指标，配置指标预警功能；生成本县碳排放、综合能耗的趋势曲线，分析县域能源消费结构。</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县级核算执行管理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自动接收市级下达的核算任务，生成数据质量报告和本县碳排放核算报告。</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目标任务分解与推进</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录入县域内双碳重点任务并跟踪任务推进进度。</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重点企业与园区管理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展示企业能效、碳效与行业标杆值、县域均值的差距，生成对标分析报告。</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w:t>
            </w:r>
            <w:r/>
          </w:p>
        </w:tc>
        <w:tc>
          <w:tcPr>
            <w:tcW w:w="779"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行业碳排放管理</w:t>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行业全景监测</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按行业分类（能源、工业、城乡建设、交通、公共机构）展示核心指标，跟踪监测行业重点区域的能碳数据。</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行业专项核</w:t>
            </w:r>
            <w:r>
              <w:rPr>
                <w:rFonts w:hint="eastAsia" w:ascii="宋体" w:hAnsi="宋体" w:cs="宋体"/>
                <w:color w:val="000000" w:themeColor="text1"/>
                <w:sz w:val="24"/>
                <w:highlight w:val="none"/>
                <w:lang w:bidi="ar"/>
                <w14:textFill>
                  <w14:solidFill>
                    <w14:schemeClr w14:val="tx1"/>
                  </w14:solidFill>
                </w14:textFill>
              </w:rPr>
              <w:t xml:space="preserve">算</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针对各行业特点定制专项核算模型，分析碳排放变化趋势与原因，分析行业碳排放结构特征。</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行业标杆与对标管理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制定市级行业标杆值，生成企业对标报告。</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行业减排任务推进</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接收市级下达的行业减排目标，建立行业重点减排项目库，跟踪项目推进进度，展示项目建设状态。</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行业监督与考核</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建立行业双碳工作考核指标体系，按要求公开行业双碳工作进展。</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17</w:t>
            </w:r>
            <w:r/>
          </w:p>
        </w:tc>
        <w:tc>
          <w:tcPr>
            <w:tcW w:w="779"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零碳园区能碳管理</w:t>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园区能碳全景监测</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实时展示园区核心指标，监测园区重点企业高耗能工序能耗、碳排放强度</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监测园区基础设施能耗数据。</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园区精准核算</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定制园区专属核算模型，分析碳排放变化趋势与原因，分析园区碳排放结构。</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19</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零碳创建与评价管理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分解园区零碳创建任务，跟踪创建任务进度，对照评价标准进行自评并生成自评报告。</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20</w:t>
            </w:r>
            <w:r/>
          </w:p>
        </w:tc>
        <w:tc>
          <w:tcPr>
            <w:tcW w:w="779"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重点企业能碳管理</w:t>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企业数据采集与管理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自动采集企业生产数据</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生成企业数据质量报告并分析数据质量问题根源，分析企业能源消费结构。</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企业自主核算</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提供企业专属核算模型</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指导企业正确使用核算功能，确保核算结果准确</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生成企业碳排放核算报告。</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22</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对标分析与减排规划</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展示企业能效、碳效与行业标杆值、行业均值、区域均值的差距，跟踪减排规划任务完成进度。</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23</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生产环节精细化管理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展示企业各工序能耗占比、碳排放占比</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监测能源消耗异常，引导企业排查原因。</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碳数据上报管理</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自动接收政府下达的减排任务要求</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跟踪任务完成进度，生成任务完成情况报告。</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25</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合规自查</w:t>
            </w:r>
            <w:r/>
          </w:p>
        </w:tc>
        <w:tc>
          <w:tcPr>
            <w:tcW w:w="3198"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提供企业合规自查工具。</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26</w:t>
            </w:r>
            <w:r/>
          </w:p>
        </w:tc>
        <w:tc>
          <w:tcPr>
            <w:tcW w:w="779"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电碳因子管理</w:t>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数据对接</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对接省级分时分区分压电碳因子数据库，实现对盐城全市的分时分区电碳因子的动态获取与分类存储。</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27</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电力供需统计分析</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按照月度统计盐城全市、区县、园区的用电量以及全市、区县调入调出电量，支持各类电源发电量数据的管理与导出。</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28</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市、区县电碳因子测算</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对全市及各区县电碳因子进行分析。</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29</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零碳园区电碳因子分析</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构建园区电碳因子分析模型，</w:t>
            </w:r>
            <w:r>
              <w:rPr>
                <w:rFonts w:hint="eastAsia" w:ascii="宋体" w:hAnsi="宋体" w:cs="宋体"/>
                <w:color w:val="000000" w:themeColor="text1"/>
                <w:sz w:val="24"/>
                <w:highlight w:val="none"/>
                <w:lang w:bidi="ar"/>
                <w14:textFill>
                  <w14:solidFill>
                    <w14:schemeClr w14:val="tx1"/>
                  </w14:solidFill>
                </w14:textFill>
              </w:rPr>
              <w:t xml:space="preserve">实现</w:t>
            </w:r>
            <w:r>
              <w:rPr>
                <w:rFonts w:ascii="宋体" w:hAnsi="宋体" w:cs="宋体"/>
                <w:color w:val="000000" w:themeColor="text1"/>
                <w:sz w:val="24"/>
                <w:highlight w:val="none"/>
                <w:lang w:bidi="ar"/>
                <w14:textFill>
                  <w14:solidFill>
                    <w14:schemeClr w14:val="tx1"/>
                  </w14:solidFill>
                </w14:textFill>
              </w:rPr>
              <w:t xml:space="preserve">电碳因子</w:t>
            </w:r>
            <w:r>
              <w:rPr>
                <w:rFonts w:hint="eastAsia" w:ascii="宋体" w:hAnsi="宋体" w:cs="宋体"/>
                <w:color w:val="000000" w:themeColor="text1"/>
                <w:sz w:val="24"/>
                <w:highlight w:val="none"/>
                <w:lang w:bidi="ar"/>
                <w14:textFill>
                  <w14:solidFill>
                    <w14:schemeClr w14:val="tx1"/>
                  </w14:solidFill>
                </w14:textFill>
              </w:rPr>
              <w:t xml:space="preserve">的</w:t>
            </w:r>
            <w:r>
              <w:rPr>
                <w:rFonts w:ascii="宋体" w:hAnsi="宋体" w:cs="宋体"/>
                <w:color w:val="000000" w:themeColor="text1"/>
                <w:sz w:val="24"/>
                <w:highlight w:val="none"/>
                <w:lang w:bidi="ar"/>
                <w14:textFill>
                  <w14:solidFill>
                    <w14:schemeClr w14:val="tx1"/>
                  </w14:solidFill>
                </w14:textFill>
              </w:rPr>
              <w:t xml:space="preserve">动态测算。</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30</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系统核算规则管理</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模块支持单位管理、报告模板管理、计算公式管理、AI知识库管理等功能</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31</w:t>
            </w:r>
            <w:r/>
          </w:p>
        </w:tc>
        <w:tc>
          <w:tcPr>
            <w:tcW w:w="779" w:type="pct"/>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AI+碳核算服务</w:t>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AI智能碳排放核算</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基于人工智能大模型，实现市级、区县、行业、园区、企业等多维度的碳排放动态核算。</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32</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AI碳达峰情景推演与预测</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基于人工智能大模型，实现智能情景构建与管理等功能。</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33</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AI企业碳画像与节能诊断</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基于人工智能大模型，实现企业的多维全息碳画像等功能。</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34</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AI零碳园区智能评价</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基于人工智能大模型，构建可量化、可对标、可追踪的动态智能评价体系。</w:t>
            </w:r>
            <w:r/>
          </w:p>
        </w:tc>
      </w:tr>
      <w:tr>
        <w:trPr>
          <w:trHeight w:val="1247"/>
        </w:trPr>
        <w:tc>
          <w:tcPr>
            <w:tcW w:w="244" w:type="pct"/>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35</w:t>
            </w:r>
            <w:r/>
          </w:p>
        </w:tc>
        <w:tc>
          <w:tcPr>
            <w:tcW w:w="779" w:type="pct"/>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779" w:type="pct"/>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数据大屏服务</w:t>
            </w:r>
            <w:r/>
          </w:p>
        </w:tc>
        <w:tc>
          <w:tcPr>
            <w:tcW w:w="3198" w:type="pct"/>
            <w:vAlign w:val="center"/>
            <w:textDirection w:val="lrTb"/>
            <w:noWrap w:val="false"/>
          </w:tcPr>
          <w:p>
            <w:pP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基于双碳核算结果数据和系统GIS服务能力，进行空间分析、三维与实景融合，运用数据孪生表现市级管理、区县管理、行业管理、园区管理、企业管理、电碳管理主要内容。</w:t>
            </w:r>
            <w:r/>
          </w:p>
        </w:tc>
      </w:tr>
    </w:tbl>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3.4</w:t>
      </w:r>
      <w:r>
        <w:rPr>
          <w:rFonts w:ascii="宋体" w:hAnsi="宋体" w:cs="宋体"/>
          <w:b/>
          <w:bCs/>
          <w:color w:val="000000" w:themeColor="text1"/>
          <w:sz w:val="24"/>
          <w:highlight w:val="none"/>
          <w14:textFill>
            <w14:solidFill>
              <w14:schemeClr w14:val="tx1"/>
            </w14:solidFill>
          </w14:textFill>
        </w:rPr>
        <w:t xml:space="preserve">碳达峰碳中和配置子系统功能需求</w:t>
      </w:r>
      <w:r/>
    </w:p>
    <w:tbl>
      <w:tblPr>
        <w:tblStyle w:val="907"/>
        <w:tblW w:w="8705"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10"/>
        <w:gridCol w:w="1282"/>
        <w:gridCol w:w="1350"/>
        <w:gridCol w:w="5563"/>
      </w:tblGrid>
      <w:tr>
        <w:trPr>
          <w:trHeight w:val="454"/>
          <w:tblHeader/>
        </w:trPr>
        <w:tc>
          <w:tcPr>
            <w:tcW w:w="510" w:type="dxa"/>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序号</w:t>
            </w:r>
            <w:r/>
          </w:p>
        </w:tc>
        <w:tc>
          <w:tcPr>
            <w:tcW w:w="1282" w:type="dxa"/>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14:textFill>
                  <w14:solidFill>
                    <w14:schemeClr w14:val="tx1"/>
                  </w14:solidFill>
                </w14:textFill>
              </w:rPr>
            </w:pPr>
            <w:r>
              <w:rPr>
                <w:rFonts w:hint="eastAsia" w:ascii="Times New Roman" w:hAnsi="Times New Roman" w:eastAsia="方正黑体_GBK" w:cs="宋体"/>
                <w:color w:val="000000" w:themeColor="text1"/>
                <w:sz w:val="22"/>
                <w:szCs w:val="22"/>
                <w:highlight w:val="none"/>
                <w14:textFill>
                  <w14:solidFill>
                    <w14:schemeClr w14:val="tx1"/>
                  </w14:solidFill>
                </w14:textFill>
              </w:rPr>
              <w:t xml:space="preserve">功能模块</w:t>
            </w:r>
            <w:r/>
          </w:p>
        </w:tc>
        <w:tc>
          <w:tcPr>
            <w:tcW w:w="1350" w:type="dxa"/>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子模块</w:t>
            </w:r>
            <w:r/>
          </w:p>
        </w:tc>
        <w:tc>
          <w:tcPr>
            <w:tcW w:w="5563" w:type="dxa"/>
            <w:vAlign w:val="center"/>
            <w:textDirection w:val="lrTb"/>
            <w:noWrap w:val="false"/>
          </w:tcPr>
          <w:p>
            <w:pPr>
              <w:jc w:val="center"/>
              <w:keepLines w:val="0"/>
              <w:keepNext w:val="0"/>
              <w:pageBreakBefore w:val="0"/>
              <w:spacing w:line="400" w:lineRule="exact"/>
              <w:rPr>
                <w:rFonts w:ascii="Times New Roman" w:hAnsi="Times New Roman" w:eastAsia="方正黑体_GBK" w:cs="宋体"/>
                <w:color w:val="000000" w:themeColor="text1"/>
                <w:sz w:val="22"/>
                <w:szCs w:val="22"/>
                <w:highlight w:val="none"/>
                <w:lang w:eastAsia="en-US"/>
                <w14:textFill>
                  <w14:solidFill>
                    <w14:schemeClr w14:val="tx1"/>
                  </w14:solidFill>
                </w14:textFill>
              </w:rPr>
            </w:pPr>
            <w:r>
              <w:rPr>
                <w:rFonts w:ascii="Times New Roman" w:hAnsi="Times New Roman" w:eastAsia="方正黑体_GBK" w:cs="宋体"/>
                <w:color w:val="000000" w:themeColor="text1"/>
                <w:sz w:val="22"/>
                <w:szCs w:val="22"/>
                <w:highlight w:val="none"/>
                <w:lang w:eastAsia="en-US"/>
                <w14:textFill>
                  <w14:solidFill>
                    <w14:schemeClr w14:val="tx1"/>
                  </w14:solidFill>
                </w14:textFill>
              </w:rPr>
              <w:t xml:space="preserve">功能、性能及配置要求</w:t>
            </w:r>
            <w:r/>
          </w:p>
        </w:tc>
      </w:tr>
      <w:tr>
        <w:trPr>
          <w:trHeight w:val="454"/>
        </w:trPr>
        <w:tc>
          <w:tcPr>
            <w:gridSpan w:val="4"/>
            <w:tcW w:w="870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供应商须根据采购人要求，建设</w:t>
            </w:r>
            <w:r>
              <w:rPr>
                <w:rFonts w:ascii="宋体" w:hAnsi="宋体" w:cs="宋体"/>
                <w:color w:val="000000" w:themeColor="text1"/>
                <w:sz w:val="24"/>
                <w:highlight w:val="none"/>
                <w14:textFill>
                  <w14:solidFill>
                    <w14:schemeClr w14:val="tx1"/>
                  </w14:solidFill>
                </w14:textFill>
              </w:rPr>
              <w:t xml:space="preserve">用户及流程管理</w:t>
            </w:r>
            <w:r>
              <w:rPr>
                <w:rFonts w:hint="eastAsia" w:ascii="宋体" w:hAnsi="宋体" w:cs="宋体"/>
                <w:color w:val="000000" w:themeColor="text1"/>
                <w:sz w:val="24"/>
                <w:highlight w:val="none"/>
                <w14:textFill>
                  <w14:solidFill>
                    <w14:schemeClr w14:val="tx1"/>
                  </w14:solidFill>
                </w14:textFill>
              </w:rPr>
              <w:t xml:space="preserve">模块</w:t>
            </w:r>
            <w:r>
              <w:rPr>
                <w:rFonts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用户管理</w:t>
            </w:r>
            <w:r>
              <w:rPr>
                <w:rFonts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审核跟踪</w:t>
            </w:r>
            <w:r>
              <w:rPr>
                <w:rFonts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系统日志</w:t>
            </w:r>
            <w:r>
              <w:rPr>
                <w:rFonts w:hint="eastAsia" w:ascii="宋体" w:hAnsi="宋体" w:cs="宋体"/>
                <w:color w:val="000000" w:themeColor="text1"/>
                <w:sz w:val="24"/>
                <w:highlight w:val="none"/>
                <w:lang w:bidi="ar"/>
                <w14:textFill>
                  <w14:solidFill>
                    <w14:schemeClr w14:val="tx1"/>
                  </w14:solidFill>
                </w14:textFill>
              </w:rPr>
              <w:t xml:space="preserve">、电子签名</w:t>
            </w:r>
            <w:r>
              <w:rPr>
                <w:rFonts w:ascii="宋体" w:hAnsi="宋体" w:cs="宋体"/>
                <w:color w:val="000000" w:themeColor="text1"/>
                <w:sz w:val="24"/>
                <w:highlight w:val="none"/>
                <w14:textFill>
                  <w14:solidFill>
                    <w14:schemeClr w14:val="tx1"/>
                  </w14:solidFill>
                </w14:textFill>
              </w:rPr>
              <w:t xml:space="preserve">）、可视化技术</w:t>
            </w:r>
            <w:r>
              <w:rPr>
                <w:rFonts w:hint="eastAsia" w:ascii="宋体" w:hAnsi="宋体" w:cs="宋体"/>
                <w:color w:val="000000" w:themeColor="text1"/>
                <w:sz w:val="24"/>
                <w:highlight w:val="none"/>
                <w14:textFill>
                  <w14:solidFill>
                    <w14:schemeClr w14:val="tx1"/>
                  </w14:solidFill>
                </w14:textFill>
              </w:rPr>
              <w:t xml:space="preserve">功能模块</w:t>
            </w:r>
            <w:r>
              <w:rPr>
                <w:rFonts w:ascii="宋体" w:hAnsi="宋体" w:cs="宋体"/>
                <w:color w:val="000000" w:themeColor="text1"/>
                <w:sz w:val="24"/>
                <w:highlight w:val="none"/>
                <w14:textFill>
                  <w14:solidFill>
                    <w14:schemeClr w14:val="tx1"/>
                  </w14:solidFill>
                </w14:textFill>
              </w:rPr>
              <w:t xml:space="preserve">（可视化工作流构建、报表工具、表单式建模）</w:t>
            </w:r>
            <w:r>
              <w:rPr>
                <w:rFonts w:ascii="宋体" w:hAnsi="宋体" w:cs="宋体"/>
                <w:color w:val="000000" w:themeColor="text1"/>
                <w:sz w:val="24"/>
                <w:highlight w:val="none"/>
                <w:lang w:bidi="ar"/>
                <w14:textFill>
                  <w14:solidFill>
                    <w14:schemeClr w14:val="tx1"/>
                  </w14:solidFill>
                </w14:textFill>
              </w:rPr>
              <w:t xml:space="preserve">。</w:t>
            </w:r>
            <w:r/>
          </w:p>
        </w:tc>
      </w:tr>
      <w:tr>
        <w:trPr>
          <w:trHeight w:val="1020"/>
        </w:trPr>
        <w:tc>
          <w:tcPr>
            <w:tcW w:w="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1</w:t>
            </w:r>
            <w:r/>
          </w:p>
        </w:tc>
        <w:tc>
          <w:tcPr>
            <w:tcW w:w="1282" w:type="dxa"/>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用户及流程管理</w:t>
            </w:r>
            <w:r/>
          </w:p>
        </w:tc>
        <w:tc>
          <w:tcPr>
            <w:tcW w:w="135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用户管理</w:t>
            </w:r>
            <w:r/>
          </w:p>
        </w:tc>
        <w:tc>
          <w:tcPr>
            <w:tcW w:w="5563"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包含</w:t>
            </w:r>
            <w:r>
              <w:rPr>
                <w:rFonts w:ascii="宋体" w:hAnsi="宋体" w:cs="宋体"/>
                <w:color w:val="000000" w:themeColor="text1"/>
                <w:sz w:val="24"/>
                <w:highlight w:val="none"/>
                <w:lang w:bidi="ar"/>
                <w14:textFill>
                  <w14:solidFill>
                    <w14:schemeClr w14:val="tx1"/>
                  </w14:solidFill>
                </w14:textFill>
              </w:rPr>
              <w:t xml:space="preserve">角色权限管理、组织结构管理</w:t>
            </w:r>
            <w:r>
              <w:rPr>
                <w:rFonts w:hint="eastAsia" w:ascii="宋体" w:hAnsi="宋体" w:cs="宋体"/>
                <w:color w:val="000000" w:themeColor="text1"/>
                <w:sz w:val="24"/>
                <w:highlight w:val="none"/>
                <w:lang w:bidi="ar"/>
                <w14:textFill>
                  <w14:solidFill>
                    <w14:schemeClr w14:val="tx1"/>
                  </w14:solidFill>
                </w14:textFill>
              </w:rPr>
              <w:t xml:space="preserve">等功能</w:t>
            </w:r>
            <w:r>
              <w:rPr>
                <w:rFonts w:ascii="宋体" w:hAnsi="宋体" w:cs="宋体"/>
                <w:color w:val="000000" w:themeColor="text1"/>
                <w:sz w:val="24"/>
                <w:highlight w:val="none"/>
                <w:lang w:bidi="ar"/>
                <w14:textFill>
                  <w14:solidFill>
                    <w14:schemeClr w14:val="tx1"/>
                  </w14:solidFill>
                </w14:textFill>
              </w:rPr>
              <w:t xml:space="preserve">。</w:t>
            </w:r>
            <w:r/>
          </w:p>
        </w:tc>
      </w:tr>
      <w:tr>
        <w:trPr>
          <w:trHeight w:val="1020"/>
        </w:trPr>
        <w:tc>
          <w:tcPr>
            <w:tcW w:w="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2</w:t>
            </w:r>
            <w:r/>
          </w:p>
        </w:tc>
        <w:tc>
          <w:tcPr>
            <w:tcW w:w="1282"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135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审核跟踪</w:t>
            </w:r>
            <w:r/>
          </w:p>
        </w:tc>
        <w:tc>
          <w:tcPr>
            <w:tcW w:w="5563"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支持系统中的数据审核跟踪，记录修改痕迹。</w:t>
            </w:r>
            <w:r/>
          </w:p>
        </w:tc>
      </w:tr>
      <w:tr>
        <w:trPr>
          <w:trHeight w:val="1020"/>
        </w:trPr>
        <w:tc>
          <w:tcPr>
            <w:tcW w:w="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3</w:t>
            </w:r>
            <w:r/>
          </w:p>
        </w:tc>
        <w:tc>
          <w:tcPr>
            <w:tcW w:w="1282"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135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系统日志</w:t>
            </w:r>
            <w:r/>
          </w:p>
        </w:tc>
        <w:tc>
          <w:tcPr>
            <w:tcW w:w="5563"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通过系统日志查看当前所有进入系统的人员登录的历史记录</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提供系统日志查询和导出功能。</w:t>
            </w:r>
            <w:r/>
          </w:p>
        </w:tc>
      </w:tr>
      <w:tr>
        <w:trPr>
          <w:trHeight w:val="1020"/>
        </w:trPr>
        <w:tc>
          <w:tcPr>
            <w:tcW w:w="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4</w:t>
            </w:r>
            <w:r/>
          </w:p>
        </w:tc>
        <w:tc>
          <w:tcPr>
            <w:tcW w:w="1282"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135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电子签名</w:t>
            </w:r>
            <w:r/>
          </w:p>
        </w:tc>
        <w:tc>
          <w:tcPr>
            <w:tcW w:w="5563"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支持用户添加电子签名。</w:t>
            </w:r>
            <w:r/>
          </w:p>
        </w:tc>
      </w:tr>
      <w:tr>
        <w:trPr>
          <w:trHeight w:val="1020"/>
        </w:trPr>
        <w:tc>
          <w:tcPr>
            <w:tcW w:w="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5</w:t>
            </w:r>
            <w:r/>
          </w:p>
        </w:tc>
        <w:tc>
          <w:tcPr>
            <w:tcW w:w="1282" w:type="dxa"/>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可视化技术</w:t>
            </w:r>
            <w:r/>
          </w:p>
        </w:tc>
        <w:tc>
          <w:tcPr>
            <w:tcW w:w="135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可视化工作流工具</w:t>
            </w:r>
            <w:r/>
          </w:p>
        </w:tc>
        <w:tc>
          <w:tcPr>
            <w:tcW w:w="5563"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设计可视化的工作流工具，实现工作流添加、审批、配置、变更、审核、导入和删除功能。</w:t>
            </w:r>
            <w:r/>
          </w:p>
        </w:tc>
      </w:tr>
      <w:tr>
        <w:trPr>
          <w:trHeight w:val="1020"/>
        </w:trPr>
        <w:tc>
          <w:tcPr>
            <w:tcW w:w="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6</w:t>
            </w:r>
            <w:r/>
          </w:p>
        </w:tc>
        <w:tc>
          <w:tcPr>
            <w:tcW w:w="1282"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135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报表工具</w:t>
            </w:r>
            <w:r/>
          </w:p>
        </w:tc>
        <w:tc>
          <w:tcPr>
            <w:tcW w:w="5563"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系统提供报表配置模块，设置访问权限。</w:t>
            </w:r>
            <w:r/>
          </w:p>
        </w:tc>
      </w:tr>
      <w:tr>
        <w:trPr>
          <w:trHeight w:val="1020"/>
        </w:trPr>
        <w:tc>
          <w:tcPr>
            <w:tcW w:w="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7</w:t>
            </w:r>
            <w:r/>
          </w:p>
        </w:tc>
        <w:tc>
          <w:tcPr>
            <w:tcW w:w="1282"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tc>
        <w:tc>
          <w:tcPr>
            <w:tcW w:w="135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表单式建模能力</w:t>
            </w:r>
            <w:r/>
          </w:p>
        </w:tc>
        <w:tc>
          <w:tcPr>
            <w:tcW w:w="5563"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开发可视化建模工具，使用户能够根据特定需求创建自定义组件或修改现有组件。</w:t>
            </w:r>
            <w:r/>
          </w:p>
        </w:tc>
      </w:tr>
    </w:tbl>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3.11 第三方平台对接</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w:t>
      </w:r>
      <w:r>
        <w:rPr>
          <w:rFonts w:ascii="宋体" w:hAnsi="宋体" w:eastAsia="Arial" w:cs="宋体"/>
          <w:color w:val="000000" w:themeColor="text1"/>
          <w:sz w:val="24"/>
          <w:szCs w:val="20"/>
          <w:highlight w:val="none"/>
          <w14:textFill>
            <w14:solidFill>
              <w14:schemeClr w14:val="tx1"/>
            </w14:solidFill>
          </w14:textFill>
        </w:rPr>
        <w:t xml:space="preserve">1</w:t>
      </w:r>
      <w:r>
        <w:rPr>
          <w:rFonts w:hint="eastAsia" w:ascii="宋体" w:hAnsi="宋体" w:cs="宋体"/>
          <w:color w:val="000000" w:themeColor="text1"/>
          <w:sz w:val="24"/>
          <w:szCs w:val="20"/>
          <w:highlight w:val="none"/>
          <w14:textFill>
            <w14:solidFill>
              <w14:schemeClr w14:val="tx1"/>
            </w14:solidFill>
          </w14:textFill>
        </w:rPr>
        <w:t xml:space="preserve">）与</w:t>
      </w:r>
      <w:r>
        <w:rPr>
          <w:rFonts w:ascii="宋体" w:hAnsi="宋体" w:eastAsia="Arial" w:cs="宋体"/>
          <w:color w:val="000000" w:themeColor="text1"/>
          <w:sz w:val="24"/>
          <w:szCs w:val="20"/>
          <w:highlight w:val="none"/>
          <w14:textFill>
            <w14:solidFill>
              <w14:schemeClr w14:val="tx1"/>
            </w14:solidFill>
          </w14:textFill>
        </w:rPr>
        <w:t xml:space="preserve">大语言大模型对接。集成大模型推理分析能力，构建以大模型为基础的智能服务体系，支撑具体问答推荐等场景。</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（2）与“盐城政务云”对接。基于“盐城政务云”资源及能力，开展平台建设与部署，实现政务云服务器等硬件设备、身份认证体系等能力的充分利用。</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（3）与园区能碳管理平台对接。与盐城市重点园区能碳管理平台对接，实现本平台对重点园区数据的集中管理、核对与分析。</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五、项目实施要求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1、做好需求确认工作。项目</w:t>
      </w:r>
      <w:r>
        <w:rPr>
          <w:rFonts w:hint="eastAsia" w:ascii="宋体" w:hAnsi="宋体" w:cs="宋体"/>
          <w:color w:val="000000" w:themeColor="text1"/>
          <w:sz w:val="24"/>
          <w:szCs w:val="20"/>
          <w:highlight w:val="none"/>
          <w14:textFill>
            <w14:solidFill>
              <w14:schemeClr w14:val="tx1"/>
            </w14:solidFill>
          </w14:textFill>
        </w:rPr>
        <w:t xml:space="preserve">成交人</w:t>
      </w:r>
      <w:r>
        <w:rPr>
          <w:rFonts w:hint="eastAsia" w:ascii="宋体" w:hAnsi="宋体" w:eastAsia="Arial" w:cs="宋体"/>
          <w:color w:val="000000" w:themeColor="text1"/>
          <w:sz w:val="24"/>
          <w:szCs w:val="20"/>
          <w:highlight w:val="none"/>
          <w14:textFill>
            <w14:solidFill>
              <w14:schemeClr w14:val="tx1"/>
            </w14:solidFill>
          </w14:textFill>
        </w:rPr>
        <w:t xml:space="preserve">在平台软件开发前，应当对功能建设的功能需求与采购人进行充分调研和沟通，做好需求分析及系统技术架构体系的设计等准备工作。因本项目软件为定制开发，要充分沟通确认需求。项目</w:t>
      </w:r>
      <w:r>
        <w:rPr>
          <w:rFonts w:hint="eastAsia" w:ascii="宋体" w:hAnsi="宋体" w:cs="宋体"/>
          <w:color w:val="000000" w:themeColor="text1"/>
          <w:sz w:val="24"/>
          <w:szCs w:val="20"/>
          <w:highlight w:val="none"/>
          <w14:textFill>
            <w14:solidFill>
              <w14:schemeClr w14:val="tx1"/>
            </w14:solidFill>
          </w14:textFill>
        </w:rPr>
        <w:t xml:space="preserve">成交人</w:t>
      </w:r>
      <w:r>
        <w:rPr>
          <w:rFonts w:hint="eastAsia" w:ascii="宋体" w:hAnsi="宋体" w:eastAsia="Arial" w:cs="宋体"/>
          <w:color w:val="000000" w:themeColor="text1"/>
          <w:sz w:val="24"/>
          <w:szCs w:val="20"/>
          <w:highlight w:val="none"/>
          <w14:textFill>
            <w14:solidFill>
              <w14:schemeClr w14:val="tx1"/>
            </w14:solidFill>
          </w14:textFill>
        </w:rPr>
        <w:t xml:space="preserve">在软件开发之前，必须与采购人进行深入具体的需求交流和讨论，充分理解采购人的需求，开发的具体功能项需要逐项确认。</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2、全面把控项目质量。</w:t>
      </w:r>
      <w:r>
        <w:rPr>
          <w:rFonts w:hint="eastAsia" w:ascii="宋体" w:hAnsi="宋体" w:cs="宋体"/>
          <w:color w:val="000000" w:themeColor="text1"/>
          <w:sz w:val="24"/>
          <w:szCs w:val="20"/>
          <w:highlight w:val="none"/>
          <w14:textFill>
            <w14:solidFill>
              <w14:schemeClr w14:val="tx1"/>
            </w14:solidFill>
          </w14:textFill>
        </w:rPr>
        <w:t xml:space="preserve">平台</w:t>
      </w:r>
      <w:r>
        <w:rPr>
          <w:rFonts w:hint="eastAsia" w:ascii="宋体" w:hAnsi="宋体" w:eastAsia="Arial" w:cs="宋体"/>
          <w:color w:val="000000" w:themeColor="text1"/>
          <w:sz w:val="24"/>
          <w:szCs w:val="20"/>
          <w:highlight w:val="none"/>
          <w14:textFill>
            <w14:solidFill>
              <w14:schemeClr w14:val="tx1"/>
            </w14:solidFill>
          </w14:textFill>
        </w:rPr>
        <w:t xml:space="preserve">开发按照系统</w:t>
      </w:r>
      <w:r>
        <w:rPr>
          <w:rFonts w:hint="eastAsia" w:ascii="宋体" w:hAnsi="宋体" w:cs="宋体"/>
          <w:color w:val="000000" w:themeColor="text1"/>
          <w:sz w:val="24"/>
          <w:szCs w:val="20"/>
          <w:highlight w:val="none"/>
          <w14:textFill>
            <w14:solidFill>
              <w14:schemeClr w14:val="tx1"/>
            </w14:solidFill>
          </w14:textFill>
        </w:rPr>
        <w:t xml:space="preserve">架构设计</w:t>
      </w:r>
      <w:r>
        <w:rPr>
          <w:rFonts w:hint="eastAsia" w:ascii="宋体" w:hAnsi="宋体" w:eastAsia="Arial" w:cs="宋体"/>
          <w:color w:val="000000" w:themeColor="text1"/>
          <w:sz w:val="24"/>
          <w:szCs w:val="20"/>
          <w:highlight w:val="none"/>
          <w14:textFill>
            <w14:solidFill>
              <w14:schemeClr w14:val="tx1"/>
            </w14:solidFill>
          </w14:textFill>
        </w:rPr>
        <w:t xml:space="preserve">、编码、测试试运行、交付等阶段推进。若本</w:t>
      </w:r>
      <w:r>
        <w:rPr>
          <w:rFonts w:hint="eastAsia" w:ascii="宋体" w:hAnsi="宋体" w:cs="宋体"/>
          <w:color w:val="000000" w:themeColor="text1"/>
          <w:sz w:val="24"/>
          <w:szCs w:val="20"/>
          <w:highlight w:val="none"/>
          <w14:textFill>
            <w14:solidFill>
              <w14:schemeClr w14:val="tx1"/>
            </w14:solidFill>
          </w14:textFill>
        </w:rPr>
        <w:t xml:space="preserve">采购</w:t>
      </w:r>
      <w:r>
        <w:rPr>
          <w:rFonts w:hint="eastAsia" w:ascii="宋体" w:hAnsi="宋体" w:eastAsia="Arial" w:cs="宋体"/>
          <w:color w:val="000000" w:themeColor="text1"/>
          <w:sz w:val="24"/>
          <w:szCs w:val="20"/>
          <w:highlight w:val="none"/>
          <w14:textFill>
            <w14:solidFill>
              <w14:schemeClr w14:val="tx1"/>
            </w14:solidFill>
          </w14:textFill>
        </w:rPr>
        <w:t xml:space="preserve">文件中提出的技术要求中存在不合理或不完整的问题时，</w:t>
      </w:r>
      <w:r>
        <w:rPr>
          <w:rFonts w:hint="eastAsia" w:ascii="宋体" w:hAnsi="宋体" w:cs="宋体"/>
          <w:color w:val="000000" w:themeColor="text1"/>
          <w:sz w:val="24"/>
          <w:szCs w:val="20"/>
          <w:highlight w:val="none"/>
          <w14:textFill>
            <w14:solidFill>
              <w14:schemeClr w14:val="tx1"/>
            </w14:solidFill>
          </w14:textFill>
        </w:rPr>
        <w:t xml:space="preserve">成交</w:t>
      </w:r>
      <w:r>
        <w:rPr>
          <w:rFonts w:hint="eastAsia" w:ascii="宋体" w:hAnsi="宋体" w:eastAsia="Arial" w:cs="宋体"/>
          <w:color w:val="000000" w:themeColor="text1"/>
          <w:sz w:val="24"/>
          <w:szCs w:val="20"/>
          <w:highlight w:val="none"/>
          <w14:textFill>
            <w14:solidFill>
              <w14:schemeClr w14:val="tx1"/>
            </w14:solidFill>
          </w14:textFill>
        </w:rPr>
        <w:t xml:space="preserve">人有责任和义务提出补充修改方案，在征得采购人同意后方可实施。同时，做好系统部署联调、培训以及其他配合工作。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3、配合项目验收、审计及其他需开展的工作。按照招标要求及合同要求，整理项目实施资料、进行功能演示等，</w:t>
      </w:r>
      <w:r>
        <w:rPr>
          <w:rFonts w:hint="eastAsia" w:ascii="宋体" w:hAnsi="宋体" w:cs="宋体"/>
          <w:color w:val="000000" w:themeColor="text1"/>
          <w:sz w:val="24"/>
          <w:szCs w:val="20"/>
          <w:highlight w:val="none"/>
          <w14:textFill>
            <w14:solidFill>
              <w14:schemeClr w14:val="tx1"/>
            </w14:solidFill>
          </w14:textFill>
        </w:rPr>
        <w:t xml:space="preserve">提交</w:t>
      </w:r>
      <w:r>
        <w:rPr>
          <w:rFonts w:hint="eastAsia" w:ascii="宋体" w:hAnsi="宋体" w:eastAsia="Arial" w:cs="宋体"/>
          <w:color w:val="000000" w:themeColor="text1"/>
          <w:sz w:val="24"/>
          <w:szCs w:val="20"/>
          <w:highlight w:val="none"/>
          <w14:textFill>
            <w14:solidFill>
              <w14:schemeClr w14:val="tx1"/>
            </w14:solidFill>
          </w14:textFill>
        </w:rPr>
        <w:t xml:space="preserve">建设方组织项目验收和项目审计工作。项目验收包括初验、终验等环节。验收应符合政府采购法、合同法及相关政策规范标准。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六、其他要求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1、免费维保期：3年。</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2、成交人应当提供技术支持和维修服务，技术支持的方式包括：电话技术服务、现场技术服务、定期巡查服务、技术升级服务等。</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3、成交人要求提供 7×24 小时被动故障响应服务，同时制定详细的售后维保方案，根据故障级别，确定具体的故障响应时间，响应方式。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4、本次招标项目中，涉及的系统对接协调工作和接口使用产生的关联费用均由成交人承担。</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5、投标人中标后，平台功能调整的工作量不超过平台总开发工作量的10%，不另行增加费用。</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6、在项目履行过程中所形成的所有相关成果归采购人所有，采购人是该成果的著作权、专利申请权、专利权、技术秘密及其他知识产权的所有人；在项目完成以后，涉及与项目定制开发有关的技术成果及知识产权归采购人所有，成交人应向采购人提供该项目所有技术成果、建设实施文档、软件源代码和过程数据等。</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8、本项目在开发、免费运维期间产生的所有费用均由中标方承担。</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9、中标方提供的产品应满足国产化相关要求。</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11、安全管理要求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网络与数据安全及保密要求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1、在项目实施过程中，严格遵守保密安全要求，至少包含以下内容：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（1）明确信息化合作事项的安全保密责任人；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（2）对信息化合作单位人员提出与合作事项有关的安全保密要求；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（3）在得知提供的产品、服务存在安全漏洞或者危害信息系统安全的潜在风险时，应及时启动应急预案，积极妥善解决；</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（4）其他应当遵守的安全保密要求。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2、在项目实施过程中，严格遵守数据安全要求，至少包含以下内容：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（1）信息化合作单位人员不得违规下载、留存、使用内部数据；</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（2）信息化合作单位人员不得篡改、毁损、泄露、出售内部数据；</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（3）信息化合作单位人员不得向境外机构和人员提供重要数据；</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（4）信息化合作单位人员不得在互联网上存储、处理、传输内部数据和应用系统源代码；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（5）信息化合作单位人员不得使用未经过脱敏的敏感数据在互联网上进行开发；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（6）信息化合作单位人员不得将数据用于商业用途；</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（7）信息化合作单位人员不得不得进行其他危害数据安全的行为。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3、在项目实施过程中，严格遵守网络应用安全要求，至少包含以下内容：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（1）信息化合作单位人员不得违规将网络与任何外部网络连接；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（2）信息化合作单位人员不得擅自扫描、探测、入侵网络及应用系统；</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（3）信息化合作单位人员不得设置应用系统后门、木马、病毒等恶意程序；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（4）信息化合作单位人员不得擅自将参与单位及参与人员的终端、移动存储介质、无线设备等与政务网络连接；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（5）信息化合作单位人员不得擅自建立跨网、跨域数据传输或者运维通道；</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（6）信息化合作单位人员不得拆除、破坏监管设施或者卸载监管程序；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（7）信息化合作单位人员不得擅自对应用源文件、应用源代码进行反编译、加密、解密；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（8）信息化合作单位人员不得擅自公开与合作事项相关的技术实现方法或者业务模型等重要信息；</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（9）信息化合作单位人员不得进行其他危害网络和应用安全的行为。</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七、技术方案</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投标人应根据项目建设目标和建设内容提供详细的技术方案，包括需求分析、总体设计方案、项目实施方案、碳达峰碳中和服务门户子系统技术方案、</w:t>
      </w:r>
      <w:r>
        <w:rPr>
          <w:rFonts w:ascii="宋体" w:hAnsi="宋体" w:cs="宋体"/>
          <w:bCs/>
          <w:color w:val="000000" w:themeColor="text1"/>
          <w:sz w:val="24"/>
          <w:highlight w:val="none"/>
          <w14:textFill>
            <w14:solidFill>
              <w14:schemeClr w14:val="tx1"/>
            </w14:solidFill>
          </w14:textFill>
        </w:rPr>
        <w:t xml:space="preserve">碳达峰碳中和数据采集子系统技术方案、碳达峰碳中和核算分析子系统技术方案、碳达峰碳中和配置子系统技术方案</w:t>
      </w:r>
      <w:r>
        <w:rPr>
          <w:rFonts w:hint="eastAsia" w:ascii="宋体" w:hAnsi="宋体" w:cs="宋体"/>
          <w:bCs/>
          <w:color w:val="000000" w:themeColor="text1"/>
          <w:sz w:val="24"/>
          <w:highlight w:val="none"/>
          <w14:textFill>
            <w14:solidFill>
              <w14:schemeClr w14:val="tx1"/>
            </w14:solidFill>
          </w14:textFill>
        </w:rPr>
        <w:t xml:space="preserve">、安全保密管理方案、售后服务方案等，方案应全面准确，条理清晰。</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1、需求分析</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投标人需结合采购文件对项目建设需求进行分析，内容包括业务需求分析和技术需求分析。</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业务需求分析：充分考虑国家、江苏省碳达峰碳中和相关政策文件精神和工作部署，以及“一部门一系统”和数据开放共享相关要求，对建设盐城市碳达峰碳中和数据监测分析管理系统的背景、目标、业务功能、业务数据等方面进行理解与分析。</w:t>
      </w:r>
      <w:r/>
    </w:p>
    <w:p>
      <w:pPr>
        <w:ind w:firstLine="480"/>
        <w:spacing w:line="460" w:lineRule="exact"/>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（2）系统功能、性能和网络安全需求分析：重点阐述系统功能、性能、系统安全等方面的需求。</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2、总体设计方案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投标人应在第四章采购需求内容上深化总体设计方案，方案至少包含以下内容：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①建设思路：投标人需结合盐城市碳达峰碳中和工作现状及盐城市数字化基础设施整体布局，明确本项目的建设目标、建设范围、建设步骤及与现有系统的衔接关系，提出切实可行的建设实施思路。</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②总体原则：深度贴合盐城双碳监管、政务服务、数字化治理实际应用场景，立足实际提出平台建设总体原则，从统筹规划、安全可控、业务协同、智能高效等方面，结合项目目标充分阐述平台开发建设与实际用等方面需要遵循的原则。</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③总体框架：投标人需遵循盐城政务信息化集约建设要求，依托现有政务云、</w:t>
      </w:r>
      <w:r>
        <w:rPr>
          <w:rFonts w:hint="eastAsia" w:ascii="宋体" w:hAnsi="宋体" w:eastAsia="Arial" w:cs="宋体"/>
          <w:color w:val="000000" w:themeColor="text1"/>
          <w:sz w:val="24"/>
          <w:szCs w:val="20"/>
          <w:highlight w:val="none"/>
          <w14:textFill>
            <w14:solidFill>
              <w14:schemeClr w14:val="tx1"/>
            </w14:solidFill>
          </w14:textFill>
        </w:rPr>
        <w:t xml:space="preserve">智算中心、政务网络基础设施等，提出平台建设总体技术架构，内容包含总体架构、数据架构、安全架构、网络架构等相关内容。总体架构技术方案需要阐明用户使用层、核心应用层、服务支撑层、数据中台层逻辑关系。数据架构技术方案提供满足多类型数据采集需求，适配多终端交互场景的数据分层的合理规划和规范存储，明确各分层组成及作用。安全架构技术方案需要提供安全运维体系、安全技术体系、安全管理体系等技术方案。网络架构设计需充分结合项目建设各用户需求以及项目各个子系统具体功能应用，设计该项目的网络结构，确保网络设计合理规范、安全高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④技术路线设计：明确数据层、支撑层、应用层、交互层采用的技术路线设计，要采用先进成熟的技术设计，满足系统各种应用的需求，兼顾盐城政务云等其他相关管理需求。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⑤部署方式：明确系统的总体部署架构、部署环境要求、安全部署要求及运维部署方案，需与盐城政务云、智算中心基础设施充分融合，提出科学合理的部署方式。</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3、系统功能设计方案</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（1）碳达峰碳中和服务门户子系统设计方案</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投标人提供科学合理的碳达峰碳中和服务门户子系统方案，方案需要完全覆盖以下主要内容：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一是双碳技术服务方案主要包括</w:t>
      </w:r>
      <w:r>
        <w:rPr>
          <w:rFonts w:ascii="宋体" w:hAnsi="宋体" w:cs="宋体"/>
          <w:color w:val="000000" w:themeColor="text1"/>
          <w:sz w:val="24"/>
          <w:szCs w:val="20"/>
          <w:highlight w:val="none"/>
          <w14:textFill>
            <w14:solidFill>
              <w14:schemeClr w14:val="tx1"/>
            </w14:solidFill>
          </w14:textFill>
        </w:rPr>
        <w:t xml:space="preserve">双碳资讯服务</w:t>
      </w:r>
      <w:r>
        <w:rPr>
          <w:rFonts w:hint="eastAsia" w:ascii="宋体" w:hAnsi="宋体" w:cs="宋体"/>
          <w:color w:val="000000" w:themeColor="text1"/>
          <w:sz w:val="24"/>
          <w:szCs w:val="20"/>
          <w:highlight w:val="none"/>
          <w14:textFill>
            <w14:solidFill>
              <w14:schemeClr w14:val="tx1"/>
            </w14:solidFill>
          </w14:textFill>
        </w:rPr>
        <w:t xml:space="preserve">、数据信息公开、</w:t>
      </w:r>
      <w:r>
        <w:rPr>
          <w:rFonts w:ascii="宋体" w:hAnsi="宋体" w:cs="宋体"/>
          <w:color w:val="000000" w:themeColor="text1"/>
          <w:sz w:val="24"/>
          <w:szCs w:val="20"/>
          <w:highlight w:val="none"/>
          <w14:textFill>
            <w14:solidFill>
              <w14:schemeClr w14:val="tx1"/>
            </w14:solidFill>
          </w14:textFill>
        </w:rPr>
        <w:t xml:space="preserve">双碳公共服务</w:t>
      </w:r>
      <w:r>
        <w:rPr>
          <w:rFonts w:hint="eastAsia" w:ascii="宋体" w:hAnsi="宋体" w:cs="宋体"/>
          <w:color w:val="000000" w:themeColor="text1"/>
          <w:sz w:val="24"/>
          <w:szCs w:val="20"/>
          <w:highlight w:val="none"/>
          <w14:textFill>
            <w14:solidFill>
              <w14:schemeClr w14:val="tx1"/>
            </w14:solidFill>
          </w14:textFill>
        </w:rPr>
        <w:t xml:space="preserve">窗口</w:t>
      </w:r>
      <w:r>
        <w:rPr>
          <w:rFonts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碳排放第三方认证、AI+碳服务门户等模块具体方案。</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二是门户衔接技术方案主要包括</w:t>
      </w:r>
      <w:r>
        <w:rPr>
          <w:rFonts w:ascii="宋体" w:hAnsi="宋体" w:cs="宋体"/>
          <w:color w:val="000000" w:themeColor="text1"/>
          <w:sz w:val="24"/>
          <w:szCs w:val="20"/>
          <w:highlight w:val="none"/>
          <w14:textFill>
            <w14:solidFill>
              <w14:schemeClr w14:val="tx1"/>
            </w14:solidFill>
          </w14:textFill>
        </w:rPr>
        <w:t xml:space="preserve">市级碳排放及碳预算衔接管理入口、区（县）级碳排放及碳预算衔接管理入口等模块</w:t>
      </w:r>
      <w:r>
        <w:rPr>
          <w:rFonts w:hint="eastAsia" w:ascii="宋体" w:hAnsi="宋体" w:cs="宋体"/>
          <w:color w:val="000000" w:themeColor="text1"/>
          <w:sz w:val="24"/>
          <w:szCs w:val="20"/>
          <w:highlight w:val="none"/>
          <w14:textFill>
            <w14:solidFill>
              <w14:schemeClr w14:val="tx1"/>
            </w14:solidFill>
          </w14:textFill>
        </w:rPr>
        <w:t xml:space="preserve">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w:t>
      </w:r>
      <w:r>
        <w:rPr>
          <w:rFonts w:ascii="宋体" w:hAnsi="宋体" w:cs="宋体" w:eastAsiaTheme="minorEastAsia"/>
          <w:color w:val="000000" w:themeColor="text1"/>
          <w:sz w:val="24"/>
          <w:szCs w:val="20"/>
          <w:highlight w:val="none"/>
          <w14:textFill>
            <w14:solidFill>
              <w14:schemeClr w14:val="tx1"/>
            </w14:solidFill>
          </w14:textFill>
        </w:rPr>
        <w:t xml:space="preserve">碳达峰碳中和数据采集子系统</w:t>
      </w:r>
      <w:r>
        <w:rPr>
          <w:rFonts w:hint="eastAsia" w:ascii="宋体" w:hAnsi="宋体" w:cs="宋体" w:eastAsiaTheme="minorEastAsia"/>
          <w:color w:val="000000" w:themeColor="text1"/>
          <w:sz w:val="24"/>
          <w:szCs w:val="20"/>
          <w:highlight w:val="none"/>
          <w14:textFill>
            <w14:solidFill>
              <w14:schemeClr w14:val="tx1"/>
            </w14:solidFill>
          </w14:textFill>
        </w:rPr>
        <w:t xml:space="preserve">设计方案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投标人提供科学合理的</w:t>
      </w:r>
      <w:r>
        <w:rPr>
          <w:rFonts w:ascii="宋体" w:hAnsi="宋体" w:cs="宋体" w:eastAsiaTheme="minorEastAsia"/>
          <w:color w:val="000000" w:themeColor="text1"/>
          <w:sz w:val="24"/>
          <w:szCs w:val="20"/>
          <w:highlight w:val="none"/>
          <w14:textFill>
            <w14:solidFill>
              <w14:schemeClr w14:val="tx1"/>
            </w14:solidFill>
          </w14:textFill>
        </w:rPr>
        <w:t xml:space="preserve">碳达峰碳中和数据采集子系统</w:t>
      </w:r>
      <w:r>
        <w:rPr>
          <w:rFonts w:hint="eastAsia" w:ascii="宋体" w:hAnsi="宋体" w:cs="宋体" w:eastAsiaTheme="minorEastAsia"/>
          <w:color w:val="000000" w:themeColor="text1"/>
          <w:sz w:val="24"/>
          <w:szCs w:val="20"/>
          <w:highlight w:val="none"/>
          <w14:textFill>
            <w14:solidFill>
              <w14:schemeClr w14:val="tx1"/>
            </w14:solidFill>
          </w14:textFill>
        </w:rPr>
        <w:t xml:space="preserve">方案，方案需要完全覆盖以下主要内容：</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一是数据库服务建设方案，主要包括</w:t>
      </w:r>
      <w:r>
        <w:rPr>
          <w:rFonts w:ascii="宋体" w:hAnsi="宋体" w:cs="宋体" w:eastAsiaTheme="minorEastAsia"/>
          <w:color w:val="000000" w:themeColor="text1"/>
          <w:sz w:val="24"/>
          <w:szCs w:val="20"/>
          <w:highlight w:val="none"/>
          <w14:textFill>
            <w14:solidFill>
              <w14:schemeClr w14:val="tx1"/>
            </w14:solidFill>
          </w14:textFill>
        </w:rPr>
        <w:t xml:space="preserve">数据库数据规范管理、公共基础数据库建设、企业实景数据库建设、第三方背景数据库建设</w:t>
      </w:r>
      <w:r>
        <w:rPr>
          <w:rFonts w:hint="eastAsia" w:ascii="宋体" w:hAnsi="宋体" w:cs="宋体" w:eastAsiaTheme="minorEastAsia"/>
          <w:color w:val="000000" w:themeColor="text1"/>
          <w:sz w:val="24"/>
          <w:szCs w:val="20"/>
          <w:highlight w:val="none"/>
          <w14:textFill>
            <w14:solidFill>
              <w14:schemeClr w14:val="tx1"/>
            </w14:solidFill>
          </w14:textFill>
        </w:rPr>
        <w:t xml:space="preserve">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二是数据资源体系建设方案，主要包括</w:t>
      </w:r>
      <w:r>
        <w:rPr>
          <w:rFonts w:ascii="宋体" w:hAnsi="宋体" w:cs="宋体" w:eastAsiaTheme="minorEastAsia"/>
          <w:color w:val="000000" w:themeColor="text1"/>
          <w:sz w:val="24"/>
          <w:szCs w:val="20"/>
          <w:highlight w:val="none"/>
          <w14:textFill>
            <w14:solidFill>
              <w14:schemeClr w14:val="tx1"/>
            </w14:solidFill>
          </w14:textFill>
        </w:rPr>
        <w:t xml:space="preserve">数据库数据质量服务、数据资产服务、数据共享服务建设</w:t>
      </w:r>
      <w:r>
        <w:rPr>
          <w:rFonts w:hint="eastAsia" w:ascii="宋体" w:hAnsi="宋体" w:cs="宋体" w:eastAsiaTheme="minorEastAsia"/>
          <w:color w:val="000000" w:themeColor="text1"/>
          <w:sz w:val="24"/>
          <w:szCs w:val="20"/>
          <w:highlight w:val="none"/>
          <w14:textFill>
            <w14:solidFill>
              <w14:schemeClr w14:val="tx1"/>
            </w14:solidFill>
          </w14:textFill>
        </w:rPr>
        <w:t xml:space="preserve">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w:t>
      </w:r>
      <w:r>
        <w:rPr>
          <w:rFonts w:ascii="宋体" w:hAnsi="宋体" w:cs="宋体" w:eastAsiaTheme="minorEastAsia"/>
          <w:color w:val="000000" w:themeColor="text1"/>
          <w:sz w:val="24"/>
          <w:szCs w:val="20"/>
          <w:highlight w:val="none"/>
          <w14:textFill>
            <w14:solidFill>
              <w14:schemeClr w14:val="tx1"/>
            </w14:solidFill>
          </w14:textFill>
        </w:rPr>
        <w:t xml:space="preserve">碳达峰碳中和</w:t>
      </w:r>
      <w:r>
        <w:rPr>
          <w:rFonts w:hint="eastAsia" w:ascii="宋体" w:hAnsi="宋体" w:cs="宋体" w:eastAsiaTheme="minorEastAsia"/>
          <w:color w:val="000000" w:themeColor="text1"/>
          <w:sz w:val="24"/>
          <w:szCs w:val="20"/>
          <w:highlight w:val="none"/>
          <w14:textFill>
            <w14:solidFill>
              <w14:schemeClr w14:val="tx1"/>
            </w14:solidFill>
          </w14:textFill>
        </w:rPr>
        <w:t xml:space="preserve">核算分析子系统设计方案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投标人提供科学合理的</w:t>
      </w:r>
      <w:r>
        <w:rPr>
          <w:rFonts w:ascii="宋体" w:hAnsi="宋体" w:cs="宋体" w:eastAsiaTheme="minorEastAsia"/>
          <w:color w:val="000000" w:themeColor="text1"/>
          <w:sz w:val="24"/>
          <w:szCs w:val="20"/>
          <w:highlight w:val="none"/>
          <w14:textFill>
            <w14:solidFill>
              <w14:schemeClr w14:val="tx1"/>
            </w14:solidFill>
          </w14:textFill>
        </w:rPr>
        <w:t xml:space="preserve">碳达峰碳中和</w:t>
      </w:r>
      <w:r>
        <w:rPr>
          <w:rFonts w:hint="eastAsia" w:ascii="宋体" w:hAnsi="宋体" w:cs="宋体" w:eastAsiaTheme="minorEastAsia"/>
          <w:color w:val="000000" w:themeColor="text1"/>
          <w:sz w:val="24"/>
          <w:szCs w:val="20"/>
          <w:highlight w:val="none"/>
          <w14:textFill>
            <w14:solidFill>
              <w14:schemeClr w14:val="tx1"/>
            </w14:solidFill>
          </w14:textFill>
        </w:rPr>
        <w:t xml:space="preserve">核算分析子系统方案，方案需要完全覆盖以下主要内容：</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一是</w:t>
      </w:r>
      <w:r>
        <w:rPr>
          <w:rFonts w:ascii="宋体" w:hAnsi="宋体" w:cs="宋体" w:eastAsiaTheme="minorEastAsia"/>
          <w:color w:val="000000" w:themeColor="text1"/>
          <w:sz w:val="24"/>
          <w:szCs w:val="20"/>
          <w:highlight w:val="none"/>
          <w14:textFill>
            <w14:solidFill>
              <w14:schemeClr w14:val="tx1"/>
            </w14:solidFill>
          </w14:textFill>
        </w:rPr>
        <w:t xml:space="preserve">市本级碳排放管理</w:t>
      </w:r>
      <w:r>
        <w:rPr>
          <w:rFonts w:hint="eastAsia" w:ascii="宋体" w:hAnsi="宋体" w:cs="宋体" w:eastAsiaTheme="minorEastAsia"/>
          <w:color w:val="000000" w:themeColor="text1"/>
          <w:sz w:val="24"/>
          <w:szCs w:val="20"/>
          <w:highlight w:val="none"/>
          <w14:textFill>
            <w14:solidFill>
              <w14:schemeClr w14:val="tx1"/>
            </w14:solidFill>
          </w14:textFill>
        </w:rPr>
        <w:t xml:space="preserve">方案，主要包括全域能碳全景监测、五级核算统筹管理、碳达峰目标管理、政策模拟与决策支持、考核评价与监督管理、碳达峰推演、市级碳预测等模块具体方案。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二是</w:t>
      </w:r>
      <w:r>
        <w:rPr>
          <w:rFonts w:ascii="宋体" w:hAnsi="宋体" w:cs="宋体" w:eastAsiaTheme="minorEastAsia"/>
          <w:color w:val="000000" w:themeColor="text1"/>
          <w:sz w:val="24"/>
          <w:szCs w:val="20"/>
          <w:highlight w:val="none"/>
          <w14:textFill>
            <w14:solidFill>
              <w14:schemeClr w14:val="tx1"/>
            </w14:solidFill>
          </w14:textFill>
        </w:rPr>
        <w:t xml:space="preserve">县级碳排放管理</w:t>
      </w:r>
      <w:r>
        <w:rPr>
          <w:rFonts w:hint="eastAsia" w:ascii="宋体" w:hAnsi="宋体" w:cs="宋体" w:eastAsiaTheme="minorEastAsia"/>
          <w:color w:val="000000" w:themeColor="text1"/>
          <w:sz w:val="24"/>
          <w:szCs w:val="20"/>
          <w:highlight w:val="none"/>
          <w14:textFill>
            <w14:solidFill>
              <w14:schemeClr w14:val="tx1"/>
            </w14:solidFill>
          </w14:textFill>
        </w:rPr>
        <w:t xml:space="preserve">方案，主要包括县级能碳检测看板、县级核算执行管理、目标任务分解与推进、重点企业与园区管理等模块具体方案。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三是</w:t>
      </w:r>
      <w:r>
        <w:rPr>
          <w:rFonts w:ascii="宋体" w:hAnsi="宋体" w:cs="宋体" w:eastAsiaTheme="minorEastAsia"/>
          <w:color w:val="000000" w:themeColor="text1"/>
          <w:sz w:val="24"/>
          <w:szCs w:val="20"/>
          <w:highlight w:val="none"/>
          <w14:textFill>
            <w14:solidFill>
              <w14:schemeClr w14:val="tx1"/>
            </w14:solidFill>
          </w14:textFill>
        </w:rPr>
        <w:t xml:space="preserve">行业碳排放管理</w:t>
      </w:r>
      <w:r>
        <w:rPr>
          <w:rFonts w:hint="eastAsia" w:ascii="宋体" w:hAnsi="宋体" w:cs="宋体" w:eastAsiaTheme="minorEastAsia"/>
          <w:color w:val="000000" w:themeColor="text1"/>
          <w:sz w:val="24"/>
          <w:szCs w:val="20"/>
          <w:highlight w:val="none"/>
          <w14:textFill>
            <w14:solidFill>
              <w14:schemeClr w14:val="tx1"/>
            </w14:solidFill>
          </w14:textFill>
        </w:rPr>
        <w:t xml:space="preserve">方案，主要包括行业全景监测、行业专项核算、行业标杆与对标管理、行业减排任务推进、行业监督与考核等模块具体方案。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四是</w:t>
      </w:r>
      <w:r>
        <w:rPr>
          <w:rFonts w:ascii="宋体" w:hAnsi="宋体" w:cs="宋体" w:eastAsiaTheme="minorEastAsia"/>
          <w:color w:val="000000" w:themeColor="text1"/>
          <w:sz w:val="24"/>
          <w:szCs w:val="20"/>
          <w:highlight w:val="none"/>
          <w14:textFill>
            <w14:solidFill>
              <w14:schemeClr w14:val="tx1"/>
            </w14:solidFill>
          </w14:textFill>
        </w:rPr>
        <w:t xml:space="preserve">零碳园区能碳</w:t>
      </w:r>
      <w:r>
        <w:rPr>
          <w:rFonts w:hint="eastAsia" w:ascii="宋体" w:hAnsi="宋体" w:cs="宋体" w:eastAsiaTheme="minorEastAsia"/>
          <w:color w:val="000000" w:themeColor="text1"/>
          <w:sz w:val="24"/>
          <w:szCs w:val="20"/>
          <w:highlight w:val="none"/>
          <w14:textFill>
            <w14:solidFill>
              <w14:schemeClr w14:val="tx1"/>
            </w14:solidFill>
          </w14:textFill>
        </w:rPr>
        <w:t xml:space="preserve">管理方案，主要包括园区能碳全景监测、园区精准核算、零碳创建与评价管理等模块具体方案。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五是重点企业能碳管理方案，主要包括企业数据采集与管理、企业自主核算、对标分析与减排规划、生产环节精细化管理、碳数据上报管理、合规自查等模块具体方案。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六是</w:t>
      </w:r>
      <w:r>
        <w:rPr>
          <w:rFonts w:ascii="宋体" w:hAnsi="宋体" w:cs="宋体" w:eastAsiaTheme="minorEastAsia"/>
          <w:color w:val="000000" w:themeColor="text1"/>
          <w:sz w:val="24"/>
          <w:szCs w:val="20"/>
          <w:highlight w:val="none"/>
          <w14:textFill>
            <w14:solidFill>
              <w14:schemeClr w14:val="tx1"/>
            </w14:solidFill>
          </w14:textFill>
        </w:rPr>
        <w:t xml:space="preserve">电碳因子管理</w:t>
      </w:r>
      <w:r>
        <w:rPr>
          <w:rFonts w:hint="eastAsia" w:ascii="宋体" w:hAnsi="宋体" w:cs="宋体" w:eastAsiaTheme="minorEastAsia"/>
          <w:color w:val="000000" w:themeColor="text1"/>
          <w:sz w:val="24"/>
          <w:szCs w:val="20"/>
          <w:highlight w:val="none"/>
          <w14:textFill>
            <w14:solidFill>
              <w14:schemeClr w14:val="tx1"/>
            </w14:solidFill>
          </w14:textFill>
        </w:rPr>
        <w:t xml:space="preserve">方案，主要包括数据对接、电力供需统计分析、市、区县电碳因子测算、零碳园区电碳因子分析、系统核算规则管理等模块具体方案。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七是</w:t>
      </w:r>
      <w:r>
        <w:rPr>
          <w:rFonts w:ascii="宋体" w:hAnsi="宋体" w:cs="宋体" w:eastAsiaTheme="minorEastAsia"/>
          <w:color w:val="000000" w:themeColor="text1"/>
          <w:sz w:val="24"/>
          <w:szCs w:val="20"/>
          <w:highlight w:val="none"/>
          <w14:textFill>
            <w14:solidFill>
              <w14:schemeClr w14:val="tx1"/>
            </w14:solidFill>
          </w14:textFill>
        </w:rPr>
        <w:t xml:space="preserve">AI+碳核算服务</w:t>
      </w:r>
      <w:r>
        <w:rPr>
          <w:rFonts w:hint="eastAsia" w:ascii="宋体" w:hAnsi="宋体" w:cs="宋体" w:eastAsiaTheme="minorEastAsia"/>
          <w:color w:val="000000" w:themeColor="text1"/>
          <w:sz w:val="24"/>
          <w:szCs w:val="20"/>
          <w:highlight w:val="none"/>
          <w14:textFill>
            <w14:solidFill>
              <w14:schemeClr w14:val="tx1"/>
            </w14:solidFill>
          </w14:textFill>
        </w:rPr>
        <w:t xml:space="preserve">方案，主要包括AI智能碳排放核算、AI碳达峰情景推演与预测、AI企业碳画像与节能诊断、AI零碳园区智能评价、数据大屏服务等模块具体方案。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为了充分增强平台适应地方碳考核、行业碳管控、企业碳管理、项目碳评价、产品碳足迹管理能力，投标人在提供平台技术方案的基础上需要重点针对</w:t>
      </w:r>
      <w:r>
        <w:rPr>
          <w:rFonts w:hint="eastAsia" w:ascii="宋体" w:hAnsi="宋体" w:cs="宋体"/>
          <w:color w:val="000000" w:themeColor="text1"/>
          <w:sz w:val="24"/>
          <w:szCs w:val="20"/>
          <w:highlight w:val="none"/>
          <w14:textFill>
            <w14:solidFill>
              <w14:schemeClr w14:val="tx1"/>
            </w14:solidFill>
          </w14:textFill>
        </w:rPr>
        <w:t xml:space="preserve">适用于城市、区县和园区的混合优化碳排放测算模型，绿色电力溯源分析模型，分时分区电碳因子计算模型，行业碳排放核算模型，碳排放核算数据全流程认证方案</w:t>
      </w:r>
      <w:r>
        <w:rPr>
          <w:rFonts w:hint="eastAsia" w:ascii="宋体" w:hAnsi="宋体" w:cs="宋体" w:eastAsiaTheme="minorEastAsia"/>
          <w:color w:val="000000" w:themeColor="text1"/>
          <w:sz w:val="24"/>
          <w:szCs w:val="20"/>
          <w:highlight w:val="none"/>
          <w14:textFill>
            <w14:solidFill>
              <w14:schemeClr w14:val="tx1"/>
            </w14:solidFill>
          </w14:textFill>
        </w:rPr>
        <w:t xml:space="preserve">进行设计。</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（4）碳达峰碳中和配置子系统设计方案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投标人提供科学合理的</w:t>
      </w:r>
      <w:r>
        <w:rPr>
          <w:rFonts w:hint="eastAsia" w:ascii="宋体" w:hAnsi="宋体" w:cs="宋体" w:eastAsiaTheme="minorEastAsia"/>
          <w:color w:val="000000" w:themeColor="text1"/>
          <w:sz w:val="24"/>
          <w:szCs w:val="20"/>
          <w:highlight w:val="none"/>
          <w14:textFill>
            <w14:solidFill>
              <w14:schemeClr w14:val="tx1"/>
            </w14:solidFill>
          </w14:textFill>
        </w:rPr>
        <w:t xml:space="preserve">碳达峰碳中和配置子系统方案，方案需要完全覆盖以下主要内容：</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一是</w:t>
      </w:r>
      <w:r>
        <w:rPr>
          <w:rFonts w:ascii="宋体" w:hAnsi="宋体" w:cs="宋体" w:eastAsiaTheme="minorEastAsia"/>
          <w:color w:val="000000" w:themeColor="text1"/>
          <w:sz w:val="24"/>
          <w:szCs w:val="20"/>
          <w:highlight w:val="none"/>
          <w14:textFill>
            <w14:solidFill>
              <w14:schemeClr w14:val="tx1"/>
            </w14:solidFill>
          </w14:textFill>
        </w:rPr>
        <w:t xml:space="preserve">用户及流程管理</w:t>
      </w:r>
      <w:r>
        <w:rPr>
          <w:rFonts w:hint="eastAsia" w:ascii="宋体" w:hAnsi="宋体" w:cs="宋体" w:eastAsiaTheme="minorEastAsia"/>
          <w:color w:val="000000" w:themeColor="text1"/>
          <w:sz w:val="24"/>
          <w:szCs w:val="20"/>
          <w:highlight w:val="none"/>
          <w14:textFill>
            <w14:solidFill>
              <w14:schemeClr w14:val="tx1"/>
            </w14:solidFill>
          </w14:textFill>
        </w:rPr>
        <w:t xml:space="preserve">方案，主要包括用户管理、审核跟踪、系统日志、电子签名等模块具体方案。</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二是可视化技术方案，主要包括可视化工作流工具、报表工具、表单式建模等模块具体方案。</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4、</w:t>
      </w:r>
      <w:r>
        <w:rPr>
          <w:rFonts w:ascii="宋体" w:hAnsi="宋体" w:cs="宋体"/>
          <w:b/>
          <w:bCs/>
          <w:color w:val="000000" w:themeColor="text1"/>
          <w:sz w:val="24"/>
          <w:highlight w:val="none"/>
          <w14:textFill>
            <w14:solidFill>
              <w14:schemeClr w14:val="tx1"/>
            </w14:solidFill>
          </w14:textFill>
        </w:rPr>
        <w:t xml:space="preserve">项目全流程实施保障方案</w:t>
      </w:r>
      <w:r/>
    </w:p>
    <w:p>
      <w:pPr>
        <w:ind w:left="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（1）项目实施方案</w:t>
      </w:r>
      <w:r/>
    </w:p>
    <w:p>
      <w:pPr>
        <w:ind w:left="479"/>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投标人应在第四章采购需求内容上深化项目实施方案，至少包含以下内容：</w:t>
      </w:r>
      <w:r/>
    </w:p>
    <w:p>
      <w:pPr>
        <w:numPr>
          <w:ilvl w:val="0"/>
          <w:numId w:val="4"/>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hint="eastAsia" w:ascii="宋体" w:hAnsi="宋体" w:cs="宋体"/>
          <w:b/>
          <w:bCs/>
          <w:color w:val="000000" w:themeColor="text1"/>
          <w:sz w:val="24"/>
          <w:highlight w:val="none"/>
          <w14:textFill>
            <w14:solidFill>
              <w14:schemeClr w14:val="tx1"/>
            </w14:solidFill>
          </w14:textFill>
        </w:rPr>
        <w:t xml:space="preserve">项目组织及人员保障</w:t>
      </w:r>
      <w:r/>
    </w:p>
    <w:p>
      <w:pPr>
        <w:ind w:firstLine="480"/>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为了确保按期完成建设和服务内容，投标人在项目实施过程中，项目实施负责人必须参加由采购人召开的项目推进会，每月向采购人汇报工</w:t>
      </w:r>
      <w:r>
        <w:rPr>
          <w:rFonts w:hint="eastAsia" w:ascii="宋体" w:hAnsi="宋体" w:cs="宋体"/>
          <w:color w:val="000000" w:themeColor="text1"/>
          <w:sz w:val="24"/>
          <w:highlight w:val="none"/>
          <w14:textFill>
            <w14:solidFill>
              <w14:schemeClr w14:val="tx1"/>
            </w14:solidFill>
          </w14:textFill>
        </w:rPr>
        <w:t xml:space="preserve">作进度、问题及下阶段工作计划，确保按时完成项目工作。项目实施期间，投标人变更项目经理必须经采购人书面同意。建设期内，人员必须具备与本项目规模相适应的技能、项目经验和沟通能力，投标人需安排专业人员驻场开发系统。运维期内，投标人需安排具备与本项目规模相适应的技能、项目经验和沟通能力的运维人员1人，及时解决系统运行各种问题。在系统建设、运维期间以及项目结束后，投标人必须严守保密规定，未经同意，不得将采购人信息数据向任何无关单位和个人提供和泄露，必须有严格的数据保密措施，如因操作不当导致数据泄密应追究相应法律责任。</w:t>
      </w:r>
      <w:r/>
    </w:p>
    <w:p>
      <w:pPr>
        <w:numPr>
          <w:ilvl w:val="0"/>
          <w:numId w:val="4"/>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hint="eastAsia" w:ascii="宋体" w:hAnsi="宋体" w:cs="宋体"/>
          <w:b/>
          <w:bCs/>
          <w:color w:val="000000" w:themeColor="text1"/>
          <w:sz w:val="24"/>
          <w:highlight w:val="none"/>
          <w14:textFill>
            <w14:solidFill>
              <w14:schemeClr w14:val="tx1"/>
            </w14:solidFill>
          </w14:textFill>
        </w:rPr>
        <w:t xml:space="preserve">项目进度安排</w:t>
      </w:r>
      <w:r/>
    </w:p>
    <w:p>
      <w:pPr>
        <w:ind w:firstLine="480"/>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为了确保按期完成建设和服务内容，投标人详细描述项目各项工作的进展计划，并明确完成各项工作预计所需时间及达到的阶段目标，提供各阶段服务内容。</w:t>
      </w:r>
      <w:r/>
    </w:p>
    <w:p>
      <w:pPr>
        <w:numPr>
          <w:ilvl w:val="0"/>
          <w:numId w:val="4"/>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hint="eastAsia" w:ascii="宋体" w:hAnsi="宋体" w:cs="宋体"/>
          <w:b/>
          <w:bCs/>
          <w:color w:val="000000" w:themeColor="text1"/>
          <w:sz w:val="24"/>
          <w:highlight w:val="none"/>
          <w14:textFill>
            <w14:solidFill>
              <w14:schemeClr w14:val="tx1"/>
            </w14:solidFill>
          </w14:textFill>
        </w:rPr>
        <w:t xml:space="preserve">项目管理</w:t>
      </w:r>
      <w:r/>
    </w:p>
    <w:p>
      <w:pPr>
        <w:ind w:firstLine="480"/>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为了确保按期完成建设和服务内容，投标人需提供完善的项目管理方案，包括项目整体管理、项目管理方法、项目质量管理、项目进度管理、项目资源管理、项目成本管理、项目沟通与协调方案、项目变更管理、文档管理方案。</w:t>
      </w:r>
      <w:r/>
    </w:p>
    <w:p>
      <w:pPr>
        <w:numPr>
          <w:ilvl w:val="0"/>
          <w:numId w:val="4"/>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hint="eastAsia" w:ascii="宋体" w:hAnsi="宋体" w:cs="宋体"/>
          <w:b/>
          <w:bCs/>
          <w:color w:val="000000" w:themeColor="text1"/>
          <w:sz w:val="24"/>
          <w:highlight w:val="none"/>
          <w14:textFill>
            <w14:solidFill>
              <w14:schemeClr w14:val="tx1"/>
            </w14:solidFill>
          </w14:textFill>
        </w:rPr>
        <w:t xml:space="preserve">项目验收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系统试运行结束后，投标人须配合采购人进行项目正式验收。正式验收时项目必须达到招投标文件、合同书完成的要求，同时配合采购人完成相关测评工作。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正式验收的前提条件是：</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①</w:t>
      </w:r>
      <w:r>
        <w:rPr>
          <w:rFonts w:ascii="宋体" w:hAnsi="宋体" w:eastAsia="Arial" w:cs="宋体"/>
          <w:color w:val="000000" w:themeColor="text1"/>
          <w:sz w:val="24"/>
          <w:szCs w:val="20"/>
          <w:highlight w:val="none"/>
          <w14:textFill>
            <w14:solidFill>
              <w14:schemeClr w14:val="tx1"/>
            </w14:solidFill>
          </w14:textFill>
        </w:rPr>
        <w:t xml:space="preserve">系统稳定运行，从用户反馈和系统稳定性方面来看，整个系统的运行已经进入正轨；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②</w:t>
      </w:r>
      <w:r>
        <w:rPr>
          <w:rFonts w:ascii="宋体" w:hAnsi="宋体" w:eastAsia="Arial" w:cs="宋体"/>
          <w:color w:val="000000" w:themeColor="text1"/>
          <w:sz w:val="24"/>
          <w:szCs w:val="20"/>
          <w:highlight w:val="none"/>
          <w14:textFill>
            <w14:solidFill>
              <w14:schemeClr w14:val="tx1"/>
            </w14:solidFill>
          </w14:textFill>
        </w:rPr>
        <w:t xml:space="preserve">所有技术要求和功能模块按照要求全部实现，并满足使用要求；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③</w:t>
      </w:r>
      <w:r>
        <w:rPr>
          <w:rFonts w:ascii="宋体" w:hAnsi="宋体" w:eastAsia="Arial" w:cs="宋体"/>
          <w:color w:val="000000" w:themeColor="text1"/>
          <w:sz w:val="24"/>
          <w:szCs w:val="20"/>
          <w:highlight w:val="none"/>
          <w14:textFill>
            <w14:solidFill>
              <w14:schemeClr w14:val="tx1"/>
            </w14:solidFill>
          </w14:textFill>
        </w:rPr>
        <w:t xml:space="preserve">各种技术文档和验收资料完备，符合合同内容要求。</w:t>
      </w:r>
      <w:r/>
    </w:p>
    <w:p>
      <w:pPr>
        <w:ind w:left="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（2）</w:t>
      </w:r>
      <w:r>
        <w:rPr>
          <w:rFonts w:ascii="宋体" w:hAnsi="宋体" w:cs="宋体"/>
          <w:b/>
          <w:bCs/>
          <w:color w:val="000000" w:themeColor="text1"/>
          <w:sz w:val="24"/>
          <w:highlight w:val="none"/>
          <w14:textFill>
            <w14:solidFill>
              <w14:schemeClr w14:val="tx1"/>
            </w14:solidFill>
          </w14:textFill>
        </w:rPr>
        <w:t xml:space="preserve">培训方案</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培训方案</w:t>
      </w:r>
      <w:r>
        <w:rPr>
          <w:rFonts w:hint="eastAsia" w:ascii="宋体" w:hAnsi="宋体" w:eastAsia="Arial" w:cs="宋体"/>
          <w:color w:val="000000" w:themeColor="text1"/>
          <w:sz w:val="24"/>
          <w:szCs w:val="20"/>
          <w:highlight w:val="none"/>
          <w14:textFill>
            <w14:solidFill>
              <w14:schemeClr w14:val="tx1"/>
            </w14:solidFill>
          </w14:textFill>
        </w:rPr>
        <w:t xml:space="preserve">至少包含以下内容:</w:t>
      </w:r>
      <w:r/>
    </w:p>
    <w:p>
      <w:pPr>
        <w:numPr>
          <w:ilvl w:val="0"/>
          <w:numId w:val="5"/>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培训目的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明确目标导向：清晰阐述通过培训期望达成的具体成果，如使</w:t>
      </w:r>
      <w:r>
        <w:rPr>
          <w:rFonts w:hint="eastAsia" w:ascii="宋体" w:hAnsi="宋体" w:cs="宋体"/>
          <w:color w:val="000000" w:themeColor="text1"/>
          <w:sz w:val="24"/>
          <w:szCs w:val="20"/>
          <w:highlight w:val="none"/>
          <w14:textFill>
            <w14:solidFill>
              <w14:schemeClr w14:val="tx1"/>
            </w14:solidFill>
          </w14:textFill>
        </w:rPr>
        <w:t xml:space="preserve">业务经办人员熟练掌握系统操作</w:t>
      </w:r>
      <w:r>
        <w:rPr>
          <w:rFonts w:hint="eastAsia" w:ascii="宋体" w:hAnsi="宋体" w:eastAsia="Arial" w:cs="宋体"/>
          <w:color w:val="000000" w:themeColor="text1"/>
          <w:sz w:val="24"/>
          <w:szCs w:val="20"/>
          <w:highlight w:val="none"/>
          <w14:textFill>
            <w14:solidFill>
              <w14:schemeClr w14:val="tx1"/>
            </w14:solidFill>
          </w14:textFill>
        </w:rPr>
        <w:t xml:space="preserve">、管理人员高效进行系统运维管理等，且目标应紧密围绕项目整体功能实现与</w:t>
      </w:r>
      <w:r>
        <w:rPr>
          <w:rFonts w:hint="eastAsia" w:ascii="宋体" w:hAnsi="宋体" w:cs="宋体"/>
          <w:color w:val="000000" w:themeColor="text1"/>
          <w:sz w:val="24"/>
          <w:szCs w:val="20"/>
          <w:highlight w:val="none"/>
          <w14:textFill>
            <w14:solidFill>
              <w14:schemeClr w14:val="tx1"/>
            </w14:solidFill>
          </w14:textFill>
        </w:rPr>
        <w:t xml:space="preserve">双碳监测分析管理服务</w:t>
      </w:r>
      <w:r>
        <w:rPr>
          <w:rFonts w:hint="eastAsia" w:ascii="宋体" w:hAnsi="宋体" w:eastAsia="Arial" w:cs="宋体"/>
          <w:color w:val="000000" w:themeColor="text1"/>
          <w:sz w:val="24"/>
          <w:szCs w:val="20"/>
          <w:highlight w:val="none"/>
          <w14:textFill>
            <w14:solidFill>
              <w14:schemeClr w14:val="tx1"/>
            </w14:solidFill>
          </w14:textFill>
        </w:rPr>
        <w:t xml:space="preserve">价值发挥。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契合用户角色：针对不同用户群体（</w:t>
      </w:r>
      <w:r>
        <w:rPr>
          <w:rFonts w:hint="eastAsia" w:ascii="宋体" w:hAnsi="宋体" w:cs="宋体"/>
          <w:color w:val="000000" w:themeColor="text1"/>
          <w:sz w:val="24"/>
          <w:szCs w:val="20"/>
          <w:highlight w:val="none"/>
          <w14:textFill>
            <w14:solidFill>
              <w14:schemeClr w14:val="tx1"/>
            </w14:solidFill>
          </w14:textFill>
        </w:rPr>
        <w:t xml:space="preserve">主管部门、园区管理部门、企业单位、社会人员</w:t>
      </w:r>
      <w:r>
        <w:rPr>
          <w:rFonts w:hint="eastAsia" w:ascii="宋体" w:hAnsi="宋体" w:eastAsia="Arial" w:cs="宋体"/>
          <w:color w:val="000000" w:themeColor="text1"/>
          <w:sz w:val="24"/>
          <w:szCs w:val="20"/>
          <w:highlight w:val="none"/>
          <w14:textFill>
            <w14:solidFill>
              <w14:schemeClr w14:val="tx1"/>
            </w14:solidFill>
          </w14:textFill>
        </w:rPr>
        <w:t xml:space="preserve">、管理人员</w:t>
      </w:r>
      <w:r>
        <w:rPr>
          <w:rFonts w:hint="eastAsia" w:ascii="宋体" w:hAnsi="宋体" w:cs="宋体"/>
          <w:color w:val="000000" w:themeColor="text1"/>
          <w:sz w:val="24"/>
          <w:szCs w:val="20"/>
          <w:highlight w:val="none"/>
          <w14:textFill>
            <w14:solidFill>
              <w14:schemeClr w14:val="tx1"/>
            </w14:solidFill>
          </w14:textFill>
        </w:rPr>
        <w:t xml:space="preserve">等</w:t>
      </w:r>
      <w:r>
        <w:rPr>
          <w:rFonts w:hint="eastAsia" w:ascii="宋体" w:hAnsi="宋体" w:eastAsia="Arial" w:cs="宋体"/>
          <w:color w:val="000000" w:themeColor="text1"/>
          <w:sz w:val="24"/>
          <w:szCs w:val="20"/>
          <w:highlight w:val="none"/>
          <w14:textFill>
            <w14:solidFill>
              <w14:schemeClr w14:val="tx1"/>
            </w14:solidFill>
          </w14:textFill>
        </w:rPr>
        <w:t xml:space="preserve">），分别设定与之相适应的个性化培训目标，确保培训内容实用且有针对性。</w:t>
      </w:r>
      <w:r/>
    </w:p>
    <w:p>
      <w:pPr>
        <w:numPr>
          <w:ilvl w:val="0"/>
          <w:numId w:val="5"/>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培训服务原则</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以用户为中心：培训方式、进度安排均需充分考虑不同受众的知识基础、接受能力和时间便利性，提供友好易学的培训体验，注重互动交流与实践操作相结合。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系统性规划：构建层次分明、循序渐进的培训体系，从基础概念讲解到高级应用技巧传授，逐步深入，避免碎片化教学，保障知识体系的连贯性与完整性。</w:t>
      </w:r>
      <w:r/>
    </w:p>
    <w:p>
      <w:pPr>
        <w:numPr>
          <w:ilvl w:val="0"/>
          <w:numId w:val="5"/>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培训质量保障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师资配备专业：组建由</w:t>
      </w:r>
      <w:r>
        <w:rPr>
          <w:rFonts w:hint="eastAsia" w:ascii="宋体" w:hAnsi="宋体" w:cs="宋体"/>
          <w:color w:val="000000" w:themeColor="text1"/>
          <w:sz w:val="24"/>
          <w:szCs w:val="20"/>
          <w:highlight w:val="none"/>
          <w14:textFill>
            <w14:solidFill>
              <w14:schemeClr w14:val="tx1"/>
            </w14:solidFill>
          </w14:textFill>
        </w:rPr>
        <w:t xml:space="preserve">熟悉双碳业务</w:t>
      </w:r>
      <w:r>
        <w:rPr>
          <w:rFonts w:hint="eastAsia" w:ascii="宋体" w:hAnsi="宋体" w:eastAsia="Arial" w:cs="宋体"/>
          <w:color w:val="000000" w:themeColor="text1"/>
          <w:sz w:val="24"/>
          <w:szCs w:val="20"/>
          <w:highlight w:val="none"/>
          <w14:textFill>
            <w14:solidFill>
              <w14:schemeClr w14:val="tx1"/>
            </w14:solidFill>
          </w14:textFill>
        </w:rPr>
        <w:t xml:space="preserve">且具备丰富实践经验的讲师团队，涵盖技术专家、一线</w:t>
      </w:r>
      <w:r>
        <w:rPr>
          <w:rFonts w:hint="eastAsia" w:ascii="宋体" w:hAnsi="宋体" w:cs="宋体"/>
          <w:color w:val="000000" w:themeColor="text1"/>
          <w:sz w:val="24"/>
          <w:szCs w:val="20"/>
          <w:highlight w:val="none"/>
          <w14:textFill>
            <w14:solidFill>
              <w14:schemeClr w14:val="tx1"/>
            </w14:solidFill>
          </w14:textFill>
        </w:rPr>
        <w:t xml:space="preserve">业务能手</w:t>
      </w:r>
      <w:r>
        <w:rPr>
          <w:rFonts w:hint="eastAsia" w:ascii="宋体" w:hAnsi="宋体" w:eastAsia="Arial" w:cs="宋体"/>
          <w:color w:val="000000" w:themeColor="text1"/>
          <w:sz w:val="24"/>
          <w:szCs w:val="20"/>
          <w:highlight w:val="none"/>
          <w14:textFill>
            <w14:solidFill>
              <w14:schemeClr w14:val="tx1"/>
            </w14:solidFill>
          </w14:textFill>
        </w:rPr>
        <w:t xml:space="preserve">及信息化骨干，保证授课内容的专业性与权威性。</w:t>
      </w:r>
      <w:r/>
    </w:p>
    <w:p>
      <w:pPr>
        <w:numPr>
          <w:ilvl w:val="0"/>
          <w:numId w:val="5"/>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培训时间计划</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科学合理划分培训，至少组织两个</w:t>
      </w:r>
      <w:r>
        <w:rPr>
          <w:rFonts w:hint="eastAsia" w:ascii="宋体" w:hAnsi="宋体" w:eastAsia="Arial" w:cs="宋体"/>
          <w:color w:val="000000" w:themeColor="text1"/>
          <w:sz w:val="24"/>
          <w:szCs w:val="20"/>
          <w:highlight w:val="none"/>
          <w14:textFill>
            <w14:solidFill>
              <w14:schemeClr w14:val="tx1"/>
            </w14:solidFill>
          </w14:textFill>
        </w:rPr>
        <w:t xml:space="preserve">批次，方便不同岗位人员按需参与，避免大规模集中培训影响正常</w:t>
      </w:r>
      <w:r>
        <w:rPr>
          <w:rFonts w:hint="eastAsia" w:ascii="宋体" w:hAnsi="宋体" w:cs="宋体"/>
          <w:color w:val="000000" w:themeColor="text1"/>
          <w:sz w:val="24"/>
          <w:szCs w:val="20"/>
          <w:highlight w:val="none"/>
          <w14:textFill>
            <w14:solidFill>
              <w14:schemeClr w14:val="tx1"/>
            </w14:solidFill>
          </w14:textFill>
        </w:rPr>
        <w:t xml:space="preserve">工作</w:t>
      </w:r>
      <w:r>
        <w:rPr>
          <w:rFonts w:hint="eastAsia" w:ascii="宋体" w:hAnsi="宋体" w:eastAsia="Arial" w:cs="宋体"/>
          <w:color w:val="000000" w:themeColor="text1"/>
          <w:sz w:val="24"/>
          <w:szCs w:val="20"/>
          <w:highlight w:val="none"/>
          <w14:textFill>
            <w14:solidFill>
              <w14:schemeClr w14:val="tx1"/>
            </w14:solidFill>
          </w14:textFill>
        </w:rPr>
        <w:t xml:space="preserve">秩序，每批次时长</w:t>
      </w:r>
      <w:r>
        <w:rPr>
          <w:rFonts w:hint="eastAsia" w:ascii="宋体" w:hAnsi="宋体" w:cs="宋体"/>
          <w:color w:val="000000" w:themeColor="text1"/>
          <w:sz w:val="24"/>
          <w:szCs w:val="20"/>
          <w:highlight w:val="none"/>
          <w14:textFill>
            <w14:solidFill>
              <w14:schemeClr w14:val="tx1"/>
            </w14:solidFill>
          </w14:textFill>
        </w:rPr>
        <w:t xml:space="preserve">至少三个工作日</w:t>
      </w:r>
      <w:r>
        <w:rPr>
          <w:rFonts w:hint="eastAsia" w:ascii="宋体" w:hAnsi="宋体" w:eastAsia="Arial" w:cs="宋体"/>
          <w:color w:val="000000" w:themeColor="text1"/>
          <w:sz w:val="24"/>
          <w:szCs w:val="20"/>
          <w:highlight w:val="none"/>
          <w14:textFill>
            <w14:solidFill>
              <w14:schemeClr w14:val="tx1"/>
            </w14:solidFill>
          </w14:textFill>
        </w:rPr>
        <w:t xml:space="preserve">，提高培训覆盖率。</w:t>
      </w:r>
      <w:r/>
    </w:p>
    <w:p>
      <w:pPr>
        <w:numPr>
          <w:ilvl w:val="0"/>
          <w:numId w:val="5"/>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培训内容</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培训政策宣讲：</w:t>
      </w:r>
      <w:r>
        <w:rPr>
          <w:rFonts w:ascii="宋体" w:hAnsi="宋体" w:cs="宋体"/>
          <w:color w:val="000000" w:themeColor="text1"/>
          <w:sz w:val="24"/>
          <w:highlight w:val="none"/>
          <w14:textFill>
            <w14:solidFill>
              <w14:schemeClr w14:val="tx1"/>
            </w14:solidFill>
          </w14:textFill>
        </w:rPr>
        <w:t xml:space="preserve">重点讲解</w:t>
      </w:r>
      <w:r>
        <w:rPr>
          <w:rFonts w:hint="eastAsia" w:ascii="宋体" w:hAnsi="宋体" w:cs="宋体"/>
          <w:color w:val="000000" w:themeColor="text1"/>
          <w:sz w:val="24"/>
          <w:highlight w:val="none"/>
          <w14:textFill>
            <w14:solidFill>
              <w14:schemeClr w14:val="tx1"/>
            </w14:solidFill>
          </w14:textFill>
        </w:rPr>
        <w:t xml:space="preserve">碳达峰碳中和</w:t>
      </w:r>
      <w:r>
        <w:rPr>
          <w:rFonts w:ascii="宋体" w:hAnsi="宋体" w:cs="宋体"/>
          <w:color w:val="000000" w:themeColor="text1"/>
          <w:sz w:val="24"/>
          <w:highlight w:val="none"/>
          <w14:textFill>
            <w14:solidFill>
              <w14:schemeClr w14:val="tx1"/>
            </w14:solidFill>
          </w14:textFill>
        </w:rPr>
        <w:t xml:space="preserve">相关政策法规、平台建设依据、数据安全规范及</w:t>
      </w:r>
      <w:r>
        <w:rPr>
          <w:rFonts w:hint="eastAsia" w:ascii="宋体" w:hAnsi="宋体" w:cs="宋体"/>
          <w:color w:val="000000" w:themeColor="text1"/>
          <w:sz w:val="24"/>
          <w:highlight w:val="none"/>
          <w14:textFill>
            <w14:solidFill>
              <w14:schemeClr w14:val="tx1"/>
            </w14:solidFill>
          </w14:textFill>
        </w:rPr>
        <w:t xml:space="preserve">系统操作</w:t>
      </w:r>
      <w:r>
        <w:rPr>
          <w:rFonts w:ascii="宋体" w:hAnsi="宋体" w:cs="宋体"/>
          <w:color w:val="000000" w:themeColor="text1"/>
          <w:sz w:val="24"/>
          <w:highlight w:val="none"/>
          <w14:textFill>
            <w14:solidFill>
              <w14:schemeClr w14:val="tx1"/>
            </w14:solidFill>
          </w14:textFill>
        </w:rPr>
        <w:t xml:space="preserve">流程。</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平台功能实操：</w:t>
      </w:r>
      <w:r>
        <w:rPr>
          <w:rFonts w:ascii="宋体" w:hAnsi="宋体" w:cs="宋体"/>
          <w:color w:val="000000" w:themeColor="text1"/>
          <w:sz w:val="24"/>
          <w:highlight w:val="none"/>
          <w14:textFill>
            <w14:solidFill>
              <w14:schemeClr w14:val="tx1"/>
            </w14:solidFill>
          </w14:textFill>
        </w:rPr>
        <w:t xml:space="preserve">围绕系统操作</w:t>
      </w:r>
      <w:r>
        <w:rPr>
          <w:rFonts w:hint="eastAsia" w:ascii="宋体" w:hAnsi="宋体" w:cs="宋体"/>
          <w:color w:val="000000" w:themeColor="text1"/>
          <w:sz w:val="24"/>
          <w:highlight w:val="none"/>
          <w14:textFill>
            <w14:solidFill>
              <w14:schemeClr w14:val="tx1"/>
            </w14:solidFill>
          </w14:textFill>
        </w:rPr>
        <w:t xml:space="preserve">、人员管理</w:t>
      </w:r>
      <w:r>
        <w:rPr>
          <w:rFonts w:ascii="宋体" w:hAnsi="宋体" w:cs="宋体"/>
          <w:color w:val="000000" w:themeColor="text1"/>
          <w:sz w:val="24"/>
          <w:highlight w:val="none"/>
          <w14:textFill>
            <w14:solidFill>
              <w14:schemeClr w14:val="tx1"/>
            </w14:solidFill>
          </w14:textFill>
        </w:rPr>
        <w:t xml:space="preserve">、AI 咨询使用、数据查询、</w:t>
      </w:r>
      <w:r>
        <w:rPr>
          <w:rFonts w:hint="eastAsia" w:ascii="宋体" w:hAnsi="宋体" w:cs="宋体"/>
          <w:color w:val="000000" w:themeColor="text1"/>
          <w:sz w:val="24"/>
          <w:highlight w:val="none"/>
          <w14:textFill>
            <w14:solidFill>
              <w14:schemeClr w14:val="tx1"/>
            </w14:solidFill>
          </w14:textFill>
        </w:rPr>
        <w:t xml:space="preserve">数据管理、</w:t>
      </w:r>
      <w:r>
        <w:rPr>
          <w:rFonts w:ascii="宋体" w:hAnsi="宋体" w:cs="宋体"/>
          <w:color w:val="000000" w:themeColor="text1"/>
          <w:sz w:val="24"/>
          <w:highlight w:val="none"/>
          <w14:textFill>
            <w14:solidFill>
              <w14:schemeClr w14:val="tx1"/>
            </w14:solidFill>
          </w14:textFill>
        </w:rPr>
        <w:t xml:space="preserve">故障处理等开展全流程实操训练。</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常见问题答疑库建设：整理汇总过往培训及试用过程中出现的高频问题，形成详细的答疑手册并实时更新，供学员随时查阅参考，快速解决遇到的问题。</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cs="宋体"/>
          <w:b/>
          <w:bCs/>
          <w:color w:val="000000" w:themeColor="text1"/>
          <w:sz w:val="24"/>
          <w:szCs w:val="20"/>
          <w:highlight w:val="none"/>
          <w14:textFill>
            <w14:solidFill>
              <w14:schemeClr w14:val="tx1"/>
            </w14:solidFill>
          </w14:textFill>
        </w:rPr>
        <w:t xml:space="preserve">（3）</w:t>
      </w:r>
      <w:r>
        <w:rPr>
          <w:rFonts w:hint="eastAsia" w:ascii="宋体" w:hAnsi="宋体" w:eastAsia="Arial" w:cs="宋体"/>
          <w:b/>
          <w:bCs/>
          <w:color w:val="000000" w:themeColor="text1"/>
          <w:sz w:val="24"/>
          <w:szCs w:val="20"/>
          <w:highlight w:val="none"/>
          <w14:textFill>
            <w14:solidFill>
              <w14:schemeClr w14:val="tx1"/>
            </w14:solidFill>
          </w14:textFill>
        </w:rPr>
        <w:t xml:space="preserve">售后服务</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售后服务方案</w:t>
      </w:r>
      <w:r>
        <w:rPr>
          <w:rFonts w:hint="eastAsia" w:ascii="宋体" w:hAnsi="宋体" w:eastAsia="Arial" w:cs="宋体"/>
          <w:color w:val="000000" w:themeColor="text1"/>
          <w:sz w:val="24"/>
          <w:szCs w:val="20"/>
          <w:highlight w:val="none"/>
          <w14:textFill>
            <w14:solidFill>
              <w14:schemeClr w14:val="tx1"/>
            </w14:solidFill>
          </w14:textFill>
        </w:rPr>
        <w:t xml:space="preserve">至少包含以下内容:</w:t>
      </w:r>
      <w:r/>
    </w:p>
    <w:p>
      <w:pPr>
        <w:numPr>
          <w:ilvl w:val="0"/>
          <w:numId w:val="6"/>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服务目标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高效响应保障：确保用户反馈的问题能在最短时间内得到响应，设定明确的响应时间标准，最大限度减少对管理工作的影响。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持续优化体验：以提升用户满意度为核心，通过定期收集意见与分析使用数据，不断改进平台功能与服务质量，使平台能更好地适应</w:t>
      </w:r>
      <w:r>
        <w:rPr>
          <w:rFonts w:hint="eastAsia" w:ascii="宋体" w:hAnsi="宋体" w:cs="宋体"/>
          <w:color w:val="000000" w:themeColor="text1"/>
          <w:sz w:val="24"/>
          <w:szCs w:val="20"/>
          <w:highlight w:val="none"/>
          <w14:textFill>
            <w14:solidFill>
              <w14:schemeClr w14:val="tx1"/>
            </w14:solidFill>
          </w14:textFill>
        </w:rPr>
        <w:t xml:space="preserve">双碳数据监测分析服务</w:t>
      </w:r>
      <w:r>
        <w:rPr>
          <w:rFonts w:hint="eastAsia" w:ascii="宋体" w:hAnsi="宋体" w:eastAsia="Arial" w:cs="宋体"/>
          <w:color w:val="000000" w:themeColor="text1"/>
          <w:sz w:val="24"/>
          <w:szCs w:val="20"/>
          <w:highlight w:val="none"/>
          <w14:textFill>
            <w14:solidFill>
              <w14:schemeClr w14:val="tx1"/>
            </w14:solidFill>
          </w14:textFill>
        </w:rPr>
        <w:t xml:space="preserve">需求变化。</w:t>
      </w:r>
      <w:r/>
    </w:p>
    <w:p>
      <w:pPr>
        <w:numPr>
          <w:ilvl w:val="0"/>
          <w:numId w:val="6"/>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服务内容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技术支持全面覆盖：提供7×24小时在线技术咨询渠道，及时解答关于平台安装部署、操作使用、故障排查等方面的疑问；针对复杂技术难题，安排工程师远程协助或上门解决。</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系统维护定期巡检：制定详细的系统巡检计划，</w:t>
      </w:r>
      <w:r>
        <w:rPr>
          <w:rFonts w:hint="eastAsia" w:ascii="宋体" w:hAnsi="宋体" w:cs="宋体"/>
          <w:color w:val="000000" w:themeColor="text1"/>
          <w:sz w:val="24"/>
          <w:szCs w:val="20"/>
          <w:highlight w:val="none"/>
          <w14:textFill>
            <w14:solidFill>
              <w14:schemeClr w14:val="tx1"/>
            </w14:solidFill>
          </w14:textFill>
        </w:rPr>
        <w:t xml:space="preserve">每月</w:t>
      </w:r>
      <w:r>
        <w:rPr>
          <w:rFonts w:hint="eastAsia" w:ascii="宋体" w:hAnsi="宋体" w:eastAsia="Arial" w:cs="宋体"/>
          <w:color w:val="000000" w:themeColor="text1"/>
          <w:sz w:val="24"/>
          <w:szCs w:val="20"/>
          <w:highlight w:val="none"/>
          <w14:textFill>
            <w14:solidFill>
              <w14:schemeClr w14:val="tx1"/>
            </w14:solidFill>
          </w14:textFill>
        </w:rPr>
        <w:t xml:space="preserve">定期检查服务器运行状态、数据备份完整性、网络稳定性等关键指标，提前发现并处理潜在风险，保障系统安全稳定运行。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功能更新及时推送</w:t>
      </w:r>
      <w:r>
        <w:rPr>
          <w:rFonts w:hint="eastAsia" w:ascii="宋体" w:hAnsi="宋体" w:cs="宋体"/>
          <w:color w:val="000000" w:themeColor="text1"/>
          <w:sz w:val="24"/>
          <w:szCs w:val="20"/>
          <w:highlight w:val="none"/>
          <w14:textFill>
            <w14:solidFill>
              <w14:schemeClr w14:val="tx1"/>
            </w14:solidFill>
          </w14:textFill>
        </w:rPr>
        <w:t xml:space="preserve">：如有</w:t>
      </w:r>
      <w:r>
        <w:rPr>
          <w:rFonts w:hint="eastAsia" w:ascii="宋体" w:hAnsi="宋体" w:eastAsia="Arial" w:cs="宋体"/>
          <w:color w:val="000000" w:themeColor="text1"/>
          <w:sz w:val="24"/>
          <w:szCs w:val="20"/>
          <w:highlight w:val="none"/>
          <w14:textFill>
            <w14:solidFill>
              <w14:schemeClr w14:val="tx1"/>
            </w14:solidFill>
          </w14:textFill>
        </w:rPr>
        <w:t xml:space="preserve">政策调整、用户需求调研结果及行业发展趋势，</w:t>
      </w:r>
      <w:r>
        <w:rPr>
          <w:rFonts w:hint="eastAsia" w:ascii="宋体" w:hAnsi="宋体" w:cs="宋体"/>
          <w:color w:val="000000" w:themeColor="text1"/>
          <w:sz w:val="24"/>
          <w:szCs w:val="20"/>
          <w:highlight w:val="none"/>
          <w14:textFill>
            <w14:solidFill>
              <w14:schemeClr w14:val="tx1"/>
            </w14:solidFill>
          </w14:textFill>
        </w:rPr>
        <w:t xml:space="preserve">在一周内需要</w:t>
      </w:r>
      <w:r>
        <w:rPr>
          <w:rFonts w:hint="eastAsia" w:ascii="宋体" w:hAnsi="宋体" w:eastAsia="Arial" w:cs="宋体"/>
          <w:color w:val="000000" w:themeColor="text1"/>
          <w:sz w:val="24"/>
          <w:szCs w:val="20"/>
          <w:highlight w:val="none"/>
          <w14:textFill>
            <w14:solidFill>
              <w14:schemeClr w14:val="tx1"/>
            </w14:solidFill>
          </w14:textFill>
        </w:rPr>
        <w:t xml:space="preserve">推出新功能与优化升级包，并负责向用户进行培训与推广，确保用户能及时受益。</w:t>
      </w:r>
      <w:r/>
    </w:p>
    <w:p>
      <w:pPr>
        <w:numPr>
          <w:ilvl w:val="0"/>
          <w:numId w:val="6"/>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售后服务承诺和保证</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服务承诺：对各项服务的可用性、响应时间、解决时限等关键指标做出量化承诺</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可用性≥99.9%、响应时间≤1小时响应、解决时限≤4小时解决。</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应急处理预案完备：针对可能出现的重大故障、安全事故等情况，制定完善的应急处置预案，明确应急响应流程、责任分工及恢复措施，定期组织演练，确保在突发状况下能迅速恢复服务。</w:t>
      </w:r>
      <w:r/>
    </w:p>
    <w:p>
      <w:pPr>
        <w:numPr>
          <w:ilvl w:val="0"/>
          <w:numId w:val="6"/>
        </w:num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4"/>
      </w:pPr>
      <w:r>
        <w:rPr>
          <w:rFonts w:ascii="宋体" w:hAnsi="宋体" w:cs="宋体"/>
          <w:b/>
          <w:bCs/>
          <w:color w:val="000000" w:themeColor="text1"/>
          <w:sz w:val="24"/>
          <w:highlight w:val="none"/>
          <w14:textFill>
            <w14:solidFill>
              <w14:schemeClr w14:val="tx1"/>
            </w14:solidFill>
          </w14:textFill>
        </w:rPr>
        <w:t xml:space="preserve">售后服务队伍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专业团队组建：打造一支由资深技术专家、</w:t>
      </w:r>
      <w:r>
        <w:rPr>
          <w:rFonts w:hint="eastAsia" w:ascii="宋体" w:hAnsi="宋体" w:cs="宋体"/>
          <w:color w:val="000000" w:themeColor="text1"/>
          <w:sz w:val="24"/>
          <w:szCs w:val="20"/>
          <w:highlight w:val="none"/>
          <w14:textFill>
            <w14:solidFill>
              <w14:schemeClr w14:val="tx1"/>
            </w14:solidFill>
          </w14:textFill>
        </w:rPr>
        <w:t xml:space="preserve">双碳领域</w:t>
      </w:r>
      <w:r>
        <w:rPr>
          <w:rFonts w:hint="eastAsia" w:ascii="宋体" w:hAnsi="宋体" w:eastAsia="Arial" w:cs="宋体"/>
          <w:color w:val="000000" w:themeColor="text1"/>
          <w:sz w:val="24"/>
          <w:szCs w:val="20"/>
          <w:highlight w:val="none"/>
          <w14:textFill>
            <w14:solidFill>
              <w14:schemeClr w14:val="tx1"/>
            </w14:solidFill>
          </w14:textFill>
        </w:rPr>
        <w:t xml:space="preserve">顾问及客服专员组成的多元化售后服务团队，成员具备丰富的项目实施经验与专业知识背景，能够</w:t>
      </w:r>
      <w:r>
        <w:rPr>
          <w:rFonts w:hint="eastAsia" w:ascii="宋体" w:hAnsi="宋体" w:cs="宋体"/>
          <w:color w:val="000000" w:themeColor="text1"/>
          <w:sz w:val="24"/>
          <w:szCs w:val="20"/>
          <w:highlight w:val="none"/>
          <w14:textFill>
            <w14:solidFill>
              <w14:schemeClr w14:val="tx1"/>
            </w14:solidFill>
          </w14:textFill>
        </w:rPr>
        <w:t xml:space="preserve">在1小时内</w:t>
      </w:r>
      <w:r>
        <w:rPr>
          <w:rFonts w:hint="eastAsia" w:ascii="宋体" w:hAnsi="宋体" w:eastAsia="Arial" w:cs="宋体"/>
          <w:color w:val="000000" w:themeColor="text1"/>
          <w:sz w:val="24"/>
          <w:szCs w:val="20"/>
          <w:highlight w:val="none"/>
          <w14:textFill>
            <w14:solidFill>
              <w14:schemeClr w14:val="tx1"/>
            </w14:solidFill>
          </w14:textFill>
        </w:rPr>
        <w:t xml:space="preserve">精准定位</w:t>
      </w:r>
      <w:r>
        <w:rPr>
          <w:rFonts w:hint="eastAsia" w:ascii="宋体" w:hAnsi="宋体" w:cs="宋体"/>
          <w:color w:val="000000" w:themeColor="text1"/>
          <w:sz w:val="24"/>
          <w:szCs w:val="20"/>
          <w:highlight w:val="none"/>
          <w14:textFill>
            <w14:solidFill>
              <w14:schemeClr w14:val="tx1"/>
            </w14:solidFill>
          </w14:textFill>
        </w:rPr>
        <w:t xml:space="preserve">问题，4小时内</w:t>
      </w:r>
      <w:r>
        <w:rPr>
          <w:rFonts w:hint="eastAsia" w:ascii="宋体" w:hAnsi="宋体" w:eastAsia="Arial" w:cs="宋体"/>
          <w:color w:val="000000" w:themeColor="text1"/>
          <w:sz w:val="24"/>
          <w:szCs w:val="20"/>
          <w:highlight w:val="none"/>
          <w14:textFill>
            <w14:solidFill>
              <w14:schemeClr w14:val="tx1"/>
            </w14:solidFill>
          </w14:textFill>
        </w:rPr>
        <w:t xml:space="preserve">解决问题。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培训考核常态化：</w:t>
      </w:r>
      <w:r>
        <w:rPr>
          <w:rFonts w:hint="eastAsia" w:ascii="宋体" w:hAnsi="宋体" w:cs="宋体"/>
          <w:color w:val="000000" w:themeColor="text1"/>
          <w:sz w:val="24"/>
          <w:szCs w:val="20"/>
          <w:highlight w:val="none"/>
          <w14:textFill>
            <w14:solidFill>
              <w14:schemeClr w14:val="tx1"/>
            </w14:solidFill>
          </w14:textFill>
        </w:rPr>
        <w:t xml:space="preserve">每季度</w:t>
      </w:r>
      <w:r>
        <w:rPr>
          <w:rFonts w:hint="eastAsia" w:ascii="宋体" w:hAnsi="宋体" w:eastAsia="Arial" w:cs="宋体"/>
          <w:color w:val="000000" w:themeColor="text1"/>
          <w:sz w:val="24"/>
          <w:szCs w:val="20"/>
          <w:highlight w:val="none"/>
          <w14:textFill>
            <w14:solidFill>
              <w14:schemeClr w14:val="tx1"/>
            </w14:solidFill>
          </w14:textFill>
        </w:rPr>
        <w:t xml:space="preserve">对售后服务人员进行技能培训与业务考核，鼓励参加行业认证考试，不断提升团队整体素质与服务水平，以适应不断变化的技术与业务需求。</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八、项目演示</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1、投标人应根据采购需求和本项目实际，提供相应的演示视频，至少包含以下内容：</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碳达峰碳中和服务门户子系统功能演示</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①演示第三方认证服务平台模块，展示认证流程、认证服务类型及进入第三方认证系统功能。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②演示绿电绿证交易辅助服务模块，展示服务内容、绿证类型、应用场景及交易流程。</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③演示双碳政策公开服务模块，该模块展示政策分类、政策内容、政策解读等内容。</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④演示AI智能咨询服务模块，展示自然语言交互、政策解读、操作指引、智能工单流转功能，实现企业与部门“一问即答、一键直达”。</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碳达峰碳中和数据采集子系统功能演示</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①演示系统多元数据源接入能力，展示基于分层解耦、在线模式，支持OLTP、OLAP、数据湖、数据库、API等多元数据源，实现市级、区县级、园区级、企业级全层级数据采集功能。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②演示系统数据集生成能力，展示低代码构建模式，支持用户通过拖拉拽操作，对数据源表进行自定义ETL处理，生成公共基础数据库、企业实景数据库、第三方背景数据库。</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③演示系统可视化分析能力，展示“仪表板+数据大屏”双工具，支持拖拉拽图表编辑，可调用数据集实现数据实时联动、动态筛选功能。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④演示系统数据发布能力，展示自定义API数据共享服务，涵盖数据上线、测试、编辑与查看等全流程功能。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碳达峰碳中和核算分析子系统功能演示</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①演示AI智能核算助手功能，展示数据填报问题解答、智能填写建议、数据质量与异常值校验、基于历史数据提供预测参考的能力。</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②演示市级双碳管理功能，展示统计分析、预测分析、核查报告模块，支持核查报告提交认证机构审核，可预览、下载报告及相关数据包。</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③演示市级碳达峰推演模型功能，支持选择碳达峰场景开展路径推演，展示达峰前后全市逐年碳排放数据。</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④演示市级专业碳预测能力，展示基于ARIMA时间序列、LSTM神经网络模型，预测未来五年能源供给结构、能源消费总量等数据，依托LMDI分解分析完成减排驱动因素分析。</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⑤演示区县级管理功能，展示区县维度的统计分析、预测分析、核查报告生成能力，支持自主选择预测周期与模型，实现能源消费预测、能源供给分析、减排驱动因素分析、区县对标对比分析。</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⑥演示多行业碳核算管理功能，覆盖工业企业、能源行业、公共机构、交通行业、城乡建筑等领域，支持年月度精细化核算，展示各行业碳排放总量、能源消费总量、单位能耗碳排放强度、重点企业数量及逐月碳排放、能耗、碳强度趋势数据。</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⑦演示园区管理功能，展示园区数据填报、统计分析、电碳溯源分析、零碳园区综合服务、核查报告生成能力，可核算分析园区绿电消费总量、消费占比、月度趋势、电力碳排放因子，实现绿电溯源可视化展示。</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⑧演示重点企业管理功能，展示企业数据填报、统计分析、核查报告生成、虚拟电厂管理服务，支持多企业能耗与碳排放流向、月度碳排放趋势、能耗效率矩阵分析。</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⑨演示电碳因子管理功能，全景展示市级、区县、园区电碳因子数据，同步展示全省、盐城市电碳因子、可再生能源占比、煤电占比等核心数据。</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⑩演示核算规则管理功能，展示单位管理、报告模板管理、计算公式管理、AI知识库管理等后台规则配置能力。</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Cambria Math" w:hAnsi="Cambria Math" w:cs="Cambria Math"/>
          <w:color w:val="000000" w:themeColor="text1"/>
          <w:sz w:val="24"/>
          <w:highlight w:val="none"/>
          <w14:textFill>
            <w14:solidFill>
              <w14:schemeClr w14:val="tx1"/>
            </w14:solidFill>
          </w14:textFill>
        </w:rPr>
        <w:t xml:space="preserve">⑪</w:t>
      </w:r>
      <w:r>
        <w:rPr>
          <w:rFonts w:ascii="宋体" w:hAnsi="宋体" w:cs="宋体"/>
          <w:color w:val="000000" w:themeColor="text1"/>
          <w:sz w:val="24"/>
          <w:highlight w:val="none"/>
          <w14:textFill>
            <w14:solidFill>
              <w14:schemeClr w14:val="tx1"/>
            </w14:solidFill>
          </w14:textFill>
        </w:rPr>
        <w:t xml:space="preserve">演示碳排放因子管理功能，展示适配盐城市全行业的碳因子管理能力，支持因子筛选、新增因子版本、版本管理、状态修改，可批量设定与修改碳氧化率、单位热值含碳量、低位发热量、电力碳排放因子等缺省值。</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Cambria Math" w:hAnsi="Cambria Math" w:cs="Cambria Math"/>
          <w:color w:val="000000" w:themeColor="text1"/>
          <w:sz w:val="24"/>
          <w:highlight w:val="none"/>
          <w14:textFill>
            <w14:solidFill>
              <w14:schemeClr w14:val="tx1"/>
            </w14:solidFill>
          </w14:textFill>
        </w:rPr>
        <w:t xml:space="preserve">⑫</w:t>
      </w:r>
      <w:r>
        <w:rPr>
          <w:rFonts w:ascii="宋体" w:hAnsi="宋体" w:cs="宋体"/>
          <w:color w:val="000000" w:themeColor="text1"/>
          <w:sz w:val="24"/>
          <w:highlight w:val="none"/>
          <w14:textFill>
            <w14:solidFill>
              <w14:schemeClr w14:val="tx1"/>
            </w14:solidFill>
          </w14:textFill>
        </w:rPr>
        <w:t xml:space="preserve">演示数据孪生场景构建能力，展示高质量数字孪生场景搭建、模型编辑工具应用，支持自定义模型、图片、音视频等素材导入编辑，可配置点位图标、名称及关联信息。</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Cambria Math" w:hAnsi="Cambria Math" w:cs="Cambria Math"/>
          <w:color w:val="000000" w:themeColor="text1"/>
          <w:sz w:val="24"/>
          <w:highlight w:val="none"/>
          <w14:textFill>
            <w14:solidFill>
              <w14:schemeClr w14:val="tx1"/>
            </w14:solidFill>
          </w14:textFill>
        </w:rPr>
        <w:t xml:space="preserve">⑬</w:t>
      </w:r>
      <w:r>
        <w:rPr>
          <w:rFonts w:ascii="宋体" w:hAnsi="宋体" w:cs="宋体"/>
          <w:color w:val="000000" w:themeColor="text1"/>
          <w:sz w:val="24"/>
          <w:highlight w:val="none"/>
          <w14:textFill>
            <w14:solidFill>
              <w14:schemeClr w14:val="tx1"/>
            </w14:solidFill>
          </w14:textFill>
        </w:rPr>
        <w:t xml:space="preserve">演示系统GIS服务能力，展示空间分析、三维场景与实景融合等地理信息服务功能。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Cambria Math" w:hAnsi="Cambria Math" w:cs="Cambria Math"/>
          <w:color w:val="000000" w:themeColor="text1"/>
          <w:sz w:val="24"/>
          <w:highlight w:val="none"/>
          <w14:textFill>
            <w14:solidFill>
              <w14:schemeClr w14:val="tx1"/>
            </w14:solidFill>
          </w14:textFill>
        </w:rPr>
        <w:t xml:space="preserve">⑭</w:t>
      </w:r>
      <w:r>
        <w:rPr>
          <w:rFonts w:ascii="宋体" w:hAnsi="宋体" w:cs="宋体"/>
          <w:color w:val="000000" w:themeColor="text1"/>
          <w:sz w:val="24"/>
          <w:highlight w:val="none"/>
          <w14:textFill>
            <w14:solidFill>
              <w14:schemeClr w14:val="tx1"/>
            </w14:solidFill>
          </w14:textFill>
        </w:rPr>
        <w:t xml:space="preserve">演示多主题数据大屏能力，依托数字孪生大屏展示市级、区县、行业、园区、企业、电碳管理核心内容，支持各主题交互切换、与业务系统联动跳转。</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碳达峰碳中和配置子系统功能演示</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①演示双碳数据管理配置功能，展示用户管理、审核跟踪、系统日志等后台综合管理功能。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②演示可视化工作流工具功能，支持用户通过拖拽方式自定义配置、调整工作流程，实现双碳数据全流程综合管理。</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2、演示要求</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演示方式：视频演示。</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投标人需按照招标文件规定的演示内容制作演示视频文件，视频文件的格式为*.mp4 或*.avi，投标人须将视频文件分段压缩为*.zip 文件上传(单个文件不得大于</w:t>
      </w:r>
      <w:r>
        <w:rPr>
          <w:rFonts w:hint="eastAsia" w:ascii="宋体" w:hAnsi="宋体" w:cs="宋体"/>
          <w:color w:val="000000" w:themeColor="text1"/>
          <w:sz w:val="24"/>
          <w:szCs w:val="20"/>
          <w:highlight w:val="none"/>
          <w:lang w:val="en-US" w:eastAsia="zh-CN"/>
          <w14:textFill>
            <w14:solidFill>
              <w14:schemeClr w14:val="tx1"/>
            </w14:solidFill>
          </w14:textFill>
        </w:rPr>
        <w:t xml:space="preserve">50</w:t>
      </w:r>
      <w:r>
        <w:rPr>
          <w:rFonts w:ascii="宋体" w:hAnsi="宋体" w:eastAsia="Arial" w:cs="宋体"/>
          <w:color w:val="000000" w:themeColor="text1"/>
          <w:sz w:val="24"/>
          <w:szCs w:val="20"/>
          <w:highlight w:val="none"/>
          <w14:textFill>
            <w14:solidFill>
              <w14:schemeClr w14:val="tx1"/>
            </w14:solidFill>
          </w14:textFill>
        </w:rPr>
        <w:t xml:space="preserve">M，所有文件总共不得大于</w:t>
      </w:r>
      <w:r>
        <w:rPr>
          <w:rFonts w:hint="eastAsia" w:ascii="宋体" w:hAnsi="宋体" w:cs="宋体"/>
          <w:color w:val="000000" w:themeColor="text1"/>
          <w:sz w:val="24"/>
          <w:szCs w:val="20"/>
          <w:highlight w:val="none"/>
          <w:lang w:val="en-US" w:eastAsia="zh-CN"/>
          <w14:textFill>
            <w14:solidFill>
              <w14:schemeClr w14:val="tx1"/>
            </w14:solidFill>
          </w14:textFill>
        </w:rPr>
        <w:t xml:space="preserve">3</w:t>
      </w:r>
      <w:r>
        <w:rPr>
          <w:rFonts w:ascii="宋体" w:hAnsi="宋体" w:eastAsia="Arial" w:cs="宋体"/>
          <w:color w:val="000000" w:themeColor="text1"/>
          <w:sz w:val="24"/>
          <w:szCs w:val="20"/>
          <w:highlight w:val="none"/>
          <w14:textFill>
            <w14:solidFill>
              <w14:schemeClr w14:val="tx1"/>
            </w14:solidFill>
          </w14:textFill>
        </w:rPr>
        <w:t xml:space="preserve">00M)。文件上传方式见《操作手册》规定，上传的演示视频将作为投标文件的组成部分，视频时长总计不超过25分钟。</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九、</w:t>
      </w:r>
      <w:r>
        <w:rPr>
          <w:rFonts w:ascii="宋体" w:hAnsi="宋体" w:eastAsia="Arial" w:cs="宋体"/>
          <w:b/>
          <w:bCs/>
          <w:color w:val="000000" w:themeColor="text1"/>
          <w:sz w:val="24"/>
          <w:szCs w:val="20"/>
          <w:highlight w:val="none"/>
          <w14:textFill>
            <w14:solidFill>
              <w14:schemeClr w14:val="tx1"/>
            </w14:solidFill>
          </w14:textFill>
        </w:rPr>
        <w:t xml:space="preserve">企业实力</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为了择优选择中标单位，体现企业</w:t>
      </w:r>
      <w:r>
        <w:rPr>
          <w:rFonts w:hint="eastAsia" w:ascii="宋体" w:hAnsi="宋体" w:cs="宋体"/>
          <w:color w:val="000000" w:themeColor="text1"/>
          <w:sz w:val="24"/>
          <w:szCs w:val="20"/>
          <w:highlight w:val="none"/>
          <w14:textFill>
            <w14:solidFill>
              <w14:schemeClr w14:val="tx1"/>
            </w14:solidFill>
          </w14:textFill>
        </w:rPr>
        <w:t xml:space="preserve">多行业</w:t>
      </w:r>
      <w:r>
        <w:rPr>
          <w:rFonts w:ascii="宋体" w:hAnsi="宋体" w:eastAsia="Arial" w:cs="宋体"/>
          <w:color w:val="000000" w:themeColor="text1"/>
          <w:sz w:val="24"/>
          <w:szCs w:val="20"/>
          <w:highlight w:val="none"/>
          <w14:textFill>
            <w14:solidFill>
              <w14:schemeClr w14:val="tx1"/>
            </w14:solidFill>
          </w14:textFill>
        </w:rPr>
        <w:t xml:space="preserve">实力，</w:t>
      </w:r>
      <w:r>
        <w:rPr>
          <w:rFonts w:hint="eastAsia" w:ascii="宋体" w:hAnsi="宋体" w:cs="宋体"/>
          <w:color w:val="000000" w:themeColor="text1"/>
          <w:sz w:val="24"/>
          <w:szCs w:val="20"/>
          <w:highlight w:val="none"/>
          <w14:textFill>
            <w14:solidFill>
              <w14:schemeClr w14:val="tx1"/>
            </w14:solidFill>
          </w14:textFill>
        </w:rPr>
        <w:t xml:space="preserve">面向地方碳考核、行业碳管控、企业碳管理、项目碳评价、产品碳足迹管理机制，满足多层级、多行业碳排放核算、绿色电力溯源分析、分时分区电碳因子分析、园区级电碳因子分析、行业碳排放分析、碳排放数据全流程认证等多方面的需求，</w:t>
      </w:r>
      <w:r>
        <w:rPr>
          <w:rFonts w:ascii="宋体" w:hAnsi="宋体" w:eastAsia="Arial" w:cs="宋体"/>
          <w:color w:val="000000" w:themeColor="text1"/>
          <w:sz w:val="24"/>
          <w:szCs w:val="20"/>
          <w:highlight w:val="none"/>
          <w14:textFill>
            <w14:solidFill>
              <w14:schemeClr w14:val="tx1"/>
            </w14:solidFill>
          </w14:textFill>
        </w:rPr>
        <w:t xml:space="preserve">投标人具备有效的</w:t>
      </w:r>
      <w:r>
        <w:rPr>
          <w:rFonts w:hint="eastAsia" w:ascii="宋体" w:hAnsi="宋体" w:cs="宋体"/>
          <w:color w:val="000000" w:themeColor="text1"/>
          <w:sz w:val="24"/>
          <w:szCs w:val="20"/>
          <w:highlight w:val="none"/>
          <w14:textFill>
            <w14:solidFill>
              <w14:schemeClr w14:val="tx1"/>
            </w14:solidFill>
          </w14:textFill>
        </w:rPr>
        <w:t xml:space="preserve">信息技术服务管理体系认证证书和信息安全管理体系认证证书、</w:t>
      </w:r>
      <w:r>
        <w:rPr>
          <w:rFonts w:ascii="宋体" w:hAnsi="宋体" w:cs="宋体"/>
          <w:color w:val="000000" w:themeColor="text1"/>
          <w:sz w:val="24"/>
          <w:szCs w:val="20"/>
          <w:highlight w:val="none"/>
          <w14:textFill>
            <w14:solidFill>
              <w14:schemeClr w14:val="tx1"/>
            </w14:solidFill>
          </w14:textFill>
        </w:rPr>
        <w:t xml:space="preserve">质量、环境、职业健康安全管理系统认证证书</w:t>
      </w:r>
      <w:r>
        <w:rPr>
          <w:rFonts w:hint="eastAsia" w:ascii="宋体" w:hAnsi="宋体" w:cs="宋体"/>
          <w:color w:val="000000" w:themeColor="text1"/>
          <w:sz w:val="24"/>
          <w:szCs w:val="20"/>
          <w:highlight w:val="none"/>
          <w14:textFill>
            <w14:solidFill>
              <w14:schemeClr w14:val="tx1"/>
            </w14:solidFill>
          </w14:textFill>
        </w:rPr>
        <w:t xml:space="preserve">、</w:t>
      </w:r>
      <w:r>
        <w:rPr>
          <w:rFonts w:ascii="宋体" w:hAnsi="宋体" w:cs="宋体"/>
          <w:color w:val="000000" w:themeColor="text1"/>
          <w:sz w:val="24"/>
          <w:szCs w:val="20"/>
          <w:highlight w:val="none"/>
          <w14:textFill>
            <w14:solidFill>
              <w14:schemeClr w14:val="tx1"/>
            </w14:solidFill>
          </w14:textFill>
        </w:rPr>
        <w:t xml:space="preserve">温室气体审定与核查认可证书（组织核查）</w:t>
      </w:r>
      <w:r>
        <w:rPr>
          <w:rFonts w:hint="eastAsia" w:ascii="宋体" w:hAnsi="宋体" w:cs="宋体"/>
          <w:color w:val="000000" w:themeColor="text1"/>
          <w:sz w:val="24"/>
          <w:szCs w:val="20"/>
          <w:highlight w:val="none"/>
          <w14:textFill>
            <w14:solidFill>
              <w14:schemeClr w14:val="tx1"/>
            </w14:solidFill>
          </w14:textFill>
        </w:rPr>
        <w:t xml:space="preserve">、碳排放核算相关已发布标准的优先，有效的是指开标当日有效的证书。</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szCs w:val="20"/>
          <w:highlight w:val="none"/>
          <w14:textFill>
            <w14:solidFill>
              <w14:schemeClr w14:val="tx1"/>
            </w14:solidFill>
          </w14:textFill>
        </w:rPr>
        <w:t xml:space="preserve">、</w:t>
      </w:r>
      <w:r>
        <w:rPr>
          <w:rFonts w:ascii="宋体" w:hAnsi="宋体" w:eastAsia="Arial" w:cs="宋体"/>
          <w:b/>
          <w:bCs/>
          <w:color w:val="000000" w:themeColor="text1"/>
          <w:sz w:val="24"/>
          <w:szCs w:val="20"/>
          <w:highlight w:val="none"/>
          <w14:textFill>
            <w14:solidFill>
              <w14:schemeClr w14:val="tx1"/>
            </w14:solidFill>
          </w14:textFill>
        </w:rPr>
        <w:t xml:space="preserve">团队能力</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投标人需为本项目配备项目组</w:t>
      </w:r>
      <w:r>
        <w:rPr>
          <w:rFonts w:hint="eastAsia" w:ascii="宋体" w:hAnsi="宋体" w:cs="宋体"/>
          <w:color w:val="000000" w:themeColor="text1"/>
          <w:sz w:val="24"/>
          <w:szCs w:val="20"/>
          <w:highlight w:val="none"/>
          <w14:textFill>
            <w14:solidFill>
              <w14:schemeClr w14:val="tx1"/>
            </w14:solidFill>
          </w14:textFill>
        </w:rPr>
        <w:t xml:space="preserve">具，备进行多层级、多行业碳排放快速核算能力，</w:t>
      </w:r>
      <w:r>
        <w:rPr>
          <w:rFonts w:ascii="宋体" w:hAnsi="宋体" w:eastAsia="Arial" w:cs="宋体"/>
          <w:color w:val="000000" w:themeColor="text1"/>
          <w:sz w:val="24"/>
          <w:szCs w:val="20"/>
          <w:highlight w:val="none"/>
          <w14:textFill>
            <w14:solidFill>
              <w14:schemeClr w14:val="tx1"/>
            </w14:solidFill>
          </w14:textFill>
        </w:rPr>
        <w:t xml:space="preserve">并提供现场开发服务，要明确项目负责人</w:t>
      </w:r>
      <w:r>
        <w:rPr>
          <w:rFonts w:hint="eastAsia" w:ascii="宋体" w:hAnsi="宋体" w:cs="宋体"/>
          <w:color w:val="000000" w:themeColor="text1"/>
          <w:sz w:val="24"/>
          <w:szCs w:val="20"/>
          <w:highlight w:val="none"/>
          <w14:textFill>
            <w14:solidFill>
              <w14:schemeClr w14:val="tx1"/>
            </w14:solidFill>
          </w14:textFill>
        </w:rPr>
        <w:t xml:space="preserve">及项目团队</w:t>
      </w:r>
      <w:r>
        <w:rPr>
          <w:rFonts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项目团队成员具备以下证书的</w:t>
      </w:r>
      <w:r>
        <w:rPr>
          <w:rFonts w:hint="eastAsia" w:ascii="宋体" w:hAnsi="宋体" w:cs="宋体"/>
          <w:b/>
          <w:bCs/>
          <w:color w:val="000000" w:themeColor="text1"/>
          <w:sz w:val="24"/>
          <w:szCs w:val="20"/>
          <w:highlight w:val="none"/>
          <w14:textFill>
            <w14:solidFill>
              <w14:schemeClr w14:val="tx1"/>
            </w14:solidFill>
          </w14:textFill>
        </w:rPr>
        <w:t xml:space="preserve">优先</w:t>
      </w:r>
      <w:r>
        <w:rPr>
          <w:rFonts w:hint="eastAsia" w:ascii="宋体" w:hAnsi="宋体" w:cs="宋体"/>
          <w:color w:val="000000" w:themeColor="text1"/>
          <w:sz w:val="24"/>
          <w:szCs w:val="20"/>
          <w:highlight w:val="none"/>
          <w14:textFill>
            <w14:solidFill>
              <w14:schemeClr w14:val="tx1"/>
            </w14:solidFill>
          </w14:textFill>
        </w:rPr>
        <w:t xml:space="preserve">：具有高级及以上职称、具有咨询工程师(投资)执业证书、信息系统项目管理师证书、软件设计师证书。</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十一、</w:t>
      </w:r>
      <w:r>
        <w:rPr>
          <w:rFonts w:ascii="宋体" w:hAnsi="宋体" w:eastAsia="Arial" w:cs="宋体"/>
          <w:b/>
          <w:bCs/>
          <w:color w:val="000000" w:themeColor="text1"/>
          <w:sz w:val="24"/>
          <w:szCs w:val="20"/>
          <w:highlight w:val="none"/>
          <w14:textFill>
            <w14:solidFill>
              <w14:schemeClr w14:val="tx1"/>
            </w14:solidFill>
          </w14:textFill>
        </w:rPr>
        <w:t xml:space="preserve">业绩</w:t>
      </w:r>
      <w:r/>
    </w:p>
    <w:p>
      <w:pPr>
        <w:ind w:firstLine="480"/>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为了确保项目的顺利实施，投标人需具有类似项目的相关承接经验，</w:t>
      </w:r>
      <w:r>
        <w:rPr>
          <w:rFonts w:hint="eastAsia" w:ascii="宋体" w:hAnsi="宋体" w:cs="宋体"/>
          <w:color w:val="000000" w:themeColor="text1"/>
          <w:sz w:val="24"/>
          <w:highlight w:val="none"/>
          <w14:textFill>
            <w14:solidFill>
              <w14:schemeClr w14:val="tx1"/>
            </w14:solidFill>
          </w14:textFill>
        </w:rPr>
        <w:t xml:space="preserve">投标人提供近三年内（自2023年01月01日起，以合同签订日期为准）完成类似项目业绩</w:t>
      </w:r>
      <w:r>
        <w:rPr>
          <w:rFonts w:ascii="宋体" w:hAnsi="宋体" w:eastAsia="Arial" w:cs="宋体"/>
          <w:bCs/>
          <w:color w:val="000000" w:themeColor="text1"/>
          <w:sz w:val="24"/>
          <w:szCs w:val="20"/>
          <w:highlight w:val="none"/>
          <w14:textFill>
            <w14:solidFill>
              <w14:schemeClr w14:val="tx1"/>
            </w14:solidFill>
          </w14:textFill>
        </w:rPr>
        <w:t xml:space="preserve">的</w:t>
      </w:r>
      <w:r>
        <w:rPr>
          <w:rFonts w:ascii="宋体" w:hAnsi="宋体" w:eastAsia="Arial" w:cs="宋体"/>
          <w:b/>
          <w:color w:val="000000" w:themeColor="text1"/>
          <w:sz w:val="24"/>
          <w:szCs w:val="20"/>
          <w:highlight w:val="none"/>
          <w14:textFill>
            <w14:solidFill>
              <w14:schemeClr w14:val="tx1"/>
            </w14:solidFill>
          </w14:textFill>
        </w:rPr>
        <w:t xml:space="preserve">优先</w:t>
      </w:r>
      <w:r>
        <w:rPr>
          <w:rFonts w:ascii="宋体" w:hAnsi="宋体" w:eastAsia="Arial" w:cs="宋体"/>
          <w:bCs/>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类似项目包括：双碳数字化平台开发、评估或技术服务业绩，气候、能源或涉碳类相关规划或课题研究业绩，温室气体清单，碳盘查、碳核查等业绩。</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十二、采购标的对应的中小企业划分标准所属行业一览表</w:t>
      </w:r>
      <w:r/>
    </w:p>
    <w:tbl>
      <w:tblPr>
        <w:tblStyle w:val="907"/>
        <w:tblW w:w="8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4"/>
        <w:gridCol w:w="4288"/>
        <w:gridCol w:w="3644"/>
      </w:tblGrid>
      <w:tr>
        <w:trPr>
          <w:jc w:val="center"/>
          <w:tblCellSpacing w:w="0" w:type="dxa"/>
          <w:trHeight w:val="9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对应中小企业划分标准所属行业</w:t>
            </w:r>
            <w:r/>
          </w:p>
        </w:tc>
      </w:tr>
      <w:tr>
        <w:trPr>
          <w:jc w:val="center"/>
          <w:tblCellSpacing w:w="0" w:type="dxa"/>
          <w:trHeight w:val="11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盐城市碳达峰碳中和数据监测分析管理系统</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软件和信息技术服务业</w:t>
            </w:r>
            <w:r/>
          </w:p>
        </w:tc>
      </w:tr>
    </w:tbl>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bookmarkEnd w:id="31"/>
      <w:r/>
      <w:bookmarkEnd w:id="32"/>
      <w:r/>
      <w:bookmarkEnd w:id="33"/>
      <w:r/>
      <w:bookmarkEnd w:id="34"/>
      <w:r/>
      <w:bookmarkEnd w:id="35"/>
      <w:r/>
      <w:bookmarkEnd w:id="158"/>
      <w:r/>
      <w:r/>
    </w:p>
    <w:p>
      <w:pPr>
        <w:jc w:val="center"/>
        <w:spacing w:line="700" w:lineRule="exact"/>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61" w:name="_Toc203060317"/>
      <w:r/>
      <w:bookmarkStart w:id="162" w:name="_Toc120614281"/>
      <w:r/>
      <w:r/>
    </w:p>
    <w:p>
      <w:pPr>
        <w:pStyle w:val="1207"/>
        <w:numPr>
          <w:ilvl w:val="4"/>
          <w:numId w:val="0"/>
        </w:numPr>
        <w:rPr>
          <w:rFonts w:hint="eastAsia"/>
        </w:rPr>
      </w:pPr>
      <w:r>
        <w:rPr>
          <w:rFonts w:hint="eastAsia"/>
        </w:rPr>
      </w:r>
      <w:r/>
    </w:p>
    <w:p>
      <w:pPr>
        <w:pStyle w:val="1208"/>
        <w:rPr>
          <w:rFonts w:hint="eastAsia" w:ascii="黑体" w:hAnsi="黑体" w:eastAsia="黑体" w:cs="黑体"/>
          <w:color w:val="000000" w:themeColor="text1"/>
          <w:sz w:val="44"/>
          <w:szCs w:val="20"/>
          <w:highlight w:val="none"/>
          <w14:textFill>
            <w14:solidFill>
              <w14:schemeClr w14:val="tx1"/>
            </w14:solidFill>
          </w14:textFill>
        </w:rPr>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700" w:lineRule="exact"/>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000000" w:themeColor="text1"/>
          <w:sz w:val="24"/>
          <w:highlight w:val="none"/>
          <w:lang w:val="en-US" w:eastAsia="zh-CN"/>
          <w14:textFill>
            <w14:solidFill>
              <w14:schemeClr w14:val="tx1"/>
            </w14:solidFill>
          </w14:textFill>
        </w:rPr>
        <w:t xml:space="preserve">采购包2</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项目属性：服务类项目</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一、技术要求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依照有关标准和法律法规，以相关行业及国家评测标准及规范为依据，利用系统、全面、科学的评测设计和有效的评测组织实施，独立、客观、公正、定量地分析评估和报告盐城市碳达峰碳中和数据监测分析管理系统</w:t>
      </w:r>
      <w:r>
        <w:rPr>
          <w:rFonts w:hint="eastAsia" w:asciiTheme="minorEastAsia" w:hAnsiTheme="minorEastAsia" w:cstheme="minorEastAsia"/>
          <w:sz w:val="24"/>
        </w:rPr>
        <w:t xml:space="preserve">建设</w:t>
      </w:r>
      <w:r>
        <w:rPr>
          <w:rFonts w:hint="eastAsia" w:asciiTheme="minorEastAsia" w:hAnsiTheme="minorEastAsia" w:cstheme="minorEastAsia"/>
          <w:sz w:val="24"/>
          <w:szCs w:val="20"/>
        </w:rPr>
        <w:t xml:space="preserve">项目开展的整体状况，对各应用软件的功能性、性能效率、信息安全性、易用性、可靠性、兼容性、用户文档集等测评参数进行测试，为被测项目评审验收提供客观依据。通过软件评测，发现和找出系统开发阶段未满足项目设计要求并且影响上线使用的开发设计缺陷，对被测试项目进行评估，以及对项目需求规格说明书、系统设计文件、用户手册等文档开展规范性检查，指导开发方修改完善，为系统上线使用提供质量保证。</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（一）服务内容</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eastAsia="宋体" w:cs="宋体"/>
          <w:b/>
          <w:bCs/>
          <w:sz w:val="24"/>
          <w:szCs w:val="20"/>
        </w:rPr>
        <w:t xml:space="preserve">1.工作依据</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软件测试依据要求包括但不限于以下内容：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《信息技术软件工程术语》（GB／T 11457-2006）；</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《信息安全技术信息安全风险评估规范》（GB／T 20984-2022）；</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《系统与软件工程系统与软件质量要求和评价（SQuaRE） 第 51 部分：就  绪可用软件产品（RUSP）的质量要求和测试细则》（GB/T 25000.51-2016） ；</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《系统与软件工程系统与软件质量要求和评价（SQuaRE）第 10 部分：系统 与软件质量模型》（GB／T25000.10-2016）；</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《软件需求规格说明书》； </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《系统详细设计文档》；</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用户能够出具的相关行业标准及其他具体意见和要求。</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2.工作目标</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通过软件测试工作的开展，保障各被测试项目的功能开发质量和数据准确性，确保相关需求和工作标准、要求在项目实施过程当中得到严格贯彻，保证各被测试项目的平稳运行。</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（二）实施要求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投标人针对项目总体情况、各子项目进度计划情况和测试工作要求，制定整体测试工作方案，方案内容包括但不限于：测试背景、测试标准、测试流程、采用的测试方法及工具、测试质量保障、参与各方的职责。</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1.</w:t>
      </w:r>
      <w:r>
        <w:rPr>
          <w:rFonts w:ascii="宋体" w:hAnsi="宋体" w:eastAsia="宋体" w:cs="宋体"/>
          <w:b/>
          <w:bCs/>
          <w:sz w:val="24"/>
          <w:szCs w:val="20"/>
        </w:rPr>
        <w:t xml:space="preserve">实施进度要求</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投标人应</w:t>
      </w:r>
      <w:r>
        <w:rPr>
          <w:rFonts w:hint="eastAsia" w:asciiTheme="minorEastAsia" w:hAnsiTheme="minorEastAsia" w:cstheme="minorEastAsia"/>
          <w:sz w:val="24"/>
          <w:szCs w:val="20"/>
        </w:rPr>
        <w:t xml:space="preserve">从项目实施启动至项目最终验收提供软件测评服务，提交被测项目测试用例、测试记录、缺陷报告等过程文档和软件测试报告。</w:t>
      </w:r>
      <w:r>
        <w:rPr>
          <w:rFonts w:asciiTheme="minorEastAsia" w:hAnsiTheme="minorEastAsia" w:cstheme="minorEastAsia"/>
          <w:sz w:val="24"/>
          <w:szCs w:val="20"/>
        </w:rPr>
        <w:t xml:space="preserve">（因</w:t>
      </w:r>
      <w:r>
        <w:rPr>
          <w:rFonts w:hint="eastAsia" w:asciiTheme="minorEastAsia" w:hAnsiTheme="minorEastAsia" w:cstheme="minorEastAsia"/>
          <w:sz w:val="24"/>
          <w:szCs w:val="20"/>
        </w:rPr>
        <w:t xml:space="preserve">项目</w:t>
      </w:r>
      <w:r>
        <w:rPr>
          <w:rFonts w:asciiTheme="minorEastAsia" w:hAnsiTheme="minorEastAsia" w:cstheme="minorEastAsia"/>
          <w:sz w:val="24"/>
          <w:szCs w:val="20"/>
        </w:rPr>
        <w:t xml:space="preserve">建设、整改导致时间延期，工期顺延）。</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val="en-US" w:eastAsia="zh-CN"/>
        </w:rPr>
        <w:t xml:space="preserve">2</w:t>
      </w:r>
      <w:r>
        <w:rPr>
          <w:rFonts w:hint="eastAsia" w:ascii="宋体" w:hAnsi="宋体" w:eastAsia="宋体" w:cs="宋体"/>
          <w:b/>
          <w:bCs/>
          <w:sz w:val="24"/>
          <w:szCs w:val="20"/>
        </w:rPr>
        <w:t xml:space="preserve">.保密要求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w:t>
      </w:r>
      <w:r>
        <w:rPr>
          <w:rFonts w:hint="eastAsia" w:asciiTheme="minorEastAsia" w:hAnsiTheme="minorEastAsia" w:cstheme="minorEastAsia"/>
          <w:sz w:val="24"/>
          <w:szCs w:val="20"/>
          <w:lang w:eastAsia="zh-CN"/>
        </w:rPr>
        <w:t xml:space="preserve">成交人</w:t>
      </w:r>
      <w:r>
        <w:rPr>
          <w:rFonts w:hint="eastAsia" w:asciiTheme="minorEastAsia" w:hAnsiTheme="minorEastAsia" w:cstheme="minorEastAsia"/>
          <w:sz w:val="24"/>
          <w:szCs w:val="20"/>
        </w:rPr>
        <w:t xml:space="preserve">应签订保密协议，对其因身份、职务、职业或技术关系而知悉的采购人商业秘密和党政机关保密信息应严格保守，保证不被披露或使用，包括意外或过失。</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w:t>
      </w:r>
      <w:r>
        <w:rPr>
          <w:rFonts w:hint="eastAsia" w:asciiTheme="minorEastAsia" w:hAnsiTheme="minorEastAsia" w:cstheme="minorEastAsia"/>
          <w:sz w:val="24"/>
          <w:szCs w:val="20"/>
          <w:lang w:eastAsia="zh-CN"/>
        </w:rPr>
        <w:t xml:space="preserve">成交人</w:t>
      </w:r>
      <w:r>
        <w:rPr>
          <w:rFonts w:hint="eastAsia" w:asciiTheme="minorEastAsia" w:hAnsiTheme="minorEastAsia" w:cstheme="minorEastAsia"/>
          <w:sz w:val="24"/>
          <w:szCs w:val="20"/>
        </w:rPr>
        <w:t xml:space="preserve">不得以竞争为目的、或出于私利、或为第三人谋利而擅自保存、披露、使用采购人的商业秘密和党政机关保密信息；不得直接或间接地向无关人员泄露采购人的商业秘密和党政机关保密信息；不得向不承担保密义务的任何第三人披露采购人的商业秘密和党政机关保密信息。</w:t>
      </w:r>
      <w:r>
        <w:rPr>
          <w:rFonts w:hint="eastAsia" w:asciiTheme="minorEastAsia" w:hAnsiTheme="minorEastAsia" w:cstheme="minorEastAsia"/>
          <w:sz w:val="24"/>
          <w:szCs w:val="20"/>
          <w:lang w:eastAsia="zh-CN"/>
        </w:rPr>
        <w:t xml:space="preserve">成交人</w:t>
      </w:r>
      <w:r>
        <w:rPr>
          <w:rFonts w:hint="eastAsia" w:asciiTheme="minorEastAsia" w:hAnsiTheme="minorEastAsia" w:cstheme="minorEastAsia"/>
          <w:sz w:val="24"/>
          <w:szCs w:val="20"/>
        </w:rPr>
        <w:t xml:space="preserve">在从事政府项目时，不得擅自记录、复制、拍摄、摘抄、收藏在工作中涉及的保密信息，严禁将涉及政府项目的任何资料、数据透露或以其他方式提供给项目以外的其他方或</w:t>
      </w:r>
      <w:r>
        <w:rPr>
          <w:rFonts w:hint="eastAsia" w:asciiTheme="minorEastAsia" w:hAnsiTheme="minorEastAsia" w:cstheme="minorEastAsia"/>
          <w:sz w:val="24"/>
          <w:szCs w:val="20"/>
          <w:lang w:eastAsia="zh-CN"/>
        </w:rPr>
        <w:t xml:space="preserve">成交人</w:t>
      </w:r>
      <w:r>
        <w:rPr>
          <w:rFonts w:hint="eastAsia" w:asciiTheme="minorEastAsia" w:hAnsiTheme="minorEastAsia" w:cstheme="minorEastAsia"/>
          <w:sz w:val="24"/>
          <w:szCs w:val="20"/>
        </w:rPr>
        <w:t xml:space="preserve">内部与该项目无关的任何人员。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w:t>
      </w:r>
      <w:r>
        <w:rPr>
          <w:rFonts w:hint="eastAsia" w:asciiTheme="minorEastAsia" w:hAnsiTheme="minorEastAsia" w:cstheme="minorEastAsia"/>
          <w:sz w:val="24"/>
          <w:szCs w:val="20"/>
          <w:lang w:eastAsia="zh-CN"/>
        </w:rPr>
        <w:t xml:space="preserve">成交人</w:t>
      </w:r>
      <w:r>
        <w:rPr>
          <w:rFonts w:hint="eastAsia" w:asciiTheme="minorEastAsia" w:hAnsiTheme="minorEastAsia" w:cstheme="minorEastAsia"/>
          <w:sz w:val="24"/>
          <w:szCs w:val="20"/>
        </w:rPr>
        <w:t xml:space="preserve">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（4）严禁泄露在工作中接触的政府机关科技研究、发明、装备器材及其技术资料和政府工作信息。</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二、</w:t>
      </w:r>
      <w:r>
        <w:rPr>
          <w:rFonts w:ascii="宋体" w:hAnsi="宋体" w:eastAsia="宋体" w:cs="宋体"/>
          <w:b/>
          <w:bCs/>
          <w:sz w:val="24"/>
          <w:szCs w:val="20"/>
        </w:rPr>
        <w:t xml:space="preserve">商务要求</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w:t>
      </w:r>
      <w:r>
        <w:rPr>
          <w:rFonts w:ascii="Times New Roman" w:hAnsi="Times New Roman" w:cs="Times New Roman"/>
          <w:b/>
          <w:bCs/>
          <w:sz w:val="24"/>
          <w:szCs w:val="20"/>
        </w:rPr>
        <w:t xml:space="preserve">服务周期</w:t>
      </w:r>
      <w:r/>
    </w:p>
    <w:p>
      <w:pPr>
        <w:ind w:firstLine="480"/>
        <w:jc w:val="left"/>
        <w:spacing w:line="560" w:lineRule="exact"/>
        <w:widowControl/>
        <w:rPr>
          <w:rFonts w:hint="eastAsia" w:asciiTheme="minorEastAsia" w:hAnsiTheme="minorEastAsia" w:cstheme="minorEastAsia"/>
          <w:sz w:val="24"/>
          <w:szCs w:val="20"/>
          <w:lang w:val="en-US" w:eastAsia="zh-CN"/>
        </w:rPr>
      </w:pPr>
      <w:r>
        <w:rPr>
          <w:rFonts w:hint="eastAsia" w:asciiTheme="minorEastAsia" w:hAnsiTheme="minorEastAsia" w:cstheme="minorEastAsia"/>
          <w:sz w:val="24"/>
          <w:szCs w:val="20"/>
          <w:lang w:val="en-US" w:eastAsia="zh-CN"/>
        </w:rPr>
        <w:t xml:space="preserve">自签订测试服务合同之日起开始，直到所测试项目终验合格。(具体履行期按采购人通知为准)。</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w:t>
      </w:r>
      <w:r>
        <w:rPr>
          <w:rFonts w:ascii="Times New Roman" w:hAnsi="Times New Roman" w:cs="Times New Roman"/>
          <w:b/>
          <w:bCs/>
          <w:sz w:val="24"/>
          <w:szCs w:val="20"/>
        </w:rPr>
        <w:t xml:space="preserve">服务地点</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根据采购人需求至指定服务地点开展工作。</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（三）</w:t>
      </w:r>
      <w:r>
        <w:rPr>
          <w:rFonts w:ascii="Times New Roman" w:hAnsi="Times New Roman" w:cs="Times New Roman"/>
          <w:b/>
          <w:bCs/>
          <w:sz w:val="24"/>
          <w:szCs w:val="20"/>
        </w:rPr>
        <w:t xml:space="preserve">服务验收</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中标</w:t>
      </w:r>
      <w:r>
        <w:rPr>
          <w:rFonts w:hint="eastAsia" w:asciiTheme="minorEastAsia" w:hAnsiTheme="minorEastAsia" w:cstheme="minorEastAsia"/>
          <w:sz w:val="24"/>
          <w:szCs w:val="20"/>
        </w:rPr>
        <w:t xml:space="preserve">投标人</w:t>
      </w:r>
      <w:r>
        <w:rPr>
          <w:rFonts w:asciiTheme="minorEastAsia" w:hAnsiTheme="minorEastAsia" w:cstheme="minorEastAsia"/>
          <w:sz w:val="24"/>
          <w:szCs w:val="20"/>
        </w:rPr>
        <w:t xml:space="preserve">完成合同约定的所有服务内容，</w:t>
      </w:r>
      <w:r>
        <w:rPr>
          <w:rFonts w:hint="eastAsia" w:asciiTheme="minorEastAsia" w:hAnsiTheme="minorEastAsia" w:cstheme="minorEastAsia"/>
          <w:sz w:val="24"/>
          <w:szCs w:val="20"/>
        </w:rPr>
        <w:t xml:space="preserve">提供软件测评服务，提交被测项目测试用例、测试记录、缺陷报告等过程文档和软件测试报告</w:t>
      </w:r>
      <w:r>
        <w:rPr>
          <w:rFonts w:asciiTheme="minorEastAsia" w:hAnsiTheme="minorEastAsia" w:cstheme="minorEastAsia"/>
          <w:sz w:val="24"/>
          <w:szCs w:val="20"/>
        </w:rPr>
        <w:t xml:space="preserve">，完成本项目的验收。</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（四）</w:t>
      </w:r>
      <w:r>
        <w:rPr>
          <w:rFonts w:ascii="Times New Roman" w:hAnsi="Times New Roman" w:cs="Times New Roman"/>
          <w:b/>
          <w:bCs/>
          <w:sz w:val="24"/>
          <w:szCs w:val="20"/>
        </w:rPr>
        <w:t xml:space="preserve">支付条款</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合同签订后，甲方收到预付款发票后10个工作日内，预付款支付比例：合同金额的30%。</w:t>
      </w:r>
      <w:r/>
    </w:p>
    <w:p>
      <w:pPr>
        <w:ind w:firstLine="482"/>
        <w:jc w:val="left"/>
        <w:spacing w:line="560" w:lineRule="exact"/>
        <w:widowControl/>
        <w:rPr>
          <w:rFonts w:hint="eastAsia" w:ascii="宋体" w:hAnsi="宋体" w:cs="宋体"/>
          <w:b/>
          <w:bCs/>
          <w:color w:val="000000" w:themeColor="text1"/>
          <w:sz w:val="24"/>
          <w:szCs w:val="20"/>
          <w:highlight w:val="none"/>
          <w:lang w:val="en-US" w:eastAsia="zh-CN"/>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t xml:space="preserve">经甲方组织竣工验收合格后</w:t>
      </w:r>
      <w:r>
        <w:rPr>
          <w:rFonts w:hint="eastAsia" w:ascii="宋体" w:hAnsi="宋体" w:cs="宋体"/>
          <w:color w:val="000000" w:themeColor="text1"/>
          <w:sz w:val="24"/>
          <w:szCs w:val="20"/>
          <w:highlight w:val="none"/>
          <w:lang w:val="en-US" w:eastAsia="zh-CN"/>
          <w14:textFill>
            <w14:solidFill>
              <w14:schemeClr w14:val="tx1"/>
            </w14:solidFill>
          </w14:textFill>
        </w:rPr>
        <w:t xml:space="preserve">付清余款(</w:t>
      </w:r>
      <w:r>
        <w:rPr>
          <w:rFonts w:ascii="宋体" w:hAnsi="宋体" w:cs="宋体"/>
          <w:color w:val="000000" w:themeColor="text1"/>
          <w:sz w:val="24"/>
          <w:szCs w:val="20"/>
          <w:highlight w:val="none"/>
          <w14:textFill>
            <w14:solidFill>
              <w14:schemeClr w14:val="tx1"/>
            </w14:solidFill>
          </w14:textFill>
        </w:rPr>
        <w:t xml:space="preserve">甲方收到乙方发票10个工作日内支付款项</w:t>
      </w:r>
      <w:r>
        <w:rPr>
          <w:rFonts w:hint="eastAsia" w:ascii="宋体" w:hAnsi="宋体" w:cs="宋体"/>
          <w:color w:val="000000" w:themeColor="text1"/>
          <w:sz w:val="24"/>
          <w:szCs w:val="20"/>
          <w:highlight w:val="none"/>
          <w:lang w:val="en-US" w:eastAsia="zh-CN"/>
          <w14:textFill>
            <w14:solidFill>
              <w14:schemeClr w14:val="tx1"/>
            </w14:solidFill>
          </w14:textFill>
        </w:rPr>
        <w:t xml:space="preserve">)</w:t>
      </w:r>
      <w:r>
        <w:rPr>
          <w:rFonts w:hint="eastAsia" w:asciiTheme="minorEastAsia" w:hAnsiTheme="minorEastAsia" w:cstheme="minorEastAsia"/>
          <w:sz w:val="24"/>
          <w:szCs w:val="20"/>
        </w:rPr>
        <w:t xml:space="preserve">。</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三、技术方案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投标人应根据采购需求和本项目实际，制订相应的方案，包括但不限于以下内容：</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（一）软件测评方案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根据依据国家标准及系统需求规格说明书等的要求，对功能性、性能效率、信息安全性、易用性、可靠性、兼容性、用户文档集进行测试，并分别设计测试方案，</w:t>
      </w:r>
      <w:r>
        <w:rPr>
          <w:rFonts w:hint="eastAsia" w:ascii="宋体" w:hAnsi="宋体" w:eastAsia="Arial" w:cs="宋体"/>
          <w:sz w:val="24"/>
          <w:szCs w:val="20"/>
        </w:rPr>
        <w:t xml:space="preserve">方案应至少包含</w:t>
      </w:r>
      <w:r>
        <w:rPr>
          <w:rFonts w:hint="eastAsia" w:asciiTheme="minorEastAsia" w:hAnsiTheme="minorEastAsia" w:cstheme="minorEastAsia"/>
          <w:sz w:val="24"/>
          <w:szCs w:val="20"/>
        </w:rPr>
        <w:t xml:space="preserve">：</w:t>
      </w:r>
      <w:r/>
    </w:p>
    <w:p>
      <w:pPr>
        <w:ind w:firstLine="480"/>
        <w:jc w:val="left"/>
        <w:spacing w:line="560" w:lineRule="exact"/>
        <w:widowControl/>
        <w:rPr>
          <w:rFonts w:hint="eastAsia" w:asciiTheme="minorEastAsia" w:hAnsiTheme="minorEastAsia" w:cstheme="minorEastAsia"/>
          <w:b/>
          <w:bCs/>
          <w:sz w:val="24"/>
          <w:szCs w:val="20"/>
        </w:rPr>
      </w:pPr>
      <w:r>
        <w:rPr>
          <w:rFonts w:hint="eastAsia" w:asciiTheme="minorEastAsia" w:hAnsiTheme="minorEastAsia" w:cstheme="minorEastAsia"/>
          <w:b/>
          <w:bCs/>
          <w:sz w:val="24"/>
          <w:szCs w:val="20"/>
        </w:rPr>
        <w:t xml:space="preserve">1.功能性测试方案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功能性测试方案至少包括：功能适合性、功能完备性、功能正确性3方面测试。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系统的功能性是指当软件在指定条件下使用时，软件产品提供满足明确和隐含要求的功能与能力。根据GB／T25000.51-2016《系统与软件工程系统与软件质量要求和评价（SQuaRE）第51部分：就绪可用软件产品（RUSP）的质量要求和测试细则》的要求，功能性测试主要包括以下3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适合性：分析被测对象功能需求，依据《需求规格说明书》和《系统详细设计文档》要求验证系统是否实现了全部需求，确保各项功能是可执行的；对系统业务数据进行严格的正确性测试（包括数据是否超出正常的值范围、数据准确性等），确保系统实时数据和历史数据准确无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功能完备性：在给定的限制范围内，使用相应的环境设施、器材和数据，测试用户文档集中所陈述的所有功能是否全部覆盖；测试软件是否符合产品说明所引用的任何需求文档中的全部要求。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正确性：对具有功能正确性要求的功能，依据等价类法和边界值法选定具有覆盖性的测试数据作为输入，设计用例，并计算出这些输入的预期结果。执行用例，记录软件的实际输入结果，比较实际结果与预期结果间的差异；根据软件计算功能的精度（如数据处理精度、时间控制精度、时间测量精度）要求，设计测试用例，验证软件运算功能结果精度及有效位，是否与用户需求或需求规格说明书中对精度和有效位的要求相一致。</w:t>
      </w:r>
      <w:r/>
    </w:p>
    <w:p>
      <w:pPr>
        <w:ind w:firstLine="480"/>
        <w:jc w:val="left"/>
        <w:spacing w:line="560" w:lineRule="exact"/>
        <w:widowControl/>
        <w:rPr>
          <w:rFonts w:hint="eastAsia" w:asciiTheme="minorEastAsia" w:hAnsiTheme="minorEastAsia" w:cstheme="minorEastAsia"/>
          <w:b/>
          <w:bCs/>
          <w:sz w:val="24"/>
          <w:szCs w:val="20"/>
        </w:rPr>
      </w:pPr>
      <w:r>
        <w:rPr>
          <w:rFonts w:hint="eastAsia" w:asciiTheme="minorEastAsia" w:hAnsiTheme="minorEastAsia" w:cstheme="minorEastAsia"/>
          <w:b/>
          <w:bCs/>
          <w:sz w:val="24"/>
          <w:szCs w:val="20"/>
        </w:rPr>
        <w:t xml:space="preserve">2.性能效率测试方案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性能效率测试方案至少包括：平均响应时间、平均吞吐量、数据库性能3方面测试。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根据GB/T25000.51-2016《系统与软件工程系统与软件质量要求和评价（SQuaRE）第51部分：就绪可用软件产品（RUSP）的质量要求和测试细则》的要求对软件的性能效率进行测试。性能效率测试主要包括以下方面：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平均响应时间：根据软件产品的特性，依据需求规格说明书的要求，选取数据量较大和用户操作最频繁的测试场景，设计测试用例并利用性能测试工具，测试软件产品在一定量用户并发访问时运行典型任务的响应时间。</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平均吞吐量：根据软件产品的特性，依据需求规格说明书的要求，选取数据量较大和用户操作最频繁的测试场景，设计测试用例并利用性能测试工具，在多个用户访问时，在一个设定的单位时间内，测试系统能处理的并发任务的平均数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数据库性能：根据软件产品特性，依据需求规格说明书的要求，选择复杂查询、高频读写等场景设计用例，用专业工具模拟多用户并发操作，测数据库操作响应时间、事务成功率及资源利用率，评估其性能。</w:t>
      </w:r>
      <w:r/>
    </w:p>
    <w:p>
      <w:pPr>
        <w:ind w:firstLine="480"/>
        <w:jc w:val="left"/>
        <w:spacing w:line="560" w:lineRule="exact"/>
        <w:widowControl/>
        <w:rPr>
          <w:rFonts w:hint="eastAsia" w:asciiTheme="minorEastAsia" w:hAnsiTheme="minorEastAsia" w:cstheme="minorEastAsia"/>
          <w:b/>
          <w:bCs/>
          <w:sz w:val="24"/>
          <w:szCs w:val="20"/>
        </w:rPr>
      </w:pPr>
      <w:r>
        <w:rPr>
          <w:rFonts w:hint="eastAsia" w:asciiTheme="minorEastAsia" w:hAnsiTheme="minorEastAsia" w:cstheme="minorEastAsia"/>
          <w:b/>
          <w:bCs/>
          <w:sz w:val="24"/>
          <w:szCs w:val="20"/>
        </w:rPr>
        <w:t xml:space="preserve">3.信息安全性测试方案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信息安全性测试方案至少包括：保密性、完整性、真实性3方面测试。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根据GB/T25000.51-2016《系统与软件工程系统与软件质量要求和评价（SQuaRE）第51部分：就绪可用软件产品（RUSP）的质量要求和测试细则》的要求对软件进行信息安全性测试，主要包括以下方面：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保密性：验证软件产品是否具有对系统正常访问的控制能力；测试系统是否进行用户身份鉴别，并在每次用户登录系统时进行鉴别；测试软件鉴别信息是否为不可见，且具有相应的抗攻击能力，并在存储或传输时用加密方法/具有相同安全强度的其他方法进行安全保护。</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完整性：验证软件产品是否具有对未授权用户非法访问的控制能力；在模拟非法入侵攻击事件的条件下，验证软件产品是否有控制和处理能力。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真实性：验证软件是否具有当前使用系统的用户列表和配置表；验证软件在系统的访问历史数据库中记录的访问登录记录是否完整；检查软件是否具有用户使用系统的历史日志及日志管理功能等。</w:t>
      </w:r>
      <w:r/>
    </w:p>
    <w:p>
      <w:pPr>
        <w:ind w:firstLine="480"/>
        <w:jc w:val="left"/>
        <w:spacing w:line="560" w:lineRule="exact"/>
        <w:widowControl/>
        <w:rPr>
          <w:rFonts w:hint="eastAsia" w:asciiTheme="minorEastAsia" w:hAnsiTheme="minorEastAsia" w:cstheme="minorEastAsia"/>
          <w:b/>
          <w:bCs/>
          <w:sz w:val="24"/>
          <w:szCs w:val="20"/>
        </w:rPr>
      </w:pPr>
      <w:r>
        <w:rPr>
          <w:rFonts w:hint="eastAsia" w:asciiTheme="minorEastAsia" w:hAnsiTheme="minorEastAsia" w:cstheme="minorEastAsia"/>
          <w:b/>
          <w:bCs/>
          <w:sz w:val="24"/>
          <w:szCs w:val="20"/>
        </w:rPr>
        <w:t xml:space="preserve">4.易用性测试方案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易用性测试方案至少包括：可辨识性、易学性、易操作性、界面舒适性4方面测试。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根据GB／T25000.51-2016《系统与软件工程系统与软件质量要求和评价（SQuaRE）第51部分：就绪可用软件产品（RUSP）的质量要求和测试细则》的要求，易用性测试主要包括以下4方面：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辨识性：用户或使用者是否可通过检查界面（或通过检查菜单）来落实明显的功能；软件产品的用户或使用者是否能理解数据输入的格式；软件产品的用户或使用者是否能正确识别输出数据的含义：软件产品的屏幕输入格式、报表和其他输出对用户来说是否是清晰且易理解的。</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易学性：系统是否提供及时帮助功能；帮助内容描述得是否准确，详细到可以解决问题；利用帮助索引是否能定位到帮助主题和内容；是否具有打印功能；目录是否划分有层次。</w:t>
      </w:r>
      <w:r/>
    </w:p>
    <w:p>
      <w:pPr>
        <w:ind w:firstLine="480"/>
        <w:jc w:val="left"/>
        <w:spacing w:line="560" w:lineRule="exact"/>
        <w:widowControl/>
        <w:rPr>
          <w:sz w:val="24"/>
        </w:rPr>
      </w:pPr>
      <w:r>
        <w:rPr>
          <w:rFonts w:hint="eastAsia" w:asciiTheme="minorEastAsia" w:hAnsiTheme="minorEastAsia" w:cstheme="minorEastAsia"/>
          <w:sz w:val="24"/>
          <w:szCs w:val="20"/>
        </w:rPr>
        <w:t xml:space="preserve">易操作性：窗口控件的大小、对齐方向、颜色、背景等属性的设置值是否和程序设计规约相一致：多个窗口叠加时窗口的名称是否显示正确；菜单项的措辞是否准确；菜单项的顺序是否合理；下拉菜单是否根据菜单选项的含义</w:t>
      </w:r>
      <w:r>
        <w:rPr>
          <w:rFonts w:hint="eastAsia" w:ascii="Times New Roman" w:hAnsi="Times New Roman" w:cs="Times New Roman"/>
          <w:sz w:val="24"/>
        </w:rPr>
        <w:t xml:space="preserve">进行分组；是否可以通过鼠标访问所有的菜单功能；不同的目标是否采用不同的图标等。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界面舒适性：界面中元素的文字、颜色等信息是否与功能一致：布局是否一致，如所有窗口按钮的位置和对齐方式要一致；窗口的比例是否合适；界面中的元素大小和布局是否协调等。</w:t>
      </w:r>
      <w:r/>
    </w:p>
    <w:p>
      <w:pPr>
        <w:ind w:firstLine="480"/>
        <w:jc w:val="left"/>
        <w:spacing w:line="560" w:lineRule="exact"/>
        <w:widowControl/>
        <w:rPr>
          <w:rFonts w:hint="eastAsia" w:asciiTheme="minorEastAsia" w:hAnsiTheme="minorEastAsia" w:cstheme="minorEastAsia"/>
          <w:b/>
          <w:bCs/>
          <w:sz w:val="24"/>
          <w:szCs w:val="20"/>
        </w:rPr>
      </w:pPr>
      <w:r>
        <w:rPr>
          <w:rFonts w:hint="eastAsia" w:asciiTheme="minorEastAsia" w:hAnsiTheme="minorEastAsia" w:cstheme="minorEastAsia"/>
          <w:b/>
          <w:bCs/>
          <w:sz w:val="24"/>
          <w:szCs w:val="20"/>
        </w:rPr>
        <w:t xml:space="preserve">5.可靠性测试方案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可靠性测试方案至少包括：成熟性、可用性、容错性、易恢复性4方面测试。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根据GB／T25000.51-2016《系统与软件工程系统与软件质量要求和评价（SQuaRE）第51部分：就绪可用软件产品（RUSP）的质量要求和测试细则》的要求，可靠性测试主要包括以下4方面：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成熟性：在24小时正常运行情况下，验证软件产品是否出现故障；在非正常运行情况下（如：有用户接口出错、应用程序自身的逻辑出错、系统或网络资源可用性引发差错）,验证软件产品是否有继续运行的能力。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可用性：测试软件是否在用户需要使用时可用。</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容错性：在正常运行的情况下，验证软件产品运行过程中是否出现死机；在非正常运行的情况下，验证软件产品运行过程中是否出现死机；在正常运行的情况下，验证软件产品运行过程中是否失效等。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易恢复性：在模拟生产环境下，验证软件产品是否能执行所有的用户操作；在数据库毁坏的情况下，验证软件产品能否重新启动；在异常情况下，验证软件产品是否有修复能力，且修复能力是否有效等。</w:t>
      </w:r>
      <w:r/>
    </w:p>
    <w:p>
      <w:pPr>
        <w:ind w:firstLine="480"/>
        <w:jc w:val="left"/>
        <w:spacing w:line="560" w:lineRule="exact"/>
        <w:widowControl/>
        <w:rPr>
          <w:rFonts w:hint="eastAsia" w:asciiTheme="minorEastAsia" w:hAnsiTheme="minorEastAsia" w:cstheme="minorEastAsia"/>
          <w:b/>
          <w:bCs/>
          <w:sz w:val="24"/>
          <w:szCs w:val="20"/>
        </w:rPr>
      </w:pPr>
      <w:r>
        <w:rPr>
          <w:rFonts w:hint="eastAsia" w:asciiTheme="minorEastAsia" w:hAnsiTheme="minorEastAsia" w:cstheme="minorEastAsia"/>
          <w:b/>
          <w:bCs/>
          <w:sz w:val="24"/>
          <w:szCs w:val="20"/>
        </w:rPr>
        <w:t xml:space="preserve">6.兼容性测试方案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兼容性测试方案至少包括：共存性、互操作性2方面测试。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根据GB/T25000.51-2016《系统与软件工程系统与软件质量要求和评价（SQuaRE）第51部分：就绪可用软件产品（RUSP）的质量要求和测试细则》的要求，主要包括以下2方面：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共存性：在与其他产品共享通用的环境和资源的条件下，产品能够有效执行其所需的功能并且不会对其他产品造成负面影响。</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互操作性：两个或多个系统、产品或组件能够交换信息并使用已交换的信息的程度。</w:t>
      </w:r>
      <w:r/>
    </w:p>
    <w:p>
      <w:pPr>
        <w:ind w:firstLine="480"/>
        <w:jc w:val="left"/>
        <w:spacing w:line="560" w:lineRule="exact"/>
        <w:widowControl/>
        <w:rPr>
          <w:rFonts w:hint="eastAsia" w:asciiTheme="minorEastAsia" w:hAnsiTheme="minorEastAsia" w:cstheme="minorEastAsia"/>
          <w:b/>
          <w:bCs/>
          <w:sz w:val="24"/>
          <w:szCs w:val="20"/>
        </w:rPr>
      </w:pPr>
      <w:r>
        <w:rPr>
          <w:rFonts w:hint="eastAsia" w:asciiTheme="minorEastAsia" w:hAnsiTheme="minorEastAsia" w:cstheme="minorEastAsia"/>
          <w:b/>
          <w:bCs/>
          <w:sz w:val="24"/>
          <w:szCs w:val="20"/>
        </w:rPr>
        <w:t xml:space="preserve">7.用户文档集测试方案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用户文档集测试方案至少包括：完备性、一致性、正确性、易理解性4方面测试。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完备性：用户文档集应包含使用该软件必需的信息，用户文档集应说明在产品说明中陈述的所有功能以及最终用户能调用的所有功能。</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文档集应列出已处理处置、会引起应用系统失效或终止的差错和缺陷,特别是列出那些最终导致数据丢失的应用系统终止的情况，用户文档集应给出必要数据的备份和恢复指南，对于所有关键的软件功能（即失效后会对安全产生影响或会造成重大财产损失或社会损失的软件）,用户文档集应提供完备的指导信息和参考信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一致性：用户文档集中的各文档不应自相矛盾、互相矛盾以及与产品说明矛盾。</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正确性：用户文档集中的所有信息对主要的目标用户应是恰当的。用户文档集不应有歧义的信息。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易理解性：用户文档集应采用该软件特定读者可理解的术语和文体,应通过经编排的文档清单为理解用户文档集提供便利。</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（二）项目管理方案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方案应至少包含:</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b/>
          <w:bCs/>
          <w:sz w:val="24"/>
          <w:szCs w:val="20"/>
        </w:rPr>
        <w:t xml:space="preserve">1.团队配置</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提供项目组织架构图，列明项目经理、团队人员的人员资质；人员稳定性保障措施。</w:t>
      </w:r>
      <w:r/>
    </w:p>
    <w:p>
      <w:pPr>
        <w:ind w:firstLine="480"/>
        <w:jc w:val="left"/>
        <w:spacing w:line="560" w:lineRule="exact"/>
        <w:widowControl/>
        <w:rPr>
          <w:rFonts w:hint="eastAsia" w:asciiTheme="minorEastAsia" w:hAnsiTheme="minorEastAsia" w:cstheme="minorEastAsia"/>
          <w:sz w:val="24"/>
          <w:szCs w:val="20"/>
          <w:lang w:eastAsia="zh-CN"/>
        </w:rPr>
      </w:pP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1</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组织架构</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 </w:t>
      </w:r>
      <w:r>
        <w:rPr>
          <w:rFonts w:hint="eastAsia" w:asciiTheme="minorEastAsia" w:hAnsiTheme="minorEastAsia" w:cstheme="minorEastAsia"/>
          <w:sz w:val="24"/>
          <w:szCs w:val="20"/>
          <w:lang w:val="en-US" w:eastAsia="zh-CN"/>
        </w:rPr>
        <w:t xml:space="preserve">1）</w:t>
      </w:r>
      <w:r>
        <w:rPr>
          <w:rFonts w:hint="eastAsia" w:asciiTheme="minorEastAsia" w:hAnsiTheme="minorEastAsia" w:cstheme="minorEastAsia"/>
          <w:sz w:val="24"/>
          <w:szCs w:val="20"/>
        </w:rPr>
        <w:t xml:space="preserve">项目经理</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具备3年及以上软件测评项目全盘管理经验，熟悉软件测评国家标准、行业规范及采购人项目管理流程；具备较强的项目统筹、风险管控、跨方协调能力，可独立解决测评过程中的技术争议、进度偏差、协作纠纷等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2）</w:t>
      </w:r>
      <w:r>
        <w:rPr>
          <w:rFonts w:hint="eastAsia" w:asciiTheme="minorEastAsia" w:hAnsiTheme="minorEastAsia" w:cstheme="minorEastAsia"/>
          <w:sz w:val="24"/>
          <w:szCs w:val="20"/>
        </w:rPr>
        <w:t xml:space="preserve">测评技术负责人</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具备3年及以上软件测评技术研发与落地经验；精通软件功能、性能、安全、接口、兼容性全维度测评体系，熟练掌握主流测评工具；熟悉软件工程开发流程，可精准判定软件缺陷等级、分析缺陷成因，制定科学合理的整改验证标准，具备丰富的软硬件协同问题排查经验。</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3）</w:t>
      </w:r>
      <w:r>
        <w:rPr>
          <w:rFonts w:hint="eastAsia" w:asciiTheme="minorEastAsia" w:hAnsiTheme="minorEastAsia" w:cstheme="minorEastAsia"/>
          <w:sz w:val="24"/>
          <w:szCs w:val="20"/>
        </w:rPr>
        <w:t xml:space="preserve"> 专项测评工程师（功能/性能/安全/兼容性）</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各岗位工程具有2年及以上对应专项测评工作经验；熟练掌握对应模块的测评方法、用例设计、缺陷识别、数据统计技能；熟悉各类操作系统、浏览器、服务器环境，能够独立完成测评用例编写、现场测试、问题记录、数据复盘工作，严格遵循测评标准化流程，保障测评结果真实、精准、可追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en-US" w:eastAsia="zh-CN"/>
        </w:rPr>
        <w:t xml:space="preserve">2</w:t>
      </w:r>
      <w:r>
        <w:rPr>
          <w:rFonts w:hint="eastAsia" w:asciiTheme="minorEastAsia" w:hAnsiTheme="minorEastAsia" w:cstheme="minorEastAsia"/>
          <w:sz w:val="24"/>
          <w:szCs w:val="20"/>
        </w:rPr>
        <w:t xml:space="preserve">）人员稳定性保障措施</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软件测评工作具备连续性、专业性、连贯性特点，人员变动易导致测评标准偏差、漏测返工、进度滞后，为保障项目团队全程稳定，制定专项人员保障措施：</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专属定岗机制：本项目所有团队成员均为专职定岗，签订项目专属岗位责任书，项目周期内不得抽调参与其他项目核心工作，不得随意调岗、离岗，确保人员全程在岗履职。</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人员锁定与报备机制：项目启动后3个工作日内，向采购人提交全套项目团队人员名单、资质证书、从业履历备案，项目周期内如需人员调整，提前7个工作日向采购人提交书面申请，说明调整原因及替补人员资质资料，经采购人审核同意后方可调整，且替补人员资质、经验不低于原岗位标准。</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备份储备机制：针对各核心测评岗位，提前储备1名同资质、同经验备用人员，完成项目前期交底、流程熟悉、标准对接工作，若在岗人员出现突发离岗、休假等情况，备用人员可无缝衔接，不中断测评工作、不影响项目进度。</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岗位交接标准化机制：建立完善的岗位工作台账、测评进度台账、缺陷台账、技术标准台账，所有工作全程留痕；若发生人员调整，严格执行标准化交接流程，1个工作日内完成工作内容、未完成事项、核心资料、对接事项的全面交接，由项目经理、技术负责人双重核验，确保工作无断层、标准无偏差。</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团队激励与考核机制：建立项目专项考核体系，将人员在岗稳定性、工作完成质量、测评精准度、协作配合度纳入考核，考核结果与绩效直接挂钩；对全程稳定在岗、工作优质的人员给予专项激励，杜绝主动离职、消极怠工等问题，稳定团队核心力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技术传承机制：定期开展团队内部技术复盘、经验共享会议，统一测评标准、缺陷判定口径、工作流程，避免单人技术壁垒，实现团队整体技术能力同质化，降低人员变动对项目质量的影响。</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b/>
          <w:bCs/>
          <w:sz w:val="24"/>
          <w:szCs w:val="20"/>
        </w:rPr>
        <w:t xml:space="preserve">2.沟通协调</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明确与</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的专职对接人、沟通频率及核心沟通内容；说明与软件开发方的缺陷反馈、整改验证协作机制；沟通记录需书面归档并提交</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en-US" w:eastAsia="zh-CN"/>
        </w:rPr>
        <w:t xml:space="preserve">1</w:t>
      </w:r>
      <w:r>
        <w:rPr>
          <w:rFonts w:hint="eastAsia" w:asciiTheme="minorEastAsia" w:hAnsiTheme="minorEastAsia" w:cstheme="minorEastAsia"/>
          <w:sz w:val="24"/>
          <w:szCs w:val="20"/>
        </w:rPr>
        <w:t xml:space="preserve">）与</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沟通对接机制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 专职对接人设置</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设立项目专属专职对接专员，全程唯一对接采购人，负责所有日常沟通、资料报送、问题反馈、需求对接、进度汇报工作；项目经理为总对接负责人，负责重大问题、争议问题、项目变更的专项对接，杜绝多人多头对接、信息混乱问题，保障采购人对接渠道统一、高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2</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标准化沟通频率</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结合软件测评项目阶段性特点，实行分层定时沟通机制，具体频率如下：</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日常常态化沟通：工作日每日17:00前，专职对接人向采购人同步当日测评工作进度、完成内容、现存问题、次日工作计划；</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周度正式沟通：每周五开展周例会，提交周度测评工作报告，同步本周测评成果、缺陷统计、进度偏差、风险隐患，对接采购人最新工作要求；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月度专项沟通：每月末开展月度总结会，汇报月度测评整体进度、质量情况、整改闭环情况、下月工作规划；</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节点专项沟通：项目启动、测评方案定稿、首轮测评完成、缺陷整改复核、项目收尾、报告出具等关键节点，第一时间专项对接汇报；</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紧急事项即时沟通：出现重大测评问题、需求变更、进度风险、争议问题，5分钟内启动即时沟通，快速协同解决。</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3</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核心沟通内容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前期对接：测评方案、测评范围、测评标准、用例规划的确认对接，同步项目整体实施计划、人员配置、进度节点；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过程对接：每日/每周测评进度、已完成测评模块、未完成工作、现存技术问题、项目风险预警；</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缺陷对接：重大软件缺陷汇总、缺陷等级判定、整改建议、整改进度、复核结果同步；</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变更对接：项目范围、测评标准、进度计划的变更申请及确认对接；</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成果对接：阶段性测评报告、最终测评报告、全套归档资料的报送与确认；</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需求对接：及时响应采购人的查询、核查、抽检、整改督办等各项工作要求。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en-US" w:eastAsia="zh-CN"/>
        </w:rPr>
        <w:t xml:space="preserve">2</w:t>
      </w:r>
      <w:r>
        <w:rPr>
          <w:rFonts w:hint="eastAsia" w:asciiTheme="minorEastAsia" w:hAnsiTheme="minorEastAsia" w:cstheme="minorEastAsia"/>
          <w:sz w:val="24"/>
          <w:szCs w:val="20"/>
        </w:rPr>
        <w:t xml:space="preserve">）与软件开发方缺陷反馈、整改验证协作机制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针对软件测评核心的“缺陷发现-反馈-整改-复核-闭环”全流程，建立标准化、闭环式协作机制，明确各方权责，杜绝缺陷遗漏、整改不到位、闭环不及时等问题。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 </w:t>
      </w:r>
      <w:r>
        <w:rPr>
          <w:rFonts w:hint="eastAsia" w:asciiTheme="minorEastAsia" w:hAnsiTheme="minorEastAsia" w:cstheme="minorEastAsia"/>
          <w:sz w:val="24"/>
          <w:szCs w:val="20"/>
          <w:lang w:val="en-US" w:eastAsia="zh-CN"/>
        </w:rPr>
        <w:t xml:space="preserve">1）</w:t>
      </w:r>
      <w:r>
        <w:rPr>
          <w:rFonts w:hint="eastAsia" w:asciiTheme="minorEastAsia" w:hAnsiTheme="minorEastAsia" w:cstheme="minorEastAsia"/>
          <w:sz w:val="24"/>
          <w:szCs w:val="20"/>
        </w:rPr>
        <w:t xml:space="preserve">缺陷反馈机制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精准记录：测评工程师发现软件缺陷后，即时按照标准模板记录缺陷信息，包含缺陷位置、缺陷现象、复现步骤、影响范围、风险等级（轻微/一般/严重/致命）、截图及日志佐证，由技术负责人审核确认；</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定时批量反馈：每日18:00由专职对接人汇总当日所有有效缺陷，形成《软件缺陷问题清单》，正式书面反馈至软件开发方，明确整改时限、整改标准及复核要求；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重大缺陷即时反馈：发现致命、严重级缺陷，立即暂停对应模块测评，1小时内整理专项缺陷资料，同步反馈软件开发方，同步告知采购人，启动紧急整改流程；</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问题答疑对接：针对缺陷判定标准、问题争议点，主动与开发方沟通答疑，统一认知，避免分歧延误整改。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2）</w:t>
      </w:r>
      <w:r>
        <w:rPr>
          <w:rFonts w:hint="eastAsia" w:asciiTheme="minorEastAsia" w:hAnsiTheme="minorEastAsia" w:cstheme="minorEastAsia"/>
          <w:sz w:val="24"/>
          <w:szCs w:val="20"/>
        </w:rPr>
        <w:t xml:space="preserve">缺陷整改跟进机制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台账动态管理：建立《缺陷整改闭环台账》，对所有缺陷实行“编号登记、分级标注、状态跟踪、闭环销号”管理，实时更新未整改、整改中、已复核、已闭环状态；</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限时督办跟进：根据缺陷等级设定整改时限，致命缺陷24小时内整改完毕，严重缺陷48小时内整改完毕，一般及轻微缺陷72小时内整改完毕；临近时限未完成整改的，即时书面督办，并同步采购人；</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整改过程协同：针对复杂、疑难缺陷，安排技术负责人与开发方专项对接，协助分析问题成因，提供整改参考建议，加快整改进度。</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w:t>
      </w:r>
      <w:r>
        <w:rPr>
          <w:rFonts w:hint="eastAsia" w:asciiTheme="minorEastAsia" w:hAnsiTheme="minorEastAsia" w:cstheme="minorEastAsia"/>
          <w:sz w:val="24"/>
          <w:szCs w:val="20"/>
          <w:lang w:val="en-US" w:eastAsia="zh-CN"/>
        </w:rPr>
        <w:t xml:space="preserve">)</w:t>
      </w:r>
      <w:r>
        <w:rPr>
          <w:rFonts w:hint="eastAsia" w:asciiTheme="minorEastAsia" w:hAnsiTheme="minorEastAsia" w:cstheme="minorEastAsia"/>
          <w:sz w:val="24"/>
          <w:szCs w:val="20"/>
        </w:rPr>
        <w:t xml:space="preserve">整改验证闭环机制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主动复核：收到开发方整改完成反馈后，测评工程师24小时内完成针对性复测、回归测试，核查缺陷是否彻底修复、是否产生新增衍生问题；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分级判定：整改合格的，在台账中标记闭环销号；整改未达标、问题未彻底解决的，重新更新缺陷清单，二次反馈开发方限期整改，同步记录整改偏差问题；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回归全覆盖：针对整改模块，不仅核查原有缺陷，同步开展周边关联模块复测，杜绝局部整改引发的连锁问题，保障软件整体质量；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最终闭环：所有缺陷全部整改复核合格后，汇总形成《缺陷整改闭环总结报告》，同步采购人及开发方，完成全流程闭环。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en-US" w:eastAsia="zh-CN"/>
        </w:rPr>
        <w:t xml:space="preserve">3</w:t>
      </w:r>
      <w:r>
        <w:rPr>
          <w:rFonts w:hint="eastAsia" w:asciiTheme="minorEastAsia" w:hAnsiTheme="minorEastAsia" w:cstheme="minorEastAsia"/>
          <w:sz w:val="24"/>
          <w:szCs w:val="20"/>
        </w:rPr>
        <w:t xml:space="preserve">）沟通记录书面归档与提交机制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本项目所有内外沟通、对接、协作内容，全部实行全程书面留痕、分类归档、定期报送，所有归档资料真实、完整、可追溯，严格满足采购人项目档案管理要求。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沟通记录归档范围：包含每日进度沟通记录、周例会纪要、月度总结纪要、专项对接记录、缺陷反馈清单、整改台账、问题协调记录、需求变更确认单、紧急事项处理记录、各方往来函件及截图佐证资料等；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标准化归档要求：所有沟通记录统一模板、统一编号，明确沟通时间、沟通对象、沟通内容、达成共识、待办事项、责任人、完成时限，由对接专员每日整理、项目经理每日核验，确保内容真实、信息完整、逻辑清晰；</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定期提交采购人机制：每日同步当日简要沟通台账，每周随周度报告提交本周全套沟通归档资料，项目收尾阶段汇总全套完整沟通档案、缺陷闭环档案、项目过程档案，统一整理成册提交采购人存档；</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 档案留存管理：项目全程建立电子+纸质双档案，电子档案云端备份，纸质档案签字盖章齐全，全程可随时供采购人核查、抽检，项目结束后完整移交采购人。</w:t>
      </w:r>
      <w:r/>
    </w:p>
    <w:p>
      <w:pPr>
        <w:ind w:firstLine="482"/>
        <w:jc w:val="left"/>
        <w:spacing w:line="400" w:lineRule="exact"/>
        <w:widowControl/>
        <w:rPr>
          <w:rFonts w:hint="eastAsia" w:ascii="Times New Roman" w:hAnsi="Times New Roman" w:cs="Times New Roman"/>
          <w:b/>
          <w:bCs/>
          <w:sz w:val="24"/>
          <w:szCs w:val="20"/>
        </w:rPr>
        <w:outlineLvl w:val="3"/>
      </w:pPr>
      <w:r>
        <w:rPr>
          <w:rFonts w:hint="eastAsia" w:ascii="Times New Roman" w:hAnsi="Times New Roman" w:cs="Times New Roman"/>
          <w:b/>
          <w:bCs/>
          <w:sz w:val="24"/>
          <w:szCs w:val="20"/>
        </w:rPr>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（三）质量保证方案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方案应至少包含:</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b/>
          <w:bCs/>
          <w:sz w:val="24"/>
          <w:szCs w:val="20"/>
        </w:rPr>
        <w:t xml:space="preserve">1.质量目标</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制定可量化的核心指标，涵盖测试用例覆盖度、核心功能缺陷检出率、问题修复及时率等，确保质量标准清晰可衡量。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1</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测试用例质量指标</w:t>
      </w:r>
      <w:r/>
    </w:p>
    <w:p>
      <w:pPr>
        <w:ind w:firstLine="480"/>
        <w:jc w:val="left"/>
        <w:spacing w:line="560" w:lineRule="exact"/>
        <w:widowControl/>
        <w:rPr>
          <w:rFonts w:hint="eastAsia" w:asciiTheme="minorEastAsia" w:hAnsiTheme="minorEastAsia" w:cstheme="minorEastAsia"/>
          <w:sz w:val="24"/>
          <w:szCs w:val="20"/>
          <w:lang w:eastAsia="zh-CN"/>
        </w:rPr>
      </w:pPr>
      <w:r>
        <w:rPr>
          <w:rFonts w:hint="eastAsia" w:asciiTheme="minorEastAsia" w:hAnsiTheme="minorEastAsia" w:cstheme="minorEastAsia"/>
          <w:sz w:val="24"/>
          <w:szCs w:val="20"/>
          <w:lang w:val="en-US" w:eastAsia="zh-CN"/>
        </w:rPr>
        <w:t xml:space="preserve">需求覆盖度：测评用例对项目需求说明书、功能规格书、接口规范等全部需求项的覆盖度100%，无需求遗漏、无无效用例，所有明确需求均有对应测评用例支撑。</w:t>
      </w:r>
      <w:r/>
    </w:p>
    <w:p>
      <w:pPr>
        <w:ind w:firstLine="480"/>
        <w:jc w:val="left"/>
        <w:spacing w:line="560" w:lineRule="exact"/>
        <w:widowControl/>
        <w:rPr>
          <w:rFonts w:hint="eastAsia" w:asciiTheme="minorEastAsia" w:hAnsiTheme="minorEastAsia" w:cstheme="minorEastAsia"/>
          <w:sz w:val="24"/>
          <w:szCs w:val="20"/>
          <w:lang w:eastAsia="zh-CN"/>
        </w:rPr>
      </w:pPr>
      <w:r>
        <w:rPr>
          <w:rFonts w:hint="eastAsia" w:asciiTheme="minorEastAsia" w:hAnsiTheme="minorEastAsia" w:cstheme="minorEastAsia"/>
          <w:sz w:val="24"/>
          <w:szCs w:val="20"/>
          <w:lang w:val="en-US" w:eastAsia="zh-CN"/>
        </w:rPr>
        <w:t xml:space="preserve">代码分支覆盖度：针对被测软件核心业务模块，代码分支覆盖度不低于95%，普通功能模块代码分支覆盖度不低于90%，杜绝核心代码、关键逻辑未被测评覆盖的情况。</w:t>
      </w:r>
      <w:r/>
    </w:p>
    <w:p>
      <w:pPr>
        <w:ind w:firstLine="480"/>
        <w:jc w:val="left"/>
        <w:spacing w:line="560" w:lineRule="exact"/>
        <w:widowControl/>
        <w:rPr>
          <w:rFonts w:hint="eastAsia" w:asciiTheme="minorEastAsia" w:hAnsiTheme="minorEastAsia" w:cstheme="minorEastAsia"/>
          <w:sz w:val="24"/>
          <w:szCs w:val="20"/>
          <w:lang w:eastAsia="zh-CN"/>
        </w:rPr>
      </w:pPr>
      <w:r>
        <w:rPr>
          <w:rFonts w:hint="eastAsia" w:asciiTheme="minorEastAsia" w:hAnsiTheme="minorEastAsia" w:cstheme="minorEastAsia"/>
          <w:sz w:val="24"/>
          <w:szCs w:val="20"/>
          <w:lang w:val="en-US" w:eastAsia="zh-CN"/>
        </w:rPr>
        <w:t xml:space="preserve">用例有效率：最终执行的有效测试用例占比不低于98%，剔除重复用例、无效用例、场景缺失用例，确保每一条用例均可精准验证软件功能、性能、兼容性等指标。</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2</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缺陷检出与管控指标</w:t>
      </w:r>
      <w:r/>
    </w:p>
    <w:p>
      <w:pPr>
        <w:ind w:firstLine="480"/>
        <w:jc w:val="left"/>
        <w:spacing w:line="560" w:lineRule="exact"/>
        <w:widowControl/>
        <w:rPr>
          <w:rFonts w:hint="eastAsia" w:asciiTheme="minorEastAsia" w:hAnsiTheme="minorEastAsia" w:cstheme="minorEastAsia"/>
          <w:sz w:val="24"/>
          <w:szCs w:val="20"/>
          <w:lang w:eastAsia="zh-CN"/>
        </w:rPr>
      </w:pPr>
      <w:r>
        <w:rPr>
          <w:rFonts w:hint="eastAsia" w:asciiTheme="minorEastAsia" w:hAnsiTheme="minorEastAsia" w:cstheme="minorEastAsia"/>
          <w:sz w:val="24"/>
          <w:szCs w:val="20"/>
          <w:lang w:val="en-US" w:eastAsia="zh-CN"/>
        </w:rPr>
        <w:t xml:space="preserve"> 核心功能缺陷检出率：软件核心业务流程、关键功能、核心接口的缺陷检出率100%，确保重大缺陷、严重缺陷在测评阶段全部检出，无线上遗留高危、严重缺陷。</w:t>
      </w:r>
      <w:r/>
    </w:p>
    <w:p>
      <w:pPr>
        <w:ind w:firstLine="480"/>
        <w:jc w:val="left"/>
        <w:spacing w:line="560" w:lineRule="exact"/>
        <w:widowControl/>
        <w:rPr>
          <w:rFonts w:hint="eastAsia" w:asciiTheme="minorEastAsia" w:hAnsiTheme="minorEastAsia" w:cstheme="minorEastAsia"/>
          <w:sz w:val="24"/>
          <w:szCs w:val="20"/>
          <w:lang w:eastAsia="zh-CN"/>
        </w:rPr>
      </w:pPr>
      <w:r>
        <w:rPr>
          <w:rFonts w:hint="eastAsia" w:asciiTheme="minorEastAsia" w:hAnsiTheme="minorEastAsia" w:cstheme="minorEastAsia"/>
          <w:sz w:val="24"/>
          <w:szCs w:val="20"/>
          <w:lang w:val="en-US" w:eastAsia="zh-CN"/>
        </w:rPr>
        <w:t xml:space="preserve">一般缺陷检出率：普通功能、页面展示、交互体验等一般缺陷检出率不低于95%，最大限度降低软件隐性问题遗留风险。</w:t>
      </w:r>
      <w:r/>
    </w:p>
    <w:p>
      <w:pPr>
        <w:ind w:firstLine="480"/>
        <w:jc w:val="left"/>
        <w:spacing w:line="560" w:lineRule="exact"/>
        <w:widowControl/>
        <w:rPr>
          <w:rFonts w:hint="eastAsia" w:asciiTheme="minorEastAsia" w:hAnsiTheme="minorEastAsia" w:cstheme="minorEastAsia"/>
          <w:sz w:val="24"/>
          <w:szCs w:val="20"/>
          <w:lang w:eastAsia="zh-CN"/>
        </w:rPr>
      </w:pPr>
      <w:r>
        <w:rPr>
          <w:rFonts w:hint="eastAsia" w:asciiTheme="minorEastAsia" w:hAnsiTheme="minorEastAsia" w:cstheme="minorEastAsia"/>
          <w:sz w:val="24"/>
          <w:szCs w:val="20"/>
          <w:lang w:val="en-US" w:eastAsia="zh-CN"/>
        </w:rPr>
        <w:t xml:space="preserve"> 缺陷分级精准率：缺陷分级（重大、严重、一般、轻微）判定精准率不低于99%，严格遵循行业缺陷分级标准，无错分、漏分、高估、低估缺陷等级问题。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3</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问题修复与闭环指标</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重大/严重缺陷修复及时率：项目测评周期内，所有重大、严重缺陷24小时内响应、48小时内完成修复，修复及时率100%。</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 一般/轻微缺陷修复及时率：一般、轻微缺陷在项目迭代周期内、交付前完成100%修复，修复及时率不低于98%。</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 缺陷复测通过率：缺陷修复后复测通过率100%，杜绝缺陷修复不彻底、二次复发、引入新缺陷等问题，缺陷闭环率100%。</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b/>
          <w:bCs/>
          <w:sz w:val="24"/>
          <w:szCs w:val="20"/>
        </w:rPr>
        <w:t xml:space="preserve">2.过程管控</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构建事前预防、事中执行、事后验收的全流程管控机制，从需求阶段到交付验收各环节严格把关，保障测试过程规范有序。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lang w:val="en-US" w:eastAsia="zh-CN"/>
        </w:rPr>
        <w:t xml:space="preserve">1</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事前预防阶段：源头规避质量风险</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本阶段核心为夯实测评基础，提前识别风险、规范前置工作，从源头把控测评质量，规避需求偏差、方案缺失、用例疏漏等问题。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需求调研与评审：组建专项测评小组，全面梳理项目需求文档、技术方案、业务流程，组织甲方、开发方、测评方三方需求评审会议。重点核查需求的完整性、清晰性、可测性，对模糊需求、矛盾需求、不可测需求进行书面确认与修正，形成《需求评审纪要》，确保三方需求认知统一，杜绝因需求偏差导致的测评质量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测评方案编制与审核：结合项目需求及软件特性，定制专属测评实施方案，明确测评范围、测评类型（功能、性能、兼容性、安全等）、测评标准、人员分工、时间节点、风险预案。方案编制完成后，经过内部初审、复审两级审核，通过后方可启动测评工作，确保方案合规、全面、可落地。</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风险预判与预案制定：提前梳理项目测评风险点，包括需求变更、工期紧张、软件版本迭代频繁、环境不稳定等风险，针对各类风险制定对应的防控预案，明确风险责任人与处理流程，提前规避测评延误、测评遗漏等质量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测评资源准备：完成测评环境搭建、测试工具校准、测试数据准备、人员岗前培训工作，确保测评环境稳定、工具合规、人员专业，满足项目测评质量要求。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（二）事中执行阶段：全程规范过程管控</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本阶段核心为严格落地测评流程，标准化执行每一项工作，实时把控过程质量，及时发现并整改过程问题，确保测评过程规范、数据真实、操作合规。</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测试用例设计与审核：测评人员依据确认后的需求及测评方案设计测试用例，覆盖正常场景、异常场景、边界场景、兼容场景。用例设计完成后，由质量负责人进行全员审核，核查用例覆盖度、有效性、完整性，修改优化不合格用例，审核通过后方可投入执行。</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测试过程标准化执行：严格按照测评方案及用例执行测评工作，全程记录测试过程数据、操作步骤、测试结果，杜绝随意跳过用例、篡改测试数据、遗漏测试场景等违规操作。针对迭代更新的软件版本，及时更新对应测试用例，确保用例与版本同步。</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缺陷全流程跟踪管控：采用标准化缺陷管理工具，对测评发现的缺陷进行统一登记、分级、指派、跟踪、闭环。全程记录缺陷发现时间、问题场景、严重等级、修复状态、复测结果，项目负责人每日跟进缺陷修复进度，督促高危缺陷优先修复，对逾期未修复缺陷及时预警、协调处理。</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过程质量巡检：设立专属质量管控岗，每日对测评过程进行抽查巡检，核查用例执行完整性、缺陷分级准确性、数据记录规范性、流程合规性，每日输出《质量巡检日志》，对发现的过程问题立即整改，杜绝问题积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需求变更管控：项目过程中若出现需求变更、功能调整，必须提交书面变更申请，经三方确认后，同步更新测评方案、测试用例及相关文档，严禁无变更记录、无审核的私自测评调整，确保变更全程可控、可追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（三）事后验收阶段：闭环核验交付质量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本阶段核心为全面核验测评成果，完成问题闭环、质量复盘，确保项目高质量交付，无遗留质量问题。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缺陷闭环核验：测评全部执行完成后，对所有缺陷进行全面复盘核验，确认所有重大、严重、一般缺陷全部修复复测通过，轻微缺陷经甲方确认可豁免的需留存书面说明，确保缺陷100%闭环，无遗留问题。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测评成果自查复盘：测评小组内部开展成果自查，核查测试用例执行覆盖率、测试数据完整性、缺陷记录规范性、测评逻辑合理性，梳理测评过程中的问题与不足，形成《项目质量复盘报告》，完成内部整改优化。</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项目验收交付：整理全套测评成果文档，提交甲方及相关单位进行验收，配合验收方完成成果核查、疑问答疑，根据验收意见完成最终优化调整，确保顺利通过项目验收。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lang w:val="en-US" w:eastAsia="zh-CN"/>
        </w:rPr>
        <w:t xml:space="preserve">质量总结沉淀：项目交付完成后，总结本次项目质量管控经验，梳理现存问题，优化测评流程与质量标准，形成项目质量沉淀资料，为后续项目质量管控提供参考。</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Theme="minorEastAsia" w:hAnsiTheme="minorEastAsia" w:cstheme="minorEastAsia"/>
          <w:b/>
          <w:bCs/>
          <w:sz w:val="24"/>
          <w:szCs w:val="20"/>
        </w:rPr>
        <w:t xml:space="preserve">3.文档质量</w:t>
      </w:r>
      <w:r>
        <w:rPr>
          <w:rFonts w:hint="eastAsia" w:asciiTheme="minorEastAsia" w:hAnsiTheme="minorEastAsia" w:cstheme="minorEastAsia"/>
          <w:sz w:val="24"/>
          <w:szCs w:val="20"/>
          <w:lang w:eastAsia="zh-CN"/>
        </w:rPr>
        <w:t xml:space="preserve">：</w:t>
      </w:r>
      <w:r>
        <w:rPr>
          <w:rFonts w:hint="eastAsia" w:asciiTheme="minorEastAsia" w:hAnsiTheme="minorEastAsia" w:cstheme="minorEastAsia"/>
          <w:sz w:val="24"/>
          <w:szCs w:val="20"/>
        </w:rPr>
        <w:t xml:space="preserve">明确测试全流程文档的编制范围、统一格式标准，建立严格的审核与归档流程，确保测试过程可追溯、成果可核查、责任可落实。</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（1）文档编制范围（全覆盖无遗漏）</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覆盖软件测评项目从启动到交付验收的全生命周期，所有过程及成果均形成标准化文档，核心编制范围如下：</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项目启动类：《项目启动说明书》《需求评审纪要》《项目人员分工表》《风险评估及预案》；</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方案设计类：《软件测评实施方案》《测试环境搭建说明》《测试数据准备方案》；</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测试执行类：《测试用例全集》《测试执行日志》《缺陷问题台账》《版本迭代测试记录》；</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质量管控类：《每日质量巡检日志》《过程问题整改记录》《项目质量复盘报告》；</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成果交付类：《软件功能测评报告》《软件性能测评报告》《软件兼容性测评报告》《整体测评总结报告》《项目验收资料汇编》。</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（2）统一格式标准</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制定项目专属文档标准化模板，所有文档严格按照统一格式编制，杜绝格式混乱、内容不规范问题，核心标准如下：</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基础格式统一：所有文档统一字体、字号、行距、页边距、页眉页脚、页码格式，统一项目名称、版本号、编制日期、编制人、审核人、审批人固定栏目；</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内容结构统一：各类文档严格按照固定章节结构编制，包含概述、依据、内容、过程、结果、结论、备注等核心模块，确保内容逻辑清晰、结构完整；</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数据记录统一：测试数据、缺陷数据、巡检数据统一统计口径、记录格式、标注规范，确保数据真实、精准、可对比；</w:t>
      </w:r>
      <w:r/>
    </w:p>
    <w:p>
      <w:pPr>
        <w:ind w:firstLine="480"/>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图表规范统一：文档中截图、表格、流程图统一尺寸、标注格式、编号规则，图表清晰、标注完整，可直观佐证测评结果。</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（3）文档审核流程</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建立编制-初审-复审-定稿四级审核机制，所有文档未经审核不得生效、不得交付，确保文档质量合规、内容准确。</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 编制：由对应岗位责任人按照标准模板完成文档编制，确保内容真实、完整、贴合项目实际；</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 初审：由项目负责人审核文档的完整性、逻辑性、规范性，修正内容缺失、格式错误、逻辑矛盾等问题；</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复审：由质量负责人审核文档的专业性、准确性、合规性，重点核查测评数据、缺陷记录、结论判定的真实性与严谨性；</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定稿：两级审核通过后，完成文档定稿、签字确认，明确文档责任主体，留存审核记录。</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（四）归档与追溯管理</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 分类归档：项目全过程文档按照“启动文件、方案文件、过程文件、质量文件、交付文件”五大类别分类整理，电子档+纸质档双重归档，文件命名规范、分类清晰、便于查阅；</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版本管控：针对迭代更新的文档，严格执行版本管控，记录版本更新时间、更新内容、更新责任人，保留所有历史版本，杜绝版本覆盖、记录丢失问题；</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全程可追溯：所有文档均标注编制人、审核人、编制时间、修改记录，每一项数据、每一条结论均可对应到具体责任人及执行过程，实现过程可追溯、成果可核查、责任可落实；</w:t>
      </w:r>
      <w:r/>
    </w:p>
    <w:p>
      <w:pPr>
        <w:ind w:firstLine="482"/>
        <w:jc w:val="left"/>
        <w:spacing w:line="560" w:lineRule="exact"/>
        <w:widowControl/>
        <w:rPr>
          <w:rFonts w:hint="eastAsia" w:ascii="宋体" w:hAnsi="宋体" w:cs="宋体"/>
          <w:b w:val="0"/>
          <w:bCs w:val="0"/>
          <w:color w:val="000000" w:themeColor="text1"/>
          <w:sz w:val="24"/>
          <w:szCs w:val="20"/>
          <w:highlight w:val="none"/>
          <w:lang w:val="en-US" w:eastAsia="zh-CN"/>
          <w14:textFill>
            <w14:solidFill>
              <w14:schemeClr w14:val="tx1"/>
            </w14:solidFill>
          </w14:textFill>
        </w:rPr>
        <w:outlineLvl w:val="1"/>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存档运维：项目交付后，所有归档文档按照档案管理规范留存，留存周期满足项目合同及行业合规要求，支持后续审计、核查、复盘工作。</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四</w:t>
      </w:r>
      <w:r>
        <w:rPr>
          <w:rFonts w:hint="eastAsia" w:ascii="宋体" w:hAnsi="宋体" w:cs="宋体"/>
          <w:b/>
          <w:bCs/>
          <w:color w:val="000000" w:themeColor="text1"/>
          <w:sz w:val="24"/>
          <w:szCs w:val="20"/>
          <w:highlight w:val="none"/>
          <w14:textFill>
            <w14:solidFill>
              <w14:schemeClr w14:val="tx1"/>
            </w14:solidFill>
          </w14:textFill>
        </w:rPr>
        <w:t xml:space="preserve">、</w:t>
      </w:r>
      <w:r>
        <w:rPr>
          <w:rFonts w:ascii="宋体" w:hAnsi="宋体" w:eastAsia="Arial" w:cs="宋体"/>
          <w:b/>
          <w:bCs/>
          <w:color w:val="000000" w:themeColor="text1"/>
          <w:sz w:val="24"/>
          <w:szCs w:val="20"/>
          <w:highlight w:val="none"/>
          <w14:textFill>
            <w14:solidFill>
              <w14:schemeClr w14:val="tx1"/>
            </w14:solidFill>
          </w14:textFill>
        </w:rPr>
        <w:t xml:space="preserve">企业实力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1.为了择优选择中标单位，体现企业实力，投标人具备有效期内的信息安全管理体系认证证书、质量管理体系认证证书、信息技术服务管理体系认证证书的优先。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w:t>
      </w:r>
      <w:bookmarkStart w:id="163" w:name="OLE_LINK10"/>
      <w:r>
        <w:rPr>
          <w:rFonts w:hint="eastAsia" w:asciiTheme="minorEastAsia" w:hAnsiTheme="minorEastAsia" w:cstheme="minorEastAsia"/>
          <w:sz w:val="24"/>
          <w:szCs w:val="20"/>
        </w:rPr>
        <w:t xml:space="preserve">为了择优选择中标单位，体现企业实力，投标人具</w:t>
      </w:r>
      <w:r>
        <w:rPr>
          <w:rFonts w:hint="eastAsia" w:asciiTheme="minorEastAsia" w:hAnsiTheme="minorEastAsia" w:cstheme="minorEastAsia"/>
          <w:sz w:val="24"/>
          <w:szCs w:val="20"/>
          <w:highlight w:val="none"/>
        </w:rPr>
        <w:t xml:space="preserve">备合法合规的软</w:t>
      </w:r>
      <w:r>
        <w:rPr>
          <w:rFonts w:hint="eastAsia" w:asciiTheme="minorEastAsia" w:hAnsiTheme="minorEastAsia" w:cstheme="minorEastAsia"/>
          <w:sz w:val="24"/>
          <w:szCs w:val="20"/>
        </w:rPr>
        <w:t xml:space="preserve">件测评工具的优先。相关工具需说明工具名称、型号、版本、生产厂商、主要功能及在本项目中的具体应用场景，若使用自主研发工具须提供工具的著作权证明及有效性验证报告；若使用第三方工具须提供工具采购合同或租赁证明，确保工具满足测评需求且合法合规。</w:t>
      </w:r>
      <w:bookmarkEnd w:id="163"/>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szCs w:val="20"/>
          <w:highlight w:val="none"/>
          <w14:textFill>
            <w14:solidFill>
              <w14:schemeClr w14:val="tx1"/>
            </w14:solidFill>
          </w14:textFill>
        </w:rPr>
        <w:t xml:space="preserve">、</w:t>
      </w:r>
      <w:r>
        <w:rPr>
          <w:rFonts w:ascii="宋体" w:hAnsi="宋体" w:eastAsia="Arial" w:cs="宋体"/>
          <w:b/>
          <w:bCs/>
          <w:color w:val="000000" w:themeColor="text1"/>
          <w:sz w:val="24"/>
          <w:szCs w:val="20"/>
          <w:highlight w:val="none"/>
          <w14:textFill>
            <w14:solidFill>
              <w14:schemeClr w14:val="tx1"/>
            </w14:solidFill>
          </w14:textFill>
        </w:rPr>
        <w:t xml:space="preserve">团队能力</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投标人需为本项目配备</w:t>
      </w:r>
      <w:r>
        <w:rPr>
          <w:rFonts w:hint="eastAsia" w:ascii="宋体" w:hAnsi="宋体" w:cs="宋体"/>
          <w:color w:val="000000" w:themeColor="text1"/>
          <w:sz w:val="24"/>
          <w:szCs w:val="20"/>
          <w:highlight w:val="none"/>
          <w14:textFill>
            <w14:solidFill>
              <w14:schemeClr w14:val="tx1"/>
            </w14:solidFill>
          </w14:textFill>
        </w:rPr>
        <w:t xml:space="preserve">多层级</w:t>
      </w:r>
      <w:r>
        <w:rPr>
          <w:rFonts w:hint="eastAsia" w:ascii="宋体" w:hAnsi="宋体" w:cs="宋体"/>
          <w:color w:val="000000" w:themeColor="text1"/>
          <w:sz w:val="24"/>
          <w:szCs w:val="20"/>
          <w:highlight w:val="none"/>
          <w:lang w:val="en-US" w:eastAsia="zh-CN"/>
          <w14:textFill>
            <w14:solidFill>
              <w14:schemeClr w14:val="tx1"/>
            </w14:solidFill>
          </w14:textFill>
        </w:rPr>
        <w:t xml:space="preserve">软件测试</w:t>
      </w:r>
      <w:r>
        <w:rPr>
          <w:rFonts w:ascii="宋体" w:hAnsi="宋体" w:eastAsia="Arial" w:cs="宋体"/>
          <w:color w:val="000000" w:themeColor="text1"/>
          <w:sz w:val="24"/>
          <w:szCs w:val="20"/>
          <w:highlight w:val="none"/>
          <w14:textFill>
            <w14:solidFill>
              <w14:schemeClr w14:val="tx1"/>
            </w14:solidFill>
          </w14:textFill>
        </w:rPr>
        <w:t xml:space="preserve">，要明确项目负责人</w:t>
      </w:r>
      <w:r>
        <w:rPr>
          <w:rFonts w:hint="eastAsia" w:ascii="宋体" w:hAnsi="宋体" w:cs="宋体"/>
          <w:color w:val="000000" w:themeColor="text1"/>
          <w:sz w:val="24"/>
          <w:szCs w:val="20"/>
          <w:highlight w:val="none"/>
          <w14:textFill>
            <w14:solidFill>
              <w14:schemeClr w14:val="tx1"/>
            </w14:solidFill>
          </w14:textFill>
        </w:rPr>
        <w:t xml:space="preserve">及项目团队</w:t>
      </w:r>
      <w:r>
        <w:rPr>
          <w:rFonts w:ascii="宋体" w:hAnsi="宋体" w:eastAsia="Arial"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（1）项目经理：具有以下证书的优先：具有国家人力资源和社会保障部工业和信息化部批准颁发的信息系统项目管理师、软件评测师证书</w:t>
      </w:r>
      <w:r>
        <w:rPr>
          <w:rFonts w:hint="eastAsia" w:asciiTheme="minorEastAsia" w:hAnsiTheme="minorEastAsia" w:cstheme="minorEastAsia"/>
          <w:color w:val="000000" w:themeColor="text1"/>
          <w:sz w:val="24"/>
          <w:szCs w:val="20"/>
          <w14:textFill>
            <w14:solidFill>
              <w14:schemeClr w14:val="tx1"/>
            </w14:solidFill>
          </w14:textFill>
        </w:rPr>
        <w:t xml:space="preserve">。</w:t>
      </w:r>
      <w:r/>
    </w:p>
    <w:p>
      <w:pPr>
        <w:ind w:firstLine="482"/>
        <w:jc w:val="left"/>
        <w:spacing w:line="560" w:lineRule="exact"/>
        <w:widowControl/>
        <w:rPr>
          <w:rFonts w:hint="eastAsia" w:asciiTheme="minorEastAsia" w:hAnsiTheme="minorEastAsia" w:cstheme="minorEastAsia"/>
          <w:sz w:val="24"/>
          <w:szCs w:val="20"/>
        </w:rPr>
        <w:outlineLvl w:val="1"/>
      </w:pPr>
      <w:r>
        <w:rPr>
          <w:rFonts w:hint="eastAsia" w:asciiTheme="minorEastAsia" w:hAnsiTheme="minorEastAsia" w:cstheme="minorEastAsia"/>
          <w:sz w:val="24"/>
          <w:szCs w:val="20"/>
        </w:rPr>
        <w:t xml:space="preserve">（2）项目组成员（除项目经理外）具有国家人力资源和社会保障部工业和信息化部批准颁发的软件评测师、信息安全工程师、网络工程师、数据库系统工程师的优先。</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0"/>
          <w:highlight w:val="none"/>
          <w14:textFill>
            <w14:solidFill>
              <w14:schemeClr w14:val="tx1"/>
            </w14:solidFill>
          </w14:textFill>
        </w:rPr>
        <w:t xml:space="preserve">、</w:t>
      </w:r>
      <w:r>
        <w:rPr>
          <w:rFonts w:ascii="宋体" w:hAnsi="宋体" w:eastAsia="Arial" w:cs="宋体"/>
          <w:b/>
          <w:bCs/>
          <w:color w:val="000000" w:themeColor="text1"/>
          <w:sz w:val="24"/>
          <w:szCs w:val="20"/>
          <w:highlight w:val="none"/>
          <w14:textFill>
            <w14:solidFill>
              <w14:schemeClr w14:val="tx1"/>
            </w14:solidFill>
          </w14:textFill>
        </w:rPr>
        <w:t xml:space="preserve">业绩</w:t>
      </w:r>
      <w:r/>
    </w:p>
    <w:p>
      <w:pPr>
        <w:ind w:firstLine="480"/>
        <w:jc w:val="left"/>
        <w:spacing w:line="56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t xml:space="preserve">为了确保项目的顺利实施，投标人需具有类似项目的相关承接经验，</w:t>
      </w:r>
      <w:r>
        <w:rPr>
          <w:rFonts w:hint="eastAsia" w:ascii="宋体" w:hAnsi="宋体" w:cs="宋体"/>
          <w:color w:val="000000" w:themeColor="text1"/>
          <w:sz w:val="24"/>
          <w:highlight w:val="none"/>
          <w14:textFill>
            <w14:solidFill>
              <w14:schemeClr w14:val="tx1"/>
            </w14:solidFill>
          </w14:textFill>
        </w:rPr>
        <w:t xml:space="preserve">投标人提供近三年内（自2023年01月01日起，以合同签订日期为准）完成类似项目业绩</w:t>
      </w:r>
      <w:r>
        <w:rPr>
          <w:rFonts w:ascii="宋体" w:hAnsi="宋体" w:eastAsia="Arial" w:cs="宋体"/>
          <w:bCs/>
          <w:color w:val="000000" w:themeColor="text1"/>
          <w:sz w:val="24"/>
          <w:szCs w:val="20"/>
          <w:highlight w:val="none"/>
          <w14:textFill>
            <w14:solidFill>
              <w14:schemeClr w14:val="tx1"/>
            </w14:solidFill>
          </w14:textFill>
        </w:rPr>
        <w:t xml:space="preserve">的</w:t>
      </w:r>
      <w:r>
        <w:rPr>
          <w:rFonts w:ascii="宋体" w:hAnsi="宋体" w:eastAsia="Arial" w:cs="宋体"/>
          <w:b/>
          <w:color w:val="000000" w:themeColor="text1"/>
          <w:sz w:val="24"/>
          <w:szCs w:val="20"/>
          <w:highlight w:val="none"/>
          <w14:textFill>
            <w14:solidFill>
              <w14:schemeClr w14:val="tx1"/>
            </w14:solidFill>
          </w14:textFill>
        </w:rPr>
        <w:t xml:space="preserve">优先</w:t>
      </w:r>
      <w:r>
        <w:rPr>
          <w:rFonts w:ascii="宋体" w:hAnsi="宋体" w:eastAsia="Arial" w:cs="宋体"/>
          <w:bCs/>
          <w:color w:val="000000" w:themeColor="text1"/>
          <w:sz w:val="24"/>
          <w:szCs w:val="20"/>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14:textFill>
            <w14:solidFill>
              <w14:schemeClr w14:val="tx1"/>
            </w14:solidFill>
          </w14:textFill>
        </w:rPr>
        <w:t xml:space="preserve">类似项目是指信息化系统的软件测评项目</w:t>
      </w:r>
      <w:r>
        <w:rPr>
          <w:rFonts w:hint="eastAsia" w:ascii="Times New Roman" w:hAnsi="Times New Roman" w:eastAsia="宋体" w:cs="Times New Roman"/>
          <w:color w:val="000000" w:themeColor="text1"/>
          <w:sz w:val="24"/>
          <w:lang w:eastAsia="zh-CN"/>
          <w14:textFill>
            <w14:solidFill>
              <w14:schemeClr w14:val="tx1"/>
            </w14:solidFill>
          </w14:textFill>
        </w:rPr>
        <w:t xml:space="preserve">。</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907"/>
        <w:tblW w:w="8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4"/>
        <w:gridCol w:w="4288"/>
        <w:gridCol w:w="3644"/>
      </w:tblGrid>
      <w:tr>
        <w:trPr>
          <w:jc w:val="center"/>
          <w:tblCellSpacing w:w="0" w:type="dxa"/>
          <w:trHeight w:val="9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对应中小企业划分标准所属行业</w:t>
            </w:r>
            <w:r/>
          </w:p>
        </w:tc>
      </w:tr>
      <w:tr>
        <w:trPr>
          <w:jc w:val="center"/>
          <w:tblCellSpacing w:w="0" w:type="dxa"/>
          <w:trHeight w:val="11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盐城市碳达峰碳中和数据监测分析管理系统</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软件和信息技术服务业</w:t>
            </w:r>
            <w:r/>
          </w:p>
        </w:tc>
      </w:tr>
    </w:tbl>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700" w:lineRule="exact"/>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700" w:lineRule="exact"/>
        <w:widowControl/>
        <w:rPr>
          <w:rFonts w:hint="eastAsia" w:ascii="方正小标宋_GBK" w:hAnsi="宋体" w:eastAsia="方正小标宋_GBK" w:cs="宋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第五章 </w:t>
      </w:r>
      <w:bookmarkEnd w:id="161"/>
      <w:r>
        <w:rPr>
          <w:rFonts w:hint="eastAsia" w:ascii="黑体" w:hAnsi="黑体" w:eastAsia="黑体" w:cs="黑体"/>
          <w:color w:val="000000" w:themeColor="text1"/>
          <w:sz w:val="44"/>
          <w:szCs w:val="20"/>
          <w:highlight w:val="none"/>
          <w14:textFill>
            <w14:solidFill>
              <w14:schemeClr w14:val="tx1"/>
            </w14:solidFill>
          </w14:textFill>
        </w:rPr>
        <w:t xml:space="preserve">评标方法与评标标准</w:t>
      </w:r>
      <w:r/>
    </w:p>
    <w:p>
      <w:pPr>
        <w:ind w:firstLine="482"/>
        <w:jc w:val="left"/>
        <w:spacing w:line="560" w:lineRule="exact"/>
        <w:widowControl/>
        <w:rPr>
          <w:rFonts w:hint="eastAsia" w:ascii="宋体" w:hAnsi="宋体" w:cs="宋体"/>
          <w:b/>
          <w:bCs/>
          <w:color w:val="000000" w:themeColor="text1"/>
          <w:sz w:val="24"/>
          <w:szCs w:val="20"/>
          <w:highlight w:val="none"/>
          <w14:textFill>
            <w14:solidFill>
              <w14:schemeClr w14:val="tx1"/>
            </w14:solidFill>
          </w14:textFill>
        </w:rPr>
        <w:outlineLvl w:val="1"/>
      </w:pPr>
      <w:r>
        <w:rPr>
          <w:rFonts w:hint="eastAsia" w:ascii="宋体" w:hAnsi="宋体" w:cs="宋体"/>
          <w:b/>
          <w:bCs/>
          <w:color w:val="000000" w:themeColor="text1"/>
          <w:sz w:val="24"/>
          <w:szCs w:val="20"/>
          <w:highlight w:val="none"/>
          <w14:textFill>
            <w14:solidFill>
              <w14:schemeClr w14:val="tx1"/>
            </w14:solidFill>
          </w14:textFill>
        </w:rPr>
        <w:t xml:space="preserve">一、定标原则</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本项目采用综合评分法，按照评审得分由高到低顺序推荐成交候选供应商，并编写评审报告。评审得分相同的，按照最后报价由低到高的顺序推荐。评审得分且最后报价相同的，按照技术指标优劣顺序推荐。</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政府采购政策功能落实</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（1）本项目不专门面向中小企业采购，对符合规定的小型和微型企业报价给予20%的扣除价格，用扣除后的价格参与评审；</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（1）本项目对残疾人福利性单位视同小型、微型企业，给予20%的价格扣除。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（1）本项目对监狱和戒毒企业（简称监狱企业）视同小型、微型企业，给予20%的价格扣除。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6、联合体各方均为小型、微型企业（残疾人福利单位、监狱企业）的，联合体享受20%的价格扣除。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7、采购本国产品的支持政策</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20%的价格扣除，用扣除后的价格参与评审。</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供应商需按照采购文件的要求提供《关于符合本国产品标准的声明函》（以下简称《声明函》），如不提供将不享受本国产品价格评审优惠。</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2"/>
        <w:jc w:val="left"/>
        <w:spacing w:line="560" w:lineRule="exact"/>
        <w:widowControl/>
        <w:rPr>
          <w:rFonts w:hint="eastAsia"/>
        </w:rPr>
      </w:pPr>
      <w:r>
        <w:rPr>
          <w:rFonts w:hint="eastAsia" w:ascii="宋体" w:hAnsi="宋体" w:cs="宋体"/>
          <w:color w:val="000000" w:themeColor="text1"/>
          <w:sz w:val="24"/>
          <w:highlight w:val="none"/>
          <w14:textFill>
            <w14:solidFill>
              <w14:schemeClr w14:val="tx1"/>
            </w14:solidFill>
          </w14:textFill>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pStyle w:val="120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20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20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20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20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本项目评分总分值为100分。</w:t>
      </w:r>
      <w:r/>
    </w:p>
    <w:p>
      <w:pPr>
        <w:ind w:firstLine="482"/>
        <w:jc w:val="left"/>
        <w:spacing w:line="560" w:lineRule="exact"/>
        <w:widowControl/>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采购包1：</w:t>
      </w:r>
      <w:r/>
    </w:p>
    <w:tbl>
      <w:tblPr>
        <w:tblStyle w:val="907"/>
        <w:tblpPr w:horzAnchor="page" w:tblpX="1731" w:vertAnchor="text" w:tblpY="535" w:leftFromText="180" w:topFromText="0" w:rightFromText="180" w:bottomFromText="0"/>
        <w:tblW w:w="86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2"/>
        <w:gridCol w:w="1349"/>
        <w:gridCol w:w="5217"/>
      </w:tblGrid>
      <w:tr>
        <w:trPr>
          <w:trHeight w:val="567"/>
        </w:trPr>
        <w:tc>
          <w:tcPr>
            <w:tcW w:w="783" w:type="dxa"/>
            <w:vAlign w:val="center"/>
            <w:textDirection w:val="lrTb"/>
            <w:noWrap w:val="false"/>
          </w:tcPr>
          <w:p>
            <w:pPr>
              <w:jc w:val="center"/>
              <w:spacing w:line="500" w:lineRule="exact"/>
              <w:widowControl/>
              <w:rPr>
                <w:rFonts w:hint="eastAsia" w:ascii="宋体" w:hAnsi="宋体" w:cs="宋体"/>
                <w:b/>
                <w:color w:val="000000" w:themeColor="text1"/>
                <w:sz w:val="24"/>
                <w:highlight w:val="none"/>
                <w:lang w:val="zh-CN"/>
                <w14:textFill>
                  <w14:solidFill>
                    <w14:schemeClr w14:val="tx1"/>
                  </w14:solidFill>
                </w14:textFill>
              </w:rPr>
            </w:pPr>
            <w:r/>
            <w:bookmarkStart w:id="164" w:name="_Toc203060318"/>
            <w:r>
              <w:rPr>
                <w:rFonts w:hint="eastAsia" w:ascii="宋体" w:hAnsi="宋体" w:cs="宋体"/>
                <w:b/>
                <w:color w:val="000000" w:themeColor="text1"/>
                <w:sz w:val="24"/>
                <w:highlight w:val="none"/>
                <w:lang w:val="zh-CN"/>
                <w14:textFill>
                  <w14:solidFill>
                    <w14:schemeClr w14:val="tx1"/>
                  </w14:solidFill>
                </w14:textFill>
              </w:rPr>
              <w:t xml:space="preserve">序号</w:t>
            </w:r>
            <w:r/>
          </w:p>
        </w:tc>
        <w:tc>
          <w:tcPr>
            <w:tcW w:w="1302" w:type="dxa"/>
            <w:vAlign w:val="center"/>
            <w:textDirection w:val="lrTb"/>
            <w:noWrap w:val="false"/>
          </w:tcPr>
          <w:p>
            <w:pPr>
              <w:jc w:val="center"/>
              <w:spacing w:line="500" w:lineRule="exact"/>
              <w:widowControl/>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类别</w:t>
            </w:r>
            <w:r/>
          </w:p>
        </w:tc>
        <w:tc>
          <w:tcPr>
            <w:tcW w:w="1349" w:type="dxa"/>
            <w:vAlign w:val="center"/>
            <w:textDirection w:val="lrTb"/>
            <w:noWrap w:val="false"/>
          </w:tcPr>
          <w:p>
            <w:pPr>
              <w:jc w:val="center"/>
              <w:spacing w:line="500" w:lineRule="exact"/>
              <w:widowControl/>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评分因素</w:t>
            </w:r>
            <w:r/>
          </w:p>
        </w:tc>
        <w:tc>
          <w:tcPr>
            <w:tcW w:w="5217" w:type="dxa"/>
            <w:vAlign w:val="center"/>
            <w:textDirection w:val="lrTb"/>
            <w:noWrap w:val="false"/>
          </w:tcPr>
          <w:p>
            <w:pPr>
              <w:jc w:val="center"/>
              <w:spacing w:line="5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w:t>
            </w:r>
            <w:r/>
          </w:p>
        </w:tc>
      </w:tr>
      <w:tr>
        <w:trPr>
          <w:trHeight w:val="1862"/>
        </w:trPr>
        <w:tc>
          <w:tcPr>
            <w:tcW w:w="78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p>
        </w:tc>
        <w:tc>
          <w:tcPr>
            <w:tcW w:w="130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价格分       （</w:t>
            </w: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投标报价</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5217" w:type="dxa"/>
            <w:vAlign w:val="center"/>
            <w:textDirection w:val="lrTb"/>
            <w:noWrap w:val="false"/>
          </w:tcPr>
          <w:p>
            <w:pPr>
              <w:ind w:firstLine="456"/>
              <w:jc w:val="left"/>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价格分采用低价优先法计算，即满足采购文件要求且投标价格最低的投标报价为评标基准价，其价格分为满分。其他投标人的价格分统一按照下列公式计算：投标报价得分=（评标基准价／投标报价）×10。（得分保留两位小数）</w:t>
            </w:r>
            <w:r/>
          </w:p>
        </w:tc>
      </w:tr>
      <w:tr>
        <w:trPr>
          <w:trHeight w:val="90"/>
        </w:trPr>
        <w:tc>
          <w:tcPr>
            <w:tcW w:w="78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0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商务部分</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32</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企业实力</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5217" w:type="dxa"/>
            <w:vAlign w:val="center"/>
            <w:textDirection w:val="lrTb"/>
            <w:noWrap w:val="false"/>
          </w:tcPr>
          <w:p>
            <w:pPr>
              <w:numPr>
                <w:ilvl w:val="0"/>
                <w:numId w:val="7"/>
              </w:num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联合体成员之一具有有效期内的温室气体审定与核查认可证书（组织核查）证书得2分。本项最高得2分</w:t>
            </w:r>
            <w:r>
              <w:rPr>
                <w:rFonts w:ascii="宋体" w:hAnsi="宋体" w:cs="宋体"/>
                <w:color w:val="000000" w:themeColor="text1"/>
                <w:sz w:val="24"/>
                <w:highlight w:val="none"/>
                <w14:textFill>
                  <w14:solidFill>
                    <w14:schemeClr w14:val="tx1"/>
                  </w14:solidFill>
                </w14:textFill>
              </w:rPr>
              <w:t xml:space="preserve">，未按要求提供或不提供不得分。</w:t>
            </w:r>
            <w:r/>
          </w:p>
          <w:p>
            <w:pPr>
              <w:numPr>
                <w:ilvl w:val="0"/>
                <w:numId w:val="7"/>
              </w:num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联合体成员之一</w:t>
            </w:r>
            <w:r>
              <w:rPr>
                <w:rFonts w:ascii="宋体" w:hAnsi="宋体" w:cs="宋体"/>
                <w:color w:val="000000" w:themeColor="text1"/>
                <w:sz w:val="24"/>
                <w:highlight w:val="none"/>
                <w14:textFill>
                  <w14:solidFill>
                    <w14:schemeClr w14:val="tx1"/>
                  </w14:solidFill>
                </w14:textFill>
              </w:rPr>
              <w:t xml:space="preserve">具有有效期内</w:t>
            </w:r>
            <w:r>
              <w:rPr>
                <w:rFonts w:hint="eastAsia" w:ascii="宋体" w:hAnsi="宋体" w:cs="宋体"/>
                <w:color w:val="000000" w:themeColor="text1"/>
                <w:sz w:val="24"/>
                <w:highlight w:val="none"/>
                <w14:textFill>
                  <w14:solidFill>
                    <w14:schemeClr w14:val="tx1"/>
                  </w14:solidFill>
                </w14:textFill>
              </w:rPr>
              <w:t xml:space="preserve">的信息技术服务管理体系认证证书、信息安全管理体系认证证书，每提供1项证书得2分。本项最高得分4分</w:t>
            </w:r>
            <w:r>
              <w:rPr>
                <w:rFonts w:ascii="宋体" w:hAnsi="宋体" w:cs="宋体"/>
                <w:color w:val="000000" w:themeColor="text1"/>
                <w:sz w:val="24"/>
                <w:highlight w:val="none"/>
                <w14:textFill>
                  <w14:solidFill>
                    <w14:schemeClr w14:val="tx1"/>
                  </w14:solidFill>
                </w14:textFill>
              </w:rPr>
              <w:t xml:space="preserve">，未按要求提供或不提供不得分。</w:t>
            </w:r>
            <w:r/>
          </w:p>
          <w:p>
            <w:pPr>
              <w:numPr>
                <w:ilvl w:val="0"/>
                <w:numId w:val="7"/>
              </w:numPr>
              <w:ind w:firstLine="480"/>
              <w:keepLines w:val="0"/>
              <w:keepNext w:val="0"/>
              <w:pageBreakBefore w:val="0"/>
              <w:spacing w:line="400" w:lineRule="exact"/>
              <w:rPr>
                <w:rStyle w:val="939"/>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联合体成员之一具有有效期内的</w:t>
            </w:r>
            <w:r>
              <w:rPr>
                <w:rFonts w:ascii="宋体" w:hAnsi="宋体" w:cs="宋体"/>
                <w:color w:val="000000" w:themeColor="text1"/>
                <w:sz w:val="24"/>
                <w:highlight w:val="none"/>
                <w14:textFill>
                  <w14:solidFill>
                    <w14:schemeClr w14:val="tx1"/>
                  </w14:solidFill>
                </w14:textFill>
              </w:rPr>
              <w:t xml:space="preserve">质量、环境、职业健康安全管理系统认证证书</w:t>
            </w:r>
            <w:r>
              <w:rPr>
                <w:rFonts w:hint="eastAsia" w:ascii="宋体" w:hAnsi="宋体" w:cs="宋体"/>
                <w:color w:val="000000" w:themeColor="text1"/>
                <w:sz w:val="24"/>
                <w:highlight w:val="none"/>
                <w14:textFill>
                  <w14:solidFill>
                    <w14:schemeClr w14:val="tx1"/>
                  </w14:solidFill>
                </w14:textFill>
              </w:rPr>
              <w:t xml:space="preserve">得1分。本项最高得1分</w:t>
            </w:r>
            <w:r>
              <w:rPr>
                <w:rFonts w:ascii="宋体" w:hAnsi="宋体" w:cs="宋体"/>
                <w:color w:val="000000" w:themeColor="text1"/>
                <w:sz w:val="24"/>
                <w:highlight w:val="none"/>
                <w14:textFill>
                  <w14:solidFill>
                    <w14:schemeClr w14:val="tx1"/>
                  </w14:solidFill>
                </w14:textFill>
              </w:rPr>
              <w:t xml:space="preserve">，未按要求提供或不提供不得分</w:t>
            </w: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4、联合体成员之一</w:t>
            </w:r>
            <w:r>
              <w:rPr>
                <w:rFonts w:ascii="宋体" w:hAnsi="宋体" w:cs="宋体"/>
                <w:color w:val="000000" w:themeColor="text1"/>
                <w:sz w:val="24"/>
                <w:highlight w:val="none"/>
                <w14:textFill>
                  <w14:solidFill>
                    <w14:schemeClr w14:val="tx1"/>
                  </w14:solidFill>
                </w14:textFill>
              </w:rPr>
              <w:t xml:space="preserve">具有</w:t>
            </w:r>
            <w:r>
              <w:rPr>
                <w:rFonts w:hint="eastAsia" w:ascii="宋体" w:hAnsi="宋体" w:cs="宋体"/>
                <w:color w:val="000000" w:themeColor="text1"/>
                <w:sz w:val="24"/>
                <w:highlight w:val="none"/>
                <w14:textFill>
                  <w14:solidFill>
                    <w14:schemeClr w14:val="tx1"/>
                  </w14:solidFill>
                </w14:textFill>
              </w:rPr>
              <w:t xml:space="preserve">参与</w:t>
            </w:r>
            <w:r>
              <w:rPr>
                <w:rFonts w:ascii="宋体" w:hAnsi="宋体" w:cs="宋体"/>
                <w:color w:val="000000" w:themeColor="text1"/>
                <w:sz w:val="24"/>
                <w:highlight w:val="none"/>
                <w14:textFill>
                  <w14:solidFill>
                    <w14:schemeClr w14:val="tx1"/>
                  </w14:solidFill>
                </w14:textFill>
              </w:rPr>
              <w:t xml:space="preserve">碳排放核算相关</w:t>
            </w:r>
            <w:r>
              <w:rPr>
                <w:rFonts w:hint="eastAsia" w:ascii="宋体" w:hAnsi="宋体" w:cs="宋体"/>
                <w:color w:val="000000" w:themeColor="text1"/>
                <w:sz w:val="24"/>
                <w:highlight w:val="none"/>
                <w14:textFill>
                  <w14:solidFill>
                    <w14:schemeClr w14:val="tx1"/>
                  </w14:solidFill>
                </w14:textFill>
              </w:rPr>
              <w:t xml:space="preserve">的</w:t>
            </w:r>
            <w:r>
              <w:rPr>
                <w:rFonts w:ascii="宋体" w:hAnsi="宋体" w:cs="宋体"/>
                <w:color w:val="000000" w:themeColor="text1"/>
                <w:sz w:val="24"/>
                <w:highlight w:val="none"/>
                <w14:textFill>
                  <w14:solidFill>
                    <w14:schemeClr w14:val="tx1"/>
                  </w14:solidFill>
                </w14:textFill>
              </w:rPr>
              <w:t xml:space="preserve">已发布标准，每提供一个得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分，本项最</w:t>
            </w:r>
            <w:r>
              <w:rPr>
                <w:rFonts w:hint="eastAsia" w:ascii="宋体" w:hAnsi="宋体" w:cs="宋体"/>
                <w:color w:val="000000" w:themeColor="text1"/>
                <w:sz w:val="24"/>
                <w:highlight w:val="none"/>
                <w14:textFill>
                  <w14:solidFill>
                    <w14:schemeClr w14:val="tx1"/>
                  </w14:solidFill>
                </w14:textFill>
              </w:rPr>
              <w:t xml:space="preserve">高</w:t>
            </w:r>
            <w:r>
              <w:rPr>
                <w:rFonts w:ascii="宋体" w:hAnsi="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分，未按要求提供或不提供不得分。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注：投标时须提供以上相关证书扫描件且加盖投标人公章，未提供不得分。</w:t>
            </w:r>
            <w:r>
              <w:rPr>
                <w:rFonts w:hint="eastAsia" w:ascii="宋体" w:hAnsi="宋体" w:cs="宋体"/>
                <w:color w:val="000000" w:themeColor="text1"/>
                <w:sz w:val="24"/>
                <w:highlight w:val="none"/>
                <w:lang w:val="zh-CN"/>
                <w14:textFill>
                  <w14:solidFill>
                    <w14:schemeClr w14:val="tx1"/>
                  </w14:solidFill>
                </w14:textFill>
              </w:rPr>
              <w:t xml:space="preserve">投标人应当确保证书开标当天处于有效期内</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否则不予认可。</w:t>
            </w:r>
            <w:r/>
          </w:p>
        </w:tc>
      </w:tr>
      <w:tr>
        <w:trPr>
          <w:trHeight w:val="347"/>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团队实力</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（12分）</w:t>
            </w:r>
            <w:r/>
          </w:p>
        </w:tc>
        <w:tc>
          <w:tcPr>
            <w:tcW w:w="5217" w:type="dxa"/>
            <w:vAlign w:val="center"/>
            <w:textDirection w:val="lrTb"/>
            <w:noWrap w:val="false"/>
          </w:tcPr>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联合体成员之一拟派项目团队成员具有相关专业（电力、建筑、冶金、石化化工）副高及以上职称，每提供一个得2分。</w:t>
            </w:r>
            <w:r>
              <w:rPr>
                <w:rFonts w:ascii="宋体" w:hAnsi="宋体" w:cs="宋体"/>
                <w:color w:val="000000" w:themeColor="text1"/>
                <w:sz w:val="24"/>
                <w:highlight w:val="none"/>
                <w14:textFill>
                  <w14:solidFill>
                    <w14:schemeClr w14:val="tx1"/>
                  </w14:solidFill>
                </w14:textFill>
              </w:rPr>
              <w:t xml:space="preserve">本项最高得</w:t>
            </w: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分，未按要求提供或不提供不得分。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2、联合体成员之一拟派项目团队成员具有相关专业（电力、建筑、冶金、石化化工）注册咨询工程师执业证书，每提供1项专业证书得2分。</w:t>
            </w:r>
            <w:r>
              <w:rPr>
                <w:rFonts w:ascii="宋体" w:hAnsi="宋体" w:cs="宋体"/>
                <w:color w:val="000000" w:themeColor="text1"/>
                <w:sz w:val="24"/>
                <w:highlight w:val="none"/>
                <w14:textFill>
                  <w14:solidFill>
                    <w14:schemeClr w14:val="tx1"/>
                  </w14:solidFill>
                </w14:textFill>
              </w:rPr>
              <w:t xml:space="preserve">本项最高得</w:t>
            </w: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分，未按要求提供或不提供不得分。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3、联合体成员之一</w:t>
            </w:r>
            <w:r>
              <w:rPr>
                <w:rFonts w:ascii="宋体" w:hAnsi="宋体" w:cs="宋体"/>
                <w:color w:val="000000" w:themeColor="text1"/>
                <w:sz w:val="24"/>
                <w:highlight w:val="none"/>
                <w14:textFill>
                  <w14:solidFill>
                    <w14:schemeClr w14:val="tx1"/>
                  </w14:solidFill>
                </w14:textFill>
              </w:rPr>
              <w:t xml:space="preserve">拟派项目团队成员</w:t>
            </w:r>
            <w:r>
              <w:rPr>
                <w:rFonts w:hint="eastAsia" w:ascii="宋体" w:hAnsi="宋体" w:cs="宋体"/>
                <w:color w:val="000000" w:themeColor="text1"/>
                <w:sz w:val="24"/>
                <w:highlight w:val="none"/>
                <w14:textFill>
                  <w14:solidFill>
                    <w14:schemeClr w14:val="tx1"/>
                  </w14:solidFill>
                </w14:textFill>
              </w:rPr>
              <w:t xml:space="preserve">具有信息系统项目管理师证书、软件设计师证书，</w:t>
            </w:r>
            <w:r>
              <w:rPr>
                <w:rFonts w:ascii="宋体" w:hAnsi="宋体" w:cs="宋体"/>
                <w:color w:val="000000" w:themeColor="text1"/>
                <w:sz w:val="24"/>
                <w:highlight w:val="none"/>
                <w14:textFill>
                  <w14:solidFill>
                    <w14:schemeClr w14:val="tx1"/>
                  </w14:solidFill>
                </w14:textFill>
              </w:rPr>
              <w:t xml:space="preserve">每提供1项得</w:t>
            </w: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分，本项最高得</w:t>
            </w: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注：投标时须提供以上相关证书扫描件加盖投标人公章，并提供相关人员在投标单位近三个月内任一月缴纳社保的证明材料扫描件加盖投标人公章。</w:t>
            </w:r>
            <w:r/>
          </w:p>
        </w:tc>
      </w:tr>
      <w:tr>
        <w:trPr>
          <w:trHeight w:val="396"/>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c>
          <w:tcPr>
            <w:tcW w:w="5217" w:type="dxa"/>
            <w:vAlign w:val="center"/>
            <w:textDirection w:val="lrTb"/>
            <w:noWrap w:val="false"/>
          </w:tcPr>
          <w:p>
            <w:pPr>
              <w:ind w:firstLine="480"/>
              <w:keepLines w:val="0"/>
              <w:keepNext w:val="0"/>
              <w:pageBreakBefore w:val="0"/>
              <w:spacing w:line="40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投标人提供近三年内（自2023年01月01日起，以合同签订日期为准）完成类似项目业绩，类似项目包括：</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1、双碳数字化平台开发、评估或技术服务业绩，每提供一个得1分，本项最高得4分，未按要求提供或不提供不得分；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2、气候、能源或涉碳类相关规划或课题研究业绩，每提供一个得1分，本项最多得2分，未按要求提供或不提供不得分；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3、温室气体清单，碳盘查、碳核查等业绩，每提供一个得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分，本项最多得4分，未按要求提供或不提供不得分。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注：需提供合同关键页扫描件（合同关键页包括但不限于合同首页、合同签订日期页、双方盖章页等关键页）并加盖公章作为得分依据；未提供或所提供资料不符合要求的不得分。</w:t>
            </w:r>
            <w:r/>
          </w:p>
        </w:tc>
      </w:tr>
      <w:tr>
        <w:trPr>
          <w:trHeight w:val="323"/>
        </w:trPr>
        <w:tc>
          <w:tcPr>
            <w:tcW w:w="78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0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演示部分（</w:t>
            </w: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演示与功能讲解（</w:t>
            </w:r>
            <w:r>
              <w:rPr>
                <w:rFonts w:hint="eastAsia" w:ascii="宋体" w:hAnsi="宋体" w:cs="宋体"/>
                <w:color w:val="000000" w:themeColor="text1"/>
                <w:sz w:val="24"/>
                <w:highlight w:val="none"/>
                <w14:textFill>
                  <w14:solidFill>
                    <w14:schemeClr w14:val="tx1"/>
                  </w14:solidFill>
                </w14:textFill>
              </w:rPr>
              <w:t xml:space="preserve">24分</w:t>
            </w:r>
            <w:r>
              <w:rPr>
                <w:rFonts w:hint="eastAsia" w:ascii="宋体" w:hAnsi="宋体" w:cs="宋体"/>
                <w:color w:val="000000" w:themeColor="text1"/>
                <w:sz w:val="24"/>
                <w:highlight w:val="none"/>
                <w:lang w:val="zh-CN"/>
                <w14:textFill>
                  <w14:solidFill>
                    <w14:schemeClr w14:val="tx1"/>
                  </w14:solidFill>
                </w14:textFill>
              </w:rPr>
              <w:t xml:space="preserve">）</w:t>
            </w:r>
            <w:r/>
          </w:p>
        </w:tc>
        <w:tc>
          <w:tcPr>
            <w:tcW w:w="5217" w:type="dxa"/>
            <w:vAlign w:val="center"/>
            <w:textDirection w:val="lrTb"/>
            <w:noWrap w:val="false"/>
          </w:tcPr>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投标人需按照招标文件规定的演示内容制作演示视频文件，视频文件的格式为*.mp4或*.avi，投标人须将视频文件分段压缩为*.zip文件上传（单个文件不得大于</w:t>
            </w:r>
            <w:r>
              <w:rPr>
                <w:rFonts w:hint="eastAsia" w:ascii="宋体" w:hAnsi="宋体" w:cs="宋体"/>
                <w:color w:val="000000" w:themeColor="text1"/>
                <w:sz w:val="24"/>
                <w:highlight w:val="none"/>
                <w:lang w:val="en-US" w:eastAsia="zh-CN"/>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M，所有文件总共不得大于</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00M）。须使用真实的类似应用系统或DEMO系统进行录屏演示，根据演示内容的功能完整性、整体集成性、操作简便性等进行评分。录屏时长：不超过25分钟。具体要求和评分标准如下：</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1、碳达峰碳中和服务门户子系统功能演示（4分）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（1）展示系统专业的碳排放核算第三方认证服务平台模块，该模块支持认证流程、认证服务类型、进入第三方认证系统。</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（2）展示系统提供绿电绿证交易辅助服务，该模块展示服务的内容、绿证类型、应用场景、交易流程等内容。</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（3）展示双碳政策公开服务，该模块展示政策分类、政策内容、政策解读等内容。</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（4）展示系统提供的AI智能服务支持碳智能咨询服务，该模块支持自然语言交互、政策解读、操作指引、智能工单流转功能。</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2、碳达峰碳中和数据采集子系统功能演示（4分）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（1）展示系统丰富数据源接入能力，基于分层解耦、在线模式支持OLTP、OLAP、数据湖、数据库、API等多元数据源，实现市级、区县级、园区级、企业级数据采集。</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（2）展示系统数据集生成能力，</w:t>
            </w:r>
            <w:r>
              <w:rPr>
                <w:rFonts w:ascii="宋体" w:hAnsi="宋体" w:cs="宋体"/>
                <w:color w:val="000000" w:themeColor="text1"/>
                <w:sz w:val="24"/>
                <w:highlight w:val="none"/>
                <w14:textFill>
                  <w14:solidFill>
                    <w14:schemeClr w14:val="tx1"/>
                  </w14:solidFill>
                </w14:textFill>
              </w:rPr>
              <w:t xml:space="preserve">演示平台数据集构建能力，支持低代码可视化快速搭建数据集合，可灵活整合各类数据形成多类专用数据库。演示全面符合功能要求的得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（3）展示系统可视化分析功能</w:t>
            </w:r>
            <w:r>
              <w:rPr>
                <w:rFonts w:ascii="宋体" w:hAnsi="宋体" w:cs="宋体"/>
                <w:color w:val="000000" w:themeColor="text1"/>
                <w:sz w:val="24"/>
                <w:highlight w:val="none"/>
                <w14:textFill>
                  <w14:solidFill>
                    <w14:schemeClr w14:val="tx1"/>
                  </w14:solidFill>
                </w14:textFill>
              </w:rPr>
              <w:t xml:space="preserve">，具备数据大屏与数据仪表板制作能力，支持可视化拖拽编辑，可实现数据联动展示与灵活筛选</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（4）展示系统数据发布能力，</w:t>
            </w:r>
            <w:r>
              <w:rPr>
                <w:rFonts w:ascii="宋体" w:hAnsi="宋体" w:cs="宋体"/>
                <w:color w:val="000000" w:themeColor="text1"/>
                <w:sz w:val="24"/>
                <w:highlight w:val="none"/>
                <w14:textFill>
                  <w14:solidFill>
                    <w14:schemeClr w14:val="tx1"/>
                  </w14:solidFill>
                </w14:textFill>
              </w:rPr>
              <w:t xml:space="preserve">可自主配置开放数据接口，实现</w:t>
            </w:r>
            <w:r>
              <w:rPr>
                <w:rFonts w:hint="eastAsia" w:ascii="宋体" w:hAnsi="宋体" w:cs="宋体"/>
                <w:color w:val="000000" w:themeColor="text1"/>
                <w:sz w:val="24"/>
                <w:highlight w:val="none"/>
                <w14:textFill>
                  <w14:solidFill>
                    <w14:schemeClr w14:val="tx1"/>
                  </w14:solidFill>
                </w14:textFill>
              </w:rPr>
              <w:t xml:space="preserve">数据上线、测试、编辑与查看功能。</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3、碳达峰碳中和核算分析子系统功能演示（14分）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（1）展示系统支持AI智能核算助手，助手支持解答数据填报相关问题、提供智能填写建议、检查数据质量和异常值、基于历史数据提供预测参考。</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（2）展示系统市级双碳管理功能，该模块支持统计分析、预测分析、核查报告模块功能，核查报告支持提交给认证机构审核，可以查看、下载、预览本次报告下载相关数据包、核查报告。</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（3）展示系统市级碳达峰推演模型，基于碳达峰场景选择，开展碳达峰路径推演，展示达峰前后全市碳排放逐年数据。</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（4）展示系统市级专业的碳预测能力，基于ARIMA时间序列、LSTM神经网络等模型预测后可以实现未来五年能源供给结构、能源消费总量等数据预测及展示，基于LMDI分解分析实现减排驱动因素分析。</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（5）展示系统区县级管理能力，该模块支持统计分析、预测分析、核查报告生成功能，预测分析可自主选择预测周期、预测模型，实现能源消费预测、能源供给分析、驱动因素分析、区县对比分析。</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展示系统行业管理功能，该模块支持工业企业、能源行业、公共机构、交通行业、城乡建筑等核算，各行业可按照年月来核算，核算完成展示各行业的行业碳排放总量、行业能源消费总量、单位能耗碳排放强度、重点企业数量、逐月碳排放与能源消费趋势、逐月单位能耗碳排放强度等数据展示。</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展示系统园区管理功能，该模块具备数据填报、统计分析、电碳溯源分析、零碳园区综合服务、核查报告生成功能。园区电碳溯源分析可实现园区的绿电消费总量、绿电消费占比、绿电消费月度趋势、电力碳排放因子等计算与分析，具备园区绿电溯源可视化展示能力。</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（8）展示系统的重点企业管理功能，该模块支持企业数据填报、统计分析、核查报告生成、虚拟电厂管理服务功能，具备选择不同企业进行能源消耗与碳排放流向、碳排放月度趋势、能耗效率矩阵分析等。</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（9）展示系统电碳因子管理功能，基于全景电碳感知测算展示市级、区县、园区的电碳因子数据以及当前全省电碳因子、盐城市电碳因子、可再生能源占比、煤电占比等数据。</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（10）展示系统核算规则管理功能，该模块支持单位管理、报告模板管理、计算公式管理、AI知识库管理等功能。</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展示系统碳排放因子管理功能，适配盐城市的所有行业的碳排因子管理，支持因子筛选、新增因子版本、版本管理、状态修改，支持碳氧化率、单位热值含碳量、低位发热量、电力碳排放因子等因子缺省值批量设定与修改等。</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（12）展示系统的数据孪生场景构建能力，该模块支持高质量的数字孪生场景和模型编辑工具，提供自定义素材（模型、图片、音视频等）导入和编辑功能，配置点位的图标、名称、关联信息等功能。</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（13）展示系统GIS服务能力，可以进行空间分析、三维与实景融合等能力。</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（14）展示系统数据大屏能力，运用数字孪生大屏展示表现市级管理、区县管理、行业管理、园区管理、企业管理、电碳管理主要内容，每个主题支持交互切换，支持与业务系统切换。</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2"/>
              <w:jc w:val="left"/>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4、碳达峰碳中和配置子系统功能演示（2分）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（1）展示系统双碳数据管理配置能力，包括用户管理、审核跟踪、系统日志等管理功能。</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（2）展示系统可视化工作流工具，用户通过拖拽方式即可实现工作流程的自定义配置和调整，实现双碳数据的综合管理。</w:t>
            </w:r>
            <w:r>
              <w:rPr>
                <w:rFonts w:ascii="宋体" w:hAnsi="宋体" w:cs="宋体"/>
                <w:color w:val="000000" w:themeColor="text1"/>
                <w:sz w:val="24"/>
                <w:highlight w:val="none"/>
                <w14:textFill>
                  <w14:solidFill>
                    <w14:schemeClr w14:val="tx1"/>
                  </w14:solidFill>
                </w14:textFill>
              </w:rPr>
              <w:t xml:space="preserve">演示全面符合功能要求的得</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分，演示不全面或不演示的不得分。</w:t>
            </w:r>
            <w:r/>
          </w:p>
        </w:tc>
      </w:tr>
      <w:tr>
        <w:trPr>
          <w:trHeight w:val="480"/>
        </w:trPr>
        <w:tc>
          <w:tcPr>
            <w:tcW w:w="78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0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cs="宋体"/>
                <w:color w:val="000000" w:themeColor="text1"/>
                <w:sz w:val="24"/>
                <w:highlight w:val="none"/>
                <w:lang w:val="zh-CN"/>
                <w14:textFill>
                  <w14:solidFill>
                    <w14:schemeClr w14:val="tx1"/>
                  </w14:solidFill>
                </w14:textFill>
              </w:rPr>
              <w:t xml:space="preserve">方案</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34</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1349" w:type="dxa"/>
            <w:vAlign w:val="center"/>
            <w:textDirection w:val="lrTb"/>
            <w:noWrap w:val="false"/>
          </w:tcPr>
          <w:p>
            <w:pPr>
              <w:jc w:val="center"/>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总体设计方案</w:t>
            </w:r>
            <w:r/>
          </w:p>
          <w:p>
            <w:pPr>
              <w:jc w:val="center"/>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（6分）</w:t>
            </w:r>
            <w:r/>
          </w:p>
        </w:tc>
        <w:tc>
          <w:tcPr>
            <w:tcW w:w="5217" w:type="dxa"/>
            <w:vAlign w:val="center"/>
            <w:textDirection w:val="lrTb"/>
            <w:noWrap w:val="false"/>
          </w:tcPr>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根据本项目第四章采购需求中“总体方案设计要求”，提供科学合理的总体方案设计方案，设计目标明确，结构层次划分清晰合理准确，方案至少包含：①建设思路；②总体原则；③总体框架；④技术路线设计；</w:t>
            </w:r>
            <w:r>
              <w:rPr>
                <w:rFonts w:hint="eastAsia" w:ascii="Segoe UI Emoji" w:hAnsi="Segoe UI Emoji" w:cs="Segoe UI Emoji"/>
                <w:color w:val="000000" w:themeColor="text1"/>
                <w:sz w:val="24"/>
                <w:highlight w:val="none"/>
                <w14:textFill>
                  <w14:solidFill>
                    <w14:schemeClr w14:val="tx1"/>
                  </w14:solidFill>
                </w14:textFill>
              </w:rPr>
              <w:t xml:space="preserve">⑤</w:t>
            </w:r>
            <w:r>
              <w:rPr>
                <w:rFonts w:hint="eastAsia" w:ascii="宋体" w:hAnsi="宋体" w:cs="宋体"/>
                <w:color w:val="000000" w:themeColor="text1"/>
                <w:sz w:val="24"/>
                <w:highlight w:val="none"/>
                <w14:textFill>
                  <w14:solidFill>
                    <w14:schemeClr w14:val="tx1"/>
                  </w14:solidFill>
                </w14:textFill>
              </w:rPr>
              <w:t xml:space="preserve">部署方式。方案优于要求得6分，符合要求得5分，不符合要求或未提供的不得分。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403"/>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系统功能设计方案</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（24分）</w:t>
            </w:r>
            <w:r/>
          </w:p>
        </w:tc>
        <w:tc>
          <w:tcPr>
            <w:tcW w:w="5217" w:type="dxa"/>
            <w:vAlign w:val="center"/>
            <w:textDirection w:val="lrTb"/>
            <w:noWrap w:val="false"/>
          </w:tcPr>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1、碳达峰碳中和服务门户子系统建设方案（3分）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投标人应在第四章采购需求中“碳达峰碳中和服务门户子系统设计方案”</w:t>
            </w:r>
            <w:r>
              <w:rPr>
                <w:rFonts w:hint="eastAsia" w:ascii="宋体" w:hAnsi="宋体" w:cs="宋体"/>
                <w:color w:val="000000" w:themeColor="text1"/>
                <w:sz w:val="24"/>
                <w:highlight w:val="none"/>
                <w14:textFill>
                  <w14:solidFill>
                    <w14:schemeClr w14:val="tx1"/>
                  </w14:solidFill>
                </w14:textFill>
              </w:rPr>
              <w:t xml:space="preserve">中，</w:t>
            </w:r>
            <w:r>
              <w:rPr>
                <w:rFonts w:ascii="宋体" w:hAnsi="宋体" w:cs="宋体"/>
                <w:color w:val="000000" w:themeColor="text1"/>
                <w:sz w:val="24"/>
                <w:highlight w:val="none"/>
                <w14:textFill>
                  <w14:solidFill>
                    <w14:schemeClr w14:val="tx1"/>
                  </w14:solidFill>
                </w14:textFill>
              </w:rPr>
              <w:t xml:space="preserve">提供科学合理的系统方案，方案至少提供双碳服务技术方案</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双碳咨询服务、数据信息公开、双碳公共服务</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门户衔接技术方案</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门户子系统与市级碳排放及碳预算管理、区（县）级碳排放及碳预算管理</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。方案应结构清晰，内容科学合理，具有前瞻性。方案优于项目需求得</w:t>
            </w: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分，符合项目需求得</w:t>
            </w: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，不符合要求或未提供的不得分</w:t>
            </w: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2、碳达峰碳中和数据采集子系统建设方案（3分）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投标人应在第四章采购需求中“碳达峰碳中和数据采集子系统</w:t>
            </w:r>
            <w:r>
              <w:rPr>
                <w:rFonts w:hint="eastAsia" w:ascii="宋体" w:hAnsi="宋体" w:cs="宋体"/>
                <w:color w:val="000000" w:themeColor="text1"/>
                <w:sz w:val="24"/>
                <w:highlight w:val="none"/>
                <w14:textFill>
                  <w14:solidFill>
                    <w14:schemeClr w14:val="tx1"/>
                  </w14:solidFill>
                </w14:textFill>
              </w:rPr>
              <w:t xml:space="preserve">设计方案</w:t>
            </w:r>
            <w:r>
              <w:rPr>
                <w:rFonts w:ascii="宋体" w:hAnsi="宋体" w:cs="宋体"/>
                <w:color w:val="000000" w:themeColor="text1"/>
                <w:sz w:val="24"/>
                <w:highlight w:val="none"/>
                <w14:textFill>
                  <w14:solidFill>
                    <w14:schemeClr w14:val="tx1"/>
                  </w14:solidFill>
                </w14:textFill>
              </w:rPr>
              <w:t xml:space="preserve">”中，提供科学合理的系统方案，方案至少提供数据库建设方案（数据库数据规范管理、公共基础数据库建设、企业实景数据库建设、第三方背景数据库建设）、数据资源体系建设方案（数据库数据质量服务、数据资产服务、数据共享服务）。方案应结构清晰，内容科学合理，具有前瞻性。方案优于项目需求得3分，符合项目需求得2分</w:t>
            </w:r>
            <w:r>
              <w:rPr>
                <w:rFonts w:hint="eastAsia" w:ascii="宋体" w:hAnsi="宋体" w:cs="宋体"/>
                <w:color w:val="000000" w:themeColor="text1"/>
                <w:sz w:val="24"/>
                <w:highlight w:val="none"/>
                <w14:textFill>
                  <w14:solidFill>
                    <w14:schemeClr w14:val="tx1"/>
                  </w14:solidFill>
                </w14:textFill>
              </w:rPr>
              <w:t xml:space="preserve">，不符合要求或未提供的不得分</w:t>
            </w: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3、碳达峰碳中和核算分析子系统建设方案（5分）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投标人应在第四章采购需求中“碳达峰碳中和核算分析子系统设计方案”中，提供科学合理的系统方案，方案至少提供市本级碳排放管理</w:t>
            </w:r>
            <w:r>
              <w:rPr>
                <w:rFonts w:hint="eastAsia" w:ascii="宋体" w:hAnsi="宋体" w:cs="宋体"/>
                <w:color w:val="000000" w:themeColor="text1"/>
                <w:sz w:val="24"/>
                <w:highlight w:val="none"/>
                <w14:textFill>
                  <w14:solidFill>
                    <w14:schemeClr w14:val="tx1"/>
                  </w14:solidFill>
                </w14:textFill>
              </w:rPr>
              <w:t xml:space="preserve">技术方案</w:t>
            </w:r>
            <w:r>
              <w:rPr>
                <w:rFonts w:ascii="宋体" w:hAnsi="宋体" w:cs="宋体"/>
                <w:color w:val="000000" w:themeColor="text1"/>
                <w:sz w:val="24"/>
                <w:highlight w:val="none"/>
                <w14:textFill>
                  <w14:solidFill>
                    <w14:schemeClr w14:val="tx1"/>
                  </w14:solidFill>
                </w14:textFill>
              </w:rPr>
              <w:t xml:space="preserve">、县级碳排放管理</w:t>
            </w:r>
            <w:r>
              <w:rPr>
                <w:rFonts w:hint="eastAsia" w:ascii="宋体" w:hAnsi="宋体" w:cs="宋体"/>
                <w:color w:val="000000" w:themeColor="text1"/>
                <w:sz w:val="24"/>
                <w:highlight w:val="none"/>
                <w14:textFill>
                  <w14:solidFill>
                    <w14:schemeClr w14:val="tx1"/>
                  </w14:solidFill>
                </w14:textFill>
              </w:rPr>
              <w:t xml:space="preserve">技术方案</w:t>
            </w:r>
            <w:r>
              <w:rPr>
                <w:rFonts w:ascii="宋体" w:hAnsi="宋体" w:cs="宋体"/>
                <w:color w:val="000000" w:themeColor="text1"/>
                <w:sz w:val="24"/>
                <w:highlight w:val="none"/>
                <w14:textFill>
                  <w14:solidFill>
                    <w14:schemeClr w14:val="tx1"/>
                  </w14:solidFill>
                </w14:textFill>
              </w:rPr>
              <w:t xml:space="preserve">、行业碳排放管理</w:t>
            </w:r>
            <w:r>
              <w:rPr>
                <w:rFonts w:hint="eastAsia" w:ascii="宋体" w:hAnsi="宋体" w:cs="宋体"/>
                <w:color w:val="000000" w:themeColor="text1"/>
                <w:sz w:val="24"/>
                <w:highlight w:val="none"/>
                <w14:textFill>
                  <w14:solidFill>
                    <w14:schemeClr w14:val="tx1"/>
                  </w14:solidFill>
                </w14:textFill>
              </w:rPr>
              <w:t xml:space="preserve">技术方案</w:t>
            </w:r>
            <w:r>
              <w:rPr>
                <w:rFonts w:ascii="宋体" w:hAnsi="宋体" w:cs="宋体"/>
                <w:color w:val="000000" w:themeColor="text1"/>
                <w:sz w:val="24"/>
                <w:highlight w:val="none"/>
                <w14:textFill>
                  <w14:solidFill>
                    <w14:schemeClr w14:val="tx1"/>
                  </w14:solidFill>
                </w14:textFill>
              </w:rPr>
              <w:t xml:space="preserve">、零碳园区能碳管理</w:t>
            </w:r>
            <w:r>
              <w:rPr>
                <w:rFonts w:hint="eastAsia" w:ascii="宋体" w:hAnsi="宋体" w:cs="宋体"/>
                <w:color w:val="000000" w:themeColor="text1"/>
                <w:sz w:val="24"/>
                <w:highlight w:val="none"/>
                <w14:textFill>
                  <w14:solidFill>
                    <w14:schemeClr w14:val="tx1"/>
                  </w14:solidFill>
                </w14:textFill>
              </w:rPr>
              <w:t xml:space="preserve">技术方案</w:t>
            </w:r>
            <w:r>
              <w:rPr>
                <w:rFonts w:ascii="宋体" w:hAnsi="宋体" w:cs="宋体"/>
                <w:color w:val="000000" w:themeColor="text1"/>
                <w:sz w:val="24"/>
                <w:highlight w:val="none"/>
                <w14:textFill>
                  <w14:solidFill>
                    <w14:schemeClr w14:val="tx1"/>
                  </w14:solidFill>
                </w14:textFill>
              </w:rPr>
              <w:t xml:space="preserve">、重点企业能碳管理</w:t>
            </w:r>
            <w:r>
              <w:rPr>
                <w:rFonts w:hint="eastAsia" w:ascii="宋体" w:hAnsi="宋体" w:cs="宋体"/>
                <w:color w:val="000000" w:themeColor="text1"/>
                <w:sz w:val="24"/>
                <w:highlight w:val="none"/>
                <w14:textFill>
                  <w14:solidFill>
                    <w14:schemeClr w14:val="tx1"/>
                  </w14:solidFill>
                </w14:textFill>
              </w:rPr>
              <w:t xml:space="preserve">技术方案</w:t>
            </w:r>
            <w:r>
              <w:rPr>
                <w:rFonts w:ascii="宋体" w:hAnsi="宋体" w:cs="宋体"/>
                <w:color w:val="000000" w:themeColor="text1"/>
                <w:sz w:val="24"/>
                <w:highlight w:val="none"/>
                <w14:textFill>
                  <w14:solidFill>
                    <w14:schemeClr w14:val="tx1"/>
                  </w14:solidFill>
                </w14:textFill>
              </w:rPr>
              <w:t xml:space="preserve">、电碳因子管理</w:t>
            </w:r>
            <w:r>
              <w:rPr>
                <w:rFonts w:hint="eastAsia" w:ascii="宋体" w:hAnsi="宋体" w:cs="宋体"/>
                <w:color w:val="000000" w:themeColor="text1"/>
                <w:sz w:val="24"/>
                <w:highlight w:val="none"/>
                <w14:textFill>
                  <w14:solidFill>
                    <w14:schemeClr w14:val="tx1"/>
                  </w14:solidFill>
                </w14:textFill>
              </w:rPr>
              <w:t xml:space="preserve">技术方案</w:t>
            </w:r>
            <w:r>
              <w:rPr>
                <w:rFonts w:ascii="宋体" w:hAnsi="宋体" w:cs="宋体"/>
                <w:color w:val="000000" w:themeColor="text1"/>
                <w:sz w:val="24"/>
                <w:highlight w:val="none"/>
                <w14:textFill>
                  <w14:solidFill>
                    <w14:schemeClr w14:val="tx1"/>
                  </w14:solidFill>
                </w14:textFill>
              </w:rPr>
              <w:t xml:space="preserve">、AI+碳核算服务</w:t>
            </w:r>
            <w:r>
              <w:rPr>
                <w:rFonts w:hint="eastAsia" w:ascii="宋体" w:hAnsi="宋体" w:cs="宋体"/>
                <w:color w:val="000000" w:themeColor="text1"/>
                <w:sz w:val="24"/>
                <w:highlight w:val="none"/>
                <w14:textFill>
                  <w14:solidFill>
                    <w14:schemeClr w14:val="tx1"/>
                  </w14:solidFill>
                </w14:textFill>
              </w:rPr>
              <w:t xml:space="preserve">技术方案</w:t>
            </w:r>
            <w:r>
              <w:rPr>
                <w:rFonts w:ascii="宋体" w:hAnsi="宋体" w:cs="宋体"/>
                <w:color w:val="000000" w:themeColor="text1"/>
                <w:sz w:val="24"/>
                <w:highlight w:val="none"/>
                <w14:textFill>
                  <w14:solidFill>
                    <w14:schemeClr w14:val="tx1"/>
                  </w14:solidFill>
                </w14:textFill>
              </w:rPr>
              <w:t xml:space="preserve">。方案应结构清晰，内容科学合理，具有前瞻性。方案优于项目需求得</w:t>
            </w: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分，符合项目需求得</w:t>
            </w: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分，不符合要求或未提供的不得分。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4、碳达峰碳中和配置子系统建设方案（3分）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投标人应在第四章采购需求中“碳达峰碳中和配置子系统</w:t>
            </w:r>
            <w:r>
              <w:rPr>
                <w:rFonts w:hint="eastAsia" w:ascii="宋体" w:hAnsi="宋体" w:cs="宋体"/>
                <w:color w:val="000000" w:themeColor="text1"/>
                <w:sz w:val="24"/>
                <w:highlight w:val="none"/>
                <w14:textFill>
                  <w14:solidFill>
                    <w14:schemeClr w14:val="tx1"/>
                  </w14:solidFill>
                </w14:textFill>
              </w:rPr>
              <w:t xml:space="preserve">设计方案</w:t>
            </w:r>
            <w:r>
              <w:rPr>
                <w:rFonts w:ascii="宋体" w:hAnsi="宋体" w:cs="宋体"/>
                <w:color w:val="000000" w:themeColor="text1"/>
                <w:sz w:val="24"/>
                <w:highlight w:val="none"/>
                <w14:textFill>
                  <w14:solidFill>
                    <w14:schemeClr w14:val="tx1"/>
                  </w14:solidFill>
                </w14:textFill>
              </w:rPr>
              <w:t xml:space="preserve">”中，提供科学合理的系统方案，方案至少提供用户及流程管理方案（用户管理、审核跟踪、流程管理</w:t>
            </w:r>
            <w:r>
              <w:rPr>
                <w:rFonts w:hint="eastAsia" w:ascii="宋体" w:hAnsi="宋体" w:cs="宋体"/>
                <w:color w:val="000000" w:themeColor="text1"/>
                <w:sz w:val="24"/>
                <w:highlight w:val="none"/>
                <w14:textFill>
                  <w14:solidFill>
                    <w14:schemeClr w14:val="tx1"/>
                  </w14:solidFill>
                </w14:textFill>
              </w:rPr>
              <w:t xml:space="preserve">、电子签名</w:t>
            </w:r>
            <w:r>
              <w:rPr>
                <w:rFonts w:ascii="宋体" w:hAnsi="宋体" w:cs="宋体"/>
                <w:color w:val="000000" w:themeColor="text1"/>
                <w:sz w:val="24"/>
                <w:highlight w:val="none"/>
                <w14:textFill>
                  <w14:solidFill>
                    <w14:schemeClr w14:val="tx1"/>
                  </w14:solidFill>
                </w14:textFill>
              </w:rPr>
              <w:t xml:space="preserve">）、可视化技术方案（可视化工作流构建、报表工具、表单式建模）。方案应结构清晰，内容科学合理，具有前瞻性。方案优于项目需求得3分，符合项目需求得2分，不符合要求或未提供的不得分。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5、碳排放核算技术方案（10分）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投标人应在第四章采购需求中“碳达峰碳中和核算分析子系统设计方案”中，提供科学合理的</w:t>
            </w:r>
            <w:r>
              <w:rPr>
                <w:rFonts w:hint="eastAsia" w:ascii="宋体" w:hAnsi="宋体" w:cs="宋体"/>
                <w:color w:val="000000" w:themeColor="text1"/>
                <w:sz w:val="24"/>
                <w:highlight w:val="none"/>
                <w14:textFill>
                  <w14:solidFill>
                    <w14:schemeClr w14:val="tx1"/>
                  </w14:solidFill>
                </w14:textFill>
              </w:rPr>
              <w:t xml:space="preserve">碳排放核算技术</w:t>
            </w:r>
            <w:r>
              <w:rPr>
                <w:rFonts w:ascii="宋体" w:hAnsi="宋体" w:cs="宋体"/>
                <w:color w:val="000000" w:themeColor="text1"/>
                <w:sz w:val="24"/>
                <w:highlight w:val="none"/>
                <w14:textFill>
                  <w14:solidFill>
                    <w14:schemeClr w14:val="tx1"/>
                  </w14:solidFill>
                </w14:textFill>
              </w:rPr>
              <w:t xml:space="preserve">方案。</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（1）适用于市、县、园区的碳排放混合优化碳排放模型方案（2分）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提供适用于市、县、园区的体现宏观分析与微观测算的碳排放混合优化碳排放测算的技术方案。</w:t>
            </w:r>
            <w:r>
              <w:rPr>
                <w:rFonts w:ascii="宋体" w:hAnsi="宋体" w:cs="宋体"/>
                <w:color w:val="000000" w:themeColor="text1"/>
                <w:sz w:val="24"/>
                <w:highlight w:val="none"/>
                <w14:textFill>
                  <w14:solidFill>
                    <w14:schemeClr w14:val="tx1"/>
                  </w14:solidFill>
                </w14:textFill>
              </w:rPr>
              <w:t xml:space="preserve">方案应结构清晰，内容科学合理，具有前瞻性。方案</w:t>
            </w:r>
            <w:r>
              <w:rPr>
                <w:rFonts w:hint="eastAsia" w:ascii="宋体" w:hAnsi="宋体" w:cs="宋体"/>
                <w:color w:val="000000" w:themeColor="text1"/>
                <w:sz w:val="24"/>
                <w:highlight w:val="none"/>
                <w14:textFill>
                  <w14:solidFill>
                    <w14:schemeClr w14:val="tx1"/>
                  </w14:solidFill>
                </w14:textFill>
              </w:rPr>
              <w:t xml:space="preserve">优于项目需求得2分，符合项目需求得1分，不符合要求或未提供的不得分</w:t>
            </w: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（2）绿色电力溯源分析方案（2分）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提供基于实际电力网架与系统潮流的绿色电力溯源分析算法。</w:t>
            </w:r>
            <w:r>
              <w:rPr>
                <w:rFonts w:ascii="宋体" w:hAnsi="宋体" w:cs="宋体"/>
                <w:color w:val="000000" w:themeColor="text1"/>
                <w:sz w:val="24"/>
                <w:highlight w:val="none"/>
                <w14:textFill>
                  <w14:solidFill>
                    <w14:schemeClr w14:val="tx1"/>
                  </w14:solidFill>
                </w14:textFill>
              </w:rPr>
              <w:t xml:space="preserve">方案应结构清晰，内容科学合理，具有前瞻性。方案</w:t>
            </w:r>
            <w:r>
              <w:rPr>
                <w:rFonts w:hint="eastAsia" w:ascii="宋体" w:hAnsi="宋体" w:cs="宋体"/>
                <w:color w:val="000000" w:themeColor="text1"/>
                <w:sz w:val="24"/>
                <w:highlight w:val="none"/>
                <w14:textFill>
                  <w14:solidFill>
                    <w14:schemeClr w14:val="tx1"/>
                  </w14:solidFill>
                </w14:textFill>
              </w:rPr>
              <w:t xml:space="preserve">优于项目需求得2分，符合项目需求得1分，不符合要求或未提供的不得分</w:t>
            </w: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（3）分时分区分压电碳因子计算方案（2分）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提供适用于省级、城市、县区、园区的分时分区电碳因子计算方案。</w:t>
            </w:r>
            <w:r>
              <w:rPr>
                <w:rFonts w:ascii="宋体" w:hAnsi="宋体" w:cs="宋体"/>
                <w:color w:val="000000" w:themeColor="text1"/>
                <w:sz w:val="24"/>
                <w:highlight w:val="none"/>
                <w14:textFill>
                  <w14:solidFill>
                    <w14:schemeClr w14:val="tx1"/>
                  </w14:solidFill>
                </w14:textFill>
              </w:rPr>
              <w:t xml:space="preserve">方案应结构清晰，内容科学合理，具有前瞻性。方案</w:t>
            </w:r>
            <w:r>
              <w:rPr>
                <w:rFonts w:hint="eastAsia" w:ascii="宋体" w:hAnsi="宋体" w:cs="宋体"/>
                <w:color w:val="000000" w:themeColor="text1"/>
                <w:sz w:val="24"/>
                <w:highlight w:val="none"/>
                <w14:textFill>
                  <w14:solidFill>
                    <w14:schemeClr w14:val="tx1"/>
                  </w14:solidFill>
                </w14:textFill>
              </w:rPr>
              <w:t xml:space="preserve">优于项目需求得2分，符合项目需求得1分，不符合要求或未提供的不得分</w:t>
            </w: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（4）行业碳排放核算方案（2分）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提供适用于盐城“双碳”管控重点行业的碳排放核算方案。</w:t>
            </w:r>
            <w:r>
              <w:rPr>
                <w:rFonts w:ascii="宋体" w:hAnsi="宋体" w:cs="宋体"/>
                <w:color w:val="000000" w:themeColor="text1"/>
                <w:sz w:val="24"/>
                <w:highlight w:val="none"/>
                <w14:textFill>
                  <w14:solidFill>
                    <w14:schemeClr w14:val="tx1"/>
                  </w14:solidFill>
                </w14:textFill>
              </w:rPr>
              <w:t xml:space="preserve">方案应结构清晰，内容科学合理，具有前瞻性。方案</w:t>
            </w:r>
            <w:r>
              <w:rPr>
                <w:rFonts w:hint="eastAsia" w:ascii="宋体" w:hAnsi="宋体" w:cs="宋体"/>
                <w:color w:val="000000" w:themeColor="text1"/>
                <w:sz w:val="24"/>
                <w:highlight w:val="none"/>
                <w14:textFill>
                  <w14:solidFill>
                    <w14:schemeClr w14:val="tx1"/>
                  </w14:solidFill>
                </w14:textFill>
              </w:rPr>
              <w:t xml:space="preserve">优于项目需求得2分，符合项目需求得1分，不符合要求或未提供的不得分</w:t>
            </w: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（5）碳排放核算数据全流程认证方案（2分）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提供盐城市碳排放数据收集、清洗、核算、认证全流程方案。</w:t>
            </w:r>
            <w:r>
              <w:rPr>
                <w:rFonts w:ascii="宋体" w:hAnsi="宋体" w:cs="宋体"/>
                <w:color w:val="000000" w:themeColor="text1"/>
                <w:sz w:val="24"/>
                <w:highlight w:val="none"/>
                <w14:textFill>
                  <w14:solidFill>
                    <w14:schemeClr w14:val="tx1"/>
                  </w14:solidFill>
                </w14:textFill>
              </w:rPr>
              <w:t xml:space="preserve">方案应结构清晰，内容科学合理，具有前瞻性。方案</w:t>
            </w:r>
            <w:r>
              <w:rPr>
                <w:rFonts w:hint="eastAsia" w:ascii="宋体" w:hAnsi="宋体" w:cs="宋体"/>
                <w:color w:val="000000" w:themeColor="text1"/>
                <w:sz w:val="24"/>
                <w:highlight w:val="none"/>
                <w14:textFill>
                  <w14:solidFill>
                    <w14:schemeClr w14:val="tx1"/>
                  </w14:solidFill>
                </w14:textFill>
              </w:rPr>
              <w:t xml:space="preserve">优于项目需求得2分，符合项目需求得1分，不符合要求或未提供的不得分</w:t>
            </w: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全流程实施保障方案（4分）</w:t>
            </w:r>
            <w:r/>
          </w:p>
        </w:tc>
        <w:tc>
          <w:tcPr>
            <w:tcW w:w="5217" w:type="dxa"/>
            <w:vAlign w:val="center"/>
            <w:textDirection w:val="lrTb"/>
            <w:noWrap w:val="false"/>
          </w:tcPr>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投标人应在第四章采购需求内容上深化项目全流程实施保障方案，至少包含以下内容：</w:t>
            </w:r>
            <w:r>
              <w:rPr>
                <w:rFonts w:hint="eastAsia" w:ascii="Times New Roman" w:hAnsi="Times New Roman"/>
                <w:color w:val="000000" w:themeColor="text1"/>
                <w:sz w:val="24"/>
                <w:highlight w:val="none"/>
                <w14:textFill>
                  <w14:solidFill>
                    <w14:schemeClr w14:val="tx1"/>
                  </w14:solidFill>
                </w14:textFill>
              </w:rPr>
              <w:t xml:space="preserve">①项目实施方案；②项目培训方案；③售后服务方案等内容。方案应结构清晰，内容科学合理，具有前瞻性</w:t>
            </w:r>
            <w:r>
              <w:rPr>
                <w:rFonts w:hint="eastAsia" w:ascii="宋体" w:hAnsi="宋体" w:cs="宋体"/>
                <w:color w:val="000000" w:themeColor="text1"/>
                <w:sz w:val="24"/>
                <w:highlight w:val="none"/>
                <w14:textFill>
                  <w14:solidFill>
                    <w14:schemeClr w14:val="tx1"/>
                  </w14:solidFill>
                </w14:textFill>
              </w:rPr>
              <w:t xml:space="preserve">。方案优于要求的得4分，符合要求得3分，不符合要求或未提供的不得分。</w:t>
            </w:r>
            <w:r/>
          </w:p>
          <w:p>
            <w:pPr>
              <w:ind w:firstLine="480"/>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jc w:val="center"/>
        <w:widowControl/>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14:textFill>
            <w14:solidFill>
              <w14:schemeClr w14:val="tx1"/>
            </w14:solidFill>
          </w14:textFill>
        </w:rPr>
      </w:r>
      <w:r/>
    </w:p>
    <w:p>
      <w:pPr>
        <w:jc w:val="center"/>
        <w:widowControl/>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14:textFill>
            <w14:solidFill>
              <w14:schemeClr w14:val="tx1"/>
            </w14:solidFill>
          </w14:textFill>
        </w:rPr>
      </w:r>
      <w:r/>
    </w:p>
    <w:p>
      <w:pPr>
        <w:jc w:val="center"/>
        <w:widowControl/>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14:textFill>
            <w14:solidFill>
              <w14:schemeClr w14:val="tx1"/>
            </w14:solidFill>
          </w14:textFill>
        </w:rPr>
      </w:r>
      <w:r/>
    </w:p>
    <w:p>
      <w:pPr>
        <w:jc w:val="center"/>
        <w:widowControl/>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14:textFill>
            <w14:solidFill>
              <w14:schemeClr w14:val="tx1"/>
            </w14:solidFill>
          </w14:textFill>
        </w:rPr>
      </w:r>
      <w:bookmarkEnd w:id="164"/>
      <w:r/>
      <w:r/>
    </w:p>
    <w:p>
      <w:pPr>
        <w:rPr>
          <w:rFonts w:hint="eastAsia" w:eastAsia="黑体" w:cs="黑体"/>
          <w:color w:val="000000" w:themeColor="text1"/>
          <w:sz w:val="44"/>
          <w:szCs w:val="44"/>
          <w:highlight w:val="none"/>
          <w14:textFill>
            <w14:solidFill>
              <w14:schemeClr w14:val="tx1"/>
            </w14:solidFill>
          </w14:textFill>
        </w:rPr>
      </w:pPr>
      <w:r/>
      <w:bookmarkStart w:id="165" w:name="_Hlt26671244"/>
      <w:r/>
      <w:bookmarkStart w:id="166" w:name="_Toc26554094"/>
      <w:r/>
      <w:bookmarkStart w:id="167" w:name="_Hlt26955039"/>
      <w:r>
        <w:rPr>
          <w:rFonts w:hint="eastAsia" w:eastAsia="黑体" w:cs="黑体"/>
          <w:color w:val="000000" w:themeColor="text1"/>
          <w:sz w:val="44"/>
          <w:szCs w:val="44"/>
          <w:highlight w:val="none"/>
          <w14:textFill>
            <w14:solidFill>
              <w14:schemeClr w14:val="tx1"/>
            </w14:solidFill>
          </w14:textFill>
        </w:rPr>
        <w:br w:type="page" w:clear="all"/>
      </w:r>
      <w:r/>
    </w:p>
    <w:p>
      <w:pPr>
        <w:ind w:firstLine="482"/>
        <w:jc w:val="left"/>
        <w:spacing w:line="560" w:lineRule="exact"/>
        <w:widowControl/>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采购包2：</w:t>
      </w:r>
      <w:r/>
    </w:p>
    <w:tbl>
      <w:tblPr>
        <w:tblStyle w:val="907"/>
        <w:tblpPr w:horzAnchor="page" w:tblpX="1731" w:vertAnchor="text" w:tblpY="535" w:leftFromText="180" w:topFromText="0" w:rightFromText="180" w:bottomFromText="0"/>
        <w:tblW w:w="86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2"/>
        <w:gridCol w:w="1349"/>
        <w:gridCol w:w="5217"/>
      </w:tblGrid>
      <w:tr>
        <w:trPr>
          <w:trHeight w:val="567"/>
        </w:trPr>
        <w:tc>
          <w:tcPr>
            <w:tcW w:w="783" w:type="dxa"/>
            <w:vAlign w:val="center"/>
            <w:textDirection w:val="lrTb"/>
            <w:noWrap w:val="false"/>
          </w:tcPr>
          <w:p>
            <w:pPr>
              <w:jc w:val="center"/>
              <w:spacing w:line="500" w:lineRule="exact"/>
              <w:widowControl/>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序号</w:t>
            </w:r>
            <w:r/>
          </w:p>
        </w:tc>
        <w:tc>
          <w:tcPr>
            <w:tcW w:w="1302" w:type="dxa"/>
            <w:vAlign w:val="center"/>
            <w:textDirection w:val="lrTb"/>
            <w:noWrap w:val="false"/>
          </w:tcPr>
          <w:p>
            <w:pPr>
              <w:jc w:val="center"/>
              <w:spacing w:line="500" w:lineRule="exact"/>
              <w:widowControl/>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类别</w:t>
            </w:r>
            <w:r/>
          </w:p>
        </w:tc>
        <w:tc>
          <w:tcPr>
            <w:tcW w:w="1349" w:type="dxa"/>
            <w:vAlign w:val="center"/>
            <w:textDirection w:val="lrTb"/>
            <w:noWrap w:val="false"/>
          </w:tcPr>
          <w:p>
            <w:pPr>
              <w:jc w:val="center"/>
              <w:spacing w:line="500" w:lineRule="exact"/>
              <w:widowControl/>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评分因素</w:t>
            </w:r>
            <w:r/>
          </w:p>
        </w:tc>
        <w:tc>
          <w:tcPr>
            <w:tcW w:w="5217" w:type="dxa"/>
            <w:vAlign w:val="center"/>
            <w:textDirection w:val="lrTb"/>
            <w:noWrap w:val="false"/>
          </w:tcPr>
          <w:p>
            <w:pPr>
              <w:jc w:val="center"/>
              <w:spacing w:line="5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w:t>
            </w:r>
            <w:r/>
          </w:p>
        </w:tc>
      </w:tr>
      <w:tr>
        <w:trPr>
          <w:trHeight w:val="1862"/>
        </w:trPr>
        <w:tc>
          <w:tcPr>
            <w:tcW w:w="78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p>
        </w:tc>
        <w:tc>
          <w:tcPr>
            <w:tcW w:w="1302"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价格分       （</w:t>
            </w: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投标报价</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5217" w:type="dxa"/>
            <w:vAlign w:val="center"/>
            <w:textDirection w:val="lrTb"/>
            <w:noWrap w:val="false"/>
          </w:tcPr>
          <w:p>
            <w:pPr>
              <w:ind w:firstLine="456"/>
              <w:jc w:val="left"/>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价格分采用低价优先法计算，即满足采购文件要求且投标价格最低的投标报价为评标基准价，其价格分为满分。其他投标人的价格分统一按照下列公式计算：投标报价得分=（评标基准价／投标报价）×10。（得分保留两位小数）</w:t>
            </w:r>
            <w:r/>
          </w:p>
        </w:tc>
      </w:tr>
      <w:tr>
        <w:trPr>
          <w:trHeight w:val="90"/>
        </w:trPr>
        <w:tc>
          <w:tcPr>
            <w:tcW w:w="78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0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商务部分</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企业实力</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5217" w:type="dxa"/>
            <w:vAlign w:val="center"/>
            <w:textDirection w:val="lrTb"/>
            <w:noWrap w:val="false"/>
          </w:tcPr>
          <w:p>
            <w:pPr>
              <w:ind w:firstLine="456"/>
              <w:jc w:val="left"/>
              <w:keepLines w:val="0"/>
              <w:keepNext w:val="0"/>
              <w:pageBreakBefore w:val="0"/>
              <w:spacing w:line="400" w:lineRule="exact"/>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1.投标人具有有效期内的信息安全管理体系认证证书、质量管理体系认证证书、信息技术服务管理体系认证证书，每提供1项证书得</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6"/>
                <w:sz w:val="24"/>
                <w:szCs w:val="24"/>
                <w:highlight w:val="none"/>
                <w14:textFill>
                  <w14:solidFill>
                    <w14:schemeClr w14:val="tx1"/>
                  </w14:solidFill>
                </w14:textFill>
              </w:rPr>
              <w:t xml:space="preserve">分，最高得</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6"/>
                <w:sz w:val="24"/>
                <w:szCs w:val="24"/>
                <w:highlight w:val="none"/>
                <w14:textFill>
                  <w14:solidFill>
                    <w14:schemeClr w14:val="tx1"/>
                  </w14:solidFill>
                </w14:textFill>
              </w:rPr>
              <w:t xml:space="preserve">分。</w:t>
            </w:r>
            <w:r/>
          </w:p>
          <w:p>
            <w:pPr>
              <w:ind w:firstLine="456"/>
              <w:jc w:val="left"/>
              <w:keepLines w:val="0"/>
              <w:keepNext w:val="0"/>
              <w:pageBreakBefore w:val="0"/>
              <w:spacing w:line="400" w:lineRule="exact"/>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2.投标人须根据项目要求提供本次测评拟使用的全部工具，若使用自主研发工具需提供工具的</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6"/>
                <w:sz w:val="24"/>
                <w:szCs w:val="24"/>
                <w:highlight w:val="none"/>
                <w14:textFill>
                  <w14:solidFill>
                    <w14:schemeClr w14:val="tx1"/>
                  </w14:solidFill>
                </w14:textFill>
              </w:rPr>
              <w:t xml:space="preserve">著作权证明及有效性验证报告；若使用第三方工具需提供工具采购合同或租赁证明，确保工具满足测评需求且合法合规。每提供一类工具得</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6"/>
                <w:sz w:val="24"/>
                <w:szCs w:val="24"/>
                <w:highlight w:val="none"/>
                <w14:textFill>
                  <w14:solidFill>
                    <w14:schemeClr w14:val="tx1"/>
                  </w14:solidFill>
                </w14:textFill>
              </w:rPr>
              <w:t xml:space="preserve">分，满分</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6"/>
                <w:sz w:val="24"/>
                <w:szCs w:val="24"/>
                <w:highlight w:val="none"/>
                <w14:textFill>
                  <w14:solidFill>
                    <w14:schemeClr w14:val="tx1"/>
                  </w14:solidFill>
                </w14:textFill>
              </w:rPr>
              <w:t xml:space="preserve">分。</w:t>
            </w:r>
            <w:r/>
          </w:p>
          <w:p>
            <w:pPr>
              <w:ind w:firstLine="456"/>
              <w:jc w:val="left"/>
              <w:keepLines w:val="0"/>
              <w:keepNext w:val="0"/>
              <w:pageBreakBefore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注：投标时提供上述证书的彩色扫描件，投标人应当确保证书开标当天处于有效期内，否则不予认可。以上材料均须加盖投标人公章，否则不予认可，不提供不得分。</w:t>
            </w:r>
            <w:r/>
          </w:p>
        </w:tc>
      </w:tr>
      <w:tr>
        <w:trPr>
          <w:trHeight w:val="2307"/>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团队实力</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p>
        </w:tc>
        <w:tc>
          <w:tcPr>
            <w:tcW w:w="5217" w:type="dxa"/>
            <w:vAlign w:val="center"/>
            <w:textDirection w:val="lrTb"/>
            <w:noWrap w:val="false"/>
          </w:tcPr>
          <w:p>
            <w:pPr>
              <w:pStyle w:val="1207"/>
              <w:numPr>
                <w:ilvl w:val="4"/>
                <w:numId w:val="0"/>
              </w:numPr>
              <w:jc w:val="left"/>
              <w:rPr>
                <w:rFonts w:hint="eastAsia"/>
              </w:rPr>
            </w:pPr>
            <w:r>
              <w:rPr>
                <w:rFonts w:hint="eastAsia" w:ascii="宋体" w:hAnsi="宋体" w:eastAsia="宋体" w:cs="宋体"/>
                <w:b w:val="0"/>
                <w:color w:val="000000" w:themeColor="text1"/>
                <w:spacing w:val="-6"/>
                <w:sz w:val="24"/>
                <w:szCs w:val="24"/>
                <w:highlight w:val="none"/>
                <w:lang w:val="en-US" w:eastAsia="zh-CN" w:bidi="ar-SA"/>
                <w14:textFill>
                  <w14:solidFill>
                    <w14:schemeClr w14:val="tx1"/>
                  </w14:solidFill>
                </w14:textFill>
              </w:rPr>
              <w:t xml:space="preserve">1.项目经理：具有国家人力资源和社会保障部工业和信息化部批准颁发的信息系统项目管理师、软件评测师证书，每具有一项得4分，最高得4分。</w:t>
            </w:r>
            <w:r>
              <w:rPr>
                <w:rFonts w:hint="eastAsia" w:ascii="宋体" w:hAnsi="宋体" w:eastAsia="宋体" w:cs="宋体"/>
                <w:b w:val="0"/>
                <w:color w:val="000000" w:themeColor="text1"/>
                <w:spacing w:val="-6"/>
                <w:sz w:val="24"/>
                <w:szCs w:val="24"/>
                <w:highlight w:val="none"/>
                <w:lang w:val="en-US" w:eastAsia="zh-CN" w:bidi="ar-SA"/>
                <w14:textFill>
                  <w14:solidFill>
                    <w14:schemeClr w14:val="tx1"/>
                  </w14:solidFill>
                </w14:textFill>
              </w:rPr>
              <w:br/>
            </w:r>
            <w:r>
              <w:rPr>
                <w:rFonts w:hint="eastAsia" w:ascii="宋体" w:hAnsi="宋体" w:eastAsia="宋体" w:cs="宋体"/>
                <w:b w:val="0"/>
                <w:color w:val="000000" w:themeColor="text1"/>
                <w:spacing w:val="-6"/>
                <w:sz w:val="24"/>
                <w:szCs w:val="24"/>
                <w:highlight w:val="none"/>
                <w:lang w:val="en-US" w:eastAsia="zh-CN" w:bidi="ar-SA"/>
                <w14:textFill>
                  <w14:solidFill>
                    <w14:schemeClr w14:val="tx1"/>
                  </w14:solidFill>
                </w14:textFill>
              </w:rPr>
              <w:t xml:space="preserve">2.项目组成员（除项目经理外）：具有国家人力资源和社会保障部工业和信息化部批准颁发的软件评测师、信息安全工程师、网络工程师、数据库系统工程师</w:t>
            </w:r>
            <w:r>
              <w:rPr>
                <w:rFonts w:hint="eastAsia" w:ascii="宋体" w:hAnsi="宋体" w:eastAsia="宋体" w:cs="宋体"/>
                <w:b w:val="0"/>
                <w:color w:val="auto"/>
                <w:spacing w:val="-6"/>
                <w:sz w:val="24"/>
                <w:szCs w:val="24"/>
                <w:highlight w:val="none"/>
                <w:lang w:val="en-US" w:eastAsia="zh-CN" w:bidi="ar-SA"/>
              </w:rPr>
              <w:t xml:space="preserve">，</w:t>
            </w:r>
            <w:r>
              <w:rPr>
                <w:rFonts w:hint="eastAsia" w:ascii="宋体" w:hAnsi="宋体" w:eastAsia="宋体" w:cs="宋体"/>
                <w:b w:val="0"/>
                <w:color w:val="000000" w:themeColor="text1"/>
                <w:spacing w:val="-6"/>
                <w:sz w:val="24"/>
                <w:szCs w:val="24"/>
                <w:highlight w:val="none"/>
                <w:lang w:val="en-US" w:eastAsia="zh-CN" w:bidi="ar-SA"/>
                <w14:textFill>
                  <w14:solidFill>
                    <w14:schemeClr w14:val="tx1"/>
                  </w14:solidFill>
                </w14:textFill>
              </w:rPr>
              <w:t xml:space="preserve">每提供1类证书得3分，最高得6分。</w:t>
            </w:r>
            <w:r>
              <w:rPr>
                <w:rFonts w:hint="eastAsia" w:ascii="宋体" w:hAnsi="宋体" w:eastAsia="宋体" w:cs="宋体"/>
                <w:b w:val="0"/>
                <w:color w:val="000000" w:themeColor="text1"/>
                <w:spacing w:val="-6"/>
                <w:sz w:val="24"/>
                <w:szCs w:val="24"/>
                <w:highlight w:val="none"/>
                <w:lang w:val="en-US" w:eastAsia="zh-CN" w:bidi="ar-SA"/>
                <w14:textFill>
                  <w14:solidFill>
                    <w14:schemeClr w14:val="tx1"/>
                  </w14:solidFill>
                </w14:textFill>
              </w:rPr>
              <w:br/>
            </w:r>
            <w:r>
              <w:rPr>
                <w:rFonts w:hint="eastAsia" w:ascii="宋体" w:hAnsi="宋体" w:eastAsia="宋体" w:cs="宋体"/>
                <w:b w:val="0"/>
                <w:color w:val="000000" w:themeColor="text1"/>
                <w:spacing w:val="-6"/>
                <w:sz w:val="24"/>
                <w:szCs w:val="24"/>
                <w:highlight w:val="none"/>
                <w:lang w:val="en-US" w:eastAsia="zh-CN" w:bidi="ar-SA"/>
                <w14:textFill>
                  <w14:solidFill>
                    <w14:schemeClr w14:val="tx1"/>
                  </w14:solidFill>
                </w14:textFill>
              </w:rPr>
              <w:t xml:space="preserve">注：①上述证明材料以原件的扫描件并加盖投标人公章进行计分；②以上所有人员需提供投标人投标前3个月内任意1个月缴纳社保的证明材料并加盖投标人公章。</w:t>
            </w:r>
            <w:r/>
          </w:p>
        </w:tc>
      </w:tr>
      <w:tr>
        <w:trPr>
          <w:trHeight w:val="396"/>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tc>
        <w:tc>
          <w:tcPr>
            <w:tcW w:w="5217" w:type="dxa"/>
            <w:vAlign w:val="center"/>
            <w:textDirection w:val="lrTb"/>
            <w:noWrap w:val="false"/>
          </w:tcPr>
          <w:p>
            <w:pPr>
              <w:jc w:val="left"/>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 xml:space="preserve">投标人提供近三年内（自2023年01月01日起，以合同签订日期为准）完成类似项目业绩</w:t>
            </w:r>
            <w:r>
              <w:rPr>
                <w:rFonts w:hint="eastAsia" w:ascii="Times New Roman" w:hAnsi="Times New Roman" w:eastAsia="宋体" w:cs="Times New Roman"/>
                <w:color w:val="000000"/>
                <w:sz w:val="24"/>
                <w:lang w:val="en-US" w:eastAsia="zh-CN"/>
              </w:rPr>
              <w:t xml:space="preserve">的（</w:t>
            </w:r>
            <w:r>
              <w:rPr>
                <w:rFonts w:hint="eastAsia" w:ascii="Times New Roman" w:hAnsi="Times New Roman" w:eastAsia="宋体" w:cs="Times New Roman"/>
                <w:color w:val="000000"/>
                <w:sz w:val="24"/>
              </w:rPr>
              <w:t xml:space="preserve">类似项目是指信息化系统的软件测评项目</w:t>
            </w:r>
            <w:r>
              <w:rPr>
                <w:rFonts w:hint="eastAsia" w:ascii="Times New Roman" w:hAnsi="Times New Roman" w:eastAsia="宋体" w:cs="Times New Roman"/>
                <w:color w:val="000000"/>
                <w:sz w:val="24"/>
                <w:lang w:val="en-US" w:eastAsia="zh-CN"/>
              </w:rPr>
              <w:t xml:space="preserve">）</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每提供一个得4分，最高得12分。</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Times New Roman" w:hAnsi="Times New Roman" w:eastAsia="宋体" w:cs="Times New Roman"/>
                <w:color w:val="000000"/>
                <w:sz w:val="24"/>
              </w:rPr>
              <w:t xml:space="preserve">注：需提供合同关键页扫描件（合同关键页包括但不限于合同首页、合同签订日期页、双方盖章页等关键页）并加盖公章作为得分依据；未提供或所提供资料不符合要求的不得分。</w:t>
            </w:r>
            <w:r/>
          </w:p>
        </w:tc>
      </w:tr>
      <w:tr>
        <w:trPr>
          <w:trHeight w:val="480"/>
        </w:trPr>
        <w:tc>
          <w:tcPr>
            <w:tcW w:w="78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0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cs="宋体"/>
                <w:color w:val="000000" w:themeColor="text1"/>
                <w:sz w:val="24"/>
                <w:highlight w:val="none"/>
                <w:lang w:val="zh-CN"/>
                <w14:textFill>
                  <w14:solidFill>
                    <w14:schemeClr w14:val="tx1"/>
                  </w14:solidFill>
                </w14:textFill>
              </w:rPr>
              <w:t xml:space="preserve">方案</w:t>
            </w:r>
            <w:r/>
          </w:p>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60</w:t>
            </w:r>
            <w:r>
              <w:rPr>
                <w:rFonts w:hint="eastAsia" w:ascii="宋体" w:hAnsi="宋体" w:cs="宋体"/>
                <w:color w:val="000000" w:themeColor="text1"/>
                <w:sz w:val="24"/>
                <w:highlight w:val="none"/>
                <w:lang w:val="zh-CN"/>
                <w14:textFill>
                  <w14:solidFill>
                    <w14:schemeClr w14:val="tx1"/>
                  </w14:solidFill>
                </w14:textFill>
              </w:rPr>
              <w:t xml:space="preserve">分）</w:t>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功能性测试方案</w:t>
            </w:r>
            <w:r/>
          </w:p>
          <w:p>
            <w:pPr>
              <w:jc w:val="center"/>
              <w:keepLines w:val="0"/>
              <w:keepNext w:val="0"/>
              <w:pageBreakBefore w:val="0"/>
              <w:spacing w:line="400" w:lineRule="exact"/>
              <w:rPr>
                <w:rFonts w:hint="eastAsia" w:ascii="Times New Roman" w:hAnsi="Times New Roman" w:eastAsia="宋体" w:cs="Times New Roman"/>
                <w:color w:val="000000"/>
                <w:sz w:val="24"/>
                <w:lang w:val="zh-CN"/>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1.投标人根据本项目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“功能性测试方案”，提供科学合理的项目实施方案，方案至少包含：功能适合性、功能完备性、功能正确性等内容。方案应结构清晰，内容科学合理，具有前瞻性。方案优于要求的得</w:t>
            </w:r>
            <w:r>
              <w:rPr>
                <w:rFonts w:hint="eastAsia" w:ascii="Times New Roman" w:hAnsi="Times New Roman" w:cs="Times New Roman"/>
                <w:color w:val="000000"/>
                <w:sz w:val="24"/>
                <w:lang w:val="en-US" w:eastAsia="zh-CN"/>
              </w:rPr>
              <w:t xml:space="preserve">6</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5</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774"/>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Times New Roman" w:hAnsi="Times New Roman" w:eastAsia="宋体" w:cs="Times New Roman"/>
                <w:color w:val="000000"/>
                <w:sz w:val="24"/>
              </w:rPr>
              <w:t xml:space="preserve">性能效率测试方案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2.投标人根据本项目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“性能效率测试方案”，提供科学合理的项目实施方案，方案至少包含：平均响应时间、平均吞吐量、数据库性能等内容。方案应结构清晰，内容科学合理，具有前瞻性。方案优于要求的得</w:t>
            </w:r>
            <w:r>
              <w:rPr>
                <w:rFonts w:hint="eastAsia" w:ascii="Times New Roman" w:hAnsi="Times New Roman" w:cs="Times New Roman"/>
                <w:color w:val="000000"/>
                <w:sz w:val="24"/>
                <w:lang w:val="en-US" w:eastAsia="zh-CN"/>
              </w:rPr>
              <w:t xml:space="preserve">6</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5</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信息安全性测试方案</w:t>
            </w:r>
            <w:r/>
          </w:p>
          <w:p>
            <w:pPr>
              <w:jc w:val="center"/>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3.投标人根据本项目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 “信息安全性测试方案”，提供科学合理的项目实施方案，方案至少包含：保密性、完整性、真实性等内容。方案应结构清晰，内容科学合理，具有前瞻性。方案优于要求的得</w:t>
            </w:r>
            <w:r>
              <w:rPr>
                <w:rFonts w:hint="eastAsia" w:ascii="Times New Roman" w:hAnsi="Times New Roman" w:cs="Times New Roman"/>
                <w:color w:val="000000"/>
                <w:sz w:val="24"/>
                <w:lang w:val="en-US" w:eastAsia="zh-CN"/>
              </w:rPr>
              <w:t xml:space="preserve">6</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5</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易用性测试方案</w:t>
            </w:r>
            <w:r/>
          </w:p>
          <w:p>
            <w:pPr>
              <w:jc w:val="center"/>
              <w:keepLines w:val="0"/>
              <w:keepNext w:val="0"/>
              <w:pageBreakBefore w:val="0"/>
              <w:spacing w:line="400" w:lineRule="exact"/>
              <w:rPr>
                <w:rFonts w:hint="eastAsia" w:ascii="Times New Roman" w:hAnsi="Times New Roman" w:eastAsia="宋体" w:cs="Times New Roman"/>
                <w:color w:val="000000"/>
                <w:sz w:val="24"/>
                <w:lang w:val="zh-CN"/>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4.投标人根据本项目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“易用性测试方案”，提供科学合理的项目实施方案，方案至少包含：可辨识性、易学性、易操作性、界面舒适性等内容。方案应结构清晰，内容科学合理，具有前瞻性。方案优于要求的得</w:t>
            </w:r>
            <w:r>
              <w:rPr>
                <w:rFonts w:hint="eastAsia" w:ascii="Times New Roman" w:hAnsi="Times New Roman" w:cs="Times New Roman"/>
                <w:color w:val="000000"/>
                <w:sz w:val="24"/>
                <w:lang w:val="en-US" w:eastAsia="zh-CN"/>
              </w:rPr>
              <w:t xml:space="preserve">6</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5</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可靠性测试方案</w:t>
            </w:r>
            <w:r/>
          </w:p>
          <w:p>
            <w:pPr>
              <w:jc w:val="center"/>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5.投标人根据本项目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“可靠性测试方案”，提供科学合理的项目实施方案，方案至少包含：成熟性、可用性、容错性、易恢复性等内容。方案应结构清晰，内容科学合理，具有前瞻性。方案优于要求的得</w:t>
            </w:r>
            <w:r>
              <w:rPr>
                <w:rFonts w:hint="eastAsia" w:ascii="Times New Roman" w:hAnsi="Times New Roman" w:cs="Times New Roman"/>
                <w:color w:val="000000"/>
                <w:sz w:val="24"/>
                <w:lang w:val="en-US" w:eastAsia="zh-CN"/>
              </w:rPr>
              <w:t xml:space="preserve">6</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5</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兼容性测试方案</w:t>
            </w:r>
            <w:r/>
          </w:p>
          <w:p>
            <w:pPr>
              <w:jc w:val="center"/>
              <w:keepLines w:val="0"/>
              <w:keepNext w:val="0"/>
              <w:pageBreakBefore w:val="0"/>
              <w:spacing w:line="400" w:lineRule="exact"/>
              <w:rPr>
                <w:rFonts w:hint="eastAsia" w:ascii="Times New Roman" w:hAnsi="Times New Roman" w:eastAsia="宋体" w:cs="Times New Roman"/>
                <w:color w:val="000000"/>
                <w:sz w:val="24"/>
                <w:lang w:val="zh-CN"/>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6.投标人根据本项目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“兼容性测试方案”，提供科学合理的项目实施方案，方案至少包含：共存性、互操作性等内容。方案应结构清晰，内容科学合理，具有前瞻性。方案优于要求的得</w:t>
            </w:r>
            <w:r>
              <w:rPr>
                <w:rFonts w:hint="eastAsia" w:ascii="Times New Roman" w:hAnsi="Times New Roman" w:cs="Times New Roman"/>
                <w:color w:val="000000"/>
                <w:sz w:val="24"/>
                <w:lang w:val="en-US" w:eastAsia="zh-CN"/>
              </w:rPr>
              <w:t xml:space="preserve">6</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5</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用户文档集测试方案</w:t>
            </w:r>
            <w:r/>
          </w:p>
          <w:p>
            <w:pPr>
              <w:jc w:val="center"/>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7.投标人根据本项目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“用户文档集测试方案”，提供科学合理的项目实施方案，方案至少包含：完备性、一致性、正确性、易理解性等内容。方案应结构清晰，内容科学合理，具有前瞻性。方案优于要求的得</w:t>
            </w:r>
            <w:r>
              <w:rPr>
                <w:rFonts w:hint="eastAsia" w:ascii="Times New Roman" w:hAnsi="Times New Roman" w:eastAsia="宋体" w:cs="Times New Roman"/>
                <w:color w:val="000000"/>
                <w:sz w:val="24"/>
                <w:lang w:val="en-US" w:eastAsia="zh-CN"/>
              </w:rPr>
              <w:t xml:space="preserve">6</w:t>
            </w:r>
            <w:r>
              <w:rPr>
                <w:rFonts w:hint="eastAsia" w:ascii="Times New Roman" w:hAnsi="Times New Roman" w:eastAsia="宋体" w:cs="Times New Roman"/>
                <w:color w:val="000000"/>
                <w:sz w:val="24"/>
              </w:rPr>
              <w:t xml:space="preserve">分，符合要求得</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项目管理方案</w:t>
            </w:r>
            <w:r/>
          </w:p>
          <w:p>
            <w:pPr>
              <w:jc w:val="center"/>
              <w:keepLines w:val="0"/>
              <w:keepNext w:val="0"/>
              <w:pageBreakBefore w:val="0"/>
              <w:spacing w:line="400" w:lineRule="exact"/>
              <w:rPr>
                <w:rFonts w:hint="eastAsia" w:ascii="Times New Roman" w:hAnsi="Times New Roman" w:eastAsia="宋体" w:cs="Times New Roman"/>
                <w:color w:val="000000"/>
                <w:sz w:val="24"/>
                <w:lang w:val="zh-CN"/>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cs="Times New Roman"/>
                <w:color w:val="000000"/>
                <w:sz w:val="24"/>
                <w:lang w:val="en-US" w:eastAsia="zh-CN"/>
              </w:rPr>
              <w:t xml:space="preserve">8</w:t>
            </w:r>
            <w:r>
              <w:rPr>
                <w:rFonts w:hint="eastAsia" w:ascii="Times New Roman" w:hAnsi="Times New Roman" w:eastAsia="宋体" w:cs="Times New Roman"/>
                <w:color w:val="000000"/>
                <w:sz w:val="24"/>
                <w:lang w:val="en-US" w:eastAsia="zh-CN"/>
              </w:rPr>
              <w:t xml:space="preserve">、</w:t>
            </w:r>
            <w:r>
              <w:rPr>
                <w:rFonts w:hint="eastAsia" w:ascii="Times New Roman" w:hAnsi="Times New Roman" w:eastAsia="宋体" w:cs="Times New Roman"/>
                <w:color w:val="000000"/>
                <w:sz w:val="24"/>
              </w:rPr>
              <w:t xml:space="preserve">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“项目管理方案”，提供科学合理的项目实施方案，方案至少包含：团队配置、沟通协调等内容。方案应结构清晰，内容科学合理，具有前瞻性。方案优于要求的得</w:t>
            </w:r>
            <w:r>
              <w:rPr>
                <w:rFonts w:hint="eastAsia" w:ascii="Times New Roman" w:hAnsi="Times New Roman" w:cs="Times New Roman"/>
                <w:color w:val="000000"/>
                <w:sz w:val="24"/>
                <w:lang w:val="en-US" w:eastAsia="zh-CN"/>
              </w:rPr>
              <w:t xml:space="preserve">9</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8</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30"/>
        </w:trPr>
        <w:tc>
          <w:tcPr>
            <w:tcW w:w="78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tc>
        <w:tc>
          <w:tcPr>
            <w:tcW w:w="1349"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质量保证措施</w:t>
            </w:r>
            <w:r/>
          </w:p>
          <w:p>
            <w:pPr>
              <w:jc w:val="center"/>
              <w:keepLines w:val="0"/>
              <w:keepNext w:val="0"/>
              <w:pageBreakBefore w:val="0"/>
              <w:spacing w:line="400" w:lineRule="exact"/>
              <w:rPr>
                <w:rFonts w:hint="eastAsia" w:ascii="Times New Roman" w:hAnsi="Times New Roman" w:eastAsia="宋体" w:cs="Times New Roman"/>
                <w:color w:val="000000"/>
                <w:sz w:val="24"/>
                <w:lang w:val="zh-CN"/>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5217" w:type="dxa"/>
            <w:vAlign w:val="center"/>
            <w:textDirection w:val="lrTb"/>
            <w:noWrap w:val="false"/>
          </w:tcPr>
          <w:p>
            <w:pPr>
              <w:jc w:val="left"/>
              <w:widowControl/>
              <w:rPr>
                <w:rFonts w:hint="eastAsia" w:ascii="Times New Roman" w:hAnsi="Times New Roman" w:eastAsia="宋体" w:cs="Times New Roman"/>
                <w:color w:val="000000"/>
                <w:sz w:val="24"/>
                <w:szCs w:val="24"/>
                <w:lang w:val="en-US" w:eastAsia="zh-CN" w:bidi="ar-SA"/>
              </w:rPr>
            </w:pPr>
            <w:r>
              <w:rPr>
                <w:rFonts w:hint="eastAsia" w:ascii="Times New Roman" w:hAnsi="Times New Roman" w:cs="Times New Roman"/>
                <w:color w:val="000000"/>
                <w:sz w:val="24"/>
                <w:lang w:val="en-US" w:eastAsia="zh-CN"/>
              </w:rPr>
              <w:t xml:space="preserve">9</w:t>
            </w:r>
            <w:r>
              <w:rPr>
                <w:rFonts w:hint="eastAsia" w:ascii="Times New Roman" w:hAnsi="Times New Roman" w:eastAsia="宋体" w:cs="Times New Roman"/>
                <w:color w:val="000000"/>
                <w:sz w:val="24"/>
                <w:lang w:val="en-US" w:eastAsia="zh-CN"/>
              </w:rPr>
              <w:t xml:space="preserve">、</w:t>
            </w:r>
            <w:r>
              <w:rPr>
                <w:rFonts w:hint="eastAsia" w:ascii="Times New Roman" w:hAnsi="Times New Roman" w:eastAsia="宋体" w:cs="Times New Roman"/>
                <w:color w:val="000000"/>
                <w:sz w:val="24"/>
              </w:rPr>
              <w:t xml:space="preserve">投标人根据本项目</w:t>
            </w:r>
            <w:r>
              <w:rPr>
                <w:rFonts w:ascii="Times New Roman" w:hAnsi="Times New Roman" w:eastAsia="宋体" w:cs="Times New Roman"/>
                <w:color w:val="000000"/>
                <w:sz w:val="24"/>
              </w:rPr>
              <w:t xml:space="preserve">第四章采购需求中</w:t>
            </w:r>
            <w:r>
              <w:rPr>
                <w:rFonts w:hint="eastAsia" w:ascii="Times New Roman" w:hAnsi="Times New Roman" w:eastAsia="宋体" w:cs="Times New Roman"/>
                <w:color w:val="000000"/>
                <w:sz w:val="24"/>
              </w:rPr>
              <w:t xml:space="preserve">“质量保证措施”，提供科学合理的项目实施方案，方案至少包含：质量目标、过程管控、文档质量等内容。方案应结构清晰，内容科学合理，具有前瞻性。方案优于要求的得</w:t>
            </w:r>
            <w:r>
              <w:rPr>
                <w:rFonts w:hint="eastAsia" w:ascii="Times New Roman" w:hAnsi="Times New Roman" w:cs="Times New Roman"/>
                <w:color w:val="000000"/>
                <w:sz w:val="24"/>
                <w:lang w:val="en-US" w:eastAsia="zh-CN"/>
              </w:rPr>
              <w:t xml:space="preserve">9</w:t>
            </w:r>
            <w:r>
              <w:rPr>
                <w:rFonts w:hint="eastAsia" w:ascii="Times New Roman" w:hAnsi="Times New Roman" w:eastAsia="宋体" w:cs="Times New Roman"/>
                <w:color w:val="000000"/>
                <w:sz w:val="24"/>
              </w:rPr>
              <w:t xml:space="preserve">分，符合要求得</w:t>
            </w:r>
            <w:r>
              <w:rPr>
                <w:rFonts w:hint="eastAsia" w:ascii="Times New Roman" w:hAnsi="Times New Roman" w:cs="Times New Roman"/>
                <w:color w:val="000000"/>
                <w:sz w:val="24"/>
                <w:lang w:val="en-US" w:eastAsia="zh-CN"/>
              </w:rPr>
              <w:t xml:space="preserve">8</w:t>
            </w:r>
            <w:r>
              <w:rPr>
                <w:rFonts w:hint="eastAsia" w:ascii="Times New Roman" w:hAnsi="Times New Roman" w:eastAsia="宋体" w:cs="Times New Roman"/>
                <w:color w:val="000000"/>
                <w:sz w:val="24"/>
              </w:rPr>
              <w:t xml:space="preserve">分，不符合要求或未提供的不得分。</w:t>
            </w:r>
            <w:r>
              <w:rPr>
                <w:rFonts w:hint="eastAsia" w:ascii="Times New Roman" w:hAnsi="Times New Roman" w:eastAsia="宋体" w:cs="Times New Roman"/>
                <w:color w:val="000000"/>
                <w:sz w:val="24"/>
              </w:rPr>
              <w:br/>
            </w: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931"/>
        <w:jc w:val="center"/>
        <w:rPr>
          <w:rFonts w:hint="eastAsia" w:eastAsia="黑体" w:cs="黑体"/>
          <w:color w:val="000000" w:themeColor="text1"/>
          <w:sz w:val="44"/>
          <w:szCs w:val="44"/>
          <w:highlight w:val="none"/>
          <w14:textFill>
            <w14:solidFill>
              <w14:schemeClr w14:val="tx1"/>
            </w14:solidFill>
          </w14:textFill>
        </w:rPr>
        <w:outlineLvl w:val="0"/>
      </w:pPr>
      <w:r>
        <w:rPr>
          <w:rFonts w:hint="eastAsia" w:eastAsia="黑体" w:cs="黑体"/>
          <w:color w:val="000000" w:themeColor="text1"/>
          <w:sz w:val="44"/>
          <w:szCs w:val="44"/>
          <w:highlight w:val="none"/>
          <w14:textFill>
            <w14:solidFill>
              <w14:schemeClr w14:val="tx1"/>
            </w14:solidFill>
          </w14:textFill>
        </w:rPr>
      </w:r>
      <w:r/>
    </w:p>
    <w:p>
      <w:pPr>
        <w:pStyle w:val="931"/>
        <w:jc w:val="center"/>
        <w:rPr>
          <w:rFonts w:hint="eastAsia" w:eastAsia="黑体" w:cs="黑体"/>
          <w:color w:val="000000" w:themeColor="text1"/>
          <w:sz w:val="44"/>
          <w:szCs w:val="44"/>
          <w:highlight w:val="none"/>
          <w14:textFill>
            <w14:solidFill>
              <w14:schemeClr w14:val="tx1"/>
            </w14:solidFill>
          </w14:textFill>
        </w:rPr>
        <w:outlineLvl w:val="0"/>
      </w:pPr>
      <w:r>
        <w:rPr>
          <w:rFonts w:hint="eastAsia" w:eastAsia="黑体" w:cs="黑体"/>
          <w:color w:val="000000" w:themeColor="text1"/>
          <w:sz w:val="44"/>
          <w:szCs w:val="44"/>
          <w:highlight w:val="none"/>
          <w14:textFill>
            <w14:solidFill>
              <w14:schemeClr w14:val="tx1"/>
            </w14:solidFill>
          </w14:textFill>
        </w:rPr>
      </w:r>
      <w:r/>
    </w:p>
    <w:p>
      <w:pPr>
        <w:pStyle w:val="931"/>
        <w:jc w:val="center"/>
        <w:rPr>
          <w:rFonts w:hint="eastAsia" w:eastAsia="黑体" w:cs="黑体"/>
          <w:color w:val="000000" w:themeColor="text1"/>
          <w:sz w:val="44"/>
          <w:szCs w:val="44"/>
          <w:highlight w:val="none"/>
          <w14:textFill>
            <w14:solidFill>
              <w14:schemeClr w14:val="tx1"/>
            </w14:solidFill>
          </w14:textFill>
        </w:rPr>
        <w:outlineLvl w:val="0"/>
      </w:pPr>
      <w:r>
        <w:rPr>
          <w:rFonts w:hint="eastAsia" w:eastAsia="黑体" w:cs="黑体"/>
          <w:color w:val="000000" w:themeColor="text1"/>
          <w:sz w:val="44"/>
          <w:szCs w:val="44"/>
          <w:highlight w:val="none"/>
          <w14:textFill>
            <w14:solidFill>
              <w14:schemeClr w14:val="tx1"/>
            </w14:solidFill>
          </w14:textFill>
        </w:rPr>
      </w:r>
      <w:r/>
    </w:p>
    <w:p>
      <w:pPr>
        <w:pStyle w:val="931"/>
        <w:jc w:val="center"/>
        <w:rPr>
          <w:rFonts w:hint="eastAsia" w:eastAsia="黑体" w:cs="黑体"/>
          <w:color w:val="000000" w:themeColor="text1"/>
          <w:sz w:val="44"/>
          <w:szCs w:val="44"/>
          <w:highlight w:val="none"/>
          <w14:textFill>
            <w14:solidFill>
              <w14:schemeClr w14:val="tx1"/>
            </w14:solidFill>
          </w14:textFill>
        </w:rPr>
        <w:outlineLvl w:val="0"/>
      </w:pPr>
      <w:r>
        <w:rPr>
          <w:rFonts w:hint="eastAsia" w:eastAsia="黑体" w:cs="黑体"/>
          <w:color w:val="000000" w:themeColor="text1"/>
          <w:sz w:val="44"/>
          <w:szCs w:val="44"/>
          <w:highlight w:val="none"/>
          <w14:textFill>
            <w14:solidFill>
              <w14:schemeClr w14:val="tx1"/>
            </w14:solidFill>
          </w14:textFill>
        </w:rPr>
      </w:r>
      <w:r/>
    </w:p>
    <w:p>
      <w:pPr>
        <w:pStyle w:val="931"/>
        <w:jc w:val="center"/>
        <w:rPr>
          <w:rFonts w:hint="eastAsia" w:eastAsia="黑体" w:cs="黑体"/>
          <w:color w:val="000000" w:themeColor="text1"/>
          <w:sz w:val="44"/>
          <w:szCs w:val="44"/>
          <w:highlight w:val="none"/>
          <w14:textFill>
            <w14:solidFill>
              <w14:schemeClr w14:val="tx1"/>
            </w14:solidFill>
          </w14:textFill>
        </w:rPr>
        <w:outlineLvl w:val="0"/>
      </w:pPr>
      <w:r>
        <w:rPr>
          <w:rFonts w:hint="eastAsia" w:eastAsia="黑体" w:cs="黑体"/>
          <w:color w:val="000000" w:themeColor="text1"/>
          <w:sz w:val="44"/>
          <w:szCs w:val="44"/>
          <w:highlight w:val="none"/>
          <w14:textFill>
            <w14:solidFill>
              <w14:schemeClr w14:val="tx1"/>
            </w14:solidFill>
          </w14:textFill>
        </w:rPr>
      </w:r>
      <w:r/>
    </w:p>
    <w:p>
      <w:pPr>
        <w:pStyle w:val="931"/>
        <w:jc w:val="center"/>
        <w:rPr>
          <w:rFonts w:eastAsia="黑体" w:cs="黑体"/>
          <w:color w:val="000000" w:themeColor="text1"/>
          <w:sz w:val="44"/>
          <w:szCs w:val="44"/>
          <w:highlight w:val="none"/>
          <w14:textFill>
            <w14:solidFill>
              <w14:schemeClr w14:val="tx1"/>
            </w14:solidFill>
          </w14:textFill>
        </w:rPr>
        <w:outlineLvl w:val="0"/>
      </w:pPr>
      <w:r>
        <w:rPr>
          <w:rFonts w:hint="eastAsia" w:eastAsia="黑体" w:cs="黑体"/>
          <w:color w:val="000000" w:themeColor="text1"/>
          <w:sz w:val="44"/>
          <w:szCs w:val="44"/>
          <w:highlight w:val="none"/>
          <w14:textFill>
            <w14:solidFill>
              <w14:schemeClr w14:val="tx1"/>
            </w14:solidFill>
          </w14:textFill>
        </w:rPr>
        <w:t xml:space="preserve">第六章 响应文件格式</w:t>
      </w:r>
      <w:r/>
    </w:p>
    <w:p>
      <w:pPr>
        <w:pStyle w:val="931"/>
        <w:jc w:val="center"/>
        <w:rPr>
          <w:rFonts w:eastAsia="宋体" w:cs="宋体"/>
          <w:b/>
          <w:color w:val="000000" w:themeColor="text1"/>
          <w:sz w:val="72"/>
          <w:szCs w:val="72"/>
          <w:highlight w:val="none"/>
          <w14:textFill>
            <w14:solidFill>
              <w14:schemeClr w14:val="tx1"/>
            </w14:solidFill>
          </w14:textFill>
        </w:rPr>
      </w:pPr>
      <w:r/>
      <w:bookmarkStart w:id="168" w:name="_Toc49090576"/>
      <w:r/>
      <w:bookmarkEnd w:id="168"/>
      <w:r/>
      <w:bookmarkStart w:id="169" w:name="_Toc120614282"/>
      <w:r/>
      <w:bookmarkEnd w:id="169"/>
      <w:r/>
      <w:r/>
    </w:p>
    <w:p>
      <w:pPr>
        <w:pStyle w:val="931"/>
        <w:jc w:val="center"/>
        <w:rPr>
          <w:rFonts w:eastAsia="宋体" w:cs="宋体"/>
          <w:b/>
          <w:color w:val="000000" w:themeColor="text1"/>
          <w:sz w:val="72"/>
          <w:szCs w:val="72"/>
          <w:highlight w:val="none"/>
          <w14:textFill>
            <w14:solidFill>
              <w14:schemeClr w14:val="tx1"/>
            </w14:solidFill>
          </w14:textFill>
        </w:rPr>
      </w:pPr>
      <w:r>
        <w:rPr>
          <w:rFonts w:eastAsia="宋体" w:cs="宋体"/>
          <w:b/>
          <w:color w:val="000000" w:themeColor="text1"/>
          <w:sz w:val="72"/>
          <w:szCs w:val="72"/>
          <w:highlight w:val="none"/>
          <w14:textFill>
            <w14:solidFill>
              <w14:schemeClr w14:val="tx1"/>
            </w14:solidFill>
          </w14:textFill>
        </w:rPr>
      </w:r>
      <w:r/>
    </w:p>
    <w:p>
      <w:pPr>
        <w:pStyle w:val="931"/>
        <w:jc w:val="center"/>
        <w:rPr>
          <w:rFonts w:eastAsia="宋体" w:cs="宋体"/>
          <w:b/>
          <w:color w:val="000000" w:themeColor="text1"/>
          <w:sz w:val="72"/>
          <w:szCs w:val="72"/>
          <w:highlight w:val="none"/>
          <w14:textFill>
            <w14:solidFill>
              <w14:schemeClr w14:val="tx1"/>
            </w14:solidFill>
          </w14:textFill>
        </w:rPr>
      </w:pPr>
      <w:r>
        <w:rPr>
          <w:rFonts w:eastAsia="宋体" w:cs="宋体"/>
          <w:b/>
          <w:color w:val="000000" w:themeColor="text1"/>
          <w:sz w:val="72"/>
          <w:szCs w:val="72"/>
          <w:highlight w:val="none"/>
          <w14:textFill>
            <w14:solidFill>
              <w14:schemeClr w14:val="tx1"/>
            </w14:solidFill>
          </w14:textFill>
        </w:rPr>
      </w:r>
      <w:r/>
    </w:p>
    <w:p>
      <w:pPr>
        <w:pStyle w:val="931"/>
        <w:jc w:val="center"/>
        <w:rPr>
          <w:color w:val="000000" w:themeColor="text1"/>
          <w:highlight w:val="none"/>
          <w14:textFill>
            <w14:solidFill>
              <w14:schemeClr w14:val="tx1"/>
            </w14:solidFill>
          </w14:textFill>
        </w:rPr>
      </w:pPr>
      <w:r>
        <w:rPr>
          <w:rFonts w:hint="eastAsia" w:eastAsia="宋体" w:cs="宋体"/>
          <w:b/>
          <w:color w:val="000000" w:themeColor="text1"/>
          <w:sz w:val="72"/>
          <w:szCs w:val="72"/>
          <w:highlight w:val="none"/>
          <w14:textFill>
            <w14:solidFill>
              <w14:schemeClr w14:val="tx1"/>
            </w14:solidFill>
          </w14:textFill>
        </w:rPr>
        <w:t xml:space="preserve">响  应  文  件</w:t>
      </w:r>
      <w:r/>
    </w:p>
    <w:p>
      <w:pPr>
        <w:pStyle w:val="93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ind w:left="630"/>
        <w:jc w:val="both"/>
        <w:rPr>
          <w:rFonts w:eastAsia="宋体"/>
          <w:color w:val="000000" w:themeColor="text1"/>
          <w:highlight w:val="none"/>
          <w:u w:val="single"/>
          <w14:textFill>
            <w14:solidFill>
              <w14:schemeClr w14:val="tx1"/>
            </w14:solidFill>
          </w14:textFill>
        </w:rPr>
      </w:pPr>
      <w:r>
        <w:rPr>
          <w:rFonts w:hint="eastAsia" w:eastAsia="宋体" w:cs="宋体"/>
          <w:b/>
          <w:color w:val="000000" w:themeColor="text1"/>
          <w:spacing w:val="60"/>
          <w:sz w:val="36"/>
          <w:szCs w:val="36"/>
          <w:highlight w:val="none"/>
          <w14:textFill>
            <w14:solidFill>
              <w14:schemeClr w14:val="tx1"/>
            </w14:solidFill>
          </w14:textFill>
        </w:rPr>
        <w:t xml:space="preserve">项目名</w:t>
      </w:r>
      <w:r>
        <w:rPr>
          <w:rFonts w:hint="eastAsia" w:eastAsia="宋体" w:cs="宋体"/>
          <w:b/>
          <w:color w:val="000000" w:themeColor="text1"/>
          <w:spacing w:val="2"/>
          <w:sz w:val="36"/>
          <w:szCs w:val="36"/>
          <w:highlight w:val="none"/>
          <w14:textFill>
            <w14:solidFill>
              <w14:schemeClr w14:val="tx1"/>
            </w14:solidFill>
          </w14:textFill>
        </w:rPr>
        <w:t xml:space="preserve">称</w:t>
      </w:r>
      <w:r>
        <w:rPr>
          <w:rFonts w:hint="eastAsia" w:eastAsia="宋体" w:cs="宋体"/>
          <w:b/>
          <w:color w:val="000000" w:themeColor="text1"/>
          <w:sz w:val="36"/>
          <w:szCs w:val="36"/>
          <w:highlight w:val="none"/>
          <w14:textFill>
            <w14:solidFill>
              <w14:schemeClr w14:val="tx1"/>
            </w14:solidFill>
          </w14:textFill>
        </w:rPr>
        <w:t xml:space="preserve">：                </w:t>
      </w:r>
      <w:r/>
    </w:p>
    <w:p>
      <w:pPr>
        <w:pStyle w:val="931"/>
        <w:ind w:left="630"/>
        <w:jc w:val="both"/>
        <w:rPr>
          <w:color w:val="000000" w:themeColor="text1"/>
          <w:highlight w:val="none"/>
          <w14:textFill>
            <w14:solidFill>
              <w14:schemeClr w14:val="tx1"/>
            </w14:solidFill>
          </w14:textFill>
        </w:rPr>
      </w:pPr>
      <w:r>
        <w:rPr>
          <w:rFonts w:hint="eastAsia" w:eastAsia="宋体" w:cs="宋体"/>
          <w:b/>
          <w:color w:val="000000" w:themeColor="text1"/>
          <w:spacing w:val="60"/>
          <w:sz w:val="36"/>
          <w:szCs w:val="36"/>
          <w:highlight w:val="none"/>
          <w14:textFill>
            <w14:solidFill>
              <w14:schemeClr w14:val="tx1"/>
            </w14:solidFill>
          </w14:textFill>
        </w:rPr>
        <w:t xml:space="preserve">项目编</w:t>
      </w:r>
      <w:r>
        <w:rPr>
          <w:rFonts w:hint="eastAsia" w:eastAsia="宋体" w:cs="宋体"/>
          <w:b/>
          <w:color w:val="000000" w:themeColor="text1"/>
          <w:spacing w:val="2"/>
          <w:sz w:val="36"/>
          <w:szCs w:val="36"/>
          <w:highlight w:val="none"/>
          <w14:textFill>
            <w14:solidFill>
              <w14:schemeClr w14:val="tx1"/>
            </w14:solidFill>
          </w14:textFill>
        </w:rPr>
        <w:t xml:space="preserve">号</w:t>
      </w:r>
      <w:r>
        <w:rPr>
          <w:rFonts w:hint="eastAsia" w:eastAsia="宋体" w:cs="宋体"/>
          <w:b/>
          <w:color w:val="000000" w:themeColor="text1"/>
          <w:sz w:val="36"/>
          <w:szCs w:val="36"/>
          <w:highlight w:val="none"/>
          <w14:textFill>
            <w14:solidFill>
              <w14:schemeClr w14:val="tx1"/>
            </w14:solidFill>
          </w14:textFill>
        </w:rPr>
        <w:t xml:space="preserve">：</w:t>
      </w:r>
      <w:r/>
    </w:p>
    <w:p>
      <w:pPr>
        <w:pStyle w:val="931"/>
        <w:ind w:left="630"/>
        <w:jc w:val="both"/>
        <w:rPr>
          <w:rFonts w:eastAsia="宋体"/>
          <w:color w:val="000000" w:themeColor="text1"/>
          <w:highlight w:val="none"/>
          <w14:textFill>
            <w14:solidFill>
              <w14:schemeClr w14:val="tx1"/>
            </w14:solidFill>
          </w14:textFill>
        </w:rPr>
      </w:pPr>
      <w:r>
        <w:rPr>
          <w:rFonts w:hint="eastAsia" w:eastAsia="宋体" w:cs="宋体"/>
          <w:b/>
          <w:color w:val="000000" w:themeColor="text1"/>
          <w:sz w:val="36"/>
          <w:szCs w:val="36"/>
          <w:highlight w:val="none"/>
          <w14:textFill>
            <w14:solidFill>
              <w14:schemeClr w14:val="tx1"/>
            </w14:solidFill>
          </w14:textFill>
        </w:rPr>
        <w:t xml:space="preserve">供应商名称：</w:t>
      </w:r>
      <w:r>
        <w:rPr>
          <w:rFonts w:hint="eastAsia" w:eastAsia="宋体" w:cs="宋体"/>
          <w:color w:val="000000" w:themeColor="text1"/>
          <w:sz w:val="36"/>
          <w:szCs w:val="36"/>
          <w:highlight w:val="none"/>
          <w:u w:val="single"/>
          <w14:textFill>
            <w14:solidFill>
              <w14:schemeClr w14:val="tx1"/>
            </w14:solidFill>
          </w14:textFill>
        </w:rPr>
        <w:t xml:space="preserve">（加盖CA电子公章）（如是联合体投标，仅需加盖牵头方CA电子公章）</w:t>
      </w:r>
      <w:r/>
    </w:p>
    <w:p>
      <w:pPr>
        <w:pStyle w:val="931"/>
        <w:ind w:left="630"/>
        <w:jc w:val="both"/>
        <w:rPr>
          <w:rFonts w:eastAsia="宋体"/>
          <w:color w:val="000000" w:themeColor="text1"/>
          <w:highlight w:val="none"/>
          <w:u w:val="single"/>
          <w14:textFill>
            <w14:solidFill>
              <w14:schemeClr w14:val="tx1"/>
            </w14:solidFill>
          </w14:textFill>
        </w:rPr>
      </w:pPr>
      <w:r>
        <w:rPr>
          <w:rFonts w:hint="eastAsia" w:eastAsia="宋体" w:cs="宋体"/>
          <w:b/>
          <w:color w:val="000000" w:themeColor="text1"/>
          <w:sz w:val="36"/>
          <w:szCs w:val="36"/>
          <w:highlight w:val="none"/>
          <w14:textFill>
            <w14:solidFill>
              <w14:schemeClr w14:val="tx1"/>
            </w14:solidFill>
          </w14:textFill>
        </w:rPr>
        <w:t xml:space="preserve">日　   　　期：</w:t>
      </w:r>
      <w:r/>
    </w:p>
    <w:p>
      <w:pPr>
        <w:pStyle w:val="1167"/>
        <w:jc w:val="both"/>
        <w:spacing w:before="0" w:after="0" w:line="240" w:lineRule="auto"/>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p>
      <w:pPr>
        <w:jc w:val="both"/>
        <w:widowControl/>
        <w:rPr>
          <w:rFonts w:ascii="宋体" w:hAnsi="宋体" w:cs="Times New Roman"/>
          <w:b/>
          <w:bCs/>
          <w:color w:val="000000" w:themeColor="text1"/>
          <w:sz w:val="36"/>
          <w:szCs w:val="36"/>
          <w:highlight w:val="none"/>
          <w14:textFill>
            <w14:solidFill>
              <w14:schemeClr w14:val="tx1"/>
            </w14:solidFill>
          </w14:textFill>
        </w:rPr>
      </w:pPr>
      <w:r>
        <w:rPr>
          <w:rFonts w:ascii="宋体" w:hAnsi="宋体" w:cs="Times New Roman"/>
          <w:b/>
          <w:bCs/>
          <w:color w:val="000000" w:themeColor="text1"/>
          <w:sz w:val="36"/>
          <w:szCs w:val="36"/>
          <w:highlight w:val="none"/>
          <w14:textFill>
            <w14:solidFill>
              <w14:schemeClr w14:val="tx1"/>
            </w14:solidFill>
          </w14:textFill>
        </w:rPr>
        <w:br w:type="page" w:clear="all"/>
      </w:r>
      <w:r/>
    </w:p>
    <w:p>
      <w:pPr>
        <w:jc w:val="both"/>
        <w:widowControl/>
        <w:rPr>
          <w:rFonts w:ascii="宋体" w:hAnsi="宋体" w:cs="Times New Roman"/>
          <w:b/>
          <w:bCs/>
          <w:color w:val="000000" w:themeColor="text1"/>
          <w:sz w:val="36"/>
          <w:szCs w:val="36"/>
          <w:highlight w:val="none"/>
          <w14:textFill>
            <w14:solidFill>
              <w14:schemeClr w14:val="tx1"/>
            </w14:solidFill>
          </w14:textFill>
        </w:rPr>
      </w:pPr>
      <w:r>
        <w:rPr>
          <w:rFonts w:ascii="宋体" w:hAnsi="宋体" w:cs="Times New Roman"/>
          <w:b/>
          <w:bCs/>
          <w:color w:val="000000" w:themeColor="text1"/>
          <w:sz w:val="36"/>
          <w:szCs w:val="36"/>
          <w:highlight w:val="none"/>
          <w14:textFill>
            <w14:solidFill>
              <w14:schemeClr w14:val="tx1"/>
            </w14:solidFill>
          </w14:textFill>
        </w:rPr>
      </w:r>
      <w:r/>
    </w:p>
    <w:p>
      <w:pPr>
        <w:jc w:val="center"/>
        <w:widowControl/>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响应文件目录</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上一</w:t>
      </w:r>
      <w:r>
        <w:rPr>
          <w:rFonts w:hint="eastAsia" w:ascii="宋体" w:hAnsi="宋体" w:cs="宋体"/>
          <w:color w:val="000000" w:themeColor="text1"/>
          <w:sz w:val="24"/>
          <w:highlight w:val="none"/>
          <w14:textFill>
            <w14:solidFill>
              <w14:schemeClr w14:val="tx1"/>
            </w14:solidFill>
          </w14:textFill>
        </w:rPr>
        <w:t xml:space="preserve">年度的财务状况报告（至少提供资产负债表、利润表、现金流量表，磋商供应商成立不满一年无需提供）</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三、具备履行合同所必需的设备和专业技术能力的书面声明</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五、参加政府采购活动前 3 年内在经营活动中没有重大违法记录的书面声明</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六、特定资格要求的证明文件（如果本项目设置特定资格要求，则需要提供）</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七、法人授权书</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八、磋商响应函</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九、中小企业声明函</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十、残疾人福利性单位声明函</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十一、联合体协议</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十二、分项报价表</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十三、技术要求响应及偏离表</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十四、商务要求响应及偏离表</w:t>
      </w:r>
      <w:r/>
    </w:p>
    <w:p>
      <w:pPr>
        <w:ind w:firstLine="561"/>
        <w:spacing w:line="560" w:lineRule="exact"/>
        <w:widowControl/>
        <w:rPr>
          <w:rFonts w:hint="default" w:ascii="宋体" w:hAnsi="宋体" w:eastAsia="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十五、</w:t>
      </w:r>
      <w:r>
        <w:rPr>
          <w:rFonts w:hint="eastAsia" w:ascii="宋体" w:hAnsi="宋体" w:cs="宋体"/>
          <w:color w:val="000000" w:themeColor="text1"/>
          <w:sz w:val="24"/>
          <w:highlight w:val="none"/>
          <w:lang w:val="en-US" w:eastAsia="zh-CN"/>
          <w14:textFill>
            <w14:solidFill>
              <w14:schemeClr w14:val="tx1"/>
            </w14:solidFill>
          </w14:textFill>
        </w:rPr>
        <w:t xml:space="preserve">磋商报价表</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十六、技术方案、服务承诺、培训承诺等</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十七、盐城市政府采购事前信用承诺书</w:t>
      </w:r>
      <w:r/>
    </w:p>
    <w:p>
      <w:pPr>
        <w:ind w:firstLine="561"/>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640"/>
        <w:widowControl/>
        <w:rPr>
          <w:rFonts w:hint="eastAsia"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r>
      <w:r/>
    </w:p>
    <w:p>
      <w:pPr>
        <w:pStyle w:val="931"/>
        <w:jc w:val="both"/>
        <w:spacing w:line="508" w:lineRule="exact"/>
        <w:rPr>
          <w:color w:val="000000" w:themeColor="text1"/>
          <w:highlight w:val="none"/>
          <w14:textFill>
            <w14:solidFill>
              <w14:schemeClr w14:val="tx1"/>
            </w14:solidFill>
          </w14:textFill>
        </w:rPr>
      </w:pPr>
      <w:r/>
      <w:bookmarkStart w:id="170" w:name="_Toc120614284"/>
      <w:r>
        <w:rPr>
          <w:rFonts w:hint="eastAsia" w:ascii="黑体" w:hAnsi="黑体" w:eastAsia="黑体" w:cs="黑体"/>
          <w:i/>
          <w:color w:val="000000" w:themeColor="text1"/>
          <w:highlight w:val="none"/>
          <w:u w:val="single"/>
          <w14:textFill>
            <w14:solidFill>
              <w14:schemeClr w14:val="tx1"/>
            </w14:solidFill>
          </w14:textFill>
        </w:rPr>
        <w:br w:type="page" w:clear="all"/>
      </w:r>
      <w:bookmarkEnd w:id="7"/>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162"/>
      <w:r/>
      <w:bookmarkEnd w:id="165"/>
      <w:r/>
      <w:bookmarkEnd w:id="166"/>
      <w:r/>
      <w:bookmarkEnd w:id="167"/>
      <w:r/>
      <w:bookmarkEnd w:id="170"/>
      <w:r>
        <w:rPr>
          <w:rFonts w:hint="eastAsia" w:eastAsia="黑体" w:cs="黑体"/>
          <w:i/>
          <w:color w:val="000000" w:themeColor="text1"/>
          <w:highlight w:val="none"/>
          <w:u w:val="single"/>
          <w14:textFill>
            <w14:solidFill>
              <w14:schemeClr w14:val="tx1"/>
            </w14:solidFill>
          </w14:textFill>
        </w:rPr>
        <w:t xml:space="preserve">一、法人或者其他组织的营业执照等证明文件，自然人的身份证明</w:t>
      </w:r>
      <w:r/>
    </w:p>
    <w:p>
      <w:pPr>
        <w:pStyle w:val="931"/>
        <w:ind w:firstLine="480"/>
        <w:jc w:val="both"/>
        <w:spacing w:line="50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jc w:val="both"/>
        <w:spacing w:line="508" w:lineRule="exact"/>
        <w:rPr>
          <w:rFonts w:eastAsia="黑体"/>
          <w:color w:val="000000" w:themeColor="text1"/>
          <w:highlight w:val="none"/>
          <w14:textFill>
            <w14:solidFill>
              <w14:schemeClr w14:val="tx1"/>
            </w14:solidFill>
          </w14:textFill>
        </w:rPr>
      </w:pPr>
      <w:r>
        <w:rPr>
          <w:rFonts w:hint="eastAsia" w:eastAsia="黑体" w:cs="黑体"/>
          <w:i/>
          <w:color w:val="000000" w:themeColor="text1"/>
          <w:highlight w:val="none"/>
          <w:u w:val="single"/>
          <w14:textFill>
            <w14:solidFill>
              <w14:schemeClr w14:val="tx1"/>
            </w14:solidFill>
          </w14:textFill>
        </w:rPr>
        <w:t xml:space="preserve">二、</w:t>
      </w:r>
      <w:r>
        <w:rPr>
          <w:rFonts w:hint="eastAsia" w:eastAsia="黑体" w:cs="黑体"/>
          <w:i/>
          <w:color w:val="000000" w:themeColor="text1"/>
          <w:highlight w:val="none"/>
          <w:u w:val="single"/>
          <w:lang w:val="en-US" w:eastAsia="zh-CN"/>
          <w14:textFill>
            <w14:solidFill>
              <w14:schemeClr w14:val="tx1"/>
            </w14:solidFill>
          </w14:textFill>
        </w:rPr>
        <w:t xml:space="preserve">上一</w:t>
      </w:r>
      <w:r>
        <w:rPr>
          <w:rFonts w:hint="eastAsia" w:eastAsia="黑体" w:cs="黑体"/>
          <w:i/>
          <w:color w:val="000000" w:themeColor="text1"/>
          <w:highlight w:val="none"/>
          <w:u w:val="single"/>
          <w14:textFill>
            <w14:solidFill>
              <w14:schemeClr w14:val="tx1"/>
            </w14:solidFill>
          </w14:textFill>
        </w:rPr>
        <w:t xml:space="preserve">年度的财务状况报告</w:t>
      </w:r>
      <w:r/>
    </w:p>
    <w:p>
      <w:pPr>
        <w:ind w:firstLine="480"/>
        <w:jc w:val="left"/>
        <w:spacing w:line="508" w:lineRule="exact"/>
        <w:tabs>
          <w:tab w:val="left" w:pos="1331" w:leader="none"/>
          <w:tab w:val="left" w:pos="2590" w:leader="none"/>
        </w:tabs>
        <w:rPr>
          <w:rFonts w:ascii="Times New Roman" w:hAnsi="Times New Roman" w:cs="宋体"/>
          <w:iCs/>
          <w:color w:val="000000" w:themeColor="text1"/>
          <w:sz w:val="24"/>
          <w:highlight w:val="none"/>
          <w14:textFill>
            <w14:solidFill>
              <w14:schemeClr w14:val="tx1"/>
            </w14:solidFill>
          </w14:textFill>
        </w:rPr>
      </w:pPr>
      <w:r>
        <w:rPr>
          <w:rFonts w:hint="eastAsia" w:ascii="Times New Roman" w:hAnsi="Times New Roman" w:cs="宋体"/>
          <w:iCs/>
          <w:color w:val="000000" w:themeColor="text1"/>
          <w:sz w:val="24"/>
          <w:highlight w:val="none"/>
          <w14:textFill>
            <w14:solidFill>
              <w14:schemeClr w14:val="tx1"/>
            </w14:solidFill>
          </w14:textFill>
        </w:rPr>
        <w:t xml:space="preserve">（至少提供资产负债表、利润表、现金流量表，</w:t>
      </w:r>
      <w:bookmarkStart w:id="179" w:name="_GoBack"/>
      <w:r/>
      <w:bookmarkEnd w:id="179"/>
      <w:r>
        <w:rPr>
          <w:rFonts w:hint="eastAsia" w:ascii="Times New Roman" w:hAnsi="Times New Roman" w:cs="宋体"/>
          <w:iCs/>
          <w:color w:val="000000" w:themeColor="text1"/>
          <w:sz w:val="24"/>
          <w:highlight w:val="none"/>
          <w14:textFill>
            <w14:solidFill>
              <w14:schemeClr w14:val="tx1"/>
            </w14:solidFill>
          </w14:textFill>
        </w:rPr>
        <w:t xml:space="preserve">投标人成立不满一年无需提供）</w:t>
      </w:r>
      <w:r/>
    </w:p>
    <w:p>
      <w:pPr>
        <w:pStyle w:val="931"/>
        <w:ind w:firstLine="480"/>
        <w:jc w:val="both"/>
        <w:spacing w:line="508" w:lineRule="exact"/>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931"/>
        <w:jc w:val="both"/>
        <w:spacing w:line="508" w:lineRule="exact"/>
        <w:rPr>
          <w:color w:val="000000" w:themeColor="text1"/>
          <w:highlight w:val="none"/>
          <w14:textFill>
            <w14:solidFill>
              <w14:schemeClr w14:val="tx1"/>
            </w14:solidFill>
          </w14:textFill>
        </w:rPr>
      </w:pPr>
      <w:r>
        <w:rPr>
          <w:rFonts w:hint="eastAsia" w:eastAsia="黑体" w:cs="黑体"/>
          <w:i/>
          <w:color w:val="000000" w:themeColor="text1"/>
          <w:highlight w:val="none"/>
          <w:u w:val="single"/>
          <w14:textFill>
            <w14:solidFill>
              <w14:schemeClr w14:val="tx1"/>
            </w14:solidFill>
          </w14:textFill>
        </w:rPr>
        <w:t xml:space="preserve">三、具备履行合同所必需的设备和专业技术能力的书面声明</w:t>
      </w:r>
      <w:r/>
    </w:p>
    <w:p>
      <w:pPr>
        <w:pStyle w:val="931"/>
        <w:ind w:firstLine="480"/>
        <w:jc w:val="both"/>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931"/>
        <w:ind w:firstLine="480"/>
        <w:jc w:val="both"/>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主要设备有：</w:t>
      </w:r>
      <w:r>
        <w:rPr>
          <w:rFonts w:hint="eastAsia" w:eastAsia="宋体" w:cs="宋体"/>
          <w:color w:val="000000" w:themeColor="text1"/>
          <w:sz w:val="24"/>
          <w:szCs w:val="24"/>
          <w:highlight w:val="none"/>
          <w:u w:val="singl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w:t>
      </w:r>
      <w:r/>
    </w:p>
    <w:p>
      <w:pPr>
        <w:pStyle w:val="931"/>
        <w:ind w:firstLine="48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主要专业技术能力有：</w:t>
      </w:r>
      <w:r>
        <w:rPr>
          <w:rFonts w:hint="eastAsia" w:eastAsia="宋体" w:cs="宋体"/>
          <w:color w:val="000000" w:themeColor="text1"/>
          <w:sz w:val="24"/>
          <w:szCs w:val="24"/>
          <w:highlight w:val="none"/>
          <w:u w:val="singl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w:t>
      </w:r>
      <w:r/>
    </w:p>
    <w:p>
      <w:pPr>
        <w:pStyle w:val="931"/>
        <w:jc w:val="both"/>
        <w:spacing w:line="508" w:lineRule="exact"/>
        <w:rPr>
          <w:rFonts w:eastAsia="黑体" w:cs="黑体"/>
          <w:i/>
          <w:color w:val="000000" w:themeColor="text1"/>
          <w:highlight w:val="none"/>
          <w:u w:val="single"/>
          <w14:textFill>
            <w14:solidFill>
              <w14:schemeClr w14:val="tx1"/>
            </w14:solidFill>
          </w14:textFill>
        </w:rPr>
      </w:pPr>
      <w:r>
        <w:rPr>
          <w:rFonts w:eastAsia="黑体" w:cs="黑体"/>
          <w:i/>
          <w:color w:val="000000" w:themeColor="text1"/>
          <w:highlight w:val="none"/>
          <w:u w:val="single"/>
          <w14:textFill>
            <w14:solidFill>
              <w14:schemeClr w14:val="tx1"/>
            </w14:solidFill>
          </w14:textFill>
        </w:rPr>
      </w:r>
      <w:r/>
    </w:p>
    <w:p>
      <w:pPr>
        <w:pStyle w:val="931"/>
        <w:jc w:val="both"/>
        <w:spacing w:line="508" w:lineRule="exact"/>
        <w:rPr>
          <w:color w:val="000000" w:themeColor="text1"/>
          <w:highlight w:val="none"/>
          <w14:textFill>
            <w14:solidFill>
              <w14:schemeClr w14:val="tx1"/>
            </w14:solidFill>
          </w14:textFill>
        </w:rPr>
      </w:pPr>
      <w:r>
        <w:rPr>
          <w:rFonts w:hint="eastAsia" w:eastAsia="黑体" w:cs="黑体"/>
          <w:i/>
          <w:color w:val="000000" w:themeColor="text1"/>
          <w:highlight w:val="none"/>
          <w:u w:val="single"/>
          <w14:textFill>
            <w14:solidFill>
              <w14:schemeClr w14:val="tx1"/>
            </w14:solidFill>
          </w14:textFill>
        </w:rPr>
        <w:t xml:space="preserve">四、依法缴纳税收和社会保障资金的相关材料</w:t>
      </w:r>
      <w:r/>
    </w:p>
    <w:p>
      <w:pPr>
        <w:pStyle w:val="931"/>
        <w:ind w:firstLine="480"/>
        <w:jc w:val="both"/>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931"/>
        <w:jc w:val="both"/>
        <w:spacing w:line="50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jc w:val="both"/>
        <w:spacing w:line="508" w:lineRule="exact"/>
        <w:rPr>
          <w:color w:val="000000" w:themeColor="text1"/>
          <w:highlight w:val="none"/>
          <w14:textFill>
            <w14:solidFill>
              <w14:schemeClr w14:val="tx1"/>
            </w14:solidFill>
          </w14:textFill>
        </w:rPr>
      </w:pPr>
      <w:r>
        <w:rPr>
          <w:rFonts w:hint="eastAsia" w:eastAsia="黑体" w:cs="黑体"/>
          <w:i/>
          <w:color w:val="000000" w:themeColor="text1"/>
          <w:highlight w:val="none"/>
          <w:u w:val="single"/>
          <w14:textFill>
            <w14:solidFill>
              <w14:schemeClr w14:val="tx1"/>
            </w14:solidFill>
          </w14:textFill>
        </w:rPr>
        <w:t xml:space="preserve">五、参加政府采购活动前 3 年内在经营活动中没有重大违法记录的书面声明</w:t>
      </w:r>
      <w:r/>
    </w:p>
    <w:p>
      <w:pPr>
        <w:pStyle w:val="931"/>
        <w:jc w:val="center"/>
        <w:spacing w:line="508" w:lineRule="exact"/>
        <w:rPr>
          <w:color w:val="000000" w:themeColor="text1"/>
          <w:highlight w:val="none"/>
          <w14:textFill>
            <w14:solidFill>
              <w14:schemeClr w14:val="tx1"/>
            </w14:solidFill>
          </w14:textFill>
        </w:rPr>
      </w:pPr>
      <w:r>
        <w:rPr>
          <w:rFonts w:hint="eastAsia" w:eastAsia="宋体" w:cs="宋体"/>
          <w:b/>
          <w:color w:val="000000" w:themeColor="text1"/>
          <w:sz w:val="44"/>
          <w:szCs w:val="44"/>
          <w:highlight w:val="none"/>
          <w14:textFill>
            <w14:solidFill>
              <w14:schemeClr w14:val="tx1"/>
            </w14:solidFill>
          </w14:textFill>
        </w:rPr>
        <w:t xml:space="preserve">声明</w:t>
      </w:r>
      <w:r/>
    </w:p>
    <w:p>
      <w:pPr>
        <w:pStyle w:val="931"/>
        <w:ind w:firstLine="48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931"/>
        <w:jc w:val="both"/>
        <w:spacing w:line="50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jc w:val="both"/>
        <w:spacing w:line="508" w:lineRule="exact"/>
        <w:rPr>
          <w:color w:val="000000" w:themeColor="text1"/>
          <w:highlight w:val="none"/>
          <w14:textFill>
            <w14:solidFill>
              <w14:schemeClr w14:val="tx1"/>
            </w14:solidFill>
          </w14:textFill>
        </w:rPr>
      </w:pPr>
      <w:r>
        <w:rPr>
          <w:rFonts w:hint="eastAsia" w:eastAsia="黑体" w:cs="黑体"/>
          <w:i/>
          <w:color w:val="000000" w:themeColor="text1"/>
          <w:highlight w:val="none"/>
          <w:u w:val="single"/>
          <w14:textFill>
            <w14:solidFill>
              <w14:schemeClr w14:val="tx1"/>
            </w14:solidFill>
          </w14:textFill>
        </w:rPr>
        <w:t xml:space="preserve">六、特定资格要求的证明文件</w:t>
      </w:r>
      <w:r/>
    </w:p>
    <w:p>
      <w:pPr>
        <w:pStyle w:val="931"/>
        <w:ind w:firstLine="480"/>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如果本项目申请人的特定资格要求中要求提供的，必须提供。</w:t>
      </w:r>
      <w:r/>
    </w:p>
    <w:p>
      <w:pPr>
        <w:rPr>
          <w:rFonts w:ascii="Times New Roman" w:hAnsi="Times New Roman"/>
          <w:color w:val="000000" w:themeColor="text1"/>
          <w:highlight w:val="none"/>
          <w14:textFill>
            <w14:solidFill>
              <w14:schemeClr w14:val="tx1"/>
            </w14:solidFill>
          </w14:textFill>
        </w:rPr>
      </w:pPr>
      <w:r>
        <w:rPr>
          <w:rFonts w:hint="eastAsia" w:ascii="Times New Roman" w:hAnsi="Times New Roman" w:eastAsia="黑体" w:cs="黑体"/>
          <w:i/>
          <w:color w:val="000000" w:themeColor="text1"/>
          <w:sz w:val="32"/>
          <w:szCs w:val="32"/>
          <w:highlight w:val="none"/>
          <w:u w:val="single"/>
          <w14:textFill>
            <w14:solidFill>
              <w14:schemeClr w14:val="tx1"/>
            </w14:solidFill>
          </w14:textFill>
        </w:rPr>
        <w:br w:type="page" w:clear="all"/>
      </w:r>
      <w:r/>
    </w:p>
    <w:p>
      <w:pPr>
        <w:pStyle w:val="931"/>
        <w:jc w:val="center"/>
        <w:spacing w:line="508" w:lineRule="exact"/>
        <w:rPr>
          <w:rFonts w:eastAsia="黑体" w:cs="黑体"/>
          <w:bCs/>
          <w:i/>
          <w:color w:val="000000" w:themeColor="text1"/>
          <w:highlight w:val="none"/>
          <w:u w:val="single"/>
          <w14:textFill>
            <w14:solidFill>
              <w14:schemeClr w14:val="tx1"/>
            </w14:solidFill>
          </w14:textFill>
        </w:rPr>
      </w:pPr>
      <w:r>
        <w:rPr>
          <w:rFonts w:hint="eastAsia" w:eastAsia="黑体" w:cs="黑体"/>
          <w:i/>
          <w:color w:val="000000" w:themeColor="text1"/>
          <w:highlight w:val="none"/>
          <w:u w:val="single"/>
          <w14:textFill>
            <w14:solidFill>
              <w14:schemeClr w14:val="tx1"/>
            </w14:solidFill>
          </w14:textFill>
        </w:rPr>
        <w:t xml:space="preserve">七、法人授权书</w:t>
      </w:r>
      <w:r/>
    </w:p>
    <w:p>
      <w:pPr>
        <w:pStyle w:val="931"/>
        <w:ind w:firstLine="480"/>
        <w:jc w:val="both"/>
        <w:spacing w:line="508" w:lineRule="exact"/>
        <w:tabs>
          <w:tab w:val="left" w:pos="36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1"/>
        <w:ind w:firstLine="480"/>
        <w:jc w:val="both"/>
        <w:spacing w:line="508" w:lineRule="exact"/>
        <w:tabs>
          <w:tab w:val="left" w:pos="36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hint="eastAsia"/>
          <w:color w:val="000000" w:themeColor="text1"/>
          <w:sz w:val="24"/>
          <w:szCs w:val="24"/>
          <w:highlight w:val="none"/>
          <w14:textFill>
            <w14:solidFill>
              <w14:schemeClr w14:val="tx1"/>
            </w14:solidFill>
          </w14:textFill>
        </w:rPr>
        <w:t xml:space="preserve">JSZC-320900-JZCG-G2026-****</w:t>
      </w:r>
      <w:r>
        <w:rPr>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pStyle w:val="931"/>
        <w:ind w:firstLine="480"/>
        <w:jc w:val="both"/>
        <w:spacing w:line="508" w:lineRule="exact"/>
        <w:tabs>
          <w:tab w:val="left" w:pos="36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本授权书于______年____月____日起生效，特此声明。</w:t>
      </w:r>
      <w:r/>
    </w:p>
    <w:p>
      <w:pPr>
        <w:pStyle w:val="931"/>
        <w:ind w:firstLine="480"/>
        <w:jc w:val="both"/>
        <w:spacing w:line="508" w:lineRule="exact"/>
        <w:tabs>
          <w:tab w:val="left" w:pos="36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被授权人身份证号码：</w:t>
      </w:r>
      <w:r>
        <w:rPr>
          <w:color w:val="000000" w:themeColor="text1"/>
          <w:sz w:val="24"/>
          <w:szCs w:val="24"/>
          <w:highlight w:val="none"/>
          <w:u w:val="single"/>
          <w14:textFill>
            <w14:solidFill>
              <w14:schemeClr w14:val="tx1"/>
            </w14:solidFill>
          </w14:textFill>
        </w:rPr>
        <w:t xml:space="preserve">                              </w:t>
      </w:r>
      <w:r/>
    </w:p>
    <w:p>
      <w:pPr>
        <w:pStyle w:val="931"/>
        <w:ind w:firstLine="480"/>
        <w:jc w:val="both"/>
        <w:spacing w:line="508" w:lineRule="exact"/>
        <w:tabs>
          <w:tab w:val="left" w:pos="36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被授权人联系电话：（手机）</w:t>
      </w:r>
      <w:r>
        <w:rPr>
          <w:color w:val="000000" w:themeColor="text1"/>
          <w:sz w:val="24"/>
          <w:szCs w:val="24"/>
          <w:highlight w:val="none"/>
          <w:u w:val="single"/>
          <w14:textFill>
            <w14:solidFill>
              <w14:schemeClr w14:val="tx1"/>
            </w14:solidFill>
          </w14:textFill>
        </w:rPr>
        <w:t xml:space="preserve">                          </w:t>
      </w:r>
      <w:r/>
    </w:p>
    <w:p>
      <w:pPr>
        <w:pStyle w:val="931"/>
        <w:ind w:firstLine="480"/>
        <w:jc w:val="both"/>
        <w:spacing w:line="508" w:lineRule="exact"/>
        <w:tabs>
          <w:tab w:val="left" w:pos="36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授权单位名称：</w:t>
      </w:r>
      <w:r>
        <w:rPr>
          <w:color w:val="000000" w:themeColor="text1"/>
          <w:sz w:val="24"/>
          <w:szCs w:val="24"/>
          <w:highlight w:val="none"/>
          <w:u w:val="single"/>
          <w14:textFill>
            <w14:solidFill>
              <w14:schemeClr w14:val="tx1"/>
            </w14:solidFill>
          </w14:textFill>
        </w:rPr>
        <w:t xml:space="preserve">（加盖CA电子公章）</w:t>
      </w:r>
      <w:r/>
    </w:p>
    <w:p>
      <w:pPr>
        <w:pStyle w:val="931"/>
        <w:ind w:firstLine="480"/>
        <w:jc w:val="both"/>
        <w:spacing w:line="508" w:lineRule="exact"/>
        <w:tabs>
          <w:tab w:val="left" w:pos="36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单位地址：</w:t>
      </w:r>
      <w:r>
        <w:rPr>
          <w:color w:val="000000" w:themeColor="text1"/>
          <w:sz w:val="24"/>
          <w:szCs w:val="24"/>
          <w:highlight w:val="none"/>
          <w:u w:val="single"/>
          <w14:textFill>
            <w14:solidFill>
              <w14:schemeClr w14:val="tx1"/>
            </w14:solidFill>
          </w14:textFill>
        </w:rPr>
        <w:t xml:space="preserve">                                         </w:t>
      </w:r>
      <w:r/>
    </w:p>
    <w:p>
      <w:pPr>
        <w:pStyle w:val="931"/>
        <w:ind w:firstLine="480"/>
        <w:jc w:val="both"/>
        <w:spacing w:line="508" w:lineRule="exact"/>
        <w:tabs>
          <w:tab w:val="left" w:pos="36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期：</w:t>
      </w:r>
      <w:r>
        <w:rPr>
          <w:color w:val="000000" w:themeColor="text1"/>
          <w:sz w:val="24"/>
          <w:szCs w:val="24"/>
          <w:highlight w:val="none"/>
          <w:u w:val="single"/>
          <w14:textFill>
            <w14:solidFill>
              <w14:schemeClr w14:val="tx1"/>
            </w14:solidFill>
          </w14:textFill>
        </w:rPr>
        <w:t xml:space="preserve">                                         </w:t>
      </w:r>
      <w:r/>
    </w:p>
    <w:p>
      <w:pPr>
        <w:pStyle w:val="931"/>
        <w:ind w:firstLine="480"/>
        <w:jc w:val="both"/>
        <w:spacing w:line="508" w:lineRule="exact"/>
        <w:rPr>
          <w:color w:val="000000" w:themeColor="text1"/>
          <w:sz w:val="24"/>
          <w:szCs w:val="24"/>
          <w:highlight w:val="none"/>
          <w14:textFill>
            <w14:solidFill>
              <w14:schemeClr w14:val="tx1"/>
            </w14:solidFill>
          </w14:textFill>
        </w:rPr>
      </w:pPr>
      <w:r>
        <w:rPr>
          <w:rFonts w:eastAsia="楷体" w:cs="楷体"/>
          <w:color w:val="000000" w:themeColor="text1"/>
          <w:sz w:val="24"/>
          <w:szCs w:val="24"/>
          <w:highlight w:val="none"/>
          <w14:textFill>
            <w14:solidFill>
              <w14:schemeClr w14:val="tx1"/>
            </w14:solidFill>
          </w14:textFill>
        </w:rPr>
        <w:t xml:space="preserve">备注我公司（单位）委托进行现场演示的人员为（本项目如果无现场演示要求，请项目经办人自行删除备注）</w:t>
      </w:r>
      <w:r/>
    </w:p>
    <w:p>
      <w:pPr>
        <w:pStyle w:val="931"/>
        <w:jc w:val="both"/>
        <w:spacing w:line="508" w:lineRule="exact"/>
        <w:rPr>
          <w:color w:val="000000" w:themeColor="text1"/>
          <w:sz w:val="24"/>
          <w:szCs w:val="24"/>
          <w:highlight w:val="none"/>
          <w14:textFill>
            <w14:solidFill>
              <w14:schemeClr w14:val="tx1"/>
            </w14:solidFill>
          </w14:textFill>
        </w:rPr>
      </w:pPr>
      <w:r>
        <w:rPr>
          <w:rFonts w:hint="eastAsia" w:eastAsia="楷体" w:cs="楷体"/>
          <w:color w:val="000000" w:themeColor="text1"/>
          <w:sz w:val="24"/>
          <w:szCs w:val="24"/>
          <w:highlight w:val="none"/>
          <w:u w:val="single"/>
          <w14:textFill>
            <w14:solidFill>
              <w14:schemeClr w14:val="tx1"/>
            </w14:solidFill>
          </w14:textFill>
        </w:rPr>
        <w:t xml:space="preserve">        </w:t>
      </w:r>
      <w:r>
        <w:rPr>
          <w:rFonts w:hint="eastAsia" w:eastAsia="楷体" w:cs="楷体"/>
          <w:color w:val="000000" w:themeColor="text1"/>
          <w:sz w:val="24"/>
          <w:szCs w:val="24"/>
          <w:highlight w:val="none"/>
          <w14:textFill>
            <w14:solidFill>
              <w14:schemeClr w14:val="tx1"/>
            </w14:solidFill>
          </w14:textFill>
        </w:rPr>
        <w:t xml:space="preserve">（人员姓名），身份证号</w:t>
      </w:r>
      <w:r>
        <w:rPr>
          <w:rFonts w:hint="eastAsia" w:eastAsia="楷体" w:cs="楷体"/>
          <w:color w:val="000000" w:themeColor="text1"/>
          <w:sz w:val="24"/>
          <w:szCs w:val="24"/>
          <w:highlight w:val="none"/>
          <w:u w:val="single"/>
          <w14:textFill>
            <w14:solidFill>
              <w14:schemeClr w14:val="tx1"/>
            </w14:solidFill>
          </w14:textFill>
        </w:rPr>
        <w:t xml:space="preserve">         </w:t>
      </w:r>
      <w:r>
        <w:rPr>
          <w:rFonts w:hint="eastAsia" w:eastAsia="楷体" w:cs="楷体"/>
          <w:color w:val="000000" w:themeColor="text1"/>
          <w:sz w:val="24"/>
          <w:szCs w:val="24"/>
          <w:highlight w:val="none"/>
          <w14:textFill>
            <w14:solidFill>
              <w14:schemeClr w14:val="tx1"/>
            </w14:solidFill>
          </w14:textFill>
        </w:rPr>
        <w:t xml:space="preserve">。</w:t>
      </w:r>
      <w:r/>
    </w:p>
    <w:p>
      <w:pPr>
        <w:pStyle w:val="931"/>
        <w:jc w:val="both"/>
        <w:spacing w:line="508" w:lineRule="exact"/>
        <w:rPr>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 xml:space="preserve">……</w:t>
      </w:r>
      <w:r/>
    </w:p>
    <w:p>
      <w:pPr>
        <w:jc w:val="left"/>
        <w:widowControl/>
        <w:rPr>
          <w:rFonts w:ascii="Times New Roman" w:hAnsi="Times New Roman" w:eastAsia="黑体" w:cs="黑体"/>
          <w:b/>
          <w:i/>
          <w:color w:val="000000" w:themeColor="text1"/>
          <w:sz w:val="32"/>
          <w:szCs w:val="32"/>
          <w:highlight w:val="none"/>
          <w:u w:val="single"/>
          <w14:textFill>
            <w14:solidFill>
              <w14:schemeClr w14:val="tx1"/>
            </w14:solidFill>
          </w14:textFill>
        </w:rPr>
      </w:pPr>
      <w:r>
        <w:rPr>
          <w:rFonts w:ascii="Times New Roman" w:hAnsi="Times New Roman" w:eastAsia="黑体" w:cs="黑体"/>
          <w:b/>
          <w:i/>
          <w:color w:val="000000" w:themeColor="text1"/>
          <w:sz w:val="32"/>
          <w:szCs w:val="32"/>
          <w:highlight w:val="none"/>
          <w:u w:val="single"/>
          <w14:textFill>
            <w14:solidFill>
              <w14:schemeClr w14:val="tx1"/>
            </w14:solidFill>
          </w14:textFill>
        </w:rPr>
        <w:br w:type="page" w:clear="all"/>
      </w:r>
      <w:r/>
    </w:p>
    <w:p>
      <w:pPr>
        <w:pStyle w:val="931"/>
        <w:jc w:val="center"/>
        <w:spacing w:line="508" w:lineRule="exact"/>
        <w:tabs>
          <w:tab w:val="left" w:pos="360" w:leader="none"/>
        </w:tabs>
        <w:rPr>
          <w:rFonts w:eastAsia="宋体" w:cs="宋体"/>
          <w:color w:val="000000" w:themeColor="text1"/>
          <w:highlight w:val="none"/>
          <w14:textFill>
            <w14:solidFill>
              <w14:schemeClr w14:val="tx1"/>
            </w14:solidFill>
          </w14:textFill>
        </w:rPr>
      </w:pPr>
      <w:r>
        <w:rPr>
          <w:rFonts w:hint="eastAsia" w:eastAsia="黑体" w:cs="黑体"/>
          <w:i/>
          <w:color w:val="000000" w:themeColor="text1"/>
          <w:highlight w:val="none"/>
          <w:u w:val="single"/>
          <w14:textFill>
            <w14:solidFill>
              <w14:schemeClr w14:val="tx1"/>
            </w14:solidFill>
          </w14:textFill>
        </w:rPr>
        <w:t xml:space="preserve">八、磋商响应函</w:t>
      </w:r>
      <w:r/>
    </w:p>
    <w:p>
      <w:pPr>
        <w:pStyle w:val="931"/>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致：盐城市政府采购中心</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根据贵方的JSZC-320900-JZCG-G2026-****号磋商文件，正式授权下述签字人______(姓名)代表我方______________（供应商的名称），全权处理本次项目磋商的有关事宜。</w:t>
      </w:r>
      <w:r/>
    </w:p>
    <w:p>
      <w:pPr>
        <w:pStyle w:val="931"/>
        <w:ind w:firstLine="480"/>
        <w:spacing w:before="0" w:after="0"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据此函，__________签字人兹宣布同意如下：</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1.按磋商文件规定的各项要求，向买方提供所需货物、服务（包含与货物相关的服务及与服务相关的货物）。</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2.我们完全理解贵方不一定将合同授予最低报价的供应商。</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3.我们已详细审核全部磋商文件及其有效补充文件，我们知道必须放弃提出含糊不清或误解问题的权利。</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4.我们同意从规定的开标日期起遵循本响应文件，并在规定的磋商有效期期满之前均具有约束力。</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pStyle w:val="931"/>
        <w:ind w:firstLine="480"/>
        <w:spacing w:before="0" w:after="0"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7.我方与本磋商有关的正式通讯地址为：</w:t>
      </w:r>
      <w:r/>
    </w:p>
    <w:p>
      <w:pPr>
        <w:pStyle w:val="931"/>
        <w:ind w:firstLine="480"/>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地</w:t>
      </w:r>
      <w:r>
        <w:rPr>
          <w:rFonts w:hint="eastAsia"/>
          <w:color w:val="000000" w:themeColor="text1"/>
          <w:sz w:val="24"/>
          <w:szCs w:val="24"/>
          <w:highlight w:val="non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址：</w:t>
      </w:r>
      <w:r/>
    </w:p>
    <w:p>
      <w:pPr>
        <w:pStyle w:val="931"/>
        <w:ind w:firstLine="480"/>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邮</w:t>
      </w:r>
      <w:r>
        <w:rPr>
          <w:rFonts w:hint="eastAsia"/>
          <w:color w:val="000000" w:themeColor="text1"/>
          <w:sz w:val="24"/>
          <w:szCs w:val="24"/>
          <w:highlight w:val="non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编：</w:t>
      </w:r>
      <w:r/>
    </w:p>
    <w:p>
      <w:pPr>
        <w:pStyle w:val="931"/>
        <w:ind w:firstLine="480"/>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电</w:t>
      </w:r>
      <w:r>
        <w:rPr>
          <w:rFonts w:hint="eastAsia"/>
          <w:color w:val="000000" w:themeColor="text1"/>
          <w:sz w:val="24"/>
          <w:szCs w:val="24"/>
          <w:highlight w:val="non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话：</w:t>
      </w:r>
      <w:r/>
    </w:p>
    <w:p>
      <w:pPr>
        <w:pStyle w:val="931"/>
        <w:ind w:firstLine="480"/>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传</w:t>
      </w:r>
      <w:r>
        <w:rPr>
          <w:rFonts w:hint="eastAsia"/>
          <w:color w:val="000000" w:themeColor="text1"/>
          <w:sz w:val="24"/>
          <w:szCs w:val="24"/>
          <w:highlight w:val="non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真：</w:t>
      </w:r>
      <w:r/>
    </w:p>
    <w:p>
      <w:pPr>
        <w:pStyle w:val="931"/>
        <w:ind w:firstLine="480"/>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供应商开户行：</w:t>
      </w:r>
      <w:r/>
    </w:p>
    <w:p>
      <w:pPr>
        <w:pStyle w:val="931"/>
        <w:ind w:firstLine="480"/>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账</w:t>
      </w:r>
      <w:r>
        <w:rPr>
          <w:rFonts w:hint="eastAsia"/>
          <w:color w:val="000000" w:themeColor="text1"/>
          <w:sz w:val="24"/>
          <w:szCs w:val="24"/>
          <w:highlight w:val="non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号：</w:t>
      </w:r>
      <w:r/>
    </w:p>
    <w:p>
      <w:pPr>
        <w:pStyle w:val="931"/>
        <w:ind w:firstLine="480"/>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期：________年____月____日</w:t>
      </w:r>
      <w:r/>
    </w:p>
    <w:p>
      <w:pPr>
        <w:pStyle w:val="931"/>
        <w:jc w:val="center"/>
        <w:spacing w:line="508" w:lineRule="exact"/>
        <w:rPr>
          <w:color w:val="000000" w:themeColor="text1"/>
          <w:highlight w:val="none"/>
          <w14:textFill>
            <w14:solidFill>
              <w14:schemeClr w14:val="tx1"/>
            </w14:solidFill>
          </w14:textFill>
        </w:rPr>
      </w:pPr>
      <w:r>
        <w:rPr>
          <w:rFonts w:hint="eastAsia" w:eastAsia="黑体" w:cs="黑体"/>
          <w:color w:val="000000" w:themeColor="text1"/>
          <w:highlight w:val="none"/>
          <w14:textFill>
            <w14:solidFill>
              <w14:schemeClr w14:val="tx1"/>
            </w14:solidFill>
          </w14:textFill>
        </w:rPr>
        <w:t xml:space="preserve">九、中小企业声明函（服务）</w:t>
      </w:r>
      <w:r/>
    </w:p>
    <w:p>
      <w:pPr>
        <w:ind w:firstLine="480"/>
        <w:spacing w:line="508" w:lineRule="exact"/>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ind w:firstLine="480"/>
        <w:spacing w:line="508" w:lineRule="exact"/>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号）的规定，本公司（联合体）参加盐城市政府采购中心组织的</w:t>
      </w:r>
      <w:r>
        <w:rPr>
          <w:rFonts w:hint="eastAsia" w:ascii="Times New Roman" w:hAnsi="Times New Roman"/>
          <w:color w:val="000000" w:themeColor="text1"/>
          <w:sz w:val="24"/>
          <w:highlight w:val="none"/>
          <w:u w:val="single"/>
          <w14:textFill>
            <w14:solidFill>
              <w14:schemeClr w14:val="tx1"/>
            </w14:solidFill>
          </w14:textFill>
        </w:rPr>
        <w:t xml:space="preserve">盐城市碳达峰碳中和数据监测分析管理系统</w:t>
      </w:r>
      <w:r>
        <w:rPr>
          <w:rFonts w:hint="eastAsia" w:ascii="Times New Roman" w:hAnsi="Times New Roman"/>
          <w:color w:val="000000" w:themeColor="text1"/>
          <w:sz w:val="24"/>
          <w:szCs w:val="20"/>
          <w:highlight w:val="none"/>
          <w14:textFill>
            <w14:solidFill>
              <w14:schemeClr w14:val="tx1"/>
            </w14:solidFill>
          </w14:textFill>
        </w:rPr>
        <w:t xml:space="preserve">，</w:t>
      </w:r>
      <w:r>
        <w:rPr>
          <w:rFonts w:hint="eastAsia" w:ascii="Times New Roman" w:hAnsi="Times New Roman"/>
          <w:color w:val="000000" w:themeColor="text1"/>
          <w:sz w:val="24"/>
          <w:highlight w:val="none"/>
          <w14:textFill>
            <w14:solidFill>
              <w14:schemeClr w14:val="tx1"/>
            </w14:solidFill>
          </w14:textFill>
        </w:rPr>
        <w:t xml:space="preserve">采购编号为的</w:t>
      </w:r>
      <w:r>
        <w:rPr>
          <w:rFonts w:hint="eastAsia" w:ascii="Times New Roman" w:hAnsi="Times New Roman"/>
          <w:color w:val="000000" w:themeColor="text1"/>
          <w:sz w:val="24"/>
          <w:highlight w:val="none"/>
          <w:u w:val="single"/>
          <w14:textFill>
            <w14:solidFill>
              <w14:schemeClr w14:val="tx1"/>
            </w14:solidFill>
          </w14:textFill>
        </w:rPr>
        <w:t xml:space="preserve">JSZC-320900-JZCG-G2026-****</w:t>
      </w:r>
      <w:r>
        <w:rPr>
          <w:rFonts w:hint="eastAsia" w:ascii="Times New Roman" w:hAnsi="Times New Roman"/>
          <w:color w:val="000000" w:themeColor="text1"/>
          <w:sz w:val="24"/>
          <w:highlight w:val="none"/>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ind w:firstLine="480"/>
        <w:spacing w:line="508" w:lineRule="exact"/>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1. </w:t>
      </w:r>
      <w:r>
        <w:rPr>
          <w:rFonts w:hint="eastAsia" w:ascii="Times New Roman" w:hAnsi="Times New Roman"/>
          <w:i/>
          <w:iCs/>
          <w:color w:val="000000" w:themeColor="text1"/>
          <w:sz w:val="24"/>
          <w:highlight w:val="none"/>
          <w:u w:val="single"/>
          <w14:textFill>
            <w14:solidFill>
              <w14:schemeClr w14:val="tx1"/>
            </w14:solidFill>
          </w14:textFill>
        </w:rPr>
        <w:t xml:space="preserve">（标的名称）</w:t>
      </w:r>
      <w:r>
        <w:rPr>
          <w:rFonts w:hint="eastAsia" w:ascii="Times New Roman" w:hAnsi="Times New Roman"/>
          <w:color w:val="000000" w:themeColor="text1"/>
          <w:sz w:val="24"/>
          <w:highlight w:val="none"/>
          <w14:textFill>
            <w14:solidFill>
              <w14:schemeClr w14:val="tx1"/>
            </w14:solidFill>
          </w14:textFill>
        </w:rPr>
        <w:t xml:space="preserve">，属于</w:t>
      </w:r>
      <w:r>
        <w:rPr>
          <w:rFonts w:hint="eastAsia" w:ascii="Times New Roman" w:hAnsi="Times New Roman"/>
          <w:i/>
          <w:iCs/>
          <w:color w:val="000000" w:themeColor="text1"/>
          <w:sz w:val="24"/>
          <w:highlight w:val="none"/>
          <w:u w:val="single"/>
          <w14:textFill>
            <w14:solidFill>
              <w14:schemeClr w14:val="tx1"/>
            </w14:solidFill>
          </w14:textFill>
        </w:rPr>
        <w:t xml:space="preserve">（磋商文件中明确的所属行业）</w:t>
      </w:r>
      <w:r>
        <w:rPr>
          <w:rFonts w:hint="eastAsia" w:ascii="Times New Roman" w:hAnsi="Times New Roman"/>
          <w:color w:val="000000" w:themeColor="text1"/>
          <w:sz w:val="24"/>
          <w:highlight w:val="none"/>
          <w14:textFill>
            <w14:solidFill>
              <w14:schemeClr w14:val="tx1"/>
            </w14:solidFill>
          </w14:textFill>
        </w:rPr>
        <w:t xml:space="preserve">；承建（承接）企业为</w:t>
      </w:r>
      <w:r>
        <w:rPr>
          <w:rFonts w:hint="eastAsia" w:ascii="Times New Roman" w:hAnsi="Times New Roman"/>
          <w:i/>
          <w:iCs/>
          <w:color w:val="000000" w:themeColor="text1"/>
          <w:sz w:val="24"/>
          <w:highlight w:val="none"/>
          <w:u w:val="single"/>
          <w14:textFill>
            <w14:solidFill>
              <w14:schemeClr w14:val="tx1"/>
            </w14:solidFill>
          </w14:textFill>
        </w:rPr>
        <w:t xml:space="preserve">（企业名称）</w:t>
      </w:r>
      <w:r>
        <w:rPr>
          <w:rFonts w:hint="eastAsia" w:ascii="Times New Roman" w:hAnsi="Times New Roman"/>
          <w:color w:val="000000" w:themeColor="text1"/>
          <w:sz w:val="24"/>
          <w:highlight w:val="none"/>
          <w14:textFill>
            <w14:solidFill>
              <w14:schemeClr w14:val="tx1"/>
            </w14:solidFill>
          </w14:textFill>
        </w:rPr>
        <w:t xml:space="preserve">，从业人员</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人，营业收入为</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万元，资产总额为</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万元，属于（</w:t>
      </w:r>
      <w:r>
        <w:rPr>
          <w:rFonts w:hint="eastAsia" w:ascii="Times New Roman" w:hAnsi="Times New Roman"/>
          <w:i/>
          <w:iCs/>
          <w:color w:val="000000" w:themeColor="text1"/>
          <w:sz w:val="24"/>
          <w:highlight w:val="none"/>
          <w:u w:val="single"/>
          <w14:textFill>
            <w14:solidFill>
              <w14:schemeClr w14:val="tx1"/>
            </w14:solidFill>
          </w14:textFill>
        </w:rPr>
        <w:t xml:space="preserve">中型企业、小型企业、微型企业</w:t>
      </w:r>
      <w:r>
        <w:rPr>
          <w:rFonts w:hint="eastAsia" w:ascii="Times New Roman" w:hAnsi="Times New Roman"/>
          <w:color w:val="000000" w:themeColor="text1"/>
          <w:sz w:val="24"/>
          <w:highlight w:val="none"/>
          <w14:textFill>
            <w14:solidFill>
              <w14:schemeClr w14:val="tx1"/>
            </w14:solidFill>
          </w14:textFill>
        </w:rPr>
        <w:t xml:space="preserve">）；</w:t>
      </w:r>
      <w:r/>
    </w:p>
    <w:p>
      <w:pPr>
        <w:ind w:firstLine="480"/>
        <w:spacing w:line="508" w:lineRule="exact"/>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2. </w:t>
      </w:r>
      <w:r>
        <w:rPr>
          <w:rFonts w:hint="eastAsia" w:ascii="Times New Roman" w:hAnsi="Times New Roman"/>
          <w:i/>
          <w:iCs/>
          <w:color w:val="000000" w:themeColor="text1"/>
          <w:sz w:val="24"/>
          <w:highlight w:val="none"/>
          <w:u w:val="single"/>
          <w14:textFill>
            <w14:solidFill>
              <w14:schemeClr w14:val="tx1"/>
            </w14:solidFill>
          </w14:textFill>
        </w:rPr>
        <w:t xml:space="preserve">（（标的名称）</w:t>
      </w:r>
      <w:r>
        <w:rPr>
          <w:rFonts w:hint="eastAsia" w:ascii="Times New Roman" w:hAnsi="Times New Roman"/>
          <w:color w:val="000000" w:themeColor="text1"/>
          <w:sz w:val="24"/>
          <w:highlight w:val="none"/>
          <w14:textFill>
            <w14:solidFill>
              <w14:schemeClr w14:val="tx1"/>
            </w14:solidFill>
          </w14:textFill>
        </w:rPr>
        <w:t xml:space="preserve">，属于</w:t>
      </w:r>
      <w:r>
        <w:rPr>
          <w:rFonts w:hint="eastAsia" w:ascii="Times New Roman" w:hAnsi="Times New Roman"/>
          <w:i/>
          <w:iCs/>
          <w:color w:val="000000" w:themeColor="text1"/>
          <w:sz w:val="24"/>
          <w:highlight w:val="none"/>
          <w:u w:val="single"/>
          <w14:textFill>
            <w14:solidFill>
              <w14:schemeClr w14:val="tx1"/>
            </w14:solidFill>
          </w14:textFill>
        </w:rPr>
        <w:t xml:space="preserve">（磋商文件中明确的所属行业）</w:t>
      </w:r>
      <w:r>
        <w:rPr>
          <w:rFonts w:hint="eastAsia" w:ascii="Times New Roman" w:hAnsi="Times New Roman"/>
          <w:color w:val="000000" w:themeColor="text1"/>
          <w:sz w:val="24"/>
          <w:highlight w:val="none"/>
          <w14:textFill>
            <w14:solidFill>
              <w14:schemeClr w14:val="tx1"/>
            </w14:solidFill>
          </w14:textFill>
        </w:rPr>
        <w:t xml:space="preserve">；承建（承接）企业为</w:t>
      </w:r>
      <w:r>
        <w:rPr>
          <w:rFonts w:hint="eastAsia" w:ascii="Times New Roman" w:hAnsi="Times New Roman"/>
          <w:i/>
          <w:iCs/>
          <w:color w:val="000000" w:themeColor="text1"/>
          <w:sz w:val="24"/>
          <w:highlight w:val="none"/>
          <w:u w:val="single"/>
          <w14:textFill>
            <w14:solidFill>
              <w14:schemeClr w14:val="tx1"/>
            </w14:solidFill>
          </w14:textFill>
        </w:rPr>
        <w:t xml:space="preserve">（企业名称）</w:t>
      </w:r>
      <w:r>
        <w:rPr>
          <w:rFonts w:hint="eastAsia" w:ascii="Times New Roman" w:hAnsi="Times New Roman"/>
          <w:color w:val="000000" w:themeColor="text1"/>
          <w:sz w:val="24"/>
          <w:highlight w:val="none"/>
          <w14:textFill>
            <w14:solidFill>
              <w14:schemeClr w14:val="tx1"/>
            </w14:solidFill>
          </w14:textFill>
        </w:rPr>
        <w:t xml:space="preserve">，从业人员</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人，营业收入为</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万元，资产总额为</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万元，属于（</w:t>
      </w:r>
      <w:r>
        <w:rPr>
          <w:rFonts w:hint="eastAsia" w:ascii="Times New Roman" w:hAnsi="Times New Roman"/>
          <w:i/>
          <w:iCs/>
          <w:color w:val="000000" w:themeColor="text1"/>
          <w:sz w:val="24"/>
          <w:highlight w:val="none"/>
          <w:u w:val="single"/>
          <w14:textFill>
            <w14:solidFill>
              <w14:schemeClr w14:val="tx1"/>
            </w14:solidFill>
          </w14:textFill>
        </w:rPr>
        <w:t xml:space="preserve">中型企业、小型企业、微型企业</w:t>
      </w:r>
      <w:r>
        <w:rPr>
          <w:rFonts w:hint="eastAsia" w:ascii="Times New Roman" w:hAnsi="Times New Roman"/>
          <w:color w:val="000000" w:themeColor="text1"/>
          <w:sz w:val="24"/>
          <w:highlight w:val="none"/>
          <w14:textFill>
            <w14:solidFill>
              <w14:schemeClr w14:val="tx1"/>
            </w14:solidFill>
          </w14:textFill>
        </w:rPr>
        <w:t xml:space="preserve">）；</w:t>
      </w:r>
      <w:r/>
    </w:p>
    <w:p>
      <w:pPr>
        <w:ind w:firstLine="480"/>
        <w:spacing w:line="508" w:lineRule="exact"/>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w:t>
      </w:r>
      <w:r/>
    </w:p>
    <w:p>
      <w:pPr>
        <w:ind w:firstLine="480"/>
        <w:spacing w:line="508" w:lineRule="exact"/>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8" w:lineRule="exact"/>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931"/>
        <w:ind w:right="720"/>
        <w:jc w:val="both"/>
        <w:spacing w:line="50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ind w:right="2268" w:firstLine="2160"/>
        <w:jc w:val="right"/>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企业名称（加盖CA电子公章）：</w:t>
      </w:r>
      <w:r/>
    </w:p>
    <w:p>
      <w:pPr>
        <w:pStyle w:val="931"/>
        <w:ind w:right="2268" w:firstLine="5040"/>
        <w:jc w:val="both"/>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14:textFill>
            <w14:solidFill>
              <w14:schemeClr w14:val="tx1"/>
            </w14:solidFill>
          </w14:textFill>
        </w:rPr>
        <w:t xml:space="preserve">　　</w:t>
      </w:r>
      <w:r>
        <w:rPr>
          <w:rFonts w:hint="eastAsia" w:eastAsia="宋体" w:cs="宋体"/>
          <w:color w:val="000000" w:themeColor="text1"/>
          <w:sz w:val="24"/>
          <w:szCs w:val="24"/>
          <w:highlight w:val="none"/>
          <w14:textFill>
            <w14:solidFill>
              <w14:schemeClr w14:val="tx1"/>
            </w14:solidFill>
          </w14:textFill>
        </w:rPr>
        <w:t xml:space="preserve">期：</w:t>
      </w:r>
      <w:r/>
    </w:p>
    <w:p>
      <w:pPr>
        <w:pStyle w:val="931"/>
        <w:ind w:firstLine="240"/>
        <w:jc w:val="both"/>
        <w:spacing w:line="50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31"/>
        <w:ind w:firstLine="480"/>
        <w:jc w:val="both"/>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pStyle w:val="931"/>
        <w:ind w:firstLine="480"/>
        <w:jc w:val="both"/>
        <w:spacing w:line="508" w:lineRule="exact"/>
        <w:rPr>
          <w:color w:val="000000" w:themeColor="text1"/>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备注2：供应商如不提供此声明函，价格将不做相应扣除（如项目全面面向中小企业，则资格审查不通过）。</w:t>
      </w:r>
      <w:r/>
    </w:p>
    <w:p>
      <w:pPr>
        <w:pStyle w:val="931"/>
        <w:jc w:val="center"/>
        <w:spacing w:line="508" w:lineRule="exact"/>
        <w:rPr>
          <w:color w:val="000000" w:themeColor="text1"/>
          <w:highlight w:val="none"/>
          <w14:textFill>
            <w14:solidFill>
              <w14:schemeClr w14:val="tx1"/>
            </w14:solidFill>
          </w14:textFill>
        </w:rPr>
      </w:pPr>
      <w:r>
        <w:rPr>
          <w:rFonts w:hint="eastAsia" w:eastAsia="黑体" w:cs="黑体"/>
          <w:b/>
          <w:color w:val="000000" w:themeColor="text1"/>
          <w:highlight w:val="none"/>
          <w14:textFill>
            <w14:solidFill>
              <w14:schemeClr w14:val="tx1"/>
            </w14:solidFill>
          </w14:textFill>
        </w:rPr>
        <w:br w:type="page" w:clear="all"/>
      </w:r>
      <w:r>
        <w:rPr>
          <w:rFonts w:hint="eastAsia" w:eastAsia="黑体" w:cs="黑体"/>
          <w:color w:val="000000" w:themeColor="text1"/>
          <w:highlight w:val="none"/>
          <w14:textFill>
            <w14:solidFill>
              <w14:schemeClr w14:val="tx1"/>
            </w14:solidFill>
          </w14:textFill>
        </w:rPr>
        <w:t xml:space="preserve">十、残疾人福利性单位声明函</w:t>
      </w:r>
      <w:r/>
    </w:p>
    <w:p>
      <w:pPr>
        <w:pStyle w:val="931"/>
        <w:ind w:firstLine="480"/>
        <w:jc w:val="both"/>
        <w:spacing w:line="508" w:lineRule="exact"/>
        <w:rPr>
          <w:rFonts w:eastAsia="宋体" w:cs="宋体"/>
          <w:color w:val="000000" w:themeColor="text1"/>
          <w:highlight w:val="none"/>
          <w14:textFill>
            <w14:solidFill>
              <w14:schemeClr w14:val="tx1"/>
            </w14:solidFill>
          </w14:textFill>
        </w:rPr>
      </w:pPr>
      <w:r>
        <w:rPr>
          <w:rFonts w:eastAsia="宋体" w:cs="宋体"/>
          <w:color w:val="000000" w:themeColor="text1"/>
          <w:highlight w:val="none"/>
          <w14:textFill>
            <w14:solidFill>
              <w14:schemeClr w14:val="tx1"/>
            </w14:solidFill>
          </w14:textFill>
        </w:rPr>
      </w:r>
      <w:r/>
    </w:p>
    <w:p>
      <w:pPr>
        <w:ind w:firstLine="480"/>
        <w:spacing w:before="240" w:after="240" w:line="507"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themeColor="text1"/>
          <w:sz w:val="24"/>
          <w:highlight w:val="none"/>
          <w14:textFill>
            <w14:solidFill>
              <w14:schemeClr w14:val="tx1"/>
            </w14:solidFill>
          </w14:textFill>
        </w:rPr>
        <w:t xml:space="preserve">2017</w:t>
      </w:r>
      <w:r>
        <w:rPr>
          <w:rFonts w:ascii="宋体" w:hAnsi="宋体" w:cs="宋体"/>
          <w:color w:val="000000" w:themeColor="text1"/>
          <w:sz w:val="24"/>
          <w:highlight w:val="none"/>
          <w14:textFill>
            <w14:solidFill>
              <w14:schemeClr w14:val="tx1"/>
            </w14:solidFill>
          </w14:textFill>
        </w:rPr>
        <w:t xml:space="preserve">〕</w:t>
      </w:r>
      <w:r>
        <w:rPr>
          <w:rFonts w:ascii="Times New Roman" w:hAnsi="Times New Roman" w:eastAsia="Times New Roman" w:cs="Times New Roman"/>
          <w:color w:val="000000" w:themeColor="text1"/>
          <w:sz w:val="24"/>
          <w:highlight w:val="none"/>
          <w14:textFill>
            <w14:solidFill>
              <w14:schemeClr w14:val="tx1"/>
            </w14:solidFill>
          </w14:textFill>
        </w:rPr>
        <w:t xml:space="preserve">141</w:t>
      </w:r>
      <w:r>
        <w:rPr>
          <w:rFonts w:ascii="宋体" w:hAnsi="宋体" w:cs="宋体"/>
          <w:color w:val="000000" w:themeColor="text1"/>
          <w:sz w:val="24"/>
          <w:highlight w:val="none"/>
          <w14:textFill>
            <w14:solidFill>
              <w14:schemeClr w14:val="tx1"/>
            </w14:solidFill>
          </w14:textFill>
        </w:rPr>
        <w:t xml:space="preserve">号）的规定，本单位为符合条件的残疾人福利性单位，且本单位参加</w:t>
      </w:r>
      <w:r>
        <w:rPr>
          <w:rFonts w:hint="eastAsia" w:ascii="Arial" w:hAnsi="Arial"/>
          <w:color w:val="000000" w:themeColor="text1"/>
          <w:sz w:val="24"/>
          <w:highlight w:val="none"/>
          <w:u w:val="single"/>
          <w14:textFill>
            <w14:solidFill>
              <w14:schemeClr w14:val="tx1"/>
            </w14:solidFill>
          </w14:textFill>
        </w:rPr>
        <w:t xml:space="preserve">盐城市发展和改革委员会</w:t>
      </w:r>
      <w:r>
        <w:rPr>
          <w:rFonts w:ascii="宋体" w:hAnsi="宋体" w:cs="宋体"/>
          <w:color w:val="000000" w:themeColor="text1"/>
          <w:sz w:val="24"/>
          <w:highlight w:val="none"/>
          <w14:textFill>
            <w14:solidFill>
              <w14:schemeClr w14:val="tx1"/>
            </w14:solidFill>
          </w14:textFill>
        </w:rPr>
        <w:t xml:space="preserve">单位的磋商文件编号为</w:t>
      </w:r>
      <w:r>
        <w:rPr>
          <w:rFonts w:hint="eastAsia" w:ascii="Times New Roman" w:hAnsi="Times New Roman" w:cs="Times New Roman"/>
          <w:color w:val="000000" w:themeColor="text1"/>
          <w:sz w:val="24"/>
          <w:highlight w:val="none"/>
          <w:u w:val="single"/>
          <w14:textFill>
            <w14:solidFill>
              <w14:schemeClr w14:val="tx1"/>
            </w14:solidFill>
          </w14:textFill>
        </w:rPr>
        <w:t xml:space="preserve">JSZC-320900-JZCG-G2026-****</w:t>
      </w:r>
      <w:r>
        <w:rPr>
          <w:rFonts w:ascii="宋体" w:hAnsi="宋体" w:cs="宋体"/>
          <w:color w:val="000000" w:themeColor="text1"/>
          <w:sz w:val="24"/>
          <w:highlight w:val="none"/>
          <w14:textFill>
            <w14:solidFill>
              <w14:schemeClr w14:val="tx1"/>
            </w14:solidFill>
          </w14:textFill>
        </w:rPr>
        <w:t xml:space="preserve">的</w:t>
      </w:r>
      <w:r>
        <w:rPr>
          <w:rFonts w:hint="eastAsia" w:ascii="Arial" w:hAnsi="Arial"/>
          <w:color w:val="000000" w:themeColor="text1"/>
          <w:sz w:val="24"/>
          <w:highlight w:val="none"/>
          <w:u w:val="single"/>
          <w14:textFill>
            <w14:solidFill>
              <w14:schemeClr w14:val="tx1"/>
            </w14:solidFill>
          </w14:textFill>
        </w:rPr>
        <w:t xml:space="preserve">盐城市碳达峰碳中和数据监测分析管理系统</w:t>
      </w:r>
      <w:r>
        <w:rPr>
          <w:rFonts w:ascii="宋体" w:hAnsi="宋体" w:cs="宋体"/>
          <w:color w:val="000000" w:themeColor="text1"/>
          <w:sz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spacing w:before="240" w:after="240" w:line="507"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before="240" w:after="240" w:line="507"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w:t>
      </w:r>
      <w:r>
        <w:rPr>
          <w:rFonts w:ascii="Times New Roman" w:hAnsi="Times New Roman" w:eastAsia="Times New Roman" w:cs="Times New Roman"/>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、供应商如不提供此声明函，价格将不做相应扣除（如项目全面面向中小企业，则资格审查不通过）。</w:t>
      </w:r>
      <w:r>
        <w:rPr>
          <w:rFonts w:ascii="Times New Roman" w:hAnsi="Times New Roman" w:eastAsia="Times New Roman" w:cs="Times New Roman"/>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、成交供应商为残疾人福利单位的，此声明函将随成交结果同时公告，接受社会监督）</w:t>
      </w:r>
      <w:r/>
    </w:p>
    <w:p>
      <w:pPr>
        <w:ind w:firstLine="624"/>
        <w:spacing w:before="240" w:after="240" w:line="507"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14:textFill>
            <w14:solidFill>
              <w14:schemeClr w14:val="tx1"/>
            </w14:solidFill>
          </w14:textFill>
        </w:rPr>
        <w:t xml:space="preserve"> </w:t>
      </w:r>
      <w:r/>
    </w:p>
    <w:p>
      <w:pPr>
        <w:spacing w:before="240" w:after="240" w:line="507"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8"/>
          <w:highlight w:val="none"/>
          <w14:textFill>
            <w14:solidFill>
              <w14:schemeClr w14:val="tx1"/>
            </w14:solidFill>
          </w14:textFill>
        </w:rPr>
        <w:t xml:space="preserve">             </w:t>
      </w:r>
      <w:r>
        <w:rPr>
          <w:rFonts w:ascii="Times New Roman" w:hAnsi="Times New Roman" w:eastAsia="Times New Roman" w:cs="Times New Roman"/>
          <w:color w:val="000000" w:themeColor="text1"/>
          <w:sz w:val="24"/>
          <w:highlight w:val="none"/>
          <w14:textFill>
            <w14:solidFill>
              <w14:schemeClr w14:val="tx1"/>
            </w14:solidFill>
          </w14:textFill>
        </w:rPr>
        <w:t xml:space="preserve">        </w:t>
      </w:r>
      <w:r/>
    </w:p>
    <w:p>
      <w:pPr>
        <w:ind w:right="2268" w:firstLine="2880"/>
        <w:spacing w:before="240" w:after="240" w:line="507"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供应商全称（加盖</w:t>
      </w:r>
      <w:r>
        <w:rPr>
          <w:rFonts w:ascii="Times New Roman" w:hAnsi="Times New Roman" w:eastAsia="Times New Roman" w:cs="Times New Roman"/>
          <w:color w:val="000000" w:themeColor="text1"/>
          <w:sz w:val="24"/>
          <w:highlight w:val="none"/>
          <w14:textFill>
            <w14:solidFill>
              <w14:schemeClr w14:val="tx1"/>
            </w14:solidFill>
          </w14:textFill>
        </w:rPr>
        <w:t xml:space="preserve">CA</w:t>
      </w:r>
      <w:r>
        <w:rPr>
          <w:rFonts w:ascii="宋体" w:hAnsi="宋体" w:cs="宋体"/>
          <w:color w:val="000000" w:themeColor="text1"/>
          <w:sz w:val="24"/>
          <w:highlight w:val="none"/>
          <w14:textFill>
            <w14:solidFill>
              <w14:schemeClr w14:val="tx1"/>
            </w14:solidFill>
          </w14:textFill>
        </w:rPr>
        <w:t xml:space="preserve">电子公</w:t>
      </w:r>
      <w:r>
        <w:rPr>
          <w:rFonts w:hint="eastAsia" w:ascii="宋体" w:hAnsi="宋体" w:cs="宋体"/>
          <w:color w:val="000000" w:themeColor="text1"/>
          <w:sz w:val="24"/>
          <w:highlight w:val="none"/>
          <w14:textFill>
            <w14:solidFill>
              <w14:schemeClr w14:val="tx1"/>
            </w14:solidFill>
          </w14:textFill>
        </w:rPr>
        <w:t xml:space="preserve">章）</w:t>
      </w:r>
      <w:r/>
    </w:p>
    <w:p>
      <w:pPr>
        <w:pStyle w:val="931"/>
        <w:ind w:right="2126"/>
        <w:jc w:val="right"/>
        <w:spacing w:line="508" w:lineRule="exact"/>
        <w:tabs>
          <w:tab w:val="left" w:pos="3374" w:leader="none"/>
          <w:tab w:val="left" w:pos="4864" w:leader="none"/>
          <w:tab w:val="left" w:pos="6521" w:leader="none"/>
        </w:tabs>
        <w:rPr>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日期：</w:t>
      </w:r>
      <w:r/>
    </w:p>
    <w:p>
      <w:pPr>
        <w:pStyle w:val="931"/>
        <w:jc w:val="center"/>
        <w:spacing w:line="50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08" w:lineRule="exact"/>
        <w:rPr>
          <w:rFonts w:ascii="Times New Roman" w:hAnsi="Times New Roman" w:eastAsia="黑体" w:cs="黑体"/>
          <w:b/>
          <w:color w:val="000000" w:themeColor="text1"/>
          <w:sz w:val="32"/>
          <w:szCs w:val="32"/>
          <w:highlight w:val="none"/>
          <w14:textFill>
            <w14:solidFill>
              <w14:schemeClr w14:val="tx1"/>
            </w14:solidFill>
          </w14:textFill>
        </w:rPr>
      </w:pPr>
      <w:r>
        <w:rPr>
          <w:rFonts w:hint="eastAsia" w:ascii="Times New Roman" w:hAnsi="Times New Roman" w:eastAsia="黑体" w:cs="黑体"/>
          <w:b/>
          <w:color w:val="000000" w:themeColor="text1"/>
          <w:sz w:val="32"/>
          <w:szCs w:val="32"/>
          <w:highlight w:val="none"/>
          <w14:textFill>
            <w14:solidFill>
              <w14:schemeClr w14:val="tx1"/>
            </w14:solidFill>
          </w14:textFill>
        </w:rPr>
        <w:br w:type="page" w:clear="all"/>
      </w:r>
      <w:r/>
    </w:p>
    <w:p>
      <w:pPr>
        <w:pStyle w:val="931"/>
        <w:jc w:val="center"/>
        <w:spacing w:line="360" w:lineRule="auto"/>
        <w:rPr>
          <w:color w:val="000000" w:themeColor="text1"/>
          <w:highlight w:val="none"/>
          <w14:textFill>
            <w14:solidFill>
              <w14:schemeClr w14:val="tx1"/>
            </w14:solidFill>
          </w14:textFill>
        </w:rPr>
      </w:pPr>
      <w:r>
        <w:rPr>
          <w:rFonts w:hint="eastAsia" w:eastAsia="黑体" w:cs="黑体"/>
          <w:b/>
          <w:color w:val="000000" w:themeColor="text1"/>
          <w:highlight w:val="none"/>
          <w14:textFill>
            <w14:solidFill>
              <w14:schemeClr w14:val="tx1"/>
            </w14:solidFill>
          </w14:textFill>
        </w:rPr>
        <w:t xml:space="preserve">十一、</w:t>
      </w:r>
      <w:r>
        <w:rPr>
          <w:rFonts w:hint="eastAsia" w:ascii="黑体" w:hAnsi="宋体" w:eastAsia="黑体" w:cs="黑体"/>
          <w:b/>
          <w:color w:val="000000" w:themeColor="text1"/>
          <w:highlight w:val="none"/>
          <w14:textFill>
            <w14:solidFill>
              <w14:schemeClr w14:val="tx1"/>
            </w14:solidFill>
          </w14:textFill>
        </w:rPr>
        <w:t xml:space="preserve">联合体协议（参考格式）</w:t>
      </w:r>
      <w:r/>
    </w:p>
    <w:p>
      <w:pPr>
        <w:pStyle w:val="931"/>
        <w:jc w:val="both"/>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（联合体中各供应商全称）在此达成以下协议：</w:t>
      </w:r>
      <w:r/>
    </w:p>
    <w:p>
      <w:pPr>
        <w:pStyle w:val="931"/>
        <w:ind w:firstLine="645"/>
        <w:jc w:val="both"/>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1、我们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（供应商1），（供应商2） ，……</w:t>
      </w:r>
      <w:r>
        <w:rPr>
          <w:rFonts w:hint="eastAsia" w:ascii="宋体" w:hAnsi="宋体" w:eastAsia="宋体" w:cs="宋体"/>
          <w:color w:val="000000" w:themeColor="text1"/>
          <w:sz w:val="24"/>
          <w:szCs w:val="24"/>
          <w:highlight w:val="none"/>
          <w14:textFill>
            <w14:solidFill>
              <w14:schemeClr w14:val="tx1"/>
            </w14:solidFill>
          </w14:textFill>
        </w:rPr>
        <w:t xml:space="preserve">自愿组成联合体，参加盐城市政府采购中心组织的采购编号为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（编号全称），（项目全称）</w:t>
      </w:r>
      <w:r>
        <w:rPr>
          <w:rFonts w:hint="eastAsia" w:ascii="宋体" w:hAnsi="宋体" w:eastAsia="宋体" w:cs="宋体"/>
          <w:color w:val="000000" w:themeColor="text1"/>
          <w:sz w:val="24"/>
          <w:szCs w:val="24"/>
          <w:highlight w:val="none"/>
          <w14:textFill>
            <w14:solidFill>
              <w14:schemeClr w14:val="tx1"/>
            </w14:solidFill>
          </w14:textFill>
        </w:rPr>
        <w:t xml:space="preserve">项目（分包号：**）的政府采购活动，我联合体指定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为牵头单位（牵头单位必须为联合体成员）。</w:t>
      </w:r>
      <w:r/>
    </w:p>
    <w:p>
      <w:pPr>
        <w:pStyle w:val="931"/>
        <w:ind w:firstLine="645"/>
        <w:jc w:val="both"/>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31"/>
        <w:ind w:firstLine="645"/>
        <w:jc w:val="both"/>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3、其中</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31"/>
        <w:ind w:firstLine="645"/>
        <w:jc w:val="both"/>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p>
      <w:pPr>
        <w:pStyle w:val="931"/>
        <w:ind w:firstLine="645"/>
        <w:jc w:val="both"/>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备注：本磋商文件中要求加盖CA电子公章的地方，仅需加盖牵头单位的CA电子公章。</w:t>
      </w:r>
      <w:r/>
    </w:p>
    <w:p>
      <w:pPr>
        <w:pStyle w:val="931"/>
        <w:ind w:firstLine="645"/>
        <w:jc w:val="both"/>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931"/>
        <w:ind w:firstLine="645"/>
        <w:jc w:val="right"/>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联合体中各供应商全称（公章）：     </w:t>
      </w:r>
      <w:r/>
    </w:p>
    <w:p>
      <w:pPr>
        <w:pStyle w:val="931"/>
        <w:ind w:firstLine="645"/>
        <w:jc w:val="both"/>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pStyle w:val="931"/>
        <w:jc w:val="both"/>
        <w:rPr>
          <w:rFonts w:eastAsia="黑体" w:cs="黑体"/>
          <w:b/>
          <w:color w:val="000000" w:themeColor="text1"/>
          <w:highlight w:val="none"/>
          <w14:textFill>
            <w14:solidFill>
              <w14:schemeClr w14:val="tx1"/>
            </w14:solidFill>
          </w14:textFill>
        </w:rPr>
      </w:pPr>
      <w:r>
        <w:rPr>
          <w:rFonts w:eastAsia="黑体" w:cs="黑体"/>
          <w:b/>
          <w:color w:val="000000" w:themeColor="text1"/>
          <w:highlight w:val="none"/>
          <w14:textFill>
            <w14:solidFill>
              <w14:schemeClr w14:val="tx1"/>
            </w14:solidFill>
          </w14:textFill>
        </w:rPr>
      </w:r>
      <w:r/>
    </w:p>
    <w:p>
      <w:pPr>
        <w:rPr>
          <w:rFonts w:ascii="Times New Roman" w:hAnsi="Times New Roman" w:eastAsia="黑体" w:cs="黑体"/>
          <w:b/>
          <w:color w:val="000000" w:themeColor="text1"/>
          <w:sz w:val="32"/>
          <w:szCs w:val="32"/>
          <w:highlight w:val="none"/>
          <w14:textFill>
            <w14:solidFill>
              <w14:schemeClr w14:val="tx1"/>
            </w14:solidFill>
          </w14:textFill>
        </w:rPr>
      </w:pPr>
      <w:r>
        <w:rPr>
          <w:rFonts w:hint="eastAsia" w:ascii="Times New Roman" w:hAnsi="Times New Roman" w:eastAsia="黑体" w:cs="黑体"/>
          <w:b/>
          <w:color w:val="000000" w:themeColor="text1"/>
          <w:sz w:val="32"/>
          <w:szCs w:val="32"/>
          <w:highlight w:val="none"/>
          <w14:textFill>
            <w14:solidFill>
              <w14:schemeClr w14:val="tx1"/>
            </w14:solidFill>
          </w14:textFill>
        </w:rPr>
        <w:br w:type="page" w:clear="all"/>
      </w:r>
      <w:r/>
    </w:p>
    <w:p>
      <w:pPr>
        <w:pStyle w:val="931"/>
        <w:jc w:val="center"/>
        <w:rPr>
          <w:color w:val="000000" w:themeColor="text1"/>
          <w:highlight w:val="none"/>
          <w14:textFill>
            <w14:solidFill>
              <w14:schemeClr w14:val="tx1"/>
            </w14:solidFill>
          </w14:textFill>
        </w:rPr>
      </w:pPr>
      <w:r>
        <w:rPr>
          <w:rFonts w:hint="eastAsia" w:eastAsia="黑体" w:cs="黑体"/>
          <w:b/>
          <w:color w:val="000000" w:themeColor="text1"/>
          <w:highlight w:val="none"/>
          <w14:textFill>
            <w14:solidFill>
              <w14:schemeClr w14:val="tx1"/>
            </w14:solidFill>
          </w14:textFill>
        </w:rPr>
        <w:t xml:space="preserve">十二、分项报价表（服务类）</w:t>
      </w:r>
      <w:r/>
    </w:p>
    <w:tbl>
      <w:tblPr>
        <w:tblStyle w:val="907"/>
        <w:tblW w:w="4872"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44"/>
        <w:gridCol w:w="1676"/>
        <w:gridCol w:w="1242"/>
        <w:gridCol w:w="1379"/>
        <w:gridCol w:w="827"/>
        <w:gridCol w:w="1440"/>
        <w:gridCol w:w="1241"/>
      </w:tblGrid>
      <w:tr>
        <w:trPr>
          <w:jc w:val="center"/>
          <w:tblCellSpacing w:w="0" w:type="dxa"/>
          <w:trHeight w:val="454"/>
        </w:trPr>
        <w:tc>
          <w:tcPr>
            <w:tcBorders>
              <w:top w:val="single" w:color="000000" w:sz="4" w:space="0"/>
              <w:left w:val="single" w:color="auto" w:sz="4" w:space="0"/>
              <w:bottom w:val="single" w:color="000000" w:sz="4" w:space="0"/>
              <w:right w:val="single" w:color="000000" w:sz="4" w:space="0"/>
            </w:tcBorders>
            <w:tcW w:w="491" w:type="pct"/>
            <w:vAlign w:val="center"/>
            <w:vMerge w:val="restart"/>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6</w:t>
            </w:r>
            <w:r/>
          </w:p>
        </w:tc>
      </w:tr>
      <w:tr>
        <w:trPr>
          <w:jc w:val="center"/>
          <w:tblCellSpacing w:w="0" w:type="dxa"/>
          <w:trHeight w:val="454"/>
        </w:trPr>
        <w:tc>
          <w:tcPr>
            <w:tcBorders>
              <w:top w:val="single" w:color="000000" w:sz="4" w:space="0"/>
              <w:left w:val="single" w:color="auto" w:sz="4" w:space="0"/>
              <w:bottom w:val="single" w:color="000000" w:sz="4" w:space="0"/>
              <w:right w:val="single" w:color="000000" w:sz="4" w:space="0"/>
            </w:tcBorders>
            <w:tcW w:w="491" w:type="pct"/>
            <w:vAlign w:val="center"/>
            <w:vMerge w:val="continue"/>
            <w:textDirection w:val="lrTb"/>
            <w:noWrap/>
          </w:tcPr>
          <w:p>
            <w:pPr>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分项服务名称</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交付期</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分项单位</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分项单价</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分项总价</w:t>
            </w:r>
            <w:r/>
          </w:p>
        </w:tc>
      </w:tr>
      <w:tr>
        <w:trPr>
          <w:jc w:val="center"/>
          <w:tblCellSpacing w:w="0" w:type="dxa"/>
          <w:trHeight w:val="454"/>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454"/>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454"/>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454"/>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454"/>
        </w:trPr>
        <w:tc>
          <w:tcPr>
            <w:gridSpan w:val="6"/>
            <w:tcBorders>
              <w:top w:val="single" w:color="000000" w:sz="4" w:space="0"/>
              <w:left w:val="single" w:color="000000" w:sz="4" w:space="0"/>
              <w:bottom w:val="single" w:color="000000" w:sz="4" w:space="0"/>
              <w:right w:val="single" w:color="000000" w:sz="4" w:space="0"/>
            </w:tcBorders>
            <w:tcW w:w="4279"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总报价（人民币：元）</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931"/>
              <w:jc w:val="both"/>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bl>
    <w:p>
      <w:pPr>
        <w:pStyle w:val="931"/>
        <w:jc w:val="both"/>
        <w:spacing w:line="508" w:lineRule="exact"/>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备注：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rPr>
          <w:rFonts w:ascii="Times New Roman" w:hAnsi="Times New Roman" w:eastAsia="黑体" w:cs="黑体"/>
          <w:b/>
          <w:color w:val="000000" w:themeColor="text1"/>
          <w:sz w:val="32"/>
          <w:szCs w:val="32"/>
          <w:highlight w:val="none"/>
          <w14:textFill>
            <w14:solidFill>
              <w14:schemeClr w14:val="tx1"/>
            </w14:solidFill>
          </w14:textFill>
        </w:rPr>
      </w:pPr>
      <w:r>
        <w:rPr>
          <w:rFonts w:hint="eastAsia" w:ascii="Times New Roman" w:hAnsi="Times New Roman" w:eastAsia="黑体" w:cs="黑体"/>
          <w:b/>
          <w:color w:val="000000" w:themeColor="text1"/>
          <w:sz w:val="32"/>
          <w:szCs w:val="32"/>
          <w:highlight w:val="none"/>
          <w14:textFill>
            <w14:solidFill>
              <w14:schemeClr w14:val="tx1"/>
            </w14:solidFill>
          </w14:textFill>
        </w:rPr>
        <w:br w:type="page" w:clear="all"/>
      </w:r>
      <w:r/>
    </w:p>
    <w:p>
      <w:pPr>
        <w:pStyle w:val="931"/>
        <w:jc w:val="center"/>
        <w:rPr>
          <w:color w:val="000000" w:themeColor="text1"/>
          <w:highlight w:val="none"/>
          <w14:textFill>
            <w14:solidFill>
              <w14:schemeClr w14:val="tx1"/>
            </w14:solidFill>
          </w14:textFill>
        </w:rPr>
      </w:pPr>
      <w:r>
        <w:rPr>
          <w:rFonts w:hint="eastAsia" w:eastAsia="黑体" w:cs="黑体"/>
          <w:color w:val="000000" w:themeColor="text1"/>
          <w:highlight w:val="none"/>
          <w14:textFill>
            <w14:solidFill>
              <w14:schemeClr w14:val="tx1"/>
            </w14:solidFill>
          </w14:textFill>
        </w:rPr>
        <w:t xml:space="preserve">十三、技术要求响应及偏离表</w:t>
      </w:r>
      <w:r/>
    </w:p>
    <w:tbl>
      <w:tblPr>
        <w:tblStyle w:val="907"/>
        <w:tblW w:w="4905"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716"/>
        <w:gridCol w:w="2776"/>
        <w:gridCol w:w="2342"/>
        <w:gridCol w:w="2156"/>
        <w:gridCol w:w="717"/>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磋商文件要求</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证明</w:t>
            </w:r>
            <w:r/>
          </w:p>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bl>
    <w:p>
      <w:pPr>
        <w:pStyle w:val="931"/>
        <w:jc w:val="both"/>
        <w:rPr>
          <w:color w:val="000000" w:themeColor="text1"/>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注：行数不够，可自行添加。</w:t>
      </w:r>
      <w:r/>
    </w:p>
    <w:p>
      <w:pPr>
        <w:rPr>
          <w:rFonts w:ascii="Times New Roman" w:hAnsi="Times New Roman" w:eastAsia="黑体" w:cs="黑体"/>
          <w:b/>
          <w:color w:val="000000" w:themeColor="text1"/>
          <w:sz w:val="32"/>
          <w:szCs w:val="32"/>
          <w:highlight w:val="none"/>
          <w14:textFill>
            <w14:solidFill>
              <w14:schemeClr w14:val="tx1"/>
            </w14:solidFill>
          </w14:textFill>
        </w:rPr>
      </w:pPr>
      <w:r>
        <w:rPr>
          <w:rFonts w:hint="eastAsia" w:ascii="Times New Roman" w:hAnsi="Times New Roman" w:eastAsia="黑体" w:cs="黑体"/>
          <w:b/>
          <w:color w:val="000000" w:themeColor="text1"/>
          <w:sz w:val="32"/>
          <w:szCs w:val="32"/>
          <w:highlight w:val="none"/>
          <w14:textFill>
            <w14:solidFill>
              <w14:schemeClr w14:val="tx1"/>
            </w14:solidFill>
          </w14:textFill>
        </w:rPr>
        <w:br w:type="page" w:clear="all"/>
      </w:r>
      <w:r/>
    </w:p>
    <w:p>
      <w:pPr>
        <w:pStyle w:val="931"/>
        <w:jc w:val="center"/>
        <w:rPr>
          <w:color w:val="000000" w:themeColor="text1"/>
          <w:highlight w:val="none"/>
          <w14:textFill>
            <w14:solidFill>
              <w14:schemeClr w14:val="tx1"/>
            </w14:solidFill>
          </w14:textFill>
        </w:rPr>
      </w:pPr>
      <w:r>
        <w:rPr>
          <w:rFonts w:hint="eastAsia" w:eastAsia="黑体" w:cs="黑体"/>
          <w:color w:val="000000" w:themeColor="text1"/>
          <w:highlight w:val="none"/>
          <w14:textFill>
            <w14:solidFill>
              <w14:schemeClr w14:val="tx1"/>
            </w14:solidFill>
          </w14:textFill>
        </w:rPr>
        <w:t xml:space="preserve">十四、商务要求响应及偏离表</w:t>
      </w:r>
      <w:r/>
    </w:p>
    <w:tbl>
      <w:tblPr>
        <w:tblStyle w:val="907"/>
        <w:tblW w:w="4905"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716"/>
        <w:gridCol w:w="2776"/>
        <w:gridCol w:w="2342"/>
        <w:gridCol w:w="2156"/>
        <w:gridCol w:w="717"/>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bookmarkStart w:id="171" w:name="_Hlt26782999"/>
            <w:r/>
            <w:bookmarkStart w:id="172" w:name="_Hlt26671343"/>
            <w:r/>
            <w:bookmarkStart w:id="173" w:name="_Hlt24879081"/>
            <w:r/>
            <w:bookmarkStart w:id="174" w:name="_Hlt26671372"/>
            <w:r/>
            <w:bookmarkStart w:id="175" w:name="_Hlt26609391"/>
            <w:r/>
            <w:bookmarkStart w:id="176" w:name="_Hlt26955064"/>
            <w:r/>
            <w:bookmarkStart w:id="177" w:name="_Hlt26955056"/>
            <w:r/>
            <w:bookmarkStart w:id="178" w:name="_Hlt26580838"/>
            <w:r>
              <w:rPr>
                <w:rFonts w:hint="eastAsia" w:eastAsia="宋体" w:cs="宋体"/>
                <w:color w:val="000000" w:themeColor="text1"/>
                <w:sz w:val="24"/>
                <w:szCs w:val="24"/>
                <w:highlight w:val="none"/>
                <w14:textFill>
                  <w14:solidFill>
                    <w14:schemeClr w14:val="tx1"/>
                  </w14:solidFill>
                </w14:textFill>
              </w:rPr>
              <w:t xml:space="preserve">序号</w:t>
            </w:r>
            <w:bookmarkEnd w:id="171"/>
            <w:r/>
            <w:bookmarkEnd w:id="172"/>
            <w:r/>
            <w:bookmarkEnd w:id="173"/>
            <w:r/>
            <w:bookmarkEnd w:id="174"/>
            <w:r/>
            <w:bookmarkEnd w:id="175"/>
            <w:r/>
            <w:bookmarkEnd w:id="176"/>
            <w:r/>
            <w:bookmarkEnd w:id="177"/>
            <w:r/>
            <w:bookmarkEnd w:id="178"/>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磋商文件要求</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证明</w:t>
            </w:r>
            <w:r/>
          </w:p>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931"/>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tc>
      </w:tr>
    </w:tbl>
    <w:p>
      <w:pPr>
        <w:pStyle w:val="931"/>
        <w:jc w:val="both"/>
        <w:rPr>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注：行数不够，可自行添加。</w:t>
      </w:r>
      <w:r/>
    </w:p>
    <w:p>
      <w:pPr>
        <w:rPr>
          <w:rFonts w:ascii="Times New Roman" w:hAnsi="Times New Roman" w:cs="宋体"/>
          <w:color w:val="000000" w:themeColor="text1"/>
          <w:sz w:val="32"/>
          <w:szCs w:val="32"/>
          <w:highlight w:val="none"/>
          <w14:textFill>
            <w14:solidFill>
              <w14:schemeClr w14:val="tx1"/>
            </w14:solidFill>
          </w14:textFill>
        </w:rPr>
      </w:pPr>
      <w:r>
        <w:rPr>
          <w:rFonts w:hint="eastAsia" w:ascii="Times New Roman" w:hAnsi="Times New Roman" w:cs="宋体"/>
          <w:color w:val="000000" w:themeColor="text1"/>
          <w:sz w:val="32"/>
          <w:szCs w:val="32"/>
          <w:highlight w:val="none"/>
          <w14:textFill>
            <w14:solidFill>
              <w14:schemeClr w14:val="tx1"/>
            </w14:solidFill>
          </w14:textFill>
        </w:rPr>
        <w:br w:type="page" w:clear="all"/>
      </w:r>
      <w:r/>
    </w:p>
    <w:p>
      <w:pPr>
        <w:pStyle w:val="931"/>
        <w:ind w:firstLine="2570"/>
        <w:jc w:val="both"/>
        <w:rPr>
          <w:rFonts w:hint="default" w:eastAsia="黑体"/>
          <w:color w:val="000000" w:themeColor="text1"/>
          <w:highlight w:val="none"/>
          <w:lang w:val="en-US" w:eastAsia="zh-CN"/>
          <w14:textFill>
            <w14:solidFill>
              <w14:schemeClr w14:val="tx1"/>
            </w14:solidFill>
          </w14:textFill>
        </w:rPr>
      </w:pPr>
      <w:r>
        <w:rPr>
          <w:rFonts w:hint="eastAsia" w:eastAsia="黑体" w:cs="黑体"/>
          <w:b/>
          <w:i/>
          <w:color w:val="000000" w:themeColor="text1"/>
          <w:highlight w:val="none"/>
          <w:u w:val="single"/>
          <w14:textFill>
            <w14:solidFill>
              <w14:schemeClr w14:val="tx1"/>
            </w14:solidFill>
          </w14:textFill>
        </w:rPr>
        <w:t xml:space="preserve">十五、</w:t>
      </w:r>
      <w:r>
        <w:rPr>
          <w:rFonts w:hint="eastAsia" w:eastAsia="黑体" w:cs="黑体"/>
          <w:b/>
          <w:i/>
          <w:color w:val="000000" w:themeColor="text1"/>
          <w:highlight w:val="none"/>
          <w:u w:val="single"/>
          <w:lang w:val="en-US" w:eastAsia="zh-CN"/>
          <w14:textFill>
            <w14:solidFill>
              <w14:schemeClr w14:val="tx1"/>
            </w14:solidFill>
          </w14:textFill>
        </w:rPr>
        <w:t xml:space="preserve">磋商报价表</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本次为首次报价                                  货币单位：人民币元</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项目编号：</w:t>
      </w:r>
      <w:r/>
    </w:p>
    <w:tbl>
      <w:tblPr>
        <w:tblStyle w:val="9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7"/>
        <w:gridCol w:w="2489"/>
        <w:gridCol w:w="370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t xml:space="preserve">盐城市碳达峰碳中和数据监测分析管理系统</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30" w:type="dxa"/>
            <w:vAlign w:val="center"/>
            <w:textDirection w:val="lrTb"/>
            <w:noWrap/>
          </w:tcPr>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金额大写 </w:t>
            </w:r>
            <w:r/>
          </w:p>
        </w:tc>
      </w:tr>
    </w:tbl>
    <w:p>
      <w:pPr>
        <w:jc w:val="left"/>
        <w:spacing w:before="240" w:after="240"/>
        <w:rPr>
          <w:rFonts w:hint="eastAsia" w:ascii="Arial" w:hAnsi="Arial" w:eastAsia="Arial"/>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eastAsia="Arial"/>
          <w:color w:val="000000" w:themeColor="text1"/>
          <w:sz w:val="24"/>
          <w:highlight w:val="none"/>
          <w14:textFill>
            <w14:solidFill>
              <w14:schemeClr w14:val="tx1"/>
            </w14:solidFill>
          </w14:textFill>
        </w:rPr>
        <w:t xml:space="preserve">报价说明:</w:t>
      </w:r>
      <w:r/>
    </w:p>
    <w:p>
      <w:pPr>
        <w:jc w:val="left"/>
        <w:spacing w:before="240" w:after="240"/>
        <w:rPr>
          <w:rFonts w:hint="eastAsia" w:ascii="Arial" w:hAnsi="Arial" w:eastAsia="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eastAsia="Arial"/>
          <w:color w:val="000000" w:themeColor="text1"/>
          <w:sz w:val="24"/>
          <w:highlight w:val="none"/>
          <w14:textFill>
            <w14:solidFill>
              <w14:schemeClr w14:val="tx1"/>
            </w14:solidFill>
          </w14:textFill>
        </w:rPr>
        <w:t xml:space="preserve">1、报价包括完成项目的所有费用</w:t>
      </w:r>
      <w:r>
        <w:rPr>
          <w:rFonts w:hint="eastAsia" w:ascii="Arial" w:hAnsi="Arial"/>
          <w:color w:val="000000" w:themeColor="text1"/>
          <w:sz w:val="24"/>
          <w:highlight w:val="none"/>
          <w:lang w:eastAsia="zh-CN"/>
          <w14:textFill>
            <w14:solidFill>
              <w14:schemeClr w14:val="tx1"/>
            </w14:solidFill>
          </w14:textFill>
        </w:rPr>
        <w:t xml:space="preserve">，</w:t>
      </w:r>
      <w:r>
        <w:rPr>
          <w:rFonts w:hint="eastAsia" w:ascii="Arial" w:hAnsi="Arial" w:eastAsia="Arial"/>
          <w:color w:val="000000" w:themeColor="text1"/>
          <w:sz w:val="24"/>
          <w:highlight w:val="none"/>
          <w14:textFill>
            <w14:solidFill>
              <w14:schemeClr w14:val="tx1"/>
            </w14:solidFill>
          </w14:textFill>
        </w:rPr>
        <w:t xml:space="preserve">采购人不再支付报价以外的任何费用</w:t>
      </w:r>
      <w:r>
        <w:rPr>
          <w:rFonts w:hint="eastAsia" w:ascii="Arial" w:hAnsi="Arial"/>
          <w:color w:val="000000" w:themeColor="text1"/>
          <w:sz w:val="24"/>
          <w:highlight w:val="none"/>
          <w:lang w:eastAsia="zh-CN"/>
          <w14:textFill>
            <w14:solidFill>
              <w14:schemeClr w14:val="tx1"/>
            </w14:solidFill>
          </w14:textFill>
        </w:rPr>
        <w:t xml:space="preserve">。</w:t>
      </w:r>
      <w:r/>
    </w:p>
    <w:p>
      <w:pPr>
        <w:jc w:val="left"/>
        <w:spacing w:before="240" w:after="240"/>
        <w:rPr>
          <w:rFonts w:hint="eastAsia" w:ascii="Arial" w:hAnsi="Arial" w:eastAsia="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eastAsia="Arial"/>
          <w:color w:val="000000" w:themeColor="text1"/>
          <w:sz w:val="24"/>
          <w:highlight w:val="none"/>
          <w14:textFill>
            <w14:solidFill>
              <w14:schemeClr w14:val="tx1"/>
            </w14:solidFill>
          </w14:textFill>
        </w:rPr>
        <w:t xml:space="preserve">2、报价以总价为准，大小写不一致以大写为准</w:t>
      </w:r>
      <w:r>
        <w:rPr>
          <w:rFonts w:hint="eastAsia" w:ascii="Arial" w:hAnsi="Arial"/>
          <w:color w:val="000000" w:themeColor="text1"/>
          <w:sz w:val="24"/>
          <w:highlight w:val="none"/>
          <w:lang w:eastAsia="zh-CN"/>
          <w14:textFill>
            <w14:solidFill>
              <w14:schemeClr w14:val="tx1"/>
            </w14:solidFill>
          </w14:textFill>
        </w:rPr>
        <w:t xml:space="preserve">。</w:t>
      </w:r>
      <w:r/>
    </w:p>
    <w:p>
      <w:pPr>
        <w:jc w:val="left"/>
        <w:spacing w:before="240" w:after="240"/>
        <w:rPr>
          <w:rFonts w:ascii="Arial" w:hAnsi="Arial" w:eastAsia="Arial"/>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olor w:val="000000" w:themeColor="text1"/>
          <w:sz w:val="24"/>
          <w:highlight w:val="none"/>
          <w:lang w:val="en-US" w:eastAsia="zh-CN"/>
          <w14:textFill>
            <w14:solidFill>
              <w14:schemeClr w14:val="tx1"/>
            </w14:solidFill>
          </w14:textFill>
        </w:rPr>
        <w:t xml:space="preserve">3、</w:t>
      </w:r>
      <w:r>
        <w:rPr>
          <w:rFonts w:hint="eastAsia" w:ascii="Arial" w:hAnsi="Arial" w:eastAsia="Arial"/>
          <w:color w:val="000000" w:themeColor="text1"/>
          <w:sz w:val="24"/>
          <w:highlight w:val="none"/>
          <w14:textFill>
            <w14:solidFill>
              <w14:schemeClr w14:val="tx1"/>
            </w14:solidFill>
          </w14:textFill>
        </w:rPr>
        <w:t xml:space="preserve">偏离说明:详见《偏离表》</w:t>
      </w:r>
      <w:r>
        <w:rPr>
          <w:rFonts w:hint="eastAsia" w:ascii="Arial" w:hAnsi="Arial"/>
          <w:color w:val="000000" w:themeColor="text1"/>
          <w:sz w:val="24"/>
          <w:highlight w:val="none"/>
          <w:lang w:eastAsia="zh-CN"/>
          <w14:textFill>
            <w14:solidFill>
              <w14:schemeClr w14:val="tx1"/>
            </w14:solidFill>
          </w14:textFill>
        </w:rPr>
        <w:t xml:space="preserve">。</w:t>
      </w:r>
      <w:r>
        <w:rPr>
          <w:rFonts w:ascii="Arial" w:hAnsi="Arial" w:eastAsia="Arial"/>
          <w:color w:val="000000" w:themeColor="text1"/>
          <w:sz w:val="24"/>
          <w:highlight w:val="none"/>
          <w14:textFill>
            <w14:solidFill>
              <w14:schemeClr w14:val="tx1"/>
            </w14:solidFill>
          </w14:textFill>
        </w:rPr>
        <w:t xml:space="preserve">                                       </w:t>
      </w:r>
      <w:r/>
    </w:p>
    <w:p>
      <w:pPr>
        <w:jc w:val="center"/>
        <w:spacing w:before="240" w:after="240"/>
        <w:rPr>
          <w:rFonts w:ascii="Arial" w:hAnsi="Arial" w:eastAsia="Arial"/>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r>
      <w:r/>
    </w:p>
    <w:p>
      <w:pPr>
        <w:jc w:val="center"/>
        <w:spacing w:before="240" w:after="240"/>
        <w:rPr>
          <w:rFonts w:ascii="Arial" w:hAnsi="Arial" w:eastAsia="Arial"/>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r>
      <w:r/>
    </w:p>
    <w:p>
      <w:pPr>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 </w:t>
      </w:r>
      <w:r>
        <w:rPr>
          <w:rFonts w:hint="eastAsia" w:ascii="Arial" w:hAnsi="Arial"/>
          <w:color w:val="000000" w:themeColor="text1"/>
          <w:sz w:val="24"/>
          <w:highlight w:val="none"/>
          <w:lang w:val="en-US" w:eastAsia="zh-CN"/>
          <w14:textFill>
            <w14:solidFill>
              <w14:schemeClr w14:val="tx1"/>
            </w14:solidFill>
          </w14:textFill>
        </w:rPr>
        <w:t xml:space="preserve">                                       </w:t>
      </w:r>
      <w:r>
        <w:rPr>
          <w:rFonts w:ascii="Arial" w:hAnsi="Arial" w:eastAsia="Arial"/>
          <w:color w:val="000000" w:themeColor="text1"/>
          <w:sz w:val="24"/>
          <w:highlight w:val="none"/>
          <w14:textFill>
            <w14:solidFill>
              <w14:schemeClr w14:val="tx1"/>
            </w14:solidFill>
          </w14:textFill>
        </w:rPr>
        <w:t xml:space="preserve">供应商（电子签章）：</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 </w:t>
      </w:r>
      <w:r/>
    </w:p>
    <w:p>
      <w:pPr>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                                         日期：    年    月    日</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olor w:val="000000" w:themeColor="text1"/>
          <w:sz w:val="24"/>
          <w:highlight w:val="none"/>
          <w14:textFill>
            <w14:solidFill>
              <w14:schemeClr w14:val="tx1"/>
            </w14:solidFill>
          </w14:textFill>
        </w:rPr>
        <w:t xml:space="preserve"> </w:t>
      </w:r>
      <w:r/>
    </w:p>
    <w:p>
      <w:pPr>
        <w:pStyle w:val="931"/>
        <w:ind w:firstLine="48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1"/>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spacing w:before="50" w:after="50"/>
        <w:rPr>
          <w:rFonts w:ascii="Times New Roman" w:hAnsi="Times New Roman" w:eastAsia="黑体" w:cs="黑体"/>
          <w:b/>
          <w:color w:val="000000" w:themeColor="text1"/>
          <w:sz w:val="32"/>
          <w:szCs w:val="32"/>
          <w:highlight w:val="none"/>
          <w14:textFill>
            <w14:solidFill>
              <w14:schemeClr w14:val="tx1"/>
            </w14:solidFill>
          </w14:textFill>
        </w:rPr>
      </w:pPr>
      <w:r>
        <w:rPr>
          <w:rFonts w:ascii="Times New Roman" w:hAnsi="Times New Roman" w:eastAsia="黑体" w:cs="黑体"/>
          <w:b/>
          <w:color w:val="000000" w:themeColor="text1"/>
          <w:sz w:val="32"/>
          <w:szCs w:val="32"/>
          <w:highlight w:val="none"/>
          <w14:textFill>
            <w14:solidFill>
              <w14:schemeClr w14:val="tx1"/>
            </w14:solidFill>
          </w14:textFill>
        </w:rPr>
      </w:r>
      <w:r/>
    </w:p>
    <w:p>
      <w:pPr>
        <w:jc w:val="center"/>
        <w:spacing w:before="50" w:after="50"/>
        <w:rPr>
          <w:rFonts w:ascii="Times New Roman" w:hAnsi="Times New Roman" w:eastAsia="黑体" w:cs="黑体"/>
          <w:b/>
          <w:color w:val="000000" w:themeColor="text1"/>
          <w:sz w:val="32"/>
          <w:szCs w:val="32"/>
          <w:highlight w:val="none"/>
          <w14:textFill>
            <w14:solidFill>
              <w14:schemeClr w14:val="tx1"/>
            </w14:solidFill>
          </w14:textFill>
        </w:rPr>
      </w:pPr>
      <w:r>
        <w:rPr>
          <w:rFonts w:ascii="Times New Roman" w:hAnsi="Times New Roman" w:eastAsia="黑体" w:cs="黑体"/>
          <w:b/>
          <w:color w:val="000000" w:themeColor="text1"/>
          <w:sz w:val="32"/>
          <w:szCs w:val="32"/>
          <w:highlight w:val="none"/>
          <w14:textFill>
            <w14:solidFill>
              <w14:schemeClr w14:val="tx1"/>
            </w14:solidFill>
          </w14:textFill>
        </w:rPr>
      </w:r>
      <w:r/>
    </w:p>
    <w:p>
      <w:pPr>
        <w:jc w:val="center"/>
        <w:spacing w:before="50" w:after="50"/>
        <w:rPr>
          <w:rFonts w:ascii="Times New Roman" w:hAnsi="Times New Roman" w:eastAsia="黑体" w:cs="黑体"/>
          <w:b/>
          <w:color w:val="000000" w:themeColor="text1"/>
          <w:sz w:val="32"/>
          <w:szCs w:val="32"/>
          <w:highlight w:val="none"/>
          <w14:textFill>
            <w14:solidFill>
              <w14:schemeClr w14:val="tx1"/>
            </w14:solidFill>
          </w14:textFill>
        </w:rPr>
      </w:pPr>
      <w:r>
        <w:rPr>
          <w:rFonts w:ascii="Times New Roman" w:hAnsi="Times New Roman" w:eastAsia="黑体" w:cs="黑体"/>
          <w:b/>
          <w:color w:val="000000" w:themeColor="text1"/>
          <w:sz w:val="32"/>
          <w:szCs w:val="32"/>
          <w:highlight w:val="none"/>
          <w14:textFill>
            <w14:solidFill>
              <w14:schemeClr w14:val="tx1"/>
            </w14:solidFill>
          </w14:textFill>
        </w:rPr>
      </w:r>
      <w:r/>
    </w:p>
    <w:p>
      <w:pPr>
        <w:rPr>
          <w:rFonts w:ascii="Times New Roman" w:hAnsi="Times New Roman" w:eastAsia="黑体" w:cs="黑体"/>
          <w:b/>
          <w:color w:val="000000" w:themeColor="text1"/>
          <w:sz w:val="32"/>
          <w:szCs w:val="32"/>
          <w:highlight w:val="none"/>
          <w14:textFill>
            <w14:solidFill>
              <w14:schemeClr w14:val="tx1"/>
            </w14:solidFill>
          </w14:textFill>
        </w:rPr>
      </w:pPr>
      <w:r>
        <w:rPr>
          <w:rFonts w:hint="eastAsia" w:ascii="Times New Roman" w:hAnsi="Times New Roman" w:eastAsia="黑体" w:cs="黑体"/>
          <w:b/>
          <w:color w:val="000000" w:themeColor="text1"/>
          <w:sz w:val="32"/>
          <w:szCs w:val="32"/>
          <w:highlight w:val="none"/>
          <w14:textFill>
            <w14:solidFill>
              <w14:schemeClr w14:val="tx1"/>
            </w14:solidFill>
          </w14:textFill>
        </w:rPr>
        <w:br w:type="page" w:clear="all"/>
      </w:r>
      <w:r/>
    </w:p>
    <w:p>
      <w:pPr>
        <w:jc w:val="center"/>
        <w:spacing w:before="50" w:after="50"/>
        <w:rPr>
          <w:rFonts w:ascii="Times New Roman" w:hAnsi="Times New Roman" w:eastAsia="黑体" w:cs="黑体"/>
          <w:color w:val="000000" w:themeColor="text1"/>
          <w:sz w:val="32"/>
          <w:szCs w:val="32"/>
          <w:highlight w:val="none"/>
          <w14:textFill>
            <w14:solidFill>
              <w14:schemeClr w14:val="tx1"/>
            </w14:solidFill>
          </w14:textFill>
        </w:rPr>
      </w:pPr>
      <w:r>
        <w:rPr>
          <w:rFonts w:hint="eastAsia" w:ascii="Times New Roman" w:hAnsi="Times New Roman" w:eastAsia="黑体" w:cs="黑体"/>
          <w:color w:val="000000" w:themeColor="text1"/>
          <w:sz w:val="32"/>
          <w:szCs w:val="32"/>
          <w:highlight w:val="none"/>
          <w14:textFill>
            <w14:solidFill>
              <w14:schemeClr w14:val="tx1"/>
            </w14:solidFill>
          </w14:textFill>
        </w:rPr>
        <w:t xml:space="preserve">十六、技术方案、服务承诺、培训承诺等</w:t>
      </w:r>
      <w:r/>
    </w:p>
    <w:p>
      <w:pPr>
        <w:pStyle w:val="931"/>
        <w:jc w:val="both"/>
        <w:tabs>
          <w:tab w:val="left" w:pos="216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ind w:firstLine="1600"/>
        <w:spacing w:line="499" w:lineRule="atLeast"/>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r>
      <w:r/>
    </w:p>
    <w:p>
      <w:pPr>
        <w:rPr>
          <w:rFonts w:ascii="Times New Roman" w:hAnsi="Times New Roman" w:cs="宋体"/>
          <w:color w:val="000000" w:themeColor="text1"/>
          <w:sz w:val="32"/>
          <w:szCs w:val="32"/>
          <w:highlight w:val="none"/>
          <w14:textFill>
            <w14:solidFill>
              <w14:schemeClr w14:val="tx1"/>
            </w14:solidFill>
          </w14:textFill>
        </w:rPr>
      </w:pPr>
      <w:r>
        <w:rPr>
          <w:rFonts w:ascii="Times New Roman" w:hAnsi="Times New Roman" w:cs="宋体"/>
          <w:color w:val="000000" w:themeColor="text1"/>
          <w:sz w:val="32"/>
          <w:szCs w:val="32"/>
          <w:highlight w:val="none"/>
          <w14:textFill>
            <w14:solidFill>
              <w14:schemeClr w14:val="tx1"/>
            </w14:solidFill>
          </w14:textFill>
        </w:rPr>
        <w:br w:type="page" w:clear="all"/>
      </w:r>
      <w:r/>
    </w:p>
    <w:p>
      <w:pPr>
        <w:jc w:val="center"/>
        <w:spacing w:before="50" w:after="50"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eastAsia="黑体" w:cs="黑体"/>
          <w:color w:val="000000" w:themeColor="text1"/>
          <w:sz w:val="32"/>
          <w:szCs w:val="32"/>
          <w:highlight w:val="none"/>
          <w14:textFill>
            <w14:solidFill>
              <w14:schemeClr w14:val="tx1"/>
            </w14:solidFill>
          </w14:textFill>
        </w:rPr>
        <w:t xml:space="preserve">十七、盐城市政府采购事前信用承诺书</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（四）严格遵守即时信息公示规定，及时维护和更新盐城市政府采购网中与本单位相关的信息；</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（六）自觉接受政府、行业组织、社会公众、新闻舆论的监督；</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（八）本人已认真阅读了上述承诺，并向本单位员工作了宣传教育。</w:t>
      </w:r>
      <w:r/>
    </w:p>
    <w:p>
      <w:pPr>
        <w:ind w:right="2268" w:firstLine="480"/>
        <w:jc w:val="righ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法定代表人签名：</w:t>
      </w:r>
      <w:r/>
    </w:p>
    <w:p>
      <w:pPr>
        <w:ind w:right="2268"/>
        <w:jc w:val="righ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单位名称（盖章）：</w:t>
      </w:r>
      <w:r/>
    </w:p>
    <w:p>
      <w:pPr>
        <w:jc w:val="right"/>
        <w:spacing w:line="508" w:lineRule="exact"/>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年月日</w:t>
      </w:r>
      <w:r/>
    </w:p>
    <w:p>
      <w:pPr>
        <w:pStyle w:val="931"/>
        <w:jc w:val="center"/>
        <w:spacing w:line="508" w:lineRule="exact"/>
        <w:rPr>
          <w:rFonts w:eastAsia="方正黑体_GBK" w:cs="宋体"/>
          <w:color w:val="000000" w:themeColor="text1"/>
          <w:highlight w:val="none"/>
          <w14:textFill>
            <w14:solidFill>
              <w14:schemeClr w14:val="tx1"/>
            </w14:solidFill>
          </w14:textFill>
        </w:rPr>
      </w:pPr>
      <w:r>
        <w:rPr>
          <w:rFonts w:eastAsia="方正黑体_GBK" w:cs="宋体"/>
          <w:color w:val="000000" w:themeColor="text1"/>
          <w:highlight w:val="none"/>
          <w14:textFill>
            <w14:solidFill>
              <w14:schemeClr w14:val="tx1"/>
            </w14:solidFill>
          </w14:textFill>
        </w:rPr>
      </w:r>
      <w:r/>
    </w:p>
    <w:p>
      <w:pPr>
        <w:pStyle w:val="931"/>
        <w:jc w:val="center"/>
        <w:spacing w:line="508" w:lineRule="exact"/>
        <w:rPr>
          <w:rFonts w:eastAsia="方正黑体_GBK" w:cs="宋体"/>
          <w:color w:val="000000" w:themeColor="text1"/>
          <w:highlight w:val="none"/>
          <w14:textFill>
            <w14:solidFill>
              <w14:schemeClr w14:val="tx1"/>
            </w14:solidFill>
          </w14:textFill>
        </w:rPr>
      </w:pPr>
      <w:r>
        <w:rPr>
          <w:rFonts w:hint="eastAsia" w:eastAsia="方正黑体_GBK" w:cs="宋体"/>
          <w:color w:val="000000" w:themeColor="text1"/>
          <w:highlight w:val="none"/>
          <w14:textFill>
            <w14:solidFill>
              <w14:schemeClr w14:val="tx1"/>
            </w14:solidFill>
          </w14:textFill>
        </w:rPr>
        <w:t xml:space="preserve">质疑函范本</w:t>
      </w:r>
      <w:r/>
    </w:p>
    <w:p>
      <w:pPr>
        <w:pStyle w:val="931"/>
        <w:jc w:val="both"/>
        <w:spacing w:line="508" w:lineRule="exact"/>
        <w:rPr>
          <w:rFonts w:eastAsia="宋体" w:cs="宋体"/>
          <w:color w:val="000000" w:themeColor="text1"/>
          <w:highlight w:val="none"/>
          <w14:textFill>
            <w14:solidFill>
              <w14:schemeClr w14:val="tx1"/>
            </w14:solidFill>
          </w14:textFill>
        </w:rPr>
      </w:pPr>
      <w:r>
        <w:rPr>
          <w:rFonts w:eastAsia="宋体" w:cs="宋体"/>
          <w:color w:val="000000" w:themeColor="text1"/>
          <w:highlight w:val="none"/>
          <w14:textFill>
            <w14:solidFill>
              <w14:schemeClr w14:val="tx1"/>
            </w14:solidFill>
          </w14:textFill>
        </w:rPr>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一、质疑供应商基本信息</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质疑供应商：</w:t>
      </w:r>
      <w:r>
        <w:rPr>
          <w:rFonts w:hint="eastAsia" w:eastAsia="宋体" w:cs="宋体"/>
          <w:color w:val="000000" w:themeColor="text1"/>
          <w:sz w:val="24"/>
          <w:szCs w:val="24"/>
          <w:highlight w:val="none"/>
          <w:u w:val="single"/>
          <w14:textFill>
            <w14:solidFill>
              <w14:schemeClr w14:val="tx1"/>
            </w14:solidFill>
          </w14:textFill>
        </w:rPr>
        <w:t xml:space="preserve">                    </w:t>
      </w:r>
      <w:r>
        <w:rPr>
          <w:rFonts w:hint="eastAsia" w:eastAsia="宋体" w:cs="宋体"/>
          <w:color w:val="000000" w:themeColor="text1"/>
          <w:sz w:val="24"/>
          <w:szCs w:val="24"/>
          <w:highlight w:val="none"/>
          <w:u w:val="single"/>
          <w14:textFill>
            <w14:solidFill>
              <w14:schemeClr w14:val="tx1"/>
            </w14:solidFill>
          </w14:textFill>
        </w:rPr>
        <w:tab/>
      </w:r>
      <w:r>
        <w:rPr>
          <w:rFonts w:hint="eastAsia" w:eastAsia="宋体" w:cs="宋体"/>
          <w:color w:val="000000" w:themeColor="text1"/>
          <w:sz w:val="24"/>
          <w:szCs w:val="24"/>
          <w:highlight w:val="none"/>
          <w:u w:val="single"/>
          <w14:textFill>
            <w14:solidFill>
              <w14:schemeClr w14:val="tx1"/>
            </w14:solidFill>
          </w14:textFill>
        </w:rPr>
        <w:t xml:space="preserve"> </w:t>
      </w:r>
      <w:r>
        <w:rPr>
          <w:rFonts w:hint="eastAsia" w:eastAsia="宋体" w:cs="宋体"/>
          <w:color w:val="000000" w:themeColor="text1"/>
          <w:sz w:val="24"/>
          <w:szCs w:val="24"/>
          <w:highlight w:val="none"/>
          <w:u w:val="single"/>
          <w14:textFill>
            <w14:solidFill>
              <w14:schemeClr w14:val="tx1"/>
            </w14:solidFill>
          </w14:textFill>
        </w:rPr>
        <w:tab/>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u w:val="singl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地　　址：</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邮　　编：</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u w:val="singl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联系人：</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联系电话：</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授权代表：</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联系电话：</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u w:val="singl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地　　址：</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邮　　编：</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二、质疑项目基本情况</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质疑项目的名称：</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u w:val="singl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质疑项目的编号：</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包　　号：</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采购人名称：</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磋商文件获取日期：</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三、质疑事项具体内容</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质疑事项1：</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事实依据：</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法律依据：</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质疑事项2</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四、与质疑事项相关的质疑请求</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请求：</w:t>
      </w:r>
      <w:r>
        <w:rPr>
          <w:rFonts w:hint="eastAsia" w:eastAsia="宋体" w:cs="宋体"/>
          <w:color w:val="000000" w:themeColor="text1"/>
          <w:sz w:val="24"/>
          <w:szCs w:val="24"/>
          <w:highlight w:val="none"/>
          <w:u w:val="single"/>
          <w14:textFill>
            <w14:solidFill>
              <w14:schemeClr w14:val="tx1"/>
            </w14:solidFill>
          </w14:textFill>
        </w:rPr>
        <w:t xml:space="preserve">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签字(签章)：                 公章：               日期：    </w:t>
      </w:r>
      <w:r/>
    </w:p>
    <w:p>
      <w:pPr>
        <w:pStyle w:val="931"/>
        <w:jc w:val="both"/>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b/>
          <w:color w:val="000000" w:themeColor="text1"/>
          <w:sz w:val="24"/>
          <w:szCs w:val="24"/>
          <w:highlight w:val="none"/>
          <w14:textFill>
            <w14:solidFill>
              <w14:schemeClr w14:val="tx1"/>
            </w14:solidFill>
          </w14:textFill>
        </w:rPr>
        <w:t xml:space="preserve">质疑函制作说明：</w:t>
      </w:r>
      <w:r/>
    </w:p>
    <w:p>
      <w:pPr>
        <w:pStyle w:val="931"/>
        <w:ind w:firstLine="480"/>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pStyle w:val="931"/>
        <w:ind w:firstLine="480"/>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31"/>
        <w:ind w:firstLine="480"/>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pStyle w:val="931"/>
        <w:ind w:firstLine="480"/>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pStyle w:val="931"/>
        <w:ind w:firstLine="480"/>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5.质疑函的质疑请求应与质疑事项相关。</w:t>
      </w:r>
      <w:r/>
    </w:p>
    <w:p>
      <w:pPr>
        <w:pStyle w:val="931"/>
        <w:ind w:firstLine="480"/>
        <w:spacing w:line="508" w:lineRule="exact"/>
        <w:rPr>
          <w:rFonts w:eastAsia="宋体" w:cs="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1121"/>
        <w:ind w:firstLine="482"/>
        <w:spacing w:line="42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sectPr>
      <w:footerReference w:type="default" r:id="rId17"/>
      <w:footerReference w:type="first" r:id="rId18"/>
      <w:footnotePr/>
      <w:endnotePr/>
      <w:type w:val="nextPage"/>
      <w:pgSz w:w="11906" w:h="16838" w:orient="portrait"/>
      <w:pgMar w:top="1440" w:right="1633" w:bottom="1440" w:left="1633" w:header="737"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仿宋_GB2312">
    <w:panose1 w:val="02010609060101010101"/>
  </w:font>
  <w:font w:name="方正黑体_GBK">
    <w:panose1 w:val="020B0503020202020204"/>
  </w:font>
  <w:font w:name="Showcard Gothic">
    <w:panose1 w:val="04020904020102020604"/>
  </w:font>
  <w:font w:name="Symbol">
    <w:panose1 w:val="05050102010706020507"/>
  </w:font>
  <w:font w:name="Wingdings">
    <w:panose1 w:val="05000000000000000000"/>
  </w:font>
  <w:font w:name="Cambria Math">
    <w:panose1 w:val="02040503050406030204"/>
  </w:font>
  <w:font w:name="方正魏碑_GBK">
    <w:panose1 w:val="020B0503020202020204"/>
  </w:font>
  <w:font w:name="Calibri Light">
    <w:panose1 w:val="020F0302020204030204"/>
  </w:font>
  <w:font w:name="等线">
    <w:panose1 w:val="02010600030101010101"/>
  </w:font>
  <w:font w:name="黑体">
    <w:panose1 w:val="02010609060101010101"/>
  </w:font>
  <w:font w:name="Segoe UI">
    <w:panose1 w:val="020B0502040204020203"/>
  </w:font>
  <w:font w:name="方正仿宋_GB2312">
    <w:panose1 w:val="020B0503020202020204"/>
  </w:font>
  <w:font w:name="Courier New">
    <w:panose1 w:val="02070309020205020404"/>
  </w:font>
  <w:font w:name="楷体_GB2312">
    <w:panose1 w:val="02010609060101010101"/>
  </w:font>
  <w:font w:name="Calibri">
    <w:panose1 w:val="020F0502020204030204"/>
  </w:font>
  <w:font w:name="Arial Unicode MS">
    <w:panose1 w:val="020B0604020202020204"/>
  </w:font>
  <w:font w:name="Segoe UI Emoji">
    <w:panose1 w:val="020B0502040204020203"/>
  </w:font>
  <w:font w:name="Arial">
    <w:panose1 w:val="020B0604020202020204"/>
  </w:font>
  <w:font w:name="Helvetica">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w:r/>
  </w:p>
  <w:p>
    <w:pPr>
      <w:pStyle w:val="11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0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w:r/>
  </w:p>
  <w:p>
    <w:pPr>
      <w:pStyle w:val="11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04"/>
                            <w:tabs>
                              <w:tab w:val="clear" w:pos="4153" w:leader="none"/>
                              <w:tab w:val="clear" w:pos="8306" w:leader="none"/>
                            </w:tabs>
                          </w:pPr>
                          <w:r>
                            <w:rPr>
                              <w:rFonts w:hint="eastAsia"/>
                            </w:rPr>
                            <w:t xml:space="preserve">1</w:t>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rPr>
                        <w:rFonts w:hint="eastAsia"/>
                      </w:rPr>
                      <w:t xml:space="preserve">1</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2565" cy="302260"/>
              <wp:effectExtent l="6350" t="6350" r="6350" b="6350"/>
              <wp:wrapNone/>
              <wp:docPr id="3" name="矩形 3"/>
              <wp:cNvGraphicFramePr/>
              <a:graphic xmlns:a="http://schemas.openxmlformats.org/drawingml/2006/main">
                <a:graphicData uri="http://schemas.microsoft.com/office/word/2010/wordprocessingShape">
                  <wps:wsp>
                    <wps:cNvPr id="0" name=""/>
                    <wps:cNvSpPr/>
                    <wps:spPr bwMode="auto">
                      <a:xfrm>
                        <a:off x="0" y="0"/>
                        <a:ext cx="202515" cy="302307"/>
                      </a:xfrm>
                      <a:prstGeom prst="rect">
                        <a:avLst/>
                      </a:prstGeom>
                      <a:noFill/>
                      <a:ln>
                        <a:noFill/>
                      </a:ln>
                    </wps:spPr>
                    <wps:txbx>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5.9pt;height:23.8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110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600"/>
      <w:spacing w:line="400" w:lineRule="exact"/>
    </w:pPr>
    <w:r>
      <w:rPr>
        <w:rFonts w:hint="eastAsia"/>
      </w:rPr>
      <w:tab/>
    </w: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JSZC-320900-JZCG-C2026-0032</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JSZC-320900-JZCG-C2026-0032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1069"/>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5">
    <w:multiLevelType w:val="hybridMultilevel"/>
    <w:lvl w:ilvl="0">
      <w:start w:val="1"/>
      <w:numFmt w:val="chineseCounting"/>
      <w:isLgl w:val="false"/>
      <w:suff w:val="nothing"/>
      <w:lvlText w:val="%1、"/>
      <w:lvlJc w:val="left"/>
      <w:pPr/>
      <w:rPr>
        <w:rFonts w:hint="default"/>
        <w:u w:val="none"/>
      </w:rPr>
    </w:lvl>
    <w:lvl w:ilvl="1">
      <w:start w:val="1"/>
      <w:numFmt w:val="decimal"/>
      <w:isLgl w:val="false"/>
      <w:suff w:val="nothing"/>
      <w:lvlText w:val="%2．"/>
      <w:lvlJc w:val="left"/>
      <w:pPr/>
      <w:rPr>
        <w:rFonts w:hint="default"/>
        <w:u w:val="none"/>
      </w:rPr>
    </w:lvl>
    <w:lvl w:ilvl="2">
      <w:start w:val="1"/>
      <w:numFmt w:val="decimal"/>
      <w:isLgl w:val="false"/>
      <w:suff w:val="nothing"/>
      <w:lvlText w:val="（%3）"/>
      <w:lvlJc w:val="left"/>
      <w:pPr/>
      <w:rPr>
        <w:rFonts w:hint="default"/>
        <w:u w:val="none"/>
      </w:rPr>
    </w:lvl>
    <w:lvl w:ilvl="3">
      <w:start w:val="1"/>
      <w:numFmt w:val="decimalEnclosedCircleChinese"/>
      <w:isLgl w:val="false"/>
      <w:suff w:val="nothing"/>
      <w:lvlText w:val="%4"/>
      <w:lvlJc w:val="left"/>
      <w:pPr/>
      <w:rPr>
        <w:rFonts w:hint="default"/>
        <w:u w:val="none"/>
      </w:rPr>
    </w:lvl>
    <w:lvl w:ilvl="4">
      <w:start w:val="1"/>
      <w:numFmt w:val="decimal"/>
      <w:pStyle w:val="1207"/>
      <w:isLgl w:val="false"/>
      <w:suff w:val="nothing"/>
      <w:lvlText w:val="%5）"/>
      <w:lvlJc w:val="left"/>
      <w:pPr/>
      <w:rPr>
        <w:rFonts w:hint="default"/>
        <w:u w:val="none"/>
      </w:rPr>
    </w:lvl>
    <w:lvl w:ilvl="5">
      <w:start w:val="1"/>
      <w:numFmt w:val="lowerLetter"/>
      <w:isLgl w:val="false"/>
      <w:suff w:val="nothing"/>
      <w:lvlText w:val="%6．"/>
      <w:lvlJc w:val="left"/>
      <w:pPr/>
      <w:rPr>
        <w:rFonts w:hint="default"/>
        <w:u w:val="none"/>
      </w:rPr>
    </w:lvl>
    <w:lvl w:ilvl="6">
      <w:start w:val="1"/>
      <w:numFmt w:val="lowerLetter"/>
      <w:isLgl w:val="false"/>
      <w:suff w:val="nothing"/>
      <w:lvlText w:val="%7）"/>
      <w:lvlJc w:val="left"/>
      <w:pPr/>
      <w:rPr>
        <w:rFonts w:hint="default"/>
        <w:u w:val="none"/>
      </w:rPr>
    </w:lvl>
    <w:lvl w:ilvl="7">
      <w:start w:val="1"/>
      <w:numFmt w:val="lowerRoman"/>
      <w:isLgl w:val="false"/>
      <w:suff w:val="nothing"/>
      <w:lvlText w:val="%8．"/>
      <w:lvlJc w:val="left"/>
      <w:pPr/>
      <w:rPr>
        <w:rFonts w:hint="default"/>
        <w:u w:val="none"/>
      </w:rPr>
    </w:lvl>
    <w:lvl w:ilvl="8">
      <w:start w:val="1"/>
      <w:numFmt w:val="lowerRoman"/>
      <w:isLgl w:val="false"/>
      <w:suff w:val="nothing"/>
      <w:lvlText w:val="%9）"/>
      <w:lvlJc w:val="left"/>
      <w:pPr/>
      <w:rPr>
        <w:rFonts w:hint="default"/>
        <w:u w:val="none"/>
      </w:rPr>
    </w:lvl>
  </w:abstractNum>
  <w:abstractNum w:abstractNumId="6">
    <w:multiLevelType w:val="hybridMultilevel"/>
    <w:lvl w:ilvl="0">
      <w:start w:val="1"/>
      <w:numFmt w:val="decimal"/>
      <w:isLgl w:val="false"/>
      <w:suff w:val="tab"/>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num w:numId="1">
    <w:abstractNumId w:val="2"/>
  </w:num>
  <w:num w:numId="2">
    <w:abstractNumId w:val="5"/>
  </w:num>
  <w:num w:numId="3">
    <w:abstractNumId w:val="1"/>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name w:val="No Spacing"/>
    <w:uiPriority w:val="1"/>
    <w:qFormat/>
    <w:pPr>
      <w:spacing w:before="0" w:after="0" w:line="240" w:lineRule="auto"/>
    </w:pPr>
  </w:style>
  <w:style w:type="paragraph" w:styleId="874">
    <w:name w:val="Quote"/>
    <w:basedOn w:val="896"/>
    <w:next w:val="896"/>
    <w:link w:val="1171"/>
    <w:uiPriority w:val="29"/>
    <w:qFormat/>
    <w:pPr>
      <w:ind w:left="720" w:right="720"/>
    </w:pPr>
    <w:rPr>
      <w:i/>
    </w:rPr>
  </w:style>
  <w:style w:type="paragraph" w:styleId="875">
    <w:name w:val="Intense Quote"/>
    <w:basedOn w:val="896"/>
    <w:next w:val="896"/>
    <w:link w:val="11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76">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5">
    <w:name w:val="TOC Heading"/>
    <w:uiPriority w:val="39"/>
    <w:unhideWhenUsed/>
  </w:style>
  <w:style w:type="paragraph" w:styleId="896" w:default="1">
    <w:name w:val="Normal"/>
    <w:uiPriority w:val="0"/>
    <w:qFormat/>
    <w:pPr>
      <w:jc w:val="both"/>
      <w:widowControl w:val="off"/>
    </w:pPr>
    <w:rPr>
      <w:rFonts w:ascii="Calibri" w:hAnsi="Calibri" w:eastAsia="宋体" w:cs="Arial"/>
      <w:sz w:val="21"/>
      <w:szCs w:val="24"/>
      <w:lang w:val="en-US" w:eastAsia="zh-CN" w:bidi="ar-SA"/>
    </w:rPr>
  </w:style>
  <w:style w:type="paragraph" w:styleId="897">
    <w:name w:val="Heading 1"/>
    <w:basedOn w:val="896"/>
    <w:next w:val="896"/>
    <w:uiPriority w:val="9"/>
    <w:qFormat/>
    <w:pPr>
      <w:ind w:left="432" w:firstLine="18"/>
      <w:spacing w:before="340" w:after="330" w:line="578" w:lineRule="auto"/>
      <w:outlineLvl w:val="0"/>
    </w:pPr>
  </w:style>
  <w:style w:type="paragraph" w:styleId="898">
    <w:name w:val="Heading 2"/>
    <w:basedOn w:val="896"/>
    <w:next w:val="896"/>
    <w:uiPriority w:val="9"/>
    <w:unhideWhenUsed/>
    <w:qFormat/>
    <w:pPr>
      <w:keepLines/>
      <w:keepNext/>
      <w:spacing w:before="360" w:after="200"/>
      <w:outlineLvl w:val="1"/>
    </w:pPr>
    <w:rPr>
      <w:rFonts w:ascii="Arial" w:hAnsi="Arial" w:eastAsia="Arial"/>
      <w:sz w:val="34"/>
    </w:rPr>
  </w:style>
  <w:style w:type="paragraph" w:styleId="899">
    <w:name w:val="Heading 3"/>
    <w:basedOn w:val="896"/>
    <w:next w:val="896"/>
    <w:uiPriority w:val="9"/>
    <w:unhideWhenUsed/>
    <w:qFormat/>
    <w:pPr>
      <w:keepLines/>
      <w:keepNext/>
      <w:spacing w:before="320" w:after="200"/>
      <w:outlineLvl w:val="2"/>
    </w:pPr>
    <w:rPr>
      <w:rFonts w:ascii="Arial" w:hAnsi="Arial" w:eastAsia="Arial"/>
      <w:sz w:val="30"/>
      <w:szCs w:val="30"/>
    </w:rPr>
  </w:style>
  <w:style w:type="paragraph" w:styleId="900">
    <w:name w:val="Heading 4"/>
    <w:basedOn w:val="896"/>
    <w:next w:val="896"/>
    <w:uiPriority w:val="9"/>
    <w:unhideWhenUsed/>
    <w:qFormat/>
    <w:pPr>
      <w:keepLines/>
      <w:keepNext/>
      <w:spacing w:before="320" w:after="200"/>
      <w:outlineLvl w:val="3"/>
    </w:pPr>
    <w:rPr>
      <w:rFonts w:ascii="Arial" w:hAnsi="Arial" w:eastAsia="Arial"/>
      <w:b/>
      <w:bCs/>
      <w:sz w:val="26"/>
      <w:szCs w:val="26"/>
    </w:rPr>
  </w:style>
  <w:style w:type="paragraph" w:styleId="901">
    <w:name w:val="Heading 5"/>
    <w:basedOn w:val="896"/>
    <w:next w:val="896"/>
    <w:uiPriority w:val="9"/>
    <w:unhideWhenUsed/>
    <w:qFormat/>
    <w:pPr>
      <w:keepLines/>
      <w:keepNext/>
      <w:spacing w:before="320" w:after="200"/>
      <w:outlineLvl w:val="4"/>
    </w:pPr>
    <w:rPr>
      <w:rFonts w:ascii="Arial" w:hAnsi="Arial" w:eastAsia="Arial"/>
      <w:b/>
      <w:bCs/>
      <w:sz w:val="24"/>
    </w:rPr>
  </w:style>
  <w:style w:type="paragraph" w:styleId="902">
    <w:name w:val="Heading 6"/>
    <w:basedOn w:val="896"/>
    <w:next w:val="896"/>
    <w:uiPriority w:val="9"/>
    <w:unhideWhenUsed/>
    <w:qFormat/>
    <w:pPr>
      <w:keepLines/>
      <w:keepNext/>
      <w:spacing w:before="320" w:after="200"/>
      <w:outlineLvl w:val="5"/>
    </w:pPr>
    <w:rPr>
      <w:rFonts w:ascii="Arial" w:hAnsi="Arial" w:eastAsia="Arial"/>
      <w:b/>
      <w:bCs/>
      <w:sz w:val="22"/>
      <w:szCs w:val="22"/>
    </w:rPr>
  </w:style>
  <w:style w:type="paragraph" w:styleId="903">
    <w:name w:val="Heading 7"/>
    <w:basedOn w:val="896"/>
    <w:next w:val="896"/>
    <w:uiPriority w:val="9"/>
    <w:unhideWhenUsed/>
    <w:qFormat/>
    <w:pPr>
      <w:keepLines/>
      <w:keepNext/>
      <w:spacing w:before="320" w:after="200"/>
      <w:outlineLvl w:val="6"/>
    </w:pPr>
    <w:rPr>
      <w:rFonts w:ascii="Arial" w:hAnsi="Arial" w:eastAsia="Arial"/>
      <w:b/>
      <w:bCs/>
      <w:i/>
      <w:iCs/>
      <w:sz w:val="22"/>
      <w:szCs w:val="22"/>
    </w:rPr>
  </w:style>
  <w:style w:type="paragraph" w:styleId="904">
    <w:name w:val="Heading 8"/>
    <w:basedOn w:val="896"/>
    <w:next w:val="896"/>
    <w:uiPriority w:val="9"/>
    <w:unhideWhenUsed/>
    <w:qFormat/>
    <w:pPr>
      <w:keepLines/>
      <w:keepNext/>
      <w:spacing w:before="320" w:after="200"/>
      <w:outlineLvl w:val="7"/>
    </w:pPr>
    <w:rPr>
      <w:rFonts w:ascii="Arial" w:hAnsi="Arial" w:eastAsia="Arial"/>
      <w:i/>
      <w:iCs/>
      <w:sz w:val="22"/>
      <w:szCs w:val="22"/>
    </w:rPr>
  </w:style>
  <w:style w:type="paragraph" w:styleId="905">
    <w:name w:val="Heading 9"/>
    <w:basedOn w:val="896"/>
    <w:next w:val="896"/>
    <w:uiPriority w:val="9"/>
    <w:unhideWhenUsed/>
    <w:qFormat/>
    <w:pPr>
      <w:keepLines/>
      <w:keepNext/>
      <w:spacing w:before="320" w:after="200"/>
      <w:outlineLvl w:val="8"/>
    </w:pPr>
    <w:rPr>
      <w:rFonts w:ascii="Arial" w:hAnsi="Arial" w:eastAsia="Arial"/>
      <w:i/>
      <w:iCs/>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spacing w:after="57"/>
    </w:pPr>
  </w:style>
  <w:style w:type="paragraph" w:styleId="909">
    <w:name w:val="Normal Indent"/>
    <w:basedOn w:val="896"/>
    <w:uiPriority w:val="0"/>
    <w:qFormat/>
    <w:pPr>
      <w:ind w:firstLine="420"/>
    </w:pPr>
  </w:style>
  <w:style w:type="paragraph" w:styleId="910">
    <w:name w:val="Caption"/>
    <w:basedOn w:val="896"/>
    <w:next w:val="89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911">
    <w:name w:val="annotation text"/>
    <w:basedOn w:val="896"/>
    <w:link w:val="1200"/>
    <w:uiPriority w:val="99"/>
    <w:unhideWhenUsed/>
    <w:qFormat/>
    <w:pPr>
      <w:jc w:val="left"/>
    </w:pPr>
  </w:style>
  <w:style w:type="paragraph" w:styleId="912">
    <w:name w:val="Body Text"/>
    <w:basedOn w:val="896"/>
    <w:uiPriority w:val="99"/>
    <w:unhideWhenUsed/>
    <w:qFormat/>
    <w:rPr>
      <w:rFonts w:ascii="楷体_GB2312" w:hAnsi="Arial" w:eastAsia="楷体_GB2312"/>
      <w:sz w:val="28"/>
      <w:szCs w:val="28"/>
    </w:rPr>
  </w:style>
  <w:style w:type="paragraph" w:styleId="913">
    <w:name w:val="Body Text Indent"/>
    <w:basedOn w:val="896"/>
    <w:next w:val="914"/>
    <w:uiPriority w:val="0"/>
    <w:qFormat/>
    <w:pPr>
      <w:ind w:firstLine="645"/>
    </w:pPr>
    <w:rPr>
      <w:rFonts w:ascii="楷体_GB2312" w:eastAsia="楷体_GB2312"/>
      <w:sz w:val="32"/>
      <w:szCs w:val="32"/>
    </w:rPr>
  </w:style>
  <w:style w:type="paragraph" w:styleId="914">
    <w:name w:val="envelope return"/>
    <w:basedOn w:val="896"/>
    <w:uiPriority w:val="0"/>
    <w:qFormat/>
  </w:style>
  <w:style w:type="paragraph" w:styleId="915">
    <w:name w:val="Block Text"/>
    <w:basedOn w:val="896"/>
    <w:uiPriority w:val="0"/>
    <w:qFormat/>
    <w:pPr>
      <w:ind w:left="1440" w:right="1440"/>
      <w:spacing w:after="120"/>
      <w:tabs>
        <w:tab w:val="left" w:pos="9000" w:leader="none"/>
      </w:tabs>
    </w:pPr>
  </w:style>
  <w:style w:type="paragraph" w:styleId="916">
    <w:name w:val="toc 5"/>
    <w:basedOn w:val="896"/>
    <w:next w:val="896"/>
    <w:uiPriority w:val="39"/>
    <w:unhideWhenUsed/>
    <w:qFormat/>
    <w:pPr>
      <w:ind w:left="1134"/>
      <w:spacing w:after="57"/>
    </w:pPr>
  </w:style>
  <w:style w:type="paragraph" w:styleId="917">
    <w:name w:val="toc 3"/>
    <w:basedOn w:val="896"/>
    <w:next w:val="896"/>
    <w:uiPriority w:val="39"/>
    <w:unhideWhenUsed/>
    <w:qFormat/>
    <w:pPr>
      <w:ind w:left="567"/>
      <w:spacing w:after="57"/>
    </w:pPr>
  </w:style>
  <w:style w:type="paragraph" w:styleId="918">
    <w:name w:val="Plain Text"/>
    <w:basedOn w:val="896"/>
    <w:uiPriority w:val="0"/>
    <w:qFormat/>
    <w:rPr>
      <w:rFonts w:ascii="宋体" w:hAnsi="Courier New" w:cs="Courier New"/>
      <w:szCs w:val="21"/>
    </w:rPr>
  </w:style>
  <w:style w:type="paragraph" w:styleId="919">
    <w:name w:val="toc 8"/>
    <w:basedOn w:val="896"/>
    <w:next w:val="896"/>
    <w:uiPriority w:val="39"/>
    <w:unhideWhenUsed/>
    <w:qFormat/>
    <w:pPr>
      <w:ind w:left="1984"/>
      <w:spacing w:after="57"/>
    </w:pPr>
  </w:style>
  <w:style w:type="paragraph" w:styleId="920">
    <w:name w:val="endnote text"/>
    <w:basedOn w:val="896"/>
    <w:uiPriority w:val="99"/>
    <w:unhideWhenUsed/>
    <w:qFormat/>
    <w:rPr>
      <w:sz w:val="20"/>
    </w:rPr>
  </w:style>
  <w:style w:type="paragraph" w:styleId="921">
    <w:name w:val="Footer"/>
    <w:basedOn w:val="896"/>
    <w:uiPriority w:val="99"/>
    <w:unhideWhenUsed/>
    <w:qFormat/>
    <w:pPr>
      <w:tabs>
        <w:tab w:val="center" w:pos="7143" w:leader="none"/>
        <w:tab w:val="right" w:pos="14287" w:leader="none"/>
      </w:tabs>
    </w:pPr>
  </w:style>
  <w:style w:type="paragraph" w:styleId="922">
    <w:name w:val="Header"/>
    <w:basedOn w:val="896"/>
    <w:uiPriority w:val="99"/>
    <w:unhideWhenUsed/>
    <w:qFormat/>
    <w:pPr>
      <w:tabs>
        <w:tab w:val="center" w:pos="7143" w:leader="none"/>
        <w:tab w:val="right" w:pos="14287" w:leader="none"/>
      </w:tabs>
    </w:pPr>
  </w:style>
  <w:style w:type="paragraph" w:styleId="923">
    <w:name w:val="toc 1"/>
    <w:basedOn w:val="896"/>
    <w:next w:val="896"/>
    <w:uiPriority w:val="39"/>
    <w:unhideWhenUsed/>
    <w:qFormat/>
    <w:pPr>
      <w:spacing w:after="57"/>
    </w:pPr>
  </w:style>
  <w:style w:type="paragraph" w:styleId="924">
    <w:name w:val="toc 4"/>
    <w:basedOn w:val="896"/>
    <w:next w:val="896"/>
    <w:uiPriority w:val="39"/>
    <w:unhideWhenUsed/>
    <w:qFormat/>
    <w:pPr>
      <w:ind w:left="850"/>
      <w:spacing w:after="57"/>
    </w:pPr>
  </w:style>
  <w:style w:type="paragraph" w:styleId="925">
    <w:name w:val="Subtitle"/>
    <w:basedOn w:val="896"/>
    <w:next w:val="896"/>
    <w:uiPriority w:val="11"/>
    <w:qFormat/>
    <w:pPr>
      <w:spacing w:before="200" w:after="200"/>
    </w:pPr>
    <w:rPr>
      <w:sz w:val="24"/>
    </w:rPr>
  </w:style>
  <w:style w:type="paragraph" w:styleId="926">
    <w:name w:val="footnote text"/>
    <w:basedOn w:val="896"/>
    <w:uiPriority w:val="99"/>
    <w:unhideWhenUsed/>
    <w:qFormat/>
    <w:pPr>
      <w:spacing w:after="40"/>
    </w:pPr>
    <w:rPr>
      <w:sz w:val="18"/>
    </w:rPr>
  </w:style>
  <w:style w:type="paragraph" w:styleId="927">
    <w:name w:val="toc 6"/>
    <w:basedOn w:val="896"/>
    <w:next w:val="896"/>
    <w:uiPriority w:val="39"/>
    <w:unhideWhenUsed/>
    <w:qFormat/>
    <w:pPr>
      <w:ind w:left="1417"/>
      <w:spacing w:after="57"/>
    </w:pPr>
  </w:style>
  <w:style w:type="paragraph" w:styleId="928">
    <w:name w:val="table of figures"/>
    <w:basedOn w:val="896"/>
    <w:next w:val="896"/>
    <w:uiPriority w:val="99"/>
    <w:unhideWhenUsed/>
    <w:qFormat/>
  </w:style>
  <w:style w:type="paragraph" w:styleId="929">
    <w:name w:val="toc 2"/>
    <w:basedOn w:val="896"/>
    <w:next w:val="896"/>
    <w:uiPriority w:val="39"/>
    <w:unhideWhenUsed/>
    <w:qFormat/>
    <w:pPr>
      <w:ind w:left="283"/>
      <w:spacing w:after="57"/>
    </w:pPr>
  </w:style>
  <w:style w:type="paragraph" w:styleId="930">
    <w:name w:val="toc 9"/>
    <w:basedOn w:val="896"/>
    <w:next w:val="896"/>
    <w:uiPriority w:val="39"/>
    <w:unhideWhenUsed/>
    <w:qFormat/>
    <w:pPr>
      <w:ind w:left="2268"/>
      <w:spacing w:after="57"/>
    </w:pPr>
  </w:style>
  <w:style w:type="paragraph" w:styleId="931">
    <w:name w:val="Normal (Web)"/>
    <w:basedOn w:val="896"/>
    <w:uiPriority w:val="0"/>
    <w:qFormat/>
    <w:pPr>
      <w:jc w:val="left"/>
      <w:spacing w:before="120" w:after="120" w:line="0" w:lineRule="atLeast"/>
    </w:pPr>
    <w:rPr>
      <w:rFonts w:ascii="Times New Roman" w:hAnsi="Times New Roman" w:eastAsia="方正仿宋_GB2312" w:cs="Times New Roman"/>
      <w:sz w:val="32"/>
      <w:szCs w:val="32"/>
    </w:rPr>
  </w:style>
  <w:style w:type="paragraph" w:styleId="932">
    <w:name w:val="Title"/>
    <w:basedOn w:val="896"/>
    <w:next w:val="896"/>
    <w:uiPriority w:val="10"/>
    <w:qFormat/>
    <w:pPr>
      <w:contextualSpacing/>
      <w:spacing w:before="300" w:after="200"/>
    </w:pPr>
    <w:rPr>
      <w:sz w:val="48"/>
      <w:szCs w:val="48"/>
    </w:rPr>
  </w:style>
  <w:style w:type="paragraph" w:styleId="933">
    <w:name w:val="annotation subject"/>
    <w:basedOn w:val="911"/>
    <w:next w:val="911"/>
    <w:link w:val="1201"/>
    <w:uiPriority w:val="99"/>
    <w:semiHidden/>
    <w:unhideWhenUsed/>
    <w:qFormat/>
    <w:rPr>
      <w:b/>
      <w:bCs/>
    </w:rPr>
  </w:style>
  <w:style w:type="paragraph" w:styleId="934">
    <w:name w:val="Body Text First Indent 2"/>
    <w:basedOn w:val="913"/>
    <w:next w:val="909"/>
    <w:uiPriority w:val="0"/>
    <w:qFormat/>
    <w:pPr>
      <w:ind w:firstLine="420"/>
      <w:spacing w:line="360" w:lineRule="auto"/>
    </w:pPr>
    <w:rPr>
      <w:rFonts w:ascii="宋体" w:hAnsi="宋体" w:eastAsia="宋体"/>
      <w:sz w:val="21"/>
      <w:szCs w:val="20"/>
    </w:rPr>
  </w:style>
  <w:style w:type="table" w:styleId="9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06"/>
    <w:uiPriority w:val="22"/>
    <w:qFormat/>
    <w:rPr>
      <w:b/>
    </w:rPr>
  </w:style>
  <w:style w:type="character" w:styleId="937">
    <w:name w:val="endnote reference"/>
    <w:uiPriority w:val="99"/>
    <w:unhideWhenUsed/>
    <w:qFormat/>
    <w:rPr>
      <w:vertAlign w:val="superscript"/>
    </w:rPr>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annotation reference"/>
    <w:basedOn w:val="906"/>
    <w:uiPriority w:val="99"/>
    <w:unhideWhenUsed/>
    <w:qFormat/>
    <w:rPr>
      <w:sz w:val="21"/>
      <w:szCs w:val="21"/>
    </w:rPr>
  </w:style>
  <w:style w:type="character" w:styleId="940">
    <w:name w:val="footnote reference"/>
    <w:uiPriority w:val="99"/>
    <w:unhideWhenUsed/>
    <w:qFormat/>
    <w:rPr>
      <w:vertAlign w:val="superscript"/>
    </w:rPr>
  </w:style>
  <w:style w:type="paragraph" w:styleId="941" w:customStyle="1">
    <w:name w:val="正文文本11"/>
    <w:basedOn w:val="896"/>
    <w:next w:val="896"/>
    <w:link w:val="1078"/>
    <w:uiPriority w:val="0"/>
    <w:qFormat/>
    <w:rPr>
      <w:rFonts w:ascii="Times New Roman" w:hAnsi="Times New Roman" w:cs="Times New Roman"/>
      <w:szCs w:val="20"/>
    </w:rPr>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67" w:customStyle="1">
    <w:name w:val="标题 111"/>
    <w:basedOn w:val="896"/>
    <w:next w:val="896"/>
    <w:link w:val="1079"/>
    <w:uiPriority w:val="9"/>
    <w:qFormat/>
    <w:pPr>
      <w:keepLines/>
      <w:keepNext/>
      <w:spacing w:before="340" w:after="330" w:line="578" w:lineRule="auto"/>
      <w:outlineLvl w:val="0"/>
    </w:pPr>
    <w:rPr>
      <w:b/>
      <w:bCs/>
      <w:sz w:val="44"/>
      <w:szCs w:val="44"/>
    </w:rPr>
  </w:style>
  <w:style w:type="paragraph" w:styleId="1068" w:customStyle="1">
    <w:name w:val="标题 211"/>
    <w:basedOn w:val="896"/>
    <w:next w:val="896"/>
    <w:uiPriority w:val="0"/>
    <w:qFormat/>
    <w:pPr>
      <w:jc w:val="left"/>
      <w:spacing w:beforeAutospacing="1" w:afterAutospacing="1"/>
      <w:outlineLvl w:val="1"/>
    </w:pPr>
    <w:rPr>
      <w:rFonts w:hint="eastAsia" w:ascii="宋体" w:hAnsi="宋体" w:cs="Arial Unicode MS"/>
      <w:b/>
      <w:bCs/>
      <w:sz w:val="36"/>
      <w:szCs w:val="36"/>
    </w:rPr>
  </w:style>
  <w:style w:type="paragraph" w:styleId="1069" w:customStyle="1">
    <w:name w:val="标题 311"/>
    <w:basedOn w:val="896"/>
    <w:next w:val="896"/>
    <w:uiPriority w:val="0"/>
    <w:qFormat/>
    <w:pPr>
      <w:numPr>
        <w:ilvl w:val="2"/>
        <w:numId w:val="1"/>
      </w:numPr>
      <w:ind w:firstLine="0"/>
      <w:keepLines/>
      <w:keepNext/>
      <w:spacing w:before="260" w:after="260" w:line="415" w:lineRule="auto"/>
      <w:tabs>
        <w:tab w:val="left" w:pos="360" w:leader="none"/>
      </w:tabs>
      <w:outlineLvl w:val="2"/>
    </w:pPr>
    <w:rPr>
      <w:rFonts w:ascii="黑体" w:hAnsi="黑体" w:eastAsia="黑体" w:cs="黑体"/>
      <w:b/>
      <w:bCs/>
      <w:sz w:val="28"/>
      <w:szCs w:val="28"/>
    </w:rPr>
  </w:style>
  <w:style w:type="paragraph" w:styleId="1070" w:customStyle="1">
    <w:name w:val="标题 411"/>
    <w:basedOn w:val="896"/>
    <w:next w:val="896"/>
    <w:uiPriority w:val="9"/>
    <w:qFormat/>
    <w:pPr>
      <w:keepLines/>
      <w:keepNext/>
      <w:spacing w:before="320" w:after="200"/>
      <w:outlineLvl w:val="3"/>
    </w:pPr>
    <w:rPr>
      <w:rFonts w:ascii="Arial" w:hAnsi="Arial" w:eastAsia="Arial"/>
      <w:b/>
      <w:bCs/>
      <w:sz w:val="26"/>
      <w:szCs w:val="26"/>
    </w:rPr>
  </w:style>
  <w:style w:type="paragraph" w:styleId="1071" w:customStyle="1">
    <w:name w:val="标题 511"/>
    <w:basedOn w:val="896"/>
    <w:next w:val="896"/>
    <w:uiPriority w:val="9"/>
    <w:qFormat/>
    <w:pPr>
      <w:keepLines/>
      <w:keepNext/>
      <w:spacing w:before="320" w:after="200"/>
      <w:outlineLvl w:val="4"/>
    </w:pPr>
    <w:rPr>
      <w:rFonts w:ascii="Arial" w:hAnsi="Arial" w:eastAsia="Arial"/>
      <w:b/>
      <w:bCs/>
      <w:sz w:val="24"/>
    </w:rPr>
  </w:style>
  <w:style w:type="paragraph" w:styleId="1072" w:customStyle="1">
    <w:name w:val="标题 611"/>
    <w:basedOn w:val="896"/>
    <w:next w:val="896"/>
    <w:uiPriority w:val="9"/>
    <w:qFormat/>
    <w:pPr>
      <w:keepLines/>
      <w:keepNext/>
      <w:spacing w:before="320" w:after="200"/>
      <w:outlineLvl w:val="5"/>
    </w:pPr>
    <w:rPr>
      <w:rFonts w:ascii="Arial" w:hAnsi="Arial" w:eastAsia="Arial"/>
      <w:b/>
      <w:bCs/>
      <w:sz w:val="22"/>
      <w:szCs w:val="22"/>
    </w:rPr>
  </w:style>
  <w:style w:type="paragraph" w:styleId="1073" w:customStyle="1">
    <w:name w:val="标题 711"/>
    <w:basedOn w:val="896"/>
    <w:next w:val="896"/>
    <w:uiPriority w:val="9"/>
    <w:qFormat/>
    <w:pPr>
      <w:keepLines/>
      <w:keepNext/>
      <w:spacing w:before="320" w:after="200"/>
      <w:outlineLvl w:val="6"/>
    </w:pPr>
    <w:rPr>
      <w:rFonts w:ascii="Arial" w:hAnsi="Arial" w:eastAsia="Arial"/>
      <w:b/>
      <w:bCs/>
      <w:i/>
      <w:iCs/>
      <w:sz w:val="22"/>
      <w:szCs w:val="22"/>
    </w:rPr>
  </w:style>
  <w:style w:type="paragraph" w:styleId="1074" w:customStyle="1">
    <w:name w:val="标题 811"/>
    <w:basedOn w:val="896"/>
    <w:next w:val="896"/>
    <w:uiPriority w:val="9"/>
    <w:qFormat/>
    <w:pPr>
      <w:keepLines/>
      <w:keepNext/>
      <w:spacing w:before="320" w:after="200"/>
      <w:outlineLvl w:val="7"/>
    </w:pPr>
    <w:rPr>
      <w:rFonts w:ascii="Arial" w:hAnsi="Arial" w:eastAsia="Arial"/>
      <w:i/>
      <w:iCs/>
      <w:sz w:val="22"/>
      <w:szCs w:val="22"/>
    </w:rPr>
  </w:style>
  <w:style w:type="paragraph" w:styleId="1075" w:customStyle="1">
    <w:name w:val="标题 911"/>
    <w:basedOn w:val="896"/>
    <w:next w:val="896"/>
    <w:uiPriority w:val="9"/>
    <w:qFormat/>
    <w:pPr>
      <w:keepLines/>
      <w:keepNext/>
      <w:spacing w:before="320" w:after="200"/>
      <w:outlineLvl w:val="8"/>
    </w:pPr>
    <w:rPr>
      <w:rFonts w:ascii="Arial" w:hAnsi="Arial" w:eastAsia="Arial"/>
      <w:i/>
      <w:iCs/>
      <w:szCs w:val="21"/>
    </w:rPr>
  </w:style>
  <w:style w:type="character" w:styleId="1076" w:customStyle="1">
    <w:name w:val="默认段落字体1"/>
    <w:uiPriority w:val="1"/>
    <w:unhideWhenUsed/>
    <w:qFormat/>
  </w:style>
  <w:style w:type="table" w:styleId="1077" w:customStyle="1">
    <w:name w:val="普通表格1"/>
    <w:uiPriority w:val="99"/>
    <w:unhideWhenUsed/>
    <w:qFormat/>
    <w:tblPr>
      <w:tblCellMar>
        <w:left w:w="0" w:type="dxa"/>
        <w:top w:w="0" w:type="dxa"/>
        <w:right w:w="0" w:type="dxa"/>
        <w:bottom w:w="0" w:type="dxa"/>
      </w:tblCellMar>
    </w:tblPr>
  </w:style>
  <w:style w:type="character" w:styleId="1078" w:customStyle="1">
    <w:name w:val="正文文本 字符"/>
    <w:link w:val="941"/>
    <w:uiPriority w:val="0"/>
    <w:qFormat/>
    <w:rPr>
      <w:sz w:val="21"/>
    </w:rPr>
  </w:style>
  <w:style w:type="character" w:styleId="1079" w:customStyle="1">
    <w:name w:val="标题 1 字符"/>
    <w:link w:val="1067"/>
    <w:uiPriority w:val="9"/>
    <w:qFormat/>
    <w:rPr>
      <w:rFonts w:ascii="Calibri" w:hAnsi="Calibri" w:eastAsia="宋体" w:cs="Arial"/>
      <w:b/>
      <w:bCs/>
      <w:sz w:val="44"/>
      <w:szCs w:val="44"/>
    </w:rPr>
  </w:style>
  <w:style w:type="paragraph" w:styleId="1080" w:customStyle="1">
    <w:name w:val="目录 71"/>
    <w:basedOn w:val="896"/>
    <w:next w:val="896"/>
    <w:uiPriority w:val="39"/>
    <w:unhideWhenUsed/>
    <w:qFormat/>
    <w:pPr>
      <w:ind w:left="1701"/>
      <w:spacing w:after="57"/>
    </w:pPr>
  </w:style>
  <w:style w:type="paragraph" w:styleId="1081" w:customStyle="1">
    <w:name w:val="正文缩进1"/>
    <w:basedOn w:val="896"/>
    <w:link w:val="1082"/>
    <w:uiPriority w:val="0"/>
    <w:qFormat/>
    <w:pPr>
      <w:ind w:firstLine="420"/>
      <w:jc w:val="left"/>
    </w:pPr>
    <w:rPr>
      <w:rFonts w:ascii="Times New Roman" w:hAnsi="Times New Roman" w:eastAsia="楷体_GB2312" w:cs="Times New Roman"/>
      <w:sz w:val="24"/>
      <w:szCs w:val="20"/>
    </w:rPr>
  </w:style>
  <w:style w:type="character" w:styleId="1082" w:customStyle="1">
    <w:name w:val="正文缩进 字符"/>
    <w:link w:val="1081"/>
    <w:uiPriority w:val="0"/>
    <w:qFormat/>
    <w:rPr>
      <w:rFonts w:eastAsia="楷体_GB2312"/>
      <w:sz w:val="24"/>
    </w:rPr>
  </w:style>
  <w:style w:type="paragraph" w:styleId="1083" w:customStyle="1">
    <w:name w:val="题注11"/>
    <w:basedOn w:val="896"/>
    <w:next w:val="896"/>
    <w:uiPriority w:val="35"/>
    <w:qFormat/>
    <w:pPr>
      <w:spacing w:line="276" w:lineRule="auto"/>
    </w:pPr>
    <w:rPr>
      <w:b/>
      <w:bCs/>
      <w:color w:val="5b9bd5"/>
      <w:sz w:val="18"/>
      <w:szCs w:val="18"/>
    </w:rPr>
  </w:style>
  <w:style w:type="paragraph" w:styleId="1084" w:customStyle="1">
    <w:name w:val="文档结构图1"/>
    <w:basedOn w:val="896"/>
    <w:link w:val="1085"/>
    <w:uiPriority w:val="99"/>
    <w:unhideWhenUsed/>
    <w:qFormat/>
    <w:rPr>
      <w:rFonts w:ascii="宋体"/>
      <w:sz w:val="18"/>
      <w:szCs w:val="18"/>
    </w:rPr>
  </w:style>
  <w:style w:type="character" w:styleId="1085" w:customStyle="1">
    <w:name w:val="文档结构图 字符"/>
    <w:link w:val="1084"/>
    <w:uiPriority w:val="99"/>
    <w:semiHidden/>
    <w:qFormat/>
    <w:rPr>
      <w:rFonts w:ascii="宋体" w:hAnsi="Calibri" w:cs="Arial"/>
      <w:sz w:val="18"/>
      <w:szCs w:val="18"/>
    </w:rPr>
  </w:style>
  <w:style w:type="paragraph" w:styleId="1086" w:customStyle="1">
    <w:name w:val="批注文字1"/>
    <w:basedOn w:val="896"/>
    <w:link w:val="1087"/>
    <w:uiPriority w:val="0"/>
    <w:qFormat/>
    <w:pPr>
      <w:jc w:val="left"/>
    </w:pPr>
  </w:style>
  <w:style w:type="character" w:styleId="1087" w:customStyle="1">
    <w:name w:val="批注文字 字符"/>
    <w:link w:val="1086"/>
    <w:uiPriority w:val="99"/>
    <w:qFormat/>
    <w:rPr>
      <w:rFonts w:ascii="Calibri" w:hAnsi="Calibri" w:eastAsia="宋体" w:cs="Arial"/>
      <w:sz w:val="21"/>
      <w:szCs w:val="24"/>
    </w:rPr>
  </w:style>
  <w:style w:type="paragraph" w:styleId="1088" w:customStyle="1">
    <w:name w:val="正文文本缩进1"/>
    <w:basedOn w:val="896"/>
    <w:link w:val="1089"/>
    <w:uiPriority w:val="0"/>
    <w:qFormat/>
    <w:pPr>
      <w:ind w:left="420"/>
      <w:spacing w:after="120"/>
    </w:pPr>
  </w:style>
  <w:style w:type="character" w:styleId="1089" w:customStyle="1">
    <w:name w:val="正文文本缩进 字符"/>
    <w:link w:val="1088"/>
    <w:uiPriority w:val="0"/>
    <w:qFormat/>
    <w:rPr>
      <w:rFonts w:ascii="Calibri" w:hAnsi="Calibri" w:eastAsia="宋体" w:cs="Arial"/>
      <w:sz w:val="21"/>
      <w:szCs w:val="24"/>
    </w:rPr>
  </w:style>
  <w:style w:type="paragraph" w:styleId="1090" w:customStyle="1">
    <w:name w:val="索引 41"/>
    <w:basedOn w:val="896"/>
    <w:next w:val="896"/>
    <w:uiPriority w:val="99"/>
    <w:unhideWhenUsed/>
    <w:qFormat/>
    <w:rPr>
      <w:sz w:val="24"/>
    </w:rPr>
  </w:style>
  <w:style w:type="paragraph" w:styleId="1091" w:customStyle="1">
    <w:name w:val="目录 51"/>
    <w:basedOn w:val="896"/>
    <w:next w:val="896"/>
    <w:uiPriority w:val="39"/>
    <w:unhideWhenUsed/>
    <w:qFormat/>
    <w:pPr>
      <w:ind w:left="1134"/>
      <w:spacing w:after="57"/>
    </w:pPr>
  </w:style>
  <w:style w:type="paragraph" w:styleId="1092" w:customStyle="1">
    <w:name w:val="目录 31"/>
    <w:basedOn w:val="896"/>
    <w:next w:val="896"/>
    <w:uiPriority w:val="39"/>
    <w:unhideWhenUsed/>
    <w:qFormat/>
    <w:pPr>
      <w:ind w:left="567"/>
      <w:spacing w:after="57"/>
    </w:pPr>
  </w:style>
  <w:style w:type="paragraph" w:styleId="1093" w:customStyle="1">
    <w:name w:val="纯文本1"/>
    <w:basedOn w:val="896"/>
    <w:link w:val="1094"/>
    <w:uiPriority w:val="0"/>
    <w:qFormat/>
    <w:rPr>
      <w:rFonts w:ascii="宋体" w:hAnsi="Courier New" w:cs="Courier New"/>
      <w:szCs w:val="21"/>
    </w:rPr>
  </w:style>
  <w:style w:type="character" w:styleId="1094" w:customStyle="1">
    <w:name w:val="纯文本 字符"/>
    <w:link w:val="1093"/>
    <w:uiPriority w:val="0"/>
    <w:qFormat/>
    <w:rPr>
      <w:rFonts w:ascii="宋体" w:hAnsi="Courier New" w:cs="Courier New"/>
      <w:sz w:val="21"/>
      <w:szCs w:val="21"/>
    </w:rPr>
  </w:style>
  <w:style w:type="paragraph" w:styleId="1095" w:customStyle="1">
    <w:name w:val="目录 81"/>
    <w:basedOn w:val="896"/>
    <w:next w:val="896"/>
    <w:uiPriority w:val="39"/>
    <w:unhideWhenUsed/>
    <w:qFormat/>
    <w:pPr>
      <w:ind w:left="1984"/>
      <w:spacing w:after="57"/>
    </w:pPr>
  </w:style>
  <w:style w:type="paragraph" w:styleId="1096" w:customStyle="1">
    <w:name w:val="日期1"/>
    <w:basedOn w:val="896"/>
    <w:next w:val="896"/>
    <w:link w:val="1097"/>
    <w:uiPriority w:val="0"/>
    <w:qFormat/>
    <w:pPr>
      <w:ind w:left="100"/>
    </w:pPr>
  </w:style>
  <w:style w:type="character" w:styleId="1097" w:customStyle="1">
    <w:name w:val="日期 字符"/>
    <w:link w:val="1096"/>
    <w:uiPriority w:val="0"/>
    <w:qFormat/>
    <w:rPr>
      <w:rFonts w:ascii="Calibri" w:hAnsi="Calibri" w:eastAsia="宋体" w:cs="Arial"/>
      <w:sz w:val="21"/>
      <w:szCs w:val="24"/>
    </w:rPr>
  </w:style>
  <w:style w:type="paragraph" w:styleId="1098" w:customStyle="1">
    <w:name w:val="正文文本缩进 21"/>
    <w:basedOn w:val="896"/>
    <w:next w:val="896"/>
    <w:link w:val="1099"/>
    <w:uiPriority w:val="0"/>
    <w:qFormat/>
    <w:pPr>
      <w:ind w:left="420"/>
      <w:spacing w:after="120" w:line="480" w:lineRule="auto"/>
    </w:pPr>
  </w:style>
  <w:style w:type="character" w:styleId="1099" w:customStyle="1">
    <w:name w:val="正文文本缩进 2 字符"/>
    <w:link w:val="1098"/>
    <w:uiPriority w:val="0"/>
    <w:qFormat/>
    <w:rPr>
      <w:rFonts w:ascii="Calibri" w:hAnsi="Calibri" w:eastAsia="宋体" w:cs="Arial"/>
      <w:sz w:val="21"/>
      <w:szCs w:val="24"/>
    </w:rPr>
  </w:style>
  <w:style w:type="paragraph" w:styleId="1100" w:customStyle="1">
    <w:name w:val="尾注文本1"/>
    <w:basedOn w:val="896"/>
    <w:link w:val="1101"/>
    <w:uiPriority w:val="99"/>
    <w:unhideWhenUsed/>
    <w:qFormat/>
    <w:rPr>
      <w:sz w:val="20"/>
    </w:rPr>
  </w:style>
  <w:style w:type="character" w:styleId="1101" w:customStyle="1">
    <w:name w:val="尾注文本 字符"/>
    <w:link w:val="1100"/>
    <w:uiPriority w:val="99"/>
    <w:qFormat/>
    <w:rPr>
      <w:sz w:val="20"/>
    </w:rPr>
  </w:style>
  <w:style w:type="paragraph" w:styleId="1102" w:customStyle="1">
    <w:name w:val="批注框文本1"/>
    <w:basedOn w:val="896"/>
    <w:link w:val="1103"/>
    <w:uiPriority w:val="0"/>
    <w:qFormat/>
    <w:rPr>
      <w:sz w:val="18"/>
      <w:szCs w:val="18"/>
    </w:rPr>
  </w:style>
  <w:style w:type="character" w:styleId="1103" w:customStyle="1">
    <w:name w:val="批注框文本 字符"/>
    <w:link w:val="1102"/>
    <w:uiPriority w:val="0"/>
    <w:qFormat/>
    <w:rPr>
      <w:rFonts w:ascii="Calibri" w:hAnsi="Calibri" w:eastAsia="宋体" w:cs="Arial"/>
      <w:sz w:val="18"/>
      <w:szCs w:val="18"/>
    </w:rPr>
  </w:style>
  <w:style w:type="paragraph" w:styleId="1104" w:customStyle="1">
    <w:name w:val="页脚11"/>
    <w:basedOn w:val="896"/>
    <w:link w:val="1105"/>
    <w:uiPriority w:val="99"/>
    <w:unhideWhenUsed/>
    <w:qFormat/>
    <w:pPr>
      <w:jc w:val="left"/>
      <w:tabs>
        <w:tab w:val="center" w:pos="4153" w:leader="none"/>
        <w:tab w:val="right" w:pos="8306" w:leader="none"/>
      </w:tabs>
    </w:pPr>
    <w:rPr>
      <w:sz w:val="18"/>
      <w:szCs w:val="18"/>
    </w:rPr>
  </w:style>
  <w:style w:type="character" w:styleId="1105" w:customStyle="1">
    <w:name w:val="页脚 字符"/>
    <w:link w:val="1104"/>
    <w:uiPriority w:val="99"/>
    <w:qFormat/>
    <w:rPr>
      <w:rFonts w:ascii="Calibri" w:hAnsi="Calibri" w:eastAsia="宋体" w:cs="Arial"/>
      <w:sz w:val="18"/>
      <w:szCs w:val="18"/>
    </w:rPr>
  </w:style>
  <w:style w:type="paragraph" w:styleId="1106" w:customStyle="1">
    <w:name w:val="页眉11"/>
    <w:basedOn w:val="896"/>
    <w:link w:val="110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107" w:customStyle="1">
    <w:name w:val="页眉 字符"/>
    <w:link w:val="1106"/>
    <w:uiPriority w:val="99"/>
    <w:qFormat/>
    <w:rPr>
      <w:rFonts w:ascii="Calibri" w:hAnsi="Calibri" w:eastAsia="宋体" w:cs="Arial"/>
      <w:sz w:val="18"/>
      <w:szCs w:val="18"/>
    </w:rPr>
  </w:style>
  <w:style w:type="paragraph" w:styleId="1108" w:customStyle="1">
    <w:name w:val="目录 11"/>
    <w:basedOn w:val="896"/>
    <w:next w:val="896"/>
    <w:uiPriority w:val="39"/>
    <w:qFormat/>
    <w:pPr>
      <w:jc w:val="left"/>
      <w:spacing w:before="120" w:after="120" w:line="400" w:lineRule="exact"/>
    </w:pPr>
    <w:rPr>
      <w:rFonts w:hint="eastAsia" w:ascii="宋体" w:hAnsi="宋体" w:cs="Times New Roman"/>
      <w:caps/>
      <w:sz w:val="24"/>
    </w:rPr>
  </w:style>
  <w:style w:type="paragraph" w:styleId="1109" w:customStyle="1">
    <w:name w:val="目录 41"/>
    <w:basedOn w:val="896"/>
    <w:next w:val="896"/>
    <w:uiPriority w:val="39"/>
    <w:unhideWhenUsed/>
    <w:qFormat/>
    <w:pPr>
      <w:ind w:left="850"/>
      <w:spacing w:after="57"/>
    </w:pPr>
  </w:style>
  <w:style w:type="paragraph" w:styleId="1110" w:customStyle="1">
    <w:name w:val="副标题1"/>
    <w:basedOn w:val="896"/>
    <w:next w:val="896"/>
    <w:link w:val="1111"/>
    <w:uiPriority w:val="11"/>
    <w:qFormat/>
    <w:pPr>
      <w:spacing w:before="200" w:after="200"/>
    </w:pPr>
    <w:rPr>
      <w:sz w:val="24"/>
    </w:rPr>
  </w:style>
  <w:style w:type="character" w:styleId="1111" w:customStyle="1">
    <w:name w:val="副标题 字符"/>
    <w:link w:val="1110"/>
    <w:uiPriority w:val="11"/>
    <w:qFormat/>
    <w:rPr>
      <w:sz w:val="24"/>
      <w:szCs w:val="24"/>
    </w:rPr>
  </w:style>
  <w:style w:type="paragraph" w:styleId="1112" w:customStyle="1">
    <w:name w:val="脚注文本1"/>
    <w:basedOn w:val="896"/>
    <w:link w:val="1113"/>
    <w:uiPriority w:val="99"/>
    <w:unhideWhenUsed/>
    <w:qFormat/>
    <w:pPr>
      <w:spacing w:after="40"/>
    </w:pPr>
    <w:rPr>
      <w:sz w:val="18"/>
    </w:rPr>
  </w:style>
  <w:style w:type="character" w:styleId="1113" w:customStyle="1">
    <w:name w:val="脚注文本 字符"/>
    <w:link w:val="1112"/>
    <w:uiPriority w:val="99"/>
    <w:qFormat/>
    <w:rPr>
      <w:sz w:val="18"/>
    </w:rPr>
  </w:style>
  <w:style w:type="paragraph" w:styleId="1114" w:customStyle="1">
    <w:name w:val="目录 61"/>
    <w:basedOn w:val="896"/>
    <w:next w:val="896"/>
    <w:uiPriority w:val="39"/>
    <w:unhideWhenUsed/>
    <w:qFormat/>
    <w:pPr>
      <w:ind w:left="1417"/>
      <w:spacing w:after="57"/>
    </w:pPr>
  </w:style>
  <w:style w:type="paragraph" w:styleId="1115" w:customStyle="1">
    <w:name w:val="正文文本缩进 31"/>
    <w:basedOn w:val="896"/>
    <w:link w:val="1116"/>
    <w:uiPriority w:val="0"/>
    <w:qFormat/>
    <w:pPr>
      <w:ind w:left="420"/>
      <w:spacing w:after="120"/>
    </w:pPr>
    <w:rPr>
      <w:sz w:val="16"/>
      <w:szCs w:val="16"/>
    </w:rPr>
  </w:style>
  <w:style w:type="character" w:styleId="1116" w:customStyle="1">
    <w:name w:val="正文文本缩进 3 字符"/>
    <w:link w:val="1115"/>
    <w:uiPriority w:val="0"/>
    <w:qFormat/>
    <w:rPr>
      <w:rFonts w:ascii="Calibri" w:hAnsi="Calibri" w:eastAsia="宋体" w:cs="Arial"/>
      <w:sz w:val="16"/>
      <w:szCs w:val="16"/>
    </w:rPr>
  </w:style>
  <w:style w:type="paragraph" w:styleId="1117" w:customStyle="1">
    <w:name w:val="索引 91"/>
    <w:basedOn w:val="896"/>
    <w:next w:val="896"/>
    <w:uiPriority w:val="0"/>
    <w:qFormat/>
    <w:pPr>
      <w:ind w:left="1600"/>
    </w:pPr>
    <w:rPr>
      <w:rFonts w:ascii="Times New Roman" w:hAnsi="Times New Roman" w:cs="Times New Roman"/>
    </w:rPr>
  </w:style>
  <w:style w:type="paragraph" w:styleId="1118" w:customStyle="1">
    <w:name w:val="图表目录1"/>
    <w:basedOn w:val="896"/>
    <w:next w:val="896"/>
    <w:uiPriority w:val="99"/>
    <w:unhideWhenUsed/>
    <w:qFormat/>
  </w:style>
  <w:style w:type="paragraph" w:styleId="1119" w:customStyle="1">
    <w:name w:val="目录 21"/>
    <w:basedOn w:val="896"/>
    <w:next w:val="896"/>
    <w:uiPriority w:val="39"/>
    <w:unhideWhenUsed/>
    <w:qFormat/>
    <w:pPr>
      <w:ind w:left="283"/>
      <w:spacing w:after="57"/>
    </w:pPr>
  </w:style>
  <w:style w:type="paragraph" w:styleId="1120" w:customStyle="1">
    <w:name w:val="目录 91"/>
    <w:basedOn w:val="896"/>
    <w:next w:val="896"/>
    <w:uiPriority w:val="39"/>
    <w:unhideWhenUsed/>
    <w:qFormat/>
    <w:pPr>
      <w:ind w:left="2268"/>
      <w:spacing w:after="57"/>
    </w:pPr>
  </w:style>
  <w:style w:type="paragraph" w:styleId="1121" w:customStyle="1">
    <w:name w:val="普通(网站)12"/>
    <w:basedOn w:val="896"/>
    <w:uiPriority w:val="0"/>
    <w:qFormat/>
    <w:pPr>
      <w:jc w:val="left"/>
      <w:spacing w:before="120" w:after="120" w:line="0" w:lineRule="atLeast"/>
    </w:pPr>
    <w:rPr>
      <w:rFonts w:ascii="Times New Roman" w:hAnsi="Times New Roman" w:eastAsia="方正仿宋_GB2312" w:cs="Times New Roman"/>
      <w:sz w:val="32"/>
      <w:szCs w:val="32"/>
    </w:rPr>
  </w:style>
  <w:style w:type="paragraph" w:styleId="1122" w:customStyle="1">
    <w:name w:val="标题1"/>
    <w:basedOn w:val="896"/>
    <w:next w:val="896"/>
    <w:link w:val="1123"/>
    <w:uiPriority w:val="10"/>
    <w:qFormat/>
    <w:pPr>
      <w:contextualSpacing/>
      <w:spacing w:before="300" w:after="200"/>
    </w:pPr>
    <w:rPr>
      <w:sz w:val="48"/>
      <w:szCs w:val="48"/>
    </w:rPr>
  </w:style>
  <w:style w:type="character" w:styleId="1123" w:customStyle="1">
    <w:name w:val="标题 字符"/>
    <w:link w:val="1122"/>
    <w:uiPriority w:val="10"/>
    <w:qFormat/>
    <w:rPr>
      <w:sz w:val="48"/>
      <w:szCs w:val="48"/>
    </w:rPr>
  </w:style>
  <w:style w:type="paragraph" w:styleId="1124" w:customStyle="1">
    <w:name w:val="正文首行缩进1"/>
    <w:basedOn w:val="941"/>
    <w:uiPriority w:val="99"/>
    <w:qFormat/>
    <w:pPr>
      <w:ind w:firstLine="420"/>
    </w:pPr>
  </w:style>
  <w:style w:type="paragraph" w:styleId="1125" w:customStyle="1">
    <w:name w:val="正文首行缩进 21"/>
    <w:basedOn w:val="1088"/>
    <w:link w:val="1126"/>
    <w:uiPriority w:val="0"/>
    <w:qFormat/>
    <w:pPr>
      <w:ind w:firstLine="420"/>
    </w:pPr>
  </w:style>
  <w:style w:type="character" w:styleId="1126" w:customStyle="1">
    <w:name w:val="正文文本首行缩进 2 字符"/>
    <w:link w:val="1125"/>
    <w:uiPriority w:val="0"/>
    <w:qFormat/>
    <w:rPr>
      <w:rFonts w:ascii="Calibri" w:hAnsi="Calibri" w:eastAsia="宋体" w:cs="Arial"/>
      <w:sz w:val="21"/>
      <w:szCs w:val="24"/>
    </w:rPr>
  </w:style>
  <w:style w:type="character" w:styleId="1127" w:customStyle="1">
    <w:name w:val="要点1"/>
    <w:uiPriority w:val="22"/>
    <w:qFormat/>
    <w:rPr>
      <w:b/>
      <w:bCs/>
    </w:rPr>
  </w:style>
  <w:style w:type="character" w:styleId="1128" w:customStyle="1">
    <w:name w:val="尾注引用1"/>
    <w:uiPriority w:val="99"/>
    <w:unhideWhenUsed/>
    <w:qFormat/>
    <w:rPr>
      <w:vertAlign w:val="superscript"/>
    </w:rPr>
  </w:style>
  <w:style w:type="character" w:styleId="1129" w:customStyle="1">
    <w:name w:val="超链接1"/>
    <w:uiPriority w:val="99"/>
    <w:unhideWhenUsed/>
    <w:qFormat/>
    <w:rPr>
      <w:color w:val="0563c1"/>
      <w:u w:val="single"/>
    </w:rPr>
  </w:style>
  <w:style w:type="character" w:styleId="1130" w:customStyle="1">
    <w:name w:val="批注引用1"/>
    <w:uiPriority w:val="0"/>
    <w:qFormat/>
    <w:rPr>
      <w:sz w:val="21"/>
      <w:szCs w:val="21"/>
    </w:rPr>
  </w:style>
  <w:style w:type="character" w:styleId="1131" w:customStyle="1">
    <w:name w:val="脚注引用1"/>
    <w:uiPriority w:val="99"/>
    <w:unhideWhenUsed/>
    <w:qFormat/>
    <w:rPr>
      <w:vertAlign w:val="superscript"/>
    </w:rPr>
  </w:style>
  <w:style w:type="character" w:styleId="1132" w:customStyle="1">
    <w:name w:val="Caption Char"/>
    <w:uiPriority w:val="99"/>
    <w:qFormat/>
  </w:style>
  <w:style w:type="character" w:styleId="1133" w:customStyle="1">
    <w:name w:val="font21"/>
    <w:uiPriority w:val="0"/>
    <w:qFormat/>
    <w:rPr>
      <w:rFonts w:ascii="Calibri" w:hAnsi="Calibri" w:eastAsia="宋体" w:cs="Arial"/>
      <w:sz w:val="21"/>
      <w:szCs w:val="24"/>
      <w:lang w:val="en-US" w:eastAsia="zh-CN" w:bidi="ar-SA"/>
    </w:rPr>
  </w:style>
  <w:style w:type="character" w:styleId="1134" w:customStyle="1">
    <w:name w:val="Title Char"/>
    <w:uiPriority w:val="10"/>
    <w:qFormat/>
    <w:rPr>
      <w:sz w:val="48"/>
      <w:szCs w:val="48"/>
    </w:rPr>
  </w:style>
  <w:style w:type="character" w:styleId="1135" w:customStyle="1">
    <w:name w:val="明显引用 字符"/>
    <w:link w:val="1136"/>
    <w:uiPriority w:val="30"/>
    <w:qFormat/>
    <w:rPr>
      <w:i/>
    </w:rPr>
  </w:style>
  <w:style w:type="paragraph" w:styleId="1136" w:customStyle="1">
    <w:name w:val="明显引用1"/>
    <w:basedOn w:val="896"/>
    <w:next w:val="896"/>
    <w:link w:val="11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7" w:customStyle="1">
    <w:name w:val="Heading 2 Char"/>
    <w:link w:val="1138"/>
    <w:uiPriority w:val="9"/>
    <w:qFormat/>
    <w:rPr>
      <w:rFonts w:ascii="Arial" w:hAnsi="Arial" w:eastAsia="Arial" w:cs="Arial"/>
      <w:sz w:val="34"/>
    </w:rPr>
  </w:style>
  <w:style w:type="paragraph" w:styleId="1138" w:customStyle="1">
    <w:name w:val="标题 21"/>
    <w:basedOn w:val="896"/>
    <w:next w:val="896"/>
    <w:link w:val="1137"/>
    <w:uiPriority w:val="0"/>
    <w:unhideWhenUsed/>
    <w:qFormat/>
    <w:pPr>
      <w:jc w:val="left"/>
      <w:spacing w:beforeAutospacing="1" w:afterAutospacing="1"/>
      <w:outlineLvl w:val="1"/>
    </w:pPr>
    <w:rPr>
      <w:rFonts w:hint="eastAsia" w:ascii="宋体" w:hAnsi="宋体" w:cs="Times New Roman"/>
      <w:b/>
      <w:bCs/>
      <w:sz w:val="36"/>
      <w:szCs w:val="36"/>
    </w:rPr>
  </w:style>
  <w:style w:type="character" w:styleId="1139" w:customStyle="1">
    <w:name w:val="Heading 6 Char"/>
    <w:link w:val="1140"/>
    <w:uiPriority w:val="9"/>
    <w:qFormat/>
    <w:rPr>
      <w:rFonts w:ascii="Arial" w:hAnsi="Arial" w:eastAsia="Arial" w:cs="Arial"/>
      <w:b/>
      <w:bCs/>
      <w:sz w:val="22"/>
      <w:szCs w:val="22"/>
    </w:rPr>
  </w:style>
  <w:style w:type="paragraph" w:styleId="1140" w:customStyle="1">
    <w:name w:val="标题 61"/>
    <w:basedOn w:val="896"/>
    <w:next w:val="896"/>
    <w:link w:val="1139"/>
    <w:uiPriority w:val="9"/>
    <w:unhideWhenUsed/>
    <w:qFormat/>
    <w:pPr>
      <w:keepLines/>
      <w:keepNext/>
      <w:spacing w:before="320" w:after="200"/>
      <w:outlineLvl w:val="5"/>
    </w:pPr>
    <w:rPr>
      <w:rFonts w:ascii="Arial" w:hAnsi="Arial" w:eastAsia="Arial"/>
      <w:b/>
      <w:bCs/>
      <w:sz w:val="22"/>
      <w:szCs w:val="22"/>
    </w:rPr>
  </w:style>
  <w:style w:type="character" w:styleId="1141" w:customStyle="1">
    <w:name w:val="Header Char"/>
    <w:basedOn w:val="1076"/>
    <w:uiPriority w:val="99"/>
    <w:qFormat/>
  </w:style>
  <w:style w:type="character" w:styleId="1142" w:customStyle="1">
    <w:name w:val="Heading 8 Char"/>
    <w:link w:val="1143"/>
    <w:uiPriority w:val="9"/>
    <w:qFormat/>
    <w:rPr>
      <w:rFonts w:ascii="Arial" w:hAnsi="Arial" w:eastAsia="Arial" w:cs="Arial"/>
      <w:i/>
      <w:iCs/>
      <w:sz w:val="22"/>
      <w:szCs w:val="22"/>
    </w:rPr>
  </w:style>
  <w:style w:type="paragraph" w:styleId="1143" w:customStyle="1">
    <w:name w:val="标题 81"/>
    <w:basedOn w:val="896"/>
    <w:next w:val="896"/>
    <w:link w:val="1142"/>
    <w:uiPriority w:val="9"/>
    <w:unhideWhenUsed/>
    <w:qFormat/>
    <w:pPr>
      <w:keepLines/>
      <w:keepNext/>
      <w:spacing w:before="320" w:after="200"/>
      <w:outlineLvl w:val="7"/>
    </w:pPr>
    <w:rPr>
      <w:rFonts w:ascii="Arial" w:hAnsi="Arial" w:eastAsia="Arial"/>
      <w:i/>
      <w:iCs/>
      <w:sz w:val="22"/>
      <w:szCs w:val="22"/>
    </w:rPr>
  </w:style>
  <w:style w:type="character" w:styleId="1144" w:customStyle="1">
    <w:name w:val="Footer Char"/>
    <w:basedOn w:val="1076"/>
    <w:uiPriority w:val="99"/>
    <w:qFormat/>
  </w:style>
  <w:style w:type="character" w:styleId="1145" w:customStyle="1">
    <w:name w:val="引用 字符"/>
    <w:link w:val="1146"/>
    <w:uiPriority w:val="29"/>
    <w:qFormat/>
    <w:rPr>
      <w:i/>
    </w:rPr>
  </w:style>
  <w:style w:type="paragraph" w:styleId="1146" w:customStyle="1">
    <w:name w:val="引用1"/>
    <w:basedOn w:val="896"/>
    <w:next w:val="896"/>
    <w:link w:val="1145"/>
    <w:uiPriority w:val="29"/>
    <w:qFormat/>
    <w:pPr>
      <w:ind w:left="720" w:right="720"/>
    </w:pPr>
    <w:rPr>
      <w:i/>
    </w:rPr>
  </w:style>
  <w:style w:type="character" w:styleId="1147" w:customStyle="1">
    <w:name w:val="Heading 5 Char"/>
    <w:link w:val="1148"/>
    <w:uiPriority w:val="9"/>
    <w:qFormat/>
    <w:rPr>
      <w:rFonts w:ascii="Arial" w:hAnsi="Arial" w:eastAsia="Arial" w:cs="Arial"/>
      <w:b/>
      <w:bCs/>
      <w:sz w:val="24"/>
      <w:szCs w:val="24"/>
    </w:rPr>
  </w:style>
  <w:style w:type="paragraph" w:styleId="1148" w:customStyle="1">
    <w:name w:val="标题 51"/>
    <w:basedOn w:val="896"/>
    <w:next w:val="896"/>
    <w:link w:val="1147"/>
    <w:uiPriority w:val="9"/>
    <w:unhideWhenUsed/>
    <w:qFormat/>
    <w:pPr>
      <w:keepLines/>
      <w:keepNext/>
      <w:spacing w:before="320" w:after="200"/>
      <w:outlineLvl w:val="4"/>
    </w:pPr>
    <w:rPr>
      <w:rFonts w:ascii="Arial" w:hAnsi="Arial" w:eastAsia="Arial"/>
      <w:b/>
      <w:bCs/>
      <w:sz w:val="24"/>
    </w:rPr>
  </w:style>
  <w:style w:type="character" w:styleId="1149" w:customStyle="1">
    <w:name w:val="Heading 9 Char"/>
    <w:link w:val="1150"/>
    <w:uiPriority w:val="9"/>
    <w:qFormat/>
    <w:rPr>
      <w:rFonts w:ascii="Arial" w:hAnsi="Arial" w:eastAsia="Arial" w:cs="Arial"/>
      <w:i/>
      <w:iCs/>
      <w:sz w:val="21"/>
      <w:szCs w:val="21"/>
    </w:rPr>
  </w:style>
  <w:style w:type="paragraph" w:styleId="1150" w:customStyle="1">
    <w:name w:val="标题 91"/>
    <w:basedOn w:val="896"/>
    <w:next w:val="896"/>
    <w:link w:val="1149"/>
    <w:uiPriority w:val="9"/>
    <w:unhideWhenUsed/>
    <w:qFormat/>
    <w:pPr>
      <w:keepLines/>
      <w:keepNext/>
      <w:spacing w:before="320" w:after="200"/>
      <w:outlineLvl w:val="8"/>
    </w:pPr>
    <w:rPr>
      <w:rFonts w:ascii="Arial" w:hAnsi="Arial" w:eastAsia="Arial"/>
      <w:i/>
      <w:iCs/>
      <w:szCs w:val="21"/>
    </w:rPr>
  </w:style>
  <w:style w:type="character" w:styleId="1151" w:customStyle="1">
    <w:name w:val="Endnote Text Char"/>
    <w:uiPriority w:val="99"/>
    <w:qFormat/>
    <w:rPr>
      <w:sz w:val="20"/>
    </w:rPr>
  </w:style>
  <w:style w:type="character" w:styleId="1152" w:customStyle="1">
    <w:name w:val="标题 1 Char"/>
    <w:link w:val="1153"/>
    <w:uiPriority w:val="0"/>
    <w:qFormat/>
    <w:rPr>
      <w:rFonts w:ascii="Calibri" w:hAnsi="Calibri" w:eastAsia="宋体" w:cs="Arial"/>
      <w:b/>
      <w:bCs/>
      <w:sz w:val="44"/>
      <w:szCs w:val="44"/>
    </w:rPr>
  </w:style>
  <w:style w:type="paragraph" w:styleId="1153" w:customStyle="1">
    <w:name w:val="标题 11"/>
    <w:basedOn w:val="896"/>
    <w:next w:val="896"/>
    <w:link w:val="1152"/>
    <w:uiPriority w:val="0"/>
    <w:qFormat/>
    <w:pPr>
      <w:keepLines/>
      <w:keepNext/>
      <w:spacing w:before="340" w:after="330" w:line="578" w:lineRule="auto"/>
      <w:outlineLvl w:val="0"/>
    </w:pPr>
    <w:rPr>
      <w:b/>
      <w:bCs/>
      <w:sz w:val="44"/>
      <w:szCs w:val="44"/>
    </w:rPr>
  </w:style>
  <w:style w:type="character" w:styleId="1154" w:customStyle="1">
    <w:name w:val="font41"/>
    <w:uiPriority w:val="0"/>
    <w:qFormat/>
    <w:rPr>
      <w:rFonts w:hint="eastAsia" w:ascii="宋体" w:hAnsi="宋体" w:eastAsia="宋体" w:cs="宋体"/>
      <w:b/>
      <w:bCs/>
      <w:color w:val="ff0000"/>
      <w:sz w:val="20"/>
      <w:szCs w:val="20"/>
      <w:u w:val="none"/>
    </w:rPr>
  </w:style>
  <w:style w:type="character" w:styleId="1155" w:customStyle="1">
    <w:name w:val="Heading 3 Char"/>
    <w:link w:val="1156"/>
    <w:uiPriority w:val="9"/>
    <w:qFormat/>
    <w:rPr>
      <w:rFonts w:ascii="Arial" w:hAnsi="Arial" w:eastAsia="Arial" w:cs="Arial"/>
      <w:sz w:val="30"/>
      <w:szCs w:val="30"/>
    </w:rPr>
  </w:style>
  <w:style w:type="paragraph" w:styleId="1156" w:customStyle="1">
    <w:name w:val="标题 31"/>
    <w:basedOn w:val="896"/>
    <w:next w:val="896"/>
    <w:link w:val="1155"/>
    <w:uiPriority w:val="9"/>
    <w:unhideWhenUsed/>
    <w:qFormat/>
    <w:pPr>
      <w:keepLines/>
      <w:keepNext/>
      <w:spacing w:before="320" w:after="200"/>
      <w:outlineLvl w:val="2"/>
    </w:pPr>
    <w:rPr>
      <w:rFonts w:ascii="Arial" w:hAnsi="Arial" w:eastAsia="Arial"/>
      <w:sz w:val="30"/>
      <w:szCs w:val="30"/>
    </w:rPr>
  </w:style>
  <w:style w:type="character" w:styleId="1157" w:customStyle="1">
    <w:name w:val="font51"/>
    <w:uiPriority w:val="0"/>
    <w:qFormat/>
    <w:rPr>
      <w:rFonts w:hint="eastAsia" w:ascii="宋体" w:hAnsi="宋体" w:eastAsia="宋体" w:cs="宋体"/>
      <w:color w:val="ff0000"/>
      <w:sz w:val="20"/>
      <w:szCs w:val="20"/>
      <w:u w:val="none"/>
    </w:rPr>
  </w:style>
  <w:style w:type="character" w:styleId="1158" w:customStyle="1">
    <w:name w:val="页眉 Char1"/>
    <w:link w:val="1159"/>
    <w:uiPriority w:val="99"/>
    <w:semiHidden/>
    <w:qFormat/>
    <w:rPr>
      <w:rFonts w:ascii="Calibri" w:hAnsi="Calibri" w:eastAsia="宋体" w:cs="Arial"/>
      <w:sz w:val="18"/>
      <w:szCs w:val="18"/>
    </w:rPr>
  </w:style>
  <w:style w:type="paragraph" w:styleId="1159" w:customStyle="1">
    <w:name w:val="Header1"/>
    <w:basedOn w:val="896"/>
    <w:link w:val="11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0" w:customStyle="1">
    <w:name w:val="页眉 Char"/>
    <w:link w:val="1161"/>
    <w:uiPriority w:val="0"/>
    <w:qFormat/>
    <w:rPr>
      <w:rFonts w:ascii="Calibri" w:hAnsi="Calibri" w:eastAsia="宋体" w:cs="Arial"/>
      <w:sz w:val="18"/>
      <w:szCs w:val="18"/>
    </w:rPr>
  </w:style>
  <w:style w:type="paragraph" w:styleId="1161" w:customStyle="1">
    <w:name w:val="页眉1"/>
    <w:basedOn w:val="896"/>
    <w:link w:val="1160"/>
    <w:uiPriority w:val="0"/>
    <w:qFormat/>
    <w:pPr>
      <w:jc w:val="center"/>
      <w:tabs>
        <w:tab w:val="center" w:pos="4153" w:leader="none"/>
        <w:tab w:val="right" w:pos="8306" w:leader="none"/>
      </w:tabs>
      <w:pBdr>
        <w:bottom w:val="single" w:color="000000" w:sz="6" w:space="1"/>
      </w:pBdr>
    </w:pPr>
    <w:rPr>
      <w:sz w:val="18"/>
      <w:szCs w:val="18"/>
    </w:rPr>
  </w:style>
  <w:style w:type="character" w:styleId="1162" w:customStyle="1">
    <w:name w:val="Heading 1 Char"/>
    <w:uiPriority w:val="9"/>
    <w:qFormat/>
    <w:rPr>
      <w:rFonts w:ascii="Arial" w:hAnsi="Arial" w:eastAsia="Arial" w:cs="Arial"/>
      <w:sz w:val="40"/>
      <w:szCs w:val="40"/>
    </w:rPr>
  </w:style>
  <w:style w:type="character" w:styleId="1163" w:customStyle="1">
    <w:name w:val="Footnote Text Char"/>
    <w:uiPriority w:val="99"/>
    <w:qFormat/>
    <w:rPr>
      <w:sz w:val="18"/>
    </w:rPr>
  </w:style>
  <w:style w:type="character" w:styleId="1164" w:customStyle="1">
    <w:name w:val="Heading 7 Char"/>
    <w:link w:val="1165"/>
    <w:uiPriority w:val="9"/>
    <w:qFormat/>
    <w:rPr>
      <w:rFonts w:ascii="Arial" w:hAnsi="Arial" w:eastAsia="Arial" w:cs="Arial"/>
      <w:b/>
      <w:bCs/>
      <w:i/>
      <w:iCs/>
      <w:sz w:val="22"/>
      <w:szCs w:val="22"/>
    </w:rPr>
  </w:style>
  <w:style w:type="paragraph" w:styleId="1165" w:customStyle="1">
    <w:name w:val="标题 71"/>
    <w:basedOn w:val="896"/>
    <w:next w:val="896"/>
    <w:link w:val="1164"/>
    <w:uiPriority w:val="9"/>
    <w:unhideWhenUsed/>
    <w:qFormat/>
    <w:pPr>
      <w:keepLines/>
      <w:keepNext/>
      <w:spacing w:before="320" w:after="200"/>
      <w:outlineLvl w:val="6"/>
    </w:pPr>
    <w:rPr>
      <w:rFonts w:ascii="Arial" w:hAnsi="Arial" w:eastAsia="Arial"/>
      <w:b/>
      <w:bCs/>
      <w:i/>
      <w:iCs/>
      <w:sz w:val="22"/>
      <w:szCs w:val="22"/>
    </w:rPr>
  </w:style>
  <w:style w:type="character" w:styleId="1166" w:customStyle="1">
    <w:name w:val="普通正文 Char"/>
    <w:link w:val="1167"/>
    <w:uiPriority w:val="0"/>
    <w:qFormat/>
    <w:rPr>
      <w:rFonts w:ascii="Arial" w:hAnsi="Arial" w:eastAsia="等线" w:cs="Arial"/>
      <w:sz w:val="24"/>
      <w:szCs w:val="24"/>
    </w:rPr>
  </w:style>
  <w:style w:type="paragraph" w:styleId="1167" w:customStyle="1">
    <w:name w:val="普通正文"/>
    <w:basedOn w:val="896"/>
    <w:link w:val="1166"/>
    <w:uiPriority w:val="0"/>
    <w:qFormat/>
    <w:pPr>
      <w:ind w:firstLine="480"/>
      <w:jc w:val="left"/>
      <w:spacing w:before="120" w:after="120" w:line="360" w:lineRule="auto"/>
    </w:pPr>
    <w:rPr>
      <w:rFonts w:ascii="Arial" w:hAnsi="Arial" w:eastAsia="等线"/>
      <w:sz w:val="24"/>
    </w:rPr>
  </w:style>
  <w:style w:type="character" w:styleId="1168" w:customStyle="1">
    <w:name w:val="font31"/>
    <w:uiPriority w:val="0"/>
    <w:qFormat/>
    <w:rPr>
      <w:rFonts w:hint="eastAsia" w:ascii="宋体" w:hAnsi="宋体" w:eastAsia="宋体" w:cs="宋体"/>
      <w:color w:val="000000"/>
      <w:sz w:val="20"/>
      <w:szCs w:val="20"/>
      <w:u w:val="none"/>
    </w:rPr>
  </w:style>
  <w:style w:type="character" w:styleId="1169" w:customStyle="1">
    <w:name w:val="Heading 4 Char"/>
    <w:link w:val="1170"/>
    <w:uiPriority w:val="9"/>
    <w:qFormat/>
    <w:rPr>
      <w:rFonts w:ascii="Arial" w:hAnsi="Arial" w:eastAsia="Arial" w:cs="Arial"/>
      <w:b/>
      <w:bCs/>
      <w:sz w:val="26"/>
      <w:szCs w:val="26"/>
    </w:rPr>
  </w:style>
  <w:style w:type="paragraph" w:styleId="1170" w:customStyle="1">
    <w:name w:val="标题 41"/>
    <w:basedOn w:val="896"/>
    <w:next w:val="896"/>
    <w:link w:val="1169"/>
    <w:uiPriority w:val="9"/>
    <w:unhideWhenUsed/>
    <w:qFormat/>
    <w:pPr>
      <w:keepLines/>
      <w:keepNext/>
      <w:spacing w:before="320" w:after="200"/>
      <w:outlineLvl w:val="3"/>
    </w:pPr>
    <w:rPr>
      <w:rFonts w:ascii="Arial" w:hAnsi="Arial" w:eastAsia="Arial"/>
      <w:b/>
      <w:bCs/>
      <w:sz w:val="26"/>
      <w:szCs w:val="26"/>
    </w:rPr>
  </w:style>
  <w:style w:type="character" w:styleId="1171" w:customStyle="1">
    <w:name w:val="Quote Char"/>
    <w:uiPriority w:val="29"/>
    <w:qFormat/>
    <w:rPr>
      <w:i/>
    </w:rPr>
  </w:style>
  <w:style w:type="character" w:styleId="1172" w:customStyle="1">
    <w:name w:val="页脚 Char"/>
    <w:link w:val="1173"/>
    <w:uiPriority w:val="0"/>
    <w:qFormat/>
    <w:rPr>
      <w:rFonts w:ascii="Calibri" w:hAnsi="Calibri" w:eastAsia="宋体" w:cs="Arial"/>
      <w:sz w:val="18"/>
      <w:szCs w:val="18"/>
    </w:rPr>
  </w:style>
  <w:style w:type="paragraph" w:styleId="1173" w:customStyle="1">
    <w:name w:val="页脚1"/>
    <w:basedOn w:val="896"/>
    <w:link w:val="1172"/>
    <w:uiPriority w:val="0"/>
    <w:qFormat/>
    <w:pPr>
      <w:jc w:val="left"/>
      <w:tabs>
        <w:tab w:val="center" w:pos="4153" w:leader="none"/>
        <w:tab w:val="right" w:pos="8306" w:leader="none"/>
      </w:tabs>
    </w:pPr>
    <w:rPr>
      <w:sz w:val="18"/>
      <w:szCs w:val="18"/>
    </w:rPr>
  </w:style>
  <w:style w:type="character" w:styleId="1174" w:customStyle="1">
    <w:name w:val="Subtitle Char"/>
    <w:uiPriority w:val="11"/>
    <w:qFormat/>
    <w:rPr>
      <w:sz w:val="24"/>
      <w:szCs w:val="24"/>
    </w:rPr>
  </w:style>
  <w:style w:type="character" w:styleId="1175" w:customStyle="1">
    <w:name w:val="Intense Quote Char"/>
    <w:uiPriority w:val="30"/>
    <w:qFormat/>
    <w:rPr>
      <w:i/>
    </w:rPr>
  </w:style>
  <w:style w:type="character" w:styleId="1176" w:customStyle="1">
    <w:name w:val="页脚 Char1"/>
    <w:link w:val="1177"/>
    <w:uiPriority w:val="99"/>
    <w:semiHidden/>
    <w:qFormat/>
    <w:rPr>
      <w:rFonts w:ascii="Calibri" w:hAnsi="Calibri" w:eastAsia="宋体" w:cs="Arial"/>
      <w:sz w:val="18"/>
      <w:szCs w:val="18"/>
    </w:rPr>
  </w:style>
  <w:style w:type="paragraph" w:styleId="1177" w:customStyle="1">
    <w:name w:val="Footer1"/>
    <w:basedOn w:val="896"/>
    <w:link w:val="1176"/>
    <w:uiPriority w:val="99"/>
    <w:unhideWhenUsed/>
    <w:qFormat/>
    <w:pPr>
      <w:jc w:val="left"/>
      <w:tabs>
        <w:tab w:val="center" w:pos="4153" w:leader="none"/>
        <w:tab w:val="right" w:pos="8306" w:leader="none"/>
      </w:tabs>
    </w:pPr>
    <w:rPr>
      <w:sz w:val="18"/>
      <w:szCs w:val="18"/>
    </w:rPr>
  </w:style>
  <w:style w:type="paragraph" w:styleId="1178" w:customStyle="1">
    <w:name w:val="Char Char Char Char Char Char Char Char Char Char Char Char Char"/>
    <w:basedOn w:val="897"/>
    <w:next w:val="896"/>
    <w:uiPriority w:val="0"/>
    <w:qFormat/>
    <w:pPr>
      <w:ind w:left="0" w:firstLine="3584"/>
      <w:spacing w:before="0" w:after="160" w:line="240" w:lineRule="exact"/>
    </w:pPr>
  </w:style>
  <w:style w:type="paragraph" w:styleId="1179" w:customStyle="1">
    <w:name w:val="FC正文"/>
    <w:basedOn w:val="896"/>
    <w:uiPriority w:val="0"/>
    <w:qFormat/>
    <w:pPr>
      <w:contextualSpacing/>
      <w:ind w:firstLine="200"/>
      <w:spacing w:line="360" w:lineRule="auto"/>
    </w:pPr>
    <w:rPr>
      <w:rFonts w:ascii="宋体" w:hAnsi="宋体" w:cs="宋体"/>
      <w:sz w:val="24"/>
    </w:rPr>
  </w:style>
  <w:style w:type="paragraph" w:styleId="1180" w:customStyle="1">
    <w:name w:val="样式 FC正文 + 首行缩进:  2 字符 段前: 0.5 行 段后: 0.5 行"/>
    <w:basedOn w:val="1179"/>
    <w:uiPriority w:val="0"/>
    <w:qFormat/>
    <w:pPr>
      <w:ind w:firstLine="480"/>
      <w:spacing w:before="120" w:after="120"/>
    </w:pPr>
    <w:rPr>
      <w:szCs w:val="20"/>
    </w:rPr>
  </w:style>
  <w:style w:type="paragraph" w:styleId="1181" w:customStyle="1">
    <w:name w:val="无间隔1"/>
    <w:uiPriority w:val="1"/>
    <w:qFormat/>
    <w:rPr>
      <w:rFonts w:ascii="Times New Roman" w:hAnsi="Times New Roman" w:eastAsia="宋体" w:cs="Times New Roman"/>
      <w:lang w:val="en-US" w:eastAsia="zh-CN" w:bidi="ar-SA"/>
    </w:rPr>
  </w:style>
  <w:style w:type="paragraph" w:styleId="1182" w:customStyle="1">
    <w:name w:val="TOC 标题2"/>
    <w:basedOn w:val="1067"/>
    <w:next w:val="896"/>
    <w:uiPriority w:val="39"/>
    <w:unhideWhenUsed/>
    <w:qFormat/>
    <w:pPr>
      <w:jc w:val="left"/>
      <w:spacing w:before="240" w:after="0" w:line="259" w:lineRule="auto"/>
      <w:widowControl/>
      <w:outlineLvl w:val="9"/>
    </w:pPr>
    <w:rPr>
      <w:rFonts w:ascii="Calibri Light" w:hAnsi="Calibri Light" w:eastAsia="黑体"/>
      <w:b w:val="0"/>
      <w:bCs w:val="0"/>
      <w:color w:val="2d73b3"/>
      <w:sz w:val="32"/>
      <w:szCs w:val="32"/>
    </w:rPr>
  </w:style>
  <w:style w:type="paragraph" w:styleId="1183" w:customStyle="1">
    <w:name w:val="题注1"/>
    <w:basedOn w:val="896"/>
    <w:next w:val="896"/>
    <w:uiPriority w:val="35"/>
    <w:unhideWhenUsed/>
    <w:qFormat/>
    <w:pPr>
      <w:spacing w:line="276" w:lineRule="auto"/>
    </w:pPr>
    <w:rPr>
      <w:b/>
      <w:bCs/>
      <w:color w:val="5b9bd5"/>
      <w:sz w:val="18"/>
      <w:szCs w:val="18"/>
    </w:rPr>
  </w:style>
  <w:style w:type="paragraph" w:styleId="1184" w:customStyle="1">
    <w:name w:val="普通(网站)11"/>
    <w:basedOn w:val="896"/>
    <w:uiPriority w:val="0"/>
    <w:unhideWhenUsed/>
    <w:qFormat/>
    <w:pPr>
      <w:ind w:firstLine="5742"/>
      <w:jc w:val="center"/>
      <w:spacing w:before="100" w:beforeAutospacing="1" w:after="100" w:afterAutospacing="1" w:line="360" w:lineRule="auto"/>
      <w:widowControl/>
    </w:pPr>
    <w:rPr>
      <w:rFonts w:ascii="黑体" w:hAnsi="黑体" w:eastAsia="黑体" w:cs="宋体"/>
      <w:b/>
      <w:color w:val="000000"/>
      <w:sz w:val="44"/>
      <w:szCs w:val="21"/>
    </w:rPr>
  </w:style>
  <w:style w:type="paragraph" w:styleId="1185" w:customStyle="1">
    <w:name w:val="列表段落1"/>
    <w:basedOn w:val="896"/>
    <w:uiPriority w:val="34"/>
    <w:qFormat/>
    <w:pPr>
      <w:ind w:firstLine="420"/>
    </w:pPr>
  </w:style>
  <w:style w:type="paragraph" w:styleId="1186" w:customStyle="1">
    <w:name w:val="TOC 标题1"/>
    <w:uiPriority w:val="39"/>
    <w:unhideWhenUsed/>
    <w:qFormat/>
    <w:rPr>
      <w:rFonts w:ascii="Times New Roman" w:hAnsi="Times New Roman" w:eastAsia="宋体" w:cs="Times New Roman"/>
      <w:lang w:val="en-US" w:eastAsia="zh-CN" w:bidi="ar-SA"/>
    </w:rPr>
  </w:style>
  <w:style w:type="paragraph" w:styleId="1187" w:customStyle="1">
    <w:name w:val="修订1"/>
    <w:uiPriority w:val="99"/>
    <w:semiHidden/>
    <w:qFormat/>
    <w:rPr>
      <w:rFonts w:ascii="Calibri" w:hAnsi="Calibri" w:eastAsia="宋体" w:cs="Arial"/>
      <w:sz w:val="21"/>
      <w:szCs w:val="24"/>
      <w:lang w:val="en-US" w:eastAsia="zh-CN" w:bidi="ar-SA"/>
    </w:rPr>
  </w:style>
  <w:style w:type="paragraph" w:styleId="1188" w:customStyle="1">
    <w:name w:val="表格正文居中"/>
    <w:basedOn w:val="896"/>
    <w:uiPriority w:val="0"/>
    <w:qFormat/>
    <w:pPr>
      <w:jc w:val="center"/>
      <w:spacing w:line="360" w:lineRule="exact"/>
    </w:pPr>
    <w:rPr>
      <w:rFonts w:cs="Times New Roman"/>
      <w:szCs w:val="21"/>
    </w:rPr>
  </w:style>
  <w:style w:type="paragraph" w:styleId="1189" w:customStyle="1">
    <w:name w:val="Default"/>
    <w:basedOn w:val="896"/>
    <w:uiPriority w:val="0"/>
    <w:semiHidden/>
    <w:qFormat/>
    <w:pPr>
      <w:jc w:val="left"/>
    </w:pPr>
    <w:rPr>
      <w:rFonts w:ascii="宋体" w:cs="宋体"/>
      <w:color w:val="000000"/>
      <w:sz w:val="24"/>
    </w:rPr>
  </w:style>
  <w:style w:type="paragraph" w:styleId="1190" w:customStyle="1">
    <w:name w:val="正文文本1"/>
    <w:basedOn w:val="896"/>
    <w:next w:val="896"/>
    <w:uiPriority w:val="0"/>
    <w:unhideWhenUsed/>
    <w:qFormat/>
    <w:pPr>
      <w:spacing w:after="120"/>
    </w:pPr>
    <w:rPr>
      <w:szCs w:val="22"/>
    </w:rPr>
  </w:style>
  <w:style w:type="paragraph" w:styleId="1191" w:customStyle="1">
    <w:name w:val="正文文本缩进11"/>
    <w:basedOn w:val="896"/>
    <w:next w:val="1192"/>
    <w:uiPriority w:val="0"/>
    <w:qFormat/>
    <w:pPr>
      <w:ind w:left="420"/>
      <w:spacing w:after="120"/>
    </w:pPr>
  </w:style>
  <w:style w:type="paragraph" w:styleId="1192" w:customStyle="1">
    <w:name w:val="寄信人地址11"/>
    <w:basedOn w:val="896"/>
    <w:uiPriority w:val="0"/>
    <w:qFormat/>
    <w:rPr>
      <w:rFonts w:ascii="Arial" w:hAnsi="Arial"/>
    </w:rPr>
  </w:style>
  <w:style w:type="paragraph" w:styleId="1193" w:customStyle="1">
    <w:name w:val="Footer11"/>
    <w:basedOn w:val="897"/>
    <w:next w:val="1178"/>
    <w:uiPriority w:val="0"/>
    <w:qFormat/>
    <w:pPr>
      <w:ind w:left="0" w:firstLine="3584"/>
      <w:spacing w:before="0" w:after="0" w:line="240" w:lineRule="auto"/>
    </w:pPr>
    <w:rPr>
      <w:lang w:val="zh-CN"/>
    </w:rPr>
  </w:style>
  <w:style w:type="paragraph" w:styleId="1194" w:customStyle="1">
    <w:name w:val="正文1"/>
    <w:uiPriority w:val="0"/>
    <w:qFormat/>
    <w:rPr>
      <w:rFonts w:ascii="Helvetica" w:hAnsi="Helvetica" w:eastAsia="Arial Unicode MS" w:cs="Arial Unicode MS"/>
      <w:color w:val="000000"/>
      <w:sz w:val="22"/>
      <w:szCs w:val="22"/>
      <w:lang w:val="en-US" w:eastAsia="zh-CN" w:bidi="ar-SA"/>
    </w:rPr>
  </w:style>
  <w:style w:type="paragraph" w:styleId="1195" w:customStyle="1">
    <w:name w:val="TOC 标题3"/>
    <w:uiPriority w:val="39"/>
    <w:unhideWhenUsed/>
    <w:qFormat/>
    <w:rPr>
      <w:rFonts w:ascii="Times New Roman" w:hAnsi="Times New Roman" w:eastAsia="宋体" w:cs="Times New Roman"/>
      <w:lang w:val="en-US" w:eastAsia="zh-CN" w:bidi="ar-SA"/>
    </w:rPr>
  </w:style>
  <w:style w:type="paragraph" w:styleId="1196" w:customStyle="1">
    <w:name w:val="页眉12"/>
    <w:basedOn w:val="896"/>
    <w:uiPriority w:val="0"/>
    <w:qFormat/>
    <w:pPr>
      <w:jc w:val="center"/>
      <w:tabs>
        <w:tab w:val="center" w:pos="4153" w:leader="none"/>
        <w:tab w:val="right" w:pos="8306" w:leader="none"/>
      </w:tabs>
      <w:pBdr>
        <w:bottom w:val="single" w:color="000000" w:sz="6" w:space="1"/>
      </w:pBdr>
    </w:pPr>
    <w:rPr>
      <w:sz w:val="18"/>
      <w:szCs w:val="18"/>
    </w:rPr>
  </w:style>
  <w:style w:type="paragraph" w:styleId="1197" w:customStyle="1">
    <w:name w:val="Table Paragraph"/>
    <w:basedOn w:val="896"/>
    <w:uiPriority w:val="1"/>
    <w:qFormat/>
    <w:pPr>
      <w:jc w:val="left"/>
    </w:pPr>
    <w:rPr>
      <w:rFonts w:cs="Calibri"/>
      <w:sz w:val="22"/>
      <w:szCs w:val="22"/>
      <w:lang w:eastAsia="en-US"/>
    </w:rPr>
  </w:style>
  <w:style w:type="paragraph" w:styleId="1198" w:customStyle="1">
    <w:name w:val="表格正文"/>
    <w:basedOn w:val="896"/>
    <w:next w:val="896"/>
    <w:uiPriority w:val="0"/>
    <w:qFormat/>
    <w:pPr>
      <w:jc w:val="left"/>
      <w:spacing w:line="440" w:lineRule="exact"/>
    </w:pPr>
    <w:rPr>
      <w:rFonts w:cs="Times New Roman"/>
      <w:szCs w:val="21"/>
    </w:rPr>
  </w:style>
  <w:style w:type="paragraph" w:styleId="1199" w:customStyle="1">
    <w:name w:val="普通(网站)1"/>
    <w:basedOn w:val="896"/>
    <w:uiPriority w:val="0"/>
    <w:qFormat/>
    <w:pPr>
      <w:ind w:firstLine="420"/>
      <w:jc w:val="left"/>
      <w:spacing w:before="100" w:beforeAutospacing="1" w:after="100" w:afterAutospacing="1" w:line="360" w:lineRule="auto"/>
      <w:widowControl/>
    </w:pPr>
    <w:rPr>
      <w:rFonts w:ascii="宋体" w:hAnsi="宋体" w:cs="宋体"/>
      <w:color w:val="000000"/>
      <w:sz w:val="24"/>
      <w:szCs w:val="21"/>
    </w:rPr>
  </w:style>
  <w:style w:type="character" w:styleId="1200" w:customStyle="1">
    <w:name w:val="批注文字 字符1"/>
    <w:basedOn w:val="906"/>
    <w:link w:val="911"/>
    <w:uiPriority w:val="99"/>
    <w:qFormat/>
    <w:rPr>
      <w:rFonts w:ascii="Calibri" w:hAnsi="Calibri" w:cs="Arial"/>
      <w:sz w:val="21"/>
      <w:szCs w:val="24"/>
    </w:rPr>
  </w:style>
  <w:style w:type="character" w:styleId="1201" w:customStyle="1">
    <w:name w:val="批注主题 字符"/>
    <w:basedOn w:val="1200"/>
    <w:link w:val="933"/>
    <w:uiPriority w:val="99"/>
    <w:semiHidden/>
    <w:qFormat/>
    <w:rPr>
      <w:rFonts w:ascii="Calibri" w:hAnsi="Calibri" w:cs="Arial"/>
      <w:b/>
      <w:bCs/>
      <w:sz w:val="21"/>
      <w:szCs w:val="24"/>
    </w:rPr>
  </w:style>
  <w:style w:type="paragraph" w:styleId="1202">
    <w:name w:val="List Paragraph"/>
    <w:basedOn w:val="896"/>
    <w:uiPriority w:val="99"/>
    <w:unhideWhenUsed/>
    <w:qFormat/>
    <w:pPr>
      <w:ind w:firstLine="420"/>
    </w:pPr>
  </w:style>
  <w:style w:type="paragraph" w:styleId="1203" w:customStyle="1">
    <w:name w:val="修订2"/>
    <w:hidden/>
    <w:uiPriority w:val="99"/>
    <w:unhideWhenUsed/>
    <w:qFormat/>
    <w:rPr>
      <w:rFonts w:ascii="Calibri" w:hAnsi="Calibri" w:eastAsia="宋体" w:cs="Arial"/>
      <w:sz w:val="21"/>
      <w:szCs w:val="24"/>
      <w:lang w:val="en-US" w:eastAsia="zh-CN" w:bidi="ar-SA"/>
    </w:rPr>
  </w:style>
  <w:style w:type="paragraph" w:styleId="1204" w:customStyle="1">
    <w:name w:val="修订3"/>
    <w:hidden/>
    <w:uiPriority w:val="99"/>
    <w:unhideWhenUsed/>
    <w:qFormat/>
    <w:rPr>
      <w:rFonts w:ascii="Calibri" w:hAnsi="Calibri" w:eastAsia="宋体" w:cs="Arial"/>
      <w:sz w:val="21"/>
      <w:szCs w:val="24"/>
      <w:lang w:val="en-US" w:eastAsia="zh-CN" w:bidi="ar-SA"/>
    </w:rPr>
  </w:style>
  <w:style w:type="paragraph" w:styleId="1205" w:customStyle="1">
    <w:name w:val="修订4"/>
    <w:hidden/>
    <w:uiPriority w:val="99"/>
    <w:unhideWhenUsed/>
    <w:qFormat/>
    <w:rPr>
      <w:rFonts w:ascii="Calibri" w:hAnsi="Calibri" w:eastAsia="宋体" w:cs="Arial"/>
      <w:sz w:val="21"/>
      <w:szCs w:val="24"/>
      <w:lang w:val="en-US" w:eastAsia="zh-CN" w:bidi="ar-SA"/>
    </w:rPr>
  </w:style>
  <w:style w:type="paragraph" w:styleId="1206" w:customStyle="1">
    <w:name w:val="Revision"/>
    <w:hidden/>
    <w:uiPriority w:val="99"/>
    <w:unhideWhenUsed/>
    <w:qFormat/>
    <w:rPr>
      <w:rFonts w:ascii="Calibri" w:hAnsi="Calibri" w:eastAsia="宋体" w:cs="Arial"/>
      <w:sz w:val="21"/>
      <w:szCs w:val="24"/>
      <w:lang w:val="en-US" w:eastAsia="zh-CN" w:bidi="ar-SA"/>
    </w:rPr>
  </w:style>
  <w:style w:type="paragraph" w:styleId="1207" w:customStyle="1">
    <w:name w:val="标题 5（有编号）（绿盟科技）"/>
    <w:basedOn w:val="896"/>
    <w:next w:val="1208"/>
    <w:uiPriority w:val="0"/>
    <w:unhideWhenUsed/>
    <w:qFormat/>
    <w:pPr>
      <w:numPr>
        <w:ilvl w:val="4"/>
        <w:numId w:val="2"/>
      </w:numPr>
      <w:keepLines/>
      <w:keepNext/>
      <w:spacing w:before="280" w:after="156" w:line="377" w:lineRule="auto"/>
      <w:outlineLvl w:val="4"/>
    </w:pPr>
    <w:rPr>
      <w:rFonts w:hint="default" w:ascii="Arial" w:hAnsi="Arial" w:eastAsia="黑体"/>
      <w:b/>
      <w:sz w:val="21"/>
      <w:szCs w:val="28"/>
    </w:rPr>
  </w:style>
  <w:style w:type="paragraph" w:styleId="1208" w:customStyle="1">
    <w:name w:val="正文（绿盟科技）"/>
    <w:uiPriority w:val="0"/>
    <w:unhideWhenUsed/>
    <w:qFormat/>
    <w:pPr>
      <w:spacing w:line="300" w:lineRule="auto"/>
    </w:pPr>
    <w:rPr>
      <w:rFonts w:hint="default" w:ascii="Arial" w:hAnsi="Arial" w:eastAsia="宋体" w:cs="Times New Roman"/>
      <w:sz w:val="21"/>
      <w:szCs w:val="21"/>
      <w:lang w:val="en-US" w:eastAsia="zh-CN" w:bidi="ar-SA"/>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1171507-8C58-4939-806B-E7DDD31AB1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正式环境陈</dc:creator>
  <cp:lastModifiedBy>倪兆霞</cp:lastModifiedBy>
  <cp:revision>9</cp:revision>
  <dcterms:created xsi:type="dcterms:W3CDTF">2026-06-08T01:46:00Z</dcterms:created>
  <dcterms:modified xsi:type="dcterms:W3CDTF">2026-06-15T02:31:48Z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280EFE1B98F441859832975855664E35_13</vt:lpwstr>
  </property>
</Properties>
</file>