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0E9EA7">
      <w:pPr>
        <w:pStyle w:val="33"/>
        <w:spacing w:before="120" w:beforeAutospacing="0" w:after="120" w:afterAutospacing="0" w:line="360" w:lineRule="auto"/>
        <w:rPr>
          <w:color w:val="auto"/>
          <w:highlight w:val="none"/>
        </w:rPr>
      </w:pPr>
    </w:p>
    <w:p w14:paraId="59BD45A9">
      <w:pPr>
        <w:pStyle w:val="33"/>
        <w:spacing w:before="120" w:beforeAutospacing="0" w:after="120" w:afterAutospacing="0" w:line="360" w:lineRule="auto"/>
        <w:rPr>
          <w:color w:val="auto"/>
          <w:highlight w:val="none"/>
        </w:rPr>
      </w:pPr>
    </w:p>
    <w:p w14:paraId="04733DAA">
      <w:pPr>
        <w:pStyle w:val="33"/>
        <w:spacing w:before="120" w:beforeAutospacing="0" w:after="120" w:afterAutospacing="0" w:line="360" w:lineRule="auto"/>
        <w:rPr>
          <w:color w:val="auto"/>
          <w:highlight w:val="none"/>
        </w:rPr>
      </w:pPr>
      <w:r>
        <w:rPr>
          <w:color w:val="auto"/>
          <w:highlight w:val="none"/>
        </w:rPr>
        <w:t> </w:t>
      </w:r>
    </w:p>
    <w:p w14:paraId="73B4802E">
      <w:pPr>
        <w:pStyle w:val="33"/>
        <w:spacing w:before="120" w:beforeAutospacing="0" w:after="120" w:afterAutospacing="0" w:line="360" w:lineRule="auto"/>
        <w:rPr>
          <w:color w:val="auto"/>
          <w:highlight w:val="none"/>
        </w:rPr>
      </w:pPr>
    </w:p>
    <w:p w14:paraId="31FFBA91">
      <w:pPr>
        <w:pStyle w:val="33"/>
        <w:spacing w:before="120" w:beforeAutospacing="0" w:after="120" w:afterAutospacing="0" w:line="360" w:lineRule="auto"/>
        <w:jc w:val="center"/>
        <w:rPr>
          <w:rFonts w:ascii="Arial" w:hAnsi="Arial" w:cs="Arial"/>
          <w:b/>
          <w:color w:val="auto"/>
          <w:sz w:val="84"/>
          <w:szCs w:val="84"/>
          <w:highlight w:val="none"/>
        </w:rPr>
      </w:pPr>
      <w:r>
        <w:rPr>
          <w:rFonts w:ascii="Arial" w:hAnsi="Arial" w:cs="Arial"/>
          <w:b/>
          <w:color w:val="auto"/>
          <w:sz w:val="84"/>
          <w:szCs w:val="84"/>
          <w:highlight w:val="none"/>
        </w:rPr>
        <w:t>竞争性谈判文件</w:t>
      </w:r>
    </w:p>
    <w:p w14:paraId="12C0EEE7">
      <w:pPr>
        <w:pStyle w:val="33"/>
        <w:spacing w:before="120" w:beforeAutospacing="0" w:after="120" w:afterAutospacing="0" w:line="360" w:lineRule="auto"/>
        <w:ind w:firstLine="2249"/>
        <w:rPr>
          <w:rFonts w:ascii="Arial" w:hAnsi="Arial" w:cs="Arial"/>
          <w:b/>
          <w:color w:val="auto"/>
          <w:sz w:val="32"/>
          <w:szCs w:val="32"/>
          <w:highlight w:val="none"/>
        </w:rPr>
      </w:pPr>
    </w:p>
    <w:p w14:paraId="1860B853">
      <w:pPr>
        <w:pStyle w:val="33"/>
        <w:spacing w:before="120" w:beforeAutospacing="0" w:after="120" w:afterAutospacing="0" w:line="360" w:lineRule="auto"/>
        <w:ind w:firstLine="2249"/>
        <w:rPr>
          <w:rFonts w:ascii="Arial" w:hAnsi="Arial" w:cs="Arial"/>
          <w:b/>
          <w:color w:val="auto"/>
          <w:sz w:val="32"/>
          <w:szCs w:val="32"/>
          <w:highlight w:val="none"/>
        </w:rPr>
      </w:pPr>
    </w:p>
    <w:p w14:paraId="6BD49357">
      <w:pPr>
        <w:pStyle w:val="33"/>
        <w:spacing w:before="120" w:beforeAutospacing="0" w:after="120" w:afterAutospacing="0" w:line="360" w:lineRule="auto"/>
        <w:jc w:val="center"/>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江苏省盐城中学拔尖创新人才培养课程项目</w:t>
      </w:r>
    </w:p>
    <w:p w14:paraId="61FD357E">
      <w:pPr>
        <w:pStyle w:val="3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项目编号：</w:t>
      </w:r>
      <w:r>
        <w:rPr>
          <w:rFonts w:hint="eastAsia" w:ascii="宋体" w:hAnsi="宋体" w:eastAsia="宋体" w:cs="宋体"/>
          <w:b/>
          <w:color w:val="auto"/>
          <w:sz w:val="32"/>
          <w:szCs w:val="32"/>
          <w:highlight w:val="none"/>
          <w:lang w:eastAsia="zh-CN"/>
        </w:rPr>
        <w:t>JSZC-320900-YCTX-T2026-0001</w:t>
      </w:r>
    </w:p>
    <w:p w14:paraId="1F0F14DB">
      <w:pPr>
        <w:pStyle w:val="33"/>
        <w:spacing w:before="120" w:beforeAutospacing="0" w:after="120" w:afterAutospacing="0" w:line="360" w:lineRule="auto"/>
        <w:ind w:firstLine="2249"/>
        <w:rPr>
          <w:color w:val="auto"/>
          <w:highlight w:val="none"/>
        </w:rPr>
      </w:pPr>
      <w:r>
        <w:rPr>
          <w:rFonts w:ascii="Times New Roman" w:hAnsi="Times New Roman"/>
          <w:b/>
          <w:color w:val="auto"/>
          <w:sz w:val="30"/>
          <w:szCs w:val="30"/>
          <w:highlight w:val="none"/>
        </w:rPr>
        <w:t> </w:t>
      </w:r>
      <w:r>
        <w:rPr>
          <w:color w:val="auto"/>
          <w:highlight w:val="none"/>
        </w:rPr>
        <w:t> </w:t>
      </w:r>
    </w:p>
    <w:p w14:paraId="041954AA">
      <w:pPr>
        <w:pStyle w:val="33"/>
        <w:spacing w:beforeAutospacing="0" w:afterAutospacing="0" w:line="360" w:lineRule="auto"/>
        <w:rPr>
          <w:color w:val="auto"/>
          <w:highlight w:val="none"/>
        </w:rPr>
      </w:pPr>
      <w:r>
        <w:rPr>
          <w:color w:val="auto"/>
          <w:highlight w:val="none"/>
        </w:rPr>
        <w:t> </w:t>
      </w:r>
    </w:p>
    <w:p w14:paraId="55D97390">
      <w:pPr>
        <w:pStyle w:val="33"/>
        <w:spacing w:beforeAutospacing="0" w:afterAutospacing="0" w:line="360" w:lineRule="auto"/>
        <w:rPr>
          <w:color w:val="auto"/>
          <w:highlight w:val="none"/>
        </w:rPr>
      </w:pPr>
      <w:r>
        <w:rPr>
          <w:color w:val="auto"/>
          <w:highlight w:val="none"/>
        </w:rPr>
        <w:t> </w:t>
      </w:r>
    </w:p>
    <w:p w14:paraId="7A7C1439">
      <w:pPr>
        <w:pStyle w:val="33"/>
        <w:spacing w:beforeAutospacing="0" w:afterAutospacing="0" w:line="360" w:lineRule="auto"/>
        <w:rPr>
          <w:color w:val="auto"/>
          <w:highlight w:val="none"/>
        </w:rPr>
      </w:pPr>
    </w:p>
    <w:p w14:paraId="425AB1C8">
      <w:pPr>
        <w:pStyle w:val="33"/>
        <w:spacing w:beforeAutospacing="0" w:afterAutospacing="0" w:line="360" w:lineRule="auto"/>
        <w:rPr>
          <w:color w:val="auto"/>
          <w:highlight w:val="none"/>
        </w:rPr>
      </w:pPr>
    </w:p>
    <w:p w14:paraId="4C811F15">
      <w:pPr>
        <w:pStyle w:val="33"/>
        <w:spacing w:beforeAutospacing="0" w:afterAutospacing="0" w:line="360" w:lineRule="auto"/>
        <w:rPr>
          <w:color w:val="auto"/>
          <w:highlight w:val="none"/>
        </w:rPr>
      </w:pPr>
    </w:p>
    <w:p w14:paraId="3C56EAFA">
      <w:pPr>
        <w:pStyle w:val="33"/>
        <w:spacing w:beforeAutospacing="0" w:afterAutospacing="0" w:line="360" w:lineRule="auto"/>
        <w:rPr>
          <w:color w:val="auto"/>
          <w:highlight w:val="none"/>
        </w:rPr>
      </w:pPr>
    </w:p>
    <w:p w14:paraId="24E67E86">
      <w:pPr>
        <w:pStyle w:val="3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江苏省盐城中学</w:t>
      </w:r>
    </w:p>
    <w:p w14:paraId="226D616B">
      <w:pPr>
        <w:pStyle w:val="33"/>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江苏天翔工程项目管理有限公司</w:t>
      </w:r>
    </w:p>
    <w:p w14:paraId="26530A61">
      <w:pPr>
        <w:pStyle w:val="3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6</w:t>
      </w:r>
      <w:r>
        <w:rPr>
          <w:rFonts w:hint="eastAsia" w:ascii="Arial" w:hAnsi="Arial" w:cs="Arial"/>
          <w:b/>
          <w:color w:val="auto"/>
          <w:sz w:val="32"/>
          <w:szCs w:val="32"/>
          <w:highlight w:val="none"/>
        </w:rPr>
        <w:t>年</w:t>
      </w:r>
      <w:r>
        <w:rPr>
          <w:rFonts w:hint="eastAsia" w:ascii="Arial" w:hAnsi="Arial" w:cs="Arial"/>
          <w:b/>
          <w:color w:val="auto"/>
          <w:sz w:val="32"/>
          <w:szCs w:val="32"/>
          <w:highlight w:val="none"/>
          <w:lang w:val="en-US" w:eastAsia="zh-CN"/>
        </w:rPr>
        <w:t>2</w:t>
      </w:r>
      <w:r>
        <w:rPr>
          <w:rFonts w:hint="eastAsia" w:ascii="Arial" w:hAnsi="Arial" w:cs="Arial"/>
          <w:b/>
          <w:color w:val="auto"/>
          <w:sz w:val="32"/>
          <w:szCs w:val="32"/>
          <w:highlight w:val="none"/>
        </w:rPr>
        <w:t>月</w:t>
      </w:r>
    </w:p>
    <w:p w14:paraId="56FB492F">
      <w:pPr>
        <w:pStyle w:val="33"/>
        <w:spacing w:before="120" w:beforeAutospacing="0" w:after="120" w:afterAutospacing="0" w:line="360" w:lineRule="auto"/>
        <w:jc w:val="center"/>
        <w:rPr>
          <w:rFonts w:ascii="Times New Roman" w:hAnsi="Times New Roman"/>
          <w:color w:val="auto"/>
          <w:sz w:val="21"/>
          <w:szCs w:val="21"/>
          <w:highlight w:val="none"/>
        </w:rPr>
      </w:pPr>
      <w:r>
        <w:rPr>
          <w:color w:val="auto"/>
          <w:highlight w:val="none"/>
        </w:rPr>
        <w:t> </w:t>
      </w:r>
      <w:r>
        <w:rPr>
          <w:rFonts w:ascii="Times New Roman" w:hAnsi="Times New Roman"/>
          <w:color w:val="auto"/>
          <w:sz w:val="21"/>
          <w:szCs w:val="21"/>
          <w:highlight w:val="none"/>
        </w:rPr>
        <w:t> </w:t>
      </w:r>
      <w:bookmarkStart w:id="0" w:name="_Toc20823272"/>
      <w:bookmarkStart w:id="1" w:name="_Toc513029200"/>
      <w:bookmarkStart w:id="2" w:name="_Toc523127445"/>
      <w:bookmarkStart w:id="3" w:name="_Toc479757206"/>
      <w:bookmarkStart w:id="4" w:name="_Toc16938516"/>
      <w:bookmarkStart w:id="5" w:name="_Toc120614210"/>
    </w:p>
    <w:p w14:paraId="6E5D1A34">
      <w:pPr>
        <w:rPr>
          <w:rFonts w:ascii="Times New Roman" w:hAnsi="Times New Roman"/>
          <w:color w:val="auto"/>
          <w:szCs w:val="21"/>
          <w:highlight w:val="none"/>
        </w:rPr>
      </w:pPr>
      <w:r>
        <w:rPr>
          <w:rFonts w:ascii="Times New Roman" w:hAnsi="Times New Roman"/>
          <w:color w:val="auto"/>
          <w:szCs w:val="21"/>
          <w:highlight w:val="none"/>
        </w:rPr>
        <w:br w:type="page" w:clear="all"/>
      </w:r>
      <w:bookmarkEnd w:id="0"/>
      <w:bookmarkEnd w:id="1"/>
      <w:bookmarkEnd w:id="2"/>
      <w:bookmarkEnd w:id="3"/>
      <w:bookmarkEnd w:id="4"/>
      <w:bookmarkEnd w:id="5"/>
    </w:p>
    <w:sdt>
      <w:sdtPr>
        <w:rPr>
          <w:rFonts w:ascii="宋体" w:hAnsi="宋体" w:eastAsia="宋体" w:cstheme="minorBidi"/>
          <w:color w:val="auto"/>
          <w:sz w:val="36"/>
          <w:szCs w:val="36"/>
          <w:highlight w:val="none"/>
          <w:lang w:val="zh-CN"/>
        </w:rPr>
        <w:id w:val="-1779398317"/>
        <w:docPartObj>
          <w:docPartGallery w:val="Table of Contents"/>
          <w:docPartUnique/>
        </w:docPartObj>
      </w:sdtPr>
      <w:sdtEndPr>
        <w:rPr>
          <w:rFonts w:ascii="宋体" w:hAnsi="宋体" w:eastAsia="宋体" w:cstheme="minorBidi"/>
          <w:color w:val="auto"/>
          <w:sz w:val="36"/>
          <w:szCs w:val="36"/>
          <w:highlight w:val="none"/>
          <w:lang w:val="zh-CN"/>
        </w:rPr>
      </w:sdtEndPr>
      <w:sdtContent>
        <w:p w14:paraId="0FE75F74">
          <w:pPr>
            <w:pStyle w:val="232"/>
            <w:jc w:val="center"/>
            <w:rPr>
              <w:rFonts w:ascii="宋体" w:hAnsi="宋体" w:eastAsia="宋体"/>
              <w:color w:val="auto"/>
              <w:sz w:val="36"/>
              <w:szCs w:val="36"/>
              <w:highlight w:val="none"/>
              <w:lang w:val="zh-CN"/>
            </w:rPr>
          </w:pPr>
          <w:r>
            <w:rPr>
              <w:rFonts w:ascii="宋体" w:hAnsi="宋体" w:eastAsia="宋体"/>
              <w:color w:val="auto"/>
              <w:sz w:val="36"/>
              <w:szCs w:val="36"/>
              <w:highlight w:val="none"/>
              <w:lang w:val="zh-CN"/>
            </w:rPr>
            <w:t>目</w:t>
          </w:r>
          <w:r>
            <w:rPr>
              <w:rFonts w:hint="eastAsia" w:ascii="宋体" w:hAnsi="宋体" w:eastAsia="宋体"/>
              <w:color w:val="auto"/>
              <w:sz w:val="36"/>
              <w:szCs w:val="36"/>
              <w:highlight w:val="none"/>
              <w:lang w:val="en-US" w:eastAsia="zh-CN"/>
            </w:rPr>
            <w:t xml:space="preserve"> </w:t>
          </w:r>
          <w:r>
            <w:rPr>
              <w:rFonts w:ascii="宋体" w:hAnsi="宋体" w:eastAsia="宋体"/>
              <w:color w:val="auto"/>
              <w:sz w:val="36"/>
              <w:szCs w:val="36"/>
              <w:highlight w:val="none"/>
              <w:lang w:val="zh-CN"/>
            </w:rPr>
            <w:t>录</w:t>
          </w:r>
        </w:p>
        <w:p w14:paraId="17CFD566">
          <w:pPr>
            <w:rPr>
              <w:color w:val="auto"/>
              <w:highlight w:val="none"/>
            </w:rPr>
          </w:pPr>
        </w:p>
        <w:p w14:paraId="75C638CF">
          <w:pPr>
            <w:pStyle w:val="25"/>
            <w:tabs>
              <w:tab w:val="right" w:leader="dot" w:pos="9402"/>
            </w:tabs>
            <w:spacing w:after="0" w:line="360" w:lineRule="auto"/>
            <w:rPr>
              <w:rFonts w:ascii="宋体" w:hAnsi="宋体" w:eastAsia="宋体"/>
              <w:color w:val="auto"/>
              <w:sz w:val="28"/>
              <w:szCs w:val="28"/>
              <w:highlight w:val="none"/>
              <w14:ligatures w14:val="standardContextual"/>
            </w:rPr>
          </w:pP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TOC \o "1-3" \u </w:instrText>
          </w:r>
          <w:r>
            <w:rPr>
              <w:rFonts w:ascii="宋体" w:hAnsi="宋体" w:eastAsia="宋体"/>
              <w:color w:val="auto"/>
              <w:sz w:val="28"/>
              <w:szCs w:val="28"/>
              <w:highlight w:val="none"/>
            </w:rPr>
            <w:fldChar w:fldCharType="separate"/>
          </w:r>
          <w:r>
            <w:rPr>
              <w:rFonts w:ascii="宋体" w:hAnsi="宋体" w:eastAsia="宋体" w:cs="黑体"/>
              <w:color w:val="auto"/>
              <w:sz w:val="28"/>
              <w:szCs w:val="28"/>
              <w:highlight w:val="none"/>
            </w:rPr>
            <w:t>第一章 竞争性谈判公告</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_Toc203053446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3</w:t>
          </w:r>
          <w:r>
            <w:rPr>
              <w:rFonts w:ascii="宋体" w:hAnsi="宋体" w:eastAsia="宋体"/>
              <w:color w:val="auto"/>
              <w:sz w:val="28"/>
              <w:szCs w:val="28"/>
              <w:highlight w:val="none"/>
            </w:rPr>
            <w:fldChar w:fldCharType="end"/>
          </w:r>
        </w:p>
        <w:p w14:paraId="64F621BC">
          <w:pPr>
            <w:pStyle w:val="25"/>
            <w:tabs>
              <w:tab w:val="right" w:leader="dot" w:pos="9402"/>
            </w:tabs>
            <w:spacing w:after="0" w:line="360" w:lineRule="auto"/>
            <w:rPr>
              <w:rFonts w:ascii="宋体" w:hAnsi="宋体" w:eastAsia="宋体"/>
              <w:color w:val="auto"/>
              <w:sz w:val="28"/>
              <w:szCs w:val="28"/>
              <w:highlight w:val="none"/>
              <w14:ligatures w14:val="standardContextual"/>
            </w:rPr>
          </w:pPr>
          <w:r>
            <w:rPr>
              <w:rFonts w:ascii="宋体" w:hAnsi="宋体" w:eastAsia="宋体" w:cs="黑体"/>
              <w:color w:val="auto"/>
              <w:sz w:val="28"/>
              <w:szCs w:val="28"/>
              <w:highlight w:val="none"/>
            </w:rPr>
            <w:t>第二章 供应商须知</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_Toc203053455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7</w:t>
          </w:r>
          <w:r>
            <w:rPr>
              <w:rFonts w:ascii="宋体" w:hAnsi="宋体" w:eastAsia="宋体"/>
              <w:color w:val="auto"/>
              <w:sz w:val="28"/>
              <w:szCs w:val="28"/>
              <w:highlight w:val="none"/>
            </w:rPr>
            <w:fldChar w:fldCharType="end"/>
          </w:r>
        </w:p>
        <w:p w14:paraId="2E4D2BA4">
          <w:pPr>
            <w:pStyle w:val="25"/>
            <w:tabs>
              <w:tab w:val="right" w:leader="dot" w:pos="9402"/>
            </w:tabs>
            <w:spacing w:after="0" w:line="360" w:lineRule="auto"/>
            <w:rPr>
              <w:rFonts w:ascii="宋体" w:hAnsi="宋体" w:eastAsia="宋体"/>
              <w:color w:val="auto"/>
              <w:sz w:val="28"/>
              <w:szCs w:val="28"/>
              <w:highlight w:val="none"/>
              <w14:ligatures w14:val="standardContextual"/>
            </w:rPr>
          </w:pPr>
          <w:r>
            <w:rPr>
              <w:rFonts w:ascii="宋体" w:hAnsi="宋体" w:eastAsia="宋体" w:cs="黑体"/>
              <w:color w:val="auto"/>
              <w:sz w:val="28"/>
              <w:szCs w:val="28"/>
              <w:highlight w:val="none"/>
            </w:rPr>
            <w:t>第三章  合同文本</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_Toc203053456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20</w:t>
          </w:r>
          <w:r>
            <w:rPr>
              <w:rFonts w:ascii="宋体" w:hAnsi="宋体" w:eastAsia="宋体"/>
              <w:color w:val="auto"/>
              <w:sz w:val="28"/>
              <w:szCs w:val="28"/>
              <w:highlight w:val="none"/>
            </w:rPr>
            <w:fldChar w:fldCharType="end"/>
          </w:r>
        </w:p>
        <w:p w14:paraId="6C459EB8">
          <w:pPr>
            <w:pStyle w:val="25"/>
            <w:tabs>
              <w:tab w:val="right" w:leader="dot" w:pos="9402"/>
            </w:tabs>
            <w:spacing w:after="0" w:line="360" w:lineRule="auto"/>
            <w:rPr>
              <w:rFonts w:ascii="宋体" w:hAnsi="宋体" w:eastAsia="宋体"/>
              <w:color w:val="auto"/>
              <w:sz w:val="28"/>
              <w:szCs w:val="28"/>
              <w:highlight w:val="none"/>
              <w14:ligatures w14:val="standardContextual"/>
            </w:rPr>
          </w:pPr>
          <w:r>
            <w:rPr>
              <w:rFonts w:ascii="宋体" w:hAnsi="宋体" w:eastAsia="宋体" w:cs="黑体"/>
              <w:color w:val="auto"/>
              <w:sz w:val="28"/>
              <w:szCs w:val="28"/>
              <w:highlight w:val="none"/>
            </w:rPr>
            <w:t>第四章  采购需求</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_Toc203053457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20</w:t>
          </w:r>
          <w:r>
            <w:rPr>
              <w:rFonts w:ascii="宋体" w:hAnsi="宋体" w:eastAsia="宋体"/>
              <w:color w:val="auto"/>
              <w:sz w:val="28"/>
              <w:szCs w:val="28"/>
              <w:highlight w:val="none"/>
            </w:rPr>
            <w:fldChar w:fldCharType="end"/>
          </w:r>
        </w:p>
        <w:p w14:paraId="5B670ABC">
          <w:pPr>
            <w:pStyle w:val="25"/>
            <w:tabs>
              <w:tab w:val="right" w:leader="dot" w:pos="9402"/>
            </w:tabs>
            <w:spacing w:after="0" w:line="360" w:lineRule="auto"/>
            <w:rPr>
              <w:rFonts w:ascii="宋体" w:hAnsi="宋体" w:eastAsia="宋体"/>
              <w:color w:val="auto"/>
              <w:sz w:val="28"/>
              <w:szCs w:val="28"/>
              <w:highlight w:val="none"/>
            </w:rPr>
          </w:pPr>
          <w:r>
            <w:rPr>
              <w:rFonts w:ascii="宋体" w:hAnsi="宋体" w:eastAsia="宋体" w:cs="黑体"/>
              <w:color w:val="auto"/>
              <w:sz w:val="28"/>
              <w:szCs w:val="28"/>
              <w:highlight w:val="none"/>
            </w:rPr>
            <w:t>第五章  响应文件格式</w:t>
          </w:r>
          <w:r>
            <w:rPr>
              <w:rFonts w:ascii="宋体" w:hAnsi="宋体" w:eastAsia="宋体"/>
              <w:color w:val="auto"/>
              <w:sz w:val="28"/>
              <w:szCs w:val="28"/>
              <w:highlight w:val="none"/>
            </w:rPr>
            <w:tab/>
          </w:r>
          <w:r>
            <w:rPr>
              <w:rFonts w:ascii="宋体" w:hAnsi="宋体" w:eastAsia="宋体"/>
              <w:color w:val="auto"/>
              <w:sz w:val="28"/>
              <w:szCs w:val="28"/>
              <w:highlight w:val="none"/>
            </w:rPr>
            <w:fldChar w:fldCharType="begin"/>
          </w:r>
          <w:r>
            <w:rPr>
              <w:rFonts w:ascii="宋体" w:hAnsi="宋体" w:eastAsia="宋体"/>
              <w:color w:val="auto"/>
              <w:sz w:val="28"/>
              <w:szCs w:val="28"/>
              <w:highlight w:val="none"/>
            </w:rPr>
            <w:instrText xml:space="preserve"> PAGEREF _Toc203053458 \h </w:instrText>
          </w:r>
          <w:r>
            <w:rPr>
              <w:rFonts w:ascii="宋体" w:hAnsi="宋体" w:eastAsia="宋体"/>
              <w:color w:val="auto"/>
              <w:sz w:val="28"/>
              <w:szCs w:val="28"/>
              <w:highlight w:val="none"/>
            </w:rPr>
            <w:fldChar w:fldCharType="separate"/>
          </w:r>
          <w:r>
            <w:rPr>
              <w:rFonts w:ascii="宋体" w:hAnsi="宋体" w:eastAsia="宋体"/>
              <w:color w:val="auto"/>
              <w:sz w:val="28"/>
              <w:szCs w:val="28"/>
              <w:highlight w:val="none"/>
            </w:rPr>
            <w:t>45</w:t>
          </w:r>
          <w:r>
            <w:rPr>
              <w:rFonts w:ascii="宋体" w:hAnsi="宋体" w:eastAsia="宋体"/>
              <w:color w:val="auto"/>
              <w:sz w:val="28"/>
              <w:szCs w:val="28"/>
              <w:highlight w:val="none"/>
            </w:rPr>
            <w:fldChar w:fldCharType="end"/>
          </w:r>
          <w:r>
            <w:rPr>
              <w:rFonts w:ascii="宋体" w:hAnsi="宋体" w:eastAsia="宋体"/>
              <w:color w:val="auto"/>
              <w:sz w:val="28"/>
              <w:szCs w:val="28"/>
              <w:highlight w:val="none"/>
            </w:rPr>
            <w:fldChar w:fldCharType="end"/>
          </w:r>
        </w:p>
      </w:sdtContent>
    </w:sdt>
    <w:p w14:paraId="7AF6E4FE">
      <w:pPr>
        <w:rPr>
          <w:color w:val="auto"/>
          <w:highlight w:val="none"/>
        </w:rPr>
      </w:pPr>
      <w:r>
        <w:rPr>
          <w:color w:val="auto"/>
          <w:highlight w:val="none"/>
        </w:rPr>
        <w:br w:type="page" w:clear="all"/>
      </w:r>
    </w:p>
    <w:p w14:paraId="7A899B02">
      <w:pPr>
        <w:pStyle w:val="33"/>
        <w:spacing w:beforeAutospacing="0" w:afterAutospacing="0" w:line="540" w:lineRule="exact"/>
        <w:jc w:val="center"/>
        <w:outlineLvl w:val="0"/>
        <w:rPr>
          <w:rFonts w:ascii="宋体" w:hAnsi="宋体" w:eastAsia="宋体" w:cs="宋体"/>
          <w:color w:val="auto"/>
          <w:highlight w:val="none"/>
        </w:rPr>
      </w:pPr>
      <w:bookmarkStart w:id="6" w:name="_Toc203053446"/>
      <w:bookmarkStart w:id="7" w:name="_Toc28359086"/>
      <w:r>
        <w:rPr>
          <w:rFonts w:hint="eastAsia" w:ascii="黑体" w:hAnsi="宋体" w:eastAsia="黑体" w:cs="黑体"/>
          <w:color w:val="auto"/>
          <w:sz w:val="44"/>
          <w:szCs w:val="44"/>
          <w:highlight w:val="none"/>
        </w:rPr>
        <w:t>第一章  竞争性谈判公告</w:t>
      </w:r>
      <w:bookmarkEnd w:id="6"/>
    </w:p>
    <w:p w14:paraId="58234B78">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项目概况</w:t>
      </w:r>
    </w:p>
    <w:p w14:paraId="409925FA">
      <w:pPr>
        <w:pStyle w:val="33"/>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u w:val="single"/>
          <w:lang w:eastAsia="zh-CN"/>
        </w:rPr>
        <w:t>江苏省盐城中学拔尖创新人才培养课程项目</w:t>
      </w:r>
      <w:r>
        <w:rPr>
          <w:rFonts w:hint="eastAsia" w:ascii="宋体" w:hAnsi="宋体" w:eastAsia="宋体" w:cs="宋体"/>
          <w:color w:val="auto"/>
          <w:highlight w:val="none"/>
        </w:rPr>
        <w:t>的潜在供应商应在“苏采云”系统内免费下载（</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必须在苏采云系统中获取采购文件，方能参与政府采购项目），并于</w:t>
      </w: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年</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u w:val="single"/>
        </w:rPr>
        <w:t>月</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rPr>
        <w:t>日</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rPr>
        <w:t>点00分（</w:t>
      </w:r>
      <w:r>
        <w:rPr>
          <w:rFonts w:hint="eastAsia" w:ascii="宋体" w:hAnsi="宋体" w:eastAsia="宋体" w:cs="宋体"/>
          <w:color w:val="auto"/>
          <w:highlight w:val="none"/>
        </w:rPr>
        <w:t>北京时间）前递交响应文件。</w:t>
      </w:r>
    </w:p>
    <w:p w14:paraId="1956C0ED">
      <w:pPr>
        <w:pStyle w:val="3"/>
        <w:keepNext/>
        <w:keepLines/>
        <w:spacing w:beforeAutospacing="0" w:afterAutospacing="0" w:line="520" w:lineRule="exact"/>
        <w:jc w:val="both"/>
        <w:rPr>
          <w:rFonts w:hint="default" w:cs="宋体"/>
          <w:color w:val="auto"/>
          <w:sz w:val="24"/>
          <w:szCs w:val="24"/>
          <w:highlight w:val="none"/>
        </w:rPr>
      </w:pPr>
      <w:bookmarkStart w:id="8" w:name="_Toc203053447"/>
      <w:bookmarkStart w:id="9" w:name="_Toc28359002"/>
      <w:bookmarkStart w:id="10" w:name="_Toc200961560"/>
      <w:bookmarkStart w:id="11" w:name="_Toc38985263"/>
      <w:bookmarkStart w:id="12" w:name="_Toc35393790"/>
      <w:bookmarkStart w:id="13" w:name="_Toc28359079"/>
      <w:bookmarkStart w:id="14" w:name="_Hlk24379207"/>
      <w:bookmarkStart w:id="15" w:name="_Toc35393621"/>
      <w:r>
        <w:rPr>
          <w:rFonts w:cs="宋体"/>
          <w:color w:val="auto"/>
          <w:sz w:val="24"/>
          <w:szCs w:val="24"/>
          <w:highlight w:val="none"/>
        </w:rPr>
        <w:t>一、项目基本情况</w:t>
      </w:r>
      <w:bookmarkEnd w:id="8"/>
      <w:bookmarkEnd w:id="9"/>
      <w:bookmarkEnd w:id="10"/>
      <w:bookmarkEnd w:id="11"/>
      <w:bookmarkEnd w:id="12"/>
      <w:bookmarkEnd w:id="13"/>
      <w:bookmarkEnd w:id="14"/>
      <w:bookmarkEnd w:id="15"/>
    </w:p>
    <w:p w14:paraId="0C66687E">
      <w:p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w:t>
      </w:r>
      <w:r>
        <w:rPr>
          <w:rFonts w:hint="eastAsia" w:ascii="宋体" w:hAnsi="宋体" w:eastAsia="宋体" w:cs="宋体"/>
          <w:color w:val="auto"/>
          <w:sz w:val="24"/>
          <w:highlight w:val="none"/>
          <w:lang w:eastAsia="zh-CN"/>
        </w:rPr>
        <w:t>JSZC-320900-YCTX-T2026-0001</w:t>
      </w:r>
    </w:p>
    <w:p w14:paraId="1BCBAD33">
      <w:p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ascii="宋体" w:hAnsi="宋体" w:eastAsia="宋体" w:cs="宋体"/>
          <w:color w:val="auto"/>
          <w:sz w:val="24"/>
          <w:highlight w:val="none"/>
          <w:lang w:eastAsia="zh-CN"/>
        </w:rPr>
        <w:t>江苏省盐城中学拔尖创新人才培养课程项目</w:t>
      </w:r>
    </w:p>
    <w:p w14:paraId="0748CE49">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3.采购方式：竞争性谈判</w:t>
      </w:r>
    </w:p>
    <w:p w14:paraId="0D79E93C">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4.预算金额：</w:t>
      </w:r>
      <w:r>
        <w:rPr>
          <w:rFonts w:hint="eastAsia" w:ascii="宋体" w:hAnsi="宋体" w:eastAsia="宋体" w:cs="宋体"/>
          <w:color w:val="auto"/>
          <w:sz w:val="24"/>
          <w:highlight w:val="none"/>
          <w:lang w:val="en-US" w:eastAsia="zh-CN"/>
        </w:rPr>
        <w:t>120</w:t>
      </w:r>
      <w:r>
        <w:rPr>
          <w:rFonts w:hint="eastAsia" w:ascii="宋体" w:hAnsi="宋体" w:eastAsia="宋体" w:cs="宋体"/>
          <w:color w:val="auto"/>
          <w:sz w:val="24"/>
          <w:highlight w:val="none"/>
        </w:rPr>
        <w:t>万元</w:t>
      </w:r>
    </w:p>
    <w:p w14:paraId="52D6D914">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5.最高限价：</w:t>
      </w:r>
      <w:r>
        <w:rPr>
          <w:rFonts w:hint="eastAsia" w:ascii="宋体" w:hAnsi="宋体" w:eastAsia="宋体" w:cs="宋体"/>
          <w:color w:val="auto"/>
          <w:sz w:val="24"/>
          <w:highlight w:val="none"/>
          <w:lang w:eastAsia="zh-CN"/>
        </w:rPr>
        <w:t>120</w:t>
      </w:r>
      <w:r>
        <w:rPr>
          <w:rFonts w:hint="eastAsia" w:ascii="宋体" w:hAnsi="宋体" w:eastAsia="宋体" w:cs="宋体"/>
          <w:color w:val="auto"/>
          <w:sz w:val="24"/>
          <w:highlight w:val="none"/>
        </w:rPr>
        <w:t>万元</w:t>
      </w:r>
    </w:p>
    <w:p w14:paraId="19AEDDC1">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6.采购需求（简介）：</w:t>
      </w:r>
      <w:r>
        <w:rPr>
          <w:rFonts w:hint="eastAsia" w:ascii="宋体" w:hAnsi="宋体" w:eastAsia="宋体" w:cs="宋体"/>
          <w:color w:val="auto"/>
          <w:sz w:val="24"/>
          <w:highlight w:val="none"/>
          <w:lang w:eastAsia="zh-CN"/>
        </w:rPr>
        <w:t>江苏省盐城中学拔尖创新人才培养课程项目</w:t>
      </w:r>
      <w:r>
        <w:rPr>
          <w:rFonts w:hint="eastAsia" w:ascii="宋体" w:hAnsi="宋体" w:eastAsia="宋体" w:cs="宋体"/>
          <w:color w:val="auto"/>
          <w:sz w:val="24"/>
          <w:highlight w:val="none"/>
        </w:rPr>
        <w:t>，详细内容见本招标文件第四章。</w:t>
      </w:r>
    </w:p>
    <w:p w14:paraId="57156B71">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7.合同履行期限：</w:t>
      </w:r>
      <w:r>
        <w:rPr>
          <w:rFonts w:ascii="宋体" w:hAnsi="宋体" w:eastAsia="宋体" w:cs="宋体"/>
          <w:color w:val="auto"/>
          <w:sz w:val="24"/>
          <w:highlight w:val="none"/>
        </w:rPr>
        <w:t>自合同签订生效之日起，至</w:t>
      </w:r>
      <w:r>
        <w:rPr>
          <w:rFonts w:hint="eastAsia" w:ascii="宋体" w:hAnsi="宋体" w:eastAsia="宋体" w:cs="宋体"/>
          <w:color w:val="auto"/>
          <w:sz w:val="24"/>
          <w:highlight w:val="none"/>
          <w:lang w:eastAsia="zh-CN"/>
        </w:rPr>
        <w:t>2026年6月</w:t>
      </w:r>
      <w:r>
        <w:rPr>
          <w:rFonts w:ascii="宋体" w:hAnsi="宋体" w:eastAsia="宋体" w:cs="宋体"/>
          <w:color w:val="auto"/>
          <w:sz w:val="24"/>
          <w:highlight w:val="none"/>
        </w:rPr>
        <w:t>底前完成所有服务内容。</w:t>
      </w:r>
    </w:p>
    <w:p w14:paraId="559DE839">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8.本项目不接受联合体参与谈判。</w:t>
      </w:r>
    </w:p>
    <w:p w14:paraId="45607163">
      <w:pPr>
        <w:pStyle w:val="3"/>
        <w:keepNext/>
        <w:keepLines/>
        <w:spacing w:beforeAutospacing="0" w:afterAutospacing="0" w:line="520" w:lineRule="exact"/>
        <w:jc w:val="both"/>
        <w:rPr>
          <w:rFonts w:hint="default" w:cs="宋体"/>
          <w:color w:val="auto"/>
          <w:sz w:val="24"/>
          <w:szCs w:val="24"/>
          <w:highlight w:val="none"/>
        </w:rPr>
      </w:pPr>
      <w:bookmarkStart w:id="16" w:name="_Toc200961561"/>
      <w:bookmarkStart w:id="17" w:name="_Toc203053448"/>
      <w:bookmarkStart w:id="18" w:name="_Toc35393791"/>
      <w:bookmarkStart w:id="19" w:name="_Toc28359080"/>
      <w:bookmarkStart w:id="20" w:name="_Toc35393622"/>
      <w:bookmarkStart w:id="21" w:name="_Toc28359003"/>
      <w:bookmarkStart w:id="22" w:name="_Toc38985264"/>
      <w:r>
        <w:rPr>
          <w:rFonts w:cs="宋体"/>
          <w:color w:val="auto"/>
          <w:sz w:val="24"/>
          <w:szCs w:val="24"/>
          <w:highlight w:val="none"/>
        </w:rPr>
        <w:t>二、申请人的资格要求：</w:t>
      </w:r>
      <w:bookmarkEnd w:id="16"/>
      <w:bookmarkEnd w:id="17"/>
      <w:bookmarkEnd w:id="18"/>
      <w:bookmarkEnd w:id="19"/>
      <w:bookmarkEnd w:id="20"/>
      <w:bookmarkEnd w:id="21"/>
      <w:bookmarkEnd w:id="22"/>
    </w:p>
    <w:p w14:paraId="6C39210B">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1.满足《中华人民共和国政府采购法》第二十二条规定，并提供下列材料：</w:t>
      </w:r>
    </w:p>
    <w:p w14:paraId="408A2461">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1.1 法人或者其他组织的营业执照等证明文件，自然人的身份证明；</w:t>
      </w:r>
    </w:p>
    <w:p w14:paraId="723BEF67">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1.2上一年度的财务状况报表（成立不满一年无需提供）；</w:t>
      </w:r>
    </w:p>
    <w:p w14:paraId="438D3AFC">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1.3具备履行合同所必需的设备和专业技术能力的书面声明；</w:t>
      </w:r>
    </w:p>
    <w:p w14:paraId="43F4BF7E">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6CDC7DA">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1.5参加政府采购活动前3年内在经营活动中没有重大违法记录的书面声明。</w:t>
      </w:r>
    </w:p>
    <w:p w14:paraId="6E7C9012">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1.6法律、行政法规规定的其他条件。</w:t>
      </w:r>
    </w:p>
    <w:p w14:paraId="74A7F6FC">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1FCD92C">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1.8单位负责人为同一人或者存在直接控股、管理关系的不同供应商，不得参加同一合同项下的政府采购活动。</w:t>
      </w:r>
    </w:p>
    <w:p w14:paraId="1A29DAB2">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2.落实政府采购政策需满足的资格要求：本项目专门面向中小企业采购。采购标的的所属行业为</w:t>
      </w:r>
      <w:r>
        <w:rPr>
          <w:rFonts w:hint="eastAsia" w:ascii="宋体" w:hAnsi="宋体" w:eastAsia="宋体" w:cs="宋体"/>
          <w:b/>
          <w:bCs/>
          <w:color w:val="auto"/>
          <w:sz w:val="24"/>
          <w:highlight w:val="none"/>
        </w:rPr>
        <w:t>租赁和商务服务业</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需按照采购文件的要求提供相应的《中小企业声明函》。</w:t>
      </w:r>
    </w:p>
    <w:p w14:paraId="556DEA59">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3.本项目的特定资格要求：</w:t>
      </w:r>
    </w:p>
    <w:p w14:paraId="2A824AB7">
      <w:pPr>
        <w:spacing w:line="480" w:lineRule="exact"/>
        <w:ind w:firstLine="480"/>
        <w:jc w:val="left"/>
        <w:rPr>
          <w:rFonts w:hint="eastAsia" w:ascii="宋体" w:hAnsi="宋体" w:cs="宋体" w:eastAsiaTheme="minorEastAsia"/>
          <w:color w:val="auto"/>
          <w:sz w:val="24"/>
          <w:highlight w:val="none"/>
          <w:lang w:eastAsia="zh-CN"/>
        </w:rPr>
      </w:pPr>
      <w:r>
        <w:rPr>
          <w:rFonts w:hint="eastAsia" w:ascii="宋体" w:hAnsi="宋体" w:eastAsia="宋体" w:cs="宋体"/>
          <w:color w:val="auto"/>
          <w:sz w:val="24"/>
          <w:highlight w:val="none"/>
          <w:lang w:eastAsia="zh-CN"/>
        </w:rPr>
        <w:t>供应商</w:t>
      </w:r>
      <w:r>
        <w:rPr>
          <w:rFonts w:hint="eastAsia" w:ascii="宋体" w:hAnsi="宋体" w:cs="宋体"/>
          <w:color w:val="auto"/>
          <w:sz w:val="24"/>
          <w:szCs w:val="20"/>
          <w:highlight w:val="none"/>
        </w:rPr>
        <w:t>自2022年1月1日以来(以合同签订时间为准)</w:t>
      </w:r>
      <w:r>
        <w:rPr>
          <w:rFonts w:hint="eastAsia" w:ascii="宋体" w:hAnsi="宋体" w:cs="宋体"/>
          <w:color w:val="auto"/>
          <w:sz w:val="24"/>
          <w:szCs w:val="20"/>
          <w:highlight w:val="none"/>
          <w:lang w:val="en-US" w:eastAsia="zh-CN"/>
        </w:rPr>
        <w:t>至少</w:t>
      </w:r>
      <w:r>
        <w:rPr>
          <w:rFonts w:hint="eastAsia" w:ascii="宋体" w:hAnsi="宋体" w:cs="宋体"/>
          <w:color w:val="auto"/>
          <w:sz w:val="24"/>
          <w:szCs w:val="20"/>
          <w:highlight w:val="none"/>
        </w:rPr>
        <w:t>承接过</w:t>
      </w:r>
      <w:r>
        <w:rPr>
          <w:rFonts w:hint="eastAsia" w:ascii="宋体" w:hAnsi="宋体" w:cs="宋体"/>
          <w:color w:val="auto"/>
          <w:sz w:val="24"/>
          <w:szCs w:val="20"/>
          <w:highlight w:val="none"/>
          <w:lang w:val="en-US" w:eastAsia="zh-CN"/>
        </w:rPr>
        <w:t>1个</w:t>
      </w:r>
      <w:r>
        <w:rPr>
          <w:rFonts w:hint="eastAsia" w:ascii="宋体" w:hAnsi="宋体" w:cs="宋体"/>
          <w:color w:val="auto"/>
          <w:sz w:val="24"/>
          <w:szCs w:val="20"/>
          <w:highlight w:val="none"/>
        </w:rPr>
        <w:t>类似服务项目业绩</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lang w:val="en-US" w:eastAsia="zh-CN"/>
        </w:rPr>
        <w:t>递交响应文件时须提供合同复印件及付款凭证，若未达到付款条件的，需提供甲方出具的证明材料。</w:t>
      </w:r>
      <w:r>
        <w:rPr>
          <w:rFonts w:hint="eastAsia" w:ascii="宋体" w:hAnsi="宋体" w:cs="宋体"/>
          <w:color w:val="auto"/>
          <w:sz w:val="24"/>
          <w:szCs w:val="20"/>
          <w:highlight w:val="none"/>
          <w:lang w:eastAsia="zh-CN"/>
        </w:rPr>
        <w:t>）。</w:t>
      </w:r>
    </w:p>
    <w:p w14:paraId="09CBC6EE">
      <w:pPr>
        <w:pStyle w:val="3"/>
        <w:keepNext/>
        <w:keepLines/>
        <w:spacing w:beforeAutospacing="0" w:afterAutospacing="0" w:line="520" w:lineRule="exact"/>
        <w:jc w:val="both"/>
        <w:rPr>
          <w:rFonts w:hint="default" w:cs="宋体"/>
          <w:color w:val="auto"/>
          <w:sz w:val="24"/>
          <w:szCs w:val="24"/>
          <w:highlight w:val="none"/>
        </w:rPr>
      </w:pPr>
      <w:bookmarkStart w:id="23" w:name="_Toc203053449"/>
      <w:bookmarkStart w:id="24" w:name="_Toc200961562"/>
      <w:r>
        <w:rPr>
          <w:rFonts w:cs="宋体"/>
          <w:color w:val="auto"/>
          <w:sz w:val="24"/>
          <w:szCs w:val="24"/>
          <w:highlight w:val="none"/>
        </w:rPr>
        <w:t>三、获取谈判文件</w:t>
      </w:r>
      <w:bookmarkEnd w:id="23"/>
      <w:bookmarkEnd w:id="24"/>
    </w:p>
    <w:p w14:paraId="784B6685">
      <w:pPr>
        <w:spacing w:line="480" w:lineRule="exact"/>
        <w:ind w:firstLine="480"/>
        <w:jc w:val="left"/>
        <w:rPr>
          <w:rFonts w:ascii="宋体" w:hAnsi="宋体" w:eastAsia="宋体" w:cs="宋体"/>
          <w:color w:val="auto"/>
          <w:sz w:val="24"/>
          <w:highlight w:val="none"/>
        </w:rPr>
      </w:pPr>
      <w:bookmarkStart w:id="25" w:name="_Toc35393793"/>
      <w:bookmarkStart w:id="26" w:name="_Toc28359005"/>
      <w:bookmarkStart w:id="27" w:name="_Toc28359082"/>
      <w:bookmarkStart w:id="28" w:name="_Toc38985266"/>
      <w:bookmarkStart w:id="29" w:name="_Toc35393624"/>
      <w:r>
        <w:rPr>
          <w:rFonts w:hint="eastAsia" w:ascii="宋体" w:hAnsi="宋体" w:eastAsia="宋体" w:cs="宋体"/>
          <w:color w:val="auto"/>
          <w:sz w:val="24"/>
          <w:highlight w:val="none"/>
        </w:rPr>
        <w:t>1.时间：自谈判文件公告发布之日起3个工作日。</w:t>
      </w:r>
      <w:bookmarkEnd w:id="25"/>
      <w:bookmarkEnd w:id="26"/>
      <w:bookmarkEnd w:id="27"/>
      <w:bookmarkEnd w:id="28"/>
      <w:bookmarkEnd w:id="29"/>
    </w:p>
    <w:p w14:paraId="03E191BE">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2.地点：“苏采云”系统内免费下载（</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必须在苏采云系统中获取采购文件，方能参与政府采购项目）；</w:t>
      </w:r>
    </w:p>
    <w:p w14:paraId="7ADDE224">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p>
    <w:p w14:paraId="17383862">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4.售价：0元</w:t>
      </w:r>
    </w:p>
    <w:p w14:paraId="141881D5">
      <w:pPr>
        <w:pStyle w:val="3"/>
        <w:keepNext/>
        <w:keepLines/>
        <w:spacing w:beforeAutospacing="0" w:afterAutospacing="0" w:line="520" w:lineRule="exact"/>
        <w:jc w:val="both"/>
        <w:rPr>
          <w:rFonts w:hint="default" w:cs="宋体"/>
          <w:color w:val="auto"/>
          <w:sz w:val="24"/>
          <w:szCs w:val="24"/>
          <w:highlight w:val="none"/>
        </w:rPr>
      </w:pPr>
      <w:bookmarkStart w:id="30" w:name="_Toc203053450"/>
      <w:bookmarkStart w:id="31" w:name="_Toc200961563"/>
      <w:r>
        <w:rPr>
          <w:rFonts w:cs="宋体"/>
          <w:color w:val="auto"/>
          <w:sz w:val="24"/>
          <w:szCs w:val="24"/>
          <w:highlight w:val="none"/>
        </w:rPr>
        <w:t>四、响应文件提交</w:t>
      </w:r>
      <w:bookmarkEnd w:id="30"/>
      <w:bookmarkEnd w:id="31"/>
    </w:p>
    <w:p w14:paraId="7796B08E">
      <w:pPr>
        <w:spacing w:line="48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点00分</w:t>
      </w:r>
      <w:r>
        <w:rPr>
          <w:rFonts w:hint="eastAsia" w:ascii="宋体" w:hAnsi="宋体" w:eastAsia="宋体" w:cs="宋体"/>
          <w:color w:val="auto"/>
          <w:sz w:val="24"/>
          <w:szCs w:val="24"/>
          <w:highlight w:val="none"/>
        </w:rPr>
        <w:t>（北京时间）。</w:t>
      </w:r>
    </w:p>
    <w:p w14:paraId="06A29BFC">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2.地点：“苏采云”政府采购交易系统网上开标大厅。</w:t>
      </w:r>
      <w:bookmarkStart w:id="205" w:name="_GoBack"/>
      <w:bookmarkEnd w:id="205"/>
    </w:p>
    <w:p w14:paraId="60B299D0">
      <w:pPr>
        <w:pStyle w:val="3"/>
        <w:keepNext/>
        <w:keepLines/>
        <w:spacing w:beforeAutospacing="0" w:afterAutospacing="0" w:line="520" w:lineRule="exact"/>
        <w:jc w:val="both"/>
        <w:rPr>
          <w:rFonts w:hint="default" w:cs="宋体"/>
          <w:color w:val="auto"/>
          <w:sz w:val="24"/>
          <w:szCs w:val="24"/>
          <w:highlight w:val="none"/>
        </w:rPr>
      </w:pPr>
      <w:bookmarkStart w:id="32" w:name="_Toc200961564"/>
      <w:bookmarkStart w:id="33" w:name="_Toc203053451"/>
      <w:bookmarkStart w:id="34" w:name="_Toc35393795"/>
      <w:bookmarkStart w:id="35" w:name="_Toc35393626"/>
      <w:bookmarkStart w:id="36" w:name="_Toc38985268"/>
      <w:r>
        <w:rPr>
          <w:rFonts w:cs="宋体"/>
          <w:color w:val="auto"/>
          <w:sz w:val="24"/>
          <w:szCs w:val="24"/>
          <w:highlight w:val="none"/>
        </w:rPr>
        <w:t>五、开启</w:t>
      </w:r>
      <w:bookmarkEnd w:id="32"/>
      <w:bookmarkEnd w:id="33"/>
    </w:p>
    <w:p w14:paraId="6190A2BE">
      <w:pPr>
        <w:spacing w:line="480" w:lineRule="exact"/>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点00分</w:t>
      </w:r>
      <w:r>
        <w:rPr>
          <w:rFonts w:hint="eastAsia" w:ascii="宋体" w:hAnsi="宋体" w:eastAsia="宋体" w:cs="宋体"/>
          <w:color w:val="auto"/>
          <w:sz w:val="24"/>
          <w:szCs w:val="24"/>
          <w:highlight w:val="none"/>
        </w:rPr>
        <w:t>（北京时间）。</w:t>
      </w:r>
      <w:bookmarkEnd w:id="34"/>
      <w:bookmarkEnd w:id="35"/>
      <w:bookmarkEnd w:id="36"/>
    </w:p>
    <w:p w14:paraId="2214A4F9">
      <w:pPr>
        <w:spacing w:line="48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2.地点：“苏采云”政府采购交易系统网上开标大厅。</w:t>
      </w:r>
    </w:p>
    <w:p w14:paraId="5F44B8CA">
      <w:pPr>
        <w:pStyle w:val="3"/>
        <w:keepNext/>
        <w:keepLines/>
        <w:spacing w:beforeAutospacing="0" w:afterAutospacing="0" w:line="520" w:lineRule="exact"/>
        <w:jc w:val="both"/>
        <w:rPr>
          <w:rFonts w:hint="default" w:cs="宋体"/>
          <w:color w:val="auto"/>
          <w:sz w:val="24"/>
          <w:szCs w:val="24"/>
          <w:highlight w:val="none"/>
        </w:rPr>
      </w:pPr>
      <w:bookmarkStart w:id="37" w:name="_Toc203053452"/>
      <w:bookmarkStart w:id="38" w:name="_Toc200961565"/>
      <w:bookmarkStart w:id="39" w:name="_Toc28359094"/>
      <w:r>
        <w:rPr>
          <w:rFonts w:cs="宋体"/>
          <w:color w:val="auto"/>
          <w:sz w:val="24"/>
          <w:szCs w:val="24"/>
          <w:highlight w:val="none"/>
        </w:rPr>
        <w:t>六、公告期限</w:t>
      </w:r>
      <w:bookmarkEnd w:id="37"/>
      <w:bookmarkEnd w:id="38"/>
      <w:bookmarkEnd w:id="39"/>
    </w:p>
    <w:p w14:paraId="4EC8EC76">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自本公告发布之日起3个工作日。</w:t>
      </w:r>
    </w:p>
    <w:p w14:paraId="54664DD7">
      <w:pPr>
        <w:pStyle w:val="3"/>
        <w:keepNext/>
        <w:keepLines/>
        <w:spacing w:beforeAutospacing="0" w:afterAutospacing="0" w:line="520" w:lineRule="exact"/>
        <w:jc w:val="both"/>
        <w:rPr>
          <w:rFonts w:hint="default" w:cs="宋体"/>
          <w:color w:val="auto"/>
          <w:sz w:val="24"/>
          <w:szCs w:val="24"/>
          <w:highlight w:val="none"/>
        </w:rPr>
      </w:pPr>
      <w:bookmarkStart w:id="40" w:name="_Toc200961566"/>
      <w:bookmarkStart w:id="41" w:name="_Toc203053453"/>
      <w:r>
        <w:rPr>
          <w:rFonts w:cs="宋体"/>
          <w:color w:val="auto"/>
          <w:sz w:val="24"/>
          <w:szCs w:val="24"/>
          <w:highlight w:val="none"/>
        </w:rPr>
        <w:t>七、其他补充事宜</w:t>
      </w:r>
      <w:bookmarkEnd w:id="40"/>
      <w:bookmarkEnd w:id="41"/>
    </w:p>
    <w:p w14:paraId="47181246">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通过苏采云系统参与政府采购项目，需要更换CA数字证书和电子签章。具体办理指南和操作手册：在盐城市政府采购网点击【办事指南】-【供应商参与政府采购活动相关资料】。</w:t>
      </w:r>
    </w:p>
    <w:p w14:paraId="7987DFC2">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16FC93A8">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p>
    <w:p w14:paraId="3A73CAAF">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 标--下载谈判文件（后缀名为“.kedt”）--将后缀名为“.kedt”的谈判文件导入政府采购客户端工具--制作响应文件--导出加密的响应文件（后缀名为 zip）--通过“苏采云”系统上传响应文件。具体见《“苏采云”系统供应商操作手册》 （手册下载地址：苏采云系统-右侧消息通知栏）。 </w:t>
      </w:r>
    </w:p>
    <w:p w14:paraId="6F0B8ABE">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2.2 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 xml:space="preserve">访问“苏采云”系统方法：江苏省政府采购网首页-“苏采云”链接。 </w:t>
      </w:r>
    </w:p>
    <w:p w14:paraId="51110640">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2.3 谈判文件（后缀名为“.kedt”）、供应商操作手册及政府采购客户端 工具可通过“苏采云”系统相应链接进行下载。 </w:t>
      </w:r>
    </w:p>
    <w:p w14:paraId="173C5744">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采购代理机构将数据电文形式的谈判文件加载至“苏采云”系统，供潜在供应商下载或者查阅。 </w:t>
      </w:r>
    </w:p>
    <w:p w14:paraId="5E0D93F9">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p>
    <w:p w14:paraId="27F8032E">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如潜在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未按上述要求操作，将自行承担所产生的风险。</w:t>
      </w:r>
    </w:p>
    <w:p w14:paraId="407FB7DD">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 有关本次谈判的事项若存在变动或修改，敬请及时关注采购代理机构在“中国政府采购网”、“江苏政府采购网”、“盐城市政府采购网”发布的更正公告。</w:t>
      </w:r>
    </w:p>
    <w:p w14:paraId="34B20086">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 本次谈判不收取谈判保证金，不收取履约保证金，不收取质量保证金。</w:t>
      </w:r>
    </w:p>
    <w:p w14:paraId="46B02C74">
      <w:pPr>
        <w:pStyle w:val="3"/>
        <w:keepNext/>
        <w:keepLines/>
        <w:spacing w:beforeAutospacing="0" w:afterAutospacing="0" w:line="520" w:lineRule="exact"/>
        <w:jc w:val="both"/>
        <w:rPr>
          <w:rFonts w:hint="default" w:cs="宋体"/>
          <w:color w:val="auto"/>
          <w:sz w:val="24"/>
          <w:szCs w:val="24"/>
          <w:highlight w:val="none"/>
        </w:rPr>
      </w:pPr>
      <w:bookmarkStart w:id="42" w:name="_Toc203053454"/>
      <w:bookmarkStart w:id="43" w:name="_Toc200961567"/>
      <w:r>
        <w:rPr>
          <w:rFonts w:cs="宋体"/>
          <w:color w:val="auto"/>
          <w:sz w:val="24"/>
          <w:szCs w:val="24"/>
          <w:highlight w:val="none"/>
        </w:rPr>
        <w:t>八、凡对本次采购提出询问，请按以下方式联系。</w:t>
      </w:r>
      <w:bookmarkEnd w:id="42"/>
      <w:bookmarkEnd w:id="43"/>
    </w:p>
    <w:p w14:paraId="77841315">
      <w:pPr>
        <w:spacing w:line="48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1.采购人信息</w:t>
      </w:r>
    </w:p>
    <w:p w14:paraId="67857147">
      <w:p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江苏省盐城中学</w:t>
      </w:r>
    </w:p>
    <w:p w14:paraId="038D6F76">
      <w:p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lang w:eastAsia="zh-CN"/>
        </w:rPr>
        <w:t>江苏省盐城市解放南路199号</w:t>
      </w:r>
    </w:p>
    <w:p w14:paraId="7C6C56AC">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val="en-US" w:eastAsia="zh-CN"/>
        </w:rPr>
        <w:t>夏</w:t>
      </w:r>
      <w:r>
        <w:rPr>
          <w:rFonts w:hint="eastAsia" w:ascii="宋体" w:hAnsi="宋体" w:eastAsia="宋体" w:cs="宋体"/>
          <w:color w:val="auto"/>
          <w:sz w:val="24"/>
          <w:highlight w:val="none"/>
        </w:rPr>
        <w:t>先生</w:t>
      </w:r>
    </w:p>
    <w:p w14:paraId="42D5B4FA">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联系电话：</w:t>
      </w:r>
      <w:bookmarkStart w:id="44" w:name="_Toc35393638"/>
      <w:bookmarkStart w:id="45" w:name="_Toc28359020"/>
      <w:bookmarkStart w:id="46" w:name="_Toc35393807"/>
      <w:bookmarkStart w:id="47" w:name="_Toc28359097"/>
      <w:r>
        <w:rPr>
          <w:rFonts w:hint="eastAsia" w:ascii="宋体" w:hAnsi="宋体" w:eastAsia="宋体" w:cs="宋体"/>
          <w:color w:val="auto"/>
          <w:sz w:val="24"/>
          <w:highlight w:val="none"/>
        </w:rPr>
        <w:t>13914627025</w:t>
      </w:r>
    </w:p>
    <w:p w14:paraId="2287E0EF">
      <w:pPr>
        <w:spacing w:line="48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2.采购代理机构信息</w:t>
      </w:r>
      <w:bookmarkEnd w:id="44"/>
      <w:bookmarkEnd w:id="45"/>
      <w:bookmarkEnd w:id="46"/>
      <w:bookmarkEnd w:id="47"/>
    </w:p>
    <w:p w14:paraId="7FBF6A31">
      <w:p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    称：</w:t>
      </w:r>
      <w:r>
        <w:rPr>
          <w:rFonts w:hint="eastAsia" w:ascii="宋体" w:hAnsi="宋体" w:eastAsia="宋体" w:cs="宋体"/>
          <w:color w:val="auto"/>
          <w:sz w:val="24"/>
          <w:highlight w:val="none"/>
          <w:lang w:eastAsia="zh-CN"/>
        </w:rPr>
        <w:t>江苏天翔工程项目管理有限公司</w:t>
      </w:r>
    </w:p>
    <w:p w14:paraId="0206EDF2">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地　　址：盐城市亭湖区长亭路3号长亭商厦1幢501室</w:t>
      </w:r>
    </w:p>
    <w:p w14:paraId="2EB81498">
      <w:pPr>
        <w:spacing w:line="480" w:lineRule="exact"/>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 系 人：</w:t>
      </w:r>
      <w:r>
        <w:rPr>
          <w:rFonts w:hint="eastAsia" w:ascii="宋体" w:hAnsi="宋体" w:eastAsia="宋体" w:cs="宋体"/>
          <w:color w:val="auto"/>
          <w:sz w:val="24"/>
          <w:highlight w:val="none"/>
          <w:lang w:val="en-US" w:eastAsia="zh-CN"/>
        </w:rPr>
        <w:t>陈工</w:t>
      </w:r>
    </w:p>
    <w:p w14:paraId="06F234E8">
      <w:pPr>
        <w:spacing w:line="480" w:lineRule="exact"/>
        <w:ind w:firstLine="48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联系电话：</w:t>
      </w:r>
      <w:r>
        <w:rPr>
          <w:rFonts w:hint="eastAsia" w:ascii="宋体" w:hAnsi="宋体" w:eastAsia="宋体" w:cs="宋体"/>
          <w:color w:val="auto"/>
          <w:sz w:val="24"/>
          <w:highlight w:val="none"/>
          <w:lang w:val="en-US" w:eastAsia="zh-CN"/>
        </w:rPr>
        <w:t>13961998418</w:t>
      </w:r>
    </w:p>
    <w:p w14:paraId="72CC4ED9">
      <w:pPr>
        <w:spacing w:line="480" w:lineRule="exact"/>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3.项目联系方式</w:t>
      </w:r>
    </w:p>
    <w:p w14:paraId="0025A0F5">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项目联系人：</w:t>
      </w:r>
      <w:r>
        <w:rPr>
          <w:rFonts w:hint="eastAsia" w:ascii="宋体" w:hAnsi="宋体" w:eastAsia="宋体" w:cs="宋体"/>
          <w:color w:val="auto"/>
          <w:sz w:val="24"/>
          <w:highlight w:val="none"/>
          <w:lang w:val="en-US" w:eastAsia="zh-CN"/>
        </w:rPr>
        <w:t>陈工</w:t>
      </w:r>
    </w:p>
    <w:p w14:paraId="37DF5043">
      <w:pPr>
        <w:spacing w:line="48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电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话：</w:t>
      </w:r>
      <w:r>
        <w:rPr>
          <w:rFonts w:hint="eastAsia" w:ascii="宋体" w:hAnsi="宋体" w:eastAsia="宋体" w:cs="宋体"/>
          <w:color w:val="auto"/>
          <w:sz w:val="24"/>
          <w:highlight w:val="none"/>
          <w:lang w:val="en-US" w:eastAsia="zh-CN"/>
        </w:rPr>
        <w:t>13961998418</w:t>
      </w:r>
    </w:p>
    <w:p w14:paraId="4E80111C">
      <w:pPr>
        <w:pStyle w:val="33"/>
        <w:spacing w:beforeAutospacing="0" w:afterAutospacing="0" w:line="540" w:lineRule="exact"/>
        <w:ind w:firstLine="480"/>
        <w:jc w:val="both"/>
        <w:rPr>
          <w:rFonts w:ascii="宋体" w:hAnsi="宋体" w:eastAsia="宋体" w:cs="宋体"/>
          <w:color w:val="auto"/>
          <w:highlight w:val="none"/>
        </w:rPr>
      </w:pPr>
    </w:p>
    <w:p w14:paraId="2818A775">
      <w:pPr>
        <w:pStyle w:val="33"/>
        <w:spacing w:beforeAutospacing="0" w:afterAutospacing="0"/>
        <w:ind w:right="840"/>
        <w:jc w:val="both"/>
        <w:rPr>
          <w:color w:val="auto"/>
          <w:highlight w:val="none"/>
        </w:rPr>
      </w:pPr>
      <w:r>
        <w:rPr>
          <w:color w:val="auto"/>
          <w:highlight w:val="none"/>
        </w:rPr>
        <w:t> </w:t>
      </w:r>
    </w:p>
    <w:p w14:paraId="0D65DDF6">
      <w:pPr>
        <w:pStyle w:val="33"/>
        <w:spacing w:beforeAutospacing="0" w:afterAutospacing="0"/>
        <w:ind w:right="840"/>
        <w:jc w:val="center"/>
        <w:rPr>
          <w:rFonts w:ascii="黑体" w:hAnsi="宋体" w:eastAsia="黑体" w:cs="黑体"/>
          <w:b/>
          <w:color w:val="auto"/>
          <w:sz w:val="44"/>
          <w:szCs w:val="44"/>
          <w:highlight w:val="none"/>
        </w:rPr>
      </w:pPr>
      <w:bookmarkStart w:id="48" w:name="_Toc120614211"/>
    </w:p>
    <w:p w14:paraId="60424347">
      <w:pPr>
        <w:rPr>
          <w:rFonts w:ascii="黑体" w:hAnsi="宋体" w:eastAsia="黑体" w:cs="黑体"/>
          <w:b/>
          <w:color w:val="auto"/>
          <w:sz w:val="44"/>
          <w:szCs w:val="44"/>
          <w:highlight w:val="none"/>
        </w:rPr>
      </w:pPr>
      <w:r>
        <w:rPr>
          <w:rFonts w:hint="eastAsia" w:ascii="黑体" w:hAnsi="宋体" w:eastAsia="黑体" w:cs="黑体"/>
          <w:b/>
          <w:color w:val="auto"/>
          <w:sz w:val="44"/>
          <w:szCs w:val="44"/>
          <w:highlight w:val="none"/>
        </w:rPr>
        <w:br w:type="page" w:clear="all"/>
      </w:r>
    </w:p>
    <w:p w14:paraId="56C9CF4D">
      <w:pPr>
        <w:pStyle w:val="33"/>
        <w:spacing w:beforeAutospacing="0" w:afterAutospacing="0" w:line="540" w:lineRule="exact"/>
        <w:jc w:val="center"/>
        <w:outlineLvl w:val="0"/>
        <w:rPr>
          <w:rFonts w:ascii="黑体" w:hAnsi="宋体" w:eastAsia="黑体" w:cs="黑体"/>
          <w:color w:val="auto"/>
          <w:sz w:val="44"/>
          <w:szCs w:val="44"/>
          <w:highlight w:val="none"/>
        </w:rPr>
      </w:pPr>
      <w:bookmarkStart w:id="49" w:name="_Toc203053455"/>
      <w:r>
        <w:rPr>
          <w:rFonts w:hint="eastAsia" w:ascii="黑体" w:hAnsi="宋体" w:eastAsia="黑体" w:cs="黑体"/>
          <w:color w:val="auto"/>
          <w:sz w:val="44"/>
          <w:szCs w:val="44"/>
          <w:highlight w:val="none"/>
        </w:rPr>
        <w:t xml:space="preserve">第二章  </w:t>
      </w:r>
      <w:bookmarkEnd w:id="48"/>
      <w:r>
        <w:rPr>
          <w:rFonts w:hint="eastAsia" w:ascii="黑体" w:hAnsi="宋体" w:eastAsia="黑体" w:cs="黑体"/>
          <w:color w:val="auto"/>
          <w:sz w:val="44"/>
          <w:szCs w:val="44"/>
          <w:highlight w:val="none"/>
        </w:rPr>
        <w:t>供应商须知</w:t>
      </w:r>
      <w:bookmarkEnd w:id="49"/>
    </w:p>
    <w:p w14:paraId="64039AFC">
      <w:pPr>
        <w:pStyle w:val="33"/>
        <w:keepNext/>
        <w:keepLines/>
        <w:spacing w:beforeAutospacing="0" w:afterAutospacing="0" w:line="360" w:lineRule="auto"/>
        <w:ind w:firstLine="482"/>
        <w:rPr>
          <w:rFonts w:ascii="宋体" w:hAnsi="宋体" w:eastAsia="宋体"/>
          <w:color w:val="auto"/>
          <w:highlight w:val="none"/>
        </w:rPr>
      </w:pPr>
      <w:bookmarkStart w:id="50" w:name="_Toc20823275"/>
      <w:bookmarkStart w:id="51" w:name="_Toc120614214"/>
      <w:bookmarkStart w:id="52" w:name="_Toc513029203"/>
      <w:bookmarkStart w:id="53" w:name="_Toc16938519"/>
      <w:r>
        <w:rPr>
          <w:rFonts w:ascii="宋体" w:hAnsi="宋体" w:eastAsia="宋体"/>
          <w:b/>
          <w:color w:val="auto"/>
          <w:highlight w:val="none"/>
        </w:rPr>
        <w:t>一、总则</w:t>
      </w:r>
      <w:bookmarkEnd w:id="50"/>
      <w:bookmarkEnd w:id="51"/>
      <w:bookmarkEnd w:id="52"/>
      <w:bookmarkEnd w:id="53"/>
    </w:p>
    <w:p w14:paraId="166C6951">
      <w:pPr>
        <w:pStyle w:val="33"/>
        <w:keepNext/>
        <w:keepLines/>
        <w:spacing w:beforeAutospacing="0" w:afterAutospacing="0" w:line="360" w:lineRule="auto"/>
        <w:ind w:firstLine="480"/>
        <w:rPr>
          <w:rFonts w:ascii="宋体" w:hAnsi="宋体" w:eastAsia="宋体"/>
          <w:color w:val="auto"/>
          <w:highlight w:val="none"/>
        </w:rPr>
      </w:pPr>
      <w:bookmarkStart w:id="54" w:name="_Toc20823276"/>
      <w:bookmarkStart w:id="55" w:name="_Toc458694821"/>
      <w:bookmarkStart w:id="56" w:name="_Toc16938520"/>
      <w:bookmarkStart w:id="57" w:name="_Toc513029204"/>
      <w:bookmarkStart w:id="58" w:name="_Hlt16619475"/>
      <w:r>
        <w:rPr>
          <w:rFonts w:ascii="宋体" w:hAnsi="宋体" w:eastAsia="宋体" w:cs="Arial"/>
          <w:color w:val="auto"/>
          <w:highlight w:val="none"/>
        </w:rPr>
        <w:t>1</w:t>
      </w:r>
      <w:bookmarkEnd w:id="54"/>
      <w:r>
        <w:rPr>
          <w:rFonts w:ascii="宋体" w:hAnsi="宋体" w:eastAsia="宋体" w:cs="Arial"/>
          <w:color w:val="auto"/>
          <w:highlight w:val="none"/>
        </w:rPr>
        <w:t>、采购方式</w:t>
      </w:r>
      <w:bookmarkEnd w:id="55"/>
      <w:bookmarkEnd w:id="56"/>
      <w:bookmarkEnd w:id="57"/>
    </w:p>
    <w:p w14:paraId="45A89BA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1.1 本次政府采购活动采取竞争性谈判(以下简称谈判)方式，本谈判文件仅适用于谈判公告中所述项目。</w:t>
      </w:r>
    </w:p>
    <w:p w14:paraId="72023BF2">
      <w:pPr>
        <w:pStyle w:val="33"/>
        <w:keepNext/>
        <w:keepLines/>
        <w:spacing w:beforeAutospacing="0" w:afterAutospacing="0" w:line="360" w:lineRule="auto"/>
        <w:ind w:firstLine="480"/>
        <w:rPr>
          <w:rFonts w:ascii="宋体" w:hAnsi="宋体" w:eastAsia="宋体"/>
          <w:color w:val="auto"/>
          <w:highlight w:val="none"/>
        </w:rPr>
      </w:pPr>
      <w:bookmarkStart w:id="59" w:name="_Toc16938521"/>
      <w:bookmarkStart w:id="60" w:name="_Toc513029205"/>
      <w:bookmarkStart w:id="61" w:name="_Toc20823277"/>
      <w:r>
        <w:rPr>
          <w:rFonts w:ascii="宋体" w:hAnsi="宋体" w:eastAsia="宋体" w:cs="Arial"/>
          <w:color w:val="auto"/>
          <w:highlight w:val="none"/>
        </w:rPr>
        <w:t>2、合格的</w:t>
      </w:r>
      <w:bookmarkEnd w:id="59"/>
      <w:bookmarkEnd w:id="60"/>
      <w:bookmarkEnd w:id="61"/>
      <w:r>
        <w:rPr>
          <w:rFonts w:ascii="宋体" w:hAnsi="宋体" w:eastAsia="宋体" w:cs="Arial"/>
          <w:color w:val="auto"/>
          <w:highlight w:val="none"/>
        </w:rPr>
        <w:t>供应商</w:t>
      </w:r>
    </w:p>
    <w:p w14:paraId="4EC12C4F">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2.1满足谈判公告中供应商资格要求的规定。</w:t>
      </w:r>
    </w:p>
    <w:p w14:paraId="2CBA613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2.2 满足本谈判文件实质性要求和条件的规定。</w:t>
      </w:r>
    </w:p>
    <w:p w14:paraId="01214773">
      <w:pPr>
        <w:pStyle w:val="33"/>
        <w:keepNext/>
        <w:keepLines/>
        <w:spacing w:beforeAutospacing="0" w:afterAutospacing="0" w:line="360" w:lineRule="auto"/>
        <w:ind w:firstLine="480"/>
        <w:rPr>
          <w:rFonts w:ascii="宋体" w:hAnsi="宋体" w:eastAsia="宋体"/>
          <w:color w:val="auto"/>
          <w:highlight w:val="none"/>
        </w:rPr>
      </w:pPr>
      <w:bookmarkStart w:id="62" w:name="_Toc513029206"/>
      <w:bookmarkStart w:id="63" w:name="_Toc16938522"/>
      <w:bookmarkStart w:id="64" w:name="_Toc20823278"/>
      <w:r>
        <w:rPr>
          <w:rFonts w:ascii="宋体" w:hAnsi="宋体" w:eastAsia="宋体" w:cs="Arial"/>
          <w:color w:val="auto"/>
          <w:highlight w:val="none"/>
        </w:rPr>
        <w:t>3、适用法律</w:t>
      </w:r>
      <w:bookmarkEnd w:id="62"/>
      <w:bookmarkEnd w:id="63"/>
      <w:bookmarkEnd w:id="64"/>
    </w:p>
    <w:p w14:paraId="1E51D95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3.1 本次谈判及由此产生的合同受中华人民共和国有关的法律法规制约和保护。</w:t>
      </w:r>
    </w:p>
    <w:p w14:paraId="165C8111">
      <w:pPr>
        <w:pStyle w:val="33"/>
        <w:keepNext/>
        <w:keepLines/>
        <w:spacing w:beforeAutospacing="0" w:afterAutospacing="0" w:line="360" w:lineRule="auto"/>
        <w:ind w:firstLine="480"/>
        <w:rPr>
          <w:rFonts w:ascii="宋体" w:hAnsi="宋体" w:eastAsia="宋体"/>
          <w:color w:val="auto"/>
          <w:highlight w:val="none"/>
        </w:rPr>
      </w:pPr>
      <w:bookmarkStart w:id="65" w:name="_Toc462564067"/>
      <w:bookmarkStart w:id="66" w:name="_Toc513029207"/>
      <w:bookmarkStart w:id="67" w:name="_Toc20823279"/>
      <w:bookmarkStart w:id="68" w:name="_Toc16938523"/>
      <w:r>
        <w:rPr>
          <w:rFonts w:ascii="宋体" w:hAnsi="宋体" w:eastAsia="宋体" w:cs="Arial"/>
          <w:color w:val="auto"/>
          <w:highlight w:val="none"/>
        </w:rPr>
        <w:t>4、谈判费用</w:t>
      </w:r>
      <w:bookmarkEnd w:id="65"/>
      <w:bookmarkEnd w:id="66"/>
      <w:bookmarkEnd w:id="67"/>
      <w:bookmarkEnd w:id="68"/>
    </w:p>
    <w:p w14:paraId="363DB04B">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4.1供应商应自行承担所有与参加本次谈判有关的费用，无论谈判过程中的做法和结果如何，采购代理在任何情况下均无义务和责任承担这些费用。本项目代理费按《江苏省政府采购代理服务收费指导意见》(苏政采协【2024】20号)</w:t>
      </w:r>
      <w:r>
        <w:rPr>
          <w:rFonts w:hint="eastAsia" w:ascii="宋体" w:hAnsi="宋体" w:eastAsia="宋体" w:cs="宋体"/>
          <w:color w:val="auto"/>
          <w:highlight w:val="none"/>
          <w:lang w:val="en-US" w:eastAsia="zh-CN"/>
        </w:rPr>
        <w:t>的70%</w:t>
      </w:r>
      <w:r>
        <w:rPr>
          <w:rFonts w:hint="eastAsia" w:ascii="宋体" w:hAnsi="宋体" w:eastAsia="宋体" w:cs="宋体"/>
          <w:color w:val="auto"/>
          <w:highlight w:val="none"/>
        </w:rPr>
        <w:t>收费标准计算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由成交人承担，该费用折算报价中，不在响应文件中单独列出。中标通知发放前，此款交</w:t>
      </w:r>
      <w:r>
        <w:rPr>
          <w:rFonts w:hint="eastAsia" w:ascii="宋体" w:hAnsi="宋体" w:eastAsia="宋体" w:cs="宋体"/>
          <w:color w:val="auto"/>
          <w:highlight w:val="none"/>
          <w:lang w:eastAsia="zh-CN"/>
        </w:rPr>
        <w:t>江苏天翔工程项目管理有限公司</w:t>
      </w: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陈工。</w:t>
      </w:r>
    </w:p>
    <w:p w14:paraId="6FF84896">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4.2本次谈判采购代理机构和采购人不收取标书工本费。</w:t>
      </w:r>
    </w:p>
    <w:p w14:paraId="5A1C000B">
      <w:pPr>
        <w:pStyle w:val="33"/>
        <w:keepNext/>
        <w:keepLines/>
        <w:spacing w:beforeAutospacing="0" w:afterAutospacing="0" w:line="360" w:lineRule="auto"/>
        <w:ind w:firstLine="482"/>
        <w:rPr>
          <w:rFonts w:ascii="宋体" w:hAnsi="宋体" w:eastAsia="宋体"/>
          <w:color w:val="auto"/>
          <w:highlight w:val="none"/>
        </w:rPr>
      </w:pPr>
      <w:r>
        <w:rPr>
          <w:rFonts w:hint="eastAsia" w:ascii="宋体" w:hAnsi="宋体" w:eastAsia="宋体" w:cs="宋体"/>
          <w:b/>
          <w:color w:val="auto"/>
          <w:highlight w:val="none"/>
        </w:rPr>
        <w:t>5、</w:t>
      </w:r>
      <w:r>
        <w:rPr>
          <w:rFonts w:hint="eastAsia" w:ascii="宋体" w:hAnsi="宋体" w:eastAsia="宋体" w:cs="黑体"/>
          <w:color w:val="auto"/>
          <w:highlight w:val="none"/>
        </w:rPr>
        <w:t>谈判文件的约束力</w:t>
      </w:r>
    </w:p>
    <w:p w14:paraId="649D8A5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5.1供应商一旦参加本项目采购活动，即被认为接受了本谈判文件的规定和约束。</w:t>
      </w:r>
    </w:p>
    <w:p w14:paraId="221237CF">
      <w:pPr>
        <w:pStyle w:val="33"/>
        <w:keepNext/>
        <w:keepLines/>
        <w:spacing w:beforeAutospacing="0" w:afterAutospacing="0" w:line="360" w:lineRule="auto"/>
        <w:ind w:firstLine="482"/>
        <w:rPr>
          <w:rFonts w:ascii="宋体" w:hAnsi="宋体" w:eastAsia="宋体"/>
          <w:color w:val="auto"/>
          <w:highlight w:val="none"/>
        </w:rPr>
      </w:pPr>
      <w:bookmarkStart w:id="69" w:name="_Toc16938525"/>
      <w:bookmarkStart w:id="70" w:name="_Toc20823281"/>
      <w:bookmarkStart w:id="71" w:name="_Toc120614215"/>
      <w:bookmarkStart w:id="72" w:name="_Toc513029209"/>
      <w:r>
        <w:rPr>
          <w:rFonts w:ascii="宋体" w:hAnsi="宋体" w:eastAsia="宋体"/>
          <w:b/>
          <w:color w:val="auto"/>
          <w:highlight w:val="none"/>
        </w:rPr>
        <w:t>二、</w:t>
      </w:r>
      <w:bookmarkEnd w:id="69"/>
      <w:bookmarkEnd w:id="70"/>
      <w:bookmarkEnd w:id="71"/>
      <w:bookmarkEnd w:id="72"/>
      <w:r>
        <w:rPr>
          <w:rFonts w:ascii="宋体" w:hAnsi="宋体" w:eastAsia="宋体"/>
          <w:b/>
          <w:color w:val="auto"/>
          <w:highlight w:val="none"/>
        </w:rPr>
        <w:t>谈判文件</w:t>
      </w:r>
    </w:p>
    <w:p w14:paraId="7F76D16A">
      <w:pPr>
        <w:pStyle w:val="33"/>
        <w:keepNext/>
        <w:keepLines/>
        <w:spacing w:beforeAutospacing="0" w:afterAutospacing="0" w:line="360" w:lineRule="auto"/>
        <w:ind w:firstLine="480"/>
        <w:rPr>
          <w:rFonts w:ascii="宋体" w:hAnsi="宋体" w:eastAsia="宋体"/>
          <w:color w:val="auto"/>
          <w:highlight w:val="none"/>
        </w:rPr>
      </w:pPr>
      <w:bookmarkStart w:id="73" w:name="_Toc513029210"/>
      <w:bookmarkStart w:id="74" w:name="_Toc20823282"/>
      <w:bookmarkStart w:id="75" w:name="_Toc16938526"/>
      <w:r>
        <w:rPr>
          <w:rFonts w:ascii="宋体" w:hAnsi="宋体" w:eastAsia="宋体" w:cs="Arial"/>
          <w:color w:val="auto"/>
          <w:highlight w:val="none"/>
        </w:rPr>
        <w:t>6、谈判文件构成</w:t>
      </w:r>
      <w:bookmarkEnd w:id="73"/>
      <w:bookmarkEnd w:id="74"/>
      <w:bookmarkEnd w:id="75"/>
    </w:p>
    <w:p w14:paraId="7947A54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6.1谈判文件由以下部分组成：</w:t>
      </w:r>
    </w:p>
    <w:p w14:paraId="12842D2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（1）谈判公告</w:t>
      </w:r>
    </w:p>
    <w:p w14:paraId="3949A6C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（2）供应商须知</w:t>
      </w:r>
    </w:p>
    <w:p w14:paraId="1DDAD30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（3）合同文本</w:t>
      </w:r>
    </w:p>
    <w:p w14:paraId="6B0E3EDB">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（4）采购需求</w:t>
      </w:r>
    </w:p>
    <w:p w14:paraId="233D2C0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（5）响应文件格式</w:t>
      </w:r>
    </w:p>
    <w:p w14:paraId="5C0A0E4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请仔细检查谈判文件是否齐全，如有缺漏请立即与采购代理联系解决。</w:t>
      </w:r>
    </w:p>
    <w:p w14:paraId="5CD93C0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0AA9488E">
      <w:pPr>
        <w:pStyle w:val="33"/>
        <w:keepNext/>
        <w:keepLines/>
        <w:spacing w:beforeAutospacing="0" w:afterAutospacing="0" w:line="360" w:lineRule="auto"/>
        <w:ind w:firstLine="480"/>
        <w:rPr>
          <w:rFonts w:ascii="宋体" w:hAnsi="宋体" w:eastAsia="宋体"/>
          <w:color w:val="auto"/>
          <w:highlight w:val="none"/>
        </w:rPr>
      </w:pPr>
      <w:bookmarkStart w:id="76" w:name="_Toc20823283"/>
      <w:bookmarkStart w:id="77" w:name="_Toc16938527"/>
      <w:bookmarkStart w:id="78" w:name="_Toc462564070"/>
      <w:bookmarkStart w:id="79" w:name="_Toc513029211"/>
      <w:r>
        <w:rPr>
          <w:rFonts w:ascii="宋体" w:hAnsi="宋体" w:eastAsia="宋体" w:cs="Arial"/>
          <w:color w:val="auto"/>
          <w:highlight w:val="none"/>
        </w:rPr>
        <w:t>7、谈判文件的澄清</w:t>
      </w:r>
      <w:bookmarkEnd w:id="76"/>
      <w:bookmarkEnd w:id="77"/>
      <w:bookmarkEnd w:id="78"/>
      <w:bookmarkEnd w:id="79"/>
    </w:p>
    <w:p w14:paraId="72FEB0FF">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7.1 任何要求对谈判文件进行澄清的供应商，应在谈判截止期3个工作日前按谈判公告中的通讯地址，以书面形式通知采购代理。</w:t>
      </w:r>
    </w:p>
    <w:p w14:paraId="57B39D77">
      <w:pPr>
        <w:pStyle w:val="33"/>
        <w:keepNext/>
        <w:keepLines/>
        <w:spacing w:beforeAutospacing="0" w:afterAutospacing="0" w:line="360" w:lineRule="auto"/>
        <w:ind w:firstLine="480"/>
        <w:rPr>
          <w:rFonts w:ascii="宋体" w:hAnsi="宋体" w:eastAsia="宋体"/>
          <w:color w:val="auto"/>
          <w:highlight w:val="none"/>
        </w:rPr>
      </w:pPr>
      <w:bookmarkStart w:id="80" w:name="_Toc16938528"/>
      <w:bookmarkStart w:id="81" w:name="_Toc462564071"/>
      <w:bookmarkStart w:id="82" w:name="_Toc513029212"/>
      <w:bookmarkStart w:id="83" w:name="_Toc20823284"/>
      <w:r>
        <w:rPr>
          <w:rFonts w:ascii="宋体" w:hAnsi="宋体" w:eastAsia="宋体" w:cs="Arial"/>
          <w:color w:val="auto"/>
          <w:highlight w:val="none"/>
        </w:rPr>
        <w:t>8、谈判文件的澄清和修改</w:t>
      </w:r>
      <w:bookmarkEnd w:id="80"/>
      <w:bookmarkEnd w:id="81"/>
      <w:bookmarkEnd w:id="82"/>
      <w:bookmarkEnd w:id="83"/>
    </w:p>
    <w:p w14:paraId="2B431784">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8.1 在响应文件提交截止时间</w:t>
      </w:r>
      <w:r>
        <w:rPr>
          <w:rFonts w:ascii="宋体" w:hAnsi="宋体" w:eastAsia="宋体" w:cs="仿宋_GB2312"/>
          <w:color w:val="auto"/>
          <w:highlight w:val="none"/>
        </w:rPr>
        <w:t>前</w:t>
      </w:r>
      <w:r>
        <w:rPr>
          <w:rFonts w:hint="eastAsia" w:ascii="宋体" w:hAnsi="宋体" w:eastAsia="宋体" w:cs="宋体"/>
          <w:color w:val="auto"/>
          <w:highlight w:val="none"/>
        </w:rPr>
        <w:t>，采购代理可以对谈判文件进行澄清和修改,</w:t>
      </w:r>
      <w:r>
        <w:rPr>
          <w:rFonts w:ascii="宋体" w:hAnsi="宋体" w:eastAsia="宋体"/>
          <w:color w:val="auto"/>
          <w:highlight w:val="none"/>
        </w:rPr>
        <w:t> </w:t>
      </w:r>
      <w:r>
        <w:rPr>
          <w:rFonts w:hint="eastAsia" w:ascii="宋体" w:hAnsi="宋体" w:eastAsia="宋体" w:cs="宋体"/>
          <w:color w:val="auto"/>
          <w:highlight w:val="none"/>
        </w:rPr>
        <w:t>澄清或者修改的内容作为谈判文件的组成部分。澄清或者修改的内容可能影响响应文件编制的，采购代理将在提交首次响应文件截止时间至少3个工作日前，在“中国政府采购网”、“江苏政府采购网”、“盐城市政府采购网”上发布书面更正公告形式通知所有获取谈判文件的供应商,</w:t>
      </w:r>
      <w:r>
        <w:rPr>
          <w:rFonts w:ascii="宋体" w:hAnsi="宋体" w:eastAsia="宋体"/>
          <w:color w:val="auto"/>
          <w:highlight w:val="none"/>
        </w:rPr>
        <w:t> </w:t>
      </w:r>
      <w:r>
        <w:rPr>
          <w:rFonts w:hint="eastAsia" w:ascii="宋体" w:hAnsi="宋体" w:eastAsia="宋体" w:cs="宋体"/>
          <w:color w:val="auto"/>
          <w:highlight w:val="none"/>
        </w:rPr>
        <w:t>更正公告内容将作为谈判文件的组成部分，并对供应商具有约束力。不足3个工作日的，采购代理将顺延提交首次响应文件截止时间。</w:t>
      </w:r>
    </w:p>
    <w:p w14:paraId="10623F4A">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8.2采购代理可以视采购项目的具体情况，组织供应商进行现场考察或召开谈判前答疑会，但不单独或分别组织只有一个供应商参加的现场考察和答疑会。</w:t>
      </w:r>
    </w:p>
    <w:p w14:paraId="5C7BF6E4">
      <w:pPr>
        <w:pStyle w:val="33"/>
        <w:keepNext/>
        <w:keepLines/>
        <w:spacing w:beforeAutospacing="0" w:afterAutospacing="0" w:line="360" w:lineRule="auto"/>
        <w:ind w:firstLine="482"/>
        <w:rPr>
          <w:rFonts w:ascii="宋体" w:hAnsi="宋体" w:eastAsia="宋体"/>
          <w:color w:val="auto"/>
          <w:highlight w:val="none"/>
        </w:rPr>
      </w:pPr>
      <w:bookmarkStart w:id="84" w:name="_Toc120614216"/>
      <w:bookmarkStart w:id="85" w:name="_Toc462564072"/>
      <w:bookmarkStart w:id="86" w:name="_Toc513029213"/>
      <w:bookmarkStart w:id="87" w:name="_Toc16938529"/>
      <w:bookmarkStart w:id="88" w:name="_Toc20823285"/>
      <w:r>
        <w:rPr>
          <w:rFonts w:ascii="宋体" w:hAnsi="宋体" w:eastAsia="宋体"/>
          <w:b/>
          <w:color w:val="auto"/>
          <w:highlight w:val="none"/>
        </w:rPr>
        <w:t>三、响应文件的编制</w:t>
      </w:r>
      <w:bookmarkEnd w:id="84"/>
      <w:bookmarkEnd w:id="85"/>
      <w:bookmarkEnd w:id="86"/>
      <w:bookmarkEnd w:id="87"/>
      <w:bookmarkEnd w:id="88"/>
    </w:p>
    <w:p w14:paraId="38B7DB35">
      <w:pPr>
        <w:pStyle w:val="33"/>
        <w:keepNext/>
        <w:keepLines/>
        <w:spacing w:beforeAutospacing="0" w:afterAutospacing="0" w:line="360" w:lineRule="auto"/>
        <w:ind w:firstLine="480"/>
        <w:rPr>
          <w:rFonts w:ascii="宋体" w:hAnsi="宋体" w:eastAsia="宋体"/>
          <w:color w:val="auto"/>
          <w:highlight w:val="none"/>
        </w:rPr>
      </w:pPr>
      <w:bookmarkStart w:id="89" w:name="_Toc462564073"/>
      <w:bookmarkStart w:id="90" w:name="_Toc513029214"/>
      <w:bookmarkStart w:id="91" w:name="_Toc16938530"/>
      <w:bookmarkStart w:id="92" w:name="_Toc20823286"/>
      <w:r>
        <w:rPr>
          <w:rFonts w:ascii="宋体" w:hAnsi="宋体" w:eastAsia="宋体" w:cs="Arial"/>
          <w:color w:val="auto"/>
          <w:highlight w:val="none"/>
        </w:rPr>
        <w:t>9、响应文件的语言及度量衡单位</w:t>
      </w:r>
      <w:bookmarkEnd w:id="89"/>
      <w:bookmarkEnd w:id="90"/>
      <w:bookmarkEnd w:id="91"/>
      <w:bookmarkEnd w:id="92"/>
    </w:p>
    <w:p w14:paraId="1F338DB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9.1供应商提交的响应文件以及供应商与采购代理就有关谈判的所有来往通知、函件和文件均应使用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395474B4">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9.2 除技术性能另有规定外，响应文件所使用的度量衡单位，均须采用国家法定计量单位。</w:t>
      </w:r>
    </w:p>
    <w:p w14:paraId="330BE0B5">
      <w:pPr>
        <w:pStyle w:val="33"/>
        <w:keepNext/>
        <w:keepLines/>
        <w:spacing w:beforeAutospacing="0" w:afterAutospacing="0" w:line="360" w:lineRule="auto"/>
        <w:ind w:firstLine="480"/>
        <w:rPr>
          <w:rFonts w:ascii="宋体" w:hAnsi="宋体" w:eastAsia="宋体"/>
          <w:color w:val="auto"/>
          <w:highlight w:val="none"/>
        </w:rPr>
      </w:pPr>
      <w:bookmarkStart w:id="93" w:name="_Toc20823287"/>
      <w:bookmarkStart w:id="94" w:name="_Toc16938531"/>
      <w:bookmarkStart w:id="95" w:name="_Toc462564074"/>
      <w:bookmarkStart w:id="96" w:name="_Toc513029215"/>
      <w:r>
        <w:rPr>
          <w:rFonts w:ascii="宋体" w:hAnsi="宋体" w:eastAsia="宋体" w:cs="Arial"/>
          <w:color w:val="auto"/>
          <w:highlight w:val="none"/>
        </w:rPr>
        <w:t>10、响应文件构成</w:t>
      </w:r>
      <w:bookmarkEnd w:id="93"/>
      <w:bookmarkEnd w:id="94"/>
      <w:bookmarkEnd w:id="95"/>
      <w:bookmarkEnd w:id="96"/>
    </w:p>
    <w:p w14:paraId="1AE9237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10.1供应商编写的响应文件应包括资格证明文件、符合性证明文件、分项报价表、技术要求响应及偏离表、商务要求响应及偏离表、其他证明文件、谈判响应函等部分。</w:t>
      </w:r>
    </w:p>
    <w:p w14:paraId="1BD2E94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10.2 如标书制作工具中格式和内容与</w:t>
      </w:r>
      <w:r>
        <w:rPr>
          <w:rFonts w:hint="eastAsia" w:ascii="宋体" w:hAnsi="宋体" w:eastAsia="宋体" w:cs="仿宋"/>
          <w:color w:val="auto"/>
          <w:highlight w:val="none"/>
          <w:shd w:val="clear" w:color="auto" w:fill="FFFFFF"/>
        </w:rPr>
        <w:t>“</w:t>
      </w:r>
      <w:r>
        <w:rPr>
          <w:rFonts w:hint="eastAsia" w:ascii="宋体" w:hAnsi="宋体" w:eastAsia="宋体" w:cs="宋体"/>
          <w:color w:val="auto"/>
          <w:highlight w:val="none"/>
        </w:rPr>
        <w:t>中国政府采购网”、“江苏政府采购网”、“盐城市政府采购网”发布的谈判文件不一致，请以</w:t>
      </w:r>
      <w:r>
        <w:rPr>
          <w:rFonts w:hint="eastAsia" w:ascii="宋体" w:hAnsi="宋体" w:eastAsia="宋体" w:cs="仿宋"/>
          <w:color w:val="auto"/>
          <w:highlight w:val="none"/>
          <w:shd w:val="clear" w:color="auto" w:fill="FFFFFF"/>
        </w:rPr>
        <w:t>“</w:t>
      </w:r>
      <w:r>
        <w:rPr>
          <w:rFonts w:hint="eastAsia" w:ascii="宋体" w:hAnsi="宋体" w:eastAsia="宋体" w:cs="宋体"/>
          <w:color w:val="auto"/>
          <w:highlight w:val="none"/>
        </w:rPr>
        <w:t>中国政府采购网”、“江苏政府采购网”、“盐城市政府采购网”发布的谈判文件为准。</w:t>
      </w:r>
    </w:p>
    <w:p w14:paraId="407F445D">
      <w:pPr>
        <w:pStyle w:val="33"/>
        <w:keepNext/>
        <w:keepLines/>
        <w:spacing w:beforeAutospacing="0" w:afterAutospacing="0" w:line="360" w:lineRule="auto"/>
        <w:ind w:firstLine="480"/>
        <w:rPr>
          <w:rFonts w:ascii="宋体" w:hAnsi="宋体" w:eastAsia="宋体"/>
          <w:color w:val="auto"/>
          <w:highlight w:val="none"/>
        </w:rPr>
      </w:pPr>
      <w:bookmarkStart w:id="97" w:name="_Toc49090509"/>
      <w:bookmarkStart w:id="98" w:name="_Toc49090507"/>
      <w:bookmarkStart w:id="99" w:name="_Toc14577355"/>
      <w:bookmarkStart w:id="100" w:name="_Toc513029219"/>
      <w:bookmarkStart w:id="101" w:name="_Toc14577354"/>
      <w:bookmarkStart w:id="102" w:name="_Toc513029216"/>
      <w:bookmarkStart w:id="103" w:name="_Toc49090508"/>
      <w:bookmarkStart w:id="104" w:name="_Toc14577357"/>
      <w:bookmarkStart w:id="105" w:name="_Hlt26954838"/>
      <w:bookmarkStart w:id="106" w:name="_Hlt26668975"/>
      <w:bookmarkStart w:id="107" w:name="_Hlt26670360"/>
      <w:r>
        <w:rPr>
          <w:rFonts w:ascii="宋体" w:hAnsi="宋体" w:eastAsia="宋体" w:cs="Arial"/>
          <w:color w:val="auto"/>
          <w:highlight w:val="none"/>
        </w:rPr>
        <w:t>11、证明谈判响应标的符合谈判文件规定的文件</w:t>
      </w:r>
      <w:bookmarkEnd w:id="97"/>
      <w:bookmarkEnd w:id="98"/>
      <w:bookmarkEnd w:id="99"/>
      <w:bookmarkEnd w:id="100"/>
      <w:bookmarkEnd w:id="101"/>
      <w:bookmarkEnd w:id="102"/>
      <w:bookmarkEnd w:id="103"/>
      <w:bookmarkEnd w:id="104"/>
    </w:p>
    <w:p w14:paraId="18B5A3E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11.1供应商应按照谈判文件要求提交证明文件，证明其及谈判响应标的符合谈判文件规定。</w:t>
      </w:r>
    </w:p>
    <w:p w14:paraId="0854D06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11.2谈判文件对证明文件无明确形式要求的，证明文件可以以文字资料、图纸和数据等形式提交。</w:t>
      </w:r>
    </w:p>
    <w:p w14:paraId="680E7461">
      <w:pPr>
        <w:pStyle w:val="33"/>
        <w:keepNext/>
        <w:keepLines/>
        <w:spacing w:beforeAutospacing="0" w:afterAutospacing="0" w:line="360" w:lineRule="auto"/>
        <w:ind w:firstLine="480"/>
        <w:rPr>
          <w:rFonts w:ascii="宋体" w:hAnsi="宋体" w:eastAsia="宋体"/>
          <w:color w:val="auto"/>
          <w:highlight w:val="none"/>
        </w:rPr>
      </w:pPr>
      <w:r>
        <w:rPr>
          <w:rFonts w:ascii="宋体" w:hAnsi="宋体" w:eastAsia="宋体" w:cs="Arial"/>
          <w:color w:val="auto"/>
          <w:highlight w:val="none"/>
        </w:rPr>
        <w:t>12、分项报价表</w:t>
      </w:r>
    </w:p>
    <w:p w14:paraId="1EE8837A">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12.1供应商应按照谈判文件规定格式填报分项报价表。</w:t>
      </w:r>
    </w:p>
    <w:p w14:paraId="304EEC4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12.2谈判货币。响应文件中的单价和总价无特殊规定的采用人民币报价，以元为单位标注。谈判文件中另有规定的按规定执行。</w:t>
      </w:r>
    </w:p>
    <w:p w14:paraId="0EE7B8FD">
      <w:pPr>
        <w:pStyle w:val="33"/>
        <w:keepNext/>
        <w:keepLines/>
        <w:spacing w:beforeAutospacing="0" w:afterAutospacing="0" w:line="360" w:lineRule="auto"/>
        <w:ind w:firstLine="480"/>
        <w:rPr>
          <w:rFonts w:ascii="宋体" w:hAnsi="宋体" w:eastAsia="宋体"/>
          <w:color w:val="auto"/>
          <w:highlight w:val="none"/>
        </w:rPr>
      </w:pPr>
      <w:bookmarkStart w:id="108" w:name="_Hlt26670486"/>
      <w:bookmarkStart w:id="109" w:name="_Hlt26954731"/>
      <w:bookmarkStart w:id="110" w:name="_Hlt26954848"/>
      <w:bookmarkStart w:id="111" w:name="_Hlt26670482"/>
      <w:bookmarkStart w:id="112" w:name="_Hlt26954846"/>
      <w:r>
        <w:rPr>
          <w:rFonts w:ascii="宋体" w:hAnsi="宋体" w:eastAsia="宋体" w:cs="Arial"/>
          <w:color w:val="auto"/>
          <w:highlight w:val="none"/>
        </w:rPr>
        <w:t>13、技术要求响应及偏离表、商务要求响应及偏离表</w:t>
      </w:r>
    </w:p>
    <w:p w14:paraId="2DBDA0F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13.1供应商需对谈判文件中的技术要求与商务要求逐项作出响应或偏离，并说明原因。</w:t>
      </w:r>
    </w:p>
    <w:p w14:paraId="1CC4889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13.2供应商可在响应文件中提供认为需要的其他技术文件或说明。</w:t>
      </w:r>
    </w:p>
    <w:p w14:paraId="08BFCB53">
      <w:pPr>
        <w:pStyle w:val="33"/>
        <w:keepNext/>
        <w:keepLines/>
        <w:spacing w:beforeAutospacing="0" w:afterAutospacing="0" w:line="360" w:lineRule="auto"/>
        <w:ind w:firstLine="480"/>
        <w:rPr>
          <w:rFonts w:ascii="宋体" w:hAnsi="宋体" w:eastAsia="宋体"/>
          <w:color w:val="auto"/>
          <w:highlight w:val="none"/>
        </w:rPr>
      </w:pPr>
      <w:r>
        <w:rPr>
          <w:rFonts w:ascii="宋体" w:hAnsi="宋体" w:eastAsia="宋体" w:cs="Arial"/>
          <w:color w:val="auto"/>
          <w:highlight w:val="none"/>
        </w:rPr>
        <w:t>14、服务承诺、培训计划、人员安排及其他</w:t>
      </w:r>
    </w:p>
    <w:p w14:paraId="4FC913E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14.1供应商需根据谈判文件要求提供有关售后服务的管理制度，售后服务机构的分布情况，售后服务人员的数量、素质、技术水平及售后服务的反应能力等。</w:t>
      </w:r>
    </w:p>
    <w:p w14:paraId="224E527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14.2供应商需根据谈判文件要求提供培训计划。</w:t>
      </w:r>
    </w:p>
    <w:p w14:paraId="173A7EA1">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14.3供应商需根据谈判文件要求提供谈判响应标的的主要组成部分、功能设计、实现思路及关键技术等。</w:t>
      </w:r>
    </w:p>
    <w:p w14:paraId="49F4226F">
      <w:pPr>
        <w:pStyle w:val="33"/>
        <w:keepNext/>
        <w:keepLines/>
        <w:spacing w:beforeAutospacing="0" w:afterAutospacing="0" w:line="360" w:lineRule="auto"/>
        <w:ind w:firstLine="480"/>
        <w:rPr>
          <w:rFonts w:ascii="宋体" w:hAnsi="宋体" w:eastAsia="宋体"/>
          <w:color w:val="auto"/>
          <w:highlight w:val="none"/>
        </w:rPr>
      </w:pPr>
      <w:bookmarkStart w:id="113" w:name="_Toc14577359"/>
      <w:bookmarkStart w:id="114" w:name="_Toc49090510"/>
      <w:r>
        <w:rPr>
          <w:rFonts w:ascii="宋体" w:hAnsi="宋体" w:eastAsia="宋体" w:cs="Arial"/>
          <w:color w:val="auto"/>
          <w:highlight w:val="none"/>
        </w:rPr>
        <w:t>15、谈判响应函</w:t>
      </w:r>
      <w:bookmarkEnd w:id="113"/>
      <w:bookmarkEnd w:id="114"/>
    </w:p>
    <w:p w14:paraId="24B1CCE1">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15.1供应商应按照谈判文件中提供的格式完整、正确填写谈判响应函。</w:t>
      </w:r>
    </w:p>
    <w:p w14:paraId="5F5D0992">
      <w:pPr>
        <w:pStyle w:val="33"/>
        <w:keepNext/>
        <w:keepLines/>
        <w:spacing w:beforeAutospacing="0" w:afterAutospacing="0" w:line="360" w:lineRule="auto"/>
        <w:ind w:firstLine="480"/>
        <w:rPr>
          <w:rFonts w:ascii="宋体" w:hAnsi="宋体" w:eastAsia="宋体"/>
          <w:color w:val="auto"/>
          <w:highlight w:val="none"/>
        </w:rPr>
      </w:pPr>
      <w:bookmarkStart w:id="115" w:name="_Toc49090511"/>
      <w:bookmarkStart w:id="116" w:name="_Toc14577360"/>
      <w:r>
        <w:rPr>
          <w:rFonts w:ascii="宋体" w:hAnsi="宋体" w:eastAsia="宋体" w:cs="Arial"/>
          <w:color w:val="auto"/>
          <w:highlight w:val="none"/>
        </w:rPr>
        <w:t>16、谈判有效期</w:t>
      </w:r>
      <w:bookmarkEnd w:id="115"/>
      <w:bookmarkEnd w:id="116"/>
    </w:p>
    <w:p w14:paraId="342E7094">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16.1谈判有效期为采购代理规定的提交响应文件截止之日后</w:t>
      </w:r>
      <w:r>
        <w:rPr>
          <w:rFonts w:hint="eastAsia" w:ascii="宋体" w:hAnsi="宋体" w:eastAsia="宋体" w:cs="仿宋_GB2312"/>
          <w:b/>
          <w:color w:val="auto"/>
          <w:highlight w:val="none"/>
          <w:u w:val="single"/>
        </w:rPr>
        <w:t>九十</w:t>
      </w:r>
      <w:r>
        <w:rPr>
          <w:rFonts w:ascii="宋体" w:hAnsi="宋体" w:eastAsia="宋体" w:cs="仿宋_GB2312"/>
          <w:b/>
          <w:color w:val="auto"/>
          <w:highlight w:val="none"/>
          <w:u w:val="single"/>
        </w:rPr>
        <w:t>（</w:t>
      </w:r>
      <w:r>
        <w:rPr>
          <w:rFonts w:hint="eastAsia" w:ascii="宋体" w:hAnsi="宋体" w:eastAsia="宋体" w:cs="仿宋_GB2312"/>
          <w:b/>
          <w:color w:val="auto"/>
          <w:highlight w:val="none"/>
          <w:u w:val="single"/>
        </w:rPr>
        <w:t>90</w:t>
      </w:r>
      <w:r>
        <w:rPr>
          <w:rFonts w:ascii="宋体" w:hAnsi="宋体" w:eastAsia="宋体" w:cs="仿宋_GB2312"/>
          <w:b/>
          <w:color w:val="auto"/>
          <w:highlight w:val="none"/>
          <w:u w:val="single"/>
        </w:rPr>
        <w:t>）天</w:t>
      </w:r>
      <w:r>
        <w:rPr>
          <w:rFonts w:hint="eastAsia" w:ascii="宋体" w:hAnsi="宋体" w:eastAsia="宋体" w:cs="宋体"/>
          <w:color w:val="auto"/>
          <w:highlight w:val="none"/>
        </w:rPr>
        <w:t>。谈判有效期比规定短的将被视为非实质性响应谈判文件而予以拒绝。</w:t>
      </w:r>
    </w:p>
    <w:p w14:paraId="14B9B289">
      <w:pPr>
        <w:pStyle w:val="33"/>
        <w:keepNext/>
        <w:keepLines/>
        <w:spacing w:beforeAutospacing="0" w:afterAutospacing="0" w:line="360" w:lineRule="auto"/>
        <w:ind w:firstLine="480"/>
        <w:rPr>
          <w:rFonts w:ascii="宋体" w:hAnsi="宋体" w:eastAsia="宋体"/>
          <w:color w:val="auto"/>
          <w:highlight w:val="none"/>
        </w:rPr>
      </w:pPr>
      <w:r>
        <w:rPr>
          <w:rFonts w:ascii="宋体" w:hAnsi="宋体" w:eastAsia="宋体" w:cs="Arial"/>
          <w:color w:val="auto"/>
          <w:highlight w:val="none"/>
        </w:rPr>
        <w:t>17、谈判有效期的延长</w:t>
      </w:r>
    </w:p>
    <w:p w14:paraId="7D749B5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17.1在特殊情况下，采购代理于原谈判有效期满之前，可向供应商提出延长谈判有效期的要求。这种要求与答复均应采用书面形式。供应商可以拒绝采购代理的这一要求而放弃谈判，同意延长谈判有效期的供应商既不能要求也不允许修改其响应文件。受谈判有效期约束的所有权利与义务均延长至新的有效期。</w:t>
      </w:r>
    </w:p>
    <w:p w14:paraId="7F5E5141">
      <w:pPr>
        <w:pStyle w:val="33"/>
        <w:keepNext/>
        <w:keepLines/>
        <w:spacing w:beforeAutospacing="0" w:afterAutospacing="0" w:line="360" w:lineRule="auto"/>
        <w:ind w:firstLine="482"/>
        <w:rPr>
          <w:rFonts w:ascii="宋体" w:hAnsi="宋体" w:eastAsia="宋体"/>
          <w:color w:val="auto"/>
          <w:highlight w:val="none"/>
        </w:rPr>
      </w:pPr>
      <w:bookmarkStart w:id="117" w:name="_Toc120614217"/>
      <w:bookmarkStart w:id="118" w:name="_Toc20823296"/>
      <w:bookmarkStart w:id="119" w:name="_Toc513029224"/>
      <w:bookmarkStart w:id="120" w:name="_Toc16938540"/>
      <w:bookmarkStart w:id="121" w:name="_Hlt26954852"/>
      <w:bookmarkStart w:id="122" w:name="_Hlt26954739"/>
      <w:r>
        <w:rPr>
          <w:rFonts w:ascii="宋体" w:hAnsi="宋体" w:eastAsia="宋体"/>
          <w:b/>
          <w:color w:val="auto"/>
          <w:highlight w:val="none"/>
        </w:rPr>
        <w:t>四、响应文件的递交</w:t>
      </w:r>
      <w:bookmarkEnd w:id="117"/>
      <w:bookmarkEnd w:id="118"/>
      <w:bookmarkEnd w:id="119"/>
      <w:bookmarkEnd w:id="120"/>
    </w:p>
    <w:p w14:paraId="3216F94F">
      <w:pPr>
        <w:pStyle w:val="33"/>
        <w:keepNext/>
        <w:keepLines/>
        <w:spacing w:beforeAutospacing="0" w:afterAutospacing="0" w:line="360" w:lineRule="auto"/>
        <w:ind w:firstLine="480"/>
        <w:rPr>
          <w:rFonts w:ascii="宋体" w:hAnsi="宋体" w:eastAsia="宋体"/>
          <w:color w:val="auto"/>
          <w:highlight w:val="none"/>
        </w:rPr>
      </w:pPr>
      <w:bookmarkStart w:id="123" w:name="_Toc513029225"/>
      <w:bookmarkStart w:id="124" w:name="_Toc16938541"/>
      <w:bookmarkStart w:id="125" w:name="_Toc20823297"/>
      <w:bookmarkStart w:id="126" w:name="_Toc462564084"/>
      <w:r>
        <w:rPr>
          <w:rFonts w:ascii="宋体" w:hAnsi="宋体" w:eastAsia="宋体" w:cs="Arial"/>
          <w:color w:val="auto"/>
          <w:highlight w:val="none"/>
        </w:rPr>
        <w:t>18、电子</w:t>
      </w:r>
      <w:r>
        <w:rPr>
          <w:rFonts w:hint="eastAsia" w:ascii="宋体" w:hAnsi="宋体" w:eastAsia="宋体" w:cs="黑体"/>
          <w:color w:val="auto"/>
          <w:highlight w:val="none"/>
        </w:rPr>
        <w:t>谈判</w:t>
      </w:r>
      <w:bookmarkEnd w:id="123"/>
      <w:bookmarkEnd w:id="124"/>
      <w:bookmarkEnd w:id="125"/>
      <w:bookmarkEnd w:id="126"/>
      <w:r>
        <w:rPr>
          <w:rFonts w:hint="eastAsia" w:ascii="宋体" w:hAnsi="宋体" w:eastAsia="宋体" w:cs="黑体"/>
          <w:color w:val="auto"/>
          <w:highlight w:val="none"/>
        </w:rPr>
        <w:t>响应文件的递交</w:t>
      </w:r>
    </w:p>
    <w:p w14:paraId="124C4D7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18.1供应商应当按照《操作手册》规定，在提交响应文件截止时间前制作并上传电子响应文件。</w:t>
      </w:r>
      <w:bookmarkStart w:id="127" w:name="_Toc16938542"/>
      <w:bookmarkEnd w:id="127"/>
      <w:bookmarkStart w:id="128" w:name="_Toc20823298"/>
      <w:bookmarkEnd w:id="128"/>
      <w:bookmarkStart w:id="129" w:name="_Toc513029226"/>
    </w:p>
    <w:p w14:paraId="56071D97">
      <w:pPr>
        <w:pStyle w:val="33"/>
        <w:keepNext/>
        <w:keepLines/>
        <w:spacing w:beforeAutospacing="0" w:afterAutospacing="0" w:line="360" w:lineRule="auto"/>
        <w:ind w:firstLine="480"/>
        <w:rPr>
          <w:rFonts w:ascii="宋体" w:hAnsi="宋体" w:eastAsia="宋体"/>
          <w:color w:val="auto"/>
          <w:highlight w:val="none"/>
        </w:rPr>
      </w:pPr>
      <w:r>
        <w:rPr>
          <w:rFonts w:ascii="宋体" w:hAnsi="宋体" w:eastAsia="宋体" w:cs="Arial"/>
          <w:color w:val="auto"/>
          <w:highlight w:val="none"/>
        </w:rPr>
        <w:t>19、提交响应文件截止时间</w:t>
      </w:r>
    </w:p>
    <w:p w14:paraId="3BC28D2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i/>
          <w:color w:val="auto"/>
          <w:highlight w:val="none"/>
          <w:u w:val="single"/>
        </w:rPr>
        <w:t>19.1供应商上传电子响应文件的时间不得迟于谈判公告中规定的提交响应文件截止时间。</w:t>
      </w:r>
    </w:p>
    <w:p w14:paraId="14C3DAD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供应商应充分考虑到网络环境、网络带宽等风险因素，如因供应商自身原因造成的电子响应文件上传不成功的按照本谈判文件第二章第26.3.2条规定做无效响应处理。</w:t>
      </w:r>
    </w:p>
    <w:p w14:paraId="39FAC3D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19.2 采购代理可以按照规定，通过修改谈判文件酌情延长提交响应文件截止日期，在此情况下，供应商的所有权利和义务以及供应商受制的截止日期均应以延长后新的截止日期为准。</w:t>
      </w:r>
    </w:p>
    <w:p w14:paraId="72AE04C2">
      <w:pPr>
        <w:pStyle w:val="33"/>
        <w:keepNext/>
        <w:keepLines/>
        <w:spacing w:beforeAutospacing="0" w:afterAutospacing="0" w:line="360" w:lineRule="auto"/>
        <w:ind w:firstLine="480"/>
        <w:rPr>
          <w:rFonts w:ascii="宋体" w:hAnsi="宋体" w:eastAsia="宋体"/>
          <w:color w:val="auto"/>
          <w:highlight w:val="none"/>
        </w:rPr>
      </w:pPr>
      <w:bookmarkStart w:id="130" w:name="_Toc513029227"/>
      <w:bookmarkStart w:id="131" w:name="_Toc16938543"/>
      <w:bookmarkStart w:id="132" w:name="_Toc20823299"/>
      <w:r>
        <w:rPr>
          <w:rFonts w:ascii="宋体" w:hAnsi="宋体" w:eastAsia="宋体" w:cs="Arial"/>
          <w:color w:val="auto"/>
          <w:highlight w:val="none"/>
        </w:rPr>
        <w:t>20、响应文件</w:t>
      </w:r>
      <w:bookmarkEnd w:id="130"/>
      <w:bookmarkEnd w:id="131"/>
      <w:bookmarkEnd w:id="132"/>
      <w:r>
        <w:rPr>
          <w:rFonts w:ascii="宋体" w:hAnsi="宋体" w:eastAsia="宋体" w:cs="Arial"/>
          <w:color w:val="auto"/>
          <w:highlight w:val="none"/>
        </w:rPr>
        <w:t>的拒收</w:t>
      </w:r>
    </w:p>
    <w:p w14:paraId="52843146">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20.1 采购代理拒绝接收在其规定的提交响应文件截止时间后上传的任何电子响应文件。</w:t>
      </w:r>
    </w:p>
    <w:p w14:paraId="485BCB40">
      <w:pPr>
        <w:pStyle w:val="33"/>
        <w:keepNext/>
        <w:keepLines/>
        <w:spacing w:beforeAutospacing="0" w:afterAutospacing="0" w:line="360" w:lineRule="auto"/>
        <w:ind w:firstLine="480"/>
        <w:rPr>
          <w:rFonts w:ascii="宋体" w:hAnsi="宋体" w:eastAsia="宋体"/>
          <w:color w:val="auto"/>
          <w:highlight w:val="none"/>
        </w:rPr>
      </w:pPr>
      <w:bookmarkStart w:id="133" w:name="_Toc513029228"/>
      <w:bookmarkStart w:id="134" w:name="_Toc16938544"/>
      <w:bookmarkStart w:id="135" w:name="_Toc20823300"/>
      <w:r>
        <w:rPr>
          <w:rFonts w:ascii="宋体" w:hAnsi="宋体" w:eastAsia="宋体" w:cs="Arial"/>
          <w:color w:val="auto"/>
          <w:highlight w:val="none"/>
        </w:rPr>
        <w:t>21、响应文件的撤回和修改</w:t>
      </w:r>
      <w:bookmarkEnd w:id="133"/>
      <w:bookmarkEnd w:id="134"/>
      <w:bookmarkEnd w:id="135"/>
    </w:p>
    <w:p w14:paraId="619B062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21.1响应文件的撤回</w:t>
      </w:r>
    </w:p>
    <w:p w14:paraId="18C81D1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21.1.1 电子响应文件的撤回</w:t>
      </w:r>
    </w:p>
    <w:p w14:paraId="509E7011">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供应商可在提交响应文件截止时间前，撤回其电子响应文件，具体操作方法见《操作手册》。</w:t>
      </w:r>
    </w:p>
    <w:p w14:paraId="201D1A8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21.1.2供应商撤回电子响应文件，则认为其不再参与本项目谈判活动。</w:t>
      </w:r>
    </w:p>
    <w:p w14:paraId="23991CC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21.2响应文件的修改</w:t>
      </w:r>
    </w:p>
    <w:p w14:paraId="0EDA616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供应商可在提交响应文件截止时间前，对其电子响应文件进行修改，具体操作方法见《操作手册》。</w:t>
      </w:r>
    </w:p>
    <w:p w14:paraId="7C631C2B">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21.3 在提交响应文件截止时间之后，供应商不得对其电子响应文件作任何修改。</w:t>
      </w:r>
    </w:p>
    <w:p w14:paraId="6FC7B85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21.4 在提交响应文件截止时间至谈判文件中规定的谈判有效期满之间的这段时间内，供应商不得撤回其响应文件。</w:t>
      </w:r>
    </w:p>
    <w:p w14:paraId="0D713355">
      <w:pPr>
        <w:pStyle w:val="33"/>
        <w:keepNext/>
        <w:keepLines/>
        <w:spacing w:beforeAutospacing="0" w:afterAutospacing="0" w:line="360" w:lineRule="auto"/>
        <w:ind w:firstLine="482"/>
        <w:rPr>
          <w:rFonts w:ascii="宋体" w:hAnsi="宋体" w:eastAsia="宋体"/>
          <w:color w:val="auto"/>
          <w:highlight w:val="none"/>
        </w:rPr>
      </w:pPr>
      <w:bookmarkStart w:id="136" w:name="_Toc120614218"/>
      <w:bookmarkStart w:id="137" w:name="_Toc513029229"/>
      <w:bookmarkStart w:id="138" w:name="_Toc20823301"/>
      <w:bookmarkStart w:id="139" w:name="_Toc16938545"/>
      <w:r>
        <w:rPr>
          <w:rFonts w:ascii="宋体" w:hAnsi="宋体" w:eastAsia="宋体"/>
          <w:b/>
          <w:color w:val="auto"/>
          <w:highlight w:val="none"/>
        </w:rPr>
        <w:t>五、响应文件的解密与评审</w:t>
      </w:r>
      <w:bookmarkEnd w:id="136"/>
      <w:bookmarkEnd w:id="137"/>
      <w:bookmarkEnd w:id="138"/>
      <w:bookmarkEnd w:id="139"/>
    </w:p>
    <w:p w14:paraId="60579904">
      <w:pPr>
        <w:pStyle w:val="33"/>
        <w:keepNext/>
        <w:keepLines/>
        <w:spacing w:beforeAutospacing="0" w:afterAutospacing="0" w:line="360" w:lineRule="auto"/>
        <w:ind w:firstLine="480"/>
        <w:rPr>
          <w:rFonts w:ascii="宋体" w:hAnsi="宋体" w:eastAsia="宋体"/>
          <w:color w:val="auto"/>
          <w:highlight w:val="none"/>
        </w:rPr>
      </w:pPr>
      <w:bookmarkStart w:id="140" w:name="_Toc513029230"/>
      <w:bookmarkStart w:id="141" w:name="_Toc20823302"/>
      <w:bookmarkStart w:id="142" w:name="_Toc16938546"/>
      <w:r>
        <w:rPr>
          <w:rFonts w:ascii="宋体" w:hAnsi="宋体" w:eastAsia="宋体" w:cs="Arial"/>
          <w:color w:val="auto"/>
          <w:highlight w:val="none"/>
        </w:rPr>
        <w:t>22、</w:t>
      </w:r>
      <w:bookmarkEnd w:id="140"/>
      <w:bookmarkEnd w:id="141"/>
      <w:bookmarkEnd w:id="142"/>
      <w:r>
        <w:rPr>
          <w:rFonts w:ascii="宋体" w:hAnsi="宋体" w:eastAsia="宋体" w:cs="Arial"/>
          <w:color w:val="auto"/>
          <w:highlight w:val="none"/>
        </w:rPr>
        <w:t>响应文件解密</w:t>
      </w:r>
    </w:p>
    <w:p w14:paraId="3EAF3C7B">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22.1供应商应当按照《操作手册》规定，在苏采云系统规定的时间内对谈判响应文件进行解密。</w:t>
      </w:r>
    </w:p>
    <w:p w14:paraId="28D70726">
      <w:pPr>
        <w:pStyle w:val="33"/>
        <w:keepNext/>
        <w:keepLines/>
        <w:spacing w:beforeAutospacing="0" w:afterAutospacing="0" w:line="360" w:lineRule="auto"/>
        <w:ind w:firstLine="480"/>
        <w:rPr>
          <w:rFonts w:ascii="宋体" w:hAnsi="宋体" w:eastAsia="宋体"/>
          <w:color w:val="auto"/>
          <w:highlight w:val="none"/>
        </w:rPr>
      </w:pPr>
      <w:bookmarkStart w:id="143" w:name="_Toc513029231"/>
      <w:bookmarkStart w:id="144" w:name="_Toc16938547"/>
      <w:bookmarkStart w:id="145" w:name="_Toc20823303"/>
      <w:r>
        <w:rPr>
          <w:rFonts w:ascii="宋体" w:hAnsi="宋体" w:eastAsia="宋体" w:cs="Arial"/>
          <w:color w:val="auto"/>
          <w:highlight w:val="none"/>
        </w:rPr>
        <w:t>23、谈判小组</w:t>
      </w:r>
      <w:bookmarkEnd w:id="143"/>
      <w:bookmarkEnd w:id="144"/>
      <w:bookmarkEnd w:id="145"/>
    </w:p>
    <w:p w14:paraId="007C4C8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23.1采购代理将组织谈判小组对响应文件进行评审。谈判小组由采购人代表和有关技术、经济等方面的专家组成，且人员构成符合政府采购有关规定。</w:t>
      </w:r>
    </w:p>
    <w:p w14:paraId="5CE000A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23.2谈判小组独立工作，负责评审所有响应文件并确定成交候选人。</w:t>
      </w:r>
    </w:p>
    <w:p w14:paraId="053C5C6D">
      <w:pPr>
        <w:pStyle w:val="33"/>
        <w:keepNext/>
        <w:keepLines/>
        <w:spacing w:beforeAutospacing="0" w:afterAutospacing="0" w:line="360" w:lineRule="auto"/>
        <w:ind w:firstLine="480"/>
        <w:rPr>
          <w:rFonts w:ascii="宋体" w:hAnsi="宋体" w:eastAsia="宋体"/>
          <w:color w:val="auto"/>
          <w:highlight w:val="none"/>
        </w:rPr>
      </w:pPr>
      <w:r>
        <w:rPr>
          <w:rFonts w:hint="eastAsia" w:ascii="宋体" w:hAnsi="宋体" w:eastAsia="宋体" w:cs="黑体"/>
          <w:color w:val="auto"/>
          <w:highlight w:val="none"/>
        </w:rPr>
        <w:t>24、评审过程的保密与公正</w:t>
      </w:r>
    </w:p>
    <w:p w14:paraId="7754CB7B">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24.1谈判小组、采购人和采购代理工作人员、相关监督人员等与评审工作有关的人员，对评审情况以及在评审过程中获悉的国家秘密、商业秘密负有保密责任。</w:t>
      </w:r>
    </w:p>
    <w:p w14:paraId="13A2A2B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24.2在评审过程中，供应商不得以任何行为影响谈判评审过程，否则其响应文件将被作为无效响应文件。</w:t>
      </w:r>
    </w:p>
    <w:p w14:paraId="2BF3291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24.3在项目评审期间，采购代理将设专门人员与供应商联系。</w:t>
      </w:r>
    </w:p>
    <w:p w14:paraId="579654F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24.4 采购代理和谈判小组不向未成交的供应商解释未成交原因，也不公布评审过程中的相关细节。</w:t>
      </w:r>
    </w:p>
    <w:p w14:paraId="57AFB977">
      <w:pPr>
        <w:pStyle w:val="33"/>
        <w:keepNext/>
        <w:keepLines/>
        <w:spacing w:beforeAutospacing="0" w:afterAutospacing="0" w:line="360" w:lineRule="auto"/>
        <w:ind w:firstLine="480"/>
        <w:rPr>
          <w:rFonts w:ascii="宋体" w:hAnsi="宋体" w:eastAsia="宋体"/>
          <w:color w:val="auto"/>
          <w:highlight w:val="none"/>
        </w:rPr>
      </w:pPr>
      <w:bookmarkStart w:id="146" w:name="_Toc513029232"/>
      <w:bookmarkStart w:id="147" w:name="_Toc20823304"/>
      <w:bookmarkStart w:id="148" w:name="_Toc16938548"/>
      <w:r>
        <w:rPr>
          <w:rFonts w:ascii="宋体" w:hAnsi="宋体" w:eastAsia="宋体" w:cs="Arial"/>
          <w:color w:val="auto"/>
          <w:highlight w:val="none"/>
        </w:rPr>
        <w:t>25、评审过程中的澄清</w:t>
      </w:r>
      <w:bookmarkEnd w:id="146"/>
      <w:bookmarkEnd w:id="147"/>
      <w:bookmarkEnd w:id="148"/>
    </w:p>
    <w:p w14:paraId="7368163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FDB68FF">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谈判小组并非对每个供应商都作澄清要求。</w:t>
      </w:r>
    </w:p>
    <w:p w14:paraId="63ABE82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0939BF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25.3 接到谈判小组澄清、说明和更正要求的供应商如未按规定做出澄清、说明和 更正，其风险由供应商自行承担。</w:t>
      </w:r>
    </w:p>
    <w:p w14:paraId="099D1DBE">
      <w:pPr>
        <w:pStyle w:val="33"/>
        <w:keepNext/>
        <w:keepLines/>
        <w:spacing w:beforeAutospacing="0" w:afterAutospacing="0" w:line="360" w:lineRule="auto"/>
        <w:ind w:firstLine="480"/>
        <w:rPr>
          <w:rFonts w:ascii="宋体" w:hAnsi="宋体" w:eastAsia="宋体"/>
          <w:color w:val="auto"/>
          <w:highlight w:val="none"/>
        </w:rPr>
      </w:pPr>
      <w:bookmarkStart w:id="149" w:name="_Toc513029233"/>
      <w:bookmarkStart w:id="150" w:name="_Toc16938549"/>
      <w:bookmarkStart w:id="151" w:name="_Toc20823305"/>
      <w:r>
        <w:rPr>
          <w:rFonts w:ascii="宋体" w:hAnsi="宋体" w:eastAsia="宋体" w:cs="Arial"/>
          <w:color w:val="auto"/>
          <w:highlight w:val="none"/>
        </w:rPr>
        <w:t>26、对响应文件的审</w:t>
      </w:r>
      <w:bookmarkEnd w:id="149"/>
      <w:bookmarkEnd w:id="150"/>
      <w:bookmarkEnd w:id="151"/>
      <w:r>
        <w:rPr>
          <w:rFonts w:ascii="宋体" w:hAnsi="宋体" w:eastAsia="宋体" w:cs="Arial"/>
          <w:color w:val="auto"/>
          <w:highlight w:val="none"/>
        </w:rPr>
        <w:t>查</w:t>
      </w:r>
    </w:p>
    <w:p w14:paraId="7D24671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26.1响应文件审查分为资格审查和符合性审查。</w:t>
      </w:r>
    </w:p>
    <w:p w14:paraId="06907ED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26.1.1 资格审查：由谈判小组依据法律法规和谈判文件的规定，对响应文件中的资格证明文件进行审查，以确定供应商是否具备参加谈判的资格。</w:t>
      </w:r>
    </w:p>
    <w:p w14:paraId="0CC7151F">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谈判小组在进行资格审查的同时，将在“信用中国”网站（www.creditchina.gov.cn）查询供应商的信用记录，以确定供应商是否具备谈判资格,查询结果留存并归档。</w:t>
      </w:r>
    </w:p>
    <w:p w14:paraId="4A4852D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B14CDFB">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26.1.2 符合性审查：依据谈判文件的规定，由谈判小组从响应文件的有效性、完整性和对谈判文件的响应程度进行审查，以确定是否对谈判文件的实质性要求作出响应。</w:t>
      </w:r>
    </w:p>
    <w:p w14:paraId="5DCC2CC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26.1.3 未通过资格审查或符合性审查的供应商，谈判小组将在苏采云系统中告知未通过资格审查或符合性审查的原因，评审结束后，谈判小组将不再告知未通过资格审查或符合性审查的原因。</w:t>
      </w:r>
    </w:p>
    <w:p w14:paraId="72EFC986">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26.2在详细评审之前，谈判小组将首先审查每份响应文件是否实质性响应了谈判文件的要求。实质性响应的响应文件应该是与谈判文件要求的条款、条件和规格相符，没有重大偏离或保留。</w:t>
      </w:r>
    </w:p>
    <w:p w14:paraId="1B3C7DEA">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所谓重大偏离或保留是指与谈判文件规定的实质性要求存在负偏离，或者在实质上与谈判文件不一致，而且限制了合同中买方和采购代理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5FB37D8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26.3未实质性响应谈判文件的情形</w:t>
      </w:r>
    </w:p>
    <w:p w14:paraId="473A719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26.3.1供应商在苏采云系统规定的时间内未成功解密电子响应文件的。</w:t>
      </w:r>
    </w:p>
    <w:p w14:paraId="2A1A88D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26.3.2供应商未按照谈判文件要求上传电子响应文件的。</w:t>
      </w:r>
    </w:p>
    <w:p w14:paraId="611D1BF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26.3.3同一供应商提交两个（含两个）以上不同的响应文件或者最后报价的。</w:t>
      </w:r>
    </w:p>
    <w:p w14:paraId="37D3002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26.3.4供应商不具备谈判文件中规定资格要求的。</w:t>
      </w:r>
    </w:p>
    <w:p w14:paraId="76BD1B7A">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26.3.5供应商的最后报价超过了采购预算。</w:t>
      </w:r>
    </w:p>
    <w:p w14:paraId="66C9E05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26.3.6不符合谈判文件中规定的实质性要求和条件的</w:t>
      </w:r>
      <w:r>
        <w:rPr>
          <w:rFonts w:hint="eastAsia" w:ascii="宋体" w:hAnsi="宋体" w:eastAsia="宋体" w:cs="宋体"/>
          <w:i/>
          <w:color w:val="auto"/>
          <w:highlight w:val="none"/>
          <w:u w:val="single"/>
        </w:rPr>
        <w:t>（本谈判文件中斜体且有下划线部分为实质性要求和条件）。</w:t>
      </w:r>
    </w:p>
    <w:p w14:paraId="106ECEA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1A63700">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26.3.8  响应文件含有采购人不能接受的附加条件的。</w:t>
      </w:r>
    </w:p>
    <w:p w14:paraId="5750986F">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4DDDF381">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26.3.10供应商不能证明其报价合理性的，谈判小组应当将其作为无效响应处理。</w:t>
      </w:r>
    </w:p>
    <w:p w14:paraId="3F08B119">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（一）评审过程中出现下列情形之一的，谈判小组应当启动异常低价响应审查程序：</w:t>
      </w:r>
    </w:p>
    <w:p w14:paraId="02C203C4">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1.响应报价低于采购项目最高限价45%的，即响应报价&lt;采购项目最高限价×45%；</w:t>
      </w:r>
    </w:p>
    <w:p w14:paraId="513F3448">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2.谈判小组认定的供应商报价过低、有可能影响产品质量或者不能诚信履约的其他情形。</w:t>
      </w:r>
    </w:p>
    <w:p w14:paraId="13C7F480">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二）启动异常低价响应审查后，谈判小组应当要求相关供应商在评标现场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p>
    <w:p w14:paraId="0A1B7FA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26.3.11响应文件未按照谈判文件要求加盖CA电子公章的。</w:t>
      </w:r>
    </w:p>
    <w:p w14:paraId="5C8CA67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26.4未实质性响应谈判文件的响应文件按无效响应处理。</w:t>
      </w:r>
    </w:p>
    <w:p w14:paraId="7F11D91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26.5如果响应文件实质上没有响应谈判文件的要求，谈判小组将予以拒绝，供应商不得通过修改或撤销不合要求的偏离或保留而使其成为实质性响应的文件。</w:t>
      </w:r>
    </w:p>
    <w:p w14:paraId="1E7B37D5">
      <w:pPr>
        <w:pStyle w:val="33"/>
        <w:spacing w:beforeAutospacing="0" w:afterAutospacing="0" w:line="360" w:lineRule="auto"/>
        <w:ind w:firstLine="480"/>
        <w:rPr>
          <w:rFonts w:ascii="宋体" w:hAnsi="宋体" w:eastAsia="宋体"/>
          <w:color w:val="auto"/>
          <w:highlight w:val="none"/>
        </w:rPr>
      </w:pPr>
      <w:bookmarkStart w:id="152" w:name="_Toc513029234"/>
      <w:bookmarkStart w:id="153" w:name="_Toc16938550"/>
      <w:bookmarkStart w:id="154" w:name="_Toc20823306"/>
      <w:r>
        <w:rPr>
          <w:rFonts w:hint="eastAsia" w:ascii="宋体" w:hAnsi="宋体" w:eastAsia="宋体" w:cs="宋体"/>
          <w:color w:val="auto"/>
          <w:highlight w:val="none"/>
        </w:rPr>
        <w:t>26.6供应商在项目评审全过程中应保持通讯畅通，并安排专人与采购代理及谈判小组联系。</w:t>
      </w:r>
      <w:bookmarkEnd w:id="152"/>
      <w:bookmarkEnd w:id="153"/>
      <w:bookmarkEnd w:id="154"/>
    </w:p>
    <w:p w14:paraId="5FE2E7BE">
      <w:pPr>
        <w:pStyle w:val="33"/>
        <w:keepNext/>
        <w:keepLines/>
        <w:spacing w:beforeAutospacing="0" w:afterAutospacing="0" w:line="360" w:lineRule="auto"/>
        <w:ind w:firstLine="480"/>
        <w:rPr>
          <w:rFonts w:ascii="宋体" w:hAnsi="宋体" w:eastAsia="宋体"/>
          <w:color w:val="auto"/>
          <w:highlight w:val="none"/>
        </w:rPr>
      </w:pPr>
      <w:r>
        <w:rPr>
          <w:rFonts w:ascii="宋体" w:hAnsi="宋体" w:eastAsia="宋体" w:cs="Arial"/>
          <w:color w:val="auto"/>
          <w:highlight w:val="none"/>
        </w:rPr>
        <w:t>27、谈判程序及成交原则</w:t>
      </w:r>
    </w:p>
    <w:p w14:paraId="087A5867">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27.1谈判程序</w:t>
      </w:r>
    </w:p>
    <w:p w14:paraId="1A28CD49">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2742AF04">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6F3769E1">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7CA7D895">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07CF3253">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43B6F16E">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27.2 成交原则</w:t>
      </w:r>
    </w:p>
    <w:p w14:paraId="1ACAF0CF">
      <w:pPr>
        <w:pStyle w:val="33"/>
        <w:spacing w:beforeAutospacing="0" w:afterAutospacing="0" w:line="360" w:lineRule="auto"/>
        <w:ind w:firstLine="480"/>
        <w:rPr>
          <w:rFonts w:ascii="宋体" w:hAnsi="宋体" w:eastAsia="宋体"/>
          <w:color w:val="auto"/>
          <w:highlight w:val="none"/>
        </w:rPr>
      </w:pPr>
      <w:r>
        <w:rPr>
          <w:rFonts w:ascii="宋体" w:hAnsi="宋体" w:eastAsia="宋体"/>
          <w:color w:val="auto"/>
          <w:highlight w:val="none"/>
        </w:rPr>
        <w:t>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p>
    <w:p w14:paraId="0D6F5EE9">
      <w:pPr>
        <w:pStyle w:val="33"/>
        <w:spacing w:beforeAutospacing="0" w:afterAutospacing="0" w:line="360" w:lineRule="auto"/>
        <w:ind w:firstLine="480"/>
        <w:rPr>
          <w:rFonts w:ascii="宋体" w:hAnsi="宋体" w:eastAsia="宋体"/>
          <w:color w:val="auto"/>
          <w:highlight w:val="none"/>
        </w:rPr>
      </w:pPr>
      <w:r>
        <w:rPr>
          <w:rFonts w:ascii="宋体" w:hAnsi="宋体" w:eastAsia="宋体"/>
          <w:color w:val="auto"/>
          <w:highlight w:val="none"/>
        </w:rPr>
        <w:t>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0DE9BEA4">
      <w:pPr>
        <w:pStyle w:val="33"/>
        <w:spacing w:beforeAutospacing="0" w:afterAutospacing="0" w:line="360" w:lineRule="auto"/>
        <w:ind w:firstLine="480"/>
        <w:rPr>
          <w:rFonts w:ascii="宋体" w:hAnsi="宋体" w:eastAsia="宋体"/>
          <w:color w:val="auto"/>
          <w:highlight w:val="none"/>
        </w:rPr>
      </w:pPr>
      <w:r>
        <w:rPr>
          <w:rFonts w:ascii="宋体" w:hAnsi="宋体" w:eastAsia="宋体"/>
          <w:color w:val="auto"/>
          <w:highlight w:val="none"/>
        </w:rPr>
        <w:t>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p>
    <w:p w14:paraId="5BC9AEF3">
      <w:pPr>
        <w:pStyle w:val="33"/>
        <w:spacing w:beforeAutospacing="0" w:afterAutospacing="0" w:line="360" w:lineRule="auto"/>
        <w:ind w:firstLine="480"/>
        <w:rPr>
          <w:rFonts w:ascii="宋体" w:hAnsi="宋体" w:eastAsia="宋体"/>
          <w:color w:val="auto"/>
          <w:highlight w:val="none"/>
        </w:rPr>
      </w:pPr>
      <w:r>
        <w:rPr>
          <w:rFonts w:ascii="宋体" w:hAnsi="宋体" w:eastAsia="宋体"/>
          <w:color w:val="auto"/>
          <w:highlight w:val="none"/>
        </w:rPr>
        <w:t>27.2.4 采购人确定成交供应商后，</w:t>
      </w:r>
      <w:r>
        <w:rPr>
          <w:rFonts w:hint="eastAsia" w:ascii="宋体" w:hAnsi="宋体" w:eastAsia="宋体"/>
          <w:color w:val="auto"/>
          <w:highlight w:val="none"/>
        </w:rPr>
        <w:t>采购代理</w:t>
      </w:r>
      <w:r>
        <w:rPr>
          <w:rFonts w:ascii="宋体" w:hAnsi="宋体" w:eastAsia="宋体"/>
          <w:color w:val="auto"/>
          <w:highlight w:val="none"/>
        </w:rPr>
        <w:t>将在</w:t>
      </w:r>
      <w:r>
        <w:rPr>
          <w:rFonts w:hint="eastAsia" w:ascii="宋体" w:hAnsi="宋体" w:eastAsia="宋体"/>
          <w:color w:val="auto"/>
          <w:highlight w:val="none"/>
        </w:rPr>
        <w:t>“中国政府采购网”、“江苏政府采购网”、“盐城市政府采购网”</w:t>
      </w:r>
      <w:r>
        <w:rPr>
          <w:rFonts w:ascii="宋体" w:hAnsi="宋体" w:eastAsia="宋体"/>
          <w:color w:val="auto"/>
          <w:highlight w:val="none"/>
        </w:rPr>
        <w:t>发布成交结果公告，公告期限为1个工作日。</w:t>
      </w:r>
    </w:p>
    <w:p w14:paraId="6C2282D4">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27.3采购活动终止的情况</w:t>
      </w:r>
    </w:p>
    <w:p w14:paraId="22D9324F">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出现下列情形之一的，本次竞争性谈判采购活动将被终止：</w:t>
      </w:r>
    </w:p>
    <w:p w14:paraId="16C2B07D">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27.3.1因情况变化，不再符合规定的竞争性谈判采购方式适用情形的。</w:t>
      </w:r>
    </w:p>
    <w:p w14:paraId="4D1A37D9">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27.3.2出现影响采购公正的违法、违规行为的。</w:t>
      </w:r>
    </w:p>
    <w:p w14:paraId="1CF8DC3A">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27.3.3在采购过程中符合要求的供应商或者最后报价未超过采购预算的供应商不足3家的。</w:t>
      </w:r>
    </w:p>
    <w:p w14:paraId="590BEB0A">
      <w:pPr>
        <w:pStyle w:val="33"/>
        <w:tabs>
          <w:tab w:val="left" w:pos="901"/>
        </w:tabs>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27.3.4在苏采云系统规定时间内成功解密电子响应文件的供应商不足3家的。</w:t>
      </w:r>
    </w:p>
    <w:p w14:paraId="03949DC5">
      <w:pPr>
        <w:pStyle w:val="33"/>
        <w:keepNext/>
        <w:keepLines/>
        <w:spacing w:beforeAutospacing="0" w:afterAutospacing="0" w:line="360" w:lineRule="auto"/>
        <w:ind w:firstLine="480"/>
        <w:rPr>
          <w:rFonts w:ascii="宋体" w:hAnsi="宋体" w:eastAsia="宋体"/>
          <w:color w:val="auto"/>
          <w:highlight w:val="none"/>
        </w:rPr>
      </w:pPr>
      <w:r>
        <w:rPr>
          <w:rFonts w:ascii="宋体" w:hAnsi="宋体" w:eastAsia="宋体" w:cs="Arial"/>
          <w:color w:val="auto"/>
          <w:highlight w:val="none"/>
        </w:rPr>
        <w:t>28、成交供应商被取消成交资格情形</w:t>
      </w:r>
    </w:p>
    <w:p w14:paraId="2789A3F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若有充分证据证明，成交供应商出现下列情况之一的，一经查实，将被取消成交资格：</w:t>
      </w:r>
    </w:p>
    <w:p w14:paraId="2ED0BD9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28.1提供虚假材料谋取成交的。</w:t>
      </w:r>
    </w:p>
    <w:p w14:paraId="4B3B249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28.2与评审专家、采购人、其他供应商或者采购代理工作人员恶意串通的。</w:t>
      </w:r>
    </w:p>
    <w:p w14:paraId="545B8B9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28.3向评审专家、采购人或采购代理工作人员行贿或者提供其他不正当利益的。</w:t>
      </w:r>
    </w:p>
    <w:p w14:paraId="3532803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28.4恶意竞争，最后报价明显低于其自身合理成本且又无法提供证明的。</w:t>
      </w:r>
    </w:p>
    <w:p w14:paraId="08822E6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28.5不满足本谈判文件规定的实质性要求，但在评审过程中又未被谈判小组发现的。</w:t>
      </w:r>
    </w:p>
    <w:p w14:paraId="02C8431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28.6成交后无正当理由拒不与采购人签订政府采购合同或者未按照谈判文件确定的事项签订政府采购合同的。</w:t>
      </w:r>
    </w:p>
    <w:p w14:paraId="718C25D5">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28.7将政府采购合同转包的。</w:t>
      </w:r>
    </w:p>
    <w:p w14:paraId="757C4C63">
      <w:pPr>
        <w:pStyle w:val="33"/>
        <w:keepNext/>
        <w:keepLines/>
        <w:spacing w:beforeAutospacing="0" w:afterAutospacing="0" w:line="360" w:lineRule="auto"/>
        <w:ind w:firstLine="480"/>
        <w:rPr>
          <w:rFonts w:ascii="宋体" w:hAnsi="宋体" w:eastAsia="宋体"/>
          <w:color w:val="auto"/>
          <w:highlight w:val="none"/>
        </w:rPr>
      </w:pPr>
      <w:bookmarkStart w:id="155" w:name="_Toc200451960"/>
      <w:r>
        <w:rPr>
          <w:rFonts w:hint="eastAsia" w:ascii="宋体" w:hAnsi="宋体" w:eastAsia="宋体" w:cs="黑体"/>
          <w:color w:val="auto"/>
          <w:highlight w:val="none"/>
        </w:rPr>
        <w:t>29、质疑处理</w:t>
      </w:r>
      <w:bookmarkEnd w:id="155"/>
    </w:p>
    <w:p w14:paraId="79B04811">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提出质疑的供应商应当是参与所质疑项目采购活动的供应商。潜在供应商依法获取其可质疑的采购文件的，可以对采购文件提出质疑。</w:t>
      </w:r>
    </w:p>
    <w:p w14:paraId="4C20104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29.4条款的规定向采购代理或采购人提出质疑。上述应知其权益受到损害之日，是指：</w:t>
      </w:r>
    </w:p>
    <w:p w14:paraId="3335121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29.2.1</w:t>
      </w:r>
      <w:r>
        <w:rPr>
          <w:rFonts w:ascii="宋体" w:hAnsi="宋体" w:eastAsia="宋体"/>
          <w:color w:val="auto"/>
          <w:highlight w:val="none"/>
        </w:rPr>
        <w:t>对可以质疑的采购文件提出质疑的，为收到采购文件之日或者采购文件公告期限届满之日。</w:t>
      </w:r>
    </w:p>
    <w:p w14:paraId="53A8164F">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29.2.2</w:t>
      </w:r>
      <w:r>
        <w:rPr>
          <w:rFonts w:ascii="宋体" w:hAnsi="宋体" w:eastAsia="宋体"/>
          <w:color w:val="auto"/>
          <w:highlight w:val="none"/>
        </w:rPr>
        <w:t>对采购过程提出质疑的，为各采购程序环节结束之日。</w:t>
      </w:r>
    </w:p>
    <w:p w14:paraId="2D99B13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29.2.3</w:t>
      </w:r>
      <w:r>
        <w:rPr>
          <w:rFonts w:ascii="宋体" w:hAnsi="宋体" w:eastAsia="宋体"/>
          <w:color w:val="auto"/>
          <w:highlight w:val="none"/>
        </w:rPr>
        <w:t>对成交结果提出质疑的，为成交结果公告期限届满之日。</w:t>
      </w:r>
    </w:p>
    <w:p w14:paraId="157F6658">
      <w:pPr>
        <w:pStyle w:val="33"/>
        <w:spacing w:beforeAutospacing="0" w:afterAutospacing="0" w:line="360" w:lineRule="auto"/>
        <w:ind w:firstLine="480"/>
        <w:rPr>
          <w:rFonts w:ascii="宋体" w:hAnsi="宋体" w:eastAsia="宋体"/>
          <w:color w:val="auto"/>
          <w:highlight w:val="none"/>
        </w:rPr>
      </w:pPr>
      <w:r>
        <w:rPr>
          <w:rFonts w:ascii="宋体" w:hAnsi="宋体" w:eastAsia="宋体"/>
          <w:color w:val="auto"/>
          <w:highlight w:val="none"/>
        </w:rPr>
        <w:t>供应商应当在法定质疑期内一次性提出针对同一采购程序环节的质疑。供应商如在法定期限内对同一采购程序环节提出多次质疑的，</w:t>
      </w:r>
      <w:r>
        <w:rPr>
          <w:rFonts w:hint="eastAsia" w:ascii="宋体" w:hAnsi="宋体" w:eastAsia="宋体"/>
          <w:color w:val="auto"/>
          <w:highlight w:val="none"/>
        </w:rPr>
        <w:t>采购代理</w:t>
      </w:r>
      <w:r>
        <w:rPr>
          <w:rFonts w:ascii="宋体" w:hAnsi="宋体" w:eastAsia="宋体"/>
          <w:color w:val="auto"/>
          <w:highlight w:val="none"/>
        </w:rPr>
        <w:t>、采购人将只对供应商第一次质疑作出答复。</w:t>
      </w:r>
    </w:p>
    <w:p w14:paraId="519BA4ED">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29.3质疑函必须按照本谈判文件中《质疑函范本》要求的格式和内容进行填写。供应商如组成联合体参加谈判，则《质疑函范本》中要求签字、盖章、加盖公章之处，联合体各方均须按要求签字、盖章、加盖公章。</w:t>
      </w:r>
    </w:p>
    <w:p w14:paraId="5EC6B4E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29.4 供应商（含潜在供应商）对采购方式、采购需求、供应商资格条件、评审方法与评审标准、合同文本的询问、质疑请向采购人提出，由采购人负责答复。供应商对其他事项的询问、质疑请向采购代理提出，由采购代理负责答复。</w:t>
      </w:r>
    </w:p>
    <w:p w14:paraId="6EBA0E73">
      <w:pPr>
        <w:tabs>
          <w:tab w:val="left" w:pos="133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采购人及采购代理只接收以纸质原件形式送达的质疑,采购人和采购代理不接受未填写快递运单的快件。</w:t>
      </w:r>
    </w:p>
    <w:p w14:paraId="75A1918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29.5 以下情形的质疑不予受理</w:t>
      </w:r>
    </w:p>
    <w:p w14:paraId="114A9F47">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29.5.1 内容不符合《政府采购质疑和投诉办法》第十二条规定的质疑。</w:t>
      </w:r>
    </w:p>
    <w:p w14:paraId="3FC5745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29.5.2 超出政府采购法定期限的质疑。</w:t>
      </w:r>
    </w:p>
    <w:p w14:paraId="57AB4F4E">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29.5.3 以传真、电子邮件等方式递交的非原件形式的质疑。</w:t>
      </w:r>
    </w:p>
    <w:p w14:paraId="1E0D482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29.5.4 未参加谈判活动的供应商或在谈判活动中自身权益未受到损害的供应商所提出的质疑。</w:t>
      </w:r>
    </w:p>
    <w:p w14:paraId="635A654C">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29.5.5供应商组成联合体参加谈判，联合体中任何一方或多方未按要求签字、盖章、加盖公章的质疑。</w:t>
      </w:r>
    </w:p>
    <w:p w14:paraId="700B29E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29.6 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02F88B83">
      <w:pPr>
        <w:pStyle w:val="33"/>
        <w:keepNext/>
        <w:keepLines/>
        <w:spacing w:beforeAutospacing="0" w:afterAutospacing="0" w:line="360" w:lineRule="auto"/>
        <w:ind w:firstLine="480"/>
        <w:rPr>
          <w:rFonts w:ascii="宋体" w:hAnsi="宋体" w:eastAsia="宋体"/>
          <w:color w:val="auto"/>
          <w:highlight w:val="none"/>
        </w:rPr>
      </w:pPr>
      <w:r>
        <w:rPr>
          <w:rFonts w:hint="eastAsia" w:ascii="宋体" w:hAnsi="宋体" w:eastAsia="宋体" w:cs="黑体"/>
          <w:color w:val="auto"/>
          <w:highlight w:val="none"/>
        </w:rPr>
        <w:t>30、成交通知书</w:t>
      </w:r>
    </w:p>
    <w:p w14:paraId="1CF5C272">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30.1成交结果确定后，采购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29834B9">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30.2成交通知书将是合同的一个组成部分。对采购人和成交供应商均具有法律效力。成交通知书发出后，采购人改变成交结果的，或者成交供应商放弃成交项目的，应当依法承担法律责任。</w:t>
      </w:r>
    </w:p>
    <w:p w14:paraId="45EA64F4">
      <w:pPr>
        <w:pStyle w:val="33"/>
        <w:keepNext/>
        <w:keepLines/>
        <w:spacing w:beforeAutospacing="0" w:afterAutospacing="0" w:line="360" w:lineRule="auto"/>
        <w:ind w:firstLine="482"/>
        <w:rPr>
          <w:rFonts w:ascii="宋体" w:hAnsi="宋体" w:eastAsia="宋体"/>
          <w:color w:val="auto"/>
          <w:highlight w:val="none"/>
        </w:rPr>
      </w:pPr>
      <w:bookmarkStart w:id="156" w:name="_Toc120614220"/>
      <w:bookmarkStart w:id="157" w:name="_Toc16938552"/>
      <w:bookmarkStart w:id="158" w:name="_Toc20823308"/>
      <w:bookmarkStart w:id="159" w:name="_Toc513029236"/>
      <w:r>
        <w:rPr>
          <w:rFonts w:hint="eastAsia" w:ascii="宋体" w:hAnsi="宋体" w:eastAsia="宋体"/>
          <w:b/>
          <w:color w:val="auto"/>
          <w:highlight w:val="none"/>
        </w:rPr>
        <w:t>六</w:t>
      </w:r>
      <w:r>
        <w:rPr>
          <w:rFonts w:ascii="宋体" w:hAnsi="宋体" w:eastAsia="宋体"/>
          <w:b/>
          <w:color w:val="auto"/>
          <w:highlight w:val="none"/>
        </w:rPr>
        <w:t>、授予合同</w:t>
      </w:r>
      <w:bookmarkEnd w:id="156"/>
      <w:bookmarkEnd w:id="157"/>
      <w:bookmarkEnd w:id="158"/>
      <w:bookmarkEnd w:id="159"/>
    </w:p>
    <w:p w14:paraId="413096B2">
      <w:pPr>
        <w:pStyle w:val="33"/>
        <w:keepNext/>
        <w:keepLines/>
        <w:spacing w:beforeAutospacing="0" w:afterAutospacing="0" w:line="360" w:lineRule="auto"/>
        <w:ind w:firstLine="480"/>
        <w:rPr>
          <w:rFonts w:ascii="宋体" w:hAnsi="宋体" w:eastAsia="宋体"/>
          <w:color w:val="auto"/>
          <w:highlight w:val="none"/>
        </w:rPr>
      </w:pPr>
      <w:bookmarkStart w:id="160" w:name="_Toc20823309"/>
      <w:bookmarkStart w:id="161" w:name="_Toc16938553"/>
      <w:bookmarkStart w:id="162" w:name="_Toc513029237"/>
      <w:r>
        <w:rPr>
          <w:rFonts w:hint="eastAsia" w:ascii="宋体" w:hAnsi="宋体" w:eastAsia="宋体" w:cs="黑体"/>
          <w:color w:val="auto"/>
          <w:highlight w:val="none"/>
        </w:rPr>
        <w:t>31. 签订合同</w:t>
      </w:r>
      <w:bookmarkEnd w:id="160"/>
      <w:bookmarkEnd w:id="161"/>
      <w:bookmarkEnd w:id="162"/>
    </w:p>
    <w:p w14:paraId="2E90D233">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31.l成交供应商应当在成交通知书发出之日起十五日内，按照谈判文件确定的事项与采购人签订政府采购合同。</w:t>
      </w:r>
    </w:p>
    <w:p w14:paraId="231E6388">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31.2谈判文件、成交供应商的响应文件及谈判过程中有关澄清、承诺文件均应作为合同附件。</w:t>
      </w:r>
    </w:p>
    <w:p w14:paraId="5792861B">
      <w:pPr>
        <w:pStyle w:val="33"/>
        <w:spacing w:beforeAutospacing="0" w:afterAutospacing="0" w:line="360" w:lineRule="auto"/>
        <w:ind w:firstLine="480"/>
        <w:rPr>
          <w:rFonts w:ascii="宋体" w:hAnsi="宋体" w:eastAsia="宋体"/>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color w:val="auto"/>
          <w:highlight w:val="none"/>
          <w:u w:val="single"/>
        </w:rPr>
        <w:t>成交供应商不得将合同标的进行转包</w:t>
      </w:r>
      <w:r>
        <w:rPr>
          <w:rFonts w:hint="eastAsia" w:ascii="宋体" w:hAnsi="宋体" w:eastAsia="宋体" w:cs="宋体"/>
          <w:color w:val="auto"/>
          <w:highlight w:val="none"/>
        </w:rPr>
        <w:t>。未经采购人同意，成交供应商也不得采用分包形式履行合同,否则采购人有权终止合同。转包或分包造成采购人损失的，成交供应商应承担相应赔偿责任。</w:t>
      </w:r>
    </w:p>
    <w:p w14:paraId="53323945">
      <w:pPr>
        <w:pStyle w:val="33"/>
        <w:keepNext/>
        <w:keepLines/>
        <w:spacing w:beforeAutospacing="0" w:afterAutospacing="0" w:line="360" w:lineRule="auto"/>
        <w:ind w:firstLine="480"/>
        <w:rPr>
          <w:rFonts w:ascii="宋体" w:hAnsi="宋体" w:eastAsia="宋体"/>
          <w:color w:val="auto"/>
          <w:highlight w:val="none"/>
        </w:rPr>
      </w:pPr>
      <w:r>
        <w:rPr>
          <w:rFonts w:hint="eastAsia" w:ascii="宋体" w:hAnsi="宋体" w:eastAsia="宋体" w:cs="黑体"/>
          <w:color w:val="auto"/>
          <w:highlight w:val="none"/>
        </w:rPr>
        <w:t>32、标的物的追加</w:t>
      </w:r>
    </w:p>
    <w:p w14:paraId="368A3B5B">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63" w:name="_Toc479757207"/>
      <w:bookmarkEnd w:id="163"/>
      <w:bookmarkStart w:id="164" w:name="_Toc20823314"/>
      <w:bookmarkEnd w:id="164"/>
      <w:bookmarkStart w:id="165" w:name="_Toc16938558"/>
      <w:bookmarkEnd w:id="165"/>
      <w:bookmarkStart w:id="166" w:name="_Toc120614221"/>
      <w:bookmarkEnd w:id="166"/>
      <w:bookmarkStart w:id="167" w:name="_Toc513029242"/>
      <w:bookmarkEnd w:id="167"/>
    </w:p>
    <w:p w14:paraId="5BF37567">
      <w:pPr>
        <w:pStyle w:val="33"/>
        <w:keepNext/>
        <w:keepLines/>
        <w:spacing w:beforeAutospacing="0" w:afterAutospacing="0" w:line="360" w:lineRule="auto"/>
        <w:ind w:firstLine="480"/>
        <w:rPr>
          <w:rFonts w:ascii="宋体" w:hAnsi="宋体" w:eastAsia="宋体" w:cs="黑体"/>
          <w:color w:val="auto"/>
          <w:highlight w:val="none"/>
        </w:rPr>
      </w:pPr>
      <w:r>
        <w:rPr>
          <w:rFonts w:hint="eastAsia" w:ascii="宋体" w:hAnsi="宋体" w:eastAsia="宋体" w:cs="黑体"/>
          <w:color w:val="auto"/>
          <w:highlight w:val="none"/>
        </w:rPr>
        <w:t>33.政府采购政策功能落实</w:t>
      </w:r>
    </w:p>
    <w:p w14:paraId="72791046">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33.1政府采购线上合同信用融资政策</w:t>
      </w:r>
    </w:p>
    <w:p w14:paraId="6E1B0B33">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p>
    <w:p w14:paraId="440DE161">
      <w:pPr>
        <w:tabs>
          <w:tab w:val="left" w:pos="138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33.2进口产品</w:t>
      </w:r>
    </w:p>
    <w:p w14:paraId="47341033">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92A659C">
      <w:pPr>
        <w:tabs>
          <w:tab w:val="left" w:pos="138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33.3中小企业、监狱企业及残疾人福利性单位</w:t>
      </w:r>
    </w:p>
    <w:p w14:paraId="758DD4CE">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33.3.1中小企业定义：</w:t>
      </w:r>
    </w:p>
    <w:p w14:paraId="1F1E038C">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662FB4D">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33.3.2供应商提供的货物、工程或者服务符合下列情形的，享受中小企业扶持政策：</w:t>
      </w:r>
    </w:p>
    <w:p w14:paraId="398ADBE6">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33.3.2.1在货物采购项目中，货物由中小企业制造，即货物由中小企业生产且使用该中小企业商号或者注册商标；</w:t>
      </w:r>
    </w:p>
    <w:p w14:paraId="5F30A52D">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33.3.2.2在工程采购项目中，工程由中小企业承建，即工程施工单位为中小企业；</w:t>
      </w:r>
    </w:p>
    <w:p w14:paraId="5598A0F9">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33.3.2.3在服务采购项目中，服务由中小企业承接，即提供服务的人员为中小企业依照《中华人民共和国劳动合同法》订立劳动合同的从业人员。</w:t>
      </w:r>
    </w:p>
    <w:p w14:paraId="0658F4E1">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33.3.3在货物采购项目中，供应商提供的货物既有中小企业制造货物，也有大型企业制造货物的，不享受中小企业扶持政策。</w:t>
      </w:r>
    </w:p>
    <w:p w14:paraId="56D7D14A">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33.3.4以联合体形式参加政府采购活动，联合体各方均为中小企业的，联合体视同中小企业。其中，联合体各方均为小微企业的，联合体视同小微企业。</w:t>
      </w:r>
    </w:p>
    <w:p w14:paraId="3BDDEB66">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263AB0">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33.3.6残疾人福利单位定义：享受政府采购支持政策的残疾人福利性单位应当同时满足以下条件：</w:t>
      </w:r>
    </w:p>
    <w:p w14:paraId="409D4FAD">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33.3.6.1安置的残疾人占本单位在职职工人数的比例不低于25%（含25%），并且安置的残疾人人数不少于10 人（含10 人）；</w:t>
      </w:r>
    </w:p>
    <w:p w14:paraId="03CEB6C1">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33.3.6.2依法与安置的每位残疾人签订了一年以上（含一年）的劳动合同或服务协议；</w:t>
      </w:r>
    </w:p>
    <w:p w14:paraId="254A620F">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33.3.6.3为安置的每位残疾人按月足额缴纳了基本养老保险、基本医疗保险、失业保险、工伤保险和生育保险等社会保险费；</w:t>
      </w:r>
    </w:p>
    <w:p w14:paraId="57E54CDF">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33.3.6.4通过银行等金融机构向安置的每位残疾人，按月支付了不低于单位所在区县适用的经省级人民政府批准的月最低工资标准的工资；</w:t>
      </w:r>
    </w:p>
    <w:p w14:paraId="650BB390">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33.3.6.5提供本单位制造的货物、承担的工程或者服务（以下简称产品），或者提供其他残疾人福利性单位制造的货物（不包括使用非残疾人福利性单位注册商标的货物）；</w:t>
      </w:r>
    </w:p>
    <w:p w14:paraId="52B704CC">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D7FFECF">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33.3.7本项目是否专门面向中小企业预留采购份额见第一章《竞争性谈判公告》。</w:t>
      </w:r>
    </w:p>
    <w:p w14:paraId="0853AD73">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33.3.8采购标的对应的中小企业划分标准所属行业见第四章《采购需求》。</w:t>
      </w:r>
    </w:p>
    <w:p w14:paraId="1A4689EC">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33.3.9小微企业价格评审优惠的政策：见第四章《采购需求》。</w:t>
      </w:r>
    </w:p>
    <w:p w14:paraId="12C7FAC3">
      <w:pPr>
        <w:tabs>
          <w:tab w:val="left" w:pos="138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33.4政府采购节能产品、环境标志产品</w:t>
      </w:r>
    </w:p>
    <w:p w14:paraId="6D0951F2">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如属政府强制采购产品未提供认证证书的或认证证书提供不全的将视为未实质性响应采购要求</w:t>
      </w:r>
      <w:r>
        <w:rPr>
          <w:rFonts w:hint="eastAsia" w:ascii="宋体" w:hAnsi="宋体" w:eastAsia="宋体" w:cs="宋体"/>
          <w:i/>
          <w:color w:val="auto"/>
          <w:sz w:val="24"/>
          <w:highlight w:val="none"/>
        </w:rPr>
        <w:t>。</w:t>
      </w:r>
      <w:r>
        <w:rPr>
          <w:rFonts w:hint="eastAsia" w:ascii="宋体" w:hAnsi="宋体" w:eastAsia="宋体" w:cs="宋体"/>
          <w:color w:val="auto"/>
          <w:sz w:val="24"/>
          <w:highlight w:val="none"/>
        </w:rPr>
        <w:t>其他条件相同情况下，应当优先采购节能产品、环境标志产品。</w:t>
      </w:r>
    </w:p>
    <w:p w14:paraId="70547AE3">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84A1FB">
      <w:pPr>
        <w:tabs>
          <w:tab w:val="left" w:pos="138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33.5绿色包装</w:t>
      </w:r>
    </w:p>
    <w:p w14:paraId="30E7F0DE">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7FF9C3">
      <w:pPr>
        <w:tabs>
          <w:tab w:val="left" w:pos="138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33.6政府采购创新产品</w:t>
      </w:r>
    </w:p>
    <w:p w14:paraId="63F04ACC">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采购人优先采购各级政府部门公开发布的有效期内的创新产品、创新服务、首台套、首购首用等《目录》的创新产品。</w:t>
      </w:r>
    </w:p>
    <w:p w14:paraId="10162485">
      <w:pPr>
        <w:tabs>
          <w:tab w:val="left" w:pos="1381"/>
        </w:tabs>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33.7绿色数据中心政策 </w:t>
      </w:r>
    </w:p>
    <w:p w14:paraId="7555B23E">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highlight w:val="none"/>
          <w:shd w:val="clear" w:color="auto" w:fill="FFFFFF"/>
        </w:rPr>
        <w:t>谈判</w:t>
      </w:r>
      <w:r>
        <w:rPr>
          <w:rFonts w:hint="eastAsia" w:ascii="宋体" w:hAnsi="宋体" w:eastAsia="宋体" w:cs="宋体"/>
          <w:color w:val="auto"/>
          <w:sz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96F08B1">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33.8预付款</w:t>
      </w:r>
    </w:p>
    <w:p w14:paraId="70174347">
      <w:pPr>
        <w:pBdr>
          <w:top w:val="none" w:color="000000" w:sz="0" w:space="0"/>
          <w:left w:val="none" w:color="000000" w:sz="0" w:space="0"/>
          <w:bottom w:val="none" w:color="000000" w:sz="0" w:space="0"/>
          <w:right w:val="none" w:color="000000" w:sz="0" w:space="0"/>
        </w:pBdr>
        <w:spacing w:line="360" w:lineRule="auto"/>
        <w:ind w:firstLine="480"/>
        <w:jc w:val="left"/>
        <w:rPr>
          <w:rFonts w:ascii="宋体" w:hAnsi="宋体" w:eastAsia="宋体" w:cs="宋体"/>
          <w:color w:val="auto"/>
          <w:sz w:val="24"/>
          <w:highlight w:val="none"/>
        </w:rPr>
      </w:pPr>
      <w:r>
        <w:rPr>
          <w:rFonts w:ascii="宋体" w:hAnsi="宋体" w:eastAsia="宋体" w:cs="宋体"/>
          <w:color w:val="auto"/>
          <w:sz w:val="24"/>
          <w:highlight w:val="none"/>
        </w:rPr>
        <w:t>本项目落实预付款制度，</w:t>
      </w:r>
      <w:r>
        <w:rPr>
          <w:rFonts w:hint="eastAsia" w:ascii="宋体" w:hAnsi="宋体" w:eastAsia="宋体" w:cs="宋体"/>
          <w:color w:val="auto"/>
          <w:sz w:val="24"/>
          <w:szCs w:val="24"/>
          <w:highlight w:val="none"/>
        </w:rPr>
        <w:t>合同金额的30%。（乙方需提供等额税票。在签订合同时，如乙方明确表示无需预</w:t>
      </w:r>
      <w:r>
        <w:rPr>
          <w:rFonts w:hint="eastAsia" w:ascii="宋体" w:hAnsi="宋体" w:eastAsia="宋体" w:cs="宋体"/>
          <w:color w:val="auto"/>
          <w:sz w:val="24"/>
          <w:szCs w:val="24"/>
          <w:highlight w:val="none"/>
          <w:lang w:val="en-US" w:eastAsia="zh-CN"/>
        </w:rPr>
        <w:t>付款的，在2026年春学期末支付。）</w:t>
      </w:r>
    </w:p>
    <w:p w14:paraId="1AFCB2C8">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33.9履约保证金</w:t>
      </w:r>
    </w:p>
    <w:p w14:paraId="45F1E532">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确需收取履约保证金的，履约保证金的缴纳形式：</w:t>
      </w:r>
    </w:p>
    <w:p w14:paraId="6F75582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93ABBA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如以履约保函（保险）形式缴纳履约保证金，供应商可通过政府采购电子履约保函（保险）平台（www.jsdzbh.com）在线申请履约保函（保险）。</w:t>
      </w:r>
    </w:p>
    <w:p w14:paraId="5FCA4B3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合同履行结束后，甲方应及时退还交纳的履约保证金。</w:t>
      </w:r>
    </w:p>
    <w:p w14:paraId="0F9B1A3F">
      <w:pPr>
        <w:spacing w:line="360" w:lineRule="auto"/>
        <w:ind w:firstLine="480"/>
        <w:jc w:val="left"/>
        <w:rPr>
          <w:rFonts w:hint="eastAsia" w:ascii="宋体" w:hAnsi="宋体" w:eastAsia="宋体" w:cs="宋体"/>
          <w:color w:val="auto"/>
          <w:sz w:val="24"/>
          <w:highlight w:val="none"/>
        </w:rPr>
      </w:pPr>
    </w:p>
    <w:p w14:paraId="0A0F5DF5">
      <w:pPr>
        <w:pStyle w:val="33"/>
        <w:keepNext/>
        <w:spacing w:beforeAutospacing="0" w:afterAutospacing="0"/>
        <w:ind w:firstLine="2640"/>
        <w:jc w:val="both"/>
        <w:rPr>
          <w:rFonts w:ascii="黑体" w:hAnsi="宋体" w:eastAsia="黑体" w:cs="黑体"/>
          <w:color w:val="auto"/>
          <w:sz w:val="44"/>
          <w:szCs w:val="44"/>
          <w:highlight w:val="none"/>
        </w:rPr>
      </w:pPr>
      <w:r>
        <w:rPr>
          <w:color w:val="auto"/>
          <w:highlight w:val="none"/>
        </w:rPr>
        <w:t> </w:t>
      </w:r>
      <w:r>
        <w:rPr>
          <w:rFonts w:hint="eastAsia" w:ascii="黑体" w:hAnsi="宋体" w:eastAsia="黑体" w:cs="黑体"/>
          <w:color w:val="auto"/>
          <w:sz w:val="44"/>
          <w:szCs w:val="44"/>
          <w:highlight w:val="none"/>
        </w:rPr>
        <w:br w:type="page" w:clear="all"/>
      </w:r>
    </w:p>
    <w:p w14:paraId="335642A7">
      <w:pPr>
        <w:pStyle w:val="33"/>
        <w:spacing w:beforeAutospacing="0" w:afterAutospacing="0" w:line="540" w:lineRule="exact"/>
        <w:jc w:val="center"/>
        <w:outlineLvl w:val="0"/>
        <w:rPr>
          <w:rFonts w:ascii="黑体" w:hAnsi="宋体" w:eastAsia="黑体" w:cs="黑体"/>
          <w:color w:val="auto"/>
          <w:sz w:val="44"/>
          <w:szCs w:val="44"/>
          <w:highlight w:val="none"/>
        </w:rPr>
      </w:pPr>
      <w:bookmarkStart w:id="168" w:name="_Toc203053456"/>
      <w:bookmarkStart w:id="169" w:name="_Toc479757211"/>
      <w:bookmarkStart w:id="170" w:name="_Toc462564139"/>
      <w:bookmarkStart w:id="171" w:name="_Toc16938590"/>
      <w:bookmarkStart w:id="172" w:name="_Toc203053457"/>
      <w:bookmarkStart w:id="173" w:name="_Toc120614244"/>
      <w:bookmarkStart w:id="174" w:name="_Toc20823346"/>
      <w:bookmarkStart w:id="175" w:name="_Hlt16619369"/>
      <w:bookmarkStart w:id="176" w:name="_Hlt16619350"/>
      <w:r>
        <w:rPr>
          <w:rFonts w:hint="eastAsia" w:ascii="黑体" w:hAnsi="宋体" w:eastAsia="黑体" w:cs="黑体"/>
          <w:color w:val="auto"/>
          <w:sz w:val="44"/>
          <w:szCs w:val="44"/>
          <w:highlight w:val="none"/>
        </w:rPr>
        <w:t>第三章  合同文本</w:t>
      </w:r>
      <w:bookmarkEnd w:id="168"/>
    </w:p>
    <w:p w14:paraId="56E3A4CB">
      <w:pPr>
        <w:rPr>
          <w:rFonts w:ascii="宋体" w:hAnsi="宋体" w:cs="宋体"/>
          <w:color w:val="auto"/>
          <w:highlight w:val="none"/>
        </w:rPr>
      </w:pPr>
      <w:bookmarkStart w:id="177" w:name="EB6d2006462e294de090c16e672cecc3bd"/>
      <w:bookmarkEnd w:id="177"/>
    </w:p>
    <w:p w14:paraId="623DD198">
      <w:pPr>
        <w:jc w:val="center"/>
        <w:rPr>
          <w:rFonts w:ascii="宋体" w:hAnsi="宋体" w:cs="宋体"/>
          <w:color w:val="auto"/>
          <w:sz w:val="30"/>
          <w:highlight w:val="none"/>
        </w:rPr>
      </w:pPr>
    </w:p>
    <w:p w14:paraId="1D82497A">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auto"/>
          <w:highlight w:val="none"/>
        </w:rPr>
      </w:pPr>
      <w:r>
        <w:rPr>
          <w:rFonts w:ascii="宋体" w:hAnsi="宋体" w:eastAsia="宋体" w:cs="宋体"/>
          <w:b/>
          <w:color w:val="auto"/>
          <w:sz w:val="28"/>
          <w:highlight w:val="none"/>
        </w:rPr>
        <w:t>盐城市政府采购合同（服务）（合同编号）</w:t>
      </w:r>
    </w:p>
    <w:p w14:paraId="3B8B152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项目名称：</w:t>
      </w:r>
      <w:r>
        <w:rPr>
          <w:rFonts w:hint="eastAsia" w:ascii="宋体" w:hAnsi="宋体" w:eastAsia="宋体" w:cs="宋体"/>
          <w:color w:val="auto"/>
          <w:sz w:val="24"/>
          <w:highlight w:val="none"/>
        </w:rPr>
        <w:t>江苏省盐城中学拔尖创新人才培养课程项目</w:t>
      </w:r>
    </w:p>
    <w:p w14:paraId="705A067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项目编号：</w:t>
      </w:r>
      <w:r>
        <w:rPr>
          <w:rFonts w:ascii="宋体" w:hAnsi="宋体" w:eastAsia="宋体" w:cs="宋体"/>
          <w:color w:val="auto"/>
          <w:sz w:val="24"/>
          <w:highlight w:val="none"/>
          <w:u w:val="single"/>
        </w:rPr>
        <w:t>     </w:t>
      </w:r>
    </w:p>
    <w:p w14:paraId="1CA15E3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甲方：（买方）_________</w:t>
      </w:r>
    </w:p>
    <w:p w14:paraId="641C1FB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乙方：（卖方）_________</w:t>
      </w:r>
    </w:p>
    <w:p w14:paraId="5F325C9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甲、乙双方根据</w:t>
      </w:r>
      <w:r>
        <w:rPr>
          <w:rFonts w:hint="eastAsia" w:ascii="宋体" w:hAnsi="宋体" w:eastAsia="宋体" w:cs="宋体"/>
          <w:color w:val="auto"/>
          <w:sz w:val="24"/>
          <w:highlight w:val="none"/>
          <w:u w:val="single"/>
        </w:rPr>
        <w:t>江苏省盐城中学拔尖创新人才培养课程项目</w:t>
      </w:r>
      <w:r>
        <w:rPr>
          <w:rFonts w:hint="eastAsia" w:ascii="宋体" w:hAnsi="宋体" w:eastAsia="宋体" w:cs="宋体"/>
          <w:color w:val="auto"/>
          <w:sz w:val="24"/>
          <w:highlight w:val="none"/>
          <w:lang w:val="en-US" w:eastAsia="zh-CN"/>
        </w:rPr>
        <w:t>竞争性谈判</w:t>
      </w:r>
      <w:r>
        <w:rPr>
          <w:rFonts w:ascii="宋体" w:hAnsi="宋体" w:eastAsia="宋体" w:cs="宋体"/>
          <w:color w:val="auto"/>
          <w:sz w:val="24"/>
          <w:highlight w:val="none"/>
        </w:rPr>
        <w:t>的结果，签署本合同。</w:t>
      </w:r>
    </w:p>
    <w:p w14:paraId="50E333B4">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一、合同内容</w:t>
      </w:r>
    </w:p>
    <w:p w14:paraId="07B074E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1.1 标的名称：</w:t>
      </w:r>
      <w:r>
        <w:rPr>
          <w:rFonts w:hint="eastAsia" w:ascii="宋体" w:hAnsi="宋体" w:eastAsia="宋体" w:cs="宋体"/>
          <w:color w:val="auto"/>
          <w:sz w:val="24"/>
          <w:highlight w:val="none"/>
          <w:u w:val="single"/>
        </w:rPr>
        <w:t>江苏省盐城中学拔尖创新人才培养课程项目</w:t>
      </w:r>
      <w:r>
        <w:rPr>
          <w:rFonts w:ascii="宋体" w:hAnsi="宋体" w:eastAsia="宋体" w:cs="宋体"/>
          <w:color w:val="auto"/>
          <w:sz w:val="24"/>
          <w:highlight w:val="none"/>
        </w:rPr>
        <w:t>（具体内容详见招标文件有关项目需求）</w:t>
      </w:r>
    </w:p>
    <w:p w14:paraId="52D6A35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1.2标的质量：达到甲方要求的达标标准。</w:t>
      </w:r>
    </w:p>
    <w:p w14:paraId="62411F7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1.3 标的数量（规模）：本项目共</w:t>
      </w:r>
      <w:r>
        <w:rPr>
          <w:rFonts w:hint="eastAsia" w:ascii="宋体" w:hAnsi="宋体" w:eastAsia="宋体" w:cs="宋体"/>
          <w:color w:val="auto"/>
          <w:sz w:val="24"/>
          <w:highlight w:val="none"/>
          <w:u w:val="single"/>
          <w:lang w:val="en-US" w:eastAsia="zh-CN"/>
        </w:rPr>
        <w:t>24</w:t>
      </w:r>
      <w:r>
        <w:rPr>
          <w:rFonts w:ascii="宋体" w:hAnsi="宋体" w:eastAsia="宋体" w:cs="宋体"/>
          <w:color w:val="auto"/>
          <w:sz w:val="24"/>
          <w:highlight w:val="none"/>
        </w:rPr>
        <w:t>人参训。</w:t>
      </w:r>
    </w:p>
    <w:p w14:paraId="7B07B8B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1.4 履行时间（期限）：自合同签订生效之日起，至</w:t>
      </w:r>
      <w:r>
        <w:rPr>
          <w:rFonts w:hint="eastAsia" w:ascii="宋体" w:hAnsi="宋体" w:eastAsia="宋体" w:cs="宋体"/>
          <w:color w:val="auto"/>
          <w:sz w:val="24"/>
          <w:highlight w:val="none"/>
          <w:lang w:eastAsia="zh-CN"/>
        </w:rPr>
        <w:t>2026年6月</w:t>
      </w:r>
      <w:r>
        <w:rPr>
          <w:rFonts w:ascii="宋体" w:hAnsi="宋体" w:eastAsia="宋体" w:cs="宋体"/>
          <w:color w:val="auto"/>
          <w:sz w:val="24"/>
          <w:highlight w:val="none"/>
        </w:rPr>
        <w:t>底前完成所有服务内容。</w:t>
      </w:r>
    </w:p>
    <w:p w14:paraId="4BC2D7C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1.5 履行地点：采购人指定地点。</w:t>
      </w:r>
    </w:p>
    <w:p w14:paraId="7FBF2F0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1.6履行方式：采购人要求。</w:t>
      </w:r>
    </w:p>
    <w:p w14:paraId="52070FB3">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二、合同金额</w:t>
      </w:r>
    </w:p>
    <w:p w14:paraId="0D115DA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2.1本合同金额为（大写）：_______________元（_______________元）人民币或其他币种。</w:t>
      </w:r>
    </w:p>
    <w:p w14:paraId="128063C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2.2本项目采用“全费用综合单价”报价，报价应包括招标文件所确定的招标范围相应服务的提供、人员（包括工资和补贴）、培训场所及设施、住宿费用、餐费、租车费、差旅费、保险、各种税费、利润、税金、政策性文件规定及合同包含的所有风险、责任等各项应有费用，以及为完成该项服务项目所涉及的一切相关费用，甲方不再支付其他任何费用。</w:t>
      </w:r>
    </w:p>
    <w:p w14:paraId="3113575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2.3合同总价=</w:t>
      </w:r>
      <w:r>
        <w:rPr>
          <w:rFonts w:ascii="PMingLiU-ExtB" w:hAnsi="PMingLiU-ExtB" w:eastAsia="PMingLiU-ExtB" w:cs="PMingLiU-ExtB"/>
          <w:color w:val="auto"/>
          <w:sz w:val="24"/>
          <w:highlight w:val="none"/>
        </w:rPr>
        <w:t>课程服务费</w:t>
      </w:r>
      <w:r>
        <w:rPr>
          <w:rFonts w:ascii="宋体" w:hAnsi="宋体" w:eastAsia="宋体" w:cs="宋体"/>
          <w:color w:val="auto"/>
          <w:sz w:val="24"/>
          <w:highlight w:val="none"/>
        </w:rPr>
        <w:t>（含课时考勤费+课时考绩费）</w:t>
      </w:r>
      <w:r>
        <w:rPr>
          <w:rFonts w:ascii="宋体" w:hAnsi="宋体" w:eastAsia="宋体" w:cs="宋体"/>
          <w:color w:val="auto"/>
          <w:sz w:val="24"/>
          <w:highlight w:val="none"/>
          <w:u w:val="single"/>
        </w:rPr>
        <w:t>    </w:t>
      </w:r>
      <w:r>
        <w:rPr>
          <w:rFonts w:ascii="宋体" w:hAnsi="宋体" w:eastAsia="宋体" w:cs="宋体"/>
          <w:color w:val="auto"/>
          <w:sz w:val="24"/>
          <w:highlight w:val="none"/>
        </w:rPr>
        <w:t>元*</w:t>
      </w:r>
      <w:r>
        <w:rPr>
          <w:rFonts w:ascii="宋体" w:hAnsi="宋体" w:eastAsia="宋体" w:cs="宋体"/>
          <w:color w:val="auto"/>
          <w:sz w:val="24"/>
          <w:highlight w:val="none"/>
          <w:u w:val="single"/>
        </w:rPr>
        <w:t>   </w:t>
      </w:r>
      <w:r>
        <w:rPr>
          <w:rFonts w:ascii="宋体" w:hAnsi="宋体" w:eastAsia="宋体" w:cs="宋体"/>
          <w:color w:val="auto"/>
          <w:sz w:val="24"/>
          <w:highlight w:val="none"/>
        </w:rPr>
        <w:t>参加培训学生</w:t>
      </w:r>
      <w:r>
        <w:rPr>
          <w:rFonts w:ascii="宋体" w:hAnsi="宋体" w:eastAsia="宋体" w:cs="宋体"/>
          <w:color w:val="auto"/>
          <w:sz w:val="24"/>
          <w:highlight w:val="none"/>
          <w:u w:val="single"/>
        </w:rPr>
        <w:t>    </w:t>
      </w:r>
      <w:r>
        <w:rPr>
          <w:rFonts w:ascii="宋体" w:hAnsi="宋体" w:eastAsia="宋体" w:cs="宋体"/>
          <w:color w:val="auto"/>
          <w:sz w:val="24"/>
          <w:highlight w:val="none"/>
        </w:rPr>
        <w:t>人。</w:t>
      </w:r>
    </w:p>
    <w:p w14:paraId="645761C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最终结算时按实际参训学生人数乘以</w:t>
      </w:r>
      <w:r>
        <w:rPr>
          <w:rFonts w:ascii="PMingLiU-ExtB" w:hAnsi="PMingLiU-ExtB" w:eastAsia="PMingLiU-ExtB" w:cs="PMingLiU-ExtB"/>
          <w:color w:val="auto"/>
          <w:sz w:val="24"/>
          <w:highlight w:val="none"/>
        </w:rPr>
        <w:t>课程服务费</w:t>
      </w:r>
      <w:r>
        <w:rPr>
          <w:rFonts w:ascii="宋体" w:hAnsi="宋体" w:eastAsia="宋体" w:cs="宋体"/>
          <w:color w:val="auto"/>
          <w:sz w:val="24"/>
          <w:highlight w:val="none"/>
        </w:rPr>
        <w:t>进行结算。</w:t>
      </w:r>
    </w:p>
    <w:p w14:paraId="6026CDB9">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三、技术资料</w:t>
      </w:r>
    </w:p>
    <w:p w14:paraId="1C56227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3.1乙方应按招标文件规定的时间向甲方提供服务（包含与服务相关的货物）的有关技术资料。</w:t>
      </w:r>
    </w:p>
    <w:p w14:paraId="6B0471B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p>
    <w:p w14:paraId="0303BAD1">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3.3甲乙双方均不得将本合同中的内容及在本合同执行过程中获得的对方的商业信息向任何第三方泄露，因某一方违反约定损害对方利益，需承担一定的法律责任；非经对方书面同意，双方均不得擅自印刷、修改本合同。</w:t>
      </w:r>
    </w:p>
    <w:p w14:paraId="099BBE15">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四、知识产权</w:t>
      </w:r>
    </w:p>
    <w:p w14:paraId="1D61979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4.1乙方应保证甲方在使用、接受本合同服务（包含与服务相关的货物）或其任何一部分时不受第三方提出侵犯其专利权、版权、商标权和</w:t>
      </w:r>
      <w:r>
        <w:rPr>
          <w:rFonts w:hint="eastAsia" w:ascii="宋体" w:hAnsi="宋体" w:eastAsia="宋体" w:cs="宋体"/>
          <w:color w:val="auto"/>
          <w:sz w:val="24"/>
          <w:highlight w:val="none"/>
          <w:lang w:eastAsia="zh-CN"/>
        </w:rPr>
        <w:t>租赁和商务服务业</w:t>
      </w:r>
      <w:r>
        <w:rPr>
          <w:rFonts w:ascii="宋体" w:hAnsi="宋体" w:eastAsia="宋体" w:cs="宋体"/>
          <w:color w:val="auto"/>
          <w:sz w:val="24"/>
          <w:highlight w:val="none"/>
        </w:rPr>
        <w:t>设计权等知识产权的起诉。一旦出现侵权，由乙方负全部责任。</w:t>
      </w:r>
    </w:p>
    <w:p w14:paraId="512E0E8B">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五、产权担保</w:t>
      </w:r>
    </w:p>
    <w:p w14:paraId="666A78A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5.1乙方保证所交付的服务（包含与服务相关的货物）的所有权完全属于乙方且无任何抵押、查封等产权瑕疵。</w:t>
      </w:r>
    </w:p>
    <w:p w14:paraId="30E9529A">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六、履约保证金</w:t>
      </w:r>
    </w:p>
    <w:p w14:paraId="49A6815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6.1乙方交纳人民币_________元作为本合同的履约保证金。</w:t>
      </w:r>
    </w:p>
    <w:p w14:paraId="7E4D5E1C">
      <w:pPr>
        <w:pBdr>
          <w:top w:val="none" w:color="000000" w:sz="0" w:space="0"/>
          <w:left w:val="none" w:color="000000" w:sz="0" w:space="0"/>
          <w:bottom w:val="none" w:color="000000" w:sz="0" w:space="0"/>
          <w:right w:val="none" w:color="000000" w:sz="0" w:space="0"/>
        </w:pBdr>
        <w:spacing w:before="0" w:after="0" w:line="360" w:lineRule="auto"/>
        <w:ind w:left="210" w:right="0" w:firstLine="480"/>
        <w:jc w:val="both"/>
        <w:rPr>
          <w:color w:val="auto"/>
          <w:highlight w:val="none"/>
        </w:rPr>
      </w:pPr>
      <w:r>
        <w:rPr>
          <w:rFonts w:ascii="宋体" w:hAnsi="宋体" w:eastAsia="宋体" w:cs="宋体"/>
          <w:color w:val="auto"/>
          <w:sz w:val="24"/>
          <w:highlight w:val="none"/>
        </w:rPr>
        <w:t>（备注：不得超过合同金额的10%，采购人应当对AA评级及以上政府采购供应商（需提供信用管理部门备案的第三方信用报告）免收履约保证金或降低履约保证金缴纳比例的5%。）</w:t>
      </w:r>
    </w:p>
    <w:p w14:paraId="66CFFDE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6.2确需收取履约保证金的，履约保证金的缴纳形式：</w:t>
      </w:r>
    </w:p>
    <w:p w14:paraId="7E16E10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14DE38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6.2.2如以履约保函（保险）形式缴纳履约保证金，供应商可通过政府采购电子履约保函（保险）平台（www.jsdzbh.com）在线申请履约保函（保险）。</w:t>
      </w:r>
    </w:p>
    <w:p w14:paraId="30121D6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6.3合同履行结束后，甲方应及时退还交纳的履约保证金。</w:t>
      </w:r>
    </w:p>
    <w:p w14:paraId="580D3A4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6.4履约保证金的退还：</w:t>
      </w:r>
    </w:p>
    <w:p w14:paraId="0DD4C8F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6.4.1方式：无息退还至</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缴纳履约保证金的账户。如为保函，在到期时自行失效。</w:t>
      </w:r>
    </w:p>
    <w:p w14:paraId="46BB802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6.4.2时间：验收合格且采购人收到发票后30日内。</w:t>
      </w:r>
    </w:p>
    <w:p w14:paraId="1248168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6.4.3条件：按合同要求全部履约完成并经采购人验收合格，且采购人收到中标人出具的发票。</w:t>
      </w:r>
    </w:p>
    <w:p w14:paraId="3D2664F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6.4.4不予退还情形：</w:t>
      </w:r>
    </w:p>
    <w:p w14:paraId="1159F26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除不可抗力情况外，</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出现下列情形之一的，其履约保证金，招标人将视情节决定不予退还或部分不予退还。</w:t>
      </w:r>
    </w:p>
    <w:p w14:paraId="0050490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（1）中标人无正当理由拒绝签订合同的，或者在签订合同时向采购人提出附加条件或者更改合同实质性内容要求的；</w:t>
      </w:r>
    </w:p>
    <w:p w14:paraId="72313A3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（2）中标人不履行与采购人订立的合同的；</w:t>
      </w:r>
    </w:p>
    <w:p w14:paraId="7A69843F">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（3）中标人所供货物或服务不符合招标文件规定要求的；</w:t>
      </w:r>
    </w:p>
    <w:p w14:paraId="72523B1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（4）中标人采取欺骗、弄虚作假方式投标的或与其他</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串通投标的；</w:t>
      </w:r>
    </w:p>
    <w:p w14:paraId="0D6E332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（5）中标人将合同内容转包、违法分包的；</w:t>
      </w:r>
    </w:p>
    <w:p w14:paraId="66B5012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（6）中标人故意捏造事实或伪造证明材料，进行虚假恶意投诉或反映的。</w:t>
      </w:r>
    </w:p>
    <w:p w14:paraId="48A09C0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6.4.5逾期退还的违约责任：采购人逾期无故未退还履约保证金的，按中国人民银行同期贷款基准利率上浮20%后的利率支付超期资金占用费，但因供应商自身原因导致无法及时退还的除外。</w:t>
      </w:r>
    </w:p>
    <w:p w14:paraId="23841A6B">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七、合同转包或分包</w:t>
      </w:r>
    </w:p>
    <w:p w14:paraId="19A28D7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7.1乙方不得将合同标的转包给他人履行。</w:t>
      </w:r>
    </w:p>
    <w:p w14:paraId="62FF317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7.2乙方不得将合同标的分包给他人履行。</w:t>
      </w:r>
    </w:p>
    <w:p w14:paraId="29D9518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7.3乙方如有转包或未经甲方同意的分包行为，甲方有权解除合同。</w:t>
      </w:r>
    </w:p>
    <w:p w14:paraId="7FFAE9D9">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八、合同款项支付</w:t>
      </w:r>
    </w:p>
    <w:p w14:paraId="01E5746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8.1合同款项的支付方式及进度安排</w:t>
      </w:r>
    </w:p>
    <w:p w14:paraId="3FE09672">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ascii="宋体" w:hAnsi="宋体" w:eastAsia="宋体" w:cs="宋体"/>
          <w:color w:val="auto"/>
          <w:sz w:val="24"/>
          <w:highlight w:val="none"/>
        </w:rPr>
        <w:t>8.1.1预付款支付：</w:t>
      </w:r>
      <w:r>
        <w:rPr>
          <w:rFonts w:hint="eastAsia" w:ascii="宋体" w:hAnsi="宋体" w:eastAsia="宋体" w:cs="宋体"/>
          <w:color w:val="auto"/>
          <w:sz w:val="24"/>
          <w:szCs w:val="24"/>
          <w:highlight w:val="none"/>
        </w:rPr>
        <w:t>合同金额的30%。（乙方需提供等额税票。在签订合同时，如乙方明确表示无需预</w:t>
      </w:r>
      <w:r>
        <w:rPr>
          <w:rFonts w:hint="eastAsia" w:ascii="宋体" w:hAnsi="宋体" w:eastAsia="宋体" w:cs="宋体"/>
          <w:color w:val="auto"/>
          <w:sz w:val="24"/>
          <w:szCs w:val="24"/>
          <w:highlight w:val="none"/>
          <w:lang w:val="en-US" w:eastAsia="zh-CN"/>
        </w:rPr>
        <w:t>付款的，在2026年春学期末支付。）</w:t>
      </w:r>
    </w:p>
    <w:p w14:paraId="328E714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8.2.2尾款支付：</w:t>
      </w:r>
    </w:p>
    <w:p w14:paraId="462D288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hint="eastAsia" w:ascii="宋体" w:hAnsi="宋体" w:eastAsia="宋体" w:cs="宋体"/>
          <w:color w:val="auto"/>
          <w:sz w:val="24"/>
          <w:szCs w:val="24"/>
          <w:highlight w:val="none"/>
          <w:lang w:val="en-US" w:eastAsia="zh-CN"/>
        </w:rPr>
        <w:t>在预付款后，剩余70%服务费以课时费形式支付。本项目课时费按考勤、考绩两项分类、分期支付，其中，</w:t>
      </w:r>
      <w:r>
        <w:rPr>
          <w:rFonts w:hint="eastAsia" w:ascii="宋体" w:hAnsi="宋体" w:eastAsia="宋体" w:cs="宋体"/>
          <w:color w:val="auto"/>
          <w:sz w:val="24"/>
          <w:szCs w:val="24"/>
          <w:highlight w:val="none"/>
          <w:lang w:val="zh-TW" w:eastAsia="zh-TW"/>
        </w:rPr>
        <w:t>课时考勤费占</w:t>
      </w:r>
      <w:r>
        <w:rPr>
          <w:rFonts w:hint="eastAsia" w:ascii="宋体" w:hAnsi="宋体" w:eastAsia="宋体" w:cs="宋体"/>
          <w:color w:val="auto"/>
          <w:sz w:val="24"/>
          <w:szCs w:val="24"/>
          <w:highlight w:val="none"/>
          <w:lang w:val="en-US" w:eastAsia="zh-CN"/>
        </w:rPr>
        <w:t>总额的40%</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eastAsia="zh-TW"/>
        </w:rPr>
        <w:t>于</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lang w:val="zh-TW" w:eastAsia="zh-TW"/>
        </w:rPr>
        <w:t>年春学期末支付</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TW" w:eastAsia="zh-TW"/>
        </w:rPr>
        <w:t>课时考绩费占</w:t>
      </w:r>
      <w:r>
        <w:rPr>
          <w:rFonts w:hint="eastAsia" w:ascii="宋体" w:hAnsi="宋体" w:eastAsia="宋体" w:cs="宋体"/>
          <w:color w:val="auto"/>
          <w:sz w:val="24"/>
          <w:szCs w:val="24"/>
          <w:highlight w:val="none"/>
          <w:lang w:val="en-US" w:eastAsia="zh-CN"/>
        </w:rPr>
        <w:t>总额</w:t>
      </w:r>
      <w:r>
        <w:rPr>
          <w:rFonts w:hint="eastAsia" w:ascii="宋体" w:hAnsi="宋体" w:eastAsia="宋体" w:cs="宋体"/>
          <w:color w:val="auto"/>
          <w:sz w:val="24"/>
          <w:szCs w:val="24"/>
          <w:highlight w:val="none"/>
          <w:lang w:val="zh-TW" w:eastAsia="zh-TW"/>
        </w:rPr>
        <w:t>的</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eastAsia="zh-TW"/>
        </w:rPr>
        <w:t>如达成参训学生</w:t>
      </w:r>
      <w:r>
        <w:rPr>
          <w:rFonts w:hint="eastAsia" w:ascii="宋体" w:hAnsi="宋体" w:eastAsia="宋体" w:cs="宋体"/>
          <w:color w:val="auto"/>
          <w:sz w:val="24"/>
          <w:szCs w:val="24"/>
          <w:highlight w:val="none"/>
          <w:lang w:val="zh-TW" w:eastAsia="zh-CN"/>
        </w:rPr>
        <w:t>国内顶尖名校（</w:t>
      </w:r>
      <w:r>
        <w:rPr>
          <w:rFonts w:hint="eastAsia" w:ascii="宋体" w:hAnsi="宋体" w:eastAsia="宋体" w:cs="宋体"/>
          <w:color w:val="auto"/>
          <w:sz w:val="24"/>
          <w:szCs w:val="24"/>
          <w:highlight w:val="none"/>
          <w:lang w:val="en-US" w:eastAsia="zh-CN"/>
        </w:rPr>
        <w:t>清华、北大</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eastAsia="zh-TW"/>
        </w:rPr>
        <w:t>录取预定目标</w:t>
      </w:r>
      <w:r>
        <w:rPr>
          <w:rFonts w:hint="eastAsia" w:ascii="宋体" w:hAnsi="宋体" w:eastAsia="宋体" w:cs="宋体"/>
          <w:color w:val="auto"/>
          <w:sz w:val="24"/>
          <w:szCs w:val="24"/>
          <w:highlight w:val="none"/>
          <w:lang w:val="en-US" w:eastAsia="zh-CN"/>
        </w:rPr>
        <w:t>8人（不含强基保送生、破格生、飞行员、体育类、及清华大学美术学院的设计类和美术类专业）</w:t>
      </w:r>
      <w:r>
        <w:rPr>
          <w:rFonts w:hint="eastAsia" w:ascii="宋体" w:hAnsi="宋体" w:eastAsia="宋体" w:cs="宋体"/>
          <w:color w:val="auto"/>
          <w:sz w:val="24"/>
          <w:szCs w:val="24"/>
          <w:highlight w:val="none"/>
          <w:lang w:val="zh-TW" w:eastAsia="zh-TW"/>
        </w:rPr>
        <w:t>，全额支付</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如未达成</w:t>
      </w:r>
      <w:r>
        <w:rPr>
          <w:rFonts w:hint="eastAsia" w:ascii="宋体" w:hAnsi="宋体" w:eastAsia="宋体" w:cs="宋体"/>
          <w:color w:val="auto"/>
          <w:sz w:val="24"/>
          <w:szCs w:val="24"/>
          <w:highlight w:val="none"/>
          <w:lang w:val="zh-TW" w:eastAsia="zh-TW"/>
        </w:rPr>
        <w:t>预定目标</w:t>
      </w:r>
      <w:r>
        <w:rPr>
          <w:rFonts w:hint="eastAsia" w:ascii="宋体" w:hAnsi="宋体" w:eastAsia="宋体" w:cs="宋体"/>
          <w:color w:val="auto"/>
          <w:sz w:val="24"/>
          <w:szCs w:val="24"/>
          <w:highlight w:val="none"/>
          <w:lang w:val="en-US" w:eastAsia="zh-CN"/>
        </w:rPr>
        <w:t>，则不支付</w:t>
      </w:r>
      <w:r>
        <w:rPr>
          <w:rFonts w:hint="eastAsia" w:ascii="宋体" w:hAnsi="宋体" w:eastAsia="宋体" w:cs="宋体"/>
          <w:color w:val="auto"/>
          <w:sz w:val="24"/>
          <w:szCs w:val="24"/>
          <w:highlight w:val="none"/>
          <w:lang w:val="zh-TW" w:eastAsia="zh-TW"/>
        </w:rPr>
        <w:t>。课时考绩费于</w:t>
      </w:r>
      <w:r>
        <w:rPr>
          <w:rFonts w:hint="eastAsia" w:ascii="宋体" w:hAnsi="宋体" w:eastAsia="宋体" w:cs="宋体"/>
          <w:color w:val="auto"/>
          <w:sz w:val="24"/>
          <w:szCs w:val="24"/>
          <w:highlight w:val="none"/>
          <w:lang w:val="en-US" w:eastAsia="zh-CN"/>
        </w:rPr>
        <w:t>2026</w:t>
      </w:r>
      <w:r>
        <w:rPr>
          <w:rFonts w:hint="eastAsia" w:ascii="宋体" w:hAnsi="宋体" w:eastAsia="宋体" w:cs="宋体"/>
          <w:color w:val="auto"/>
          <w:sz w:val="24"/>
          <w:szCs w:val="24"/>
          <w:highlight w:val="none"/>
          <w:lang w:val="zh-TW" w:eastAsia="zh-TW"/>
        </w:rPr>
        <w:t>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TW" w:eastAsia="zh-TW"/>
        </w:rPr>
        <w:t>月底前</w:t>
      </w:r>
      <w:r>
        <w:rPr>
          <w:rFonts w:hint="eastAsia" w:ascii="宋体" w:hAnsi="宋体" w:eastAsia="宋体" w:cs="宋体"/>
          <w:color w:val="auto"/>
          <w:sz w:val="24"/>
          <w:szCs w:val="24"/>
          <w:highlight w:val="none"/>
          <w:lang w:val="en-US" w:eastAsia="zh-CN"/>
        </w:rPr>
        <w:t>支付。</w:t>
      </w:r>
    </w:p>
    <w:p w14:paraId="73836CD7">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九、税费</w:t>
      </w:r>
    </w:p>
    <w:p w14:paraId="75CC203A">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9.1本合同执行中相关的一切税费均由乙方负担。</w:t>
      </w:r>
    </w:p>
    <w:p w14:paraId="52B0D02A">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十、项目验收</w:t>
      </w:r>
    </w:p>
    <w:p w14:paraId="4400B13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10.1甲方依法组织履约验收工作，具体验收方法由甲方与本项目各参与学校研究制定。</w:t>
      </w:r>
    </w:p>
    <w:p w14:paraId="6ED83AC2">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CB51E2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10.3对于实际使用人和甲方分离的项目，甲方邀请实际使用人参与验收。</w:t>
      </w:r>
    </w:p>
    <w:p w14:paraId="364C1C4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10.4如有必要，甲方邀请参加本项目的其他供应商或第三方专业机构及专家参与验收，相关意见将作为验收书的参考资料。</w:t>
      </w:r>
    </w:p>
    <w:p w14:paraId="4EDFD6B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B03E8D8">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7007A59">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十一、违约责任</w:t>
      </w:r>
    </w:p>
    <w:p w14:paraId="2BEDB43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11.1甲方无正当理由拒绝接受乙方提供服务的，甲方向乙方偿付拒绝接受服务合同价款总值</w:t>
      </w:r>
      <w:r>
        <w:rPr>
          <w:rFonts w:ascii="宋体" w:hAnsi="宋体" w:eastAsia="宋体" w:cs="宋体"/>
          <w:color w:val="auto"/>
          <w:sz w:val="24"/>
          <w:highlight w:val="none"/>
          <w:u w:val="single"/>
        </w:rPr>
        <w:t xml:space="preserve"> 10% </w:t>
      </w:r>
      <w:r>
        <w:rPr>
          <w:rFonts w:ascii="宋体" w:hAnsi="宋体" w:eastAsia="宋体" w:cs="宋体"/>
          <w:color w:val="auto"/>
          <w:sz w:val="24"/>
          <w:highlight w:val="none"/>
        </w:rPr>
        <w:t>的违约金。</w:t>
      </w:r>
    </w:p>
    <w:p w14:paraId="4FC2C937">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11.2甲方无故逾期验收和办理合同款项支付手续的，甲方应按逾期付款总额</w:t>
      </w:r>
      <w:r>
        <w:rPr>
          <w:rFonts w:ascii="宋体" w:hAnsi="宋体" w:eastAsia="宋体" w:cs="宋体"/>
          <w:color w:val="auto"/>
          <w:sz w:val="24"/>
          <w:highlight w:val="none"/>
          <w:u w:val="single"/>
        </w:rPr>
        <w:t>千分之六</w:t>
      </w:r>
      <w:r>
        <w:rPr>
          <w:rFonts w:ascii="宋体" w:hAnsi="宋体" w:eastAsia="宋体" w:cs="宋体"/>
          <w:color w:val="auto"/>
          <w:sz w:val="24"/>
          <w:highlight w:val="none"/>
        </w:rPr>
        <w:t>每日向乙方支付违约金。</w:t>
      </w:r>
    </w:p>
    <w:p w14:paraId="2C4CB74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auto"/>
          <w:sz w:val="24"/>
          <w:highlight w:val="none"/>
          <w:u w:val="single"/>
        </w:rPr>
        <w:t xml:space="preserve"> 20%  </w:t>
      </w:r>
      <w:r>
        <w:rPr>
          <w:rFonts w:ascii="宋体" w:hAnsi="宋体" w:eastAsia="宋体" w:cs="宋体"/>
          <w:color w:val="auto"/>
          <w:sz w:val="24"/>
          <w:highlight w:val="none"/>
        </w:rPr>
        <w:t>的违约金，如造成甲方损失超过违约金的，超出部分由乙方继续承担赔偿责任。 </w:t>
      </w:r>
    </w:p>
    <w:p w14:paraId="301CB70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11.4乙方所提供服务的标准不符合合同规定及招标文件规定标准的，甲方有权拒绝接受服务，并可单方面解除合同。</w:t>
      </w:r>
    </w:p>
    <w:p w14:paraId="5ED291D7">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十二、不可抗力事件处理</w:t>
      </w:r>
    </w:p>
    <w:p w14:paraId="5DF5387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12.1在合同有效期内，任何一方因不可抗力事件导致不能履行合同，则合同履行期可延长，其延长期与不可抗力影响 期相同。</w:t>
      </w:r>
    </w:p>
    <w:p w14:paraId="14512823">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12.2不可抗力事件发生后，应立即通知对方，并寄送有关权威机构出具的证明。</w:t>
      </w:r>
    </w:p>
    <w:p w14:paraId="731EC44C">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12.3不可抗力事件延续120天以上，双方应通过友好协商，确定是否继续履行合同。</w:t>
      </w:r>
    </w:p>
    <w:p w14:paraId="71B0CE42">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十三、解决争议的方法</w:t>
      </w:r>
    </w:p>
    <w:p w14:paraId="0466F6C0">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13.1双方在签订、履行合同中所发生的一切争议，应通过友好协商解决。如协商不成，由甲方住所地人民法院管辖。</w:t>
      </w:r>
    </w:p>
    <w:p w14:paraId="51E88123">
      <w:pPr>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b/>
          <w:color w:val="auto"/>
          <w:sz w:val="24"/>
          <w:highlight w:val="none"/>
        </w:rPr>
        <w:t>十四、合同生效及其他</w:t>
      </w:r>
    </w:p>
    <w:p w14:paraId="03BA19E5">
      <w:pPr>
        <w:pBdr>
          <w:top w:val="none" w:color="000000" w:sz="0" w:space="0"/>
          <w:left w:val="none" w:color="000000" w:sz="0" w:space="0"/>
          <w:bottom w:val="none" w:color="000000" w:sz="0" w:space="0"/>
          <w:right w:val="none" w:color="000000" w:sz="0" w:space="0"/>
        </w:pBdr>
        <w:spacing w:before="0" w:after="0" w:line="360" w:lineRule="auto"/>
        <w:ind w:left="0" w:right="0" w:firstLine="520"/>
        <w:jc w:val="both"/>
        <w:rPr>
          <w:color w:val="auto"/>
          <w:highlight w:val="none"/>
        </w:rPr>
      </w:pPr>
      <w:r>
        <w:rPr>
          <w:rFonts w:ascii="宋体" w:hAnsi="宋体" w:eastAsia="宋体" w:cs="宋体"/>
          <w:color w:val="auto"/>
          <w:sz w:val="24"/>
          <w:highlight w:val="none"/>
        </w:rPr>
        <w:t>14.1合同经双方法定代表人或授权委托代表人签字并加盖单位公章后生效。</w:t>
      </w:r>
    </w:p>
    <w:p w14:paraId="2D0B2F79">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14.2本合同未尽事宜，遵照《民法典》《政府采购法》有关条文执行。</w:t>
      </w:r>
    </w:p>
    <w:p w14:paraId="226C0F9D">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14.3 本合同正本一式两份，具有同等法律效力，甲方、乙方各执一份。</w:t>
      </w:r>
    </w:p>
    <w:p w14:paraId="7F9E0E46">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 </w:t>
      </w:r>
    </w:p>
    <w:p w14:paraId="69EB752B">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甲方：               乙方： </w:t>
      </w:r>
    </w:p>
    <w:p w14:paraId="0CB6E745">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地址：               地址： </w:t>
      </w:r>
    </w:p>
    <w:p w14:paraId="1B6B9194">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法定代表人或授权代表：        法定代表人或授权代表：</w:t>
      </w:r>
    </w:p>
    <w:p w14:paraId="2D2C44FE">
      <w:pPr>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color w:val="auto"/>
          <w:highlight w:val="none"/>
        </w:rPr>
      </w:pPr>
      <w:r>
        <w:rPr>
          <w:rFonts w:ascii="宋体" w:hAnsi="宋体" w:eastAsia="宋体" w:cs="宋体"/>
          <w:color w:val="auto"/>
          <w:sz w:val="24"/>
          <w:highlight w:val="none"/>
        </w:rPr>
        <w:t xml:space="preserve">联系电话：               联系电话：          </w:t>
      </w:r>
    </w:p>
    <w:p w14:paraId="58A8A068">
      <w:pPr>
        <w:spacing w:line="360" w:lineRule="auto"/>
        <w:rPr>
          <w:color w:val="auto"/>
          <w:highlight w:val="none"/>
        </w:rPr>
      </w:pPr>
      <w:r>
        <w:rPr>
          <w:rFonts w:ascii="宋体" w:hAnsi="宋体" w:eastAsia="宋体" w:cs="宋体"/>
          <w:color w:val="auto"/>
          <w:sz w:val="24"/>
          <w:highlight w:val="none"/>
        </w:rPr>
        <w:t>                                          签订日期：      年    月   日</w:t>
      </w:r>
    </w:p>
    <w:p w14:paraId="768882BD">
      <w:pPr>
        <w:widowControl/>
        <w:spacing w:line="360" w:lineRule="auto"/>
        <w:jc w:val="left"/>
        <w:rPr>
          <w:color w:val="auto"/>
          <w:highlight w:val="none"/>
        </w:rPr>
      </w:pPr>
    </w:p>
    <w:p w14:paraId="501E5AE7">
      <w:pPr>
        <w:widowControl/>
        <w:jc w:val="left"/>
        <w:rPr>
          <w:color w:val="auto"/>
          <w:highlight w:val="none"/>
        </w:rPr>
      </w:pPr>
    </w:p>
    <w:p w14:paraId="5EF31CF5">
      <w:pPr>
        <w:widowControl/>
        <w:jc w:val="left"/>
        <w:rPr>
          <w:color w:val="auto"/>
          <w:highlight w:val="none"/>
        </w:rPr>
      </w:pPr>
    </w:p>
    <w:p w14:paraId="27C736E4">
      <w:pPr>
        <w:widowControl/>
        <w:jc w:val="left"/>
        <w:rPr>
          <w:color w:val="auto"/>
          <w:highlight w:val="none"/>
        </w:rPr>
      </w:pPr>
    </w:p>
    <w:p w14:paraId="7C2C7329">
      <w:pPr>
        <w:widowControl/>
        <w:jc w:val="left"/>
        <w:rPr>
          <w:color w:val="auto"/>
          <w:highlight w:val="none"/>
        </w:rPr>
      </w:pPr>
    </w:p>
    <w:p w14:paraId="0291A5F9">
      <w:pPr>
        <w:widowControl/>
        <w:jc w:val="left"/>
        <w:rPr>
          <w:color w:val="auto"/>
          <w:highlight w:val="none"/>
        </w:rPr>
      </w:pPr>
    </w:p>
    <w:p w14:paraId="4AD71241">
      <w:pPr>
        <w:widowControl/>
        <w:jc w:val="left"/>
        <w:rPr>
          <w:color w:val="auto"/>
          <w:highlight w:val="none"/>
        </w:rPr>
      </w:pPr>
    </w:p>
    <w:p w14:paraId="263B4511">
      <w:pPr>
        <w:widowControl/>
        <w:jc w:val="left"/>
        <w:rPr>
          <w:color w:val="auto"/>
          <w:highlight w:val="none"/>
        </w:rPr>
      </w:pPr>
    </w:p>
    <w:p w14:paraId="57DC0CB3">
      <w:pPr>
        <w:widowControl/>
        <w:jc w:val="left"/>
        <w:rPr>
          <w:color w:val="auto"/>
          <w:highlight w:val="none"/>
        </w:rPr>
      </w:pPr>
    </w:p>
    <w:p w14:paraId="56ACAECD">
      <w:pPr>
        <w:widowControl/>
        <w:jc w:val="left"/>
        <w:rPr>
          <w:color w:val="auto"/>
          <w:highlight w:val="none"/>
        </w:rPr>
      </w:pPr>
    </w:p>
    <w:p w14:paraId="408C89CE">
      <w:pPr>
        <w:widowControl/>
        <w:jc w:val="left"/>
        <w:rPr>
          <w:rFonts w:ascii="黑体" w:hAnsi="宋体" w:eastAsia="黑体" w:cs="黑体"/>
          <w:color w:val="auto"/>
          <w:sz w:val="44"/>
          <w:szCs w:val="44"/>
          <w:highlight w:val="none"/>
        </w:rPr>
      </w:pPr>
      <w:r>
        <w:rPr>
          <w:rFonts w:ascii="黑体" w:hAnsi="宋体" w:eastAsia="黑体" w:cs="黑体"/>
          <w:color w:val="auto"/>
          <w:sz w:val="44"/>
          <w:szCs w:val="44"/>
          <w:highlight w:val="none"/>
        </w:rPr>
        <w:br w:type="page" w:clear="all"/>
      </w:r>
    </w:p>
    <w:p w14:paraId="5001B1F1">
      <w:pPr>
        <w:pStyle w:val="33"/>
        <w:spacing w:beforeAutospacing="0" w:afterAutospacing="0" w:line="540" w:lineRule="exact"/>
        <w:jc w:val="center"/>
        <w:outlineLvl w:val="0"/>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第</w:t>
      </w:r>
      <w:bookmarkEnd w:id="169"/>
      <w:r>
        <w:rPr>
          <w:rFonts w:hint="eastAsia" w:ascii="黑体" w:hAnsi="宋体" w:eastAsia="黑体" w:cs="黑体"/>
          <w:color w:val="auto"/>
          <w:sz w:val="44"/>
          <w:szCs w:val="44"/>
          <w:highlight w:val="none"/>
        </w:rPr>
        <w:t>四章  采购需求</w:t>
      </w:r>
      <w:bookmarkEnd w:id="170"/>
      <w:bookmarkEnd w:id="171"/>
      <w:bookmarkEnd w:id="172"/>
      <w:bookmarkEnd w:id="173"/>
      <w:bookmarkEnd w:id="174"/>
      <w:bookmarkStart w:id="178" w:name="_Toc26554093"/>
      <w:bookmarkEnd w:id="178"/>
      <w:bookmarkStart w:id="179" w:name="_Toc49090575"/>
      <w:bookmarkEnd w:id="179"/>
    </w:p>
    <w:p w14:paraId="10B6C732">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项目属性：</w:t>
      </w:r>
      <w:r>
        <w:rPr>
          <w:rFonts w:hint="eastAsia" w:ascii="宋体" w:hAnsi="宋体" w:eastAsia="宋体" w:cs="宋体"/>
          <w:color w:val="auto"/>
          <w:sz w:val="24"/>
          <w:highlight w:val="none"/>
          <w:lang w:val="en-US" w:eastAsia="zh-CN"/>
        </w:rPr>
        <w:t>服务类项目</w:t>
      </w:r>
      <w:r>
        <w:rPr>
          <w:rFonts w:ascii="宋体" w:hAnsi="宋体" w:eastAsia="宋体" w:cs="宋体"/>
          <w:color w:val="auto"/>
          <w:sz w:val="24"/>
          <w:highlight w:val="none"/>
        </w:rPr>
        <w:t>。</w:t>
      </w:r>
    </w:p>
    <w:p w14:paraId="25447D44">
      <w:pPr>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auto"/>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rPr>
        <w:t>一、</w:t>
      </w:r>
      <w:r>
        <w:rPr>
          <w:rFonts w:hint="eastAsia" w:ascii="宋体" w:hAnsi="宋体" w:eastAsia="宋体" w:cs="宋体"/>
          <w:b/>
          <w:bCs/>
          <w:color w:val="auto"/>
          <w:sz w:val="24"/>
          <w:szCs w:val="24"/>
          <w:lang w:val="en-US" w:eastAsia="zh-CN"/>
        </w:rPr>
        <w:t>项目背景与目标</w:t>
      </w:r>
    </w:p>
    <w:p w14:paraId="2825ED56">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项目背景</w:t>
      </w:r>
    </w:p>
    <w:p w14:paraId="6536B37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为积极响应国家拔尖创新人才培养战略，对接新时代高等教育选拔要求，</w:t>
      </w:r>
      <w:r>
        <w:rPr>
          <w:rFonts w:hint="eastAsia" w:ascii="宋体" w:hAnsi="宋体" w:eastAsia="宋体" w:cs="宋体"/>
          <w:color w:val="auto"/>
          <w:sz w:val="24"/>
          <w:szCs w:val="24"/>
          <w:lang w:eastAsia="zh-CN"/>
        </w:rPr>
        <w:t>盐城</w:t>
      </w:r>
      <w:r>
        <w:rPr>
          <w:rFonts w:hint="eastAsia" w:ascii="宋体" w:hAnsi="宋体" w:eastAsia="宋体" w:cs="宋体"/>
          <w:color w:val="auto"/>
          <w:sz w:val="24"/>
          <w:szCs w:val="24"/>
        </w:rPr>
        <w:t>中学立足本校优质生源基础，系统规划、精准施策，特面向高2026届尖子生群体，引入高水平教育资源，制定并实施“清北特优生专属培养课程方案”。本方案旨在通过校内精耕与外引优教相结合的双轮驱动模式，全力助推优秀学子突破瓶颈、全面提升，冲刺清华大学、北京大学等顶尖高校。</w:t>
      </w:r>
    </w:p>
    <w:p w14:paraId="1236C8A6">
      <w:pPr>
        <w:pStyle w:val="4"/>
        <w:keepNext w:val="0"/>
        <w:keepLines w:val="0"/>
        <w:pageBreakBefore w:val="0"/>
        <w:widowControl w:val="0"/>
        <w:suppressLineNumbers w:val="0"/>
        <w:kinsoku w:val="0"/>
        <w:wordWrap/>
        <w:overflowPunct w:val="0"/>
        <w:topLinePunct w:val="0"/>
        <w:autoSpaceDE w:val="0"/>
        <w:autoSpaceDN w:val="0"/>
        <w:bidi w:val="0"/>
        <w:adjustRightInd w:val="0"/>
        <w:snapToGrid w:val="0"/>
        <w:spacing w:beforeAutospacing="0" w:afterAutospacing="0" w:line="360" w:lineRule="auto"/>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（二）总体目标</w:t>
      </w:r>
    </w:p>
    <w:p w14:paraId="710D3433">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Style w:val="39"/>
          <w:rFonts w:hint="eastAsia" w:ascii="宋体" w:hAnsi="宋体" w:eastAsia="宋体" w:cs="宋体"/>
          <w:b w:val="0"/>
          <w:bCs w:val="0"/>
          <w:color w:val="auto"/>
          <w:sz w:val="24"/>
          <w:szCs w:val="24"/>
          <w:lang w:val="en-US" w:eastAsia="zh-CN"/>
        </w:rPr>
        <w:t>1.</w:t>
      </w:r>
      <w:r>
        <w:rPr>
          <w:rStyle w:val="39"/>
          <w:rFonts w:hint="eastAsia" w:ascii="宋体" w:hAnsi="宋体" w:eastAsia="宋体" w:cs="宋体"/>
          <w:b w:val="0"/>
          <w:bCs w:val="0"/>
          <w:color w:val="auto"/>
          <w:sz w:val="24"/>
          <w:szCs w:val="24"/>
        </w:rPr>
        <w:t>升学目标</w:t>
      </w:r>
      <w:r>
        <w:rPr>
          <w:rFonts w:hint="eastAsia" w:ascii="宋体" w:hAnsi="宋体" w:eastAsia="宋体" w:cs="宋体"/>
          <w:b w:val="0"/>
          <w:bCs w:val="0"/>
          <w:color w:val="auto"/>
          <w:sz w:val="24"/>
          <w:szCs w:val="24"/>
        </w:rPr>
        <w:t>：显著提升2026届高三学生被清华大学、北京大学录取的人数，力争在2025届基础上实现突破。</w:t>
      </w:r>
    </w:p>
    <w:p w14:paraId="5E107FDD">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Style w:val="39"/>
          <w:rFonts w:hint="eastAsia" w:ascii="宋体" w:hAnsi="宋体" w:eastAsia="宋体" w:cs="宋体"/>
          <w:b w:val="0"/>
          <w:bCs w:val="0"/>
          <w:color w:val="auto"/>
          <w:sz w:val="24"/>
          <w:szCs w:val="24"/>
          <w:lang w:val="en-US" w:eastAsia="zh-CN"/>
        </w:rPr>
        <w:t>2.</w:t>
      </w:r>
      <w:r>
        <w:rPr>
          <w:rStyle w:val="39"/>
          <w:rFonts w:hint="eastAsia" w:ascii="宋体" w:hAnsi="宋体" w:eastAsia="宋体" w:cs="宋体"/>
          <w:b w:val="0"/>
          <w:bCs w:val="0"/>
          <w:color w:val="auto"/>
          <w:sz w:val="24"/>
          <w:szCs w:val="24"/>
        </w:rPr>
        <w:t>培养目标</w:t>
      </w:r>
      <w:r>
        <w:rPr>
          <w:rFonts w:hint="eastAsia" w:ascii="宋体" w:hAnsi="宋体" w:eastAsia="宋体" w:cs="宋体"/>
          <w:b w:val="0"/>
          <w:bCs w:val="0"/>
          <w:color w:val="auto"/>
          <w:sz w:val="24"/>
          <w:szCs w:val="24"/>
        </w:rPr>
        <w:t>：构建系统化、个性化、科学化的拔尖创新人才培养体系，提升学生学科素养、应试能力与综合素质。</w:t>
      </w:r>
    </w:p>
    <w:p w14:paraId="44462889">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体系目标：形成可复制、可推广的“校内教学+校外引培”双轨培养模式，为后续年级积累经验。</w:t>
      </w:r>
    </w:p>
    <w:p w14:paraId="36DA6D54">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二、项目组织与管理</w:t>
      </w:r>
    </w:p>
    <w:p w14:paraId="02593E31">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（一）组织领导</w:t>
      </w:r>
    </w:p>
    <w:p w14:paraId="1493FD30">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成立“2026届拔尖创新人才培养项目工作组”，由校领导牵头，教务处、高三年级组、财务处、信息中心等部门协同参与，明确职责分工。</w:t>
      </w:r>
    </w:p>
    <w:p w14:paraId="0B0F6F6B">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（二）合作机构遴选</w:t>
      </w:r>
    </w:p>
    <w:p w14:paraId="56E1FEC6">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left="0"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通过公开招标方式，遴选具备强基计划、高校专项计划辅导经验、拥有清北师资团队、具备课程研发与实施能力的教育服务机构。</w:t>
      </w:r>
      <w:r>
        <w:rPr>
          <w:b w:val="0"/>
          <w:bCs w:val="0"/>
          <w:color w:val="auto"/>
          <w:sz w:val="24"/>
          <w:szCs w:val="24"/>
        </w:rPr>
        <w:t>合作机构需提供具备清北全日制学习背景、五大联赛获奖经历、丰富教学经验的师资团队，其中清北背景教师不少于15人。</w:t>
      </w:r>
    </w:p>
    <w:p w14:paraId="26F28D96">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（三）项目管理</w:t>
      </w:r>
    </w:p>
    <w:p w14:paraId="22C86078">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校内对接：指定</w:t>
      </w:r>
      <w:r>
        <w:rPr>
          <w:rFonts w:hint="eastAsia" w:ascii="宋体" w:hAnsi="宋体" w:eastAsia="宋体" w:cs="宋体"/>
          <w:b w:val="0"/>
          <w:bCs w:val="0"/>
          <w:color w:val="auto"/>
          <w:sz w:val="24"/>
          <w:szCs w:val="24"/>
          <w:lang w:val="en-US" w:eastAsia="zh-CN"/>
        </w:rPr>
        <w:t>年级工位</w:t>
      </w:r>
      <w:r>
        <w:rPr>
          <w:rFonts w:hint="eastAsia" w:ascii="宋体" w:hAnsi="宋体" w:eastAsia="宋体" w:cs="宋体"/>
          <w:b w:val="0"/>
          <w:bCs w:val="0"/>
          <w:color w:val="auto"/>
          <w:sz w:val="24"/>
          <w:szCs w:val="24"/>
        </w:rPr>
        <w:t>专人负责项目日常协调、进度跟踪与质量监督。</w:t>
      </w:r>
    </w:p>
    <w:p w14:paraId="65033F65">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定期会议：每月召开一次项目推进会，每学期开展一次综合评估。</w:t>
      </w:r>
    </w:p>
    <w:p w14:paraId="2D6E0424">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档案管理：为每名参训学生建立个性化培养档案，记录学习进度、测试成绩、辅导反馈等信息。</w:t>
      </w:r>
    </w:p>
    <w:p w14:paraId="3308DDB2">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、教学实施体系</w:t>
      </w:r>
    </w:p>
    <w:p w14:paraId="07DA1B49">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一</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学生遴选与管理机制</w:t>
      </w:r>
    </w:p>
    <w:p w14:paraId="5E9C8003">
      <w:pPr>
        <w:pStyle w:val="33"/>
        <w:keepNext w:val="0"/>
        <w:keepLines w:val="0"/>
        <w:pageBreakBefore w:val="0"/>
        <w:widowControl w:val="0"/>
        <w:suppressLineNumbers w:val="0"/>
        <w:kinsoku w:val="0"/>
        <w:wordWrap/>
        <w:overflowPunct w:val="0"/>
        <w:topLinePunct w:val="0"/>
        <w:autoSpaceDE w:val="0"/>
        <w:autoSpaceDN w:val="0"/>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rPr>
        <w:t>校内初选与推荐：由年级部、班主任、学科组联合，依据学生历次大考成绩、学科竞赛潜力、综合素质表现进行初步筛选</w:t>
      </w:r>
      <w:r>
        <w:rPr>
          <w:rFonts w:hint="eastAsia" w:ascii="宋体" w:hAnsi="宋体" w:eastAsia="宋体" w:cs="宋体"/>
          <w:color w:val="auto"/>
          <w:sz w:val="24"/>
          <w:szCs w:val="24"/>
        </w:rPr>
        <w:t>，形成推荐名单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35人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p>
    <w:p w14:paraId="52367DE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联合评估确定：我校与</w:t>
      </w:r>
      <w:r>
        <w:rPr>
          <w:rFonts w:hint="eastAsia" w:ascii="宋体" w:hAnsi="宋体" w:eastAsia="宋体" w:cs="宋体"/>
          <w:color w:val="auto"/>
          <w:sz w:val="24"/>
          <w:szCs w:val="24"/>
          <w:lang w:val="en-US" w:eastAsia="zh-CN"/>
        </w:rPr>
        <w:t>机构</w:t>
      </w:r>
      <w:r>
        <w:rPr>
          <w:rFonts w:hint="eastAsia" w:ascii="宋体" w:hAnsi="宋体" w:eastAsia="宋体" w:cs="宋体"/>
          <w:color w:val="auto"/>
          <w:sz w:val="24"/>
          <w:szCs w:val="24"/>
        </w:rPr>
        <w:t>共同组织后续评估（含笔试、面试），综合确定最终培养名单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24人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。评估过程由我校教师全程参与监督，确保公平公正，并借此深入了解学生特质，为后续个性化辅导奠定基础。</w:t>
      </w:r>
    </w:p>
    <w:p w14:paraId="513A4F32">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过程跟班管理：我校</w:t>
      </w:r>
      <w:r>
        <w:rPr>
          <w:rFonts w:hint="eastAsia" w:ascii="宋体" w:hAnsi="宋体" w:eastAsia="宋体" w:cs="宋体"/>
          <w:color w:val="auto"/>
          <w:sz w:val="24"/>
          <w:szCs w:val="24"/>
          <w:lang w:val="en-US" w:eastAsia="zh-CN"/>
        </w:rPr>
        <w:t>将</w:t>
      </w:r>
      <w:r>
        <w:rPr>
          <w:rFonts w:hint="eastAsia" w:ascii="宋体" w:hAnsi="宋体" w:eastAsia="宋体" w:cs="宋体"/>
          <w:color w:val="auto"/>
          <w:sz w:val="24"/>
          <w:szCs w:val="24"/>
        </w:rPr>
        <w:t>安排专职教师负责该项目，具体职责包括：学生日常学习督促、与</w:t>
      </w:r>
      <w:r>
        <w:rPr>
          <w:rFonts w:hint="eastAsia" w:ascii="宋体" w:hAnsi="宋体" w:eastAsia="宋体" w:cs="宋体"/>
          <w:color w:val="auto"/>
          <w:sz w:val="24"/>
          <w:szCs w:val="24"/>
          <w:lang w:val="en-US" w:eastAsia="zh-CN"/>
        </w:rPr>
        <w:t>对方老师</w:t>
      </w:r>
      <w:r>
        <w:rPr>
          <w:rFonts w:hint="eastAsia" w:ascii="宋体" w:hAnsi="宋体" w:eastAsia="宋体" w:cs="宋体"/>
          <w:color w:val="auto"/>
          <w:sz w:val="24"/>
          <w:szCs w:val="24"/>
        </w:rPr>
        <w:t>对接、课程讲义统一印制分发、学习资料收集整理、学习状态实时反馈等。</w:t>
      </w:r>
    </w:p>
    <w:p w14:paraId="0071BF7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4.教学质量监控：</w:t>
      </w:r>
      <w:r>
        <w:rPr>
          <w:rFonts w:hint="eastAsia" w:ascii="宋体" w:hAnsi="宋体" w:eastAsia="宋体" w:cs="宋体"/>
          <w:b w:val="0"/>
          <w:bCs w:val="0"/>
          <w:color w:val="auto"/>
          <w:sz w:val="24"/>
          <w:szCs w:val="24"/>
        </w:rPr>
        <w:t>每月组织学生满意度测评，如连续两次满意度低于80%，学校有权终止合作。每学期安排2—3次模拟测试，由合作机构提供试卷与成绩分析报告。</w:t>
      </w:r>
    </w:p>
    <w:p w14:paraId="3D5A6F8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课程安排与教学协调</w:t>
      </w:r>
    </w:p>
    <w:p w14:paraId="01A54071">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授课模式：采用“线上个性化辅导+线下集中提升”相结合的模式。线上每周一次固定时间进行，由我校统一保障学生学习设备与环境。线下活动根据培养阶段关键节点（如寒假、强基备考期）集中开展。</w:t>
      </w:r>
    </w:p>
    <w:p w14:paraId="3BE600AF">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内容对接：我校教学管理部门与</w:t>
      </w:r>
      <w:r>
        <w:rPr>
          <w:rFonts w:hint="eastAsia" w:ascii="宋体" w:hAnsi="宋体" w:eastAsia="宋体" w:cs="宋体"/>
          <w:color w:val="auto"/>
          <w:sz w:val="24"/>
          <w:szCs w:val="24"/>
          <w:lang w:val="en-US" w:eastAsia="zh-CN"/>
        </w:rPr>
        <w:t>对方教学</w:t>
      </w:r>
      <w:r>
        <w:rPr>
          <w:rFonts w:hint="eastAsia" w:ascii="宋体" w:hAnsi="宋体" w:eastAsia="宋体" w:cs="宋体"/>
          <w:color w:val="auto"/>
          <w:sz w:val="24"/>
          <w:szCs w:val="24"/>
        </w:rPr>
        <w:t>教研团队保持密切沟通，确保其提供的专题课程、训练材料与我校高三教学进度、复习节奏高度同步，坚决避免与学校正课教学脱节。所有补充讲义与资料，均经我校审核后统一安排使用。</w:t>
      </w:r>
    </w:p>
    <w:p w14:paraId="3ADBBB04">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学情共研：建立定期学情分析会议制度。我校年级领导、班主任将与</w:t>
      </w:r>
      <w:r>
        <w:rPr>
          <w:rFonts w:hint="eastAsia" w:ascii="宋体" w:hAnsi="宋体" w:eastAsia="宋体" w:cs="宋体"/>
          <w:color w:val="auto"/>
          <w:sz w:val="24"/>
          <w:szCs w:val="24"/>
          <w:lang w:val="en-US" w:eastAsia="zh-CN"/>
        </w:rPr>
        <w:t>对方</w:t>
      </w:r>
      <w:r>
        <w:rPr>
          <w:rFonts w:hint="eastAsia" w:ascii="宋体" w:hAnsi="宋体" w:eastAsia="宋体" w:cs="宋体"/>
          <w:color w:val="auto"/>
          <w:sz w:val="24"/>
          <w:szCs w:val="24"/>
        </w:rPr>
        <w:t>团队围绕一</w:t>
      </w:r>
      <w:r>
        <w:rPr>
          <w:rFonts w:hint="eastAsia" w:ascii="宋体" w:hAnsi="宋体" w:eastAsia="宋体" w:cs="宋体"/>
          <w:color w:val="auto"/>
          <w:sz w:val="24"/>
          <w:szCs w:val="24"/>
          <w:lang w:val="en-US" w:eastAsia="zh-CN"/>
        </w:rPr>
        <w:t>模</w:t>
      </w:r>
      <w:r>
        <w:rPr>
          <w:rFonts w:hint="eastAsia" w:ascii="宋体" w:hAnsi="宋体" w:eastAsia="宋体" w:cs="宋体"/>
          <w:color w:val="auto"/>
          <w:sz w:val="24"/>
          <w:szCs w:val="24"/>
        </w:rPr>
        <w:t>、二</w:t>
      </w:r>
      <w:r>
        <w:rPr>
          <w:rFonts w:hint="eastAsia" w:ascii="宋体" w:hAnsi="宋体" w:eastAsia="宋体" w:cs="宋体"/>
          <w:color w:val="auto"/>
          <w:sz w:val="24"/>
          <w:szCs w:val="24"/>
          <w:lang w:val="en-US" w:eastAsia="zh-CN"/>
        </w:rPr>
        <w:t>模</w:t>
      </w:r>
      <w:r>
        <w:rPr>
          <w:rFonts w:hint="eastAsia" w:ascii="宋体" w:hAnsi="宋体" w:eastAsia="宋体" w:cs="宋体"/>
          <w:color w:val="auto"/>
          <w:sz w:val="24"/>
          <w:szCs w:val="24"/>
        </w:rPr>
        <w:t>等重大考试的学生成绩数据、薄弱环节、心理状态进行联合诊断，共同商定下一阶段的个性化辅导重点与策略调整。</w:t>
      </w:r>
    </w:p>
    <w:p w14:paraId="39ADDB1D">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校内支持与氛围营造</w:t>
      </w:r>
    </w:p>
    <w:p w14:paraId="521E4C51">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政策解读与动员：我校将牵头组织清北招生政策专场宣讲会、清北学长学姐经验分享会等活动，帮助学生与家长清晰了解顶尖高校招生动态，树立报考信心，科学规划升学路径。</w:t>
      </w:r>
    </w:p>
    <w:p w14:paraId="1B679C26">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生涯规划指导：将清北目标融入学生长期生涯发展规划，加强个性化指导，协调好常规教学与特优生培养的关系，在全校营造支持拔尖创新人才成长的积极氛围。</w:t>
      </w:r>
    </w:p>
    <w:p w14:paraId="602A284E">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心理与学业支持：我校心理辅导教师与班主任将密切关注该批学生心理动态，与</w:t>
      </w:r>
      <w:r>
        <w:rPr>
          <w:rFonts w:hint="eastAsia" w:ascii="宋体" w:hAnsi="宋体" w:eastAsia="宋体" w:cs="宋体"/>
          <w:color w:val="auto"/>
          <w:sz w:val="24"/>
          <w:szCs w:val="24"/>
          <w:lang w:val="en-US" w:eastAsia="zh-CN"/>
        </w:rPr>
        <w:t>机构</w:t>
      </w:r>
      <w:r>
        <w:rPr>
          <w:rFonts w:hint="eastAsia" w:ascii="宋体" w:hAnsi="宋体" w:eastAsia="宋体" w:cs="宋体"/>
          <w:color w:val="auto"/>
          <w:sz w:val="24"/>
          <w:szCs w:val="24"/>
        </w:rPr>
        <w:t>导师提供的心理疏导形成合力，保障学生以最佳状态持续备考。</w:t>
      </w:r>
    </w:p>
    <w:p w14:paraId="77B9AF25">
      <w:pPr>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、特色化培养内容模块</w:t>
      </w:r>
    </w:p>
    <w:p w14:paraId="1AC27723">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在坚持我校教学主线的同时，针对清北选拔要求，</w:t>
      </w:r>
      <w:r>
        <w:rPr>
          <w:rFonts w:hint="eastAsia" w:ascii="宋体" w:hAnsi="宋体" w:eastAsia="宋体" w:cs="宋体"/>
          <w:color w:val="auto"/>
          <w:sz w:val="24"/>
          <w:szCs w:val="24"/>
          <w:lang w:val="en-US" w:eastAsia="zh-CN"/>
        </w:rPr>
        <w:t>要求合作机构</w:t>
      </w:r>
      <w:r>
        <w:rPr>
          <w:rFonts w:hint="eastAsia" w:ascii="宋体" w:hAnsi="宋体" w:eastAsia="宋体" w:cs="宋体"/>
          <w:color w:val="auto"/>
          <w:sz w:val="24"/>
          <w:szCs w:val="24"/>
        </w:rPr>
        <w:t>开设以下特色模块：</w:t>
      </w:r>
    </w:p>
    <w:p w14:paraId="03E8623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高考科目深化拓展模块</w:t>
      </w:r>
    </w:p>
    <w:p w14:paraId="78FA9FC2">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针对数学、物理等科目压轴题、创新题型进行专题突破，解决尖子生“高分瓶颈”问题。提供语文、英语等科目的高阶阅读与写作训练材料，提升人文素养与深度文本分析能力。训练内容紧扣江苏省新高考命题趋势，强调知识融合与思维逻辑。</w:t>
      </w:r>
    </w:p>
    <w:tbl>
      <w:tblPr>
        <w:tblStyle w:val="3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35"/>
        <w:gridCol w:w="1690"/>
        <w:gridCol w:w="4708"/>
      </w:tblGrid>
      <w:tr w14:paraId="24B20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8" w:hRule="atLeast"/>
        </w:trPr>
        <w:tc>
          <w:tcPr>
            <w:tcW w:w="9333" w:type="dxa"/>
            <w:gridSpan w:val="3"/>
            <w:tcBorders>
              <w:top w:val="single" w:color="auto" w:sz="4" w:space="0"/>
              <w:left w:val="single" w:color="auto" w:sz="4" w:space="0"/>
              <w:bottom w:val="single" w:color="auto" w:sz="4" w:space="0"/>
              <w:right w:val="single" w:color="auto" w:sz="4" w:space="0"/>
            </w:tcBorders>
            <w:noWrap w:val="0"/>
            <w:vAlign w:val="top"/>
          </w:tcPr>
          <w:p w14:paraId="2E0A4756">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VIP定制专题课程</w:t>
            </w:r>
          </w:p>
        </w:tc>
      </w:tr>
      <w:tr w14:paraId="23B7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2935" w:type="dxa"/>
            <w:tcBorders>
              <w:top w:val="single" w:color="auto" w:sz="4" w:space="0"/>
              <w:left w:val="single" w:color="auto" w:sz="4" w:space="0"/>
              <w:bottom w:val="single" w:color="auto" w:sz="4" w:space="0"/>
              <w:right w:val="single" w:color="auto" w:sz="4" w:space="0"/>
            </w:tcBorders>
            <w:noWrap w:val="0"/>
            <w:vAlign w:val="top"/>
          </w:tcPr>
          <w:p w14:paraId="502302F2">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课程名称</w:t>
            </w:r>
          </w:p>
        </w:tc>
        <w:tc>
          <w:tcPr>
            <w:tcW w:w="1690" w:type="dxa"/>
            <w:tcBorders>
              <w:left w:val="single" w:color="auto" w:sz="4" w:space="0"/>
              <w:bottom w:val="single" w:color="auto" w:sz="4" w:space="0"/>
              <w:right w:val="single" w:color="auto" w:sz="4" w:space="0"/>
            </w:tcBorders>
            <w:noWrap w:val="0"/>
            <w:vAlign w:val="top"/>
          </w:tcPr>
          <w:p w14:paraId="53E8D8AD">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具体课时</w:t>
            </w:r>
          </w:p>
        </w:tc>
        <w:tc>
          <w:tcPr>
            <w:tcW w:w="4708" w:type="dxa"/>
            <w:tcBorders>
              <w:left w:val="single" w:color="auto" w:sz="4" w:space="0"/>
              <w:bottom w:val="single" w:color="auto" w:sz="4" w:space="0"/>
              <w:right w:val="single" w:color="auto" w:sz="4" w:space="0"/>
            </w:tcBorders>
            <w:noWrap w:val="0"/>
            <w:vAlign w:val="top"/>
          </w:tcPr>
          <w:p w14:paraId="7D92471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课程形式</w:t>
            </w:r>
          </w:p>
        </w:tc>
      </w:tr>
      <w:tr w14:paraId="0C01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Borders>
              <w:top w:val="single" w:color="auto" w:sz="4" w:space="0"/>
              <w:left w:val="single" w:color="auto" w:sz="4" w:space="0"/>
              <w:bottom w:val="single" w:color="auto" w:sz="4" w:space="0"/>
              <w:right w:val="single" w:color="auto" w:sz="4" w:space="0"/>
            </w:tcBorders>
            <w:noWrap w:val="0"/>
            <w:vAlign w:val="top"/>
          </w:tcPr>
          <w:p w14:paraId="54C0FD4E">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一对一诊断分析</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各个学科重点专题课程</w:t>
            </w:r>
          </w:p>
        </w:tc>
        <w:tc>
          <w:tcPr>
            <w:tcW w:w="1690" w:type="dxa"/>
            <w:tcBorders>
              <w:top w:val="single" w:color="auto" w:sz="4" w:space="0"/>
              <w:left w:val="single" w:color="auto" w:sz="4" w:space="0"/>
              <w:bottom w:val="single" w:color="auto" w:sz="4" w:space="0"/>
              <w:right w:val="single" w:color="auto" w:sz="4" w:space="0"/>
            </w:tcBorders>
            <w:noWrap w:val="0"/>
            <w:vAlign w:val="top"/>
          </w:tcPr>
          <w:p w14:paraId="23EEC379">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课时</w:t>
            </w:r>
          </w:p>
        </w:tc>
        <w:tc>
          <w:tcPr>
            <w:tcW w:w="4708" w:type="dxa"/>
            <w:tcBorders>
              <w:top w:val="single" w:color="auto" w:sz="4" w:space="0"/>
              <w:left w:val="single" w:color="auto" w:sz="4" w:space="0"/>
              <w:bottom w:val="single" w:color="auto" w:sz="4" w:space="0"/>
              <w:right w:val="single" w:color="auto" w:sz="4" w:space="0"/>
            </w:tcBorders>
            <w:noWrap w:val="0"/>
            <w:vAlign w:val="top"/>
          </w:tcPr>
          <w:p w14:paraId="4A799471">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线上课程</w:t>
            </w:r>
          </w:p>
        </w:tc>
      </w:tr>
      <w:tr w14:paraId="748B2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Borders>
              <w:top w:val="single" w:color="auto" w:sz="4" w:space="0"/>
              <w:left w:val="single" w:color="auto" w:sz="4" w:space="0"/>
              <w:bottom w:val="single" w:color="auto" w:sz="4" w:space="0"/>
              <w:right w:val="single" w:color="auto" w:sz="4" w:space="0"/>
            </w:tcBorders>
            <w:noWrap w:val="0"/>
            <w:vAlign w:val="top"/>
          </w:tcPr>
          <w:p w14:paraId="6EAA7221">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高考演练课程（清北教授教研内容）</w:t>
            </w:r>
          </w:p>
        </w:tc>
        <w:tc>
          <w:tcPr>
            <w:tcW w:w="1690" w:type="dxa"/>
            <w:tcBorders>
              <w:top w:val="single" w:color="auto" w:sz="4" w:space="0"/>
              <w:left w:val="single" w:color="auto" w:sz="4" w:space="0"/>
              <w:bottom w:val="single" w:color="auto" w:sz="4" w:space="0"/>
              <w:right w:val="single" w:color="auto" w:sz="4" w:space="0"/>
            </w:tcBorders>
            <w:noWrap w:val="0"/>
            <w:vAlign w:val="top"/>
          </w:tcPr>
          <w:p w14:paraId="295999DF">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40</w:t>
            </w:r>
            <w:r>
              <w:rPr>
                <w:rFonts w:hint="eastAsia" w:ascii="宋体" w:hAnsi="宋体" w:eastAsia="宋体" w:cs="宋体"/>
                <w:color w:val="auto"/>
                <w:sz w:val="24"/>
                <w:szCs w:val="24"/>
              </w:rPr>
              <w:t>课时</w:t>
            </w:r>
          </w:p>
        </w:tc>
        <w:tc>
          <w:tcPr>
            <w:tcW w:w="4708" w:type="dxa"/>
            <w:tcBorders>
              <w:top w:val="single" w:color="auto" w:sz="4" w:space="0"/>
              <w:left w:val="single" w:color="auto" w:sz="4" w:space="0"/>
              <w:bottom w:val="single" w:color="auto" w:sz="4" w:space="0"/>
              <w:right w:val="single" w:color="auto" w:sz="4" w:space="0"/>
            </w:tcBorders>
            <w:noWrap w:val="0"/>
            <w:vAlign w:val="top"/>
          </w:tcPr>
          <w:p w14:paraId="2184692A">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线上课程</w:t>
            </w:r>
          </w:p>
        </w:tc>
      </w:tr>
      <w:tr w14:paraId="1F0FD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trPr>
        <w:tc>
          <w:tcPr>
            <w:tcW w:w="9333" w:type="dxa"/>
            <w:gridSpan w:val="3"/>
            <w:tcBorders>
              <w:top w:val="single" w:color="auto" w:sz="4" w:space="0"/>
              <w:left w:val="single" w:color="auto" w:sz="4" w:space="0"/>
              <w:bottom w:val="single" w:color="auto" w:sz="4" w:space="0"/>
              <w:right w:val="single" w:color="auto" w:sz="4" w:space="0"/>
            </w:tcBorders>
            <w:noWrap w:val="0"/>
            <w:vAlign w:val="top"/>
          </w:tcPr>
          <w:p w14:paraId="6B3602C7">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备注：合计</w:t>
            </w:r>
            <w:r>
              <w:rPr>
                <w:rFonts w:hint="eastAsia" w:ascii="宋体" w:hAnsi="宋体" w:eastAsia="宋体" w:cs="宋体"/>
                <w:color w:val="auto"/>
                <w:sz w:val="24"/>
                <w:szCs w:val="24"/>
                <w:lang w:val="en-US" w:eastAsia="zh-CN"/>
              </w:rPr>
              <w:t>85</w:t>
            </w:r>
            <w:r>
              <w:rPr>
                <w:rFonts w:hint="eastAsia" w:ascii="宋体" w:hAnsi="宋体" w:eastAsia="宋体" w:cs="宋体"/>
                <w:color w:val="auto"/>
                <w:sz w:val="24"/>
                <w:szCs w:val="24"/>
              </w:rPr>
              <w:t>课时，每课时45分钟。</w:t>
            </w:r>
          </w:p>
          <w:p w14:paraId="67437BD8">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过一对一个性化辅导，夯实学生基础知识，掌握和覆盖所有高考考点，形成完整知识体系。每周清北教练对学生试卷作业进行单独诊断分析，准确找到学生学科学习的瓶颈点，针对学生个人情况，制定出最适合学生情况的个性化学习方案，帮助学生找到最高效的学习内容及学习方法与提分方法。全程跟踪、陪伴学生完成所有课题，直至进入清北名校。各个学科专题会根据学生情况匹配。</w:t>
            </w:r>
          </w:p>
        </w:tc>
      </w:tr>
    </w:tbl>
    <w:tbl>
      <w:tblPr>
        <w:tblStyle w:val="37"/>
        <w:tblpPr w:leftFromText="180" w:rightFromText="180" w:vertAnchor="text" w:horzAnchor="page" w:tblpX="1361" w:tblpY="7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4"/>
        <w:gridCol w:w="5837"/>
      </w:tblGrid>
      <w:tr w14:paraId="3C18D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8921" w:type="dxa"/>
            <w:gridSpan w:val="2"/>
          </w:tcPr>
          <w:p w14:paraId="407F341E">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具体课程时间安排</w:t>
            </w:r>
          </w:p>
        </w:tc>
      </w:tr>
      <w:tr w14:paraId="420D0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084" w:type="dxa"/>
          </w:tcPr>
          <w:p w14:paraId="511D079D">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color w:val="auto"/>
              </w:rPr>
            </w:pPr>
            <w:r>
              <w:rPr>
                <w:rFonts w:hint="eastAsia" w:ascii="宋体" w:hAnsi="宋体" w:eastAsia="宋体" w:cs="宋体"/>
                <w:color w:val="auto"/>
                <w:sz w:val="24"/>
                <w:szCs w:val="24"/>
              </w:rPr>
              <w:t>第一次（</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课时）</w:t>
            </w:r>
          </w:p>
        </w:tc>
        <w:tc>
          <w:tcPr>
            <w:tcW w:w="5837" w:type="dxa"/>
          </w:tcPr>
          <w:p w14:paraId="05D78559">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一对一诊断分析课程</w:t>
            </w:r>
          </w:p>
        </w:tc>
      </w:tr>
      <w:tr w14:paraId="19FF7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12EDC2E8">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第二次（</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课时）</w:t>
            </w:r>
          </w:p>
        </w:tc>
        <w:tc>
          <w:tcPr>
            <w:tcW w:w="5837" w:type="dxa"/>
          </w:tcPr>
          <w:p w14:paraId="4A7FB7E3">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一对一诊断分析课程</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专题课程</w:t>
            </w:r>
          </w:p>
        </w:tc>
      </w:tr>
      <w:tr w14:paraId="5297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54E5D414">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第三次（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3D8A2061">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年2月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p>
        </w:tc>
      </w:tr>
      <w:tr w14:paraId="6D6C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4188254F">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第四次（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42A94A7E">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p>
        </w:tc>
      </w:tr>
      <w:tr w14:paraId="7B0E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21B71B80">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第五次（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0BE10D7F">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年2月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p>
        </w:tc>
      </w:tr>
      <w:tr w14:paraId="4AE9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142FFBAD">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第六次（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698F23FB">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p>
        </w:tc>
      </w:tr>
      <w:tr w14:paraId="510D8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45A8746B">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第七次（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33DFCE57">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p>
        </w:tc>
      </w:tr>
      <w:tr w14:paraId="4E4A5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3A138938">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第八次（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74C8FA91">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p>
        </w:tc>
      </w:tr>
      <w:tr w14:paraId="7EB4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77FADDBC">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第九次（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4FA8F283">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专题课程</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高考演练课程</w:t>
            </w:r>
          </w:p>
        </w:tc>
      </w:tr>
      <w:tr w14:paraId="23EBB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776D4BDF">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第十次（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48162C93">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高考演练课程</w:t>
            </w:r>
          </w:p>
        </w:tc>
      </w:tr>
      <w:tr w14:paraId="31A4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06D45B9B">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第十一次（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17EBBA26">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高考演练课程</w:t>
            </w:r>
          </w:p>
        </w:tc>
      </w:tr>
      <w:tr w14:paraId="42A69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286A56DE">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第十二次（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5A11AA5F">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高考演练课程</w:t>
            </w:r>
          </w:p>
        </w:tc>
      </w:tr>
      <w:tr w14:paraId="2C46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3084" w:type="dxa"/>
          </w:tcPr>
          <w:p w14:paraId="71A5CF33">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第十三次（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50328895">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高考演练课程</w:t>
            </w:r>
          </w:p>
        </w:tc>
      </w:tr>
      <w:tr w14:paraId="0EF1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084" w:type="dxa"/>
          </w:tcPr>
          <w:p w14:paraId="2F77F7AC">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第十</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32D85BC6">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高考演练课程</w:t>
            </w:r>
          </w:p>
        </w:tc>
      </w:tr>
      <w:tr w14:paraId="2CE3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3084" w:type="dxa"/>
          </w:tcPr>
          <w:p w14:paraId="33817309">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第十</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次（</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课时）</w:t>
            </w:r>
          </w:p>
        </w:tc>
        <w:tc>
          <w:tcPr>
            <w:tcW w:w="5837" w:type="dxa"/>
          </w:tcPr>
          <w:p w14:paraId="0642389B">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高考演练课程</w:t>
            </w:r>
          </w:p>
        </w:tc>
      </w:tr>
      <w:tr w14:paraId="79DF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921" w:type="dxa"/>
            <w:gridSpan w:val="2"/>
          </w:tcPr>
          <w:p w14:paraId="6BAFFCF8">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具体时间与招标人协商后进行辅导</w:t>
            </w:r>
          </w:p>
        </w:tc>
      </w:tr>
    </w:tbl>
    <w:p w14:paraId="093EB90B">
      <w:pPr>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rPr>
      </w:pPr>
    </w:p>
    <w:p w14:paraId="356012B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清北强基计划辅导模块</w:t>
      </w:r>
    </w:p>
    <w:p w14:paraId="1BE1BD97">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知识准备：于高三寒假等时段，开设强基计划笔试辅导课程，内容基于对历年清北强基真题的深入研究，注重与高考主干知识的衔接与自然延伸，涵盖必要的学科竞赛基础知识与思维方法，避免盲目加深、加重负担。</w:t>
      </w:r>
    </w:p>
    <w:p w14:paraId="29AEF658">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目前初定两期强基内容时间安排分别为寒假和高考后两期，第一期</w:t>
      </w:r>
      <w:r>
        <w:rPr>
          <w:rFonts w:hint="eastAsia" w:ascii="宋体" w:hAnsi="宋体" w:eastAsia="宋体" w:cs="宋体"/>
          <w:color w:val="auto"/>
          <w:sz w:val="24"/>
          <w:szCs w:val="24"/>
        </w:rPr>
        <w:t>由于寒假时间较短，难以将强基所有板块全面覆盖，所以课程安排将会选择每个科目中占比大、考察频率高的专题进行授课，因此数、物、化课程强度略高，目的在于帮助自学能力突出的特优生迅速地搭建各科学习框架，并在培优结束后也能有目的、有计划地开展学习。</w:t>
      </w:r>
      <w:r>
        <w:rPr>
          <w:rFonts w:hint="eastAsia" w:ascii="宋体" w:hAnsi="宋体" w:eastAsia="宋体" w:cs="宋体"/>
          <w:color w:val="auto"/>
          <w:sz w:val="24"/>
          <w:szCs w:val="24"/>
          <w:lang w:val="en-US" w:eastAsia="zh-CN"/>
        </w:rPr>
        <w:t xml:space="preserve">暑期课程依托政策预判与动态优化，精准覆盖两校差异化考核要求，适配最新简章内容开设全科课程，邀清北背景师资与命题专家授课，以“知识拓展-思维拔高-模拟实战”三位一体体系助力强基学科能力进阶。 </w:t>
      </w:r>
    </w:p>
    <w:p w14:paraId="1CAC7107">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政策与服务：在强基计划报名、考前冲刺等关键节点，组织线下集中辅导与政策深度解读活动，由合作方提供具有清北招生经验的导师进行面对面指导。我校负责组织学生、管理流程，并协助学生进行院校与专业选择的权衡。</w:t>
      </w:r>
    </w:p>
    <w:p w14:paraId="725DE0EC">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p>
    <w:tbl>
      <w:tblPr>
        <w:tblStyle w:val="36"/>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7"/>
        <w:gridCol w:w="1476"/>
        <w:gridCol w:w="3421"/>
      </w:tblGrid>
      <w:tr w14:paraId="21F72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9354" w:type="dxa"/>
            <w:gridSpan w:val="3"/>
            <w:tcBorders>
              <w:top w:val="single" w:color="auto" w:sz="4" w:space="0"/>
              <w:left w:val="single" w:color="auto" w:sz="4" w:space="0"/>
              <w:bottom w:val="single" w:color="auto" w:sz="4" w:space="0"/>
              <w:right w:val="single" w:color="auto" w:sz="4" w:space="0"/>
            </w:tcBorders>
            <w:noWrap w:val="0"/>
            <w:vAlign w:val="top"/>
          </w:tcPr>
          <w:p w14:paraId="283C1946">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960" w:firstLineChars="4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清北教练一对一指导报考清北强基计划初审课程及服务</w:t>
            </w:r>
          </w:p>
        </w:tc>
      </w:tr>
      <w:tr w14:paraId="5024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4457" w:type="dxa"/>
            <w:tcBorders>
              <w:top w:val="single" w:color="auto" w:sz="4" w:space="0"/>
              <w:left w:val="single" w:color="auto" w:sz="4" w:space="0"/>
              <w:bottom w:val="single" w:color="auto" w:sz="4" w:space="0"/>
              <w:right w:val="single" w:color="auto" w:sz="4" w:space="0"/>
            </w:tcBorders>
            <w:noWrap w:val="0"/>
            <w:vAlign w:val="top"/>
          </w:tcPr>
          <w:p w14:paraId="7915E9AE">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1200" w:firstLineChars="5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课程名称</w:t>
            </w:r>
          </w:p>
        </w:tc>
        <w:tc>
          <w:tcPr>
            <w:tcW w:w="1476" w:type="dxa"/>
            <w:tcBorders>
              <w:left w:val="single" w:color="auto" w:sz="4" w:space="0"/>
              <w:bottom w:val="single" w:color="auto" w:sz="4" w:space="0"/>
              <w:right w:val="single" w:color="auto" w:sz="4" w:space="0"/>
            </w:tcBorders>
            <w:noWrap w:val="0"/>
            <w:vAlign w:val="top"/>
          </w:tcPr>
          <w:p w14:paraId="02212F1E">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具体课时</w:t>
            </w:r>
          </w:p>
        </w:tc>
        <w:tc>
          <w:tcPr>
            <w:tcW w:w="3421" w:type="dxa"/>
            <w:tcBorders>
              <w:left w:val="single" w:color="auto" w:sz="4" w:space="0"/>
              <w:bottom w:val="single" w:color="auto" w:sz="4" w:space="0"/>
              <w:right w:val="single" w:color="auto" w:sz="4" w:space="0"/>
            </w:tcBorders>
            <w:noWrap w:val="0"/>
            <w:vAlign w:val="top"/>
          </w:tcPr>
          <w:p w14:paraId="1880B86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课程形式</w:t>
            </w:r>
          </w:p>
        </w:tc>
      </w:tr>
      <w:tr w14:paraId="098F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7" w:type="dxa"/>
            <w:tcBorders>
              <w:top w:val="single" w:color="auto" w:sz="4" w:space="0"/>
              <w:left w:val="single" w:color="auto" w:sz="4" w:space="0"/>
              <w:bottom w:val="single" w:color="auto" w:sz="4" w:space="0"/>
              <w:right w:val="single" w:color="auto" w:sz="4" w:space="0"/>
            </w:tcBorders>
            <w:noWrap w:val="0"/>
            <w:vAlign w:val="top"/>
          </w:tcPr>
          <w:p w14:paraId="2D951AE8">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清北院系专业介绍</w:t>
            </w:r>
          </w:p>
        </w:tc>
        <w:tc>
          <w:tcPr>
            <w:tcW w:w="1476" w:type="dxa"/>
            <w:tcBorders>
              <w:top w:val="single" w:color="auto" w:sz="4" w:space="0"/>
              <w:left w:val="single" w:color="auto" w:sz="4" w:space="0"/>
              <w:bottom w:val="single" w:color="auto" w:sz="4" w:space="0"/>
              <w:right w:val="single" w:color="auto" w:sz="4" w:space="0"/>
            </w:tcBorders>
            <w:noWrap w:val="0"/>
            <w:vAlign w:val="top"/>
          </w:tcPr>
          <w:p w14:paraId="7F619FE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2课时</w:t>
            </w:r>
          </w:p>
        </w:tc>
        <w:tc>
          <w:tcPr>
            <w:tcW w:w="3421" w:type="dxa"/>
            <w:tcBorders>
              <w:top w:val="single" w:color="auto" w:sz="4" w:space="0"/>
              <w:left w:val="single" w:color="auto" w:sz="4" w:space="0"/>
              <w:bottom w:val="single" w:color="auto" w:sz="4" w:space="0"/>
              <w:right w:val="single" w:color="auto" w:sz="4" w:space="0"/>
            </w:tcBorders>
            <w:noWrap w:val="0"/>
            <w:vAlign w:val="top"/>
          </w:tcPr>
          <w:p w14:paraId="2CAEB05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线上课程</w:t>
            </w:r>
          </w:p>
        </w:tc>
      </w:tr>
      <w:tr w14:paraId="2E5AF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7" w:type="dxa"/>
            <w:tcBorders>
              <w:top w:val="single" w:color="auto" w:sz="4" w:space="0"/>
              <w:left w:val="single" w:color="auto" w:sz="4" w:space="0"/>
              <w:bottom w:val="single" w:color="auto" w:sz="4" w:space="0"/>
              <w:right w:val="single" w:color="auto" w:sz="4" w:space="0"/>
            </w:tcBorders>
            <w:noWrap w:val="0"/>
            <w:vAlign w:val="top"/>
          </w:tcPr>
          <w:p w14:paraId="5A634C1C">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清北2026年简章分析&amp;学生报考规划</w:t>
            </w:r>
          </w:p>
        </w:tc>
        <w:tc>
          <w:tcPr>
            <w:tcW w:w="1476" w:type="dxa"/>
            <w:tcBorders>
              <w:top w:val="single" w:color="auto" w:sz="4" w:space="0"/>
              <w:left w:val="single" w:color="auto" w:sz="4" w:space="0"/>
              <w:bottom w:val="single" w:color="auto" w:sz="4" w:space="0"/>
              <w:right w:val="single" w:color="auto" w:sz="4" w:space="0"/>
            </w:tcBorders>
            <w:noWrap w:val="0"/>
            <w:vAlign w:val="top"/>
          </w:tcPr>
          <w:p w14:paraId="38B9ECFF">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2课时</w:t>
            </w:r>
          </w:p>
        </w:tc>
        <w:tc>
          <w:tcPr>
            <w:tcW w:w="3421" w:type="dxa"/>
            <w:tcBorders>
              <w:top w:val="single" w:color="auto" w:sz="4" w:space="0"/>
              <w:left w:val="single" w:color="auto" w:sz="4" w:space="0"/>
              <w:bottom w:val="single" w:color="auto" w:sz="4" w:space="0"/>
              <w:right w:val="single" w:color="auto" w:sz="4" w:space="0"/>
            </w:tcBorders>
            <w:noWrap w:val="0"/>
            <w:vAlign w:val="top"/>
          </w:tcPr>
          <w:p w14:paraId="2E039CD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线上课程</w:t>
            </w:r>
          </w:p>
        </w:tc>
      </w:tr>
      <w:tr w14:paraId="23E86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7" w:type="dxa"/>
            <w:tcBorders>
              <w:top w:val="single" w:color="auto" w:sz="4" w:space="0"/>
              <w:left w:val="single" w:color="auto" w:sz="4" w:space="0"/>
              <w:bottom w:val="single" w:color="auto" w:sz="4" w:space="0"/>
              <w:right w:val="single" w:color="auto" w:sz="4" w:space="0"/>
            </w:tcBorders>
            <w:noWrap w:val="0"/>
            <w:vAlign w:val="top"/>
          </w:tcPr>
          <w:p w14:paraId="2CBA5521">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初审材料填报指导&amp;初审优秀材料分析&amp;自荐信写作指导</w:t>
            </w:r>
          </w:p>
        </w:tc>
        <w:tc>
          <w:tcPr>
            <w:tcW w:w="1476" w:type="dxa"/>
            <w:tcBorders>
              <w:top w:val="single" w:color="auto" w:sz="4" w:space="0"/>
              <w:left w:val="single" w:color="auto" w:sz="4" w:space="0"/>
              <w:bottom w:val="single" w:color="auto" w:sz="4" w:space="0"/>
              <w:right w:val="single" w:color="auto" w:sz="4" w:space="0"/>
            </w:tcBorders>
            <w:noWrap w:val="0"/>
            <w:vAlign w:val="top"/>
          </w:tcPr>
          <w:p w14:paraId="45159B8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2课时</w:t>
            </w:r>
          </w:p>
        </w:tc>
        <w:tc>
          <w:tcPr>
            <w:tcW w:w="3421" w:type="dxa"/>
            <w:tcBorders>
              <w:top w:val="single" w:color="auto" w:sz="4" w:space="0"/>
              <w:left w:val="single" w:color="auto" w:sz="4" w:space="0"/>
              <w:bottom w:val="single" w:color="auto" w:sz="4" w:space="0"/>
              <w:right w:val="single" w:color="auto" w:sz="4" w:space="0"/>
            </w:tcBorders>
            <w:noWrap w:val="0"/>
            <w:vAlign w:val="top"/>
          </w:tcPr>
          <w:p w14:paraId="7E0522F6">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线上课程&amp;视频课程</w:t>
            </w:r>
          </w:p>
        </w:tc>
      </w:tr>
      <w:tr w14:paraId="5FFD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7" w:type="dxa"/>
            <w:tcBorders>
              <w:top w:val="single" w:color="auto" w:sz="4" w:space="0"/>
              <w:left w:val="single" w:color="auto" w:sz="4" w:space="0"/>
              <w:bottom w:val="single" w:color="auto" w:sz="4" w:space="0"/>
              <w:right w:val="single" w:color="auto" w:sz="4" w:space="0"/>
            </w:tcBorders>
            <w:noWrap w:val="0"/>
            <w:vAlign w:val="top"/>
          </w:tcPr>
          <w:p w14:paraId="66A5725F">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初审材料准备&amp;填报指导</w:t>
            </w:r>
          </w:p>
        </w:tc>
        <w:tc>
          <w:tcPr>
            <w:tcW w:w="1476" w:type="dxa"/>
            <w:tcBorders>
              <w:top w:val="single" w:color="auto" w:sz="4" w:space="0"/>
              <w:left w:val="single" w:color="auto" w:sz="4" w:space="0"/>
              <w:bottom w:val="single" w:color="auto" w:sz="4" w:space="0"/>
              <w:right w:val="single" w:color="auto" w:sz="4" w:space="0"/>
            </w:tcBorders>
            <w:noWrap w:val="0"/>
            <w:vAlign w:val="top"/>
          </w:tcPr>
          <w:p w14:paraId="209C8F6D">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4课时</w:t>
            </w:r>
          </w:p>
        </w:tc>
        <w:tc>
          <w:tcPr>
            <w:tcW w:w="3421" w:type="dxa"/>
            <w:tcBorders>
              <w:top w:val="single" w:color="auto" w:sz="4" w:space="0"/>
              <w:left w:val="single" w:color="auto" w:sz="4" w:space="0"/>
              <w:bottom w:val="single" w:color="auto" w:sz="4" w:space="0"/>
              <w:right w:val="single" w:color="auto" w:sz="4" w:space="0"/>
            </w:tcBorders>
            <w:noWrap w:val="0"/>
            <w:vAlign w:val="top"/>
          </w:tcPr>
          <w:p w14:paraId="02F36BD8">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线上课程&amp;视频课程</w:t>
            </w:r>
          </w:p>
        </w:tc>
      </w:tr>
      <w:tr w14:paraId="10C5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54" w:type="dxa"/>
            <w:gridSpan w:val="3"/>
            <w:tcBorders>
              <w:top w:val="single" w:color="auto" w:sz="4" w:space="0"/>
              <w:left w:val="single" w:color="auto" w:sz="4" w:space="0"/>
              <w:bottom w:val="single" w:color="auto" w:sz="4" w:space="0"/>
              <w:right w:val="single" w:color="auto" w:sz="4" w:space="0"/>
            </w:tcBorders>
            <w:noWrap w:val="0"/>
            <w:vAlign w:val="top"/>
          </w:tcPr>
          <w:p w14:paraId="3A8BD851">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备注：合计10课时</w:t>
            </w:r>
          </w:p>
        </w:tc>
      </w:tr>
    </w:tbl>
    <w:p w14:paraId="0314806D">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p>
    <w:p w14:paraId="2F192959">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面试指导：高考后，针对通过初审的学生，提供面试技巧培训、模拟面试及专业志愿咨询，由合作方协调清北相关专业在校生进行经验分享与答疑。</w:t>
      </w:r>
    </w:p>
    <w:p w14:paraId="6B9BE4B6">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lang w:val="en-US" w:eastAsia="zh-CN"/>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6"/>
        <w:gridCol w:w="3225"/>
        <w:gridCol w:w="1470"/>
        <w:gridCol w:w="2550"/>
      </w:tblGrid>
      <w:tr w14:paraId="1948A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9491" w:type="dxa"/>
            <w:gridSpan w:val="4"/>
            <w:noWrap w:val="0"/>
            <w:vAlign w:val="top"/>
          </w:tcPr>
          <w:p w14:paraId="5BE6B689">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清北强基计划笔试面试课程及服务</w:t>
            </w:r>
          </w:p>
        </w:tc>
      </w:tr>
      <w:tr w14:paraId="72525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2246" w:type="dxa"/>
            <w:noWrap w:val="0"/>
            <w:vAlign w:val="top"/>
          </w:tcPr>
          <w:p w14:paraId="78F6172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课程名称</w:t>
            </w:r>
          </w:p>
        </w:tc>
        <w:tc>
          <w:tcPr>
            <w:tcW w:w="3225" w:type="dxa"/>
            <w:noWrap w:val="0"/>
            <w:vAlign w:val="top"/>
          </w:tcPr>
          <w:p w14:paraId="66E160B6">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课程内容</w:t>
            </w:r>
          </w:p>
        </w:tc>
        <w:tc>
          <w:tcPr>
            <w:tcW w:w="1470" w:type="dxa"/>
            <w:noWrap w:val="0"/>
            <w:vAlign w:val="top"/>
          </w:tcPr>
          <w:p w14:paraId="0A4CC91A">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具体课时</w:t>
            </w:r>
          </w:p>
        </w:tc>
        <w:tc>
          <w:tcPr>
            <w:tcW w:w="2550" w:type="dxa"/>
            <w:noWrap w:val="0"/>
            <w:vAlign w:val="top"/>
          </w:tcPr>
          <w:p w14:paraId="4154CC21">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960" w:firstLineChars="4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课程形式</w:t>
            </w:r>
          </w:p>
        </w:tc>
      </w:tr>
      <w:tr w14:paraId="3C053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noWrap w:val="0"/>
            <w:vAlign w:val="center"/>
          </w:tcPr>
          <w:p w14:paraId="3CB6144D">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清华大学强基计划笔试课程</w:t>
            </w:r>
          </w:p>
        </w:tc>
        <w:tc>
          <w:tcPr>
            <w:tcW w:w="3225" w:type="dxa"/>
            <w:noWrap w:val="0"/>
            <w:vAlign w:val="center"/>
          </w:tcPr>
          <w:p w14:paraId="2BCEAEF2">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强基理：数学、物理、化学</w:t>
            </w:r>
          </w:p>
          <w:p w14:paraId="461F3BE0">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强基文：语文、数学、历史</w:t>
            </w:r>
          </w:p>
        </w:tc>
        <w:tc>
          <w:tcPr>
            <w:tcW w:w="1470" w:type="dxa"/>
            <w:noWrap w:val="0"/>
            <w:vAlign w:val="center"/>
          </w:tcPr>
          <w:p w14:paraId="7AB56133">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50</w:t>
            </w:r>
            <w:r>
              <w:rPr>
                <w:rFonts w:hint="eastAsia" w:ascii="宋体" w:hAnsi="宋体" w:eastAsia="宋体" w:cs="宋体"/>
                <w:color w:val="auto"/>
                <w:sz w:val="24"/>
                <w:szCs w:val="24"/>
              </w:rPr>
              <w:t>课时</w:t>
            </w:r>
          </w:p>
        </w:tc>
        <w:tc>
          <w:tcPr>
            <w:tcW w:w="2550" w:type="dxa"/>
            <w:noWrap w:val="0"/>
            <w:vAlign w:val="center"/>
          </w:tcPr>
          <w:p w14:paraId="2B76B627">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北京线下集训&amp;线上视频直播</w:t>
            </w:r>
          </w:p>
        </w:tc>
      </w:tr>
      <w:tr w14:paraId="309E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noWrap w:val="0"/>
            <w:vAlign w:val="center"/>
          </w:tcPr>
          <w:p w14:paraId="6BAB5F69">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北京大学强基计划笔试课程</w:t>
            </w:r>
          </w:p>
        </w:tc>
        <w:tc>
          <w:tcPr>
            <w:tcW w:w="3225" w:type="dxa"/>
            <w:noWrap w:val="0"/>
            <w:vAlign w:val="center"/>
          </w:tcPr>
          <w:p w14:paraId="0817DB36">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强基理：数学、物理、化学</w:t>
            </w:r>
          </w:p>
          <w:p w14:paraId="2EA44A8D">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强基文：语文、英语、历史</w:t>
            </w:r>
          </w:p>
        </w:tc>
        <w:tc>
          <w:tcPr>
            <w:tcW w:w="1470" w:type="dxa"/>
            <w:noWrap w:val="0"/>
            <w:vAlign w:val="center"/>
          </w:tcPr>
          <w:p w14:paraId="5256B0A0">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50</w:t>
            </w:r>
            <w:r>
              <w:rPr>
                <w:rFonts w:hint="eastAsia" w:ascii="宋体" w:hAnsi="宋体" w:eastAsia="宋体" w:cs="宋体"/>
                <w:color w:val="auto"/>
                <w:sz w:val="24"/>
                <w:szCs w:val="24"/>
              </w:rPr>
              <w:t>课时</w:t>
            </w:r>
          </w:p>
        </w:tc>
        <w:tc>
          <w:tcPr>
            <w:tcW w:w="2550" w:type="dxa"/>
            <w:noWrap w:val="0"/>
            <w:vAlign w:val="center"/>
          </w:tcPr>
          <w:p w14:paraId="16A66ED9">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北京线下集训&amp;线上视频直播</w:t>
            </w:r>
          </w:p>
        </w:tc>
      </w:tr>
      <w:tr w14:paraId="6C66B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noWrap w:val="0"/>
            <w:vAlign w:val="center"/>
          </w:tcPr>
          <w:p w14:paraId="042999F7">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清华大学强基计划面试集训</w:t>
            </w:r>
          </w:p>
        </w:tc>
        <w:tc>
          <w:tcPr>
            <w:tcW w:w="3225" w:type="dxa"/>
            <w:noWrap w:val="0"/>
            <w:vAlign w:val="center"/>
          </w:tcPr>
          <w:p w14:paraId="3E073522">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面试技巧&amp;全真模拟</w:t>
            </w:r>
          </w:p>
        </w:tc>
        <w:tc>
          <w:tcPr>
            <w:tcW w:w="1470" w:type="dxa"/>
            <w:noWrap w:val="0"/>
            <w:vAlign w:val="center"/>
          </w:tcPr>
          <w:p w14:paraId="13BB231A">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5课时</w:t>
            </w:r>
          </w:p>
        </w:tc>
        <w:tc>
          <w:tcPr>
            <w:tcW w:w="2550" w:type="dxa"/>
            <w:noWrap w:val="0"/>
            <w:vAlign w:val="center"/>
          </w:tcPr>
          <w:p w14:paraId="19D9D514">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北京线下集训</w:t>
            </w:r>
          </w:p>
        </w:tc>
      </w:tr>
      <w:tr w14:paraId="38360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6" w:type="dxa"/>
            <w:noWrap w:val="0"/>
            <w:vAlign w:val="center"/>
          </w:tcPr>
          <w:p w14:paraId="4E906D94">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北京大学强基计划面试集训</w:t>
            </w:r>
          </w:p>
        </w:tc>
        <w:tc>
          <w:tcPr>
            <w:tcW w:w="3225" w:type="dxa"/>
            <w:noWrap w:val="0"/>
            <w:vAlign w:val="center"/>
          </w:tcPr>
          <w:p w14:paraId="0EE30CBC">
            <w:pPr>
              <w:keepNext w:val="0"/>
              <w:keepLines w:val="0"/>
              <w:pageBreakBefore w:val="0"/>
              <w:widowControl w:val="0"/>
              <w:kinsoku w:val="0"/>
              <w:wordWrap/>
              <w:overflowPunct w:val="0"/>
              <w:topLinePunct w:val="0"/>
              <w:autoSpaceDE w:val="0"/>
              <w:autoSpaceDN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面试技巧&amp;全真模拟</w:t>
            </w:r>
          </w:p>
        </w:tc>
        <w:tc>
          <w:tcPr>
            <w:tcW w:w="1470" w:type="dxa"/>
            <w:noWrap w:val="0"/>
            <w:vAlign w:val="center"/>
          </w:tcPr>
          <w:p w14:paraId="7C6641F1">
            <w:pPr>
              <w:keepNext w:val="0"/>
              <w:keepLines w:val="0"/>
              <w:pageBreakBefore w:val="0"/>
              <w:widowControl w:val="0"/>
              <w:kinsoku w:val="0"/>
              <w:wordWrap/>
              <w:overflowPunct w:val="0"/>
              <w:topLinePunct w:val="0"/>
              <w:autoSpaceDE w:val="0"/>
              <w:autoSpaceDN w:val="0"/>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5课时</w:t>
            </w:r>
          </w:p>
        </w:tc>
        <w:tc>
          <w:tcPr>
            <w:tcW w:w="2550" w:type="dxa"/>
            <w:noWrap w:val="0"/>
            <w:vAlign w:val="center"/>
          </w:tcPr>
          <w:p w14:paraId="5B49F87E">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北京线下集训</w:t>
            </w:r>
          </w:p>
        </w:tc>
      </w:tr>
      <w:tr w14:paraId="7291B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91" w:type="dxa"/>
            <w:gridSpan w:val="4"/>
            <w:noWrap w:val="0"/>
            <w:vAlign w:val="top"/>
          </w:tcPr>
          <w:p w14:paraId="183FE4F3">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备注：合计1</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0课时</w:t>
            </w:r>
          </w:p>
          <w:p w14:paraId="2A524367">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笔试面试课程的形式取决于清北笔试面试要求的考试形式，如到北京笔试，则全部为线下集训；如不到北京笔试，则依据学生的考试地点调整授课形式。</w:t>
            </w:r>
          </w:p>
          <w:p w14:paraId="6F022BB7">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笔试集训主要包括强基考试形式介绍、强基专项考点考纲分析、强基解题技巧讲解与强基笔试押题。</w:t>
            </w:r>
          </w:p>
          <w:p w14:paraId="5C01A71B">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面试课程精准提炼清北面试特点，包括面试基础知识与注意事项、面试回答套路、各专业高频问题、2025与2026时政分析与面试三对一模拟环节。</w:t>
            </w:r>
          </w:p>
        </w:tc>
      </w:tr>
    </w:tbl>
    <w:p w14:paraId="5DCF4DF1">
      <w:pPr>
        <w:keepNext w:val="0"/>
        <w:keepLines w:val="0"/>
        <w:pageBreakBefore w:val="0"/>
        <w:widowControl w:val="0"/>
        <w:kinsoku w:val="0"/>
        <w:wordWrap/>
        <w:overflowPunct w:val="0"/>
        <w:topLinePunct w:val="0"/>
        <w:autoSpaceDE w:val="0"/>
        <w:autoSpaceDN w:val="0"/>
        <w:bidi w:val="0"/>
        <w:adjustRightInd w:val="0"/>
        <w:snapToGrid w:val="0"/>
        <w:spacing w:line="360" w:lineRule="auto"/>
        <w:textAlignment w:val="auto"/>
        <w:rPr>
          <w:rFonts w:hint="eastAsia" w:ascii="宋体" w:hAnsi="宋体" w:eastAsia="宋体" w:cs="宋体"/>
          <w:color w:val="auto"/>
          <w:sz w:val="24"/>
          <w:szCs w:val="24"/>
        </w:rPr>
      </w:pPr>
    </w:p>
    <w:p w14:paraId="55002EF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五、考核评价及费用</w:t>
      </w:r>
      <w:r>
        <w:rPr>
          <w:rFonts w:hint="eastAsia" w:ascii="宋体" w:hAnsi="宋体" w:eastAsia="宋体" w:cs="宋体"/>
          <w:b/>
          <w:bCs/>
          <w:color w:val="auto"/>
          <w:sz w:val="24"/>
          <w:szCs w:val="24"/>
        </w:rPr>
        <w:t>支付</w:t>
      </w:r>
    </w:p>
    <w:p w14:paraId="5CA3B03A">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合同签订后收到乙方发票十个工作日内支付预付款，预付款支付比例：合同金额的30%。（乙方需提供等额税票。在签订合同时，如乙方明确表示无需预</w:t>
      </w:r>
      <w:r>
        <w:rPr>
          <w:rFonts w:hint="eastAsia" w:ascii="宋体" w:hAnsi="宋体" w:eastAsia="宋体" w:cs="宋体"/>
          <w:color w:val="auto"/>
          <w:sz w:val="24"/>
          <w:szCs w:val="24"/>
          <w:lang w:val="en-US" w:eastAsia="zh-CN"/>
        </w:rPr>
        <w:t>付款的，在2026年春学期末支付。）在预付款后，剩余70%服务费以课时费形式支付。本项目课时费按考勤、考绩两项分类、分期支付，其中，</w:t>
      </w:r>
      <w:r>
        <w:rPr>
          <w:rFonts w:hint="eastAsia" w:ascii="宋体" w:hAnsi="宋体" w:eastAsia="宋体" w:cs="宋体"/>
          <w:color w:val="auto"/>
          <w:sz w:val="24"/>
          <w:szCs w:val="24"/>
          <w:lang w:val="zh-TW" w:eastAsia="zh-TW"/>
        </w:rPr>
        <w:t>课时考勤费占</w:t>
      </w:r>
      <w:r>
        <w:rPr>
          <w:rFonts w:hint="eastAsia" w:ascii="宋体" w:hAnsi="宋体" w:eastAsia="宋体" w:cs="宋体"/>
          <w:color w:val="auto"/>
          <w:sz w:val="24"/>
          <w:szCs w:val="24"/>
          <w:lang w:val="en-US" w:eastAsia="zh-CN"/>
        </w:rPr>
        <w:t>总额的40%</w:t>
      </w: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zh-TW" w:eastAsia="zh-TW"/>
        </w:rPr>
        <w:t>于</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lang w:val="zh-TW" w:eastAsia="zh-TW"/>
        </w:rPr>
        <w:t>年春学期末支付</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TW" w:eastAsia="zh-TW"/>
        </w:rPr>
        <w:t>课时考绩费占</w:t>
      </w:r>
      <w:r>
        <w:rPr>
          <w:rFonts w:hint="eastAsia" w:ascii="宋体" w:hAnsi="宋体" w:eastAsia="宋体" w:cs="宋体"/>
          <w:color w:val="auto"/>
          <w:sz w:val="24"/>
          <w:szCs w:val="24"/>
          <w:lang w:val="en-US" w:eastAsia="zh-CN"/>
        </w:rPr>
        <w:t>总额</w:t>
      </w:r>
      <w:r>
        <w:rPr>
          <w:rFonts w:hint="eastAsia" w:ascii="宋体" w:hAnsi="宋体" w:eastAsia="宋体" w:cs="宋体"/>
          <w:color w:val="auto"/>
          <w:sz w:val="24"/>
          <w:szCs w:val="24"/>
          <w:lang w:val="zh-TW" w:eastAsia="zh-TW"/>
        </w:rPr>
        <w:t>的</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zh-TW" w:eastAsia="zh-TW"/>
        </w:rPr>
        <w:t>如达成参训学生</w:t>
      </w:r>
      <w:r>
        <w:rPr>
          <w:rFonts w:hint="eastAsia" w:ascii="宋体" w:hAnsi="宋体" w:eastAsia="宋体" w:cs="宋体"/>
          <w:color w:val="auto"/>
          <w:sz w:val="24"/>
          <w:szCs w:val="24"/>
          <w:lang w:val="zh-TW" w:eastAsia="zh-CN"/>
        </w:rPr>
        <w:t>国内顶尖名校（</w:t>
      </w:r>
      <w:r>
        <w:rPr>
          <w:rFonts w:hint="eastAsia" w:ascii="宋体" w:hAnsi="宋体" w:eastAsia="宋体" w:cs="宋体"/>
          <w:color w:val="auto"/>
          <w:sz w:val="24"/>
          <w:szCs w:val="24"/>
          <w:lang w:val="en-US" w:eastAsia="zh-CN"/>
        </w:rPr>
        <w:t>清华、北大</w:t>
      </w: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zh-TW" w:eastAsia="zh-TW"/>
        </w:rPr>
        <w:t>录取预定目标</w:t>
      </w:r>
      <w:r>
        <w:rPr>
          <w:rFonts w:hint="eastAsia" w:ascii="宋体" w:hAnsi="宋体" w:eastAsia="宋体" w:cs="宋体"/>
          <w:color w:val="auto"/>
          <w:sz w:val="24"/>
          <w:szCs w:val="24"/>
          <w:lang w:val="en-US" w:eastAsia="zh-CN"/>
        </w:rPr>
        <w:t>8人（不含强基保送生、破格生、飞行员、体育类、及清华大学美术学院的设计类和美术类专业）</w:t>
      </w:r>
      <w:r>
        <w:rPr>
          <w:rFonts w:hint="eastAsia" w:ascii="宋体" w:hAnsi="宋体" w:eastAsia="宋体" w:cs="宋体"/>
          <w:color w:val="auto"/>
          <w:sz w:val="24"/>
          <w:szCs w:val="24"/>
          <w:lang w:val="zh-TW" w:eastAsia="zh-TW"/>
        </w:rPr>
        <w:t>，全额支付</w:t>
      </w: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en-US" w:eastAsia="zh-CN"/>
        </w:rPr>
        <w:t>如未达成</w:t>
      </w:r>
      <w:r>
        <w:rPr>
          <w:rFonts w:hint="eastAsia" w:ascii="宋体" w:hAnsi="宋体" w:eastAsia="宋体" w:cs="宋体"/>
          <w:color w:val="auto"/>
          <w:sz w:val="24"/>
          <w:szCs w:val="24"/>
          <w:lang w:val="zh-TW" w:eastAsia="zh-TW"/>
        </w:rPr>
        <w:t>预定目标</w:t>
      </w:r>
      <w:r>
        <w:rPr>
          <w:rFonts w:hint="eastAsia" w:ascii="宋体" w:hAnsi="宋体" w:eastAsia="宋体" w:cs="宋体"/>
          <w:color w:val="auto"/>
          <w:sz w:val="24"/>
          <w:szCs w:val="24"/>
          <w:lang w:val="en-US" w:eastAsia="zh-CN"/>
        </w:rPr>
        <w:t>，则不支付</w:t>
      </w:r>
      <w:r>
        <w:rPr>
          <w:rFonts w:hint="eastAsia" w:ascii="宋体" w:hAnsi="宋体" w:eastAsia="宋体" w:cs="宋体"/>
          <w:color w:val="auto"/>
          <w:sz w:val="24"/>
          <w:szCs w:val="24"/>
          <w:lang w:val="zh-TW" w:eastAsia="zh-TW"/>
        </w:rPr>
        <w:t>。课时考绩费于</w:t>
      </w:r>
      <w:r>
        <w:rPr>
          <w:rFonts w:hint="eastAsia" w:ascii="宋体" w:hAnsi="宋体" w:eastAsia="宋体" w:cs="宋体"/>
          <w:color w:val="auto"/>
          <w:sz w:val="24"/>
          <w:szCs w:val="24"/>
          <w:lang w:val="en-US" w:eastAsia="zh-CN"/>
        </w:rPr>
        <w:t>2026</w:t>
      </w:r>
      <w:r>
        <w:rPr>
          <w:rFonts w:hint="eastAsia" w:ascii="宋体" w:hAnsi="宋体" w:eastAsia="宋体" w:cs="宋体"/>
          <w:color w:val="auto"/>
          <w:sz w:val="24"/>
          <w:szCs w:val="24"/>
          <w:lang w:val="zh-TW" w:eastAsia="zh-TW"/>
        </w:rPr>
        <w:t>年</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val="zh-TW" w:eastAsia="zh-TW"/>
        </w:rPr>
        <w:t>月底前</w:t>
      </w:r>
      <w:r>
        <w:rPr>
          <w:rFonts w:hint="eastAsia" w:ascii="宋体" w:hAnsi="宋体" w:eastAsia="宋体" w:cs="宋体"/>
          <w:color w:val="auto"/>
          <w:sz w:val="24"/>
          <w:szCs w:val="24"/>
          <w:lang w:val="en-US" w:eastAsia="zh-CN"/>
        </w:rPr>
        <w:t>支付。</w:t>
      </w:r>
    </w:p>
    <w:p w14:paraId="67C190F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六、经费来源</w:t>
      </w:r>
    </w:p>
    <w:p w14:paraId="0C7C70C7">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firstLine="480" w:firstLineChars="200"/>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项目经费拟在学校公用经费中列支</w:t>
      </w:r>
    </w:p>
    <w:p w14:paraId="61513501">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textAlignment w:val="auto"/>
        <w:rPr>
          <w:rFonts w:hint="eastAsia" w:ascii="宋体" w:hAnsi="宋体" w:eastAsia="宋体" w:cs="宋体"/>
          <w:b/>
          <w:bCs/>
          <w:color w:val="auto"/>
          <w:sz w:val="24"/>
          <w:szCs w:val="24"/>
          <w:lang w:val="zh-TW" w:eastAsia="zh-CN"/>
        </w:rPr>
      </w:pPr>
      <w:r>
        <w:rPr>
          <w:rFonts w:hint="eastAsia" w:ascii="宋体" w:hAnsi="宋体" w:eastAsia="宋体" w:cs="宋体"/>
          <w:b/>
          <w:bCs/>
          <w:color w:val="auto"/>
          <w:sz w:val="24"/>
          <w:szCs w:val="24"/>
          <w:lang w:val="en-US" w:eastAsia="zh-CN"/>
        </w:rPr>
        <w:t>七</w:t>
      </w:r>
      <w:r>
        <w:rPr>
          <w:rFonts w:hint="eastAsia" w:ascii="宋体" w:hAnsi="宋体" w:eastAsia="宋体" w:cs="宋体"/>
          <w:b/>
          <w:bCs/>
          <w:color w:val="auto"/>
          <w:sz w:val="24"/>
          <w:szCs w:val="24"/>
          <w:lang w:val="zh-TW" w:eastAsia="zh-CN"/>
        </w:rPr>
        <w:t>、风险控制与应急预案</w:t>
      </w:r>
    </w:p>
    <w:p w14:paraId="18A8E764">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（一）合作机构履约风险</w:t>
      </w:r>
    </w:p>
    <w:p w14:paraId="62FE0520">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在合同中明确退出机制、违约责任与服务质量标准，确保学校权益。</w:t>
      </w:r>
    </w:p>
    <w:p w14:paraId="7D1B120A">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（二）学生管理风险</w:t>
      </w:r>
    </w:p>
    <w:p w14:paraId="37BEF98F">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加强学生思想引导与心理辅导，避免因培训压力影响正常学习与身心健康。</w:t>
      </w:r>
    </w:p>
    <w:p w14:paraId="646C2384">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（三）突发事件</w:t>
      </w:r>
    </w:p>
    <w:p w14:paraId="65BB8C28">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制定线下集训期间的突发事件预案，确保教学活动安全有序开展。</w:t>
      </w:r>
    </w:p>
    <w:p w14:paraId="0EACE151">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textAlignment w:val="auto"/>
        <w:rPr>
          <w:rFonts w:hint="eastAsia" w:ascii="宋体" w:hAnsi="宋体" w:eastAsia="宋体" w:cs="宋体"/>
          <w:b/>
          <w:bCs/>
          <w:color w:val="auto"/>
          <w:sz w:val="24"/>
          <w:szCs w:val="24"/>
          <w:lang w:val="zh-TW" w:eastAsia="zh-CN"/>
        </w:rPr>
      </w:pPr>
      <w:r>
        <w:rPr>
          <w:rFonts w:hint="eastAsia" w:ascii="宋体" w:hAnsi="宋体" w:eastAsia="宋体" w:cs="宋体"/>
          <w:b/>
          <w:bCs/>
          <w:color w:val="auto"/>
          <w:sz w:val="24"/>
          <w:szCs w:val="24"/>
          <w:lang w:val="en-US" w:eastAsia="zh-CN"/>
        </w:rPr>
        <w:t>八</w:t>
      </w:r>
      <w:r>
        <w:rPr>
          <w:rFonts w:hint="eastAsia" w:ascii="宋体" w:hAnsi="宋体" w:eastAsia="宋体" w:cs="宋体"/>
          <w:b/>
          <w:bCs/>
          <w:color w:val="auto"/>
          <w:sz w:val="24"/>
          <w:szCs w:val="24"/>
          <w:lang w:val="zh-TW" w:eastAsia="zh-CN"/>
        </w:rPr>
        <w:t>、项目优势与预期成效</w:t>
      </w:r>
    </w:p>
    <w:p w14:paraId="226E8A3B">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val="zh-TW" w:eastAsia="zh-CN"/>
        </w:rPr>
        <w:t>）资源精准引入，主体地位明确</w:t>
      </w:r>
    </w:p>
    <w:p w14:paraId="5095B9A6">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本方案是我校主动设计、主导实施的拔尖培养项目。</w:t>
      </w:r>
      <w:r>
        <w:rPr>
          <w:rFonts w:hint="eastAsia" w:ascii="宋体" w:hAnsi="宋体" w:eastAsia="宋体" w:cs="宋体"/>
          <w:color w:val="auto"/>
          <w:sz w:val="24"/>
          <w:szCs w:val="24"/>
          <w:lang w:val="en-US" w:eastAsia="zh-CN"/>
        </w:rPr>
        <w:t>机构</w:t>
      </w:r>
      <w:r>
        <w:rPr>
          <w:rFonts w:hint="eastAsia" w:ascii="宋体" w:hAnsi="宋体" w:eastAsia="宋体" w:cs="宋体"/>
          <w:color w:val="auto"/>
          <w:sz w:val="24"/>
          <w:szCs w:val="24"/>
          <w:lang w:val="zh-TW" w:eastAsia="zh-CN"/>
        </w:rPr>
        <w:t>的师资与教研资源是经我校严格筛选后引入的辅助与补充力量。我校掌握全部管理权与决策权，确保所有教学活动服务于我校学生的实际需求与整体教学安排。</w:t>
      </w:r>
    </w:p>
    <w:p w14:paraId="1D562571">
      <w:pPr>
        <w:keepNext w:val="0"/>
        <w:keepLines w:val="0"/>
        <w:pageBreakBefore w:val="0"/>
        <w:widowControl w:val="0"/>
        <w:numPr>
          <w:ilvl w:val="0"/>
          <w:numId w:val="0"/>
        </w:numPr>
        <w:kinsoku w:val="0"/>
        <w:wordWrap/>
        <w:overflowPunct w:val="0"/>
        <w:topLinePunct w:val="0"/>
        <w:autoSpaceDE w:val="0"/>
        <w:autoSpaceDN w:val="0"/>
        <w:bidi w:val="0"/>
        <w:adjustRightInd w:val="0"/>
        <w:snapToGrid w:val="0"/>
        <w:spacing w:line="360" w:lineRule="auto"/>
        <w:ind w:leftChars="0" w:firstLine="480" w:firstLineChars="200"/>
        <w:textAlignment w:val="auto"/>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eastAsia="zh-CN"/>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lang w:val="zh-TW" w:eastAsia="zh-CN"/>
        </w:rPr>
        <w:t>）培养体系科学，贴合本校学情</w:t>
      </w:r>
    </w:p>
    <w:p w14:paraId="48084033">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方案设计充分考虑了江苏省新高考改革方向与我校学生的具体学情。培养过程强调“一生一策”，通过动态学习档案跟踪每位学生进展，实现个性化问题精准解决，提升培养效率。</w:t>
      </w:r>
    </w:p>
    <w:p w14:paraId="7D519914">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预期成效</w:t>
      </w:r>
    </w:p>
    <w:p w14:paraId="2E75ED15">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通过本方案的系统实施，预期将有效促进高2026届尖子生群体在学业成绩、应试能力、学科思维及升学竞争力上获得显著提升，为我校在清北顶尖高校录取上取得新的突破奠定坚实基础。</w:t>
      </w:r>
    </w:p>
    <w:p w14:paraId="037F66D8">
      <w:pPr>
        <w:keepNext w:val="0"/>
        <w:keepLines w:val="0"/>
        <w:pageBreakBefore w:val="0"/>
        <w:widowControl w:val="0"/>
        <w:kinsoku w:val="0"/>
        <w:wordWrap/>
        <w:overflowPunct w:val="0"/>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盐城</w:t>
      </w:r>
      <w:r>
        <w:rPr>
          <w:rFonts w:hint="eastAsia" w:ascii="宋体" w:hAnsi="宋体" w:eastAsia="宋体" w:cs="宋体"/>
          <w:color w:val="auto"/>
          <w:sz w:val="24"/>
          <w:szCs w:val="24"/>
        </w:rPr>
        <w:t>中学将全力以赴，精心组织，确保此培养方案落地见效，助力我校优秀学子圆梦清北，为国家培养更多栋梁之材。</w:t>
      </w:r>
    </w:p>
    <w:p w14:paraId="7A2ACE2D">
      <w:pPr>
        <w:pStyle w:val="33"/>
        <w:spacing w:beforeAutospacing="0" w:afterAutospacing="0" w:line="360" w:lineRule="auto"/>
        <w:ind w:firstLine="480"/>
        <w:rPr>
          <w:rFonts w:ascii="宋体" w:hAnsi="宋体" w:eastAsia="宋体" w:cs="宋体"/>
          <w:color w:val="auto"/>
          <w:highlight w:val="none"/>
        </w:rPr>
      </w:pPr>
    </w:p>
    <w:p w14:paraId="22C12F99">
      <w:pPr>
        <w:pStyle w:val="33"/>
        <w:spacing w:beforeAutospacing="0" w:afterAutospacing="0" w:line="0" w:lineRule="atLeast"/>
        <w:ind w:firstLine="482"/>
        <w:jc w:val="both"/>
        <w:rPr>
          <w:rFonts w:ascii="宋体" w:hAnsi="宋体" w:eastAsia="宋体" w:cs="宋体"/>
          <w:b/>
          <w:color w:val="auto"/>
          <w:highlight w:val="none"/>
        </w:rPr>
      </w:pPr>
      <w:r>
        <w:rPr>
          <w:rFonts w:hint="eastAsia" w:ascii="宋体" w:hAnsi="宋体" w:eastAsia="宋体" w:cs="宋体"/>
          <w:b/>
          <w:color w:val="auto"/>
          <w:highlight w:val="none"/>
        </w:rPr>
        <w:t>七、采购标的对应的中小企业划分标准所属行业一览表</w:t>
      </w:r>
    </w:p>
    <w:tbl>
      <w:tblPr>
        <w:tblStyle w:val="36"/>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3"/>
        <w:gridCol w:w="3749"/>
        <w:gridCol w:w="3969"/>
      </w:tblGrid>
      <w:tr w14:paraId="2118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blCellSpacing w:w="0" w:type="dxa"/>
          <w:jc w:val="center"/>
        </w:trPr>
        <w:tc>
          <w:tcPr>
            <w:tcW w:w="1623" w:type="dxa"/>
            <w:noWrap w:val="0"/>
            <w:vAlign w:val="center"/>
          </w:tcPr>
          <w:p w14:paraId="1B16220B">
            <w:pPr>
              <w:pStyle w:val="33"/>
              <w:spacing w:beforeAutospacing="0" w:afterAutospacing="0" w:line="0" w:lineRule="atLeast"/>
              <w:jc w:val="center"/>
              <w:rPr>
                <w:color w:val="auto"/>
                <w:highlight w:val="none"/>
              </w:rPr>
            </w:pPr>
            <w:r>
              <w:rPr>
                <w:rFonts w:hint="eastAsia"/>
                <w:color w:val="auto"/>
                <w:highlight w:val="none"/>
              </w:rPr>
              <w:t>序号</w:t>
            </w:r>
          </w:p>
        </w:tc>
        <w:tc>
          <w:tcPr>
            <w:tcW w:w="3749" w:type="dxa"/>
            <w:noWrap w:val="0"/>
            <w:vAlign w:val="center"/>
          </w:tcPr>
          <w:p w14:paraId="08C2E628">
            <w:pPr>
              <w:pStyle w:val="33"/>
              <w:spacing w:beforeAutospacing="0" w:afterAutospacing="0" w:line="0" w:lineRule="atLeast"/>
              <w:jc w:val="center"/>
              <w:rPr>
                <w:color w:val="auto"/>
                <w:highlight w:val="none"/>
              </w:rPr>
            </w:pPr>
            <w:r>
              <w:rPr>
                <w:rFonts w:hint="eastAsia"/>
                <w:color w:val="auto"/>
                <w:highlight w:val="none"/>
              </w:rPr>
              <w:t>采购标的</w:t>
            </w:r>
          </w:p>
        </w:tc>
        <w:tc>
          <w:tcPr>
            <w:tcW w:w="3969" w:type="dxa"/>
            <w:noWrap w:val="0"/>
            <w:vAlign w:val="center"/>
          </w:tcPr>
          <w:p w14:paraId="30B4728C">
            <w:pPr>
              <w:pStyle w:val="33"/>
              <w:spacing w:beforeAutospacing="0" w:afterAutospacing="0" w:line="0" w:lineRule="atLeast"/>
              <w:jc w:val="center"/>
              <w:rPr>
                <w:color w:val="auto"/>
                <w:highlight w:val="none"/>
              </w:rPr>
            </w:pPr>
            <w:r>
              <w:rPr>
                <w:rFonts w:hint="eastAsia"/>
                <w:color w:val="auto"/>
                <w:highlight w:val="none"/>
              </w:rPr>
              <w:t>对应中小企业划分标准所属行业</w:t>
            </w:r>
          </w:p>
        </w:tc>
      </w:tr>
      <w:tr w14:paraId="169F0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tblCellSpacing w:w="0" w:type="dxa"/>
          <w:jc w:val="center"/>
        </w:trPr>
        <w:tc>
          <w:tcPr>
            <w:tcW w:w="1623" w:type="dxa"/>
            <w:noWrap w:val="0"/>
            <w:vAlign w:val="center"/>
          </w:tcPr>
          <w:p w14:paraId="123ED558">
            <w:pPr>
              <w:pStyle w:val="33"/>
              <w:spacing w:beforeAutospacing="0" w:afterAutospacing="0" w:line="0" w:lineRule="atLeast"/>
              <w:jc w:val="center"/>
              <w:rPr>
                <w:color w:val="auto"/>
                <w:highlight w:val="none"/>
              </w:rPr>
            </w:pPr>
            <w:r>
              <w:rPr>
                <w:rFonts w:hint="eastAsia"/>
                <w:color w:val="auto"/>
                <w:highlight w:val="none"/>
              </w:rPr>
              <w:t>1</w:t>
            </w:r>
          </w:p>
        </w:tc>
        <w:tc>
          <w:tcPr>
            <w:tcW w:w="3749" w:type="dxa"/>
            <w:noWrap w:val="0"/>
            <w:vAlign w:val="center"/>
          </w:tcPr>
          <w:p w14:paraId="5C03C325">
            <w:pPr>
              <w:pStyle w:val="33"/>
              <w:spacing w:beforeAutospacing="0" w:afterAutospacing="0" w:line="0" w:lineRule="atLeast"/>
              <w:jc w:val="center"/>
              <w:rPr>
                <w:rFonts w:ascii="宋体" w:hAnsi="宋体" w:eastAsia="宋体"/>
                <w:color w:val="auto"/>
                <w:highlight w:val="none"/>
              </w:rPr>
            </w:pPr>
            <w:r>
              <w:rPr>
                <w:rFonts w:hint="eastAsia" w:ascii="宋体" w:hAnsi="宋体" w:eastAsia="宋体"/>
                <w:color w:val="auto"/>
                <w:highlight w:val="none"/>
              </w:rPr>
              <w:t>江苏省盐城中学拔尖创新人才培养课程项目</w:t>
            </w:r>
          </w:p>
        </w:tc>
        <w:tc>
          <w:tcPr>
            <w:tcW w:w="3969" w:type="dxa"/>
            <w:noWrap w:val="0"/>
            <w:vAlign w:val="center"/>
          </w:tcPr>
          <w:p w14:paraId="0BB66CC3">
            <w:pPr>
              <w:pStyle w:val="33"/>
              <w:spacing w:beforeAutospacing="0" w:afterAutospacing="0" w:line="0" w:lineRule="atLeast"/>
              <w:jc w:val="center"/>
              <w:rPr>
                <w:color w:val="auto"/>
                <w:highlight w:val="none"/>
              </w:rPr>
            </w:pPr>
            <w:r>
              <w:rPr>
                <w:rFonts w:ascii="宋体" w:hAnsi="宋体" w:eastAsia="宋体" w:cs="宋体"/>
                <w:color w:val="auto"/>
                <w:sz w:val="24"/>
                <w:highlight w:val="none"/>
              </w:rPr>
              <w:t>租赁和商务服务业</w:t>
            </w:r>
          </w:p>
        </w:tc>
      </w:tr>
    </w:tbl>
    <w:p w14:paraId="1B0037C4">
      <w:pPr>
        <w:pStyle w:val="33"/>
        <w:spacing w:beforeAutospacing="0" w:afterAutospacing="0" w:line="0" w:lineRule="atLeast"/>
        <w:ind w:firstLine="480"/>
        <w:jc w:val="both"/>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1F45CFFB">
      <w:pPr>
        <w:pStyle w:val="33"/>
        <w:spacing w:beforeAutospacing="0" w:afterAutospacing="0" w:line="540" w:lineRule="exact"/>
        <w:jc w:val="center"/>
        <w:outlineLvl w:val="0"/>
        <w:rPr>
          <w:rFonts w:ascii="黑体" w:hAnsi="宋体" w:eastAsia="黑体" w:cs="黑体"/>
          <w:color w:val="auto"/>
          <w:sz w:val="44"/>
          <w:szCs w:val="44"/>
          <w:highlight w:val="none"/>
        </w:rPr>
      </w:pPr>
      <w:bookmarkStart w:id="180" w:name="_Toc203053458"/>
      <w:bookmarkStart w:id="181" w:name="_Toc120614281"/>
      <w:r>
        <w:rPr>
          <w:rFonts w:hint="eastAsia" w:ascii="黑体" w:hAnsi="宋体" w:eastAsia="黑体" w:cs="黑体"/>
          <w:color w:val="auto"/>
          <w:sz w:val="44"/>
          <w:szCs w:val="44"/>
          <w:highlight w:val="none"/>
        </w:rPr>
        <w:t>第五章  响应文件格式</w:t>
      </w:r>
      <w:bookmarkEnd w:id="180"/>
    </w:p>
    <w:p w14:paraId="0C9B8817">
      <w:pPr>
        <w:rPr>
          <w:color w:val="auto"/>
          <w:highlight w:val="none"/>
        </w:rPr>
      </w:pPr>
    </w:p>
    <w:p w14:paraId="25612279">
      <w:pPr>
        <w:rPr>
          <w:color w:val="auto"/>
          <w:highlight w:val="none"/>
        </w:rPr>
      </w:pPr>
    </w:p>
    <w:p w14:paraId="35A1B1C6">
      <w:pPr>
        <w:rPr>
          <w:color w:val="auto"/>
          <w:highlight w:val="none"/>
        </w:rPr>
      </w:pPr>
    </w:p>
    <w:p w14:paraId="7DC378E1">
      <w:pPr>
        <w:rPr>
          <w:color w:val="auto"/>
          <w:highlight w:val="none"/>
        </w:rPr>
      </w:pPr>
    </w:p>
    <w:p w14:paraId="42ED019B">
      <w:pPr>
        <w:rPr>
          <w:color w:val="auto"/>
          <w:highlight w:val="none"/>
        </w:rPr>
      </w:pPr>
    </w:p>
    <w:p w14:paraId="6737A63A">
      <w:pPr>
        <w:rPr>
          <w:color w:val="auto"/>
          <w:highlight w:val="none"/>
        </w:rPr>
      </w:pPr>
    </w:p>
    <w:p w14:paraId="2E650783">
      <w:pPr>
        <w:rPr>
          <w:color w:val="auto"/>
          <w:highlight w:val="none"/>
        </w:rPr>
      </w:pPr>
    </w:p>
    <w:p w14:paraId="4E72CF73">
      <w:pPr>
        <w:pStyle w:val="33"/>
        <w:spacing w:beforeAutospacing="0" w:afterAutospacing="0"/>
        <w:jc w:val="center"/>
        <w:rPr>
          <w:color w:val="auto"/>
          <w:highlight w:val="none"/>
        </w:rPr>
      </w:pPr>
      <w:bookmarkStart w:id="182" w:name="_Toc120614282"/>
      <w:bookmarkEnd w:id="182"/>
      <w:bookmarkStart w:id="183" w:name="_Toc49090576"/>
      <w:bookmarkEnd w:id="183"/>
      <w:bookmarkStart w:id="184" w:name="_Hlt26955039"/>
      <w:bookmarkStart w:id="185" w:name="_Hlt26671244"/>
      <w:bookmarkStart w:id="186" w:name="_Toc26554094"/>
      <w:r>
        <w:rPr>
          <w:rFonts w:hint="eastAsia" w:ascii="宋体" w:hAnsi="宋体" w:eastAsia="宋体" w:cs="宋体"/>
          <w:b/>
          <w:color w:val="auto"/>
          <w:sz w:val="72"/>
          <w:szCs w:val="72"/>
          <w:highlight w:val="none"/>
        </w:rPr>
        <w:t>响  应  文  件</w:t>
      </w:r>
    </w:p>
    <w:p w14:paraId="21E61A89">
      <w:pPr>
        <w:pStyle w:val="33"/>
        <w:spacing w:beforeAutospacing="0" w:afterAutospacing="0"/>
        <w:jc w:val="center"/>
        <w:rPr>
          <w:color w:val="auto"/>
          <w:highlight w:val="none"/>
        </w:rPr>
      </w:pPr>
      <w:r>
        <w:rPr>
          <w:color w:val="auto"/>
          <w:highlight w:val="none"/>
        </w:rPr>
        <w:t> </w:t>
      </w:r>
    </w:p>
    <w:p w14:paraId="2510E510">
      <w:pPr>
        <w:pStyle w:val="33"/>
        <w:spacing w:beforeAutospacing="0" w:afterAutospacing="0"/>
        <w:jc w:val="center"/>
        <w:rPr>
          <w:color w:val="auto"/>
          <w:highlight w:val="none"/>
        </w:rPr>
      </w:pPr>
      <w:r>
        <w:rPr>
          <w:color w:val="auto"/>
          <w:highlight w:val="none"/>
        </w:rPr>
        <w:t> </w:t>
      </w:r>
    </w:p>
    <w:p w14:paraId="4BECC2CC">
      <w:pPr>
        <w:pStyle w:val="33"/>
        <w:spacing w:beforeAutospacing="0" w:afterAutospacing="0"/>
        <w:jc w:val="center"/>
        <w:rPr>
          <w:color w:val="auto"/>
          <w:highlight w:val="none"/>
        </w:rPr>
      </w:pPr>
      <w:r>
        <w:rPr>
          <w:color w:val="auto"/>
          <w:highlight w:val="none"/>
        </w:rPr>
        <w:t> </w:t>
      </w:r>
    </w:p>
    <w:p w14:paraId="70C9C09A">
      <w:pPr>
        <w:pStyle w:val="33"/>
        <w:spacing w:beforeAutospacing="0" w:afterAutospacing="0"/>
        <w:jc w:val="center"/>
        <w:rPr>
          <w:color w:val="auto"/>
          <w:highlight w:val="none"/>
        </w:rPr>
      </w:pPr>
    </w:p>
    <w:p w14:paraId="1178DB8E">
      <w:pPr>
        <w:pStyle w:val="33"/>
        <w:spacing w:beforeAutospacing="0" w:afterAutospacing="0"/>
        <w:jc w:val="center"/>
        <w:rPr>
          <w:color w:val="auto"/>
          <w:highlight w:val="none"/>
        </w:rPr>
      </w:pPr>
    </w:p>
    <w:p w14:paraId="3867C7DD">
      <w:pPr>
        <w:pStyle w:val="33"/>
        <w:spacing w:beforeAutospacing="0" w:afterAutospacing="0"/>
        <w:jc w:val="center"/>
        <w:rPr>
          <w:color w:val="auto"/>
          <w:highlight w:val="none"/>
        </w:rPr>
      </w:pPr>
      <w:r>
        <w:rPr>
          <w:color w:val="auto"/>
          <w:highlight w:val="none"/>
        </w:rPr>
        <w:t> </w:t>
      </w:r>
    </w:p>
    <w:p w14:paraId="0C94433B">
      <w:pPr>
        <w:pStyle w:val="33"/>
        <w:spacing w:beforeAutospacing="0" w:afterAutospacing="0"/>
        <w:jc w:val="center"/>
        <w:rPr>
          <w:color w:val="auto"/>
          <w:highlight w:val="none"/>
        </w:rPr>
      </w:pPr>
      <w:r>
        <w:rPr>
          <w:color w:val="auto"/>
          <w:highlight w:val="none"/>
        </w:rPr>
        <w:t> </w:t>
      </w:r>
    </w:p>
    <w:p w14:paraId="166CC4C2">
      <w:pPr>
        <w:pStyle w:val="3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名 称：</w:t>
      </w:r>
      <w:r>
        <w:rPr>
          <w:rFonts w:hint="eastAsia" w:ascii="宋体" w:hAnsi="宋体" w:eastAsia="宋体" w:cs="宋体"/>
          <w:b/>
          <w:color w:val="auto"/>
          <w:sz w:val="36"/>
          <w:szCs w:val="36"/>
          <w:highlight w:val="none"/>
          <w:u w:val="single"/>
        </w:rPr>
        <w:t xml:space="preserve">            </w:t>
      </w:r>
    </w:p>
    <w:p w14:paraId="4454D677">
      <w:pPr>
        <w:pStyle w:val="3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 编 号：</w:t>
      </w:r>
      <w:r>
        <w:rPr>
          <w:rFonts w:hint="eastAsia" w:ascii="宋体" w:hAnsi="宋体" w:eastAsia="宋体" w:cs="宋体"/>
          <w:b/>
          <w:color w:val="auto"/>
          <w:sz w:val="36"/>
          <w:szCs w:val="36"/>
          <w:highlight w:val="none"/>
          <w:u w:val="single"/>
        </w:rPr>
        <w:t xml:space="preserve">            </w:t>
      </w:r>
    </w:p>
    <w:p w14:paraId="304E7304">
      <w:pPr>
        <w:pStyle w:val="33"/>
        <w:spacing w:beforeAutospacing="0" w:afterAutospacing="0"/>
        <w:jc w:val="both"/>
        <w:rPr>
          <w:color w:val="auto"/>
          <w:highlight w:val="none"/>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p>
    <w:p w14:paraId="0EA777E8">
      <w:pPr>
        <w:pStyle w:val="33"/>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xml:space="preserve">                    </w:t>
      </w:r>
    </w:p>
    <w:p w14:paraId="1CF6BE94">
      <w:pPr>
        <w:pStyle w:val="33"/>
        <w:spacing w:beforeAutospacing="0" w:afterAutospacing="0" w:line="0" w:lineRule="atLeast"/>
        <w:jc w:val="center"/>
        <w:rPr>
          <w:color w:val="auto"/>
          <w:highlight w:val="none"/>
        </w:rPr>
      </w:pPr>
    </w:p>
    <w:p w14:paraId="0DB6C7DB">
      <w:pPr>
        <w:pStyle w:val="33"/>
        <w:spacing w:beforeAutospacing="0" w:afterAutospacing="0" w:line="0" w:lineRule="atLeast"/>
        <w:jc w:val="center"/>
        <w:rPr>
          <w:color w:val="auto"/>
          <w:highlight w:val="none"/>
        </w:rPr>
      </w:pPr>
    </w:p>
    <w:p w14:paraId="2500637E">
      <w:pPr>
        <w:pStyle w:val="33"/>
        <w:spacing w:beforeAutospacing="0" w:afterAutospacing="0" w:line="0" w:lineRule="atLeast"/>
        <w:jc w:val="center"/>
        <w:rPr>
          <w:color w:val="auto"/>
          <w:highlight w:val="none"/>
        </w:rPr>
      </w:pPr>
    </w:p>
    <w:p w14:paraId="709028D2">
      <w:pPr>
        <w:pStyle w:val="33"/>
        <w:spacing w:beforeAutospacing="0" w:afterAutospacing="0" w:line="0" w:lineRule="atLeast"/>
        <w:jc w:val="center"/>
        <w:rPr>
          <w:color w:val="auto"/>
          <w:highlight w:val="none"/>
        </w:rPr>
      </w:pPr>
    </w:p>
    <w:p w14:paraId="54510717">
      <w:pPr>
        <w:pStyle w:val="33"/>
        <w:spacing w:beforeAutospacing="0" w:afterAutospacing="0" w:line="0" w:lineRule="atLeast"/>
        <w:jc w:val="center"/>
        <w:rPr>
          <w:color w:val="auto"/>
          <w:highlight w:val="none"/>
        </w:rPr>
      </w:pPr>
    </w:p>
    <w:p w14:paraId="4AEEA74D">
      <w:pPr>
        <w:pStyle w:val="33"/>
        <w:spacing w:beforeAutospacing="0" w:afterAutospacing="0" w:line="0" w:lineRule="atLeast"/>
        <w:jc w:val="center"/>
        <w:rPr>
          <w:color w:val="auto"/>
          <w:highlight w:val="none"/>
        </w:rPr>
      </w:pPr>
    </w:p>
    <w:p w14:paraId="18296434">
      <w:pPr>
        <w:pStyle w:val="33"/>
        <w:spacing w:beforeAutospacing="0" w:afterAutospacing="0" w:line="0" w:lineRule="atLeast"/>
        <w:jc w:val="center"/>
        <w:rPr>
          <w:color w:val="auto"/>
          <w:highlight w:val="none"/>
        </w:rPr>
      </w:pPr>
    </w:p>
    <w:p w14:paraId="31353550">
      <w:pPr>
        <w:pStyle w:val="33"/>
        <w:spacing w:beforeAutospacing="0" w:afterAutospacing="0" w:line="0" w:lineRule="atLeast"/>
        <w:jc w:val="center"/>
        <w:rPr>
          <w:color w:val="auto"/>
          <w:highlight w:val="none"/>
        </w:rPr>
      </w:pPr>
    </w:p>
    <w:p w14:paraId="2EEE3A71">
      <w:pPr>
        <w:pStyle w:val="33"/>
        <w:spacing w:beforeAutospacing="0" w:afterAutospacing="0" w:line="0" w:lineRule="atLeast"/>
        <w:jc w:val="center"/>
        <w:rPr>
          <w:color w:val="auto"/>
          <w:highlight w:val="none"/>
        </w:rPr>
      </w:pPr>
    </w:p>
    <w:p w14:paraId="5DB9146D">
      <w:pPr>
        <w:pStyle w:val="33"/>
        <w:spacing w:beforeAutospacing="0" w:afterAutospacing="0" w:line="0" w:lineRule="atLeast"/>
        <w:jc w:val="center"/>
        <w:rPr>
          <w:color w:val="auto"/>
          <w:highlight w:val="none"/>
        </w:rPr>
      </w:pPr>
    </w:p>
    <w:p w14:paraId="71FBD05E">
      <w:pPr>
        <w:pStyle w:val="33"/>
        <w:spacing w:beforeAutospacing="0" w:afterAutospacing="0" w:line="0" w:lineRule="atLeast"/>
        <w:jc w:val="center"/>
        <w:rPr>
          <w:color w:val="auto"/>
          <w:highlight w:val="none"/>
        </w:rPr>
      </w:pPr>
    </w:p>
    <w:p w14:paraId="4C46680D">
      <w:pPr>
        <w:pStyle w:val="33"/>
        <w:spacing w:beforeAutospacing="0" w:afterAutospacing="0" w:line="0" w:lineRule="atLeast"/>
        <w:jc w:val="center"/>
        <w:rPr>
          <w:color w:val="auto"/>
          <w:highlight w:val="none"/>
        </w:rPr>
      </w:pPr>
    </w:p>
    <w:p w14:paraId="29BE67F1">
      <w:pPr>
        <w:pStyle w:val="33"/>
        <w:spacing w:beforeAutospacing="0" w:afterAutospacing="0" w:line="0" w:lineRule="atLeast"/>
        <w:jc w:val="center"/>
        <w:rPr>
          <w:color w:val="auto"/>
          <w:highlight w:val="none"/>
        </w:rPr>
      </w:pPr>
    </w:p>
    <w:p w14:paraId="5634206D">
      <w:pPr>
        <w:pStyle w:val="33"/>
        <w:spacing w:beforeAutospacing="0" w:afterAutospacing="0" w:line="0" w:lineRule="atLeast"/>
        <w:jc w:val="center"/>
        <w:rPr>
          <w:color w:val="auto"/>
          <w:highlight w:val="none"/>
        </w:rPr>
      </w:pPr>
    </w:p>
    <w:p w14:paraId="1003D466">
      <w:pPr>
        <w:pStyle w:val="33"/>
        <w:spacing w:beforeAutospacing="0" w:afterAutospacing="0" w:line="0" w:lineRule="atLeast"/>
        <w:jc w:val="center"/>
        <w:rPr>
          <w:color w:val="auto"/>
          <w:highlight w:val="none"/>
        </w:rPr>
      </w:pPr>
    </w:p>
    <w:p w14:paraId="4FC1188B">
      <w:pPr>
        <w:pStyle w:val="33"/>
        <w:spacing w:beforeAutospacing="0" w:afterAutospacing="0" w:line="0" w:lineRule="atLeast"/>
        <w:jc w:val="center"/>
        <w:rPr>
          <w:color w:val="auto"/>
          <w:highlight w:val="none"/>
        </w:rPr>
      </w:pPr>
    </w:p>
    <w:p w14:paraId="54712F7C">
      <w:pPr>
        <w:pStyle w:val="33"/>
        <w:spacing w:beforeAutospacing="0" w:afterAutospacing="0" w:line="0" w:lineRule="atLeast"/>
        <w:jc w:val="center"/>
        <w:rPr>
          <w:color w:val="auto"/>
          <w:highlight w:val="none"/>
        </w:rPr>
      </w:pPr>
    </w:p>
    <w:p w14:paraId="622F1505">
      <w:pPr>
        <w:pStyle w:val="33"/>
        <w:spacing w:beforeAutospacing="0" w:afterAutospacing="0" w:line="0" w:lineRule="atLeast"/>
        <w:jc w:val="center"/>
        <w:rPr>
          <w:color w:val="auto"/>
          <w:highlight w:val="none"/>
        </w:rPr>
      </w:pPr>
    </w:p>
    <w:p w14:paraId="603F4A9F">
      <w:pPr>
        <w:pStyle w:val="33"/>
        <w:spacing w:beforeAutospacing="0" w:afterAutospacing="0" w:line="0" w:lineRule="atLeast"/>
        <w:jc w:val="center"/>
        <w:rPr>
          <w:color w:val="auto"/>
          <w:highlight w:val="none"/>
        </w:rPr>
      </w:pPr>
    </w:p>
    <w:p w14:paraId="42DF8E96">
      <w:pPr>
        <w:pStyle w:val="33"/>
        <w:spacing w:beforeAutospacing="0" w:afterAutospacing="0" w:line="0" w:lineRule="atLeast"/>
        <w:jc w:val="center"/>
        <w:rPr>
          <w:color w:val="auto"/>
          <w:highlight w:val="none"/>
        </w:rPr>
      </w:pPr>
    </w:p>
    <w:p w14:paraId="1DBFF428">
      <w:pPr>
        <w:pStyle w:val="33"/>
        <w:spacing w:beforeAutospacing="0" w:afterAutospacing="0" w:line="0" w:lineRule="atLeast"/>
        <w:jc w:val="center"/>
        <w:rPr>
          <w:color w:val="auto"/>
          <w:highlight w:val="none"/>
        </w:rPr>
      </w:pPr>
    </w:p>
    <w:p w14:paraId="32CF818D">
      <w:pPr>
        <w:pStyle w:val="33"/>
        <w:spacing w:beforeAutospacing="0" w:afterAutospacing="0" w:line="0" w:lineRule="atLeast"/>
        <w:jc w:val="center"/>
        <w:rPr>
          <w:color w:val="auto"/>
          <w:highlight w:val="none"/>
        </w:rPr>
      </w:pPr>
    </w:p>
    <w:p w14:paraId="52C86756">
      <w:pPr>
        <w:pStyle w:val="33"/>
        <w:spacing w:beforeAutospacing="0" w:afterAutospacing="0" w:line="0" w:lineRule="atLeast"/>
        <w:jc w:val="center"/>
        <w:rPr>
          <w:color w:val="auto"/>
          <w:highlight w:val="none"/>
        </w:rPr>
      </w:pPr>
    </w:p>
    <w:p w14:paraId="0900CF35">
      <w:pPr>
        <w:pStyle w:val="33"/>
        <w:spacing w:beforeAutospacing="0" w:afterAutospacing="0" w:line="0" w:lineRule="atLeast"/>
        <w:jc w:val="center"/>
        <w:rPr>
          <w:color w:val="auto"/>
          <w:highlight w:val="none"/>
        </w:rPr>
      </w:pPr>
    </w:p>
    <w:p w14:paraId="3D7B9EDD">
      <w:pPr>
        <w:pStyle w:val="33"/>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响应文件目录</w:t>
      </w:r>
    </w:p>
    <w:p w14:paraId="5F121E72">
      <w:pPr>
        <w:pStyle w:val="33"/>
        <w:spacing w:beforeAutospacing="0" w:afterAutospacing="0" w:line="0" w:lineRule="atLeast"/>
        <w:jc w:val="center"/>
        <w:rPr>
          <w:color w:val="auto"/>
          <w:highlight w:val="none"/>
        </w:rPr>
      </w:pPr>
      <w:r>
        <w:rPr>
          <w:color w:val="auto"/>
          <w:highlight w:val="none"/>
        </w:rPr>
        <w:t> </w:t>
      </w:r>
    </w:p>
    <w:p w14:paraId="0FF0EC3B">
      <w:pPr>
        <w:pStyle w:val="33"/>
        <w:spacing w:beforeAutospacing="0" w:afterAutospacing="0"/>
        <w:ind w:left="480"/>
        <w:jc w:val="both"/>
        <w:rPr>
          <w:color w:val="auto"/>
          <w:highlight w:val="none"/>
        </w:rPr>
      </w:pPr>
      <w:r>
        <w:rPr>
          <w:rFonts w:hint="eastAsia" w:ascii="宋体" w:hAnsi="宋体" w:eastAsia="宋体" w:cs="宋体"/>
          <w:i/>
          <w:color w:val="auto"/>
          <w:highlight w:val="none"/>
          <w:u w:val="single"/>
        </w:rPr>
        <w:t>一、法人或者其他组织的营业执照等证明文件，自然人的身份证明</w:t>
      </w:r>
    </w:p>
    <w:p w14:paraId="66656685">
      <w:pPr>
        <w:tabs>
          <w:tab w:val="left" w:pos="1331"/>
        </w:tabs>
        <w:ind w:firstLine="480"/>
        <w:jc w:val="left"/>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二、上一年度的财务状况报表（至少提供资产负债表、利润表、现金流量表，</w:t>
      </w:r>
    </w:p>
    <w:p w14:paraId="080B1173">
      <w:pPr>
        <w:pStyle w:val="3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谈判供应商成立不满一年无需提供）</w:t>
      </w:r>
    </w:p>
    <w:p w14:paraId="1216AB45">
      <w:pPr>
        <w:pStyle w:val="33"/>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7509D5F3">
      <w:pPr>
        <w:pStyle w:val="33"/>
        <w:spacing w:beforeAutospacing="0" w:afterAutospacing="0"/>
        <w:ind w:left="480"/>
        <w:jc w:val="both"/>
        <w:rPr>
          <w:color w:val="auto"/>
          <w:highlight w:val="none"/>
        </w:rPr>
      </w:pPr>
      <w:r>
        <w:rPr>
          <w:rFonts w:hint="eastAsia" w:ascii="宋体" w:hAnsi="宋体" w:eastAsia="宋体" w:cs="宋体"/>
          <w:i/>
          <w:color w:val="auto"/>
          <w:highlight w:val="none"/>
          <w:u w:val="single"/>
        </w:rPr>
        <w:t>四、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1DDE492A">
      <w:pPr>
        <w:pStyle w:val="33"/>
        <w:spacing w:beforeAutospacing="0" w:afterAutospacing="0" w:line="0" w:lineRule="atLeast"/>
        <w:ind w:firstLine="480"/>
        <w:jc w:val="both"/>
        <w:rPr>
          <w:color w:val="auto"/>
          <w:highlight w:val="none"/>
        </w:rPr>
      </w:pPr>
      <w:r>
        <w:rPr>
          <w:rFonts w:hint="eastAsia" w:ascii="宋体" w:hAnsi="宋体" w:eastAsia="宋体" w:cs="宋体"/>
          <w:i/>
          <w:color w:val="auto"/>
          <w:highlight w:val="none"/>
          <w:u w:val="single"/>
        </w:rPr>
        <w:t>五、参加政府采购活动前 3 年内在经营活动中没有重大违法记录的书面声明</w:t>
      </w:r>
    </w:p>
    <w:p w14:paraId="15B60C72">
      <w:pPr>
        <w:pStyle w:val="33"/>
        <w:spacing w:beforeAutospacing="0" w:afterAutospacing="0" w:line="0" w:lineRule="atLeast"/>
        <w:ind w:firstLine="480"/>
        <w:jc w:val="both"/>
        <w:rPr>
          <w:color w:val="auto"/>
          <w:highlight w:val="none"/>
        </w:rPr>
      </w:pPr>
      <w:r>
        <w:rPr>
          <w:rFonts w:hint="eastAsia" w:ascii="宋体" w:hAnsi="宋体" w:eastAsia="宋体" w:cs="宋体"/>
          <w:i/>
          <w:color w:val="auto"/>
          <w:highlight w:val="none"/>
          <w:u w:val="single"/>
        </w:rPr>
        <w:t>六、特定资格要求的证明文件（如果本项目设置特定资格要求，则需要提供）</w:t>
      </w:r>
    </w:p>
    <w:p w14:paraId="5BC1DB03">
      <w:pPr>
        <w:pStyle w:val="33"/>
        <w:spacing w:beforeAutospacing="0" w:afterAutospacing="0" w:line="0" w:lineRule="atLeast"/>
        <w:ind w:firstLine="480"/>
        <w:jc w:val="both"/>
        <w:rPr>
          <w:color w:val="auto"/>
          <w:highlight w:val="none"/>
        </w:rPr>
      </w:pPr>
      <w:r>
        <w:rPr>
          <w:rFonts w:hint="eastAsia" w:ascii="宋体" w:hAnsi="宋体" w:eastAsia="宋体" w:cs="宋体"/>
          <w:i/>
          <w:color w:val="auto"/>
          <w:highlight w:val="none"/>
          <w:u w:val="single"/>
        </w:rPr>
        <w:t>七、法人授权书</w:t>
      </w:r>
    </w:p>
    <w:p w14:paraId="729724B5">
      <w:pPr>
        <w:pStyle w:val="33"/>
        <w:spacing w:beforeAutospacing="0" w:afterAutospacing="0" w:line="0" w:lineRule="atLeast"/>
        <w:ind w:firstLine="480"/>
        <w:jc w:val="both"/>
        <w:rPr>
          <w:color w:val="auto"/>
          <w:highlight w:val="none"/>
        </w:rPr>
      </w:pPr>
      <w:r>
        <w:rPr>
          <w:rFonts w:hint="eastAsia" w:ascii="宋体" w:hAnsi="宋体" w:eastAsia="宋体" w:cs="宋体"/>
          <w:i/>
          <w:color w:val="auto"/>
          <w:highlight w:val="none"/>
          <w:u w:val="single"/>
        </w:rPr>
        <w:t>八、谈判响应函</w:t>
      </w:r>
    </w:p>
    <w:p w14:paraId="0D222CCE">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九、小微企业声明函</w:t>
      </w:r>
    </w:p>
    <w:p w14:paraId="36CB7233">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708559FF">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十一、分项报价表</w:t>
      </w:r>
    </w:p>
    <w:p w14:paraId="16BCB77A">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十二、技术要求响应及偏离表</w:t>
      </w:r>
    </w:p>
    <w:p w14:paraId="0A3E38DE">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十三、商务要求响应及偏离表</w:t>
      </w:r>
    </w:p>
    <w:p w14:paraId="3193E716">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十四、谈判报价表</w:t>
      </w:r>
    </w:p>
    <w:p w14:paraId="72D870F5">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十五、盐城市政府采购事前信用承诺书</w:t>
      </w:r>
    </w:p>
    <w:p w14:paraId="65C42C42">
      <w:pPr>
        <w:pStyle w:val="33"/>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十六、谈判文件要求的或供应商认为需要提供的其他资料</w:t>
      </w:r>
    </w:p>
    <w:p w14:paraId="1E966D3D">
      <w:pPr>
        <w:pStyle w:val="33"/>
        <w:spacing w:beforeAutospacing="0" w:afterAutospacing="0" w:line="0" w:lineRule="atLeast"/>
        <w:ind w:firstLine="480"/>
        <w:jc w:val="both"/>
        <w:rPr>
          <w:color w:val="auto"/>
          <w:highlight w:val="none"/>
        </w:rPr>
      </w:pPr>
    </w:p>
    <w:p w14:paraId="60A4466A">
      <w:pPr>
        <w:pStyle w:val="33"/>
        <w:spacing w:beforeAutospacing="0" w:afterAutospacing="0" w:line="0" w:lineRule="atLeast"/>
        <w:ind w:firstLine="480"/>
        <w:jc w:val="both"/>
        <w:rPr>
          <w:color w:val="auto"/>
          <w:highlight w:val="none"/>
        </w:rPr>
      </w:pPr>
    </w:p>
    <w:p w14:paraId="436D4E4E">
      <w:pPr>
        <w:pStyle w:val="33"/>
        <w:spacing w:beforeAutospacing="0" w:afterAutospacing="0" w:line="0" w:lineRule="atLeast"/>
        <w:ind w:firstLine="480"/>
        <w:jc w:val="both"/>
        <w:rPr>
          <w:color w:val="auto"/>
          <w:highlight w:val="none"/>
        </w:rPr>
      </w:pPr>
    </w:p>
    <w:p w14:paraId="219F82F1">
      <w:pPr>
        <w:pStyle w:val="33"/>
        <w:spacing w:beforeAutospacing="0" w:afterAutospacing="0" w:line="0" w:lineRule="atLeast"/>
        <w:ind w:firstLine="480"/>
        <w:jc w:val="both"/>
        <w:rPr>
          <w:color w:val="auto"/>
          <w:highlight w:val="none"/>
        </w:rPr>
      </w:pPr>
    </w:p>
    <w:p w14:paraId="31769894">
      <w:pPr>
        <w:pStyle w:val="33"/>
        <w:spacing w:beforeAutospacing="0" w:afterAutospacing="0" w:line="0" w:lineRule="atLeast"/>
        <w:ind w:firstLine="480"/>
        <w:jc w:val="both"/>
        <w:rPr>
          <w:color w:val="auto"/>
          <w:highlight w:val="none"/>
        </w:rPr>
      </w:pPr>
    </w:p>
    <w:p w14:paraId="56EE8310">
      <w:pPr>
        <w:pStyle w:val="33"/>
        <w:spacing w:beforeAutospacing="0" w:afterAutospacing="0" w:line="0" w:lineRule="atLeast"/>
        <w:ind w:firstLine="480"/>
        <w:jc w:val="both"/>
        <w:rPr>
          <w:color w:val="auto"/>
          <w:highlight w:val="none"/>
        </w:rPr>
      </w:pPr>
    </w:p>
    <w:p w14:paraId="38ECCD87">
      <w:pPr>
        <w:pStyle w:val="33"/>
        <w:spacing w:beforeAutospacing="0" w:afterAutospacing="0" w:line="0" w:lineRule="atLeast"/>
        <w:ind w:firstLine="480"/>
        <w:jc w:val="both"/>
        <w:rPr>
          <w:color w:val="auto"/>
          <w:highlight w:val="none"/>
        </w:rPr>
      </w:pPr>
    </w:p>
    <w:p w14:paraId="48CF2C9E">
      <w:pPr>
        <w:pStyle w:val="33"/>
        <w:spacing w:beforeAutospacing="0" w:afterAutospacing="0" w:line="0" w:lineRule="atLeast"/>
        <w:ind w:firstLine="480"/>
        <w:jc w:val="both"/>
        <w:rPr>
          <w:color w:val="auto"/>
          <w:highlight w:val="none"/>
        </w:rPr>
      </w:pPr>
    </w:p>
    <w:p w14:paraId="235C29CB">
      <w:pPr>
        <w:pStyle w:val="33"/>
        <w:spacing w:beforeAutospacing="0" w:afterAutospacing="0" w:line="0" w:lineRule="atLeast"/>
        <w:ind w:firstLine="480"/>
        <w:jc w:val="both"/>
        <w:rPr>
          <w:color w:val="auto"/>
          <w:highlight w:val="none"/>
        </w:rPr>
      </w:pPr>
    </w:p>
    <w:p w14:paraId="755FA217">
      <w:pPr>
        <w:pStyle w:val="33"/>
        <w:spacing w:beforeAutospacing="0" w:afterAutospacing="0" w:line="0" w:lineRule="atLeast"/>
        <w:ind w:firstLine="480"/>
        <w:jc w:val="both"/>
        <w:rPr>
          <w:color w:val="auto"/>
          <w:highlight w:val="none"/>
        </w:rPr>
      </w:pPr>
    </w:p>
    <w:p w14:paraId="234AAA50">
      <w:pPr>
        <w:pStyle w:val="33"/>
        <w:spacing w:beforeAutospacing="0" w:afterAutospacing="0" w:line="0" w:lineRule="atLeast"/>
        <w:ind w:firstLine="480"/>
        <w:jc w:val="both"/>
        <w:rPr>
          <w:color w:val="auto"/>
          <w:highlight w:val="none"/>
        </w:rPr>
      </w:pPr>
    </w:p>
    <w:p w14:paraId="33B89718">
      <w:pPr>
        <w:pStyle w:val="33"/>
        <w:spacing w:beforeAutospacing="0" w:afterAutospacing="0" w:line="0" w:lineRule="atLeast"/>
        <w:ind w:firstLine="480"/>
        <w:jc w:val="both"/>
        <w:rPr>
          <w:color w:val="auto"/>
          <w:highlight w:val="none"/>
        </w:rPr>
      </w:pPr>
    </w:p>
    <w:p w14:paraId="67740597">
      <w:pPr>
        <w:pStyle w:val="33"/>
        <w:spacing w:beforeAutospacing="0" w:afterAutospacing="0" w:line="0" w:lineRule="atLeast"/>
        <w:ind w:firstLine="480"/>
        <w:jc w:val="both"/>
        <w:rPr>
          <w:color w:val="auto"/>
          <w:highlight w:val="none"/>
        </w:rPr>
      </w:pPr>
      <w:r>
        <w:rPr>
          <w:color w:val="auto"/>
          <w:highlight w:val="none"/>
        </w:rPr>
        <w:t> </w:t>
      </w:r>
    </w:p>
    <w:p w14:paraId="4D78CCD5">
      <w:pPr>
        <w:pStyle w:val="33"/>
        <w:spacing w:beforeAutospacing="0" w:afterAutospacing="0" w:line="0" w:lineRule="atLeast"/>
        <w:ind w:firstLine="480"/>
        <w:jc w:val="both"/>
        <w:rPr>
          <w:color w:val="auto"/>
          <w:highlight w:val="none"/>
        </w:rPr>
      </w:pPr>
      <w:r>
        <w:rPr>
          <w:color w:val="auto"/>
          <w:highlight w:val="none"/>
        </w:rPr>
        <w:t> </w:t>
      </w:r>
    </w:p>
    <w:p w14:paraId="474DC438">
      <w:pPr>
        <w:pStyle w:val="33"/>
        <w:spacing w:beforeAutospacing="0" w:afterAutospacing="0" w:line="0" w:lineRule="atLeast"/>
        <w:ind w:firstLine="480"/>
        <w:jc w:val="both"/>
        <w:rPr>
          <w:color w:val="auto"/>
          <w:highlight w:val="none"/>
        </w:rPr>
      </w:pPr>
      <w:r>
        <w:rPr>
          <w:color w:val="auto"/>
          <w:highlight w:val="none"/>
        </w:rPr>
        <w:t> </w:t>
      </w:r>
    </w:p>
    <w:p w14:paraId="377150B4">
      <w:pPr>
        <w:pStyle w:val="33"/>
        <w:spacing w:beforeAutospacing="0" w:afterAutospacing="0" w:line="0" w:lineRule="atLeast"/>
        <w:ind w:firstLine="480"/>
        <w:jc w:val="both"/>
        <w:rPr>
          <w:color w:val="auto"/>
          <w:highlight w:val="none"/>
        </w:rPr>
      </w:pPr>
      <w:r>
        <w:rPr>
          <w:color w:val="auto"/>
          <w:highlight w:val="none"/>
        </w:rPr>
        <w:t> </w:t>
      </w:r>
    </w:p>
    <w:p w14:paraId="367E4F1E">
      <w:pPr>
        <w:pStyle w:val="33"/>
        <w:spacing w:beforeAutospacing="0" w:afterAutospacing="0" w:line="0" w:lineRule="atLeast"/>
        <w:ind w:firstLine="480"/>
        <w:jc w:val="both"/>
        <w:rPr>
          <w:color w:val="auto"/>
          <w:highlight w:val="none"/>
        </w:rPr>
      </w:pPr>
      <w:r>
        <w:rPr>
          <w:color w:val="auto"/>
          <w:highlight w:val="none"/>
        </w:rPr>
        <w:t> </w:t>
      </w:r>
    </w:p>
    <w:p w14:paraId="523CDA49">
      <w:pPr>
        <w:pStyle w:val="33"/>
        <w:spacing w:beforeAutospacing="0" w:afterAutospacing="0" w:line="0" w:lineRule="atLeast"/>
        <w:ind w:firstLine="480"/>
        <w:jc w:val="both"/>
        <w:rPr>
          <w:color w:val="auto"/>
          <w:highlight w:val="none"/>
        </w:rPr>
      </w:pPr>
    </w:p>
    <w:p w14:paraId="6C4FC20C">
      <w:pPr>
        <w:pStyle w:val="33"/>
        <w:spacing w:beforeAutospacing="0" w:afterAutospacing="0" w:line="0" w:lineRule="atLeast"/>
        <w:ind w:firstLine="480"/>
        <w:jc w:val="both"/>
        <w:rPr>
          <w:color w:val="auto"/>
          <w:highlight w:val="none"/>
        </w:rPr>
      </w:pPr>
    </w:p>
    <w:p w14:paraId="38182653">
      <w:pPr>
        <w:pStyle w:val="33"/>
        <w:spacing w:beforeAutospacing="0" w:afterAutospacing="0" w:line="0" w:lineRule="atLeast"/>
        <w:ind w:firstLine="480"/>
        <w:jc w:val="both"/>
        <w:rPr>
          <w:color w:val="auto"/>
          <w:highlight w:val="none"/>
        </w:rPr>
      </w:pPr>
      <w:r>
        <w:rPr>
          <w:color w:val="auto"/>
          <w:highlight w:val="none"/>
        </w:rPr>
        <w:t> </w:t>
      </w:r>
    </w:p>
    <w:p w14:paraId="44C998A0">
      <w:pPr>
        <w:pStyle w:val="33"/>
        <w:spacing w:beforeAutospacing="0" w:afterAutospacing="0" w:line="0" w:lineRule="atLeast"/>
        <w:ind w:firstLine="480"/>
        <w:jc w:val="both"/>
        <w:rPr>
          <w:color w:val="auto"/>
          <w:highlight w:val="none"/>
        </w:rPr>
      </w:pPr>
    </w:p>
    <w:p w14:paraId="39660144">
      <w:pPr>
        <w:pStyle w:val="33"/>
        <w:spacing w:beforeAutospacing="0" w:afterAutospacing="0" w:line="0" w:lineRule="atLeast"/>
        <w:ind w:firstLine="480"/>
        <w:jc w:val="both"/>
        <w:rPr>
          <w:color w:val="auto"/>
          <w:highlight w:val="none"/>
        </w:rPr>
      </w:pPr>
    </w:p>
    <w:p w14:paraId="258286F8">
      <w:pPr>
        <w:pStyle w:val="33"/>
        <w:spacing w:beforeAutospacing="0" w:afterAutospacing="0" w:line="0" w:lineRule="atLeast"/>
        <w:ind w:firstLine="480"/>
        <w:jc w:val="both"/>
        <w:rPr>
          <w:color w:val="auto"/>
          <w:highlight w:val="none"/>
        </w:rPr>
      </w:pPr>
      <w:r>
        <w:rPr>
          <w:color w:val="auto"/>
          <w:highlight w:val="none"/>
        </w:rPr>
        <w:t> </w:t>
      </w:r>
    </w:p>
    <w:p w14:paraId="5E5DF63A">
      <w:pPr>
        <w:pStyle w:val="33"/>
        <w:spacing w:beforeAutospacing="0" w:afterAutospacing="0" w:line="0" w:lineRule="atLeast"/>
        <w:ind w:firstLine="480"/>
        <w:jc w:val="both"/>
        <w:rPr>
          <w:color w:val="auto"/>
          <w:highlight w:val="none"/>
        </w:rPr>
      </w:pPr>
    </w:p>
    <w:p w14:paraId="144793C1">
      <w:pPr>
        <w:pStyle w:val="33"/>
        <w:spacing w:beforeAutospacing="0" w:afterAutospacing="0" w:line="0" w:lineRule="atLeast"/>
        <w:ind w:firstLine="480"/>
        <w:jc w:val="both"/>
        <w:rPr>
          <w:color w:val="auto"/>
          <w:highlight w:val="none"/>
        </w:rPr>
      </w:pPr>
      <w:r>
        <w:rPr>
          <w:color w:val="auto"/>
          <w:highlight w:val="none"/>
        </w:rPr>
        <w:t> </w:t>
      </w:r>
    </w:p>
    <w:p w14:paraId="298AD827">
      <w:pPr>
        <w:pStyle w:val="33"/>
        <w:spacing w:beforeAutospacing="0" w:afterAutospacing="0" w:line="0" w:lineRule="atLeast"/>
        <w:ind w:firstLine="480"/>
        <w:jc w:val="both"/>
        <w:rPr>
          <w:color w:val="auto"/>
          <w:highlight w:val="none"/>
        </w:rPr>
      </w:pPr>
      <w:r>
        <w:rPr>
          <w:color w:val="auto"/>
          <w:highlight w:val="none"/>
        </w:rPr>
        <w:t> </w:t>
      </w:r>
    </w:p>
    <w:p w14:paraId="7F1A07B7">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6E6BCE21">
      <w:pPr>
        <w:pStyle w:val="33"/>
        <w:spacing w:beforeAutospacing="0" w:afterAutospacing="0" w:line="0" w:lineRule="atLeast"/>
        <w:ind w:firstLine="480"/>
        <w:jc w:val="both"/>
        <w:rPr>
          <w:color w:val="auto"/>
          <w:highlight w:val="none"/>
        </w:rPr>
      </w:pPr>
      <w:r>
        <w:rPr>
          <w:color w:val="auto"/>
          <w:highlight w:val="none"/>
        </w:rPr>
        <w:t> </w:t>
      </w:r>
    </w:p>
    <w:p w14:paraId="135283CA">
      <w:pPr>
        <w:pStyle w:val="33"/>
        <w:spacing w:beforeAutospacing="0" w:afterAutospacing="0" w:line="0" w:lineRule="atLeast"/>
        <w:ind w:firstLine="480"/>
        <w:jc w:val="both"/>
        <w:rPr>
          <w:color w:val="auto"/>
          <w:highlight w:val="none"/>
        </w:rPr>
      </w:pPr>
    </w:p>
    <w:p w14:paraId="5989127F">
      <w:pPr>
        <w:pStyle w:val="33"/>
        <w:spacing w:beforeAutospacing="0" w:afterAutospacing="0" w:line="0" w:lineRule="atLeast"/>
        <w:ind w:firstLine="480"/>
        <w:jc w:val="both"/>
        <w:rPr>
          <w:color w:val="auto"/>
          <w:highlight w:val="none"/>
        </w:rPr>
      </w:pPr>
    </w:p>
    <w:p w14:paraId="2AAACE92">
      <w:pPr>
        <w:pStyle w:val="33"/>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6B23F7C1">
      <w:pPr>
        <w:tabs>
          <w:tab w:val="left" w:pos="1331"/>
        </w:tabs>
        <w:ind w:firstLine="480"/>
        <w:jc w:val="left"/>
        <w:rPr>
          <w:rFonts w:ascii="宋体" w:hAnsi="宋体" w:eastAsia="宋体" w:cs="宋体"/>
          <w:i/>
          <w:color w:val="auto"/>
          <w:sz w:val="24"/>
          <w:highlight w:val="none"/>
          <w:u w:val="single"/>
        </w:rPr>
      </w:pPr>
      <w:r>
        <w:rPr>
          <w:rFonts w:hint="eastAsia" w:ascii="宋体" w:hAnsi="宋体" w:eastAsia="宋体" w:cs="宋体"/>
          <w:i/>
          <w:color w:val="auto"/>
          <w:sz w:val="24"/>
          <w:highlight w:val="none"/>
          <w:u w:val="single"/>
        </w:rPr>
        <w:t>（至少提供资产负债表、利润表、现金流量表，谈判供应商成立不满一年无需提供）</w:t>
      </w:r>
    </w:p>
    <w:p w14:paraId="506AA5DD">
      <w:pPr>
        <w:pStyle w:val="33"/>
        <w:spacing w:beforeAutospacing="0" w:afterAutospacing="0"/>
        <w:jc w:val="both"/>
        <w:rPr>
          <w:color w:val="auto"/>
          <w:highlight w:val="none"/>
        </w:rPr>
      </w:pPr>
      <w:r>
        <w:rPr>
          <w:color w:val="auto"/>
          <w:highlight w:val="none"/>
        </w:rPr>
        <w:t> </w:t>
      </w:r>
    </w:p>
    <w:p w14:paraId="54849D80">
      <w:pPr>
        <w:pStyle w:val="33"/>
        <w:spacing w:beforeAutospacing="0" w:afterAutospacing="0"/>
        <w:jc w:val="both"/>
        <w:rPr>
          <w:color w:val="auto"/>
          <w:highlight w:val="none"/>
        </w:rPr>
      </w:pPr>
      <w:r>
        <w:rPr>
          <w:color w:val="auto"/>
          <w:highlight w:val="none"/>
        </w:rPr>
        <w:t> </w:t>
      </w:r>
    </w:p>
    <w:p w14:paraId="40476F04">
      <w:pPr>
        <w:pStyle w:val="33"/>
        <w:spacing w:beforeAutospacing="0" w:afterAutospacing="0"/>
        <w:jc w:val="both"/>
        <w:rPr>
          <w:color w:val="auto"/>
          <w:highlight w:val="none"/>
        </w:rPr>
      </w:pPr>
    </w:p>
    <w:p w14:paraId="35BE8ED8">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4624DB76">
      <w:pPr>
        <w:pStyle w:val="3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2624FE55">
      <w:pPr>
        <w:pStyle w:val="3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3D2ADAC9">
      <w:pPr>
        <w:pStyle w:val="3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D4CC318">
      <w:pPr>
        <w:pStyle w:val="33"/>
        <w:spacing w:beforeAutospacing="0" w:afterAutospacing="0"/>
        <w:jc w:val="both"/>
        <w:rPr>
          <w:rFonts w:ascii="宋体" w:hAnsi="宋体" w:eastAsia="宋体" w:cs="宋体"/>
          <w:color w:val="auto"/>
          <w:highlight w:val="none"/>
        </w:rPr>
      </w:pPr>
    </w:p>
    <w:p w14:paraId="460FE0A5">
      <w:pPr>
        <w:pStyle w:val="33"/>
        <w:spacing w:beforeAutospacing="0" w:afterAutospacing="0"/>
        <w:jc w:val="both"/>
        <w:rPr>
          <w:rFonts w:ascii="宋体" w:hAnsi="宋体" w:eastAsia="宋体" w:cs="宋体"/>
          <w:color w:val="auto"/>
          <w:highlight w:val="none"/>
        </w:rPr>
      </w:pPr>
    </w:p>
    <w:p w14:paraId="4FDC9178">
      <w:pPr>
        <w:pStyle w:val="33"/>
        <w:spacing w:beforeAutospacing="0" w:afterAutospacing="0"/>
        <w:jc w:val="both"/>
        <w:rPr>
          <w:rFonts w:ascii="宋体" w:hAnsi="宋体" w:eastAsia="宋体" w:cs="宋体"/>
          <w:color w:val="auto"/>
          <w:highlight w:val="none"/>
        </w:rPr>
      </w:pPr>
    </w:p>
    <w:p w14:paraId="501D9AF7">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79A498CD">
      <w:pPr>
        <w:pStyle w:val="33"/>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1C7D9DF5">
      <w:pPr>
        <w:pStyle w:val="33"/>
        <w:spacing w:beforeAutospacing="0" w:afterAutospacing="0"/>
        <w:ind w:firstLine="480"/>
        <w:jc w:val="both"/>
        <w:rPr>
          <w:rFonts w:ascii="宋体" w:hAnsi="宋体" w:eastAsia="宋体" w:cs="宋体"/>
          <w:color w:val="auto"/>
          <w:highlight w:val="none"/>
        </w:rPr>
      </w:pPr>
    </w:p>
    <w:p w14:paraId="661DF8A3">
      <w:pPr>
        <w:pStyle w:val="33"/>
        <w:spacing w:beforeAutospacing="0" w:afterAutospacing="0"/>
        <w:ind w:firstLine="480"/>
        <w:jc w:val="both"/>
        <w:rPr>
          <w:rFonts w:ascii="宋体" w:hAnsi="宋体" w:eastAsia="宋体" w:cs="宋体"/>
          <w:color w:val="auto"/>
          <w:highlight w:val="none"/>
        </w:rPr>
      </w:pPr>
    </w:p>
    <w:p w14:paraId="415375A5">
      <w:pPr>
        <w:pStyle w:val="33"/>
        <w:spacing w:beforeAutospacing="0" w:afterAutospacing="0"/>
        <w:ind w:firstLine="480"/>
        <w:jc w:val="both"/>
        <w:rPr>
          <w:color w:val="auto"/>
          <w:highlight w:val="none"/>
        </w:rPr>
      </w:pPr>
    </w:p>
    <w:p w14:paraId="731DDEE9">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19F81C69">
      <w:pPr>
        <w:pStyle w:val="33"/>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7A21612A">
      <w:pPr>
        <w:pStyle w:val="3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16D2136">
      <w:pPr>
        <w:pStyle w:val="33"/>
        <w:spacing w:beforeAutospacing="0" w:afterAutospacing="0"/>
        <w:jc w:val="both"/>
        <w:rPr>
          <w:color w:val="auto"/>
          <w:highlight w:val="none"/>
        </w:rPr>
      </w:pPr>
      <w:r>
        <w:rPr>
          <w:color w:val="auto"/>
          <w:highlight w:val="none"/>
        </w:rPr>
        <w:t> </w:t>
      </w:r>
    </w:p>
    <w:p w14:paraId="0E2B2F27">
      <w:pPr>
        <w:pStyle w:val="33"/>
        <w:spacing w:beforeAutospacing="0" w:afterAutospacing="0"/>
        <w:jc w:val="both"/>
        <w:rPr>
          <w:color w:val="auto"/>
          <w:highlight w:val="none"/>
        </w:rPr>
      </w:pPr>
    </w:p>
    <w:p w14:paraId="61F37089">
      <w:pPr>
        <w:pStyle w:val="33"/>
        <w:spacing w:beforeAutospacing="0" w:afterAutospacing="0"/>
        <w:jc w:val="both"/>
        <w:rPr>
          <w:color w:val="auto"/>
          <w:highlight w:val="none"/>
        </w:rPr>
      </w:pPr>
    </w:p>
    <w:p w14:paraId="51DE0268">
      <w:pPr>
        <w:pStyle w:val="3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2CA28CEC">
      <w:pPr>
        <w:pStyle w:val="33"/>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自2022年1月1日以来(以合同签订时间为准)至少承接过</w:t>
      </w:r>
      <w:r>
        <w:rPr>
          <w:rFonts w:hint="eastAsia" w:ascii="宋体" w:hAnsi="宋体" w:eastAsia="宋体" w:cs="宋体"/>
          <w:color w:val="auto"/>
          <w:highlight w:val="none"/>
          <w:lang w:val="en-US" w:eastAsia="zh-CN"/>
        </w:rPr>
        <w:t>1个</w:t>
      </w:r>
      <w:r>
        <w:rPr>
          <w:rFonts w:hint="eastAsia" w:ascii="宋体" w:hAnsi="宋体" w:eastAsia="宋体" w:cs="宋体"/>
          <w:color w:val="auto"/>
          <w:highlight w:val="none"/>
        </w:rPr>
        <w:t xml:space="preserve">类似服务项目业绩（递交响应文件时须提供合同复印件及付款凭证，若未达到付款条件的，需提供甲方出具的证明材料。）   </w:t>
      </w:r>
    </w:p>
    <w:p w14:paraId="18C27B37">
      <w:pPr>
        <w:pStyle w:val="33"/>
        <w:spacing w:beforeAutospacing="0" w:afterAutospacing="0" w:line="0" w:lineRule="atLeast"/>
        <w:jc w:val="both"/>
        <w:rPr>
          <w:color w:val="auto"/>
          <w:highlight w:val="none"/>
        </w:rPr>
      </w:pPr>
      <w:r>
        <w:rPr>
          <w:rFonts w:hint="eastAsia" w:ascii="宋体" w:hAnsi="宋体" w:eastAsia="宋体" w:cs="宋体"/>
          <w:color w:val="auto"/>
          <w:highlight w:val="none"/>
        </w:rPr>
        <w:t>如果本项目申请人的特定资格要求中要求提供的，必须提供。</w:t>
      </w:r>
    </w:p>
    <w:p w14:paraId="02D03A92">
      <w:pPr>
        <w:pStyle w:val="33"/>
        <w:spacing w:beforeAutospacing="0" w:afterAutospacing="0"/>
        <w:jc w:val="center"/>
        <w:rPr>
          <w:rFonts w:ascii="黑体" w:hAnsi="宋体" w:eastAsia="黑体" w:cs="黑体"/>
          <w:i/>
          <w:color w:val="auto"/>
          <w:sz w:val="32"/>
          <w:szCs w:val="32"/>
          <w:highlight w:val="none"/>
          <w:u w:val="single"/>
        </w:rPr>
      </w:pPr>
      <w:bookmarkStart w:id="187" w:name="_Toc120614284"/>
    </w:p>
    <w:p w14:paraId="355EF18E">
      <w:pPr>
        <w:pStyle w:val="33"/>
        <w:spacing w:beforeAutospacing="0" w:afterAutospacing="0"/>
        <w:jc w:val="center"/>
        <w:rPr>
          <w:rFonts w:ascii="黑体" w:hAnsi="宋体" w:eastAsia="黑体" w:cs="黑体"/>
          <w:i/>
          <w:color w:val="auto"/>
          <w:sz w:val="32"/>
          <w:szCs w:val="32"/>
          <w:highlight w:val="none"/>
          <w:u w:val="single"/>
        </w:rPr>
      </w:pPr>
    </w:p>
    <w:p w14:paraId="7E2C1D83">
      <w:pPr>
        <w:widowControl/>
        <w:jc w:val="left"/>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p>
    <w:p w14:paraId="4EAFD8DC">
      <w:pPr>
        <w:pStyle w:val="33"/>
        <w:spacing w:beforeAutospacing="0" w:afterAutospacing="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七、法人授权书</w:t>
      </w:r>
    </w:p>
    <w:p w14:paraId="4AFE0C40">
      <w:pPr>
        <w:pStyle w:val="33"/>
        <w:spacing w:beforeAutospacing="0" w:afterAutospacing="0"/>
        <w:jc w:val="center"/>
        <w:rPr>
          <w:rFonts w:ascii="黑体" w:hAnsi="宋体" w:eastAsia="黑体" w:cs="黑体"/>
          <w:b/>
          <w:color w:val="auto"/>
          <w:sz w:val="32"/>
          <w:szCs w:val="32"/>
          <w:highlight w:val="none"/>
        </w:rPr>
      </w:pPr>
    </w:p>
    <w:p w14:paraId="5CDB70D5">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本授权书声明：____________（供应商名称）授权________________（被授权人的姓名）为我方就</w:t>
      </w:r>
      <w:r>
        <w:rPr>
          <w:rFonts w:hint="eastAsia" w:ascii="Times New Roman" w:hAnsi="Times New Roman"/>
          <w:color w:val="auto"/>
          <w:highlight w:val="none"/>
          <w:u w:val="single"/>
          <w:lang w:eastAsia="zh-CN"/>
        </w:rPr>
        <w:t>JSZC-320900-YCTX-T2026-0001</w:t>
      </w:r>
      <w:r>
        <w:rPr>
          <w:rFonts w:ascii="Times New Roman" w:hAnsi="Times New Roman"/>
          <w:color w:val="auto"/>
          <w:highlight w:val="none"/>
        </w:rPr>
        <w:t>号项目采购活动的合法代理人，以本单位名义全权处理一切与该项目采购有关的事务。</w:t>
      </w:r>
    </w:p>
    <w:p w14:paraId="2A9D548A">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本授权书于______年____月____日起生效，特此声明。</w:t>
      </w:r>
    </w:p>
    <w:p w14:paraId="314A0E3E">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被授权人身份证号码：</w:t>
      </w:r>
      <w:r>
        <w:rPr>
          <w:rFonts w:ascii="Times New Roman" w:hAnsi="Times New Roman"/>
          <w:color w:val="auto"/>
          <w:highlight w:val="none"/>
          <w:u w:val="single"/>
        </w:rPr>
        <w:t xml:space="preserve">                              </w:t>
      </w:r>
    </w:p>
    <w:p w14:paraId="68B26B37">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被授权人联系电话：（手机）</w:t>
      </w:r>
      <w:r>
        <w:rPr>
          <w:rFonts w:ascii="Times New Roman" w:hAnsi="Times New Roman"/>
          <w:color w:val="auto"/>
          <w:highlight w:val="none"/>
          <w:u w:val="single"/>
        </w:rPr>
        <w:t xml:space="preserve">                          </w:t>
      </w:r>
    </w:p>
    <w:p w14:paraId="1A672FA8">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586EF56D">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单位地址：</w:t>
      </w:r>
      <w:r>
        <w:rPr>
          <w:rFonts w:ascii="Times New Roman" w:hAnsi="Times New Roman"/>
          <w:color w:val="auto"/>
          <w:highlight w:val="none"/>
          <w:u w:val="single"/>
        </w:rPr>
        <w:t xml:space="preserve">                                         </w:t>
      </w:r>
    </w:p>
    <w:p w14:paraId="486B7503">
      <w:pPr>
        <w:pStyle w:val="33"/>
        <w:tabs>
          <w:tab w:val="left" w:pos="360"/>
        </w:tabs>
        <w:spacing w:beforeAutospacing="0" w:afterAutospacing="0" w:line="360" w:lineRule="auto"/>
        <w:ind w:firstLine="480"/>
        <w:rPr>
          <w:color w:val="auto"/>
          <w:highlight w:val="none"/>
        </w:rPr>
      </w:pPr>
      <w:r>
        <w:rPr>
          <w:rFonts w:ascii="Times New Roman" w:hAnsi="Times New Roman"/>
          <w:color w:val="auto"/>
          <w:highlight w:val="none"/>
        </w:rPr>
        <w:t>日期：</w:t>
      </w:r>
      <w:bookmarkStart w:id="188" w:name="_Hlt26955070"/>
      <w:bookmarkStart w:id="189" w:name="_格式3__银行出具的资信证明"/>
      <w:bookmarkStart w:id="190" w:name="_Hlt26671380"/>
      <w:r>
        <w:rPr>
          <w:rFonts w:ascii="Times New Roman" w:hAnsi="Times New Roman"/>
          <w:color w:val="auto"/>
          <w:highlight w:val="none"/>
          <w:u w:val="single"/>
        </w:rPr>
        <w:t xml:space="preserve">                                         </w:t>
      </w:r>
    </w:p>
    <w:p w14:paraId="2F7379F1">
      <w:pPr>
        <w:pStyle w:val="33"/>
        <w:tabs>
          <w:tab w:val="left" w:pos="360"/>
        </w:tabs>
        <w:spacing w:beforeAutospacing="0" w:afterAutospacing="0"/>
        <w:jc w:val="both"/>
        <w:rPr>
          <w:color w:val="auto"/>
          <w:highlight w:val="none"/>
        </w:rPr>
      </w:pPr>
    </w:p>
    <w:p w14:paraId="69DC575B">
      <w:pPr>
        <w:pStyle w:val="33"/>
        <w:tabs>
          <w:tab w:val="left" w:pos="360"/>
        </w:tabs>
        <w:spacing w:beforeAutospacing="0" w:afterAutospacing="0"/>
        <w:jc w:val="both"/>
        <w:rPr>
          <w:color w:val="auto"/>
          <w:highlight w:val="none"/>
        </w:rPr>
      </w:pPr>
      <w:r>
        <w:rPr>
          <w:rFonts w:hint="eastAsia"/>
          <w:color w:val="auto"/>
          <w:highlight w:val="none"/>
        </w:rPr>
        <w:t>法定代表人及被授权人身份证：</w:t>
      </w:r>
    </w:p>
    <w:p w14:paraId="71B85555">
      <w:pPr>
        <w:pStyle w:val="33"/>
        <w:tabs>
          <w:tab w:val="left" w:pos="360"/>
        </w:tabs>
        <w:spacing w:beforeAutospacing="0" w:afterAutospacing="0"/>
        <w:ind w:firstLine="480"/>
        <w:jc w:val="both"/>
        <w:rPr>
          <w:color w:val="auto"/>
          <w:highlight w:val="none"/>
        </w:rPr>
      </w:pPr>
      <w:r>
        <w:rPr>
          <w:color w:val="auto"/>
          <w:highlight w:val="none"/>
        </w:rPr>
        <w:t> </w:t>
      </w:r>
    </w:p>
    <w:p w14:paraId="62477A75">
      <w:pPr>
        <w:pStyle w:val="33"/>
        <w:spacing w:beforeAutospacing="0" w:afterAutospacing="0"/>
        <w:ind w:firstLine="420"/>
        <w:jc w:val="both"/>
        <w:rPr>
          <w:color w:val="auto"/>
          <w:highlight w:val="none"/>
        </w:rPr>
      </w:pPr>
      <w:r>
        <w:rPr>
          <w:color w:val="auto"/>
          <w:highlight w:val="none"/>
        </w:rPr>
        <w:t> </w:t>
      </w:r>
    </w:p>
    <w:p w14:paraId="3B452F74">
      <w:pPr>
        <w:pStyle w:val="33"/>
        <w:spacing w:beforeAutospacing="0" w:afterAutospacing="0"/>
        <w:jc w:val="both"/>
        <w:rPr>
          <w:color w:val="auto"/>
          <w:highlight w:val="none"/>
        </w:rPr>
      </w:pPr>
      <w:r>
        <w:rPr>
          <w:color w:val="auto"/>
          <w:highlight w:val="none"/>
        </w:rPr>
        <w:t> </w:t>
      </w:r>
    </w:p>
    <w:p w14:paraId="3D860652">
      <w:pPr>
        <w:pStyle w:val="33"/>
        <w:spacing w:beforeAutospacing="0" w:afterAutospacing="0"/>
        <w:jc w:val="center"/>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黑体" w:hAnsi="宋体" w:eastAsia="黑体" w:cs="黑体"/>
          <w:b/>
          <w:color w:val="auto"/>
          <w:sz w:val="32"/>
          <w:szCs w:val="32"/>
          <w:highlight w:val="none"/>
        </w:rPr>
        <w:t>八、谈判响应函</w:t>
      </w:r>
    </w:p>
    <w:p w14:paraId="50A275BA">
      <w:pPr>
        <w:pStyle w:val="33"/>
        <w:spacing w:beforeAutospacing="0" w:afterAutospacing="0" w:line="360" w:lineRule="auto"/>
        <w:rPr>
          <w:rFonts w:hint="eastAsia" w:eastAsia="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江苏省盐城中学</w:t>
      </w:r>
    </w:p>
    <w:p w14:paraId="2E87E862">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eastAsia="zh-CN"/>
        </w:rPr>
        <w:t>JSZC-320900-YCTX-T2026-0001</w:t>
      </w:r>
      <w:r>
        <w:rPr>
          <w:rFonts w:hint="eastAsia" w:ascii="宋体" w:hAnsi="宋体" w:eastAsia="宋体" w:cs="宋体"/>
          <w:color w:val="auto"/>
          <w:highlight w:val="none"/>
        </w:rPr>
        <w:t>号谈判文件，正式授权下述签字人______(姓名)代表我方______________（供应商的名称），全权处理本次项目谈判的有关事宜。</w:t>
      </w:r>
    </w:p>
    <w:p w14:paraId="14D0EEB4">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据此函，__________签字人兹宣布同意如下：</w:t>
      </w:r>
    </w:p>
    <w:p w14:paraId="50DFDA1B">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1.按谈判文件规定的各项要求，向买方提供所需货物、服务（包含与货物相关的服务及与服务相关的货物）。</w:t>
      </w:r>
    </w:p>
    <w:p w14:paraId="251D51CB">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2.我们已详细审核全部谈判文件及其有效补充文件，我们知道必须放弃提出含糊不清或误解问题的权利。</w:t>
      </w:r>
    </w:p>
    <w:p w14:paraId="743EB62F">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3.我们同意从规定的开标日期起遵循本响应文件，并在规定的谈判有效期期满之前均具有约束力。</w:t>
      </w:r>
    </w:p>
    <w:p w14:paraId="7CB8DF26">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4.同意向贵方提供贵方可能另外要求的与谈判有关的任何证据或资料，并保证我方已提供和将要提供的文件是真实的、准确的。</w:t>
      </w:r>
    </w:p>
    <w:p w14:paraId="54491B11">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5.一旦我方成交,我方将根据谈判文件的规定，严格履行合同的责任和义务,并保证在谈判文件规定的时间完成项目，交付买方验收、使用。</w:t>
      </w:r>
    </w:p>
    <w:p w14:paraId="21C83D4D">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6.我方与本谈判有关的正式通讯地址为：</w:t>
      </w:r>
    </w:p>
    <w:p w14:paraId="1212A1D0">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地 址：</w:t>
      </w:r>
    </w:p>
    <w:p w14:paraId="199E5B94">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邮 编：</w:t>
      </w:r>
    </w:p>
    <w:p w14:paraId="66FBC977">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电 话：</w:t>
      </w:r>
    </w:p>
    <w:p w14:paraId="03521D4D">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传  真：</w:t>
      </w:r>
    </w:p>
    <w:p w14:paraId="50F3A457">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供应商开户行：</w:t>
      </w:r>
    </w:p>
    <w:p w14:paraId="0CE5F0B5">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账 号： </w:t>
      </w:r>
    </w:p>
    <w:p w14:paraId="016592D4">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法定代表人或授权代表姓名（签字或盖章）：     </w:t>
      </w:r>
    </w:p>
    <w:p w14:paraId="0666E70C">
      <w:pPr>
        <w:pStyle w:val="33"/>
        <w:spacing w:beforeAutospacing="0" w:afterAutospacing="0" w:line="360" w:lineRule="auto"/>
        <w:ind w:firstLine="480"/>
        <w:rPr>
          <w:rFonts w:ascii="宋体" w:hAnsi="宋体" w:eastAsia="宋体" w:cs="宋体"/>
          <w:color w:val="auto"/>
          <w:highlight w:val="none"/>
        </w:rPr>
      </w:pPr>
      <w:r>
        <w:rPr>
          <w:rFonts w:hint="eastAsia" w:ascii="宋体" w:hAnsi="宋体" w:eastAsia="宋体" w:cs="宋体"/>
          <w:color w:val="auto"/>
          <w:highlight w:val="none"/>
        </w:rPr>
        <w:t xml:space="preserve">供应商名称（公章）：          </w:t>
      </w:r>
    </w:p>
    <w:p w14:paraId="72BB8BEC">
      <w:pPr>
        <w:pStyle w:val="33"/>
        <w:spacing w:beforeAutospacing="0" w:afterAutospacing="0" w:line="360" w:lineRule="auto"/>
        <w:ind w:firstLine="480"/>
        <w:rPr>
          <w:color w:val="auto"/>
          <w:highlight w:val="none"/>
        </w:rPr>
      </w:pPr>
      <w:r>
        <w:rPr>
          <w:rFonts w:hint="eastAsia" w:ascii="宋体" w:hAnsi="宋体" w:eastAsia="宋体" w:cs="宋体"/>
          <w:color w:val="auto"/>
          <w:highlight w:val="none"/>
        </w:rPr>
        <w:t>日 期：________年____月____日</w:t>
      </w:r>
    </w:p>
    <w:p w14:paraId="4D568924">
      <w:pPr>
        <w:pStyle w:val="33"/>
        <w:spacing w:beforeAutospacing="0" w:afterAutospacing="0" w:line="0" w:lineRule="atLeast"/>
        <w:ind w:firstLine="240"/>
        <w:jc w:val="center"/>
        <w:rPr>
          <w:color w:val="auto"/>
          <w:highlight w:val="none"/>
        </w:rPr>
      </w:pPr>
      <w:r>
        <w:rPr>
          <w:color w:val="auto"/>
          <w:highlight w:val="none"/>
        </w:rPr>
        <w:t> </w:t>
      </w:r>
    </w:p>
    <w:p w14:paraId="5D09CAD8">
      <w:pPr>
        <w:pStyle w:val="33"/>
        <w:spacing w:beforeAutospacing="0" w:afterAutospacing="0" w:line="0" w:lineRule="atLeast"/>
        <w:ind w:firstLine="240"/>
        <w:jc w:val="center"/>
        <w:rPr>
          <w:color w:val="auto"/>
          <w:highlight w:val="none"/>
        </w:rPr>
      </w:pPr>
      <w:r>
        <w:rPr>
          <w:color w:val="auto"/>
          <w:highlight w:val="none"/>
        </w:rPr>
        <w:t> </w:t>
      </w:r>
    </w:p>
    <w:p w14:paraId="3483617D">
      <w:pPr>
        <w:pStyle w:val="33"/>
        <w:spacing w:beforeAutospacing="0" w:afterAutospacing="0" w:line="0" w:lineRule="atLeast"/>
        <w:ind w:firstLine="240"/>
        <w:jc w:val="center"/>
        <w:rPr>
          <w:color w:val="auto"/>
          <w:highlight w:val="none"/>
        </w:rPr>
      </w:pPr>
    </w:p>
    <w:p w14:paraId="06B3AEAE">
      <w:pPr>
        <w:pStyle w:val="33"/>
        <w:spacing w:beforeAutospacing="0" w:afterAutospacing="0" w:line="0" w:lineRule="atLeast"/>
        <w:ind w:firstLine="240"/>
        <w:jc w:val="center"/>
        <w:rPr>
          <w:color w:val="auto"/>
          <w:highlight w:val="none"/>
        </w:rPr>
      </w:pPr>
    </w:p>
    <w:p w14:paraId="05C1C546">
      <w:pPr>
        <w:pStyle w:val="33"/>
        <w:spacing w:beforeAutospacing="0" w:afterAutospacing="0" w:line="0" w:lineRule="atLeast"/>
        <w:ind w:firstLine="240"/>
        <w:jc w:val="center"/>
        <w:rPr>
          <w:color w:val="auto"/>
          <w:highlight w:val="none"/>
        </w:rPr>
      </w:pPr>
    </w:p>
    <w:p w14:paraId="3D2272C9">
      <w:pPr>
        <w:pStyle w:val="33"/>
        <w:spacing w:beforeAutospacing="0" w:afterAutospacing="0" w:line="0" w:lineRule="atLeast"/>
        <w:ind w:firstLine="240"/>
        <w:jc w:val="center"/>
        <w:rPr>
          <w:color w:val="auto"/>
          <w:highlight w:val="none"/>
        </w:rPr>
      </w:pPr>
      <w:r>
        <w:rPr>
          <w:color w:val="auto"/>
          <w:highlight w:val="none"/>
        </w:rPr>
        <w:t> </w:t>
      </w:r>
    </w:p>
    <w:p w14:paraId="7DE54FCF">
      <w:pPr>
        <w:pStyle w:val="33"/>
        <w:spacing w:beforeAutospacing="0" w:afterAutospacing="0" w:line="0" w:lineRule="atLeast"/>
        <w:ind w:firstLine="240"/>
        <w:jc w:val="center"/>
        <w:rPr>
          <w:color w:val="auto"/>
          <w:highlight w:val="none"/>
        </w:rPr>
      </w:pPr>
    </w:p>
    <w:p w14:paraId="035F4040">
      <w:pPr>
        <w:pStyle w:val="33"/>
        <w:spacing w:beforeAutospacing="0" w:afterAutospacing="0" w:line="0" w:lineRule="atLeast"/>
        <w:ind w:firstLine="240"/>
        <w:jc w:val="center"/>
        <w:rPr>
          <w:color w:val="auto"/>
          <w:highlight w:val="none"/>
        </w:rPr>
      </w:pPr>
    </w:p>
    <w:p w14:paraId="6A1D363E">
      <w:pPr>
        <w:pStyle w:val="33"/>
        <w:spacing w:beforeAutospacing="0" w:afterAutospacing="0" w:line="0" w:lineRule="atLeast"/>
        <w:ind w:firstLine="240"/>
        <w:jc w:val="center"/>
        <w:rPr>
          <w:color w:val="auto"/>
          <w:highlight w:val="none"/>
        </w:rPr>
      </w:pPr>
    </w:p>
    <w:p w14:paraId="701E7E14">
      <w:pPr>
        <w:pStyle w:val="33"/>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rPr>
        <w:t>九、中小企业声明函（服务）（分包号：**）</w:t>
      </w:r>
    </w:p>
    <w:p w14:paraId="4973DC06">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rPr>
        <w:t>的</w:t>
      </w:r>
      <w:r>
        <w:rPr>
          <w:rFonts w:hint="eastAsia"/>
          <w:color w:val="auto"/>
          <w:sz w:val="24"/>
          <w:highlight w:val="none"/>
          <w:u w:val="single"/>
        </w:rPr>
        <w:t>江苏省盐城中学拔尖创新人才培养课程项目</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67063ABE">
      <w:pPr>
        <w:numPr>
          <w:ilvl w:val="0"/>
          <w:numId w:val="1"/>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（谈判文件中明确的所属行业）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6DB0CDA8">
      <w:pPr>
        <w:numPr>
          <w:ilvl w:val="0"/>
          <w:numId w:val="1"/>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（谈判文件中明确的所属行业）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209C6C6C">
      <w:pPr>
        <w:spacing w:line="500" w:lineRule="exact"/>
        <w:ind w:firstLine="480"/>
        <w:rPr>
          <w:color w:val="auto"/>
          <w:sz w:val="24"/>
          <w:highlight w:val="none"/>
        </w:rPr>
      </w:pPr>
      <w:r>
        <w:rPr>
          <w:rFonts w:hint="eastAsia"/>
          <w:color w:val="auto"/>
          <w:sz w:val="24"/>
          <w:highlight w:val="none"/>
        </w:rPr>
        <w:t>……</w:t>
      </w:r>
    </w:p>
    <w:p w14:paraId="5B43DB11">
      <w:pPr>
        <w:spacing w:line="500" w:lineRule="exact"/>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4A371F5D">
      <w:pPr>
        <w:spacing w:line="500" w:lineRule="exact"/>
        <w:ind w:firstLine="480"/>
        <w:rPr>
          <w:color w:val="auto"/>
          <w:sz w:val="24"/>
          <w:highlight w:val="none"/>
        </w:rPr>
      </w:pPr>
      <w:r>
        <w:rPr>
          <w:rFonts w:hint="eastAsia"/>
          <w:color w:val="auto"/>
          <w:sz w:val="24"/>
          <w:highlight w:val="none"/>
        </w:rPr>
        <w:t>本企业对上述声明内容的真实性负责。如有虚假，将依法承担相应责任。</w:t>
      </w:r>
    </w:p>
    <w:p w14:paraId="0B8D685D">
      <w:pPr>
        <w:pStyle w:val="33"/>
        <w:spacing w:beforeAutospacing="0" w:afterAutospacing="0" w:line="0" w:lineRule="atLeast"/>
        <w:ind w:right="720"/>
        <w:jc w:val="both"/>
        <w:rPr>
          <w:color w:val="auto"/>
          <w:highlight w:val="none"/>
        </w:rPr>
      </w:pPr>
      <w:r>
        <w:rPr>
          <w:color w:val="auto"/>
          <w:highlight w:val="none"/>
        </w:rPr>
        <w:t> </w:t>
      </w:r>
    </w:p>
    <w:p w14:paraId="6A84996F">
      <w:pPr>
        <w:pStyle w:val="33"/>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34400E39">
      <w:pPr>
        <w:pStyle w:val="33"/>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CA5098D">
      <w:pPr>
        <w:pStyle w:val="33"/>
        <w:spacing w:beforeAutospacing="0" w:afterAutospacing="0" w:line="0" w:lineRule="atLeast"/>
        <w:ind w:firstLine="240"/>
        <w:jc w:val="both"/>
        <w:rPr>
          <w:color w:val="auto"/>
          <w:highlight w:val="none"/>
        </w:rPr>
      </w:pPr>
      <w:r>
        <w:rPr>
          <w:color w:val="auto"/>
          <w:highlight w:val="none"/>
        </w:rPr>
        <w:t> </w:t>
      </w:r>
    </w:p>
    <w:p w14:paraId="73BE7B80">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111CFD53">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23E88FD0">
      <w:pPr>
        <w:pStyle w:val="3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十、残疾人福利性单位声明函（分包号：**）</w:t>
      </w:r>
    </w:p>
    <w:p w14:paraId="0DAE18B1">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Times New Roman" w:hAnsi="Times New Roman"/>
          <w:color w:val="auto"/>
          <w:highlight w:val="none"/>
        </w:rPr>
        <w:t>谈判</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项目（分包号：**）采购活动提供本单位制造的货物，或者提供其他残疾人福利性单位制造的货物（不包括使用非残疾人福利性单位注册商标的货物）。</w:t>
      </w:r>
    </w:p>
    <w:p w14:paraId="495BEFD9">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5C866727">
      <w:pPr>
        <w:pStyle w:val="33"/>
        <w:spacing w:beforeAutospacing="0" w:afterAutospacing="0" w:line="0" w:lineRule="atLeast"/>
        <w:ind w:firstLine="480"/>
        <w:jc w:val="both"/>
        <w:rPr>
          <w:color w:val="auto"/>
          <w:highlight w:val="none"/>
        </w:rPr>
      </w:pPr>
      <w:r>
        <w:rPr>
          <w:color w:val="auto"/>
          <w:highlight w:val="none"/>
        </w:rPr>
        <w:t> </w:t>
      </w:r>
    </w:p>
    <w:p w14:paraId="035EB244">
      <w:pPr>
        <w:pStyle w:val="3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备注：1、供应商如不提供此声明函，价格将不做相应扣除（如项目全面面向中小企业，则资格审查不通过）。2、成交供应商为残疾人福利单位的，此声明函将随成交结果同时公告，接受社会监督</w:t>
      </w:r>
    </w:p>
    <w:p w14:paraId="6BD74855">
      <w:pPr>
        <w:pStyle w:val="33"/>
        <w:spacing w:beforeAutospacing="0" w:afterAutospacing="0" w:line="0" w:lineRule="atLeast"/>
        <w:ind w:firstLine="624"/>
        <w:jc w:val="both"/>
        <w:rPr>
          <w:color w:val="auto"/>
          <w:highlight w:val="none"/>
        </w:rPr>
      </w:pPr>
      <w:r>
        <w:rPr>
          <w:color w:val="auto"/>
          <w:highlight w:val="none"/>
        </w:rPr>
        <w:t> </w:t>
      </w:r>
    </w:p>
    <w:p w14:paraId="11B804A8">
      <w:pPr>
        <w:pStyle w:val="33"/>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699C755C">
      <w:pPr>
        <w:pStyle w:val="3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158EB73A">
      <w:pPr>
        <w:pStyle w:val="33"/>
        <w:spacing w:beforeAutospacing="0" w:afterAutospacing="0" w:line="0" w:lineRule="atLeast"/>
        <w:jc w:val="center"/>
        <w:rPr>
          <w:color w:val="auto"/>
          <w:highlight w:val="none"/>
        </w:rPr>
      </w:pPr>
      <w:r>
        <w:rPr>
          <w:color w:val="auto"/>
          <w:highlight w:val="none"/>
        </w:rPr>
        <w:t> </w:t>
      </w:r>
    </w:p>
    <w:p w14:paraId="510908B5">
      <w:pPr>
        <w:pStyle w:val="33"/>
        <w:spacing w:beforeAutospacing="0" w:afterAutospacing="0" w:line="0" w:lineRule="atLeast"/>
        <w:jc w:val="center"/>
        <w:rPr>
          <w:color w:val="auto"/>
          <w:highlight w:val="none"/>
        </w:rPr>
      </w:pPr>
      <w:r>
        <w:rPr>
          <w:color w:val="auto"/>
          <w:highlight w:val="none"/>
        </w:rPr>
        <w:t> </w:t>
      </w:r>
    </w:p>
    <w:p w14:paraId="657C5CB0">
      <w:pPr>
        <w:pStyle w:val="33"/>
        <w:spacing w:beforeAutospacing="0" w:afterAutospacing="0" w:line="0" w:lineRule="atLeast"/>
        <w:jc w:val="center"/>
        <w:rPr>
          <w:color w:val="auto"/>
          <w:highlight w:val="none"/>
        </w:rPr>
      </w:pPr>
      <w:r>
        <w:rPr>
          <w:color w:val="auto"/>
          <w:highlight w:val="none"/>
        </w:rPr>
        <w:t>  </w:t>
      </w:r>
    </w:p>
    <w:p w14:paraId="35567492">
      <w:pPr>
        <w:pStyle w:val="33"/>
        <w:spacing w:beforeAutospacing="0" w:afterAutospacing="0" w:line="0" w:lineRule="atLeast"/>
        <w:jc w:val="center"/>
        <w:rPr>
          <w:color w:val="auto"/>
          <w:highlight w:val="none"/>
        </w:rPr>
      </w:pPr>
      <w:r>
        <w:rPr>
          <w:color w:val="auto"/>
          <w:highlight w:val="none"/>
        </w:rPr>
        <w:t> </w:t>
      </w:r>
    </w:p>
    <w:p w14:paraId="07501E42">
      <w:pPr>
        <w:pStyle w:val="33"/>
        <w:spacing w:beforeAutospacing="0" w:afterAutospacing="0" w:line="0" w:lineRule="atLeast"/>
        <w:jc w:val="center"/>
        <w:rPr>
          <w:color w:val="auto"/>
          <w:highlight w:val="none"/>
        </w:rPr>
      </w:pPr>
      <w:r>
        <w:rPr>
          <w:color w:val="auto"/>
          <w:highlight w:val="none"/>
        </w:rPr>
        <w:t> </w:t>
      </w:r>
    </w:p>
    <w:p w14:paraId="64424D70">
      <w:pPr>
        <w:pStyle w:val="33"/>
        <w:spacing w:beforeAutospacing="0" w:afterAutospacing="0" w:line="0" w:lineRule="atLeast"/>
        <w:jc w:val="center"/>
        <w:rPr>
          <w:color w:val="auto"/>
          <w:highlight w:val="none"/>
        </w:rPr>
      </w:pPr>
    </w:p>
    <w:p w14:paraId="1DBA4C7B">
      <w:pPr>
        <w:pStyle w:val="33"/>
        <w:spacing w:beforeAutospacing="0" w:afterAutospacing="0" w:line="0" w:lineRule="atLeast"/>
        <w:jc w:val="center"/>
        <w:rPr>
          <w:color w:val="auto"/>
          <w:highlight w:val="none"/>
        </w:rPr>
      </w:pPr>
      <w:r>
        <w:rPr>
          <w:color w:val="auto"/>
          <w:highlight w:val="none"/>
        </w:rPr>
        <w:t> </w:t>
      </w:r>
    </w:p>
    <w:p w14:paraId="17AECE9A">
      <w:pPr>
        <w:pStyle w:val="33"/>
        <w:spacing w:beforeAutospacing="0" w:afterAutospacing="0" w:line="0" w:lineRule="atLeast"/>
        <w:jc w:val="center"/>
        <w:rPr>
          <w:color w:val="auto"/>
          <w:highlight w:val="none"/>
        </w:rPr>
      </w:pPr>
      <w:r>
        <w:rPr>
          <w:color w:val="auto"/>
          <w:highlight w:val="none"/>
        </w:rPr>
        <w:t> </w:t>
      </w:r>
    </w:p>
    <w:p w14:paraId="39DD3FD8">
      <w:pPr>
        <w:pStyle w:val="33"/>
        <w:spacing w:beforeAutospacing="0" w:afterAutospacing="0" w:line="0" w:lineRule="atLeast"/>
        <w:jc w:val="center"/>
        <w:rPr>
          <w:color w:val="auto"/>
          <w:highlight w:val="none"/>
        </w:rPr>
      </w:pPr>
      <w:r>
        <w:rPr>
          <w:color w:val="auto"/>
          <w:highlight w:val="none"/>
        </w:rPr>
        <w:t> </w:t>
      </w:r>
    </w:p>
    <w:p w14:paraId="1DFBBD66">
      <w:pPr>
        <w:pStyle w:val="33"/>
        <w:spacing w:beforeAutospacing="0" w:afterAutospacing="0" w:line="0" w:lineRule="atLeast"/>
        <w:jc w:val="center"/>
        <w:rPr>
          <w:color w:val="auto"/>
          <w:highlight w:val="none"/>
        </w:rPr>
      </w:pPr>
      <w:r>
        <w:rPr>
          <w:color w:val="auto"/>
          <w:highlight w:val="none"/>
        </w:rPr>
        <w:t> </w:t>
      </w:r>
    </w:p>
    <w:p w14:paraId="155EA5B5">
      <w:pPr>
        <w:pStyle w:val="33"/>
        <w:spacing w:beforeAutospacing="0" w:afterAutospacing="0" w:line="0" w:lineRule="atLeast"/>
        <w:jc w:val="center"/>
        <w:rPr>
          <w:color w:val="auto"/>
          <w:highlight w:val="none"/>
        </w:rPr>
      </w:pPr>
      <w:r>
        <w:rPr>
          <w:color w:val="auto"/>
          <w:highlight w:val="none"/>
        </w:rPr>
        <w:t> </w:t>
      </w:r>
    </w:p>
    <w:p w14:paraId="2AD14A22">
      <w:pPr>
        <w:pStyle w:val="33"/>
        <w:spacing w:beforeAutospacing="0" w:afterAutospacing="0"/>
        <w:jc w:val="center"/>
        <w:rPr>
          <w:rFonts w:hint="eastAsia" w:ascii="黑体" w:hAnsi="宋体" w:eastAsia="黑体" w:cs="黑体"/>
          <w:b/>
          <w:color w:val="auto"/>
          <w:sz w:val="32"/>
          <w:szCs w:val="32"/>
          <w:highlight w:val="none"/>
        </w:rPr>
        <w:sectPr>
          <w:footerReference r:id="rId3" w:type="default"/>
          <w:pgSz w:w="11906" w:h="16838"/>
          <w:pgMar w:top="1134" w:right="1247" w:bottom="1134" w:left="1247" w:header="851" w:footer="992" w:gutter="0"/>
          <w:cols w:space="425" w:num="1"/>
          <w:docGrid w:linePitch="360" w:charSpace="0"/>
        </w:sectPr>
      </w:pPr>
    </w:p>
    <w:p w14:paraId="4E1FFB1F">
      <w:pPr>
        <w:pStyle w:val="33"/>
        <w:spacing w:beforeAutospacing="0" w:afterAutospacing="0"/>
        <w:jc w:val="center"/>
        <w:rPr>
          <w:color w:val="auto"/>
          <w:highlight w:val="none"/>
        </w:rPr>
      </w:pPr>
      <w:r>
        <w:rPr>
          <w:rFonts w:hint="eastAsia" w:ascii="黑体" w:hAnsi="宋体" w:eastAsia="黑体" w:cs="黑体"/>
          <w:b/>
          <w:color w:val="auto"/>
          <w:sz w:val="32"/>
          <w:szCs w:val="32"/>
          <w:highlight w:val="none"/>
        </w:rPr>
        <w:t>十一、分项报价表（</w:t>
      </w:r>
      <w:r>
        <w:rPr>
          <w:rFonts w:hint="eastAsia" w:ascii="黑体" w:hAnsi="宋体" w:eastAsia="黑体" w:cs="黑体"/>
          <w:b/>
          <w:color w:val="auto"/>
          <w:sz w:val="32"/>
          <w:szCs w:val="32"/>
          <w:highlight w:val="none"/>
          <w:lang w:eastAsia="zh-CN"/>
        </w:rPr>
        <w:t>服务</w:t>
      </w:r>
      <w:r>
        <w:rPr>
          <w:rFonts w:hint="eastAsia" w:ascii="黑体" w:hAnsi="宋体" w:eastAsia="黑体" w:cs="黑体"/>
          <w:b/>
          <w:color w:val="auto"/>
          <w:sz w:val="32"/>
          <w:szCs w:val="32"/>
          <w:highlight w:val="none"/>
        </w:rPr>
        <w:t>类）</w:t>
      </w:r>
    </w:p>
    <w:p w14:paraId="217BDD79">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color w:val="auto"/>
          <w:sz w:val="24"/>
          <w:highlight w:val="none"/>
        </w:rPr>
        <w:t> </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01"/>
        <w:gridCol w:w="415"/>
        <w:gridCol w:w="1397"/>
        <w:gridCol w:w="2124"/>
        <w:gridCol w:w="1596"/>
        <w:gridCol w:w="1988"/>
        <w:gridCol w:w="1651"/>
      </w:tblGrid>
      <w:tr w14:paraId="78FCA0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0" w:hRule="atLeast"/>
        </w:trPr>
        <w:tc>
          <w:tcPr>
            <w:tcW w:w="255" w:type="dxa"/>
            <w:tcBorders>
              <w:top w:val="single" w:color="000000" w:sz="8" w:space="0"/>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052F3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序号</w:t>
            </w:r>
          </w:p>
        </w:tc>
        <w:tc>
          <w:tcPr>
            <w:tcW w:w="1829" w:type="dxa"/>
            <w:gridSpan w:val="2"/>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3A801BF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费用名称</w:t>
            </w:r>
          </w:p>
        </w:tc>
        <w:tc>
          <w:tcPr>
            <w:tcW w:w="1736"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0932DA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费用构成</w:t>
            </w:r>
          </w:p>
        </w:tc>
        <w:tc>
          <w:tcPr>
            <w:tcW w:w="1357"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4E0431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单价</w:t>
            </w:r>
          </w:p>
          <w:p w14:paraId="024D6D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2"/>
                <w:highlight w:val="none"/>
              </w:rPr>
              <w:t>（元/人）</w:t>
            </w:r>
          </w:p>
        </w:tc>
        <w:tc>
          <w:tcPr>
            <w:tcW w:w="1558"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39098F6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数量</w:t>
            </w:r>
          </w:p>
          <w:p w14:paraId="21CF6E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（人）</w:t>
            </w:r>
          </w:p>
        </w:tc>
        <w:tc>
          <w:tcPr>
            <w:tcW w:w="1156"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200F593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有关说明</w:t>
            </w:r>
          </w:p>
        </w:tc>
      </w:tr>
      <w:tr w14:paraId="68945B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trPr>
        <w:tc>
          <w:tcPr>
            <w:tcW w:w="255"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6E0101C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1</w:t>
            </w:r>
          </w:p>
        </w:tc>
        <w:tc>
          <w:tcPr>
            <w:tcW w:w="1829" w:type="dxa"/>
            <w:gridSpan w:val="2"/>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C087A4F">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hint="eastAsia"/>
                <w:color w:val="auto"/>
                <w:highlight w:val="none"/>
              </w:rPr>
              <w:t>江苏省盐城中学拔尖创新人才培养课程项目</w:t>
            </w:r>
          </w:p>
        </w:tc>
        <w:tc>
          <w:tcPr>
            <w:tcW w:w="173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92CBE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课时考勤费+课时考绩费</w:t>
            </w:r>
          </w:p>
        </w:tc>
        <w:tc>
          <w:tcPr>
            <w:tcW w:w="135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CFC45B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2"/>
                <w:highlight w:val="none"/>
              </w:rPr>
              <w:t> </w:t>
            </w:r>
          </w:p>
        </w:tc>
        <w:tc>
          <w:tcPr>
            <w:tcW w:w="1558"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55EC4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eastAsiaTheme="minorEastAsia"/>
                <w:color w:val="auto"/>
                <w:highlight w:val="none"/>
                <w:lang w:val="en-US" w:eastAsia="zh-CN"/>
              </w:rPr>
            </w:pPr>
            <w:r>
              <w:rPr>
                <w:rFonts w:hint="eastAsia" w:ascii="宋体" w:hAnsi="宋体" w:eastAsia="宋体" w:cs="宋体"/>
                <w:color w:val="auto"/>
                <w:sz w:val="22"/>
                <w:highlight w:val="none"/>
                <w:lang w:val="en-US" w:eastAsia="zh-CN"/>
              </w:rPr>
              <w:t>24</w:t>
            </w:r>
          </w:p>
        </w:tc>
        <w:tc>
          <w:tcPr>
            <w:tcW w:w="115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4A98BDA">
            <w:pPr>
              <w:pBdr>
                <w:top w:val="none" w:color="000000" w:sz="0" w:space="0"/>
                <w:left w:val="none" w:color="000000" w:sz="0" w:space="0"/>
                <w:bottom w:val="none" w:color="000000" w:sz="0" w:space="0"/>
                <w:right w:val="none" w:color="000000" w:sz="0" w:space="0"/>
              </w:pBdr>
              <w:spacing w:before="0" w:after="0" w:line="240" w:lineRule="auto"/>
              <w:ind w:left="0" w:right="0" w:firstLine="472"/>
              <w:jc w:val="both"/>
              <w:rPr>
                <w:color w:val="auto"/>
                <w:highlight w:val="none"/>
              </w:rPr>
            </w:pPr>
            <w:r>
              <w:rPr>
                <w:rFonts w:ascii="宋体" w:hAnsi="宋体" w:eastAsia="宋体" w:cs="宋体"/>
                <w:color w:val="auto"/>
                <w:sz w:val="24"/>
                <w:highlight w:val="none"/>
              </w:rPr>
              <w:t> </w:t>
            </w:r>
          </w:p>
        </w:tc>
      </w:tr>
      <w:tr w14:paraId="43C14D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8" w:hRule="atLeast"/>
        </w:trPr>
        <w:tc>
          <w:tcPr>
            <w:tcW w:w="255"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7DBD88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829" w:type="dxa"/>
            <w:gridSpan w:val="2"/>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637FD3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4"/>
                <w:highlight w:val="none"/>
              </w:rPr>
              <w:t> </w:t>
            </w:r>
          </w:p>
        </w:tc>
        <w:tc>
          <w:tcPr>
            <w:tcW w:w="173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6985FD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35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6F8C8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558"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79DE56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15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7364EE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4"/>
                <w:highlight w:val="none"/>
              </w:rPr>
              <w:t> </w:t>
            </w:r>
          </w:p>
        </w:tc>
      </w:tr>
      <w:tr w14:paraId="382BDB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4" w:hRule="atLeast"/>
        </w:trPr>
        <w:tc>
          <w:tcPr>
            <w:tcW w:w="255"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6E44C8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829" w:type="dxa"/>
            <w:gridSpan w:val="2"/>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C6041D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73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4B3FEF4">
            <w:pPr>
              <w:pBdr>
                <w:top w:val="none" w:color="000000" w:sz="0" w:space="0"/>
                <w:left w:val="none" w:color="000000" w:sz="0" w:space="0"/>
                <w:bottom w:val="none" w:color="000000" w:sz="0" w:space="0"/>
                <w:right w:val="none" w:color="000000" w:sz="0" w:space="0"/>
              </w:pBdr>
              <w:spacing w:before="0" w:after="0" w:line="240" w:lineRule="auto"/>
              <w:ind w:left="0" w:right="0" w:firstLine="472"/>
              <w:jc w:val="both"/>
              <w:rPr>
                <w:color w:val="auto"/>
                <w:highlight w:val="none"/>
              </w:rPr>
            </w:pPr>
            <w:r>
              <w:rPr>
                <w:rFonts w:ascii="宋体" w:hAnsi="宋体" w:eastAsia="宋体" w:cs="宋体"/>
                <w:color w:val="auto"/>
                <w:sz w:val="24"/>
                <w:highlight w:val="none"/>
              </w:rPr>
              <w:t> </w:t>
            </w:r>
          </w:p>
        </w:tc>
        <w:tc>
          <w:tcPr>
            <w:tcW w:w="135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4A7F31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558"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096563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15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2475840">
            <w:pPr>
              <w:pBdr>
                <w:top w:val="none" w:color="000000" w:sz="0" w:space="0"/>
                <w:left w:val="none" w:color="000000" w:sz="0" w:space="0"/>
                <w:bottom w:val="none" w:color="000000" w:sz="0" w:space="0"/>
                <w:right w:val="none" w:color="000000" w:sz="0" w:space="0"/>
              </w:pBdr>
              <w:spacing w:before="0" w:after="0" w:line="240" w:lineRule="auto"/>
              <w:ind w:left="0" w:right="0" w:firstLine="472"/>
              <w:jc w:val="both"/>
              <w:rPr>
                <w:color w:val="auto"/>
                <w:highlight w:val="none"/>
              </w:rPr>
            </w:pPr>
            <w:r>
              <w:rPr>
                <w:rFonts w:ascii="宋体" w:hAnsi="宋体" w:eastAsia="宋体" w:cs="宋体"/>
                <w:color w:val="auto"/>
                <w:sz w:val="24"/>
                <w:highlight w:val="none"/>
              </w:rPr>
              <w:t> </w:t>
            </w:r>
          </w:p>
        </w:tc>
      </w:tr>
      <w:tr w14:paraId="429C6F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20" w:hRule="atLeast"/>
        </w:trPr>
        <w:tc>
          <w:tcPr>
            <w:tcW w:w="255"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2E6C4C6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829" w:type="dxa"/>
            <w:gridSpan w:val="2"/>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9BDB57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4"/>
                <w:highlight w:val="none"/>
              </w:rPr>
              <w:t> </w:t>
            </w:r>
          </w:p>
        </w:tc>
        <w:tc>
          <w:tcPr>
            <w:tcW w:w="173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5A6CCD5">
            <w:pPr>
              <w:pBdr>
                <w:top w:val="none" w:color="000000" w:sz="0" w:space="0"/>
                <w:left w:val="none" w:color="000000" w:sz="0" w:space="0"/>
                <w:bottom w:val="none" w:color="000000" w:sz="0" w:space="0"/>
                <w:right w:val="none" w:color="000000" w:sz="0" w:space="0"/>
              </w:pBdr>
              <w:spacing w:before="0" w:after="0" w:line="240" w:lineRule="auto"/>
              <w:ind w:left="0" w:right="0" w:firstLine="472"/>
              <w:jc w:val="both"/>
              <w:rPr>
                <w:color w:val="auto"/>
                <w:highlight w:val="none"/>
              </w:rPr>
            </w:pPr>
            <w:r>
              <w:rPr>
                <w:rFonts w:ascii="宋体" w:hAnsi="宋体" w:eastAsia="宋体" w:cs="宋体"/>
                <w:color w:val="auto"/>
                <w:sz w:val="24"/>
                <w:highlight w:val="none"/>
              </w:rPr>
              <w:t> </w:t>
            </w:r>
          </w:p>
        </w:tc>
        <w:tc>
          <w:tcPr>
            <w:tcW w:w="135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618467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558"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F17305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 </w:t>
            </w:r>
          </w:p>
        </w:tc>
        <w:tc>
          <w:tcPr>
            <w:tcW w:w="1156"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4778603">
            <w:pPr>
              <w:pBdr>
                <w:top w:val="none" w:color="000000" w:sz="0" w:space="0"/>
                <w:left w:val="none" w:color="000000" w:sz="0" w:space="0"/>
                <w:bottom w:val="none" w:color="000000" w:sz="0" w:space="0"/>
                <w:right w:val="none" w:color="000000" w:sz="0" w:space="0"/>
              </w:pBdr>
              <w:spacing w:before="0" w:after="0" w:line="240" w:lineRule="auto"/>
              <w:ind w:left="0" w:right="0" w:firstLine="472"/>
              <w:jc w:val="both"/>
              <w:rPr>
                <w:color w:val="auto"/>
                <w:highlight w:val="none"/>
              </w:rPr>
            </w:pPr>
            <w:r>
              <w:rPr>
                <w:rFonts w:ascii="宋体" w:hAnsi="宋体" w:eastAsia="宋体" w:cs="宋体"/>
                <w:color w:val="auto"/>
                <w:sz w:val="24"/>
                <w:highlight w:val="none"/>
              </w:rPr>
              <w:t> </w:t>
            </w:r>
          </w:p>
        </w:tc>
      </w:tr>
      <w:tr w14:paraId="0927D6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0" w:hRule="atLeast"/>
        </w:trPr>
        <w:tc>
          <w:tcPr>
            <w:tcW w:w="685" w:type="dxa"/>
            <w:gridSpan w:val="2"/>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347ADDA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b/>
                <w:color w:val="auto"/>
                <w:sz w:val="24"/>
                <w:highlight w:val="none"/>
              </w:rPr>
              <w:t>投标报价总计</w:t>
            </w:r>
          </w:p>
        </w:tc>
        <w:tc>
          <w:tcPr>
            <w:tcW w:w="7206" w:type="dxa"/>
            <w:gridSpan w:val="5"/>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80DA52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b/>
                <w:color w:val="auto"/>
                <w:sz w:val="24"/>
                <w:highlight w:val="none"/>
              </w:rPr>
              <w:t>￥：</w:t>
            </w:r>
            <w:r>
              <w:rPr>
                <w:rFonts w:ascii="宋体" w:hAnsi="宋体" w:eastAsia="宋体" w:cs="宋体"/>
                <w:b/>
                <w:color w:val="auto"/>
                <w:sz w:val="24"/>
                <w:highlight w:val="none"/>
                <w:u w:val="single"/>
              </w:rPr>
              <w:t>                     </w:t>
            </w:r>
            <w:r>
              <w:rPr>
                <w:rFonts w:ascii="宋体" w:hAnsi="宋体" w:eastAsia="宋体" w:cs="宋体"/>
                <w:b/>
                <w:color w:val="auto"/>
                <w:sz w:val="24"/>
                <w:highlight w:val="none"/>
              </w:rPr>
              <w:t> 元</w:t>
            </w:r>
            <w:r>
              <w:rPr>
                <w:rFonts w:ascii="宋体" w:hAnsi="宋体" w:eastAsia="宋体" w:cs="宋体"/>
                <w:b/>
                <w:color w:val="auto"/>
                <w:sz w:val="24"/>
                <w:highlight w:val="none"/>
                <w:u w:val="single"/>
              </w:rPr>
              <w:t>           </w:t>
            </w:r>
          </w:p>
          <w:p w14:paraId="6D7A586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b/>
                <w:color w:val="auto"/>
                <w:sz w:val="24"/>
                <w:highlight w:val="none"/>
              </w:rPr>
              <w:t>大写（人民币）：</w:t>
            </w:r>
            <w:r>
              <w:rPr>
                <w:rFonts w:ascii="宋体" w:hAnsi="宋体" w:eastAsia="宋体" w:cs="宋体"/>
                <w:b/>
                <w:color w:val="auto"/>
                <w:sz w:val="24"/>
                <w:highlight w:val="none"/>
                <w:u w:val="single"/>
              </w:rPr>
              <w:t>                  </w:t>
            </w:r>
            <w:r>
              <w:rPr>
                <w:rFonts w:ascii="宋体" w:hAnsi="宋体" w:eastAsia="宋体" w:cs="宋体"/>
                <w:b/>
                <w:color w:val="auto"/>
                <w:sz w:val="24"/>
                <w:highlight w:val="none"/>
              </w:rPr>
              <w:t> </w:t>
            </w:r>
          </w:p>
        </w:tc>
      </w:tr>
    </w:tbl>
    <w:p w14:paraId="0D720AD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color w:val="auto"/>
          <w:sz w:val="24"/>
          <w:highlight w:val="none"/>
        </w:rPr>
        <w:t> </w:t>
      </w:r>
    </w:p>
    <w:p w14:paraId="1B9E5A9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2"/>
          <w:highlight w:val="none"/>
        </w:rPr>
        <w:t>注：以上表格中各项可进一步细分，行数不够可自加，应包括为完成本项目各项服务可能发生的全部费用及</w:t>
      </w:r>
      <w:r>
        <w:rPr>
          <w:rFonts w:hint="eastAsia" w:ascii="宋体" w:hAnsi="宋体" w:eastAsia="宋体" w:cs="宋体"/>
          <w:color w:val="auto"/>
          <w:sz w:val="22"/>
          <w:highlight w:val="none"/>
          <w:lang w:eastAsia="zh-CN"/>
        </w:rPr>
        <w:t>供应商</w:t>
      </w:r>
      <w:r>
        <w:rPr>
          <w:rFonts w:ascii="宋体" w:hAnsi="宋体" w:eastAsia="宋体" w:cs="宋体"/>
          <w:color w:val="auto"/>
          <w:sz w:val="22"/>
          <w:highlight w:val="none"/>
        </w:rPr>
        <w:t>的利润和应交纳的税金等（包括人员工资、《劳动合同法》及相关法律法规规定的各种社会保险费、工具、办公费等其他费用）详细列出。</w:t>
      </w:r>
      <w:r>
        <w:rPr>
          <w:rFonts w:hint="eastAsia" w:ascii="宋体" w:hAnsi="宋体" w:eastAsia="宋体" w:cs="宋体"/>
          <w:color w:val="auto"/>
          <w:sz w:val="22"/>
          <w:highlight w:val="none"/>
          <w:lang w:eastAsia="zh-CN"/>
        </w:rPr>
        <w:t>供应商</w:t>
      </w:r>
      <w:r>
        <w:rPr>
          <w:rFonts w:ascii="宋体" w:hAnsi="宋体" w:eastAsia="宋体" w:cs="宋体"/>
          <w:color w:val="auto"/>
          <w:sz w:val="22"/>
          <w:highlight w:val="none"/>
        </w:rPr>
        <w:t>对合同内容的费用、质量、文明服务等实行全面承包等所涉及的一切费用。</w:t>
      </w:r>
    </w:p>
    <w:p w14:paraId="10704C1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auto"/>
          <w:highlight w:val="none"/>
        </w:rPr>
      </w:pPr>
      <w:r>
        <w:rPr>
          <w:rFonts w:ascii="宋体" w:hAnsi="宋体" w:eastAsia="宋体" w:cs="宋体"/>
          <w:color w:val="auto"/>
          <w:sz w:val="24"/>
          <w:highlight w:val="none"/>
        </w:rPr>
        <w:t> </w:t>
      </w:r>
    </w:p>
    <w:p w14:paraId="3FE58A54">
      <w:pPr>
        <w:pBdr>
          <w:top w:val="none" w:color="000000" w:sz="0" w:space="0"/>
          <w:left w:val="none" w:color="000000" w:sz="0" w:space="0"/>
          <w:bottom w:val="none" w:color="000000" w:sz="0" w:space="0"/>
          <w:right w:val="none" w:color="000000" w:sz="0" w:space="0"/>
        </w:pBdr>
        <w:spacing w:before="0" w:after="0"/>
        <w:ind w:left="0" w:right="0" w:firstLine="420"/>
        <w:jc w:val="both"/>
        <w:rPr>
          <w:color w:val="auto"/>
          <w:highlight w:val="none"/>
        </w:rPr>
      </w:pPr>
      <w:r>
        <w:rPr>
          <w:rFonts w:ascii="宋体" w:hAnsi="宋体" w:eastAsia="宋体" w:cs="宋体"/>
          <w:color w:val="auto"/>
          <w:sz w:val="24"/>
          <w:highlight w:val="none"/>
        </w:rPr>
        <w:t> </w:t>
      </w:r>
    </w:p>
    <w:p w14:paraId="6B6DF57C">
      <w:pPr>
        <w:pBdr>
          <w:top w:val="none" w:color="000000" w:sz="0" w:space="0"/>
          <w:left w:val="none" w:color="000000" w:sz="0" w:space="0"/>
          <w:bottom w:val="none" w:color="000000" w:sz="0" w:space="0"/>
          <w:right w:val="none" w:color="000000" w:sz="0" w:space="0"/>
        </w:pBdr>
        <w:spacing w:before="0" w:after="0"/>
        <w:ind w:left="0" w:right="0" w:firstLine="200"/>
        <w:jc w:val="both"/>
        <w:rPr>
          <w:color w:val="auto"/>
          <w:highlight w:val="none"/>
        </w:rPr>
      </w:pPr>
      <w:r>
        <w:rPr>
          <w:rFonts w:ascii="宋体" w:hAnsi="宋体" w:eastAsia="宋体" w:cs="宋体"/>
          <w:color w:val="auto"/>
          <w:sz w:val="24"/>
          <w:highlight w:val="none"/>
        </w:rPr>
        <w:t> </w:t>
      </w:r>
    </w:p>
    <w:p w14:paraId="13BC0281">
      <w:pPr>
        <w:pBdr>
          <w:top w:val="none" w:color="000000" w:sz="0" w:space="0"/>
          <w:left w:val="none" w:color="000000" w:sz="0" w:space="0"/>
          <w:bottom w:val="none" w:color="000000" w:sz="0" w:space="0"/>
          <w:right w:val="none" w:color="000000" w:sz="0" w:space="0"/>
        </w:pBdr>
        <w:spacing w:before="0" w:after="0" w:line="85" w:lineRule="atLeast"/>
        <w:ind w:left="0" w:right="0" w:firstLine="0"/>
        <w:jc w:val="right"/>
        <w:rPr>
          <w:color w:val="auto"/>
          <w:highlight w:val="none"/>
        </w:rPr>
      </w:pP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名称：</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（盖单位章）</w:t>
      </w:r>
    </w:p>
    <w:p w14:paraId="7C0AE12A">
      <w:pPr>
        <w:pStyle w:val="33"/>
        <w:spacing w:beforeAutospacing="0" w:afterAutospacing="0"/>
        <w:jc w:val="both"/>
        <w:rPr>
          <w:color w:val="auto"/>
          <w:highlight w:val="none"/>
        </w:rPr>
      </w:pPr>
      <w:r>
        <w:rPr>
          <w:rFonts w:ascii="宋体" w:hAnsi="宋体" w:eastAsia="宋体" w:cs="宋体"/>
          <w:color w:val="auto"/>
          <w:sz w:val="24"/>
          <w:highlight w:val="none"/>
        </w:rPr>
        <w:t>                         法定代表人或授权委托人：</w:t>
      </w:r>
      <w:r>
        <w:rPr>
          <w:rFonts w:ascii="宋体" w:hAnsi="宋体" w:eastAsia="宋体" w:cs="宋体"/>
          <w:color w:val="auto"/>
          <w:sz w:val="24"/>
          <w:highlight w:val="none"/>
          <w:u w:val="single"/>
        </w:rPr>
        <w:t>    </w:t>
      </w:r>
      <w:r>
        <w:rPr>
          <w:rFonts w:ascii="宋体" w:hAnsi="宋体" w:eastAsia="宋体" w:cs="宋体"/>
          <w:color w:val="auto"/>
          <w:sz w:val="24"/>
          <w:highlight w:val="none"/>
        </w:rPr>
        <w:t>（签字或盖章）</w:t>
      </w:r>
      <w:r>
        <w:rPr>
          <w:color w:val="auto"/>
          <w:highlight w:val="none"/>
        </w:rPr>
        <w:t> </w:t>
      </w:r>
    </w:p>
    <w:p w14:paraId="135CAC57">
      <w:pPr>
        <w:pStyle w:val="33"/>
        <w:spacing w:beforeAutospacing="0" w:afterAutospacing="0"/>
        <w:jc w:val="both"/>
        <w:rPr>
          <w:color w:val="auto"/>
          <w:highlight w:val="none"/>
        </w:rPr>
      </w:pPr>
      <w:r>
        <w:rPr>
          <w:color w:val="auto"/>
          <w:highlight w:val="none"/>
        </w:rPr>
        <w:t> </w:t>
      </w:r>
    </w:p>
    <w:p w14:paraId="0EDD6405">
      <w:pPr>
        <w:pStyle w:val="33"/>
        <w:spacing w:beforeAutospacing="0" w:afterAutospacing="0"/>
        <w:jc w:val="both"/>
        <w:rPr>
          <w:color w:val="auto"/>
          <w:highlight w:val="none"/>
        </w:rPr>
      </w:pPr>
      <w:r>
        <w:rPr>
          <w:color w:val="auto"/>
          <w:highlight w:val="none"/>
        </w:rPr>
        <w:t> </w:t>
      </w:r>
    </w:p>
    <w:p w14:paraId="3E230B75">
      <w:pPr>
        <w:pStyle w:val="33"/>
        <w:spacing w:beforeAutospacing="0" w:afterAutospacing="0"/>
        <w:jc w:val="both"/>
        <w:rPr>
          <w:color w:val="auto"/>
          <w:highlight w:val="none"/>
        </w:rPr>
      </w:pPr>
      <w:r>
        <w:rPr>
          <w:color w:val="auto"/>
          <w:highlight w:val="none"/>
        </w:rPr>
        <w:t> </w:t>
      </w:r>
    </w:p>
    <w:p w14:paraId="6B70A609">
      <w:pPr>
        <w:pStyle w:val="33"/>
        <w:spacing w:beforeAutospacing="0" w:afterAutospacing="0"/>
        <w:jc w:val="both"/>
        <w:rPr>
          <w:color w:val="auto"/>
          <w:highlight w:val="none"/>
        </w:rPr>
      </w:pPr>
      <w:r>
        <w:rPr>
          <w:color w:val="auto"/>
          <w:highlight w:val="none"/>
        </w:rPr>
        <w:t> </w:t>
      </w:r>
    </w:p>
    <w:p w14:paraId="24A3554D">
      <w:pPr>
        <w:pStyle w:val="33"/>
        <w:spacing w:beforeAutospacing="0" w:afterAutospacing="0"/>
        <w:jc w:val="both"/>
        <w:rPr>
          <w:color w:val="auto"/>
          <w:highlight w:val="none"/>
        </w:rPr>
      </w:pPr>
    </w:p>
    <w:p w14:paraId="68BDACED">
      <w:pPr>
        <w:pStyle w:val="33"/>
        <w:spacing w:beforeAutospacing="0" w:afterAutospacing="0"/>
        <w:jc w:val="both"/>
        <w:rPr>
          <w:color w:val="auto"/>
          <w:highlight w:val="none"/>
        </w:rPr>
      </w:pPr>
    </w:p>
    <w:p w14:paraId="21636792">
      <w:pPr>
        <w:pStyle w:val="33"/>
        <w:spacing w:beforeAutospacing="0" w:afterAutospacing="0"/>
        <w:jc w:val="both"/>
        <w:rPr>
          <w:color w:val="auto"/>
          <w:highlight w:val="none"/>
        </w:rPr>
      </w:pPr>
    </w:p>
    <w:p w14:paraId="2B71E1B8">
      <w:pPr>
        <w:pStyle w:val="33"/>
        <w:spacing w:beforeAutospacing="0" w:afterAutospacing="0"/>
        <w:jc w:val="both"/>
        <w:rPr>
          <w:color w:val="auto"/>
          <w:highlight w:val="none"/>
        </w:rPr>
      </w:pPr>
    </w:p>
    <w:p w14:paraId="2E034934">
      <w:pPr>
        <w:pStyle w:val="33"/>
        <w:spacing w:beforeAutospacing="0" w:afterAutospacing="0"/>
        <w:jc w:val="both"/>
        <w:rPr>
          <w:color w:val="auto"/>
          <w:highlight w:val="none"/>
        </w:rPr>
      </w:pPr>
    </w:p>
    <w:p w14:paraId="451783EA">
      <w:pPr>
        <w:pStyle w:val="33"/>
        <w:spacing w:beforeAutospacing="0" w:afterAutospacing="0"/>
        <w:jc w:val="both"/>
        <w:rPr>
          <w:color w:val="auto"/>
          <w:highlight w:val="none"/>
        </w:rPr>
      </w:pPr>
    </w:p>
    <w:p w14:paraId="30E25C5F">
      <w:pPr>
        <w:pStyle w:val="33"/>
        <w:spacing w:beforeAutospacing="0" w:afterAutospacing="0"/>
        <w:jc w:val="both"/>
        <w:rPr>
          <w:color w:val="auto"/>
          <w:highlight w:val="none"/>
        </w:rPr>
      </w:pPr>
    </w:p>
    <w:p w14:paraId="51968EA3">
      <w:pPr>
        <w:pStyle w:val="33"/>
        <w:spacing w:beforeAutospacing="0" w:afterAutospacing="0"/>
        <w:jc w:val="both"/>
        <w:rPr>
          <w:color w:val="auto"/>
          <w:highlight w:val="none"/>
        </w:rPr>
      </w:pPr>
    </w:p>
    <w:p w14:paraId="71098B71">
      <w:pPr>
        <w:rPr>
          <w:color w:val="auto"/>
          <w:highlight w:val="none"/>
        </w:rPr>
      </w:pPr>
      <w:r>
        <w:rPr>
          <w:color w:val="auto"/>
          <w:highlight w:val="none"/>
        </w:rPr>
        <w:br w:type="page" w:clear="all"/>
      </w:r>
    </w:p>
    <w:p w14:paraId="5BCAC7BF">
      <w:pPr>
        <w:pStyle w:val="33"/>
        <w:spacing w:beforeAutospacing="0" w:afterAutospacing="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十二、技术要求响应及偏离表</w:t>
      </w:r>
    </w:p>
    <w:p w14:paraId="369D10BB">
      <w:pPr>
        <w:pStyle w:val="33"/>
        <w:spacing w:beforeAutospacing="0" w:afterAutospacing="0"/>
        <w:jc w:val="center"/>
        <w:rPr>
          <w:rFonts w:hint="eastAsia" w:ascii="黑体" w:hAnsi="宋体" w:eastAsia="黑体" w:cs="黑体"/>
          <w:b/>
          <w:color w:val="auto"/>
          <w:sz w:val="32"/>
          <w:szCs w:val="32"/>
          <w:highlight w:val="none"/>
        </w:rPr>
      </w:pPr>
    </w:p>
    <w:tbl>
      <w:tblPr>
        <w:tblStyle w:val="3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99"/>
        <w:gridCol w:w="2695"/>
        <w:gridCol w:w="2299"/>
        <w:gridCol w:w="1147"/>
        <w:gridCol w:w="990"/>
      </w:tblGrid>
      <w:tr w14:paraId="4567771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0" w:hRule="atLeast"/>
          <w:jc w:val="center"/>
        </w:trPr>
        <w:tc>
          <w:tcPr>
            <w:tcW w:w="499" w:type="dxa"/>
            <w:tcBorders>
              <w:top w:val="single" w:color="000000" w:sz="8" w:space="0"/>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3C6FFE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序号</w:t>
            </w:r>
          </w:p>
        </w:tc>
        <w:tc>
          <w:tcPr>
            <w:tcW w:w="2695"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7473D3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招标文件要求</w:t>
            </w:r>
          </w:p>
        </w:tc>
        <w:tc>
          <w:tcPr>
            <w:tcW w:w="2299"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39D44AE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投标响应情况</w:t>
            </w:r>
          </w:p>
        </w:tc>
        <w:tc>
          <w:tcPr>
            <w:tcW w:w="1147"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4C73C6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超出、符合或偏离</w:t>
            </w:r>
          </w:p>
        </w:tc>
        <w:tc>
          <w:tcPr>
            <w:tcW w:w="990" w:type="dxa"/>
            <w:tcBorders>
              <w:top w:val="single" w:color="000000" w:sz="8" w:space="0"/>
              <w:left w:val="nil"/>
              <w:bottom w:val="single" w:color="000000" w:sz="8" w:space="0"/>
              <w:right w:val="single" w:color="000000" w:sz="8" w:space="0"/>
            </w:tcBorders>
            <w:noWrap w:val="0"/>
            <w:tcMar>
              <w:top w:w="80" w:type="dxa"/>
              <w:left w:w="80" w:type="dxa"/>
              <w:bottom w:w="80" w:type="dxa"/>
              <w:right w:w="80" w:type="dxa"/>
            </w:tcMar>
            <w:vAlign w:val="center"/>
          </w:tcPr>
          <w:p w14:paraId="47DD4B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证明</w:t>
            </w:r>
          </w:p>
          <w:p w14:paraId="6F1B05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材料</w:t>
            </w:r>
          </w:p>
        </w:tc>
      </w:tr>
      <w:tr w14:paraId="799BBC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00393D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5FE8EF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A04B02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C17247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321EB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784E1E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7ECA7EB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98475F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19E9F1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E9CAC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11031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3200AD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4807C0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48DFA8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9E8C4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5978022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265B89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2347F78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5B85CD8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ABCE6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DBC2E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0D1EC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BDD7E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47060D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1090163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4EE185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6E034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03503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CD429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3507BA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4F99F9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7F489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034C6CC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16A1941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E7D28A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6B128C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32B59C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D4C4F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610B1D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D1AA84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34AB920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r w14:paraId="7268E2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jc w:val="center"/>
        </w:trPr>
        <w:tc>
          <w:tcPr>
            <w:tcW w:w="499" w:type="dxa"/>
            <w:tcBorders>
              <w:top w:val="nil"/>
              <w:left w:val="single" w:color="000000" w:sz="8" w:space="0"/>
              <w:bottom w:val="single" w:color="000000" w:sz="8" w:space="0"/>
              <w:right w:val="single" w:color="000000" w:sz="8" w:space="0"/>
            </w:tcBorders>
            <w:noWrap w:val="0"/>
            <w:tcMar>
              <w:top w:w="80" w:type="dxa"/>
              <w:left w:w="80" w:type="dxa"/>
              <w:bottom w:w="80" w:type="dxa"/>
              <w:right w:w="80" w:type="dxa"/>
            </w:tcMar>
            <w:vAlign w:val="center"/>
          </w:tcPr>
          <w:p w14:paraId="01B029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2695"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54C085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w:t>
            </w:r>
          </w:p>
        </w:tc>
        <w:tc>
          <w:tcPr>
            <w:tcW w:w="2299"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7275C94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1147"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32101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c>
          <w:tcPr>
            <w:tcW w:w="990" w:type="dxa"/>
            <w:tcBorders>
              <w:top w:val="nil"/>
              <w:left w:val="nil"/>
              <w:bottom w:val="single" w:color="000000" w:sz="8" w:space="0"/>
              <w:right w:val="single" w:color="000000" w:sz="8" w:space="0"/>
            </w:tcBorders>
            <w:noWrap w:val="0"/>
            <w:tcMar>
              <w:top w:w="80" w:type="dxa"/>
              <w:left w:w="80" w:type="dxa"/>
              <w:bottom w:w="80" w:type="dxa"/>
              <w:right w:w="80" w:type="dxa"/>
            </w:tcMar>
            <w:vAlign w:val="center"/>
          </w:tcPr>
          <w:p w14:paraId="2107FDD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auto"/>
                <w:highlight w:val="none"/>
              </w:rPr>
            </w:pPr>
            <w:r>
              <w:rPr>
                <w:rFonts w:ascii="宋体" w:hAnsi="宋体" w:eastAsia="宋体" w:cs="宋体"/>
                <w:color w:val="auto"/>
                <w:sz w:val="24"/>
                <w:highlight w:val="none"/>
              </w:rPr>
              <w:t> </w:t>
            </w:r>
          </w:p>
        </w:tc>
      </w:tr>
    </w:tbl>
    <w:p w14:paraId="11C603F8">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6A2F856">
      <w:pPr>
        <w:pStyle w:val="33"/>
        <w:spacing w:beforeAutospacing="0" w:afterAutospacing="0"/>
        <w:jc w:val="center"/>
        <w:rPr>
          <w:color w:val="auto"/>
          <w:highlight w:val="none"/>
        </w:rPr>
        <w:sectPr>
          <w:pgSz w:w="11906" w:h="16838"/>
          <w:pgMar w:top="1134" w:right="1247" w:bottom="1134" w:left="1247" w:header="851" w:footer="992" w:gutter="0"/>
          <w:cols w:space="425" w:num="1"/>
          <w:docGrid w:linePitch="360" w:charSpace="0"/>
        </w:sectPr>
      </w:pPr>
    </w:p>
    <w:p w14:paraId="5312D0CB">
      <w:pPr>
        <w:pStyle w:val="33"/>
        <w:spacing w:beforeAutospacing="0" w:afterAutospacing="0"/>
        <w:jc w:val="center"/>
        <w:rPr>
          <w:color w:val="auto"/>
          <w:highlight w:val="none"/>
        </w:rPr>
      </w:pPr>
      <w:r>
        <w:rPr>
          <w:color w:val="auto"/>
          <w:highlight w:val="none"/>
        </w:rPr>
        <w:t> </w:t>
      </w:r>
    </w:p>
    <w:p w14:paraId="068BD2C9">
      <w:pPr>
        <w:pStyle w:val="33"/>
        <w:spacing w:beforeAutospacing="0" w:afterAutospacing="0"/>
        <w:jc w:val="both"/>
        <w:rPr>
          <w:color w:val="auto"/>
          <w:highlight w:val="none"/>
        </w:rPr>
      </w:pPr>
      <w:r>
        <w:rPr>
          <w:color w:val="auto"/>
          <w:highlight w:val="none"/>
        </w:rPr>
        <w:t> </w:t>
      </w:r>
    </w:p>
    <w:p w14:paraId="1F920376">
      <w:pPr>
        <w:pStyle w:val="33"/>
        <w:spacing w:beforeAutospacing="0" w:afterAutospacing="0"/>
        <w:jc w:val="center"/>
        <w:rPr>
          <w:color w:val="auto"/>
          <w:highlight w:val="none"/>
        </w:rPr>
      </w:pPr>
      <w:bookmarkStart w:id="191" w:name="_Hlt26955054"/>
      <w:r>
        <w:rPr>
          <w:rFonts w:hint="eastAsia" w:ascii="黑体" w:hAnsi="宋体" w:eastAsia="黑体" w:cs="黑体"/>
          <w:b/>
          <w:color w:val="auto"/>
          <w:sz w:val="32"/>
          <w:szCs w:val="32"/>
          <w:highlight w:val="none"/>
        </w:rPr>
        <w:t>十三、商务要求响应及偏离表</w:t>
      </w:r>
    </w:p>
    <w:tbl>
      <w:tblPr>
        <w:tblStyle w:val="36"/>
        <w:tblW w:w="909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3026"/>
        <w:gridCol w:w="2608"/>
        <w:gridCol w:w="1811"/>
        <w:gridCol w:w="1113"/>
      </w:tblGrid>
      <w:tr w14:paraId="52ED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trPr>
        <w:tc>
          <w:tcPr>
            <w:tcW w:w="538" w:type="dxa"/>
            <w:noWrap w:val="0"/>
            <w:vAlign w:val="center"/>
          </w:tcPr>
          <w:p w14:paraId="77A88992">
            <w:pPr>
              <w:pStyle w:val="33"/>
              <w:spacing w:beforeAutospacing="0" w:afterAutospacing="0"/>
              <w:jc w:val="center"/>
              <w:rPr>
                <w:rFonts w:ascii="宋体" w:hAnsi="宋体" w:eastAsia="宋体"/>
                <w:color w:val="auto"/>
                <w:highlight w:val="none"/>
              </w:rPr>
            </w:pPr>
            <w:bookmarkStart w:id="192" w:name="_Hlt26580838"/>
            <w:bookmarkStart w:id="193" w:name="_Hlt26955056"/>
            <w:bookmarkStart w:id="194" w:name="_Hlt26671372"/>
            <w:bookmarkStart w:id="195" w:name="_Hlt24879081"/>
            <w:bookmarkStart w:id="196" w:name="_Hlt26671343"/>
            <w:bookmarkStart w:id="197" w:name="_Hlt26955064"/>
            <w:bookmarkStart w:id="198" w:name="_Hlt26609391"/>
            <w:bookmarkStart w:id="199" w:name="_Hlt26782999"/>
            <w:r>
              <w:rPr>
                <w:rFonts w:hint="eastAsia" w:ascii="宋体" w:hAnsi="宋体" w:eastAsia="宋体" w:cs="宋体"/>
                <w:color w:val="auto"/>
                <w:highlight w:val="none"/>
              </w:rPr>
              <w:t>序号</w:t>
            </w:r>
            <w:bookmarkEnd w:id="192"/>
            <w:bookmarkEnd w:id="193"/>
            <w:bookmarkEnd w:id="194"/>
            <w:bookmarkEnd w:id="195"/>
            <w:bookmarkEnd w:id="196"/>
            <w:bookmarkEnd w:id="197"/>
            <w:bookmarkEnd w:id="198"/>
            <w:bookmarkEnd w:id="199"/>
          </w:p>
        </w:tc>
        <w:tc>
          <w:tcPr>
            <w:tcW w:w="3026" w:type="dxa"/>
            <w:noWrap w:val="0"/>
            <w:vAlign w:val="center"/>
          </w:tcPr>
          <w:p w14:paraId="375B2176">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谈判文件要求</w:t>
            </w:r>
          </w:p>
        </w:tc>
        <w:tc>
          <w:tcPr>
            <w:tcW w:w="2608" w:type="dxa"/>
            <w:noWrap w:val="0"/>
            <w:vAlign w:val="center"/>
          </w:tcPr>
          <w:p w14:paraId="37CF1A5C">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响应情况</w:t>
            </w:r>
          </w:p>
        </w:tc>
        <w:tc>
          <w:tcPr>
            <w:tcW w:w="1811" w:type="dxa"/>
            <w:noWrap w:val="0"/>
            <w:vAlign w:val="center"/>
          </w:tcPr>
          <w:p w14:paraId="7B96DCAA">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超出、符合或偏离</w:t>
            </w:r>
          </w:p>
        </w:tc>
        <w:tc>
          <w:tcPr>
            <w:tcW w:w="1113" w:type="dxa"/>
            <w:noWrap w:val="0"/>
            <w:vAlign w:val="center"/>
          </w:tcPr>
          <w:p w14:paraId="31387E10">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证明</w:t>
            </w:r>
          </w:p>
          <w:p w14:paraId="3941BA4A">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材料</w:t>
            </w:r>
          </w:p>
        </w:tc>
      </w:tr>
      <w:tr w14:paraId="36B1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641E997E">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1</w:t>
            </w:r>
          </w:p>
        </w:tc>
        <w:tc>
          <w:tcPr>
            <w:tcW w:w="3026" w:type="dxa"/>
            <w:noWrap w:val="0"/>
            <w:vAlign w:val="center"/>
          </w:tcPr>
          <w:p w14:paraId="202CDC1C">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合同履行期限</w:t>
            </w:r>
          </w:p>
        </w:tc>
        <w:tc>
          <w:tcPr>
            <w:tcW w:w="2608" w:type="dxa"/>
            <w:noWrap w:val="0"/>
            <w:vAlign w:val="center"/>
          </w:tcPr>
          <w:p w14:paraId="5ED99498">
            <w:pPr>
              <w:pStyle w:val="33"/>
              <w:spacing w:beforeAutospacing="0" w:afterAutospacing="0"/>
              <w:jc w:val="center"/>
              <w:rPr>
                <w:rFonts w:ascii="宋体" w:hAnsi="宋体" w:eastAsia="宋体"/>
                <w:color w:val="auto"/>
                <w:highlight w:val="none"/>
              </w:rPr>
            </w:pPr>
          </w:p>
        </w:tc>
        <w:tc>
          <w:tcPr>
            <w:tcW w:w="1811" w:type="dxa"/>
            <w:noWrap w:val="0"/>
            <w:vAlign w:val="center"/>
          </w:tcPr>
          <w:p w14:paraId="2912425D">
            <w:pPr>
              <w:pStyle w:val="33"/>
              <w:spacing w:beforeAutospacing="0" w:afterAutospacing="0"/>
              <w:jc w:val="center"/>
              <w:rPr>
                <w:rFonts w:ascii="宋体" w:hAnsi="宋体" w:eastAsia="宋体"/>
                <w:color w:val="auto"/>
                <w:highlight w:val="none"/>
              </w:rPr>
            </w:pPr>
          </w:p>
        </w:tc>
        <w:tc>
          <w:tcPr>
            <w:tcW w:w="1113" w:type="dxa"/>
            <w:noWrap w:val="0"/>
            <w:vAlign w:val="center"/>
          </w:tcPr>
          <w:p w14:paraId="4E6CE7DE">
            <w:pPr>
              <w:pStyle w:val="33"/>
              <w:spacing w:beforeAutospacing="0" w:afterAutospacing="0"/>
              <w:jc w:val="center"/>
              <w:rPr>
                <w:rFonts w:ascii="宋体" w:hAnsi="宋体" w:eastAsia="宋体"/>
                <w:color w:val="auto"/>
                <w:highlight w:val="none"/>
              </w:rPr>
            </w:pPr>
          </w:p>
        </w:tc>
      </w:tr>
      <w:tr w14:paraId="6577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1F0CABCF">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2</w:t>
            </w:r>
          </w:p>
        </w:tc>
        <w:tc>
          <w:tcPr>
            <w:tcW w:w="3026" w:type="dxa"/>
            <w:noWrap w:val="0"/>
            <w:vAlign w:val="center"/>
          </w:tcPr>
          <w:p w14:paraId="679A8975">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付款方式</w:t>
            </w:r>
          </w:p>
        </w:tc>
        <w:tc>
          <w:tcPr>
            <w:tcW w:w="2608" w:type="dxa"/>
            <w:noWrap w:val="0"/>
            <w:vAlign w:val="center"/>
          </w:tcPr>
          <w:p w14:paraId="4AB82D3F">
            <w:pPr>
              <w:pStyle w:val="33"/>
              <w:spacing w:beforeAutospacing="0" w:afterAutospacing="0"/>
              <w:jc w:val="center"/>
              <w:rPr>
                <w:rFonts w:ascii="宋体" w:hAnsi="宋体" w:eastAsia="宋体"/>
                <w:color w:val="auto"/>
                <w:highlight w:val="none"/>
              </w:rPr>
            </w:pPr>
          </w:p>
        </w:tc>
        <w:tc>
          <w:tcPr>
            <w:tcW w:w="1811" w:type="dxa"/>
            <w:noWrap w:val="0"/>
            <w:vAlign w:val="center"/>
          </w:tcPr>
          <w:p w14:paraId="56A7DCA1">
            <w:pPr>
              <w:pStyle w:val="33"/>
              <w:spacing w:beforeAutospacing="0" w:afterAutospacing="0"/>
              <w:jc w:val="center"/>
              <w:rPr>
                <w:rFonts w:ascii="宋体" w:hAnsi="宋体" w:eastAsia="宋体"/>
                <w:color w:val="auto"/>
                <w:highlight w:val="none"/>
              </w:rPr>
            </w:pPr>
          </w:p>
        </w:tc>
        <w:tc>
          <w:tcPr>
            <w:tcW w:w="1113" w:type="dxa"/>
            <w:noWrap w:val="0"/>
            <w:vAlign w:val="center"/>
          </w:tcPr>
          <w:p w14:paraId="7AD61866">
            <w:pPr>
              <w:pStyle w:val="33"/>
              <w:spacing w:beforeAutospacing="0" w:afterAutospacing="0"/>
              <w:jc w:val="center"/>
              <w:rPr>
                <w:rFonts w:ascii="宋体" w:hAnsi="宋体" w:eastAsia="宋体"/>
                <w:color w:val="auto"/>
                <w:highlight w:val="none"/>
              </w:rPr>
            </w:pPr>
          </w:p>
        </w:tc>
      </w:tr>
      <w:tr w14:paraId="19054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3ED2C1D3">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3</w:t>
            </w:r>
          </w:p>
        </w:tc>
        <w:tc>
          <w:tcPr>
            <w:tcW w:w="3026" w:type="dxa"/>
            <w:noWrap w:val="0"/>
            <w:vAlign w:val="center"/>
          </w:tcPr>
          <w:p w14:paraId="6AE03480">
            <w:pPr>
              <w:pStyle w:val="33"/>
              <w:spacing w:beforeAutospacing="0" w:afterAutospacing="0"/>
              <w:jc w:val="center"/>
              <w:rPr>
                <w:rFonts w:ascii="宋体" w:hAnsi="宋体" w:eastAsia="宋体"/>
                <w:color w:val="auto"/>
                <w:highlight w:val="none"/>
              </w:rPr>
            </w:pPr>
            <w:r>
              <w:rPr>
                <w:rFonts w:hint="eastAsia" w:ascii="宋体" w:hAnsi="宋体" w:eastAsia="宋体" w:cs="宋体"/>
                <w:color w:val="auto"/>
                <w:highlight w:val="none"/>
              </w:rPr>
              <w:t>谈判货币</w:t>
            </w:r>
          </w:p>
        </w:tc>
        <w:tc>
          <w:tcPr>
            <w:tcW w:w="2608" w:type="dxa"/>
            <w:noWrap w:val="0"/>
            <w:vAlign w:val="center"/>
          </w:tcPr>
          <w:p w14:paraId="3407EE82">
            <w:pPr>
              <w:pStyle w:val="33"/>
              <w:spacing w:beforeAutospacing="0" w:afterAutospacing="0"/>
              <w:jc w:val="center"/>
              <w:rPr>
                <w:rFonts w:ascii="宋体" w:hAnsi="宋体" w:eastAsia="宋体"/>
                <w:color w:val="auto"/>
                <w:highlight w:val="none"/>
              </w:rPr>
            </w:pPr>
          </w:p>
        </w:tc>
        <w:tc>
          <w:tcPr>
            <w:tcW w:w="1811" w:type="dxa"/>
            <w:noWrap w:val="0"/>
            <w:vAlign w:val="center"/>
          </w:tcPr>
          <w:p w14:paraId="0A677AF1">
            <w:pPr>
              <w:pStyle w:val="33"/>
              <w:spacing w:beforeAutospacing="0" w:afterAutospacing="0"/>
              <w:jc w:val="center"/>
              <w:rPr>
                <w:rFonts w:ascii="宋体" w:hAnsi="宋体" w:eastAsia="宋体"/>
                <w:color w:val="auto"/>
                <w:highlight w:val="none"/>
              </w:rPr>
            </w:pPr>
          </w:p>
        </w:tc>
        <w:tc>
          <w:tcPr>
            <w:tcW w:w="1113" w:type="dxa"/>
            <w:noWrap w:val="0"/>
            <w:vAlign w:val="center"/>
          </w:tcPr>
          <w:p w14:paraId="47AE810B">
            <w:pPr>
              <w:pStyle w:val="33"/>
              <w:spacing w:beforeAutospacing="0" w:afterAutospacing="0"/>
              <w:jc w:val="center"/>
              <w:rPr>
                <w:rFonts w:ascii="宋体" w:hAnsi="宋体" w:eastAsia="宋体"/>
                <w:color w:val="auto"/>
                <w:highlight w:val="none"/>
              </w:rPr>
            </w:pPr>
          </w:p>
        </w:tc>
      </w:tr>
      <w:tr w14:paraId="00C2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3190B951">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4</w:t>
            </w:r>
          </w:p>
        </w:tc>
        <w:tc>
          <w:tcPr>
            <w:tcW w:w="3026" w:type="dxa"/>
            <w:noWrap w:val="0"/>
            <w:vAlign w:val="center"/>
          </w:tcPr>
          <w:p w14:paraId="794CF24A">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交货期</w:t>
            </w:r>
          </w:p>
        </w:tc>
        <w:tc>
          <w:tcPr>
            <w:tcW w:w="2608" w:type="dxa"/>
            <w:noWrap w:val="0"/>
            <w:vAlign w:val="center"/>
          </w:tcPr>
          <w:p w14:paraId="3D5BF78F">
            <w:pPr>
              <w:pStyle w:val="33"/>
              <w:spacing w:beforeAutospacing="0" w:afterAutospacing="0"/>
              <w:jc w:val="center"/>
              <w:rPr>
                <w:rFonts w:ascii="宋体" w:hAnsi="宋体" w:eastAsia="宋体"/>
                <w:color w:val="auto"/>
                <w:highlight w:val="none"/>
              </w:rPr>
            </w:pPr>
          </w:p>
        </w:tc>
        <w:tc>
          <w:tcPr>
            <w:tcW w:w="1811" w:type="dxa"/>
            <w:noWrap w:val="0"/>
            <w:vAlign w:val="center"/>
          </w:tcPr>
          <w:p w14:paraId="5B42E299">
            <w:pPr>
              <w:pStyle w:val="33"/>
              <w:spacing w:beforeAutospacing="0" w:afterAutospacing="0"/>
              <w:jc w:val="center"/>
              <w:rPr>
                <w:rFonts w:ascii="宋体" w:hAnsi="宋体" w:eastAsia="宋体"/>
                <w:color w:val="auto"/>
                <w:highlight w:val="none"/>
              </w:rPr>
            </w:pPr>
          </w:p>
        </w:tc>
        <w:tc>
          <w:tcPr>
            <w:tcW w:w="1113" w:type="dxa"/>
            <w:noWrap w:val="0"/>
            <w:vAlign w:val="center"/>
          </w:tcPr>
          <w:p w14:paraId="22F9A73C">
            <w:pPr>
              <w:pStyle w:val="33"/>
              <w:spacing w:beforeAutospacing="0" w:afterAutospacing="0"/>
              <w:jc w:val="center"/>
              <w:rPr>
                <w:rFonts w:ascii="宋体" w:hAnsi="宋体" w:eastAsia="宋体"/>
                <w:color w:val="auto"/>
                <w:highlight w:val="none"/>
              </w:rPr>
            </w:pPr>
          </w:p>
        </w:tc>
      </w:tr>
      <w:tr w14:paraId="6DF30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7C01A9E6">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5</w:t>
            </w:r>
          </w:p>
        </w:tc>
        <w:tc>
          <w:tcPr>
            <w:tcW w:w="3026" w:type="dxa"/>
            <w:noWrap w:val="0"/>
            <w:vAlign w:val="center"/>
          </w:tcPr>
          <w:p w14:paraId="2F7C93C4">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交货方式</w:t>
            </w:r>
          </w:p>
        </w:tc>
        <w:tc>
          <w:tcPr>
            <w:tcW w:w="2608" w:type="dxa"/>
            <w:noWrap w:val="0"/>
            <w:vAlign w:val="center"/>
          </w:tcPr>
          <w:p w14:paraId="3362384F">
            <w:pPr>
              <w:pStyle w:val="33"/>
              <w:spacing w:beforeAutospacing="0" w:afterAutospacing="0"/>
              <w:jc w:val="center"/>
              <w:rPr>
                <w:rFonts w:ascii="宋体" w:hAnsi="宋体" w:eastAsia="宋体"/>
                <w:color w:val="auto"/>
                <w:highlight w:val="none"/>
              </w:rPr>
            </w:pPr>
          </w:p>
        </w:tc>
        <w:tc>
          <w:tcPr>
            <w:tcW w:w="1811" w:type="dxa"/>
            <w:noWrap w:val="0"/>
            <w:vAlign w:val="center"/>
          </w:tcPr>
          <w:p w14:paraId="0A41B93C">
            <w:pPr>
              <w:pStyle w:val="33"/>
              <w:spacing w:beforeAutospacing="0" w:afterAutospacing="0"/>
              <w:jc w:val="center"/>
              <w:rPr>
                <w:rFonts w:ascii="宋体" w:hAnsi="宋体" w:eastAsia="宋体"/>
                <w:color w:val="auto"/>
                <w:highlight w:val="none"/>
              </w:rPr>
            </w:pPr>
          </w:p>
        </w:tc>
        <w:tc>
          <w:tcPr>
            <w:tcW w:w="1113" w:type="dxa"/>
            <w:noWrap w:val="0"/>
            <w:vAlign w:val="center"/>
          </w:tcPr>
          <w:p w14:paraId="7601FEDC">
            <w:pPr>
              <w:pStyle w:val="33"/>
              <w:spacing w:beforeAutospacing="0" w:afterAutospacing="0"/>
              <w:jc w:val="center"/>
              <w:rPr>
                <w:rFonts w:ascii="宋体" w:hAnsi="宋体" w:eastAsia="宋体"/>
                <w:color w:val="auto"/>
                <w:highlight w:val="none"/>
              </w:rPr>
            </w:pPr>
          </w:p>
        </w:tc>
      </w:tr>
      <w:tr w14:paraId="60888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1256337F">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6</w:t>
            </w:r>
          </w:p>
        </w:tc>
        <w:tc>
          <w:tcPr>
            <w:tcW w:w="3026" w:type="dxa"/>
            <w:noWrap w:val="0"/>
            <w:vAlign w:val="center"/>
          </w:tcPr>
          <w:p w14:paraId="3CD98B64">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交货地点</w:t>
            </w:r>
          </w:p>
        </w:tc>
        <w:tc>
          <w:tcPr>
            <w:tcW w:w="2608" w:type="dxa"/>
            <w:noWrap w:val="0"/>
            <w:vAlign w:val="center"/>
          </w:tcPr>
          <w:p w14:paraId="43497FB1">
            <w:pPr>
              <w:pStyle w:val="33"/>
              <w:spacing w:beforeAutospacing="0" w:afterAutospacing="0"/>
              <w:jc w:val="center"/>
              <w:rPr>
                <w:rFonts w:ascii="宋体" w:hAnsi="宋体" w:eastAsia="宋体"/>
                <w:color w:val="auto"/>
                <w:highlight w:val="none"/>
              </w:rPr>
            </w:pPr>
          </w:p>
        </w:tc>
        <w:tc>
          <w:tcPr>
            <w:tcW w:w="1811" w:type="dxa"/>
            <w:noWrap w:val="0"/>
            <w:vAlign w:val="center"/>
          </w:tcPr>
          <w:p w14:paraId="19B0FF48">
            <w:pPr>
              <w:pStyle w:val="33"/>
              <w:spacing w:beforeAutospacing="0" w:afterAutospacing="0"/>
              <w:jc w:val="center"/>
              <w:rPr>
                <w:rFonts w:ascii="宋体" w:hAnsi="宋体" w:eastAsia="宋体"/>
                <w:color w:val="auto"/>
                <w:highlight w:val="none"/>
              </w:rPr>
            </w:pPr>
          </w:p>
        </w:tc>
        <w:tc>
          <w:tcPr>
            <w:tcW w:w="1113" w:type="dxa"/>
            <w:noWrap w:val="0"/>
            <w:vAlign w:val="center"/>
          </w:tcPr>
          <w:p w14:paraId="17EC02E5">
            <w:pPr>
              <w:pStyle w:val="33"/>
              <w:spacing w:beforeAutospacing="0" w:afterAutospacing="0"/>
              <w:jc w:val="center"/>
              <w:rPr>
                <w:rFonts w:ascii="宋体" w:hAnsi="宋体" w:eastAsia="宋体"/>
                <w:color w:val="auto"/>
                <w:highlight w:val="none"/>
              </w:rPr>
            </w:pPr>
          </w:p>
        </w:tc>
      </w:tr>
      <w:tr w14:paraId="5AB39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38" w:type="dxa"/>
            <w:noWrap w:val="0"/>
            <w:vAlign w:val="center"/>
          </w:tcPr>
          <w:p w14:paraId="00DB0331">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7</w:t>
            </w:r>
          </w:p>
        </w:tc>
        <w:tc>
          <w:tcPr>
            <w:tcW w:w="3026" w:type="dxa"/>
            <w:noWrap w:val="0"/>
            <w:vAlign w:val="center"/>
          </w:tcPr>
          <w:p w14:paraId="5190C965">
            <w:pPr>
              <w:pStyle w:val="33"/>
              <w:spacing w:beforeAutospacing="0" w:afterAutospacing="0"/>
              <w:jc w:val="center"/>
              <w:rPr>
                <w:rFonts w:ascii="宋体" w:hAnsi="宋体" w:eastAsia="宋体"/>
                <w:color w:val="auto"/>
                <w:highlight w:val="none"/>
              </w:rPr>
            </w:pPr>
            <w:r>
              <w:rPr>
                <w:rFonts w:hint="eastAsia" w:ascii="宋体" w:hAnsi="宋体" w:eastAsia="宋体"/>
                <w:color w:val="auto"/>
                <w:highlight w:val="none"/>
              </w:rPr>
              <w:t>质保期</w:t>
            </w:r>
          </w:p>
        </w:tc>
        <w:tc>
          <w:tcPr>
            <w:tcW w:w="2608" w:type="dxa"/>
            <w:noWrap w:val="0"/>
            <w:vAlign w:val="center"/>
          </w:tcPr>
          <w:p w14:paraId="574242CF">
            <w:pPr>
              <w:pStyle w:val="33"/>
              <w:spacing w:beforeAutospacing="0" w:afterAutospacing="0"/>
              <w:jc w:val="center"/>
              <w:rPr>
                <w:rFonts w:ascii="宋体" w:hAnsi="宋体" w:eastAsia="宋体"/>
                <w:color w:val="auto"/>
                <w:highlight w:val="none"/>
              </w:rPr>
            </w:pPr>
          </w:p>
        </w:tc>
        <w:tc>
          <w:tcPr>
            <w:tcW w:w="1811" w:type="dxa"/>
            <w:noWrap w:val="0"/>
            <w:vAlign w:val="center"/>
          </w:tcPr>
          <w:p w14:paraId="29B4FC5E">
            <w:pPr>
              <w:pStyle w:val="33"/>
              <w:spacing w:beforeAutospacing="0" w:afterAutospacing="0"/>
              <w:jc w:val="center"/>
              <w:rPr>
                <w:rFonts w:ascii="宋体" w:hAnsi="宋体" w:eastAsia="宋体"/>
                <w:color w:val="auto"/>
                <w:highlight w:val="none"/>
              </w:rPr>
            </w:pPr>
          </w:p>
        </w:tc>
        <w:tc>
          <w:tcPr>
            <w:tcW w:w="1113" w:type="dxa"/>
            <w:noWrap w:val="0"/>
            <w:vAlign w:val="center"/>
          </w:tcPr>
          <w:p w14:paraId="111BCF28">
            <w:pPr>
              <w:pStyle w:val="33"/>
              <w:spacing w:beforeAutospacing="0" w:afterAutospacing="0"/>
              <w:jc w:val="center"/>
              <w:rPr>
                <w:rFonts w:ascii="宋体" w:hAnsi="宋体" w:eastAsia="宋体"/>
                <w:color w:val="auto"/>
                <w:highlight w:val="none"/>
              </w:rPr>
            </w:pPr>
          </w:p>
        </w:tc>
      </w:tr>
    </w:tbl>
    <w:p w14:paraId="1080B584">
      <w:pPr>
        <w:pStyle w:val="33"/>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82A1D1C">
      <w:pPr>
        <w:pStyle w:val="33"/>
        <w:spacing w:beforeAutospacing="0" w:afterAutospacing="0" w:line="480" w:lineRule="auto"/>
        <w:jc w:val="both"/>
        <w:rPr>
          <w:color w:val="auto"/>
          <w:highlight w:val="none"/>
        </w:rPr>
      </w:pPr>
      <w:r>
        <w:rPr>
          <w:color w:val="auto"/>
          <w:highlight w:val="none"/>
        </w:rPr>
        <w:t> </w:t>
      </w:r>
    </w:p>
    <w:p w14:paraId="59955AB8">
      <w:pPr>
        <w:pStyle w:val="33"/>
        <w:spacing w:beforeAutospacing="0" w:afterAutospacing="0" w:line="480" w:lineRule="auto"/>
        <w:jc w:val="both"/>
        <w:rPr>
          <w:color w:val="auto"/>
          <w:highlight w:val="none"/>
        </w:rPr>
      </w:pPr>
      <w:r>
        <w:rPr>
          <w:color w:val="auto"/>
          <w:highlight w:val="none"/>
        </w:rPr>
        <w:t> </w:t>
      </w:r>
    </w:p>
    <w:p w14:paraId="4B9D6C3F">
      <w:pPr>
        <w:pStyle w:val="33"/>
        <w:spacing w:beforeAutospacing="0" w:afterAutospacing="0"/>
        <w:jc w:val="center"/>
        <w:rPr>
          <w:color w:val="auto"/>
          <w:highlight w:val="none"/>
        </w:rPr>
      </w:pPr>
      <w:bookmarkStart w:id="200" w:name="_格式2__法定代表人授权书"/>
      <w:bookmarkStart w:id="201" w:name="_Hlt26609389"/>
      <w:bookmarkStart w:id="202" w:name="_Hlt26955066"/>
      <w:bookmarkStart w:id="203" w:name="_Toc462564146"/>
      <w:bookmarkStart w:id="204" w:name="_Hlt26671374"/>
      <w:r>
        <w:rPr>
          <w:color w:val="auto"/>
          <w:highlight w:val="none"/>
        </w:rPr>
        <w:t> </w:t>
      </w:r>
    </w:p>
    <w:p w14:paraId="74CE52C1">
      <w:pPr>
        <w:pStyle w:val="33"/>
        <w:spacing w:beforeAutospacing="0" w:afterAutospacing="0"/>
        <w:jc w:val="center"/>
        <w:rPr>
          <w:color w:val="auto"/>
          <w:highlight w:val="none"/>
        </w:rPr>
      </w:pPr>
    </w:p>
    <w:p w14:paraId="7BC9E686">
      <w:pPr>
        <w:pStyle w:val="33"/>
        <w:spacing w:beforeAutospacing="0" w:afterAutospacing="0"/>
        <w:jc w:val="center"/>
        <w:rPr>
          <w:color w:val="auto"/>
          <w:highlight w:val="none"/>
        </w:rPr>
      </w:pPr>
    </w:p>
    <w:p w14:paraId="36F741D7">
      <w:pPr>
        <w:pStyle w:val="33"/>
        <w:spacing w:beforeAutospacing="0" w:afterAutospacing="0"/>
        <w:jc w:val="center"/>
        <w:rPr>
          <w:color w:val="auto"/>
          <w:highlight w:val="none"/>
        </w:rPr>
      </w:pPr>
    </w:p>
    <w:p w14:paraId="66E7D752">
      <w:pPr>
        <w:pStyle w:val="33"/>
        <w:spacing w:beforeAutospacing="0" w:afterAutospacing="0"/>
        <w:jc w:val="center"/>
        <w:rPr>
          <w:color w:val="auto"/>
          <w:highlight w:val="none"/>
        </w:rPr>
      </w:pPr>
    </w:p>
    <w:p w14:paraId="01DF09BF">
      <w:pPr>
        <w:pStyle w:val="33"/>
        <w:spacing w:beforeAutospacing="0" w:afterAutospacing="0"/>
        <w:jc w:val="center"/>
        <w:rPr>
          <w:color w:val="auto"/>
          <w:highlight w:val="none"/>
        </w:rPr>
      </w:pPr>
    </w:p>
    <w:p w14:paraId="2DF2EC53">
      <w:pPr>
        <w:pStyle w:val="33"/>
        <w:spacing w:beforeAutospacing="0" w:afterAutospacing="0"/>
        <w:jc w:val="center"/>
        <w:rPr>
          <w:color w:val="auto"/>
          <w:highlight w:val="none"/>
        </w:rPr>
      </w:pPr>
    </w:p>
    <w:p w14:paraId="0A59DF33">
      <w:pPr>
        <w:pStyle w:val="33"/>
        <w:spacing w:beforeAutospacing="0" w:afterAutospacing="0"/>
        <w:jc w:val="center"/>
        <w:rPr>
          <w:color w:val="auto"/>
          <w:highlight w:val="none"/>
        </w:rPr>
      </w:pPr>
    </w:p>
    <w:p w14:paraId="0F8D4BD8">
      <w:pPr>
        <w:pStyle w:val="33"/>
        <w:spacing w:beforeAutospacing="0" w:afterAutospacing="0"/>
        <w:jc w:val="center"/>
        <w:rPr>
          <w:color w:val="auto"/>
          <w:highlight w:val="none"/>
        </w:rPr>
      </w:pPr>
    </w:p>
    <w:p w14:paraId="695834DA">
      <w:pPr>
        <w:pStyle w:val="33"/>
        <w:spacing w:beforeAutospacing="0" w:afterAutospacing="0"/>
        <w:jc w:val="center"/>
        <w:rPr>
          <w:color w:val="auto"/>
          <w:highlight w:val="none"/>
        </w:rPr>
      </w:pPr>
    </w:p>
    <w:p w14:paraId="20DA1E72">
      <w:pPr>
        <w:pStyle w:val="33"/>
        <w:spacing w:beforeAutospacing="0" w:afterAutospacing="0"/>
        <w:jc w:val="center"/>
        <w:rPr>
          <w:color w:val="auto"/>
          <w:highlight w:val="none"/>
        </w:rPr>
      </w:pPr>
    </w:p>
    <w:p w14:paraId="48A4AA89">
      <w:pPr>
        <w:pStyle w:val="33"/>
        <w:spacing w:beforeAutospacing="0" w:afterAutospacing="0"/>
        <w:jc w:val="center"/>
        <w:rPr>
          <w:color w:val="auto"/>
          <w:highlight w:val="none"/>
        </w:rPr>
      </w:pPr>
    </w:p>
    <w:p w14:paraId="31896283">
      <w:pPr>
        <w:pStyle w:val="33"/>
        <w:spacing w:beforeAutospacing="0" w:afterAutospacing="0"/>
        <w:jc w:val="center"/>
        <w:rPr>
          <w:color w:val="auto"/>
          <w:highlight w:val="none"/>
        </w:rPr>
      </w:pPr>
    </w:p>
    <w:p w14:paraId="64613A6C">
      <w:pPr>
        <w:pStyle w:val="33"/>
        <w:spacing w:beforeAutospacing="0" w:afterAutospacing="0"/>
        <w:jc w:val="center"/>
        <w:rPr>
          <w:color w:val="auto"/>
          <w:highlight w:val="none"/>
        </w:rPr>
      </w:pPr>
    </w:p>
    <w:p w14:paraId="08E94768">
      <w:pPr>
        <w:pStyle w:val="33"/>
        <w:spacing w:beforeAutospacing="0" w:afterAutospacing="0"/>
        <w:jc w:val="center"/>
        <w:rPr>
          <w:color w:val="auto"/>
          <w:highlight w:val="none"/>
        </w:rPr>
      </w:pPr>
    </w:p>
    <w:p w14:paraId="0157F59B">
      <w:pPr>
        <w:pStyle w:val="33"/>
        <w:spacing w:beforeAutospacing="0" w:afterAutospacing="0"/>
        <w:jc w:val="center"/>
        <w:rPr>
          <w:color w:val="auto"/>
          <w:highlight w:val="none"/>
        </w:rPr>
      </w:pPr>
    </w:p>
    <w:p w14:paraId="7857A89D">
      <w:pPr>
        <w:pStyle w:val="33"/>
        <w:spacing w:beforeAutospacing="0" w:afterAutospacing="0"/>
        <w:jc w:val="center"/>
        <w:rPr>
          <w:color w:val="auto"/>
          <w:highlight w:val="none"/>
        </w:rPr>
      </w:pPr>
    </w:p>
    <w:p w14:paraId="02A69496">
      <w:pPr>
        <w:pStyle w:val="33"/>
        <w:spacing w:beforeAutospacing="0" w:afterAutospacing="0"/>
        <w:jc w:val="center"/>
        <w:rPr>
          <w:color w:val="auto"/>
          <w:highlight w:val="none"/>
        </w:rPr>
      </w:pPr>
    </w:p>
    <w:p w14:paraId="52886C76">
      <w:pPr>
        <w:pStyle w:val="33"/>
        <w:spacing w:beforeAutospacing="0" w:afterAutospacing="0"/>
        <w:jc w:val="center"/>
        <w:rPr>
          <w:color w:val="auto"/>
          <w:highlight w:val="none"/>
        </w:rPr>
      </w:pPr>
    </w:p>
    <w:p w14:paraId="17DCDF40">
      <w:pPr>
        <w:pStyle w:val="33"/>
        <w:spacing w:beforeAutospacing="0" w:afterAutospacing="0"/>
        <w:jc w:val="center"/>
        <w:rPr>
          <w:color w:val="auto"/>
          <w:highlight w:val="none"/>
        </w:rPr>
      </w:pPr>
    </w:p>
    <w:p w14:paraId="76C89021">
      <w:pPr>
        <w:pStyle w:val="33"/>
        <w:spacing w:beforeAutospacing="0" w:afterAutospacing="0"/>
        <w:jc w:val="center"/>
        <w:rPr>
          <w:color w:val="auto"/>
          <w:highlight w:val="none"/>
        </w:rPr>
      </w:pPr>
    </w:p>
    <w:p w14:paraId="78D92C78">
      <w:pPr>
        <w:pStyle w:val="33"/>
        <w:spacing w:beforeAutospacing="0" w:afterAutospacing="0"/>
        <w:jc w:val="center"/>
        <w:rPr>
          <w:color w:val="auto"/>
          <w:highlight w:val="none"/>
        </w:rPr>
      </w:pPr>
    </w:p>
    <w:p w14:paraId="204822FC">
      <w:pPr>
        <w:pStyle w:val="33"/>
        <w:spacing w:beforeAutospacing="0" w:afterAutospacing="0"/>
        <w:jc w:val="center"/>
        <w:rPr>
          <w:color w:val="auto"/>
          <w:highlight w:val="none"/>
        </w:rPr>
      </w:pPr>
    </w:p>
    <w:p w14:paraId="0DF59BB6">
      <w:pPr>
        <w:pStyle w:val="33"/>
        <w:spacing w:beforeAutospacing="0" w:afterAutospacing="0"/>
        <w:jc w:val="center"/>
        <w:rPr>
          <w:color w:val="auto"/>
          <w:highlight w:val="none"/>
        </w:rPr>
      </w:pPr>
    </w:p>
    <w:p w14:paraId="63F9178C">
      <w:pPr>
        <w:pStyle w:val="33"/>
        <w:spacing w:beforeAutospacing="0" w:afterAutospacing="0"/>
        <w:ind w:firstLine="480"/>
        <w:jc w:val="cente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十四、谈判报价表</w:t>
      </w:r>
    </w:p>
    <w:p w14:paraId="6D8E6FEF">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项目编号:</w:t>
      </w:r>
    </w:p>
    <w:p w14:paraId="235CC907">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本次为首次报价</w:t>
      </w:r>
    </w:p>
    <w:p w14:paraId="18C9BB69">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货币单位:人民币元</w:t>
      </w:r>
    </w:p>
    <w:p w14:paraId="3406A865">
      <w:pPr>
        <w:pStyle w:val="33"/>
        <w:spacing w:beforeAutospacing="0" w:afterAutospacing="0"/>
        <w:ind w:firstLine="480"/>
        <w:jc w:val="both"/>
        <w:rPr>
          <w:rFonts w:hint="eastAsia" w:ascii="宋体" w:hAnsi="宋体" w:eastAsia="宋体" w:cs="宋体"/>
          <w:b/>
          <w:color w:val="auto"/>
          <w:sz w:val="24"/>
          <w:szCs w:val="24"/>
          <w:highlight w:val="none"/>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7"/>
        <w:gridCol w:w="2407"/>
        <w:gridCol w:w="2407"/>
        <w:gridCol w:w="2407"/>
      </w:tblGrid>
      <w:tr w14:paraId="2FB9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7" w:type="dxa"/>
          </w:tcPr>
          <w:p w14:paraId="320FCBD3">
            <w:pPr>
              <w:pStyle w:val="33"/>
              <w:spacing w:beforeAutospacing="0" w:afterAutospacing="0"/>
              <w:jc w:val="both"/>
              <w:rPr>
                <w:rFonts w:hint="eastAsia" w:ascii="宋体" w:hAnsi="宋体" w:eastAsia="宋体" w:cs="宋体"/>
                <w:b/>
                <w:color w:val="auto"/>
                <w:sz w:val="24"/>
                <w:szCs w:val="24"/>
                <w:highlight w:val="none"/>
                <w:vertAlign w:val="baseline"/>
              </w:rPr>
            </w:pPr>
            <w:r>
              <w:rPr>
                <w:rFonts w:hint="eastAsia" w:ascii="宋体" w:hAnsi="宋体" w:eastAsia="宋体" w:cs="宋体"/>
                <w:b/>
                <w:color w:val="auto"/>
                <w:sz w:val="24"/>
                <w:szCs w:val="24"/>
                <w:highlight w:val="none"/>
              </w:rPr>
              <w:t>项目名称</w:t>
            </w:r>
          </w:p>
        </w:tc>
        <w:tc>
          <w:tcPr>
            <w:tcW w:w="2407" w:type="dxa"/>
          </w:tcPr>
          <w:p w14:paraId="38A296EF">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项目内容</w:t>
            </w:r>
          </w:p>
          <w:p w14:paraId="7F5422AA">
            <w:pPr>
              <w:pStyle w:val="33"/>
              <w:spacing w:beforeAutospacing="0" w:afterAutospacing="0"/>
              <w:jc w:val="both"/>
              <w:rPr>
                <w:rFonts w:hint="eastAsia" w:ascii="宋体" w:hAnsi="宋体" w:eastAsia="宋体" w:cs="宋体"/>
                <w:b/>
                <w:color w:val="auto"/>
                <w:sz w:val="24"/>
                <w:szCs w:val="24"/>
                <w:highlight w:val="none"/>
                <w:vertAlign w:val="baseline"/>
              </w:rPr>
            </w:pPr>
          </w:p>
        </w:tc>
        <w:tc>
          <w:tcPr>
            <w:tcW w:w="2407" w:type="dxa"/>
          </w:tcPr>
          <w:p w14:paraId="018F363B">
            <w:pPr>
              <w:pStyle w:val="33"/>
              <w:spacing w:beforeAutospacing="0" w:afterAutospacing="0"/>
              <w:jc w:val="both"/>
              <w:rPr>
                <w:rFonts w:hint="eastAsia" w:ascii="宋体" w:hAnsi="宋体" w:eastAsia="宋体" w:cs="宋体"/>
                <w:b/>
                <w:color w:val="auto"/>
                <w:sz w:val="24"/>
                <w:szCs w:val="24"/>
                <w:highlight w:val="none"/>
                <w:vertAlign w:val="baseline"/>
              </w:rPr>
            </w:pPr>
            <w:r>
              <w:rPr>
                <w:rFonts w:hint="eastAsia" w:ascii="宋体" w:hAnsi="宋体" w:eastAsia="宋体" w:cs="宋体"/>
                <w:b/>
                <w:color w:val="auto"/>
                <w:sz w:val="24"/>
                <w:szCs w:val="24"/>
                <w:highlight w:val="none"/>
              </w:rPr>
              <w:t>报价(小写)</w:t>
            </w:r>
          </w:p>
        </w:tc>
        <w:tc>
          <w:tcPr>
            <w:tcW w:w="2407" w:type="dxa"/>
          </w:tcPr>
          <w:p w14:paraId="610C0D9F">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p w14:paraId="1141FA19">
            <w:pPr>
              <w:pStyle w:val="33"/>
              <w:spacing w:beforeAutospacing="0" w:afterAutospacing="0"/>
              <w:jc w:val="both"/>
              <w:rPr>
                <w:rFonts w:hint="eastAsia" w:ascii="宋体" w:hAnsi="宋体" w:eastAsia="宋体" w:cs="宋体"/>
                <w:b/>
                <w:color w:val="auto"/>
                <w:sz w:val="24"/>
                <w:szCs w:val="24"/>
                <w:highlight w:val="none"/>
                <w:vertAlign w:val="baseline"/>
              </w:rPr>
            </w:pPr>
          </w:p>
        </w:tc>
      </w:tr>
      <w:tr w14:paraId="0402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7" w:type="dxa"/>
          </w:tcPr>
          <w:p w14:paraId="28D7DDE3">
            <w:pPr>
              <w:pStyle w:val="33"/>
              <w:spacing w:beforeAutospacing="0" w:afterAutospacing="0"/>
              <w:jc w:val="both"/>
              <w:rPr>
                <w:rFonts w:hint="eastAsia" w:ascii="宋体" w:hAnsi="宋体" w:eastAsia="宋体" w:cs="宋体"/>
                <w:b/>
                <w:color w:val="auto"/>
                <w:sz w:val="24"/>
                <w:szCs w:val="24"/>
                <w:highlight w:val="none"/>
                <w:vertAlign w:val="baseline"/>
              </w:rPr>
            </w:pPr>
            <w:r>
              <w:rPr>
                <w:rFonts w:hint="eastAsia"/>
                <w:color w:val="auto"/>
                <w:highlight w:val="none"/>
              </w:rPr>
              <w:t>江苏省盐城中学拔尖创新人才培养课程项目</w:t>
            </w:r>
          </w:p>
        </w:tc>
        <w:tc>
          <w:tcPr>
            <w:tcW w:w="2407" w:type="dxa"/>
          </w:tcPr>
          <w:p w14:paraId="5D3FD2B9">
            <w:pPr>
              <w:pStyle w:val="33"/>
              <w:spacing w:beforeAutospacing="0" w:afterAutospacing="0"/>
              <w:jc w:val="both"/>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详见</w:t>
            </w:r>
            <w:r>
              <w:rPr>
                <w:rFonts w:hint="eastAsia" w:ascii="微软雅黑" w:hAnsi="微软雅黑" w:eastAsia="微软雅黑" w:cs="微软雅黑"/>
                <w:b/>
                <w:color w:val="auto"/>
                <w:sz w:val="24"/>
                <w:szCs w:val="24"/>
                <w:highlight w:val="none"/>
                <w:vertAlign w:val="baseline"/>
                <w:lang w:val="en-US" w:eastAsia="zh-CN"/>
              </w:rPr>
              <w:t>《</w:t>
            </w:r>
            <w:r>
              <w:rPr>
                <w:rFonts w:hint="eastAsia" w:ascii="宋体" w:hAnsi="宋体" w:eastAsia="宋体" w:cs="宋体"/>
                <w:b/>
                <w:color w:val="auto"/>
                <w:sz w:val="24"/>
                <w:szCs w:val="24"/>
                <w:highlight w:val="none"/>
                <w:vertAlign w:val="baseline"/>
                <w:lang w:val="en-US" w:eastAsia="zh-CN"/>
              </w:rPr>
              <w:t>谈判文件</w:t>
            </w:r>
            <w:r>
              <w:rPr>
                <w:rFonts w:hint="eastAsia" w:ascii="微软雅黑" w:hAnsi="微软雅黑" w:eastAsia="微软雅黑" w:cs="微软雅黑"/>
                <w:b/>
                <w:color w:val="auto"/>
                <w:sz w:val="24"/>
                <w:szCs w:val="24"/>
                <w:highlight w:val="none"/>
                <w:vertAlign w:val="baseline"/>
                <w:lang w:val="en-US" w:eastAsia="zh-CN"/>
              </w:rPr>
              <w:t>》</w:t>
            </w:r>
          </w:p>
        </w:tc>
        <w:tc>
          <w:tcPr>
            <w:tcW w:w="2407" w:type="dxa"/>
          </w:tcPr>
          <w:p w14:paraId="03616B66">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元</w:t>
            </w:r>
          </w:p>
          <w:p w14:paraId="3887F6CD">
            <w:pPr>
              <w:pStyle w:val="33"/>
              <w:spacing w:beforeAutospacing="0" w:afterAutospacing="0"/>
              <w:jc w:val="both"/>
              <w:rPr>
                <w:rFonts w:hint="eastAsia" w:ascii="宋体" w:hAnsi="宋体" w:eastAsia="宋体" w:cs="宋体"/>
                <w:b/>
                <w:color w:val="auto"/>
                <w:sz w:val="24"/>
                <w:szCs w:val="24"/>
                <w:highlight w:val="none"/>
                <w:vertAlign w:val="baseline"/>
              </w:rPr>
            </w:pPr>
          </w:p>
        </w:tc>
        <w:tc>
          <w:tcPr>
            <w:tcW w:w="2407" w:type="dxa"/>
          </w:tcPr>
          <w:p w14:paraId="633BC335">
            <w:pPr>
              <w:pStyle w:val="33"/>
              <w:spacing w:beforeAutospacing="0" w:afterAutospacing="0"/>
              <w:jc w:val="both"/>
              <w:rPr>
                <w:rFonts w:hint="eastAsia" w:ascii="宋体" w:hAnsi="宋体" w:eastAsia="宋体" w:cs="宋体"/>
                <w:b/>
                <w:color w:val="auto"/>
                <w:sz w:val="24"/>
                <w:szCs w:val="24"/>
                <w:highlight w:val="none"/>
                <w:vertAlign w:val="baseline"/>
              </w:rPr>
            </w:pPr>
          </w:p>
        </w:tc>
      </w:tr>
      <w:tr w14:paraId="7287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7" w:type="dxa"/>
          </w:tcPr>
          <w:p w14:paraId="3440F691">
            <w:pPr>
              <w:pStyle w:val="33"/>
              <w:spacing w:beforeAutospacing="0" w:afterAutospacing="0"/>
              <w:jc w:val="both"/>
              <w:rPr>
                <w:rFonts w:hint="eastAsia" w:ascii="宋体" w:hAnsi="宋体" w:eastAsia="宋体" w:cs="宋体"/>
                <w:b/>
                <w:color w:val="auto"/>
                <w:sz w:val="24"/>
                <w:szCs w:val="24"/>
                <w:highlight w:val="none"/>
                <w:vertAlign w:val="baseline"/>
              </w:rPr>
            </w:pPr>
            <w:r>
              <w:rPr>
                <w:rFonts w:hint="eastAsia" w:ascii="宋体" w:hAnsi="宋体" w:eastAsia="宋体" w:cs="宋体"/>
                <w:b/>
                <w:color w:val="auto"/>
                <w:sz w:val="24"/>
                <w:szCs w:val="24"/>
                <w:highlight w:val="none"/>
              </w:rPr>
              <w:t>报价(大写):</w:t>
            </w:r>
          </w:p>
        </w:tc>
        <w:tc>
          <w:tcPr>
            <w:tcW w:w="2407" w:type="dxa"/>
          </w:tcPr>
          <w:p w14:paraId="7800C3B4">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金额大写</w:t>
            </w:r>
          </w:p>
          <w:p w14:paraId="2068B855">
            <w:pPr>
              <w:pStyle w:val="33"/>
              <w:spacing w:beforeAutospacing="0" w:afterAutospacing="0"/>
              <w:jc w:val="both"/>
              <w:rPr>
                <w:rFonts w:hint="eastAsia" w:ascii="宋体" w:hAnsi="宋体" w:eastAsia="宋体" w:cs="宋体"/>
                <w:b/>
                <w:color w:val="auto"/>
                <w:sz w:val="24"/>
                <w:szCs w:val="24"/>
                <w:highlight w:val="none"/>
                <w:vertAlign w:val="baseline"/>
              </w:rPr>
            </w:pPr>
          </w:p>
        </w:tc>
        <w:tc>
          <w:tcPr>
            <w:tcW w:w="2407" w:type="dxa"/>
          </w:tcPr>
          <w:p w14:paraId="4D4DE54B">
            <w:pPr>
              <w:pStyle w:val="33"/>
              <w:spacing w:beforeAutospacing="0" w:afterAutospacing="0"/>
              <w:jc w:val="both"/>
              <w:rPr>
                <w:rFonts w:hint="eastAsia" w:ascii="宋体" w:hAnsi="宋体" w:eastAsia="宋体" w:cs="宋体"/>
                <w:b/>
                <w:color w:val="auto"/>
                <w:sz w:val="24"/>
                <w:szCs w:val="24"/>
                <w:highlight w:val="none"/>
                <w:vertAlign w:val="baseline"/>
              </w:rPr>
            </w:pPr>
          </w:p>
        </w:tc>
        <w:tc>
          <w:tcPr>
            <w:tcW w:w="2407" w:type="dxa"/>
          </w:tcPr>
          <w:p w14:paraId="08262DEA">
            <w:pPr>
              <w:pStyle w:val="33"/>
              <w:spacing w:beforeAutospacing="0" w:afterAutospacing="0"/>
              <w:jc w:val="both"/>
              <w:rPr>
                <w:rFonts w:hint="eastAsia" w:ascii="宋体" w:hAnsi="宋体" w:eastAsia="宋体" w:cs="宋体"/>
                <w:b/>
                <w:color w:val="auto"/>
                <w:sz w:val="24"/>
                <w:szCs w:val="24"/>
                <w:highlight w:val="none"/>
                <w:vertAlign w:val="baseline"/>
              </w:rPr>
            </w:pPr>
          </w:p>
        </w:tc>
      </w:tr>
    </w:tbl>
    <w:p w14:paraId="73FEC839">
      <w:pPr>
        <w:pStyle w:val="33"/>
        <w:spacing w:beforeAutospacing="0" w:afterAutospacing="0"/>
        <w:ind w:firstLine="480"/>
        <w:jc w:val="both"/>
        <w:rPr>
          <w:rFonts w:hint="eastAsia" w:ascii="宋体" w:hAnsi="宋体" w:eastAsia="宋体" w:cs="宋体"/>
          <w:b/>
          <w:color w:val="auto"/>
          <w:sz w:val="24"/>
          <w:szCs w:val="24"/>
          <w:highlight w:val="none"/>
        </w:rPr>
      </w:pPr>
    </w:p>
    <w:p w14:paraId="7C27A802">
      <w:pPr>
        <w:pStyle w:val="33"/>
        <w:spacing w:beforeAutospacing="0" w:afterAutospacing="0"/>
        <w:ind w:firstLine="480"/>
        <w:jc w:val="both"/>
        <w:rPr>
          <w:rFonts w:hint="eastAsia" w:ascii="宋体" w:hAnsi="宋体" w:eastAsia="宋体" w:cs="宋体"/>
          <w:b/>
          <w:color w:val="auto"/>
          <w:sz w:val="24"/>
          <w:szCs w:val="24"/>
          <w:highlight w:val="none"/>
        </w:rPr>
      </w:pPr>
    </w:p>
    <w:p w14:paraId="0B6C1002">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供应商报价说明:</w:t>
      </w:r>
    </w:p>
    <w:p w14:paraId="059373A8">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1、采购人不需再支付报价以外的任何费用。</w:t>
      </w:r>
    </w:p>
    <w:p w14:paraId="2A905C73">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2、偏离说明:详见《偏离表》。</w:t>
      </w:r>
    </w:p>
    <w:p w14:paraId="1B67445C">
      <w:pPr>
        <w:pStyle w:val="33"/>
        <w:spacing w:beforeAutospacing="0" w:afterAutospacing="0"/>
        <w:ind w:firstLine="480"/>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3、报价大小写不一致以大写为准。</w:t>
      </w:r>
    </w:p>
    <w:p w14:paraId="6A5EA226">
      <w:pPr>
        <w:pStyle w:val="33"/>
        <w:spacing w:beforeAutospacing="0" w:afterAutospacing="0"/>
        <w:ind w:firstLine="480"/>
        <w:jc w:val="both"/>
        <w:rPr>
          <w:rFonts w:hint="eastAsia" w:ascii="宋体" w:hAnsi="宋体" w:eastAsia="宋体" w:cs="宋体"/>
          <w:b/>
          <w:color w:val="auto"/>
          <w:sz w:val="24"/>
          <w:szCs w:val="24"/>
          <w:highlight w:val="none"/>
        </w:rPr>
      </w:pPr>
    </w:p>
    <w:p w14:paraId="0AAD39FD">
      <w:pPr>
        <w:pStyle w:val="33"/>
        <w:spacing w:beforeAutospacing="0" w:afterAutospacing="0"/>
        <w:ind w:firstLine="6086" w:firstLineChars="2526"/>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供应商公章:</w:t>
      </w:r>
    </w:p>
    <w:p w14:paraId="735D70B9">
      <w:pPr>
        <w:pStyle w:val="3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  期：</w:t>
      </w:r>
    </w:p>
    <w:p w14:paraId="598E96C4">
      <w:pPr>
        <w:pStyle w:val="33"/>
        <w:spacing w:beforeAutospacing="0" w:afterAutospacing="0"/>
        <w:jc w:val="center"/>
        <w:rPr>
          <w:rFonts w:hint="eastAsia" w:ascii="宋体" w:hAnsi="宋体" w:eastAsia="宋体" w:cs="宋体"/>
          <w:color w:val="auto"/>
          <w:highlight w:val="none"/>
        </w:rPr>
      </w:pPr>
    </w:p>
    <w:p w14:paraId="4B468C5B">
      <w:pPr>
        <w:pStyle w:val="3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color w:val="auto"/>
          <w:highlight w:val="none"/>
        </w:rPr>
        <w:t xml:space="preserve"> 日  期：</w:t>
      </w:r>
    </w:p>
    <w:p w14:paraId="2AEA0882">
      <w:pPr>
        <w:widowControl/>
        <w:jc w:val="left"/>
        <w:rPr>
          <w:rFonts w:hint="eastAsia" w:ascii="宋体" w:hAnsi="宋体" w:eastAsia="宋体" w:cs="宋体"/>
          <w:color w:val="auto"/>
          <w:sz w:val="32"/>
          <w:szCs w:val="32"/>
          <w:highlight w:val="none"/>
        </w:rPr>
      </w:pPr>
    </w:p>
    <w:p w14:paraId="3EB50D29">
      <w:pPr>
        <w:pStyle w:val="33"/>
        <w:spacing w:beforeAutospacing="0" w:afterAutospacing="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十五、盐城市政府采购事前信用承诺书</w:t>
      </w:r>
    </w:p>
    <w:p w14:paraId="03A90DFC">
      <w:pPr>
        <w:pStyle w:val="33"/>
        <w:spacing w:beforeAutospacing="0" w:afterAutospacing="0"/>
        <w:jc w:val="both"/>
        <w:rPr>
          <w:color w:val="auto"/>
          <w:highlight w:val="none"/>
        </w:rPr>
      </w:pPr>
    </w:p>
    <w:p w14:paraId="54575192">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为营造我市公开、公平、公正、诚实守信的政府采购交易环境，树立诚信守法的</w:t>
      </w:r>
      <w:r>
        <w:rPr>
          <w:rFonts w:hint="eastAsia" w:ascii="宋体" w:hAnsi="宋体" w:eastAsia="宋体" w:cs="宋体"/>
          <w:color w:val="auto"/>
          <w:sz w:val="24"/>
          <w:highlight w:val="none"/>
          <w:lang w:eastAsia="zh-CN"/>
        </w:rPr>
        <w:t>供应商</w:t>
      </w:r>
      <w:r>
        <w:rPr>
          <w:rFonts w:ascii="宋体" w:hAnsi="宋体" w:eastAsia="宋体" w:cs="宋体"/>
          <w:color w:val="auto"/>
          <w:sz w:val="24"/>
          <w:highlight w:val="none"/>
        </w:rPr>
        <w:t>形象，本人代表本单位作出以下承诺：</w:t>
      </w:r>
    </w:p>
    <w:p w14:paraId="44D404AC">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62EF76B">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2019A73">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（三）严格依照国家和省、市关于政府采购的法律、法规、规章、规范性文件，参加政府采购投标活动；积极履行社会责任，促进廉政建设；</w:t>
      </w:r>
    </w:p>
    <w:p w14:paraId="53C54EDE">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（四）严格遵守即时信息公示规定，及时维护和更新维护和更新盐城市政府采购网中与本单位相关的信息；</w:t>
      </w:r>
    </w:p>
    <w:p w14:paraId="65EAE945">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ACAD3AB">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（六）自觉接受政府、行业组织、社会公众、新闻舆论的监督；</w:t>
      </w:r>
    </w:p>
    <w:p w14:paraId="0B3F6D97">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3C7F22D">
      <w:pPr>
        <w:pBdr>
          <w:top w:val="none" w:color="000000" w:sz="0" w:space="0"/>
          <w:left w:val="none" w:color="000000" w:sz="0" w:space="0"/>
          <w:bottom w:val="none" w:color="000000" w:sz="0" w:space="0"/>
          <w:right w:val="none" w:color="000000" w:sz="0" w:space="0"/>
        </w:pBdr>
        <w:spacing w:line="360" w:lineRule="auto"/>
        <w:ind w:firstLine="480"/>
        <w:jc w:val="left"/>
        <w:rPr>
          <w:color w:val="auto"/>
          <w:highlight w:val="none"/>
        </w:rPr>
      </w:pPr>
      <w:r>
        <w:rPr>
          <w:rFonts w:ascii="宋体" w:hAnsi="宋体" w:eastAsia="宋体" w:cs="宋体"/>
          <w:color w:val="auto"/>
          <w:sz w:val="24"/>
          <w:highlight w:val="none"/>
        </w:rPr>
        <w:t>（八）本人已认真阅读了上述承诺，并向本单位员工作了宣传教育。</w:t>
      </w:r>
    </w:p>
    <w:p w14:paraId="202797FD">
      <w:pPr>
        <w:pBdr>
          <w:top w:val="none" w:color="000000" w:sz="0" w:space="0"/>
          <w:left w:val="none" w:color="000000" w:sz="0" w:space="0"/>
          <w:bottom w:val="none" w:color="000000" w:sz="0" w:space="0"/>
          <w:right w:val="none" w:color="000000" w:sz="0" w:space="0"/>
        </w:pBdr>
        <w:spacing w:line="499" w:lineRule="atLeast"/>
        <w:ind w:firstLine="420"/>
        <w:jc w:val="center"/>
        <w:rPr>
          <w:color w:val="auto"/>
          <w:highlight w:val="none"/>
        </w:rPr>
      </w:pPr>
      <w:r>
        <w:rPr>
          <w:rFonts w:ascii="宋体" w:hAnsi="宋体" w:eastAsia="宋体" w:cs="宋体"/>
          <w:color w:val="auto"/>
          <w:sz w:val="24"/>
          <w:highlight w:val="none"/>
        </w:rPr>
        <w:t>                  法定代表人</w:t>
      </w:r>
      <w:r>
        <w:rPr>
          <w:rFonts w:hint="eastAsia" w:ascii="宋体" w:hAnsi="宋体" w:eastAsia="宋体" w:cs="宋体"/>
          <w:color w:val="auto"/>
          <w:sz w:val="24"/>
          <w:highlight w:val="none"/>
        </w:rPr>
        <w:t>（签字或盖章）</w:t>
      </w:r>
      <w:r>
        <w:rPr>
          <w:rFonts w:ascii="宋体" w:hAnsi="宋体" w:eastAsia="宋体" w:cs="宋体"/>
          <w:color w:val="auto"/>
          <w:sz w:val="24"/>
          <w:highlight w:val="none"/>
        </w:rPr>
        <w:t>：</w:t>
      </w:r>
    </w:p>
    <w:p w14:paraId="2443F791">
      <w:pPr>
        <w:pBdr>
          <w:top w:val="none" w:color="000000" w:sz="0" w:space="0"/>
          <w:left w:val="none" w:color="000000" w:sz="0" w:space="0"/>
          <w:bottom w:val="none" w:color="000000" w:sz="0" w:space="0"/>
          <w:right w:val="none" w:color="000000" w:sz="0" w:space="0"/>
        </w:pBdr>
        <w:spacing w:line="499" w:lineRule="atLeast"/>
        <w:ind w:firstLine="420"/>
        <w:jc w:val="center"/>
        <w:rPr>
          <w:color w:val="auto"/>
          <w:highlight w:val="none"/>
        </w:rPr>
      </w:pPr>
      <w:r>
        <w:rPr>
          <w:rFonts w:ascii="宋体" w:hAnsi="宋体" w:eastAsia="宋体" w:cs="宋体"/>
          <w:color w:val="auto"/>
          <w:sz w:val="24"/>
          <w:highlight w:val="none"/>
        </w:rPr>
        <w:t>                   单位名称（盖章）：</w:t>
      </w:r>
    </w:p>
    <w:p w14:paraId="0997B3A4">
      <w:pPr>
        <w:pBdr>
          <w:top w:val="none" w:color="000000" w:sz="0" w:space="0"/>
          <w:left w:val="none" w:color="000000" w:sz="0" w:space="0"/>
          <w:bottom w:val="none" w:color="000000" w:sz="0" w:space="0"/>
          <w:right w:val="none" w:color="000000" w:sz="0" w:space="0"/>
        </w:pBdr>
        <w:spacing w:line="499" w:lineRule="atLeast"/>
        <w:ind w:firstLine="420"/>
        <w:jc w:val="center"/>
        <w:rPr>
          <w:color w:val="auto"/>
          <w:highlight w:val="none"/>
        </w:rPr>
      </w:pPr>
      <w:r>
        <w:rPr>
          <w:rFonts w:ascii="宋体" w:hAnsi="宋体" w:eastAsia="宋体" w:cs="宋体"/>
          <w:color w:val="auto"/>
          <w:sz w:val="24"/>
          <w:highlight w:val="none"/>
        </w:rPr>
        <w:t>                  年   月   日</w:t>
      </w:r>
      <w:bookmarkEnd w:id="7"/>
      <w:bookmarkEnd w:id="58"/>
      <w:bookmarkEnd w:id="105"/>
      <w:bookmarkEnd w:id="106"/>
      <w:bookmarkEnd w:id="107"/>
      <w:bookmarkEnd w:id="108"/>
      <w:bookmarkEnd w:id="109"/>
      <w:bookmarkEnd w:id="110"/>
      <w:bookmarkEnd w:id="111"/>
      <w:bookmarkEnd w:id="112"/>
      <w:bookmarkEnd w:id="121"/>
      <w:bookmarkEnd w:id="122"/>
      <w:bookmarkEnd w:id="129"/>
      <w:bookmarkEnd w:id="175"/>
      <w:bookmarkEnd w:id="176"/>
      <w:bookmarkEnd w:id="181"/>
      <w:bookmarkEnd w:id="184"/>
      <w:bookmarkEnd w:id="185"/>
      <w:bookmarkEnd w:id="186"/>
      <w:bookmarkEnd w:id="187"/>
      <w:bookmarkEnd w:id="188"/>
      <w:bookmarkEnd w:id="189"/>
      <w:bookmarkEnd w:id="190"/>
      <w:bookmarkEnd w:id="191"/>
      <w:bookmarkEnd w:id="200"/>
      <w:bookmarkEnd w:id="201"/>
      <w:bookmarkEnd w:id="202"/>
      <w:bookmarkEnd w:id="203"/>
      <w:bookmarkEnd w:id="204"/>
    </w:p>
    <w:p w14:paraId="7FC37D5A">
      <w:pPr>
        <w:pStyle w:val="33"/>
        <w:spacing w:beforeAutospacing="0" w:afterAutospacing="0"/>
        <w:jc w:val="center"/>
        <w:rPr>
          <w:rFonts w:ascii="宋体" w:hAnsi="宋体" w:eastAsia="宋体" w:cs="宋体"/>
          <w:b/>
          <w:color w:val="auto"/>
          <w:sz w:val="32"/>
          <w:szCs w:val="32"/>
          <w:highlight w:val="none"/>
        </w:rPr>
      </w:pPr>
    </w:p>
    <w:p w14:paraId="6EA19759">
      <w:pPr>
        <w:widowControl/>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p>
    <w:p w14:paraId="5C7DC057">
      <w:pPr>
        <w:pStyle w:val="33"/>
        <w:spacing w:beforeAutospacing="0" w:afterAutospacing="0"/>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十六、谈判文件要求的或供应商认为应当提供的其他资料</w:t>
      </w:r>
    </w:p>
    <w:p w14:paraId="5F37682C">
      <w:pPr>
        <w:pStyle w:val="33"/>
        <w:spacing w:beforeAutospacing="0" w:afterAutospacing="0"/>
        <w:rPr>
          <w:rFonts w:ascii="宋体" w:hAnsi="宋体" w:eastAsia="宋体" w:cs="宋体"/>
          <w:color w:val="auto"/>
          <w:sz w:val="32"/>
          <w:szCs w:val="32"/>
          <w:highlight w:val="none"/>
        </w:rPr>
      </w:pPr>
    </w:p>
    <w:p w14:paraId="01A7055E">
      <w:pPr>
        <w:pStyle w:val="33"/>
        <w:spacing w:beforeAutospacing="0" w:afterAutospacing="0"/>
        <w:rPr>
          <w:rFonts w:ascii="宋体" w:hAnsi="宋体" w:eastAsia="宋体" w:cs="宋体"/>
          <w:color w:val="auto"/>
          <w:sz w:val="32"/>
          <w:szCs w:val="32"/>
          <w:highlight w:val="none"/>
        </w:rPr>
      </w:pPr>
    </w:p>
    <w:p w14:paraId="3E5936FE">
      <w:pPr>
        <w:pStyle w:val="33"/>
        <w:spacing w:beforeAutospacing="0" w:afterAutospacing="0"/>
        <w:rPr>
          <w:rFonts w:ascii="宋体" w:hAnsi="宋体" w:eastAsia="宋体" w:cs="宋体"/>
          <w:color w:val="auto"/>
          <w:sz w:val="32"/>
          <w:szCs w:val="32"/>
          <w:highlight w:val="none"/>
        </w:rPr>
      </w:pPr>
    </w:p>
    <w:p w14:paraId="1A57D387">
      <w:pPr>
        <w:widowControl/>
        <w:jc w:val="left"/>
        <w:rPr>
          <w:rFonts w:ascii="宋体" w:hAnsi="宋体" w:eastAsia="宋体" w:cs="宋体"/>
          <w:b/>
          <w:color w:val="auto"/>
          <w:sz w:val="32"/>
          <w:szCs w:val="32"/>
          <w:highlight w:val="none"/>
        </w:rPr>
      </w:pPr>
      <w:r>
        <w:rPr>
          <w:rFonts w:ascii="宋体" w:hAnsi="宋体" w:eastAsia="宋体" w:cs="宋体"/>
          <w:b/>
          <w:color w:val="auto"/>
          <w:sz w:val="32"/>
          <w:szCs w:val="32"/>
          <w:highlight w:val="none"/>
        </w:rPr>
        <w:br w:type="page" w:clear="all"/>
      </w:r>
    </w:p>
    <w:p w14:paraId="0FDBA3B8">
      <w:pPr>
        <w:pStyle w:val="3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DE260A7">
      <w:pPr>
        <w:pStyle w:val="3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2C73A188">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099B5B9">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B8269D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AC9E843">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059B53F">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1EF176E3">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8997B2D">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70B8595">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2A707ED">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750B908A">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F346BC2">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5D6D89E">
      <w:pPr>
        <w:pStyle w:val="3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32D5CBA">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8165FEB">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584ED87">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5C7D7C10">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54528D60">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D599316">
      <w:pPr>
        <w:pStyle w:val="3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A29B5F4">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48C493B">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091AD8D8">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3D2806B1">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6A8A49C">
      <w:pPr>
        <w:pStyle w:val="3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3D67B6A6">
      <w:pPr>
        <w:pStyle w:val="3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FF5F1F0">
      <w:pPr>
        <w:pStyle w:val="3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12BF83E1">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213D7DF3">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20498D8">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08FB554E">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17BADF7C">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A4A4085">
      <w:pPr>
        <w:pStyle w:val="3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2E01366">
      <w:pPr>
        <w:pStyle w:val="3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0A2FFD88">
      <w:pPr>
        <w:rPr>
          <w:color w:val="auto"/>
          <w:highlight w:val="none"/>
        </w:rPr>
      </w:pPr>
    </w:p>
    <w:p w14:paraId="1682B474">
      <w:pPr>
        <w:pStyle w:val="33"/>
        <w:spacing w:beforeAutospacing="0" w:afterAutospacing="0"/>
        <w:jc w:val="center"/>
        <w:rPr>
          <w:color w:val="auto"/>
          <w:highlight w:val="none"/>
        </w:rPr>
      </w:pPr>
    </w:p>
    <w:p w14:paraId="0D6A4C3A">
      <w:pPr>
        <w:rPr>
          <w:color w:val="auto"/>
          <w:highlight w:val="none"/>
        </w:rPr>
      </w:pPr>
    </w:p>
    <w:sectPr>
      <w:pgSz w:w="11906" w:h="16838"/>
      <w:pgMar w:top="1134" w:right="1247" w:bottom="1134" w:left="124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auto"/>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A3271">
    <w:pPr>
      <w:pStyle w:val="2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C8321E">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NUMPAGES \* MERGEFORMAT</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35C8321E">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NUMPAGES \* MERGEFORMAT</w:instrText>
                    </w:r>
                    <w:r>
                      <w:fldChar w:fldCharType="separate"/>
                    </w:r>
                    <w:r>
                      <w:t>59</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D30C19"/>
    <w:multiLevelType w:val="multilevel"/>
    <w:tmpl w:val="D4D30C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91984"/>
    <w:rsid w:val="06D870D9"/>
    <w:rsid w:val="08935065"/>
    <w:rsid w:val="098837B8"/>
    <w:rsid w:val="09F532F6"/>
    <w:rsid w:val="0F783207"/>
    <w:rsid w:val="12751C80"/>
    <w:rsid w:val="12C34799"/>
    <w:rsid w:val="145A1902"/>
    <w:rsid w:val="16014137"/>
    <w:rsid w:val="16547C2D"/>
    <w:rsid w:val="16CB4564"/>
    <w:rsid w:val="16FA2753"/>
    <w:rsid w:val="190141A6"/>
    <w:rsid w:val="1954439D"/>
    <w:rsid w:val="1A1A1D9C"/>
    <w:rsid w:val="23D06D16"/>
    <w:rsid w:val="24CA5E5B"/>
    <w:rsid w:val="2973624D"/>
    <w:rsid w:val="299E0408"/>
    <w:rsid w:val="2E0A6052"/>
    <w:rsid w:val="2F715851"/>
    <w:rsid w:val="31551C74"/>
    <w:rsid w:val="32750D63"/>
    <w:rsid w:val="34086058"/>
    <w:rsid w:val="34846DDB"/>
    <w:rsid w:val="357A4D33"/>
    <w:rsid w:val="363C55D1"/>
    <w:rsid w:val="378620B5"/>
    <w:rsid w:val="3D424389"/>
    <w:rsid w:val="453F0687"/>
    <w:rsid w:val="464F770D"/>
    <w:rsid w:val="46B61944"/>
    <w:rsid w:val="4812704D"/>
    <w:rsid w:val="4B5E0F27"/>
    <w:rsid w:val="4DAF7B35"/>
    <w:rsid w:val="4DC22C19"/>
    <w:rsid w:val="4EA2112B"/>
    <w:rsid w:val="500F4BEA"/>
    <w:rsid w:val="59345076"/>
    <w:rsid w:val="5CDC7EFE"/>
    <w:rsid w:val="5ECC5D50"/>
    <w:rsid w:val="5F6B7317"/>
    <w:rsid w:val="5FFE462F"/>
    <w:rsid w:val="60E17E2D"/>
    <w:rsid w:val="624A0E64"/>
    <w:rsid w:val="63E91153"/>
    <w:rsid w:val="655B7E2E"/>
    <w:rsid w:val="65F938CF"/>
    <w:rsid w:val="66174109"/>
    <w:rsid w:val="6CF44DF0"/>
    <w:rsid w:val="6D2A25C0"/>
    <w:rsid w:val="6E33275F"/>
    <w:rsid w:val="73D14B1B"/>
    <w:rsid w:val="74730CF0"/>
    <w:rsid w:val="75716951"/>
    <w:rsid w:val="76E926FE"/>
    <w:rsid w:val="7D807FDA"/>
    <w:rsid w:val="7E042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rPr>
  </w:style>
  <w:style w:type="paragraph" w:styleId="2">
    <w:name w:val="heading 1"/>
    <w:basedOn w:val="1"/>
    <w:next w:val="1"/>
    <w:link w:val="9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230"/>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9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0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0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0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5"/>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
    <w:unhideWhenUsed/>
    <w:qFormat/>
    <w:uiPriority w:val="0"/>
    <w:pPr>
      <w:spacing w:after="120"/>
    </w:pPr>
    <w:rPr>
      <w:rFonts w:ascii="Calibri" w:hAnsi="Calibri"/>
      <w:szCs w:val="22"/>
    </w:rPr>
  </w:style>
  <w:style w:type="paragraph" w:styleId="15">
    <w:name w:val="Body Text Indent"/>
    <w:basedOn w:val="1"/>
    <w:next w:val="16"/>
    <w:qFormat/>
    <w:uiPriority w:val="0"/>
    <w:pPr>
      <w:ind w:firstLine="645"/>
    </w:pPr>
    <w:rPr>
      <w:rFonts w:ascii="楷体_GB2312" w:hAnsi="Times New Roman" w:eastAsia="楷体_GB2312" w:cs="Times New Roman"/>
      <w:sz w:val="32"/>
      <w:szCs w:val="20"/>
    </w:rPr>
  </w:style>
  <w:style w:type="paragraph" w:styleId="16">
    <w:name w:val="envelope return"/>
    <w:basedOn w:val="1"/>
    <w:qFormat/>
    <w:uiPriority w:val="0"/>
    <w:rPr>
      <w:rFonts w:ascii="Arial" w:hAnsi="Arial" w:eastAsia="宋体" w:cs="Times New Roman"/>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unhideWhenUsed/>
    <w:qFormat/>
    <w:uiPriority w:val="0"/>
    <w:rPr>
      <w:rFonts w:ascii="宋体" w:hAnsi="Courier New" w:cs="Courier New"/>
      <w:szCs w:val="21"/>
    </w:rPr>
  </w:style>
  <w:style w:type="paragraph" w:styleId="20">
    <w:name w:val="toc 8"/>
    <w:basedOn w:val="1"/>
    <w:next w:val="1"/>
    <w:unhideWhenUsed/>
    <w:qFormat/>
    <w:uiPriority w:val="39"/>
    <w:pPr>
      <w:spacing w:after="57"/>
      <w:ind w:left="1984"/>
    </w:pPr>
  </w:style>
  <w:style w:type="paragraph" w:styleId="21">
    <w:name w:val="Body Text Indent 2"/>
    <w:basedOn w:val="1"/>
    <w:link w:val="229"/>
    <w:semiHidden/>
    <w:unhideWhenUsed/>
    <w:qFormat/>
    <w:uiPriority w:val="99"/>
    <w:pPr>
      <w:spacing w:after="120" w:line="480" w:lineRule="auto"/>
      <w:ind w:left="420"/>
    </w:pPr>
  </w:style>
  <w:style w:type="paragraph" w:styleId="22">
    <w:name w:val="endnote text"/>
    <w:basedOn w:val="1"/>
    <w:link w:val="224"/>
    <w:semiHidden/>
    <w:unhideWhenUsed/>
    <w:qFormat/>
    <w:uiPriority w:val="99"/>
    <w:rPr>
      <w:sz w:val="20"/>
    </w:rPr>
  </w:style>
  <w:style w:type="paragraph" w:styleId="23">
    <w:name w:val="footer"/>
    <w:basedOn w:val="1"/>
    <w:qFormat/>
    <w:uiPriority w:val="0"/>
    <w:pPr>
      <w:tabs>
        <w:tab w:val="center" w:pos="4153"/>
        <w:tab w:val="right" w:pos="8306"/>
      </w:tabs>
      <w:jc w:val="left"/>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09"/>
    <w:qFormat/>
    <w:uiPriority w:val="11"/>
    <w:pPr>
      <w:spacing w:before="200" w:after="200"/>
    </w:pPr>
    <w:rPr>
      <w:sz w:val="24"/>
    </w:rPr>
  </w:style>
  <w:style w:type="paragraph" w:styleId="28">
    <w:name w:val="footnote text"/>
    <w:basedOn w:val="1"/>
    <w:link w:val="223"/>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108"/>
    <w:qFormat/>
    <w:uiPriority w:val="10"/>
    <w:pPr>
      <w:spacing w:before="300" w:after="200"/>
      <w:contextualSpacing/>
    </w:pPr>
    <w:rPr>
      <w:sz w:val="48"/>
      <w:szCs w:val="48"/>
    </w:rPr>
  </w:style>
  <w:style w:type="paragraph" w:styleId="35">
    <w:name w:val="Body Text First Indent 2"/>
    <w:basedOn w:val="15"/>
    <w:next w:val="14"/>
    <w:qFormat/>
    <w:uiPriority w:val="0"/>
    <w:pPr>
      <w:spacing w:after="120"/>
      <w:ind w:left="420" w:firstLine="420"/>
    </w:pPr>
    <w:rPr>
      <w:rFonts w:ascii="Calibri" w:eastAsia="宋体"/>
      <w:sz w:val="28"/>
    </w:rPr>
  </w:style>
  <w:style w:type="table" w:styleId="37">
    <w:name w:val="Table Grid"/>
    <w:basedOn w:val="3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basedOn w:val="38"/>
    <w:qFormat/>
    <w:uiPriority w:val="0"/>
    <w:rPr>
      <w:b/>
    </w:rPr>
  </w:style>
  <w:style w:type="character" w:styleId="40">
    <w:name w:val="endnote reference"/>
    <w:basedOn w:val="38"/>
    <w:semiHidden/>
    <w:unhideWhenUsed/>
    <w:qFormat/>
    <w:uiPriority w:val="99"/>
    <w:rPr>
      <w:vertAlign w:val="superscript"/>
    </w:rPr>
  </w:style>
  <w:style w:type="character" w:styleId="41">
    <w:name w:val="Hyperlink"/>
    <w:unhideWhenUsed/>
    <w:qFormat/>
    <w:uiPriority w:val="99"/>
    <w:rPr>
      <w:color w:val="0026E5" w:themeColor="hyperlink"/>
      <w:u w:val="single"/>
      <w14:textFill>
        <w14:solidFill>
          <w14:schemeClr w14:val="hlink"/>
        </w14:solidFill>
      </w14:textFill>
    </w:rPr>
  </w:style>
  <w:style w:type="character" w:styleId="42">
    <w:name w:val="footnote reference"/>
    <w:basedOn w:val="38"/>
    <w:unhideWhenUsed/>
    <w:qFormat/>
    <w:uiPriority w:val="99"/>
    <w:rPr>
      <w:vertAlign w:val="superscript"/>
    </w:rPr>
  </w:style>
  <w:style w:type="paragraph" w:customStyle="1" w:styleId="43">
    <w:name w:val="文本块1"/>
    <w:basedOn w:val="1"/>
    <w:qFormat/>
    <w:uiPriority w:val="99"/>
    <w:pPr>
      <w:spacing w:after="120"/>
      <w:ind w:left="1440" w:right="1440"/>
    </w:pPr>
    <w:rPr>
      <w:rFonts w:ascii="Times New Roman" w:hAnsi="Times New Roman"/>
    </w:rPr>
  </w:style>
  <w:style w:type="table" w:customStyle="1" w:styleId="44">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5">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6">
    <w:name w:val="Plain Table 3"/>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Plain Table 4"/>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5"/>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0">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4">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5">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List Table 1 Light"/>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7">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9">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1">
    <w:name w:val="List Table 6 Colorful"/>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2">
    <w:name w:val="List Table 7 Colorful"/>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3">
    <w:name w:val="TOC Heading"/>
    <w:unhideWhenUsed/>
    <w:qFormat/>
    <w:uiPriority w:val="39"/>
    <w:rPr>
      <w:rFonts w:hint="default" w:ascii="Times New Roman" w:hAnsi="Times New Roman" w:eastAsia="宋体" w:cs="Times New Roman"/>
    </w:rPr>
  </w:style>
  <w:style w:type="character" w:customStyle="1" w:styleId="64">
    <w:name w:val="Heading 1 Char"/>
    <w:basedOn w:val="38"/>
    <w:qFormat/>
    <w:uiPriority w:val="9"/>
    <w:rPr>
      <w:rFonts w:ascii="Arial" w:hAnsi="Arial" w:eastAsia="Arial" w:cs="Arial"/>
      <w:sz w:val="40"/>
      <w:szCs w:val="40"/>
    </w:rPr>
  </w:style>
  <w:style w:type="character" w:customStyle="1" w:styleId="65">
    <w:name w:val="Heading 3 Char"/>
    <w:basedOn w:val="38"/>
    <w:qFormat/>
    <w:uiPriority w:val="9"/>
    <w:rPr>
      <w:rFonts w:ascii="Arial" w:hAnsi="Arial" w:eastAsia="Arial" w:cs="Arial"/>
      <w:sz w:val="30"/>
      <w:szCs w:val="30"/>
    </w:rPr>
  </w:style>
  <w:style w:type="character" w:customStyle="1" w:styleId="66">
    <w:name w:val="Heading 4 Char"/>
    <w:basedOn w:val="38"/>
    <w:qFormat/>
    <w:uiPriority w:val="9"/>
    <w:rPr>
      <w:rFonts w:ascii="Arial" w:hAnsi="Arial" w:eastAsia="Arial" w:cs="Arial"/>
      <w:b/>
      <w:bCs/>
      <w:sz w:val="26"/>
      <w:szCs w:val="26"/>
    </w:rPr>
  </w:style>
  <w:style w:type="character" w:customStyle="1" w:styleId="67">
    <w:name w:val="Heading 5 Char"/>
    <w:basedOn w:val="38"/>
    <w:qFormat/>
    <w:uiPriority w:val="9"/>
    <w:rPr>
      <w:rFonts w:ascii="Arial" w:hAnsi="Arial" w:eastAsia="Arial" w:cs="Arial"/>
      <w:b/>
      <w:bCs/>
      <w:sz w:val="24"/>
      <w:szCs w:val="24"/>
    </w:rPr>
  </w:style>
  <w:style w:type="character" w:customStyle="1" w:styleId="68">
    <w:name w:val="Heading 6 Char"/>
    <w:basedOn w:val="38"/>
    <w:qFormat/>
    <w:uiPriority w:val="9"/>
    <w:rPr>
      <w:rFonts w:ascii="Arial" w:hAnsi="Arial" w:eastAsia="Arial" w:cs="Arial"/>
      <w:b/>
      <w:bCs/>
      <w:sz w:val="22"/>
      <w:szCs w:val="22"/>
    </w:rPr>
  </w:style>
  <w:style w:type="character" w:customStyle="1" w:styleId="69">
    <w:name w:val="Heading 7 Char"/>
    <w:basedOn w:val="38"/>
    <w:qFormat/>
    <w:uiPriority w:val="9"/>
    <w:rPr>
      <w:rFonts w:ascii="Arial" w:hAnsi="Arial" w:eastAsia="Arial" w:cs="Arial"/>
      <w:b/>
      <w:bCs/>
      <w:i/>
      <w:iCs/>
      <w:sz w:val="22"/>
      <w:szCs w:val="22"/>
    </w:rPr>
  </w:style>
  <w:style w:type="character" w:customStyle="1" w:styleId="70">
    <w:name w:val="Heading 8 Char"/>
    <w:basedOn w:val="38"/>
    <w:qFormat/>
    <w:uiPriority w:val="9"/>
    <w:rPr>
      <w:rFonts w:ascii="Arial" w:hAnsi="Arial" w:eastAsia="Arial" w:cs="Arial"/>
      <w:i/>
      <w:iCs/>
      <w:sz w:val="22"/>
      <w:szCs w:val="22"/>
    </w:rPr>
  </w:style>
  <w:style w:type="character" w:customStyle="1" w:styleId="71">
    <w:name w:val="Heading 9 Char"/>
    <w:basedOn w:val="38"/>
    <w:qFormat/>
    <w:uiPriority w:val="9"/>
    <w:rPr>
      <w:rFonts w:ascii="Arial" w:hAnsi="Arial" w:eastAsia="Arial" w:cs="Arial"/>
      <w:i/>
      <w:iCs/>
      <w:sz w:val="21"/>
      <w:szCs w:val="21"/>
    </w:rPr>
  </w:style>
  <w:style w:type="character" w:customStyle="1" w:styleId="72">
    <w:name w:val="Title Char"/>
    <w:basedOn w:val="38"/>
    <w:qFormat/>
    <w:uiPriority w:val="10"/>
    <w:rPr>
      <w:sz w:val="48"/>
      <w:szCs w:val="48"/>
    </w:rPr>
  </w:style>
  <w:style w:type="character" w:customStyle="1" w:styleId="73">
    <w:name w:val="Subtitle Char"/>
    <w:basedOn w:val="38"/>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table" w:customStyle="1" w:styleId="76">
    <w:name w:val="无格式表格 1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无格式表格 21"/>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无格式表格 31"/>
    <w:basedOn w:val="36"/>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41"/>
    <w:basedOn w:val="36"/>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无格式表格 51"/>
    <w:basedOn w:val="36"/>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网格表 1 浅色1"/>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网格表 2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网格表 31"/>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41"/>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网格表 5 深色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网格表 6 彩色1"/>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网格表 7 彩色1"/>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清单表 1 浅色1"/>
    <w:basedOn w:val="36"/>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清单表 21"/>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清单表 3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1">
    <w:name w:val="清单表 41"/>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清单表 5 深色1"/>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3">
    <w:name w:val="清单表 6 彩色1"/>
    <w:basedOn w:val="36"/>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4">
    <w:name w:val="清单表 7 彩色1"/>
    <w:basedOn w:val="36"/>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5">
    <w:name w:val="Footnote Text Char"/>
    <w:qFormat/>
    <w:uiPriority w:val="99"/>
    <w:rPr>
      <w:sz w:val="18"/>
    </w:rPr>
  </w:style>
  <w:style w:type="character" w:customStyle="1" w:styleId="96">
    <w:name w:val="Endnote Text Char"/>
    <w:qFormat/>
    <w:uiPriority w:val="99"/>
    <w:rPr>
      <w:sz w:val="20"/>
    </w:rPr>
  </w:style>
  <w:style w:type="character" w:customStyle="1" w:styleId="97">
    <w:name w:val="标题 1 字符"/>
    <w:basedOn w:val="38"/>
    <w:link w:val="2"/>
    <w:qFormat/>
    <w:uiPriority w:val="9"/>
    <w:rPr>
      <w:rFonts w:ascii="Arial" w:hAnsi="Arial" w:eastAsia="Arial" w:cs="Arial"/>
      <w:sz w:val="40"/>
      <w:szCs w:val="40"/>
    </w:rPr>
  </w:style>
  <w:style w:type="character" w:customStyle="1" w:styleId="98">
    <w:name w:val="Heading 2 Char"/>
    <w:basedOn w:val="38"/>
    <w:qFormat/>
    <w:uiPriority w:val="9"/>
    <w:rPr>
      <w:rFonts w:ascii="Arial" w:hAnsi="Arial" w:eastAsia="Arial" w:cs="Arial"/>
      <w:sz w:val="34"/>
    </w:rPr>
  </w:style>
  <w:style w:type="character" w:customStyle="1" w:styleId="99">
    <w:name w:val="标题 3 字符"/>
    <w:basedOn w:val="38"/>
    <w:link w:val="4"/>
    <w:qFormat/>
    <w:uiPriority w:val="9"/>
    <w:rPr>
      <w:rFonts w:ascii="Arial" w:hAnsi="Arial" w:eastAsia="Arial" w:cs="Arial"/>
      <w:sz w:val="30"/>
      <w:szCs w:val="30"/>
    </w:rPr>
  </w:style>
  <w:style w:type="character" w:customStyle="1" w:styleId="100">
    <w:name w:val="标题 4 字符"/>
    <w:basedOn w:val="38"/>
    <w:link w:val="5"/>
    <w:qFormat/>
    <w:uiPriority w:val="9"/>
    <w:rPr>
      <w:rFonts w:ascii="Arial" w:hAnsi="Arial" w:eastAsia="Arial" w:cs="Arial"/>
      <w:b/>
      <w:bCs/>
      <w:sz w:val="26"/>
      <w:szCs w:val="26"/>
    </w:rPr>
  </w:style>
  <w:style w:type="character" w:customStyle="1" w:styleId="101">
    <w:name w:val="标题 5 字符"/>
    <w:basedOn w:val="38"/>
    <w:link w:val="6"/>
    <w:qFormat/>
    <w:uiPriority w:val="9"/>
    <w:rPr>
      <w:rFonts w:ascii="Arial" w:hAnsi="Arial" w:eastAsia="Arial" w:cs="Arial"/>
      <w:b/>
      <w:bCs/>
      <w:sz w:val="24"/>
      <w:szCs w:val="24"/>
    </w:rPr>
  </w:style>
  <w:style w:type="character" w:customStyle="1" w:styleId="102">
    <w:name w:val="标题 6 字符"/>
    <w:basedOn w:val="38"/>
    <w:link w:val="7"/>
    <w:qFormat/>
    <w:uiPriority w:val="9"/>
    <w:rPr>
      <w:rFonts w:ascii="Arial" w:hAnsi="Arial" w:eastAsia="Arial" w:cs="Arial"/>
      <w:b/>
      <w:bCs/>
      <w:sz w:val="22"/>
      <w:szCs w:val="22"/>
    </w:rPr>
  </w:style>
  <w:style w:type="character" w:customStyle="1" w:styleId="103">
    <w:name w:val="标题 7 字符"/>
    <w:basedOn w:val="38"/>
    <w:link w:val="8"/>
    <w:qFormat/>
    <w:uiPriority w:val="9"/>
    <w:rPr>
      <w:rFonts w:ascii="Arial" w:hAnsi="Arial" w:eastAsia="Arial" w:cs="Arial"/>
      <w:b/>
      <w:bCs/>
      <w:i/>
      <w:iCs/>
      <w:sz w:val="22"/>
      <w:szCs w:val="22"/>
    </w:rPr>
  </w:style>
  <w:style w:type="character" w:customStyle="1" w:styleId="104">
    <w:name w:val="标题 8 字符"/>
    <w:basedOn w:val="38"/>
    <w:link w:val="9"/>
    <w:qFormat/>
    <w:uiPriority w:val="9"/>
    <w:rPr>
      <w:rFonts w:ascii="Arial" w:hAnsi="Arial" w:eastAsia="Arial" w:cs="Arial"/>
      <w:i/>
      <w:iCs/>
      <w:sz w:val="22"/>
      <w:szCs w:val="22"/>
    </w:rPr>
  </w:style>
  <w:style w:type="character" w:customStyle="1" w:styleId="105">
    <w:name w:val="标题 9 字符"/>
    <w:basedOn w:val="38"/>
    <w:link w:val="10"/>
    <w:qFormat/>
    <w:uiPriority w:val="9"/>
    <w:rPr>
      <w:rFonts w:ascii="Arial" w:hAnsi="Arial" w:eastAsia="Arial" w:cs="Arial"/>
      <w:i/>
      <w:iCs/>
      <w:sz w:val="21"/>
      <w:szCs w:val="21"/>
    </w:rPr>
  </w:style>
  <w:style w:type="paragraph" w:styleId="106">
    <w:name w:val="List Paragraph"/>
    <w:basedOn w:val="1"/>
    <w:qFormat/>
    <w:uiPriority w:val="34"/>
    <w:pPr>
      <w:ind w:left="720"/>
      <w:contextualSpacing/>
    </w:pPr>
  </w:style>
  <w:style w:type="paragraph" w:styleId="107">
    <w:name w:val="No Spacing"/>
    <w:qFormat/>
    <w:uiPriority w:val="1"/>
    <w:rPr>
      <w:rFonts w:hint="default" w:ascii="Times New Roman" w:hAnsi="Times New Roman" w:eastAsia="宋体" w:cs="Times New Roman"/>
    </w:rPr>
  </w:style>
  <w:style w:type="character" w:customStyle="1" w:styleId="108">
    <w:name w:val="标题 字符"/>
    <w:basedOn w:val="38"/>
    <w:link w:val="34"/>
    <w:qFormat/>
    <w:uiPriority w:val="10"/>
    <w:rPr>
      <w:sz w:val="48"/>
      <w:szCs w:val="48"/>
    </w:rPr>
  </w:style>
  <w:style w:type="character" w:customStyle="1" w:styleId="109">
    <w:name w:val="副标题 字符"/>
    <w:basedOn w:val="38"/>
    <w:link w:val="27"/>
    <w:qFormat/>
    <w:uiPriority w:val="11"/>
    <w:rPr>
      <w:sz w:val="24"/>
      <w:szCs w:val="24"/>
    </w:rPr>
  </w:style>
  <w:style w:type="paragraph" w:styleId="110">
    <w:name w:val="Quote"/>
    <w:basedOn w:val="1"/>
    <w:next w:val="1"/>
    <w:link w:val="111"/>
    <w:qFormat/>
    <w:uiPriority w:val="29"/>
    <w:pPr>
      <w:ind w:left="720" w:right="720"/>
    </w:pPr>
    <w:rPr>
      <w:i/>
    </w:rPr>
  </w:style>
  <w:style w:type="character" w:customStyle="1" w:styleId="111">
    <w:name w:val="引用 字符"/>
    <w:link w:val="110"/>
    <w:qFormat/>
    <w:uiPriority w:val="29"/>
    <w:rPr>
      <w:i/>
    </w:rPr>
  </w:style>
  <w:style w:type="paragraph" w:styleId="112">
    <w:name w:val="Intense Quote"/>
    <w:basedOn w:val="1"/>
    <w:next w:val="1"/>
    <w:link w:val="11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3">
    <w:name w:val="明显引用 字符"/>
    <w:link w:val="112"/>
    <w:qFormat/>
    <w:uiPriority w:val="30"/>
    <w:rPr>
      <w:i/>
    </w:rPr>
  </w:style>
  <w:style w:type="character" w:customStyle="1" w:styleId="114">
    <w:name w:val="Header Char"/>
    <w:basedOn w:val="38"/>
    <w:qFormat/>
    <w:uiPriority w:val="99"/>
  </w:style>
  <w:style w:type="character" w:customStyle="1" w:styleId="115">
    <w:name w:val="Footer Char"/>
    <w:basedOn w:val="38"/>
    <w:qFormat/>
    <w:uiPriority w:val="99"/>
  </w:style>
  <w:style w:type="character" w:customStyle="1" w:styleId="116">
    <w:name w:val="Caption Char"/>
    <w:qFormat/>
    <w:uiPriority w:val="99"/>
  </w:style>
  <w:style w:type="table" w:customStyle="1" w:styleId="117">
    <w:name w:val="Table Grid Light"/>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8">
    <w:name w:val="Grid Table 1 Light - Accent 1"/>
    <w:basedOn w:val="36"/>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19">
    <w:name w:val="Grid Table 1 Light - Accent 2"/>
    <w:basedOn w:val="36"/>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20">
    <w:name w:val="Grid Table 1 Light - Accent 3"/>
    <w:basedOn w:val="36"/>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21">
    <w:name w:val="Grid Table 1 Light - Accent 4"/>
    <w:basedOn w:val="36"/>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22">
    <w:name w:val="Grid Table 1 Light - Accent 5"/>
    <w:basedOn w:val="36"/>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23">
    <w:name w:val="Grid Table 1 Light - Accent 6"/>
    <w:basedOn w:val="36"/>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24">
    <w:name w:val="Grid Table 2 - Accent 1"/>
    <w:basedOn w:val="36"/>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5">
    <w:name w:val="Grid Table 2 - Accent 2"/>
    <w:basedOn w:val="36"/>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6">
    <w:name w:val="Grid Table 2 - Accent 3"/>
    <w:basedOn w:val="36"/>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7">
    <w:name w:val="Grid Table 2 - Accent 4"/>
    <w:basedOn w:val="36"/>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8">
    <w:name w:val="Grid Table 2 - Accent 5"/>
    <w:basedOn w:val="36"/>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9">
    <w:name w:val="Grid Table 2 - Accent 6"/>
    <w:basedOn w:val="36"/>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0">
    <w:name w:val="Grid Table 3 - Accent 1"/>
    <w:basedOn w:val="36"/>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31">
    <w:name w:val="Grid Table 3 - Accent 2"/>
    <w:basedOn w:val="36"/>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2">
    <w:name w:val="Grid Table 3 - Accent 3"/>
    <w:basedOn w:val="36"/>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3">
    <w:name w:val="Grid Table 3 - Accent 4"/>
    <w:basedOn w:val="36"/>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4">
    <w:name w:val="Grid Table 3 - Accent 5"/>
    <w:basedOn w:val="36"/>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5">
    <w:name w:val="Grid Table 3 - Accent 6"/>
    <w:basedOn w:val="36"/>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6">
    <w:name w:val="Grid Table 4 - Accent 1"/>
    <w:basedOn w:val="36"/>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37">
    <w:name w:val="Grid Table 4 - Accent 2"/>
    <w:basedOn w:val="36"/>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8">
    <w:name w:val="Grid Table 4 - Accent 3"/>
    <w:basedOn w:val="36"/>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9">
    <w:name w:val="Grid Table 4 - Accent 4"/>
    <w:basedOn w:val="36"/>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40">
    <w:name w:val="Grid Table 4 - Accent 5"/>
    <w:basedOn w:val="36"/>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41">
    <w:name w:val="Grid Table 4 - Accent 6"/>
    <w:basedOn w:val="36"/>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42">
    <w:name w:val="Grid Table 5 Dark- Accent 1"/>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43">
    <w:name w:val="Grid Table 5 Dark - Accent 2"/>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44">
    <w:name w:val="Grid Table 5 Dark - Accent 3"/>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45">
    <w:name w:val="Grid Table 5 Dark- Accent 4"/>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46">
    <w:name w:val="Grid Table 5 Dark - Accent 5"/>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47">
    <w:name w:val="Grid Table 5 Dark - Accent 6"/>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48">
    <w:name w:val="Grid Table 6 Colorful - Accent 1"/>
    <w:basedOn w:val="36"/>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basedOn w:val="36"/>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basedOn w:val="36"/>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1">
    <w:name w:val="Grid Table 6 Colorful - Accent 4"/>
    <w:basedOn w:val="36"/>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basedOn w:val="36"/>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3">
    <w:name w:val="Grid Table 6 Colorful - Accent 6"/>
    <w:basedOn w:val="36"/>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54">
    <w:name w:val="Grid Table 7 Colorful - Accent 1"/>
    <w:basedOn w:val="36"/>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36"/>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36"/>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7">
    <w:name w:val="Grid Table 7 Colorful - Accent 4"/>
    <w:basedOn w:val="36"/>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36"/>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9">
    <w:name w:val="Grid Table 7 Colorful - Accent 6"/>
    <w:basedOn w:val="36"/>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60">
    <w:name w:val="List Table 1 Light - Accent 1"/>
    <w:basedOn w:val="36"/>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61">
    <w:name w:val="List Table 1 Light - Accent 2"/>
    <w:basedOn w:val="36"/>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62">
    <w:name w:val="List Table 1 Light - Accent 3"/>
    <w:basedOn w:val="36"/>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63">
    <w:name w:val="List Table 1 Light - Accent 4"/>
    <w:basedOn w:val="36"/>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64">
    <w:name w:val="List Table 1 Light - Accent 5"/>
    <w:basedOn w:val="36"/>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65">
    <w:name w:val="List Table 1 Light - Accent 6"/>
    <w:basedOn w:val="36"/>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66">
    <w:name w:val="List Table 2 - Accent 1"/>
    <w:basedOn w:val="36"/>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7">
    <w:name w:val="List Table 2 - Accent 2"/>
    <w:basedOn w:val="36"/>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8">
    <w:name w:val="List Table 2 - Accent 3"/>
    <w:basedOn w:val="36"/>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9">
    <w:name w:val="List Table 2 - Accent 4"/>
    <w:basedOn w:val="36"/>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70">
    <w:name w:val="List Table 2 - Accent 5"/>
    <w:basedOn w:val="36"/>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1">
    <w:name w:val="List Table 2 - Accent 6"/>
    <w:basedOn w:val="36"/>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2">
    <w:name w:val="List Table 3 - Accent 1"/>
    <w:basedOn w:val="36"/>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73">
    <w:name w:val="List Table 3 - Accent 2"/>
    <w:basedOn w:val="36"/>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74">
    <w:name w:val="List Table 3 - Accent 3"/>
    <w:basedOn w:val="36"/>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5">
    <w:name w:val="List Table 3 - Accent 4"/>
    <w:basedOn w:val="36"/>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76">
    <w:name w:val="List Table 3 - Accent 5"/>
    <w:basedOn w:val="36"/>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77">
    <w:name w:val="List Table 3 - Accent 6"/>
    <w:basedOn w:val="36"/>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78">
    <w:name w:val="List Table 4 - Accent 1"/>
    <w:basedOn w:val="36"/>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9">
    <w:name w:val="List Table 4 - Accent 2"/>
    <w:basedOn w:val="36"/>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0">
    <w:name w:val="List Table 4 - Accent 3"/>
    <w:basedOn w:val="36"/>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1">
    <w:name w:val="List Table 4 - Accent 4"/>
    <w:basedOn w:val="36"/>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2">
    <w:name w:val="List Table 4 - Accent 5"/>
    <w:basedOn w:val="36"/>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3">
    <w:name w:val="List Table 4 - Accent 6"/>
    <w:basedOn w:val="36"/>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4">
    <w:name w:val="List Table 5 Dark - Accent 1"/>
    <w:basedOn w:val="36"/>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85">
    <w:name w:val="List Table 5 Dark - Accent 2"/>
    <w:basedOn w:val="36"/>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86">
    <w:name w:val="List Table 5 Dark - Accent 3"/>
    <w:basedOn w:val="36"/>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7">
    <w:name w:val="List Table 5 Dark - Accent 4"/>
    <w:basedOn w:val="36"/>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88">
    <w:name w:val="List Table 5 Dark - Accent 5"/>
    <w:basedOn w:val="36"/>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89">
    <w:name w:val="List Table 5 Dark - Accent 6"/>
    <w:basedOn w:val="36"/>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90">
    <w:name w:val="List Table 6 Colorful - Accent 1"/>
    <w:basedOn w:val="36"/>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1">
    <w:name w:val="List Table 6 Colorful - Accent 2"/>
    <w:basedOn w:val="36"/>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36"/>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36"/>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36"/>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36"/>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6">
    <w:name w:val="List Table 7 Colorful - Accent 1"/>
    <w:basedOn w:val="36"/>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7">
    <w:name w:val="List Table 7 Colorful - Accent 2"/>
    <w:basedOn w:val="36"/>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36"/>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36"/>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36"/>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36"/>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36"/>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36"/>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4">
    <w:name w:val="Lined - Accent 2"/>
    <w:basedOn w:val="36"/>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5">
    <w:name w:val="Lined - Accent 3"/>
    <w:basedOn w:val="36"/>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06">
    <w:name w:val="Lined - Accent 4"/>
    <w:basedOn w:val="36"/>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07">
    <w:name w:val="Lined - Accent 5"/>
    <w:basedOn w:val="36"/>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08">
    <w:name w:val="Lined - Accent 6"/>
    <w:basedOn w:val="36"/>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09">
    <w:name w:val="Bordered &amp; Lined - Accent"/>
    <w:basedOn w:val="36"/>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36"/>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1">
    <w:name w:val="Bordered &amp; Lined - Accent 2"/>
    <w:basedOn w:val="36"/>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2">
    <w:name w:val="Bordered &amp; Lined - Accent 3"/>
    <w:basedOn w:val="36"/>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3">
    <w:name w:val="Bordered &amp; Lined - Accent 4"/>
    <w:basedOn w:val="36"/>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4">
    <w:name w:val="Bordered &amp; Lined - Accent 5"/>
    <w:basedOn w:val="36"/>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5">
    <w:name w:val="Bordered &amp; Lined - Accent 6"/>
    <w:basedOn w:val="36"/>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6">
    <w:name w:val="Bordered"/>
    <w:basedOn w:val="3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36"/>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18">
    <w:name w:val="Bordered - Accent 2"/>
    <w:basedOn w:val="36"/>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19">
    <w:name w:val="Bordered - Accent 3"/>
    <w:basedOn w:val="36"/>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20">
    <w:name w:val="Bordered - Accent 4"/>
    <w:basedOn w:val="36"/>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1">
    <w:name w:val="Bordered - Accent 5"/>
    <w:basedOn w:val="36"/>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22">
    <w:name w:val="Bordered - Accent 6"/>
    <w:basedOn w:val="36"/>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23">
    <w:name w:val="脚注文本 字符"/>
    <w:link w:val="28"/>
    <w:qFormat/>
    <w:uiPriority w:val="99"/>
    <w:rPr>
      <w:sz w:val="18"/>
    </w:rPr>
  </w:style>
  <w:style w:type="character" w:customStyle="1" w:styleId="224">
    <w:name w:val="尾注文本 字符"/>
    <w:link w:val="22"/>
    <w:qFormat/>
    <w:uiPriority w:val="99"/>
    <w:rPr>
      <w:sz w:val="20"/>
    </w:rPr>
  </w:style>
  <w:style w:type="paragraph" w:customStyle="1" w:styleId="225">
    <w:name w:val="TOC 标题1"/>
    <w:unhideWhenUsed/>
    <w:qFormat/>
    <w:uiPriority w:val="39"/>
    <w:rPr>
      <w:rFonts w:hint="default" w:ascii="Times New Roman" w:hAnsi="Times New Roman" w:eastAsia="宋体" w:cs="Times New Roman"/>
    </w:rPr>
  </w:style>
  <w:style w:type="paragraph" w:customStyle="1" w:styleId="226">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7">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28">
    <w:name w:val="页脚1"/>
    <w:basedOn w:val="1"/>
    <w:unhideWhenUsed/>
    <w:qFormat/>
    <w:uiPriority w:val="99"/>
    <w:pPr>
      <w:tabs>
        <w:tab w:val="center" w:pos="4153"/>
        <w:tab w:val="right" w:pos="8306"/>
      </w:tabs>
      <w:jc w:val="left"/>
    </w:pPr>
    <w:rPr>
      <w:sz w:val="18"/>
      <w:szCs w:val="18"/>
    </w:rPr>
  </w:style>
  <w:style w:type="character" w:customStyle="1" w:styleId="229">
    <w:name w:val="正文文本缩进 2 字符"/>
    <w:basedOn w:val="38"/>
    <w:link w:val="21"/>
    <w:semiHidden/>
    <w:qFormat/>
    <w:uiPriority w:val="99"/>
    <w:rPr>
      <w:rFonts w:asciiTheme="minorHAnsi" w:hAnsiTheme="minorHAnsi" w:eastAsiaTheme="minorEastAsia" w:cstheme="minorBidi"/>
      <w:sz w:val="21"/>
      <w:szCs w:val="24"/>
    </w:rPr>
  </w:style>
  <w:style w:type="character" w:customStyle="1" w:styleId="230">
    <w:name w:val="标题 2 字符"/>
    <w:basedOn w:val="38"/>
    <w:link w:val="3"/>
    <w:qFormat/>
    <w:uiPriority w:val="0"/>
    <w:rPr>
      <w:rFonts w:ascii="宋体" w:hAnsi="宋体"/>
      <w:b/>
      <w:bCs/>
      <w:sz w:val="36"/>
      <w:szCs w:val="36"/>
    </w:rPr>
  </w:style>
  <w:style w:type="paragraph" w:customStyle="1" w:styleId="231">
    <w:name w:val="正文首行缩进 21"/>
    <w:basedOn w:val="1"/>
    <w:qFormat/>
    <w:uiPriority w:val="0"/>
    <w:pPr>
      <w:spacing w:after="120"/>
      <w:ind w:left="420" w:firstLine="420"/>
    </w:pPr>
  </w:style>
  <w:style w:type="paragraph" w:customStyle="1" w:styleId="232">
    <w:name w:val="TOC 标题2"/>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color w:val="2E54A1" w:themeColor="accent1" w:themeShade="BF"/>
      <w:sz w:val="32"/>
      <w:szCs w:val="32"/>
    </w:rPr>
  </w:style>
  <w:style w:type="paragraph" w:customStyle="1" w:styleId="233">
    <w:name w:val="Revision"/>
    <w:hidden/>
    <w:semiHidden/>
    <w:qFormat/>
    <w:uiPriority w:val="99"/>
    <w:rPr>
      <w:rFonts w:hint="default" w:asciiTheme="minorHAnsi" w:hAnsiTheme="minorHAnsi" w:eastAsiaTheme="minorEastAsia" w:cstheme="minorBidi"/>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1CA757-83B4-4717-8C14-7B06B2ABF3F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8394</Words>
  <Characters>9011</Characters>
  <TotalTime>8</TotalTime>
  <ScaleCrop>false</ScaleCrop>
  <LinksUpToDate>false</LinksUpToDate>
  <CharactersWithSpaces>9119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2024-11-04T10:18:00Z</dcterms:created>
  <dc:creator>Administrator</dc:creator>
  <cp:lastModifiedBy>凌子盛气凌人的女子</cp:lastModifiedBy>
  <dcterms:modified xsi:type="dcterms:W3CDTF">2026-02-04T01:35:36Z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B5229E81CBE1452C8E6B4E85F9B7959D_13</vt:lpwstr>
  </property>
  <property fmtid="{D5CDD505-2E9C-101B-9397-08002B2CF9AE}" pid="4" name="KSOTemplateDocerSaveRecord">
    <vt:lpwstr>eyJoZGlkIjoiY2I3YWE1ODRmMjhhYjQwODY2ZDAzMzU0MTAzNzkyZmEiLCJ1c2VySWQiOiI3MTgyMDQ2In0=</vt:lpwstr>
  </property>
</Properties>
</file>