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jc w:val="both"/>
        <w:rPr>
          <w:rFonts w:hint="eastAsia" w:ascii="宋体" w:hAnsi="宋体" w:cs="宋体"/>
          <w:b/>
          <w:bCs/>
          <w:sz w:val="44"/>
          <w:szCs w:val="44"/>
        </w:rPr>
      </w:pPr>
      <w:r>
        <w:rPr>
          <w:rFonts w:hint="eastAsia" w:ascii="宋体" w:hAnsi="宋体" w:cs="宋体"/>
          <w:b/>
          <w:bCs/>
          <w:sz w:val="44"/>
          <w:szCs w:val="44"/>
        </w:rPr>
      </w:r>
      <w:r/>
    </w:p>
    <w:p>
      <w:pPr>
        <w:pStyle w:val="980"/>
        <w:ind w:firstLine="0"/>
        <w:jc w:val="both"/>
        <w:rPr>
          <w:rFonts w:hint="eastAsia" w:ascii="宋体" w:hAnsi="宋体" w:cs="宋体"/>
          <w:b/>
          <w:bCs/>
          <w:sz w:val="44"/>
          <w:szCs w:val="44"/>
        </w:rPr>
      </w:pPr>
      <w:r>
        <w:rPr>
          <w:rFonts w:hint="eastAsia" w:ascii="宋体" w:hAnsi="宋体" w:cs="宋体"/>
          <w:b/>
          <w:bCs/>
          <w:sz w:val="44"/>
          <w:szCs w:val="44"/>
        </w:rPr>
      </w:r>
      <w:r/>
    </w:p>
    <w:p>
      <w:pPr>
        <w:jc w:val="center"/>
        <w:rPr>
          <w:rFonts w:hint="eastAsia" w:ascii="宋体" w:hAnsi="宋体" w:cs="宋体"/>
          <w:sz w:val="84"/>
        </w:rPr>
      </w:pPr>
      <w:r>
        <w:rPr>
          <w:rFonts w:hint="eastAsia" w:ascii="宋体" w:hAnsi="宋体" w:cs="宋体"/>
          <w:b/>
          <w:bCs/>
          <w:sz w:val="84"/>
        </w:rPr>
        <w:t xml:space="preserve">招 标 文 件</w:t>
      </w:r>
      <w:r/>
    </w:p>
    <w:p>
      <w:pPr>
        <w:pStyle w:val="980"/>
        <w:ind w:firstLine="0"/>
        <w:jc w:val="both"/>
        <w:rPr>
          <w:rFonts w:hint="eastAsia" w:ascii="宋体" w:hAnsi="宋体" w:cs="宋体"/>
          <w:b/>
          <w:bCs/>
          <w:sz w:val="30"/>
          <w:szCs w:val="30"/>
        </w:rPr>
      </w:pPr>
      <w:r>
        <w:rPr>
          <w:rFonts w:hint="eastAsia" w:ascii="宋体" w:hAnsi="宋体" w:cs="宋体"/>
          <w:b/>
          <w:bCs/>
          <w:sz w:val="30"/>
          <w:szCs w:val="30"/>
        </w:rPr>
      </w:r>
      <w:r/>
    </w:p>
    <w:p>
      <w:pPr>
        <w:pStyle w:val="980"/>
        <w:ind w:firstLine="0"/>
        <w:jc w:val="center"/>
        <w:rPr>
          <w:rFonts w:hint="eastAsia" w:ascii="宋体" w:hAnsi="宋体" w:cs="宋体"/>
          <w:b/>
          <w:bCs/>
          <w:sz w:val="30"/>
          <w:szCs w:val="30"/>
        </w:rPr>
      </w:pPr>
      <w:r>
        <w:rPr>
          <w:rFonts w:hint="eastAsia" w:ascii="宋体" w:hAnsi="宋体" w:cs="宋体"/>
          <w:b/>
          <w:bCs/>
          <w:sz w:val="30"/>
          <w:szCs w:val="30"/>
        </w:rPr>
      </w:r>
      <w:r/>
    </w:p>
    <w:p>
      <w:pPr>
        <w:pStyle w:val="980"/>
        <w:ind w:firstLine="0"/>
        <w:jc w:val="center"/>
        <w:rPr>
          <w:rFonts w:hint="eastAsia" w:ascii="宋体" w:hAnsi="宋体" w:cs="宋体"/>
          <w:b/>
          <w:bCs/>
          <w:sz w:val="30"/>
          <w:szCs w:val="30"/>
        </w:rPr>
      </w:pPr>
      <w:r>
        <w:rPr>
          <w:rFonts w:hint="eastAsia" w:ascii="宋体" w:hAnsi="宋体" w:cs="宋体"/>
          <w:b/>
          <w:bCs/>
          <w:sz w:val="30"/>
          <w:szCs w:val="30"/>
        </w:rPr>
      </w:r>
      <w:r/>
    </w:p>
    <w:p>
      <w:pPr>
        <w:pStyle w:val="980"/>
        <w:ind w:firstLine="0"/>
        <w:jc w:val="center"/>
        <w:rPr>
          <w:rFonts w:hint="eastAsia" w:ascii="宋体" w:hAnsi="宋体" w:cs="宋体"/>
          <w:b/>
          <w:bCs/>
          <w:sz w:val="30"/>
          <w:szCs w:val="30"/>
        </w:rPr>
      </w:pPr>
      <w:r>
        <w:rPr>
          <w:rFonts w:hint="eastAsia" w:ascii="宋体" w:hAnsi="宋体" w:cs="宋体"/>
          <w:b/>
          <w:bCs/>
          <w:sz w:val="30"/>
          <w:szCs w:val="30"/>
        </w:rPr>
      </w:r>
      <w:r/>
    </w:p>
    <w:p>
      <w:pPr>
        <w:pStyle w:val="980"/>
        <w:ind w:firstLine="0"/>
        <w:jc w:val="center"/>
        <w:rPr>
          <w:rFonts w:hint="eastAsia" w:ascii="宋体" w:hAnsi="宋体" w:cs="宋体"/>
          <w:b/>
          <w:bCs/>
          <w:sz w:val="30"/>
          <w:szCs w:val="30"/>
        </w:rPr>
      </w:pPr>
      <w:r>
        <w:rPr>
          <w:rFonts w:hint="eastAsia" w:ascii="宋体" w:hAnsi="宋体" w:cs="宋体"/>
          <w:b/>
          <w:bCs/>
          <w:sz w:val="30"/>
          <w:szCs w:val="30"/>
        </w:rPr>
        <w:t xml:space="preserve">项目名称：盐城市文化馆物业管理服务项目</w:t>
      </w:r>
      <w:r/>
      <w:r>
        <w:rPr>
          <w:rFonts w:hint="eastAsia" w:ascii="宋体" w:hAnsi="宋体" w:cs="宋体"/>
          <w:b/>
          <w:bCs/>
          <w:sz w:val="30"/>
          <w:szCs w:val="30"/>
        </w:rPr>
      </w:r>
      <w:r/>
      <w:r>
        <w:rPr>
          <w:rFonts w:hint="eastAsia" w:ascii="宋体" w:hAnsi="宋体" w:cs="宋体"/>
          <w:b/>
          <w:bCs/>
          <w:sz w:val="30"/>
          <w:szCs w:val="30"/>
        </w:rPr>
      </w:r>
    </w:p>
    <w:p>
      <w:pPr>
        <w:pStyle w:val="980"/>
        <w:ind w:firstLine="0"/>
        <w:jc w:val="center"/>
        <w:rPr>
          <w:rFonts w:hint="eastAsia" w:ascii="宋体" w:hAnsi="宋体" w:eastAsia="宋体" w:cs="宋体"/>
          <w:b/>
          <w:bCs/>
          <w:sz w:val="30"/>
          <w:szCs w:val="30"/>
          <w:lang w:eastAsia="zh-CN"/>
        </w:rPr>
      </w:pPr>
      <w:r>
        <w:rPr>
          <w:rFonts w:hint="eastAsia" w:ascii="宋体" w:hAnsi="宋体" w:cs="宋体"/>
          <w:b/>
          <w:bCs/>
          <w:sz w:val="30"/>
          <w:szCs w:val="30"/>
        </w:rPr>
        <w:t xml:space="preserve">项目编号：</w:t>
      </w:r>
      <w:r>
        <w:rPr>
          <w:rFonts w:hint="eastAsia" w:ascii="宋体" w:hAnsi="宋体" w:cs="宋体"/>
          <w:b/>
          <w:bCs/>
          <w:sz w:val="30"/>
          <w:szCs w:val="30"/>
          <w:highlight w:val="white"/>
          <w:lang w:eastAsia="zh-CN"/>
        </w:rPr>
        <w:t xml:space="preserve">JSZC-320900-JZCG-G2026-0020</w:t>
      </w:r>
      <w:r/>
    </w:p>
    <w:p>
      <w:pPr>
        <w:pStyle w:val="980"/>
        <w:ind w:firstLine="0"/>
        <w:spacing w:before="0" w:after="0"/>
        <w:rPr>
          <w:rFonts w:hint="eastAsia" w:ascii="宋体" w:hAnsi="宋体" w:cs="宋体"/>
          <w:sz w:val="28"/>
          <w:szCs w:val="28"/>
        </w:rPr>
      </w:pPr>
      <w:r>
        <w:rPr>
          <w:rFonts w:hint="eastAsia" w:ascii="宋体" w:hAnsi="宋体" w:cs="宋体"/>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pStyle w:val="848"/>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848"/>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848"/>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t xml:space="preserve">盐城市文化馆</w:t>
      </w:r>
      <w:r/>
    </w:p>
    <w:p>
      <w:pPr>
        <w:pStyle w:val="848"/>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年4月</w:t>
      </w:r>
      <w:r/>
    </w:p>
    <w:p>
      <w:pPr>
        <w:jc w:val="center"/>
        <w:rPr>
          <w:rFonts w:hint="eastAsia" w:ascii="宋体" w:hAnsi="宋体" w:cs="宋体"/>
          <w:sz w:val="28"/>
          <w:szCs w:val="28"/>
        </w:rPr>
      </w:pPr>
      <w:r>
        <w:rPr>
          <w:rFonts w:hint="eastAsia" w:ascii="宋体" w:hAnsi="宋体" w:cs="宋体"/>
          <w:sz w:val="28"/>
          <w:szCs w:val="28"/>
        </w:rPr>
      </w:r>
      <w:r/>
    </w:p>
    <w:p>
      <w:pPr>
        <w:pStyle w:val="1067"/>
        <w:jc w:val="center"/>
        <w:spacing w:line="360" w:lineRule="auto"/>
        <w:rPr>
          <w:rFonts w:hint="eastAsia" w:ascii="宋体" w:hAnsi="宋体" w:cs="宋体"/>
          <w:sz w:val="28"/>
          <w:szCs w:val="28"/>
        </w:rPr>
      </w:pPr>
      <w:r>
        <w:rPr>
          <w:rFonts w:hint="eastAsia" w:ascii="宋体" w:hAnsi="宋体" w:cs="宋体"/>
          <w:sz w:val="28"/>
          <w:szCs w:val="28"/>
        </w:rPr>
      </w:r>
      <w:r/>
    </w:p>
    <w:p>
      <w:pPr>
        <w:rPr>
          <w:rFonts w:hint="eastAsia" w:ascii="宋体" w:hAnsi="宋体" w:cs="宋体"/>
          <w:b/>
          <w:sz w:val="28"/>
          <w:szCs w:val="28"/>
        </w:rPr>
        <w:sectPr>
          <w:headerReference w:type="default" r:id="rId9"/>
          <w:headerReference w:type="first" r:id="rId10"/>
          <w:footerReference w:type="even" r:id="rId12"/>
          <w:footerReference w:type="first" r:id="rId13"/>
          <w:footnotePr/>
          <w:endnotePr/>
          <w:type w:val="nextPage"/>
          <w:pgSz w:w="11906" w:h="16838" w:orient="portrait"/>
          <w:pgMar w:top="1298" w:right="1196" w:bottom="1208" w:left="1259" w:header="851" w:footer="907" w:gutter="0"/>
          <w:cols w:num="1" w:sep="0" w:space="1701" w:equalWidth="1"/>
          <w:docGrid w:linePitch="360"/>
          <w:titlePg/>
        </w:sectPr>
      </w:pPr>
      <w:r>
        <w:rPr>
          <w:rFonts w:hint="eastAsia"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合同文本………………………………27</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采购需求………………………………40</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评标方法与评标标准…………………66</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投标文件格式…………………………7</w:t>
      </w:r>
      <w:r>
        <w:rPr>
          <w:rFonts w:hint="eastAsia" w:ascii="黑体" w:hAnsi="Showcard Gothic" w:eastAsia="黑体"/>
          <w:sz w:val="36"/>
          <w:lang w:val="en-US" w:eastAsia="zh-CN"/>
        </w:rPr>
        <w:t xml:space="preserve">3</w:t>
      </w:r>
      <w:r/>
    </w:p>
    <w:p>
      <w:pPr>
        <w:pStyle w:val="1082"/>
        <w:jc w:val="both"/>
        <w:spacing w:beforeAutospacing="0" w:afterAutospacing="0"/>
        <w:rPr>
          <w:rFonts w:hint="eastAsia"/>
          <w:szCs w:val="44"/>
        </w:rPr>
      </w:pPr>
      <w:r>
        <w:rPr>
          <w:rFonts w:hint="eastAsia"/>
          <w:szCs w:val="44"/>
        </w:rPr>
      </w:r>
      <w:r/>
    </w:p>
    <w:p>
      <w:pPr>
        <w:pStyle w:val="1082"/>
        <w:jc w:val="both"/>
        <w:spacing w:beforeAutospacing="0" w:afterAutospacing="0"/>
        <w:rPr>
          <w:rFonts w:hint="eastAsia"/>
          <w:szCs w:val="44"/>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szCs w:val="44"/>
        </w:rPr>
      </w:r>
      <w:r/>
    </w:p>
    <w:p>
      <w:pPr>
        <w:pStyle w:val="1082"/>
        <w:jc w:val="center"/>
        <w:spacing w:beforeAutospacing="0" w:afterAutospacing="0"/>
        <w:rPr>
          <w:rFonts w:hint="eastAsia"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ind w:firstLine="482"/>
        <w:jc w:val="left"/>
        <w:spacing w:line="560" w:lineRule="exact"/>
        <w:widowControl/>
        <w:rPr>
          <w:rFonts w:hint="eastAsia" w:ascii="宋体" w:hAnsi="宋体" w:cs="宋体" w:eastAsiaTheme="minorEastAsia"/>
          <w:color w:val="000000" w:themeColor="text1"/>
          <w:sz w:val="24"/>
          <w:szCs w:val="20"/>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14:textFill>
            <w14:solidFill>
              <w14:schemeClr w14:val="tx1"/>
            </w14:solidFill>
          </w14:textFill>
        </w:rPr>
        <w:t xml:space="preserve">项目概况</w:t>
      </w:r>
      <w:r/>
    </w:p>
    <w:p>
      <w:pPr>
        <w:ind w:firstLine="482"/>
        <w:jc w:val="left"/>
        <w:spacing w:line="560" w:lineRule="exact"/>
        <w:widowControl/>
        <w:rPr>
          <w:rFonts w:hint="eastAsia" w:ascii="宋体" w:hAnsi="宋体" w:cs="宋体" w:eastAsiaTheme="minorEastAsia"/>
          <w:color w:val="000000" w:themeColor="text1"/>
          <w:sz w:val="24"/>
          <w:szCs w:val="20"/>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14:textFill>
            <w14:solidFill>
              <w14:schemeClr w14:val="tx1"/>
            </w14:solidFill>
          </w14:textFill>
        </w:rPr>
        <w:t xml:space="preserve">盐城市文化馆物业管理服务项目</w:t>
      </w:r>
      <w:r>
        <w:rPr>
          <w:rFonts w:hint="eastAsia" w:ascii="宋体" w:hAnsi="宋体" w:cs="宋体" w:eastAsiaTheme="minorEastAsia"/>
          <w:color w:val="000000" w:themeColor="text1"/>
          <w:sz w:val="24"/>
          <w:szCs w:val="20"/>
          <w:lang w:eastAsia="zh-CN"/>
          <w14:textFill>
            <w14:solidFill>
              <w14:schemeClr w14:val="tx1"/>
            </w14:solidFill>
          </w14:textFill>
        </w:rPr>
        <w:t xml:space="preserve">JSZC-320900-JZCG-G2026-0020</w:t>
      </w:r>
      <w:r>
        <w:rPr>
          <w:rFonts w:hint="eastAsia" w:ascii="宋体" w:hAnsi="宋体" w:cs="宋体" w:eastAsiaTheme="minorEastAsia"/>
          <w:color w:val="000000" w:themeColor="text1"/>
          <w:sz w:val="24"/>
          <w:szCs w:val="20"/>
          <w14:textFill>
            <w14:solidFill>
              <w14:schemeClr w14:val="tx1"/>
            </w14:solidFill>
          </w14:textFill>
        </w:rPr>
        <w:t xml:space="preserve">的潜在投标人应在“苏采云”系统内免费下载（投标人必须在苏采云系统中获取采购文件，方能参与政府采购项目），并于</w:t>
      </w:r>
      <w:r>
        <w:rPr>
          <w:rFonts w:hint="eastAsia" w:ascii="宋体" w:hAnsi="宋体" w:cs="宋体" w:eastAsiaTheme="minorEastAsia"/>
          <w:color w:val="000000" w:themeColor="text1"/>
          <w:sz w:val="24"/>
          <w:szCs w:val="20"/>
          <w:highlight w:val="white"/>
          <w14:textFill>
            <w14:solidFill>
              <w14:schemeClr w14:val="tx1"/>
            </w14:solidFill>
          </w14:textFill>
        </w:rPr>
        <w:t xml:space="preserve">2026年5月20日9点30分</w:t>
      </w:r>
      <w:r>
        <w:rPr>
          <w:rFonts w:hint="eastAsia" w:ascii="宋体" w:hAnsi="宋体" w:cs="宋体" w:eastAsiaTheme="minorEastAsia"/>
          <w:color w:val="000000" w:themeColor="text1"/>
          <w:sz w:val="24"/>
          <w:szCs w:val="20"/>
          <w14:textFill>
            <w14:solidFill>
              <w14:schemeClr w14:val="tx1"/>
            </w14:solidFill>
          </w14:textFill>
        </w:rPr>
        <w:t xml:space="preserve">（北京时间）前递交投标文件。</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一、项目基本情况</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1.项目编号：</w:t>
      </w:r>
      <w:r>
        <w:rPr>
          <w:rFonts w:hint="eastAsia" w:ascii="宋体" w:hAnsi="宋体" w:cs="宋体" w:eastAsiaTheme="minorEastAsia"/>
          <w:color w:val="000000" w:themeColor="text1"/>
          <w:sz w:val="24"/>
          <w:szCs w:val="20"/>
          <w:lang w:eastAsia="zh-CN"/>
          <w14:textFill>
            <w14:solidFill>
              <w14:schemeClr w14:val="tx1"/>
            </w14:solidFill>
          </w14:textFill>
        </w:rPr>
        <w:t xml:space="preserve">JSZC-320900-JZCG-G2026-0020</w:t>
      </w:r>
      <w:r>
        <w:rPr>
          <w:rFonts w:hint="eastAsia" w:ascii="宋体" w:hAnsi="宋体" w:cs="宋体" w:eastAsiaTheme="minorEastAsia"/>
          <w:color w:val="000000" w:themeColor="text1"/>
          <w:sz w:val="24"/>
          <w:szCs w:val="20"/>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2.项目名称：盐城市文化馆物业管理服务项目</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3.采购方式：公开招标</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4.预算金额：270万元</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5.最高限价：270万元</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6.采购需求：盐城市文化馆物业管理服务项目，具体内容及要求详见招标文件第四章采购需求，采购人保留对服务内容进行适当调整的权利。</w:t>
      </w:r>
      <w:r/>
    </w:p>
    <w:p>
      <w:pPr>
        <w:ind w:firstLine="482"/>
        <w:jc w:val="left"/>
        <w:spacing w:line="556" w:lineRule="exact"/>
        <w:widowControl/>
        <w:rPr>
          <w:rFonts w:hint="eastAsia" w:ascii="宋体" w:hAnsi="宋体" w:cs="宋体" w:eastAsiaTheme="minorEastAsia"/>
          <w:color w:val="000000" w:themeColor="text1"/>
          <w:sz w:val="24"/>
          <w:szCs w:val="20"/>
          <w:highlight w:val="yellow"/>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7.合同履行期限：</w:t>
      </w:r>
      <w:r>
        <w:rPr>
          <w:rFonts w:hint="eastAsia" w:ascii="宋体" w:hAnsi="宋体" w:cs="宋体"/>
          <w:sz w:val="24"/>
          <w:szCs w:val="20"/>
        </w:rPr>
        <w:t xml:space="preserve">两年，合同一年一签，一年服务期内无</w:t>
      </w:r>
      <w:r>
        <w:rPr>
          <w:rFonts w:hint="eastAsia" w:ascii="宋体" w:hAnsi="宋体" w:cs="宋体"/>
          <w:sz w:val="24"/>
          <w:szCs w:val="20"/>
          <w:lang w:val="zh-CN"/>
        </w:rPr>
        <w:t xml:space="preserve">连续两个月考核不合格或累计三个月考核不合格</w:t>
      </w:r>
      <w:r>
        <w:rPr>
          <w:rFonts w:hint="eastAsia" w:ascii="宋体" w:hAnsi="宋体" w:cs="宋体"/>
          <w:sz w:val="24"/>
          <w:szCs w:val="20"/>
        </w:rPr>
        <w:t xml:space="preserve">情形的可续签第二年合同。</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8.本项目（是/否）接受联合体投标：否。</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二、申请人的资格要求</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1.2 2024年或2025年度的财务状况报告（成立不满一年无需提供）。</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1.6法律、行政法规规定的其他条件。</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3.本项目的特定资格要求：无</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三、获取招标文件</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3.方式：本项目采用网上注册登记方式。</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4.售价：0元。</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000000" w:themeColor="text1"/>
          <w:sz w:val="24"/>
          <w:szCs w:val="20"/>
          <w:highlight w:val="white"/>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1.时间</w:t>
      </w:r>
      <w:r>
        <w:rPr>
          <w:rFonts w:hint="eastAsia" w:ascii="宋体" w:hAnsi="宋体" w:cs="宋体" w:eastAsiaTheme="minorEastAsia"/>
          <w:color w:val="000000" w:themeColor="text1"/>
          <w:sz w:val="24"/>
          <w:szCs w:val="20"/>
          <w:highlight w:val="white"/>
          <w14:textFill>
            <w14:solidFill>
              <w14:schemeClr w14:val="tx1"/>
            </w14:solidFill>
          </w14:textFill>
        </w:rPr>
        <w:t xml:space="preserve">：2026年5月20日9点30分（北京时间）</w:t>
      </w:r>
      <w:r>
        <w:rPr>
          <w:highlight w:val="white"/>
        </w:rPr>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2.地点：苏采云“不见面”开标大厅。</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五、公告期限</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自本公告发布之日起5个工作日。</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六、其他补充事宜</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领取CA和办理电子签章（</w:t>
      </w:r>
      <w:r>
        <w:rPr>
          <w:rFonts w:hint="eastAsia" w:ascii="宋体" w:hAnsi="宋体" w:cs="宋体"/>
          <w:b/>
          <w:bCs/>
          <w:color w:val="ff0000"/>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 潜在供应商访问电子招标响应交易平台的网络地址和方法：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2.2 潜在投标人访问“苏采云”系统方法：江苏省政府采购网首页-“苏采云”链接。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如潜在投标人未按上述要求操作，将自行承担所产生的风险。</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1.采购人信息</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名    称：盐城市文化馆</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地    址</w:t>
      </w:r>
      <w:r>
        <w:rPr>
          <w:rFonts w:hint="eastAsia" w:ascii="宋体" w:hAnsi="宋体" w:cs="宋体" w:eastAsiaTheme="minorEastAsia"/>
          <w:color w:val="000000" w:themeColor="text1"/>
          <w:sz w:val="24"/>
          <w:szCs w:val="20"/>
          <w:highlight w:val="none"/>
          <w14:textFill>
            <w14:solidFill>
              <w14:schemeClr w14:val="tx1"/>
            </w14:solidFill>
          </w14:textFill>
        </w:rPr>
        <w:t xml:space="preserve">：盐城市亭湖区毓龙东路38号</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人：刘女士</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联系方式：0515-88389102</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2.采购代理机构信息</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名    称：盐城市政府采购中心</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范女士</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联系方式：0515-69083506      </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3.</w:t>
      </w: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项目联系方式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范女士</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话：0515-69083506         </w:t>
      </w:r>
      <w:r/>
    </w:p>
    <w:p>
      <w:pPr>
        <w:rPr>
          <w:rFonts w:hint="eastAsia" w:ascii="宋体" w:hAnsi="宋体" w:cs="宋体"/>
          <w:sz w:val="44"/>
          <w:szCs w:val="44"/>
        </w:rPr>
      </w:pPr>
      <w:r>
        <w:rPr>
          <w:rFonts w:hint="eastAsia" w:ascii="宋体" w:hAnsi="宋体" w:cs="宋体"/>
          <w:sz w:val="44"/>
          <w:szCs w:val="44"/>
        </w:rPr>
        <w:br w:type="page" w:clear="all"/>
      </w:r>
      <w:r/>
    </w:p>
    <w:p>
      <w:pPr>
        <w:pStyle w:val="1082"/>
        <w:jc w:val="center"/>
        <w:spacing w:beforeAutospacing="0" w:afterAutospacing="0"/>
        <w:rPr>
          <w:rFonts w:hint="eastAsia" w:ascii="黑体" w:hAnsi="黑体" w:eastAsia="黑体" w:cs="黑体"/>
          <w:sz w:val="44"/>
          <w:szCs w:val="44"/>
        </w:rPr>
        <w:outlineLvl w:val="0"/>
      </w:pPr>
      <w:r/>
      <w:bookmarkStart w:id="1" w:name="_Toc23635"/>
      <w:r>
        <w:rPr>
          <w:rFonts w:hint="eastAsia" w:ascii="黑体" w:hAnsi="黑体" w:eastAsia="黑体" w:cs="黑体"/>
          <w:sz w:val="44"/>
          <w:szCs w:val="44"/>
        </w:rPr>
        <w:t xml:space="preserve">第二章 投标人须知</w:t>
      </w:r>
      <w:bookmarkEnd w:id="1"/>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hint="eastAsia"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hint="eastAsia"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hint="eastAsia" w:ascii="宋体" w:hAnsi="宋体" w:cs="宋体"/>
          <w:sz w:val="24"/>
        </w:rPr>
      </w:pPr>
      <w:r>
        <w:rPr>
          <w:rFonts w:hint="eastAsia" w:ascii="宋体" w:hAnsi="宋体" w:cs="宋体"/>
          <w:sz w:val="24"/>
        </w:rPr>
        <w:t xml:space="preserve">2.2满足本文件实质性要求和条件的规定。</w:t>
      </w:r>
      <w:r/>
    </w:p>
    <w:p>
      <w:pPr>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color w:val="000000"/>
          <w:sz w:val="24"/>
        </w:rPr>
        <w:t xml:space="preserve">适用法律和标准</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hint="eastAsia"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hint="eastAsia"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hint="eastAsia"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hint="eastAsia" w:ascii="宋体" w:hAnsi="宋体" w:cs="宋体"/>
          <w:sz w:val="24"/>
        </w:rPr>
      </w:pPr>
      <w:r>
        <w:rPr>
          <w:rFonts w:hint="eastAsia" w:ascii="宋体" w:hAnsi="宋体" w:cs="宋体"/>
          <w:sz w:val="24"/>
        </w:rPr>
        <w:t xml:space="preserve">（1）招标公告</w:t>
      </w:r>
      <w:r/>
    </w:p>
    <w:p>
      <w:pPr>
        <w:ind w:firstLine="480"/>
        <w:jc w:val="left"/>
        <w:spacing w:line="560" w:lineRule="exact"/>
        <w:rPr>
          <w:rFonts w:hint="eastAsia" w:ascii="宋体" w:hAnsi="宋体" w:cs="宋体"/>
          <w:color w:val="ff0000"/>
          <w:sz w:val="24"/>
        </w:rPr>
      </w:pPr>
      <w:r>
        <w:rPr>
          <w:rFonts w:hint="eastAsia" w:ascii="宋体" w:hAnsi="宋体" w:cs="宋体"/>
          <w:sz w:val="24"/>
        </w:rPr>
        <w:t xml:space="preserve">（2）投标人须知</w:t>
      </w:r>
      <w:r/>
    </w:p>
    <w:p>
      <w:pPr>
        <w:ind w:firstLine="480"/>
        <w:jc w:val="left"/>
        <w:spacing w:line="560" w:lineRule="exact"/>
        <w:rPr>
          <w:rFonts w:hint="eastAsia" w:ascii="宋体" w:hAnsi="宋体" w:cs="宋体"/>
          <w:sz w:val="24"/>
        </w:rPr>
      </w:pPr>
      <w:r>
        <w:rPr>
          <w:rFonts w:hint="eastAsia" w:ascii="宋体" w:hAnsi="宋体" w:cs="宋体"/>
          <w:sz w:val="24"/>
        </w:rPr>
        <w:t xml:space="preserve">（3）合同文本</w:t>
      </w:r>
      <w:r/>
    </w:p>
    <w:p>
      <w:pPr>
        <w:ind w:firstLine="480"/>
        <w:jc w:val="left"/>
        <w:spacing w:line="560" w:lineRule="exact"/>
        <w:rPr>
          <w:rFonts w:hint="eastAsia" w:ascii="宋体" w:hAnsi="宋体" w:cs="宋体"/>
          <w:sz w:val="24"/>
        </w:rPr>
      </w:pPr>
      <w:r>
        <w:rPr>
          <w:rFonts w:hint="eastAsia" w:ascii="宋体" w:hAnsi="宋体" w:cs="宋体"/>
          <w:sz w:val="24"/>
        </w:rPr>
        <w:t xml:space="preserve">（4）采购需求</w:t>
      </w:r>
      <w:r/>
    </w:p>
    <w:p>
      <w:pPr>
        <w:ind w:firstLine="480"/>
        <w:jc w:val="left"/>
        <w:spacing w:line="560" w:lineRule="exact"/>
        <w:rPr>
          <w:rFonts w:hint="eastAsia"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hint="eastAsia" w:ascii="宋体" w:hAnsi="宋体" w:cs="宋体"/>
          <w:sz w:val="24"/>
        </w:rPr>
      </w:pPr>
      <w:r>
        <w:rPr>
          <w:rFonts w:hint="eastAsia" w:ascii="宋体" w:hAnsi="宋体" w:cs="宋体"/>
          <w:sz w:val="24"/>
        </w:rPr>
        <w:t xml:space="preserve">（6）投标文件格式</w:t>
      </w:r>
      <w:r/>
    </w:p>
    <w:p>
      <w:pPr>
        <w:ind w:firstLine="480"/>
        <w:jc w:val="left"/>
        <w:spacing w:line="560" w:lineRule="exact"/>
        <w:rPr>
          <w:rFonts w:hint="eastAsia"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hint="eastAsia"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hint="eastAsia"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hint="eastAsia"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hint="eastAsia"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hint="eastAsia"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hint="eastAsia"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hint="eastAsia"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hint="eastAsia"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hint="eastAsia"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hint="eastAsia"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（2）所有人员的工作服装（分不同季节）由投标人购置并承担费用，保安用器械等由投标人购置并承担费用。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（4）服务人员须服从采购人管理，采购人安排的短期加班或活动不另行增加费用。</w:t>
      </w:r>
      <w:r/>
    </w:p>
    <w:p>
      <w:pPr>
        <w:ind w:firstLine="480"/>
        <w:jc w:val="left"/>
        <w:spacing w:line="560" w:lineRule="exact"/>
        <w:rPr>
          <w:rFonts w:hint="eastAsia" w:ascii="宋体" w:hAnsi="宋体" w:cs="宋体"/>
          <w:b/>
          <w:bCs/>
          <w:color w:val="ff0000"/>
          <w:sz w:val="24"/>
          <w:highlight w:val="yellow"/>
          <w:lang w:val="zh-CN"/>
        </w:rPr>
      </w:pPr>
      <w:r>
        <w:rPr>
          <w:rFonts w:hint="eastAsia" w:ascii="宋体" w:hAnsi="宋体" w:cs="宋体"/>
          <w:b/>
          <w:bCs/>
          <w:color w:val="000000" w:themeColor="text1"/>
          <w:sz w:val="24"/>
          <w:highlight w:val="white"/>
          <w:lang w:val="zh-CN"/>
        </w:rPr>
        <w:t xml:space="preserve">12.4所有人员工资不低于2430元/人</w:t>
      </w:r>
      <w:r>
        <w:rPr>
          <w:rFonts w:hint="eastAsia" w:ascii="宋体" w:hAnsi="宋体" w:cs="宋体"/>
          <w:b/>
          <w:bCs/>
          <w:color w:val="000000" w:themeColor="text1"/>
          <w:sz w:val="24"/>
          <w:highlight w:val="white"/>
        </w:rPr>
        <w:t xml:space="preserve">/</w:t>
      </w:r>
      <w:r>
        <w:rPr>
          <w:rFonts w:hint="eastAsia" w:ascii="宋体" w:hAnsi="宋体" w:cs="宋体"/>
          <w:b/>
          <w:bCs/>
          <w:color w:val="000000" w:themeColor="text1"/>
          <w:sz w:val="24"/>
          <w:highlight w:val="white"/>
          <w:lang w:val="zh-CN"/>
        </w:rPr>
        <w:t xml:space="preserve">月，所有人员必须足额缴纳社保费用，社保（企业部分）不得低于1292.47元/人/月，住房公积金不得低于</w:t>
      </w:r>
      <w:r>
        <w:rPr>
          <w:rFonts w:hint="eastAsia" w:ascii="宋体" w:hAnsi="宋体" w:cs="宋体"/>
          <w:b/>
          <w:bCs/>
          <w:color w:val="000000" w:themeColor="text1"/>
          <w:sz w:val="24"/>
          <w:highlight w:val="white"/>
          <w:lang w:eastAsia="zh-CN"/>
        </w:rPr>
        <w:t xml:space="preserve">122</w:t>
      </w:r>
      <w:r>
        <w:rPr>
          <w:rFonts w:hint="eastAsia" w:ascii="宋体" w:hAnsi="宋体" w:cs="宋体"/>
          <w:b/>
          <w:bCs/>
          <w:color w:val="000000" w:themeColor="text1"/>
          <w:sz w:val="24"/>
          <w:highlight w:val="white"/>
          <w:lang w:val="zh-CN"/>
        </w:rPr>
        <w:t xml:space="preserve">元/人/月，法定节假日加班天数按13天计算，加班费不得低于4357.25元/人/年，夏季高温补助费按</w:t>
      </w:r>
      <w:r>
        <w:rPr>
          <w:rFonts w:hint="eastAsia" w:ascii="宋体" w:hAnsi="宋体" w:cs="宋体"/>
          <w:b/>
          <w:bCs/>
          <w:color w:val="000000" w:themeColor="text1"/>
          <w:sz w:val="24"/>
          <w:highlight w:val="white"/>
        </w:rPr>
        <w:t xml:space="preserve">12</w:t>
      </w:r>
      <w:r>
        <w:rPr>
          <w:rFonts w:hint="eastAsia" w:ascii="宋体" w:hAnsi="宋体" w:cs="宋体"/>
          <w:b/>
          <w:bCs/>
          <w:color w:val="000000" w:themeColor="text1"/>
          <w:sz w:val="24"/>
          <w:highlight w:val="white"/>
          <w:lang w:val="zh-CN"/>
        </w:rPr>
        <w:t xml:space="preserve">00元/人/年，税金费率统一按6.72%进行报价。</w:t>
      </w:r>
      <w:r/>
    </w:p>
    <w:p>
      <w:pPr>
        <w:ind w:firstLine="480"/>
        <w:spacing w:line="560" w:lineRule="exact"/>
        <w:rPr>
          <w:rFonts w:hint="eastAsia"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hint="eastAsia"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hint="eastAsia"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hint="eastAsia"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hint="eastAsia"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hint="eastAsia"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hint="eastAsia"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hint="eastAsia"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hint="eastAsia"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hint="eastAsia"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hint="eastAsia"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hint="eastAsia"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hint="eastAsia"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hint="eastAsia"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hint="eastAsia"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hint="eastAsia"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hint="eastAsia"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hint="eastAsia"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hint="eastAsia"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hint="eastAsia"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hint="eastAsia"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hint="eastAsia"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hint="eastAsia"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hint="eastAsia"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26.1无效投标条款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hint="eastAsia"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hint="eastAsia"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hint="eastAsia"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hint="eastAsia"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hint="eastAsia"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hint="eastAsia"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hint="eastAsia"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ff0000"/>
          <w:sz w:val="24"/>
          <w:szCs w:val="20"/>
          <w:u w:val="single"/>
        </w:rPr>
      </w:pPr>
      <w:r>
        <w:rPr>
          <w:rFonts w:hint="eastAsia" w:ascii="宋体" w:hAnsi="宋体" w:eastAsia="Arial" w:cs="宋体"/>
          <w:b/>
          <w:bCs/>
          <w:color w:val="ff0000"/>
          <w:sz w:val="24"/>
          <w:szCs w:val="20"/>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hint="eastAsia"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hint="eastAsia" w:ascii="宋体" w:hAnsi="宋体" w:cs="宋体"/>
          <w:sz w:val="24"/>
        </w:rPr>
      </w:pPr>
      <w:r>
        <w:rPr>
          <w:rFonts w:hint="eastAsia" w:ascii="宋体" w:hAnsi="宋体" w:cs="宋体"/>
          <w:sz w:val="24"/>
        </w:rPr>
        <w:t xml:space="preserve">26.2废标条款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hint="eastAsia"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hint="eastAsia"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hint="eastAsia"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hint="eastAsia"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hint="eastAsia"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hint="eastAsia"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hint="eastAsia"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hint="eastAsia"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hint="eastAsia"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hint="eastAsia"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hint="eastAsia"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hint="eastAsia"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hint="eastAsia"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hint="eastAsia"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hint="eastAsia"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hint="eastAsia"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hint="eastAsia"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hint="eastAsia"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hint="eastAsia"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hint="eastAsia"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hint="eastAsia"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rPr>
          <w:rFonts w:hint="eastAsia"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hint="eastAsia"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hint="eastAsia"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hint="eastAsia"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hint="eastAsia"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hint="eastAsia"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hint="eastAsia"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hint="eastAsia" w:ascii="宋体" w:hAnsi="宋体" w:cs="宋体"/>
          <w:sz w:val="24"/>
        </w:rPr>
        <w:br w:type="page" w:clear="all"/>
      </w:r>
      <w:r/>
    </w:p>
    <w:p>
      <w:pPr>
        <w:ind w:firstLine="480"/>
        <w:jc w:val="center"/>
        <w:spacing w:line="560" w:lineRule="exact"/>
        <w:widowControl/>
        <w:rPr>
          <w:rFonts w:hint="eastAsia" w:ascii="黑体" w:hAnsi="黑体" w:eastAsia="黑体" w:cs="黑体"/>
          <w:sz w:val="44"/>
          <w:szCs w:val="44"/>
        </w:rPr>
        <w:outlineLvl w:val="0"/>
      </w:pPr>
      <w:r/>
      <w:bookmarkStart w:id="2" w:name="_Toc31242"/>
      <w:r>
        <w:rPr>
          <w:rFonts w:hint="eastAsia" w:ascii="黑体" w:hAnsi="黑体" w:eastAsia="黑体" w:cs="黑体"/>
          <w:sz w:val="44"/>
          <w:szCs w:val="44"/>
        </w:rPr>
        <w:t xml:space="preserve">第三章 合同文本</w:t>
      </w:r>
      <w:bookmarkEnd w:id="2"/>
      <w:r/>
      <w:r/>
    </w:p>
    <w:p>
      <w:pPr>
        <w:ind w:firstLine="480"/>
        <w:jc w:val="left"/>
        <w:spacing w:line="500" w:lineRule="exact"/>
        <w:widowControl/>
        <w:rPr>
          <w:rFonts w:hint="eastAsia" w:ascii="宋体" w:hAnsi="宋体" w:cs="宋体"/>
          <w:color w:val="000000" w:themeColor="text1"/>
          <w:sz w:val="24"/>
          <w:szCs w:val="20"/>
          <w14:textFill>
            <w14:solidFill>
              <w14:schemeClr w14:val="tx1"/>
            </w14:solidFill>
          </w14:textFill>
        </w:rPr>
      </w:pPr>
      <w:r/>
      <w:bookmarkStart w:id="3" w:name="_Toc20321"/>
      <w:r>
        <w:rPr>
          <w:rFonts w:hint="eastAsia" w:ascii="宋体" w:hAnsi="宋体" w:cs="宋体"/>
          <w:color w:val="000000" w:themeColor="text1"/>
          <w:sz w:val="24"/>
          <w:szCs w:val="20"/>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firstLine="480"/>
        <w:jc w:val="center"/>
        <w:spacing w:line="500" w:lineRule="exact"/>
        <w:widowControl/>
        <w:rPr>
          <w:rFonts w:hint="eastAsia" w:ascii="宋体" w:hAnsi="宋体" w:cs="宋体"/>
          <w:b/>
          <w:bCs/>
          <w:color w:val="000000" w:themeColor="text1"/>
          <w:sz w:val="28"/>
          <w:szCs w:val="21"/>
          <w14:textFill>
            <w14:solidFill>
              <w14:schemeClr w14:val="tx1"/>
            </w14:solidFill>
          </w14:textFill>
        </w:rPr>
      </w:pPr>
      <w:r>
        <w:rPr>
          <w:rFonts w:hint="eastAsia" w:ascii="宋体" w:hAnsi="宋体" w:cs="宋体"/>
          <w:b/>
          <w:bCs/>
          <w:color w:val="000000" w:themeColor="text1"/>
          <w:sz w:val="28"/>
          <w:szCs w:val="21"/>
          <w14:textFill>
            <w14:solidFill>
              <w14:schemeClr w14:val="tx1"/>
            </w14:solidFill>
          </w14:textFill>
        </w:rPr>
        <w:t xml:space="preserve">盐城市文化馆物业管理服务项目</w:t>
      </w:r>
      <w:r/>
    </w:p>
    <w:p>
      <w:pPr>
        <w:ind w:firstLine="480"/>
        <w:jc w:val="center"/>
        <w:spacing w:line="500" w:lineRule="exact"/>
        <w:widowControl/>
        <w:rPr>
          <w:rFonts w:hint="eastAsia" w:ascii="宋体" w:hAnsi="宋体" w:cs="宋体"/>
          <w:b/>
          <w:bCs/>
          <w:color w:val="000000" w:themeColor="text1"/>
          <w:sz w:val="28"/>
          <w:szCs w:val="21"/>
          <w14:textFill>
            <w14:solidFill>
              <w14:schemeClr w14:val="tx1"/>
            </w14:solidFill>
          </w14:textFill>
        </w:rPr>
      </w:pPr>
      <w:r>
        <w:rPr>
          <w:rFonts w:hint="eastAsia" w:ascii="宋体" w:hAnsi="宋体" w:cs="宋体"/>
          <w:b/>
          <w:bCs/>
          <w:color w:val="000000" w:themeColor="text1"/>
          <w:sz w:val="28"/>
          <w:szCs w:val="21"/>
          <w14:textFill>
            <w14:solidFill>
              <w14:schemeClr w14:val="tx1"/>
            </w14:solidFill>
          </w14:textFill>
        </w:rPr>
        <w:t xml:space="preserve">政府采购合同</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 盐城市文化馆</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  </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甲、乙双方根据盐城市文化馆物业管理服务项目公开招标的结果，签署本合同。合同金额：</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，合同期间如有政策性调整，乙方按相关政策文件执行，但中标价格不变。     </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中华人民共和国政府采购法》、《中华人民共和国民法典》、《物业管理条例》、《江苏省物业管理条例》等有关法律、法规的规定，甲方通过公开招投标方式选聘乙方为盐城市文化馆（物业名称，以下简称“本物业”）的唯一物业管理服务单位。在自愿、平等、协商一致的基础上，就本物业实施物业区域的物业管理服务的相关事宜，订立本合同。</w:t>
      </w:r>
      <w:r/>
    </w:p>
    <w:p>
      <w:pPr>
        <w:numPr>
          <w:ilvl w:val="0"/>
          <w:numId w:val="1"/>
        </w:numPr>
        <w:ind w:left="482" w:hanging="482"/>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物业基本情况</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物业名称：盐城市文化馆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项目坐落位置：盐城市亭湖区毓龙东路38号</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建筑面积：约9602平方米</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第二条  委托管理期限</w:t>
      </w:r>
      <w:r/>
    </w:p>
    <w:p>
      <w:pPr>
        <w:ind w:firstLine="480"/>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1、委托管理期限为2年，本合同服务期限为1年，自2026年  月  日至 2027年 月 日止。一年合同服务期限内无</w:t>
      </w:r>
      <w:r>
        <w:rPr>
          <w:rFonts w:hint="eastAsia" w:ascii="宋体" w:hAnsi="宋体"/>
          <w:color w:val="000000" w:themeColor="text1"/>
          <w:sz w:val="24"/>
          <w:lang w:val="zh-CN"/>
          <w14:textFill>
            <w14:solidFill>
              <w14:schemeClr w14:val="tx1"/>
            </w14:solidFill>
          </w14:textFill>
        </w:rPr>
        <w:t xml:space="preserve">连续两个月考核不合格或累计三个月考核不合格</w:t>
      </w:r>
      <w:r>
        <w:rPr>
          <w:rFonts w:hint="eastAsia" w:ascii="宋体" w:hAnsi="宋体"/>
          <w:color w:val="000000" w:themeColor="text1"/>
          <w:sz w:val="24"/>
          <w14:textFill>
            <w14:solidFill>
              <w14:schemeClr w14:val="tx1"/>
            </w14:solidFill>
          </w14:textFill>
        </w:rPr>
        <w:t xml:space="preserve">情形的可续签第二年合同。</w:t>
      </w:r>
      <w:r>
        <w:rPr>
          <w:rFonts w:hint="eastAsia" w:ascii="宋体" w:hAnsi="宋体"/>
          <w:b/>
          <w:bCs/>
          <w:color w:val="000000" w:themeColor="text1"/>
          <w:sz w:val="24"/>
          <w14:textFill>
            <w14:solidFill>
              <w14:schemeClr w14:val="tx1"/>
            </w14:solidFill>
          </w14:textFill>
        </w:rPr>
        <w:t xml:space="preserve"> </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第三条 委托物业管理范围</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本合同中委托管理范围盐城市文化馆现有主楼、群星剧场、附属楼3幢建筑。建筑面积约0.96万平方米。</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第四条  本合同委托管理事项包括以下内容：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物业服务的主要内容：含消安防安全保卫、秩序维护、前台接待、卫生保洁、收发报刊及邮寄、会务服务、环境卫生以及绿化带杂物清理、停车管理、物业档案资料管理、剧场音响设备设施服务等工作。</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上述事项中，凡属于业主与施工单位、安装单位前期施工合同中约定了的保修范围内的项目，均应由其合同中的责任单位负责相关保修工作，并提供维修保养工作的相关资料。乙方须在业主基建方的领导下，协助上述事项的协调、验收和维修维护过程中的监督工作。</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乙方提供的物业管理服务应达到《招标文件》和《投标文件》的标准和国家规定的标准。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注：以上维护项目中所有材料更换购置费均由乙方出具书面申请，甲方负责购置或委托乙方代为购置。</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第五条  付款方式、合同期限、合同价的调整：</w:t>
      </w:r>
      <w:r/>
    </w:p>
    <w:p>
      <w:pPr>
        <w:ind w:firstLine="472"/>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1、预付款支付时间：合同签订后，甲方收到发票后10个工作日，预付款支付比例：合同金额的30%。（乙方需提供等额税票。在签订合同时，乙方明确表示无需预付款的，可不执行）。</w:t>
      </w:r>
      <w:r/>
    </w:p>
    <w:p>
      <w:pPr>
        <w:ind w:firstLine="472"/>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物业管理服务费：按月计付物业服务费，物业管理服务费的支付采用每月考核，按月支付，即甲方于每月对上月度的物业管理服务工作进行考核，并支付经考核合格的上月物业管理服务费（在乙方向甲方交付等额发票后，甲方在10个工作日内以转账形式支付给乙方上月的物业综合管理服务费）。如一年中连续有两个月考核不合格或累计三个月考核不合格，甲方有权终止合同，重新选择新的物业管理服务公司。</w:t>
      </w:r>
      <w:r/>
    </w:p>
    <w:p>
      <w:pPr>
        <w:ind w:firstLine="472"/>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3、合同期限：1年。</w:t>
      </w:r>
      <w:r/>
    </w:p>
    <w:p>
      <w:pPr>
        <w:pStyle w:val="1184"/>
        <w:spacing w:line="50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4、在服务期间，甲方可根据馆方实际管理的需要调整乙方物业服务人员的数量，同时按乙方投标文件报价以实际服务人员数量调整结算价。</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第六条  物业管理服务费用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本物业管理费用支付时，乙方应提供税务发票。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1、物业管理服务费不包括以下费用；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（1）水电费和能耗费用；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（2）甲方认为有必要的室内外新增垃圾桶的购置费用；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（3）本合同未列入委托管理范围和委托管理事项的其他特约服务费用；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2、委托管理物业中的房屋共用部分、共用设施、设备、公共场地的维护材料费用均由乙方出具书面申请，甲方负责购置或委托乙方代为购置。</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3、除本合同规定的应收费项目外，未经甲方同意，乙方不得以甲方所辖物业设施设备提供使用为由收取其他任何费用（应物业使用单位的要求，向物业使用人提供的特约有偿服务收费除外）。</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第七条 甲方的权利义务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一、甲方权利：</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1、审定乙方拟定的年度物业管理服务计划和方案；</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2、对物业设施、设备和共用部分自然损坏的大中修及更新、改造计划、方案、费用的审批，并组织验收；</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甲方有权对乙方的物业管理工作和投标书、承诺书、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 </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4、在合同履行期间，如乙方中途退出或发生责任事故，给甲方带来不良影响的，或者因乙方工作不力，影响甲方正常工作秩序的，甲方有权终止本合同，没收履约保证金，并要求乙方给予违约经济赔偿。</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5、甲方根据工作需要有权指挥、监督乙方进行物业管理服务工作，指导乙方人员在区域内与物业相关的行为和活动，乙方需无条件服从；</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二、甲方义务</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1、甲方应向乙方移交下列资料：</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（1）竣工总平面图，单体建筑、结构、设备竣工图，配套设施等竣工资料；</w:t>
      </w:r>
      <w:r/>
    </w:p>
    <w:p>
      <w:pPr>
        <w:ind w:firstLine="24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（2）设施设备的安装、使用说明书和维护保养等技术资料；</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（3）物业管理所必需的其他资料。</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2、按照合同约定支付物业服务费；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3、协助乙方做好物业管理工作和宣传教育、文化活动；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4、协助乙方规范对区域内人员违反法规、规章的行为；</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5、协调、配合乙方共同处理本合同生效前发生的相关遗留问题；</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6、法律、法规规定的其他义务。</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第八条 乙方的权利义务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一、乙方权利：</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1、按照国家和有关物业管理的技术标准、行业规范以及本服务合同进行管理，提供专业化的服务；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2、按照本合同和有关规定向甲方收取物业服务费用和其他费用；</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3、根据甲方授权，制定必要的规章制度，并以有效方式督促辖区使用人遵守；</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4、根据甲方授权，采取规劝、警告等措施制止， 使用人违反公众管理制度的行为；</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5、依照法律、法规规定和本合同约定享有的其他权利。</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二、乙方义务：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1、全面贯彻执行国家物业管理的法规、政策，全面遵守《招标文件》的要求执行《投标文件》的承诺，门前三包等，接受甲方的检查、考核和监督，接受物业管理行政主管部门等的监督和指导。</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2、及时向甲方通告本区域内有关物业管理服务的重大事项，及时处理投诉，接受甲方的监督管理；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3、在承接物业时，应当对物业共用部位、共用设施设备进行查验,并做好书面记录和签认工作；</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4、结合本物业管理区域的实际情况，编制年度管理计划，维修保养计划，经甲方批准后组织实施；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5、制止本物业管理区域内违反有关治安、环保、物业装饰装修和使用等方面规章制度的行为，对违反法律法规规定的行为及时向甲方报告；</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做好本物业管理区域内的安全防范工作，发生安全事故时，在采取应急措施的同时，及时向有关行政管理部门报告，保护好现场、做好救助工作；保安人员在维护本物业管理区域的公共秩序时，要履行职责，不得侵害公民的合法权益；</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7、非经甲方许可并办理有关手续，不得擅自改变物业管理区域内共用部分、共用设施设备的用途；对本物业的公用设施不得擅自占用和改变使用功能；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8、因维修、养护共用部位、共用设施设备需要而暂时停水、停电或停止共用设施设备的使用的（除排危抢险情形以外），乙方应事先征得甲方同意后实施；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9、经甲方书面同意，可选聘专业公司承担本物业的个别专项管理业务，但不得将履行本合同的责任转让给第三方；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10、本合同终止时，应当将物业管理用房和物业管理相关资料、物件、设施及时如数地移交给甲方，不得以任何理由拒绝或拖延；</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11、法律、法规规定的其他义务。</w:t>
      </w:r>
      <w:r/>
    </w:p>
    <w:p>
      <w:pPr>
        <w:ind w:left="482" w:hanging="482"/>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第九条 物业管理用房</w:t>
      </w:r>
      <w:r/>
    </w:p>
    <w:p>
      <w:pPr>
        <w:numPr>
          <w:ilvl w:val="0"/>
          <w:numId w:val="2"/>
        </w:num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甲方按照有关规定，向乙方提供固定的物业管理用房。</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2、物业管理用房属甲方所有，由乙方在本合同期限内无偿使用，但不得改变其用途。本合同终止时，乙方应当将物业管理用房、物业管理相关资料等及时如数地移交给甲方。</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第十条  物业管理服务质量</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乙方承揽甲方的物业管理，须按本合同约定的委托管理事项达到下列质量要求：</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（一）房屋外观：完好、整洁；</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（二）设备运行：正常、无事故和安全隐患；</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（三）各类设施、设备的维修、养护；及时、状态良好；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（四）公共环境：清扫及时、保洁全面、无死角、垃圾日产日清；</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（五）交通秩序：运行有序、保持畅通、处理违章及时到位、车辆无乱停乱放现象；</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（六）保安：实行24小时封闭式保安管理，辖区内无治安责任案件发生；</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（七）急修不超过10分钟到场；小修不超过2小时处理到位；</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具体的物业服务质量要求详见《投标文件》。</w:t>
      </w:r>
      <w:r/>
    </w:p>
    <w:p>
      <w:pPr>
        <w:ind w:firstLine="482"/>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第十一条 违约责任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1、甲方不履行本合同约定的义务，乙方可要求甲方履行，由此造成的损失，甲方应承担相应的责任；</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2、甲方违反本合同的约定，未能按时如数交纳物业服务费的，应按每月千分之五的标准向乙方支付违约金，并应于五日内补交费用；</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3、乙方违反本合同约定，乙方如发生将本物业转包、转让、违规、违法现象或在履行合约中单方中途退出的，甲方将中止本合同，没收履约保证金，追偿违约金，并追究由此造成的一切损失；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4、双方约定，以下条件下所致的损害，可构成对乙方的免责事由：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（1）因不可抗力而导致的中断服务或物业价值的贬损；</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（2）因物业本身固有的瑕疵造成的损害；</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（3）因维修、养护共用部位、共用设施设备需要而暂时停水、停电或停止共用设施设备的使用的（除排危抢险情形以外，乙方应事先通知甲方）；</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（4）因政府有关部门原因而非乙方责任造成的供水、供电、供热、供冷、通讯、有线电视及其他共用设施设备的障碍和损失。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5、甲乙双方均应严格履行合同的约定，若任何一方导致合同不能正常履行或无故单方解除合同，则应承担成交总额的5%违约金和由此造成的后果，给对方造成的损失，应赔偿相应损失。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6、乙方经考核若达不到招标文件、投标文件和合同中所及的相关要求，甲方有权对乙方进行相应的经济处罚（金额由甲乙双方依据实际情况协商而定），直至解除合同。</w:t>
      </w:r>
      <w:r/>
    </w:p>
    <w:p>
      <w:pPr>
        <w:ind w:firstLine="480"/>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第十二条 履约保证金</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1、乙方交纳人民币</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作为本合同的履约保证金（合同金额的10%，</w:t>
      </w:r>
      <w:r>
        <w:rPr>
          <w:rFonts w:hint="eastAsia" w:ascii="宋体" w:hAnsi="宋体"/>
          <w:color w:val="000000" w:themeColor="text1"/>
          <w:sz w:val="24"/>
          <w14:textFill>
            <w14:solidFill>
              <w14:schemeClr w14:val="tx1"/>
            </w14:solidFill>
          </w14:textFill>
        </w:rPr>
        <w:t xml:space="preserve">甲方对AA评级及以上政府采购供应商（需提供信用管理部门备案的第三方信用报告），降低履约保证金缴纳</w:t>
      </w:r>
      <w:r>
        <w:rPr>
          <w:rFonts w:hint="eastAsia" w:ascii="宋体" w:hAnsi="宋体"/>
          <w:color w:val="000000" w:themeColor="text1"/>
          <w:sz w:val="24"/>
          <w14:textFill>
            <w14:solidFill>
              <w14:schemeClr w14:val="tx1"/>
            </w14:solidFill>
          </w14:textFill>
        </w:rPr>
        <w:t xml:space="preserve">比例为5%）。</w:t>
      </w:r>
      <w:r>
        <w:rPr>
          <w:rFonts w:hint="eastAsia" w:ascii="宋体" w:hAnsi="宋体"/>
          <w:color w:val="000000" w:themeColor="text1"/>
          <w:sz w:val="24"/>
          <w14:textFill>
            <w14:solidFill>
              <w14:schemeClr w14:val="tx1"/>
            </w14:solidFill>
          </w14:textFill>
        </w:rPr>
        <w:t xml:space="preserve">合同履行结束后，甲方应及时退还交纳的履约保证金。</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3、履约保证金的退还：</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3.1方式：退还至乙方缴纳履约保证金的账户。如为保函，在到期时自行失效。</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3.2时间：验收合格且甲方收到发票后30日内。</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3.3条件：按合同要求全部履约完成并经甲方验收合格，且甲方收到乙方出具的发票。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3.4不予退还情形：</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除不可抗力情况外，乙方出现下列情形之一的，其履约保证金，甲方将视情节决定不予退还或部分不予退还。</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（1）乙方无正当理由拒绝签订合同的，或者在签订合同时向甲方提出附加条件或者更改合同实质性内容要求的；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（2）乙方不履行与甲方订立的合同的；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（3）乙方所供货物或服务不符合招标文件规定要求的；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（4）乙方采取欺骗、弄虚作假方式投标的或与其它投标人串通投标的；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（5）乙方将合同内容转包、违法分包的；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（6）乙方故意捏造事实或伪造证明材料，进行虚假恶意投诉或反映的。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rPr>
          <w:rFonts w:hint="eastAsia" w:ascii="宋体" w:hAnsi="宋体"/>
          <w:color w:val="000000" w:themeColor="text1"/>
          <w:sz w:val="24"/>
          <w14:textFill>
            <w14:solidFill>
              <w14:schemeClr w14:val="tx1"/>
            </w14:solidFill>
          </w14:textFill>
        </w:rPr>
        <w:t xml:space="preserve">合同提前终止或期满退出的，规定时间内必须与甲方及后续物业管理企业的完成交接、衔接工作。</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第十三条 其它</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1、本合同中的未尽事宜，双方可协商后进行补充，以书面形式签订补充协议，补充协议与本合同具同等效力。本合同之附件均为本合同不可分割的组成部分，与本合同具有同等的法律效力。</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2、甲方的《招标文件》和乙方的《投标文件》为本合同的附件，本合同附件均为合同的有效组成部分。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3、本合同及其附件和补充协议中的未规定事宜，均按照中华人民共和国有关法律、法规和规章执行。</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4、本合同之附件如有与本合同相抵触之处，以本合同规定为准。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5、合同期满本合同自然终止。</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6、本合同在履行中如遇争议，双方可以通过协商和解、依法申请调解、向有关行政部门申诉、提请仲裁机构仲裁、向人民法院提起起诉等方式解决。</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7、本合同正本连同附件，一式肆份，甲方贰份，乙方贰份，具同等法律效力。</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8、本合同自甲乙双方签订之日起生效。</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甲方（盖章）：                        乙方（盖章）：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地址：                                地址：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法定代表人或                          法定代表人或</w:t>
      </w:r>
      <w:r/>
    </w:p>
    <w:p>
      <w:pPr>
        <w:ind w:firstLine="24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授权代表（签字）：                    授权代表（签字）：</w:t>
      </w:r>
      <w:r/>
    </w:p>
    <w:p>
      <w:pPr>
        <w:ind w:firstLine="24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联系电话：                            联系电话：</w:t>
      </w:r>
      <w:r/>
    </w:p>
    <w:p>
      <w:pPr>
        <w:jc w:val="righ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月   日</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center"/>
        <w:spacing w:line="360" w:lineRule="auto"/>
        <w:rPr>
          <w:rStyle w:val="1025"/>
          <w:rFonts w:ascii="宋体"/>
          <w:b/>
          <w:color w:val="000000" w:themeColor="text1"/>
          <w:sz w:val="32"/>
          <w:szCs w:val="32"/>
          <w14:textFill>
            <w14:solidFill>
              <w14:schemeClr w14:val="tx1"/>
            </w14:solidFill>
          </w14:textFill>
        </w:rPr>
        <w:outlineLvl w:val="1"/>
      </w:pPr>
      <w:r>
        <w:rPr>
          <w:rStyle w:val="1025"/>
          <w:rFonts w:hint="eastAsia" w:ascii="宋体" w:hAnsi="宋体"/>
          <w:b/>
          <w:color w:val="000000" w:themeColor="text1"/>
          <w:sz w:val="32"/>
          <w:szCs w:val="32"/>
          <w14:textFill>
            <w14:solidFill>
              <w14:schemeClr w14:val="tx1"/>
            </w14:solidFill>
          </w14:textFill>
        </w:rPr>
        <w:t xml:space="preserve">盐城市文化馆物业管理考核办法</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一、考核办法的实施原则与目的</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为创建安全文明和谐的环境，提高物业管理的服务质量和工作效率，使物业管理的工作制度化、规范化、科学化，促使物业管理公司按照物管要求切实履行物业合同和落实管理措施，为服务对象提供更优质和完善的服务，特制订物业管理考核办法。</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二、考核内容与评分标准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（一）日常管理百分考核（总分：100分）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1、安全保卫（合计：</w:t>
      </w:r>
      <w:r>
        <w:rPr>
          <w:rFonts w:hint="eastAsia" w:ascii="宋体" w:hAnsi="宋体" w:cs="宋体"/>
          <w:b/>
          <w:bCs/>
          <w:color w:val="000000" w:themeColor="text1"/>
          <w:sz w:val="24"/>
          <w:szCs w:val="20"/>
          <w:u w:val="single"/>
          <w14:textFill>
            <w14:solidFill>
              <w14:schemeClr w14:val="tx1"/>
            </w14:solidFill>
          </w14:textFill>
        </w:rPr>
        <w:t xml:space="preserve">40 </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保安人员具有公安部门发放的保安员证书，严格遵守各项规章制度，坚守岗位、不脱岗，搞好人员出入、交接班、值班登记工作。熟悉了解消防、保卫工作的重点部位和防范应急措施，防止火灾、盗窃、破坏及寻衅滋事等突发事件的发生。遇到突发事件和异常情况，保安人员及时汇报，并按预案处置要求，采取相应措施，确保安全。统一着装，姿态端庄，保持窗口单位文明形象；与来客交流，讲话用语文明礼貌规范，做好“门前三包”卫生保洁工作。夜间值班保安员，当班期间定时巡查，禁止睡觉。</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（1）监控室值班人员（小计：</w:t>
      </w:r>
      <w:r>
        <w:rPr>
          <w:rFonts w:hint="eastAsia" w:ascii="宋体" w:hAnsi="宋体" w:cs="宋体"/>
          <w:b/>
          <w:bCs/>
          <w:color w:val="000000" w:themeColor="text1"/>
          <w:sz w:val="24"/>
          <w:szCs w:val="20"/>
          <w:u w:val="single"/>
          <w14:textFill>
            <w14:solidFill>
              <w14:schemeClr w14:val="tx1"/>
            </w14:solidFill>
          </w14:textFill>
        </w:rPr>
        <w:t xml:space="preserve">18</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①监控室值班人员具有消防管理部门发放的消防专业证书。（3分）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②监控室值班人员实行三班24小时值班，值班期间禁止睡觉，做与工作无关的事。（3分）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③熟练掌握各种消防、安防技术设备的使用。（2分）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④做好火灾自动报警设备的管理和记录工作。（2分）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⑤做好视频监控系统的管理和记录工作。（2分）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⑥夜间做好110自动报警系统的设防和记录工作。（3分）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⑦做好盐城市文化馆每日防火巡查和记录工作，发现紧急情况按盐城市文化馆消防应急预案规定及时处理。（3分）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（2）门卫值班人员（小计：</w:t>
      </w:r>
      <w:r>
        <w:rPr>
          <w:rFonts w:hint="eastAsia" w:ascii="宋体" w:hAnsi="宋体" w:cs="宋体"/>
          <w:b/>
          <w:bCs/>
          <w:color w:val="000000" w:themeColor="text1"/>
          <w:sz w:val="24"/>
          <w:szCs w:val="20"/>
          <w:u w:val="single"/>
          <w14:textFill>
            <w14:solidFill>
              <w14:schemeClr w14:val="tx1"/>
            </w14:solidFill>
          </w14:textFill>
        </w:rPr>
        <w:t xml:space="preserve">12</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①盐城市文化馆正门和监控室值班人员实行24小时值班。值班期间禁止睡觉，做与工作无关的事。（6分）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②做好盐城市文化馆进出人员的管理登记工作。（6分）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（3）巡逻人员（小计：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①值班巡逻人员实行规定每小时一次。（5分）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②当班期间不间断巡逻，保持高度警惕，保护公共财产及个人的安全。（5分）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2、卫生保洁（合计：</w:t>
      </w:r>
      <w:r>
        <w:rPr>
          <w:rFonts w:hint="eastAsia" w:ascii="宋体" w:hAnsi="宋体" w:cs="宋体"/>
          <w:b/>
          <w:bCs/>
          <w:color w:val="000000" w:themeColor="text1"/>
          <w:sz w:val="24"/>
          <w:szCs w:val="20"/>
          <w:u w:val="single"/>
          <w14:textFill>
            <w14:solidFill>
              <w14:schemeClr w14:val="tx1"/>
            </w14:solidFill>
          </w14:textFill>
        </w:rPr>
        <w:t xml:space="preserve">34</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保洁范围：</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1)室内部分：所有楼内公共区域，大厅、</w:t>
      </w:r>
      <w:r>
        <w:rPr>
          <w:rFonts w:hint="eastAsia" w:ascii="宋体" w:hAnsi="宋体" w:cs="宋体"/>
          <w:color w:val="000000" w:themeColor="text1"/>
          <w:sz w:val="24"/>
          <w14:textFill>
            <w14:solidFill>
              <w14:schemeClr w14:val="tx1"/>
            </w14:solidFill>
          </w14:textFill>
        </w:rPr>
        <w:t xml:space="preserve">会议室、接待室、群星剧场、</w:t>
      </w:r>
      <w:r>
        <w:rPr>
          <w:rFonts w:hint="eastAsia" w:ascii="宋体" w:hAnsi="宋体" w:cs="宋体"/>
          <w:color w:val="000000" w:themeColor="text1"/>
          <w:sz w:val="24"/>
          <w:szCs w:val="20"/>
          <w14:textFill>
            <w14:solidFill>
              <w14:schemeClr w14:val="tx1"/>
            </w14:solidFill>
          </w14:textFill>
        </w:rPr>
        <w:t xml:space="preserve">楼梯、走道、卫生间等公共部位。</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2)室外部分：道路、停车场（含地下停车场）及绿化带等。</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保洁要求：</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（1）室外区域（小计：</w:t>
      </w:r>
      <w:r>
        <w:rPr>
          <w:rFonts w:hint="eastAsia" w:ascii="宋体" w:hAnsi="宋体" w:cs="宋体"/>
          <w:b/>
          <w:bCs/>
          <w:color w:val="000000" w:themeColor="text1"/>
          <w:sz w:val="24"/>
          <w:szCs w:val="20"/>
          <w:u w:val="single"/>
          <w14:textFill>
            <w14:solidFill>
              <w14:schemeClr w14:val="tx1"/>
            </w14:solidFill>
          </w14:textFill>
        </w:rPr>
        <w:t xml:space="preserve"> 8 </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①每天清扫道路、绿化带的地面2次，每天巡视3次，发现脏物、废品应及时处理，保持外围干净、整洁。（2分）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②根据各种地面脏的程度要及时进行清洗。绿化带定期巡查，及时清扫果皮、废纸、杂物等垃圾。（2分）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③及时收集各类垃圾，堆放在指定地点。清运时密封装置，确保无飘洒和漏水现象。及时清洗垃圾筒筒身，更换垃圾袋，保持干净、无异味、无满溢。（2分）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④每周清除1次卫生死角，水管处、下水道口、排水沟、水池、雨水槽内阴沟、污水井等地方，要确保其内无杂物。（2分）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（2）走廊、楼梯（小计：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①每日循环清扫地面垃圾，清除地面的污迹，每月彻底清洗2次，平时发现污渍及时处理。（2分）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②用推尘布抹净地面，保持地面无脚印、无灰尘。（2分）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③抹净墙面的灰尘，每日清倒垃圾两次，及时更换垃圾袋，及时处理垃圾筒上面的痰迹，使其外表干净、光亮、无满溢垃圾现象。（2分）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④擦净楼梯扶手，拖净楼梯，各眼见手及之处，经常抹尘，保持清洁。（2分）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⑤主要道路、室内走廊等部位的保洁工作必须在早晨8：</w:t>
      </w:r>
      <w:r>
        <w:rPr>
          <w:rFonts w:hint="eastAsia" w:ascii="宋体" w:hAnsi="宋体" w:cs="宋体"/>
          <w:color w:val="000000" w:themeColor="text1"/>
          <w:sz w:val="24"/>
          <w:szCs w:val="20"/>
          <w:lang w:val="en-US" w:eastAsia="zh-CN"/>
          <w14:textFill>
            <w14:solidFill>
              <w14:schemeClr w14:val="tx1"/>
            </w14:solidFill>
          </w14:textFill>
        </w:rPr>
        <w:t xml:space="preserve">3</w:t>
      </w:r>
      <w:r>
        <w:rPr>
          <w:rFonts w:hint="eastAsia" w:ascii="宋体" w:hAnsi="宋体" w:cs="宋体"/>
          <w:color w:val="000000" w:themeColor="text1"/>
          <w:sz w:val="24"/>
          <w:szCs w:val="20"/>
          <w14:textFill>
            <w14:solidFill>
              <w14:schemeClr w14:val="tx1"/>
            </w14:solidFill>
          </w14:textFill>
        </w:rPr>
        <w:t xml:space="preserve">0前完成。（2分）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（3）会议室、接待室、群星剧场（小计：</w:t>
      </w:r>
      <w:r>
        <w:rPr>
          <w:rFonts w:hint="eastAsia" w:ascii="宋体" w:hAnsi="宋体" w:cs="宋体"/>
          <w:b/>
          <w:bCs/>
          <w:color w:val="000000" w:themeColor="text1"/>
          <w:sz w:val="24"/>
          <w:szCs w:val="20"/>
          <w:u w:val="single"/>
          <w14:textFill>
            <w14:solidFill>
              <w14:schemeClr w14:val="tx1"/>
            </w14:solidFill>
          </w14:textFill>
        </w:rPr>
        <w:t xml:space="preserve">4</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①及时清扫地面垃圾、擦抹主席台、桌椅、橱柜、沙发、茶几等，擦净相关设施、设备、并定期消毒，痰渍、水迹等及时处理，每周彻底拖洗1次，保持室内整洁。（1分）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②会后及时清理，检查是否有遗留物品、未熄灭的火种，关闭设备电源等。（1分）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③花盆里面垃圾、烟头及时清理。定期不定期做好消杀服务。（1分）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④开会或接待外单位时须安排人员现场服务。（1分）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（4）卫生间（小计：</w:t>
      </w:r>
      <w:r>
        <w:rPr>
          <w:rFonts w:hint="eastAsia" w:ascii="宋体" w:hAnsi="宋体" w:cs="宋体"/>
          <w:b/>
          <w:bCs/>
          <w:color w:val="000000" w:themeColor="text1"/>
          <w:sz w:val="24"/>
          <w:szCs w:val="20"/>
          <w:u w:val="single"/>
          <w14:textFill>
            <w14:solidFill>
              <w14:schemeClr w14:val="tx1"/>
            </w14:solidFill>
          </w14:textFill>
        </w:rPr>
        <w:t xml:space="preserve">8</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①拖洗所有卫生间地面，抹净洁具、门框、墙身，保持无灰尘、无垃圾、无异味、无手脚印、无污渍等。（3分）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卫生间隔板、纸盒每天擦抹1次。小便池、厕位、水池每天进行冲洗，每周用洗液清洗1次。洁具每周用消毒剂消毒1次，整体卫生间全面消毒，每月1次。镜面、台面、洗手盆每天清洁2次。上班时间每小时巡视1次，发现污迹、水迹、积水、头发、手印、便迹、异味、报纸等及时清理。（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③两周1次全面清洗墙面瓷砖，地面用清洁剂刷洗，天花擦净，保持干净，无污渍。卫生间的地面每天拖地至少2次以上，每天冲洗1次，保持地面干燥。（2分）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（5）其他（小计：</w:t>
      </w:r>
      <w:r>
        <w:rPr>
          <w:rFonts w:hint="eastAsia" w:ascii="宋体" w:hAnsi="宋体" w:cs="宋体"/>
          <w:b/>
          <w:bCs/>
          <w:color w:val="000000" w:themeColor="text1"/>
          <w:sz w:val="24"/>
          <w:szCs w:val="20"/>
          <w:u w:val="single"/>
          <w14:textFill>
            <w14:solidFill>
              <w14:schemeClr w14:val="tx1"/>
            </w14:solidFill>
          </w14:textFill>
        </w:rPr>
        <w:t xml:space="preserve">4</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①室外区域巡查人员实行不定时值班巡查，值班期间禁止睡觉，做与工作无关的事。（1分）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②室外区域巡查人员做好值班巡查记录，实行定人定区域.（1分）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③保安保洁人员须对室外道路、绿化带和地面实行不间断巡查制度。（1分）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④保洁、保安人员都是服务区域的义务控烟员，水电工负责公共部位的水、电、消防设备设施及房屋等日常巡查和报修。（1分）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3、设备设施管理（小计：</w:t>
      </w:r>
      <w:r>
        <w:rPr>
          <w:rFonts w:hint="eastAsia" w:ascii="宋体" w:hAnsi="宋体" w:cs="宋体"/>
          <w:b/>
          <w:bCs/>
          <w:color w:val="000000" w:themeColor="text1"/>
          <w:sz w:val="24"/>
          <w:szCs w:val="20"/>
          <w:u w:val="single"/>
          <w14:textFill>
            <w14:solidFill>
              <w14:schemeClr w14:val="tx1"/>
            </w14:solidFill>
          </w14:textFill>
        </w:rPr>
        <w:t xml:space="preserve">6</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 xml:space="preserve">（1）做好设备设施的维护管理，随坏随修（换），保证性能良好，工作正常，年检合格。（2分）</w:t>
      </w:r>
      <w:r/>
    </w:p>
    <w:p>
      <w:pPr>
        <w:ind w:firstLine="482"/>
        <w:jc w:val="left"/>
        <w:spacing w:line="500" w:lineRule="exact"/>
        <w:widowControl/>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 xml:space="preserve">（2）技术人员做到持证上岗，技术熟练，坚持每日巡查，一旦发生设备设施损坏或技术故障，要及时更换或修复。（2分）</w:t>
      </w:r>
      <w:r/>
    </w:p>
    <w:p>
      <w:pPr>
        <w:ind w:firstLine="482"/>
        <w:jc w:val="left"/>
        <w:spacing w:line="500" w:lineRule="exact"/>
        <w:widowControl/>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 xml:space="preserve">（3）做好高低压房的值班工作，水电维修技术人员做到每天24小时有人在岗。（1分）</w:t>
      </w:r>
      <w:r/>
    </w:p>
    <w:p>
      <w:pPr>
        <w:ind w:firstLine="482"/>
        <w:jc w:val="left"/>
        <w:spacing w:line="500" w:lineRule="exact"/>
        <w:widowControl/>
        <w:rPr>
          <w:rFonts w:hint="eastAsia" w:ascii="宋体" w:hAnsi="宋体" w:cs="宋体"/>
          <w:bCs/>
          <w:color w:val="ff0000"/>
          <w:sz w:val="24"/>
          <w:szCs w:val="20"/>
          <w:highlight w:val="yellow"/>
        </w:rPr>
      </w:pPr>
      <w:r>
        <w:rPr>
          <w:rFonts w:hint="eastAsia" w:ascii="宋体" w:hAnsi="宋体" w:cs="宋体"/>
          <w:bCs/>
          <w:color w:val="000000" w:themeColor="text1"/>
          <w:sz w:val="24"/>
          <w:szCs w:val="20"/>
          <w:highlight w:val="white"/>
        </w:rPr>
        <w:t xml:space="preserve">（4）剧场设备（音响、灯光、舞台机械等）按规定进行日常巡查和保养，演出期间运行正常。发现问题未及时报修或影响演出正常进行的。（1分）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4、档案、资料管理（合计：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加强有关物业的档案和资料管理。物业管理企业所有档案要求做到保存完整，管理完善，交接手续完备，检索方便准确。</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档案和资料的管理包括：业主投诉和意见档案、安全管理记录档案、清洁卫生管理档案、场馆服务对象信息档案、物业人事管理及人员培训档案等，以及具体的管理方案。（10分）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5、建立健全物业管理制度（合计：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根据盐城市文化馆的具体情况，物业管理中标单位应制定企业详细的内部管理制度、日常服务的运作管理制度等相关制度。</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（1）物业管理员工行为规范；（2分）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（2）项目经理岗位职责；（1分）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（3）保安工作职责；（1分）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（4）保洁工作职责；（1分）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（5）报刊收发、邮寄人员工作职责；（1分）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（6）会务服务工作职责；（1分）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（7）考核奖惩制度；（1分）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（8）安全保卫制度；（1分）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（9）设备巡查制度。（1分）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三、考核的组织人员与实施</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盐城市文化馆成立物业管理考核小组，具体负责相关考核工作。考核小组依据百分考核情况（满分为100分）。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考核小组定期对物管服务进行考核，编制物业管理工作考核表。</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四、考核的认定与评判</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1、考核标准：综合得分80分及以上为合格；80分以下为不合格。</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2、意见反馈：盐城市文化馆将考核结果三日内反馈物业公司，物业公司必须在一周内整改到位，考核不合格将按照合同约定中的条款进行处理，直至解除合同。</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五、考核奖惩</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盐城市文化馆将对物业公司每月的物业服务进行考核，对考核办法中的每项进行考核打分。</w:t>
      </w:r>
      <w:r/>
    </w:p>
    <w:p>
      <w:pPr>
        <w:ind w:firstLine="480"/>
        <w:spacing w:line="50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物业公司每月考核综合得分低于80分的，每低1分将对物业公司进行500元的惩罚，从物业管理服务费中扣除并要求物业公司整改。如一年中连续两个月考核不合格或累计三个月考核不合格，甲方有权终止合同，重新选择新的物业管理服务企业，一切责任由乙方承担。</w:t>
      </w:r>
      <w:r>
        <w:rPr>
          <w:rFonts w:hint="eastAsia" w:ascii="宋体" w:hAnsi="宋体" w:cs="宋体"/>
          <w:color w:val="000000" w:themeColor="text1"/>
          <w:sz w:val="24"/>
          <w:szCs w:val="20"/>
          <w14:textFill>
            <w14:solidFill>
              <w14:schemeClr w14:val="tx1"/>
            </w14:solidFill>
          </w14:textFill>
        </w:rPr>
        <w:t xml:space="preserve"> </w:t>
      </w:r>
      <w:r/>
    </w:p>
    <w:p>
      <w:pPr>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br w:type="page" w:clear="all"/>
      </w:r>
      <w:r/>
    </w:p>
    <w:p>
      <w:pPr>
        <w:pStyle w:val="809"/>
        <w:jc w:val="center"/>
        <w:spacing w:before="0" w:after="0" w:line="260" w:lineRule="auto"/>
        <w:widowControl/>
        <w:rPr>
          <w:rFonts w:hint="eastAsia" w:ascii="黑体" w:hAnsi="宋体" w:eastAsia="黑体" w:cs="黑体"/>
          <w:color w:val="000000" w:themeColor="text1"/>
          <w14:textFill>
            <w14:solidFill>
              <w14:schemeClr w14:val="tx1"/>
            </w14:solidFill>
          </w14:textFill>
        </w:rPr>
      </w:pPr>
      <w:r>
        <w:rPr>
          <w:rFonts w:hint="eastAsia" w:ascii="黑体" w:hAnsi="宋体" w:eastAsia="黑体" w:cs="黑体"/>
          <w:color w:val="000000" w:themeColor="text1"/>
          <w14:textFill>
            <w14:solidFill>
              <w14:schemeClr w14:val="tx1"/>
            </w14:solidFill>
          </w14:textFill>
        </w:rPr>
        <w:t xml:space="preserve">第四章 采购</w:t>
      </w:r>
      <w:r>
        <w:rPr>
          <w:rFonts w:ascii="黑体" w:hAnsi="宋体" w:eastAsia="黑体" w:cs="黑体"/>
          <w:color w:val="000000" w:themeColor="text1"/>
          <w14:textFill>
            <w14:solidFill>
              <w14:schemeClr w14:val="tx1"/>
            </w14:solidFill>
          </w14:textFill>
        </w:rPr>
        <w:t xml:space="preserve">需求</w:t>
      </w:r>
      <w:r/>
    </w:p>
    <w:p>
      <w:pPr>
        <w:ind w:firstLine="480"/>
        <w:spacing w:line="520" w:lineRule="exact"/>
        <w:widowControl/>
        <w:rPr>
          <w:rFonts w:hint="eastAsia" w:ascii="宋体" w:hAnsi="宋体" w:cs="宋体"/>
          <w:b/>
          <w:bCs/>
          <w:color w:val="000000" w:themeColor="text1"/>
          <w:sz w:val="24"/>
          <w:szCs w:val="20"/>
          <w14:textFill>
            <w14:solidFill>
              <w14:schemeClr w14:val="tx1"/>
            </w14:solidFill>
          </w14:textFill>
        </w:rPr>
      </w:pPr>
      <w:r/>
      <w:bookmarkStart w:id="4" w:name="_Toc26554093"/>
      <w:r/>
      <w:bookmarkStart w:id="5" w:name="_Toc49090575"/>
      <w:r>
        <w:rPr>
          <w:rFonts w:hint="eastAsia" w:ascii="宋体" w:hAnsi="宋体" w:cs="宋体"/>
          <w:b/>
          <w:bCs/>
          <w:color w:val="000000" w:themeColor="text1"/>
          <w:sz w:val="24"/>
          <w:szCs w:val="20"/>
          <w:lang w:val="zh-CN"/>
          <w14:textFill>
            <w14:solidFill>
              <w14:schemeClr w14:val="tx1"/>
            </w14:solidFill>
          </w14:textFill>
        </w:rPr>
        <w:t xml:space="preserve">项目属性:服务类项目。</w:t>
      </w:r>
      <w:bookmarkEnd w:id="4"/>
      <w:r/>
      <w:bookmarkEnd w:id="5"/>
      <w:r/>
      <w:r/>
    </w:p>
    <w:p>
      <w:pPr>
        <w:jc w:val="left"/>
        <w:spacing w:line="44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一、项目基本概况</w:t>
      </w:r>
      <w:r/>
    </w:p>
    <w:tbl>
      <w:tblPr>
        <w:tblStyle w:val="85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92"/>
        <w:gridCol w:w="4162"/>
      </w:tblGrid>
      <w:tr>
        <w:trPr>
          <w:jc w:val="center"/>
          <w:trHeight w:val="567"/>
        </w:trPr>
        <w:tc>
          <w:tcPr>
            <w:tcW w:w="2649"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物业名称</w:t>
            </w:r>
            <w:r/>
          </w:p>
        </w:tc>
        <w:tc>
          <w:tcPr>
            <w:tcW w:w="2350"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物业地址</w:t>
            </w:r>
            <w:r/>
          </w:p>
        </w:tc>
      </w:tr>
      <w:tr>
        <w:trPr>
          <w:jc w:val="center"/>
          <w:trHeight w:val="567"/>
        </w:trPr>
        <w:tc>
          <w:tcPr>
            <w:tcW w:w="2649"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盐城市文化馆</w:t>
            </w:r>
            <w:r/>
          </w:p>
        </w:tc>
        <w:tc>
          <w:tcPr>
            <w:tcW w:w="2350"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盐城市亭湖区毓龙东路38号‌</w:t>
            </w:r>
            <w:r/>
          </w:p>
        </w:tc>
      </w:tr>
    </w:tbl>
    <w:p>
      <w:pPr>
        <w:pStyle w:val="848"/>
        <w:ind w:firstLine="480"/>
        <w:spacing w:beforeAutospacing="0" w:afterAutospacing="0" w:line="500" w:lineRule="exac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盐城市文化馆位于亭湖区毓龙路包括主楼、群星剧场、附属楼3幢建筑，建筑面积9602平方米，广场面积约3500平方米。</w:t>
      </w:r>
      <w:r/>
    </w:p>
    <w:p>
      <w:pPr>
        <w:pStyle w:val="824"/>
        <w:spacing w:line="50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lang w:bidi="ar"/>
          <w14:textFill>
            <w14:solidFill>
              <w14:schemeClr w14:val="tx1"/>
            </w14:solidFill>
          </w14:textFill>
        </w:rPr>
        <w:t xml:space="preserve">二、</w:t>
      </w:r>
      <w:r>
        <w:rPr>
          <w:rFonts w:hint="eastAsia" w:ascii="宋体" w:hAnsi="宋体" w:eastAsia="宋体" w:cs="宋体"/>
          <w:b/>
          <w:bCs/>
          <w:color w:val="000000" w:themeColor="text1"/>
          <w:sz w:val="24"/>
          <w:szCs w:val="24"/>
          <w14:textFill>
            <w14:solidFill>
              <w14:schemeClr w14:val="tx1"/>
            </w14:solidFill>
          </w14:textFill>
        </w:rPr>
        <w:t xml:space="preserve">物业服务范围</w:t>
      </w:r>
      <w:r/>
    </w:p>
    <w:p>
      <w:pPr>
        <w:pStyle w:val="824"/>
        <w:spacing w:line="5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（1）物业管理（建筑物）</w:t>
      </w:r>
      <w:r/>
    </w:p>
    <w:tbl>
      <w:tblPr>
        <w:tblStyle w:val="853"/>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1839"/>
        <w:gridCol w:w="3271"/>
        <w:gridCol w:w="2504"/>
      </w:tblGrid>
      <w:tr>
        <w:trPr>
          <w:trHeight w:val="403"/>
        </w:trPr>
        <w:tc>
          <w:tcPr>
            <w:gridSpan w:val="2"/>
            <w:tcBorders>
              <w:top w:val="single" w:color="000000" w:sz="8" w:space="0"/>
              <w:left w:val="single" w:color="000000" w:sz="8" w:space="0"/>
              <w:bottom w:val="single" w:color="000000" w:sz="8" w:space="0"/>
              <w:right w:val="single" w:color="000000" w:sz="8" w:space="0"/>
            </w:tcBorders>
            <w:tcW w:w="173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名称</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明细</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服务内容及标准</w:t>
            </w:r>
            <w:r/>
          </w:p>
        </w:tc>
      </w:tr>
      <w:tr>
        <w:trPr>
          <w:trHeight w:val="403"/>
        </w:trPr>
        <w:tc>
          <w:tcPr>
            <w:gridSpan w:val="2"/>
            <w:tcBorders>
              <w:top w:val="single" w:color="000000" w:sz="8" w:space="0"/>
              <w:left w:val="single" w:color="000000" w:sz="8" w:space="0"/>
              <w:bottom w:val="single" w:color="000000" w:sz="8" w:space="0"/>
              <w:right w:val="single" w:color="000000" w:sz="8" w:space="0"/>
            </w:tcBorders>
            <w:tcW w:w="17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盐城市文化馆</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总面积</w:t>
            </w:r>
            <w:r/>
          </w:p>
        </w:tc>
        <w:tc>
          <w:tcPr>
            <w:tcBorders>
              <w:top w:val="single" w:color="000000" w:sz="8" w:space="0"/>
              <w:left w:val="none" w:color="000000" w:sz="4"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建筑面积（㎡）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约0.96万 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403"/>
        </w:trPr>
        <w:tc>
          <w:tcPr>
            <w:tcBorders>
              <w:top w:val="none" w:color="000000" w:sz="4" w:space="0"/>
              <w:left w:val="single" w:color="000000" w:sz="8"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none" w:color="000000" w:sz="4"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需保洁面（㎡）</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w:t>
            </w:r>
            <w:bookmarkStart w:id="6" w:name="OLE_LINK1"/>
            <w:r>
              <w:rPr>
                <w:rFonts w:hint="eastAsia" w:cs="宋体" w:asciiTheme="minorEastAsia" w:hAnsiTheme="minorEastAsia"/>
                <w:color w:val="000000" w:themeColor="text1"/>
                <w:szCs w:val="21"/>
                <w:lang w:bidi="ar"/>
                <w14:textFill>
                  <w14:solidFill>
                    <w14:schemeClr w14:val="tx1"/>
                  </w14:solidFill>
                </w14:textFill>
              </w:rPr>
              <w:t xml:space="preserve">0.96万 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bookmarkEnd w:id="6"/>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588"/>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门窗</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门窗总数量（个）及总面积（㎡）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ind w:firstLine="105"/>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540个，约2500 </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w:t>
            </w:r>
            <w:r/>
          </w:p>
        </w:tc>
      </w:tr>
      <w:tr>
        <w:trPr>
          <w:trHeight w:val="588"/>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地面</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地面各材质及总面积（㎡）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地砖、石材地面、PVC地胶，约8000㎡。</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w:t>
            </w:r>
            <w:r/>
          </w:p>
        </w:tc>
      </w:tr>
      <w:tr>
        <w:trPr>
          <w:trHeight w:val="588"/>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顶面</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顶面各材质及总面积（㎡）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混凝土，约7500㎡。</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w:t>
            </w:r>
            <w:r/>
          </w:p>
        </w:tc>
      </w:tr>
      <w:tr>
        <w:trPr>
          <w:trHeight w:val="588"/>
        </w:trPr>
        <w:tc>
          <w:tcPr>
            <w:tcBorders>
              <w:top w:val="single" w:color="000000" w:sz="8" w:space="0"/>
              <w:left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外墙</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外 墙 各 材 质 及 总 面 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石材和砖块墙面，约5000</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 房屋维护服务”“3.4 保洁服务”</w:t>
            </w:r>
            <w:r/>
          </w:p>
        </w:tc>
      </w:tr>
      <w:tr>
        <w:trPr>
          <w:trHeight w:val="588"/>
        </w:trPr>
        <w:tc>
          <w:tcPr>
            <w:tcBorders>
              <w:left w:val="single" w:color="000000" w:sz="8" w:space="0"/>
              <w:bottom w:val="single" w:color="000000" w:sz="8" w:space="0"/>
              <w:right w:val="single" w:color="000000" w:sz="8" w:space="0"/>
            </w:tcBorders>
            <w:tcW w:w="700" w:type="pct"/>
            <w:vAlign w:val="center"/>
            <w:vMerge w:val="continue"/>
            <w:textDirection w:val="lrTb"/>
            <w:noWrap w:val="false"/>
          </w:tcPr>
          <w:p>
            <w:pPr>
              <w:jc w:val="center"/>
              <w:rPr>
                <w:rFonts w:hint="eastAsia" w:cs="宋体" w:asciiTheme="minorEastAsia" w:hAnsiTheme="minorEastAsia"/>
                <w:szCs w:val="21"/>
                <w:lang w:bidi="ar"/>
              </w:rPr>
            </w:pPr>
            <w:r>
              <w:rPr>
                <w:rFonts w:hint="eastAsia" w:cs="宋体" w:asciiTheme="minorEastAsia" w:hAnsiTheme="minorEastAsia"/>
                <w:szCs w:val="21"/>
                <w:lang w:bidi="ar"/>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外墙需清洗面积（㎡）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约500</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 保洁服务”</w:t>
            </w:r>
            <w:r/>
          </w:p>
        </w:tc>
      </w:tr>
      <w:tr>
        <w:trPr>
          <w:trHeight w:val="588"/>
        </w:trPr>
        <w:tc>
          <w:tcPr>
            <w:tcBorders>
              <w:top w:val="none" w:color="000000" w:sz="4" w:space="0"/>
              <w:left w:val="single" w:color="000000" w:sz="8" w:space="0"/>
              <w:bottom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会议室</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室内设施说明</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音响、会议桌、投影仪、幕布</w:t>
            </w:r>
            <w:r/>
          </w:p>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桌子14张，椅子70张</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见“3.2房屋维护服务”“3.4保洁服务”“3.5 会议服务”</w:t>
            </w:r>
            <w:r/>
          </w:p>
        </w:tc>
      </w:tr>
      <w:tr>
        <w:trPr>
          <w:trHeight w:val="588"/>
        </w:trPr>
        <w:tc>
          <w:tcPr>
            <w:tcBorders>
              <w:top w:val="none" w:color="000000" w:sz="4" w:space="0"/>
              <w:left w:val="single" w:color="000000" w:sz="8" w:space="0"/>
              <w:bottom w:val="single" w:color="auto" w:sz="4"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auto" w:sz="4"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会议室数量（个）及总面积（㎡）</w:t>
            </w:r>
            <w:r/>
          </w:p>
        </w:tc>
        <w:tc>
          <w:tcPr>
            <w:tcBorders>
              <w:top w:val="single" w:color="000000" w:sz="8"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3个，总面积约300</w:t>
            </w:r>
            <w:r>
              <w:rPr>
                <w:rFonts w:hint="eastAsia" w:cs="宋体" w:asciiTheme="minorEastAsia" w:hAnsiTheme="minorEastAsia"/>
                <w:color w:val="000000" w:themeColor="text1"/>
                <w:szCs w:val="21"/>
                <w:lang w:bidi="ar"/>
                <w14:textFill>
                  <w14:solidFill>
                    <w14:schemeClr w14:val="tx1"/>
                  </w14:solidFill>
                </w14:textFill>
              </w:rPr>
              <w:t xml:space="preserve">㎡</w:t>
            </w:r>
            <w:r/>
          </w:p>
        </w:tc>
        <w:tc>
          <w:tcPr>
            <w:tcBorders>
              <w:top w:val="single" w:color="000000" w:sz="8" w:space="0"/>
              <w:left w:val="single" w:color="000000" w:sz="8" w:space="0"/>
              <w:bottom w:val="single" w:color="auto" w:sz="4"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见“3.4保洁服务”见“3.5 会议服务”</w:t>
            </w:r>
            <w:r/>
          </w:p>
        </w:tc>
      </w:tr>
      <w:tr>
        <w:trPr>
          <w:trHeight w:val="588"/>
        </w:trPr>
        <w:tc>
          <w:tcPr>
            <w:tcBorders>
              <w:top w:val="single" w:color="auto" w:sz="4" w:space="0"/>
              <w:left w:val="single" w:color="auto" w:sz="4"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报告厅</w:t>
            </w:r>
            <w:r/>
          </w:p>
        </w:tc>
        <w:tc>
          <w:tcPr>
            <w:tcBorders>
              <w:top w:val="single" w:color="auto" w:sz="4"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室内设施说明</w:t>
            </w:r>
            <w:r/>
          </w:p>
        </w:tc>
        <w:tc>
          <w:tcPr>
            <w:tcBorders>
              <w:top w:val="single" w:color="auto" w:sz="4"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音响、桌椅、电子大屏</w:t>
            </w:r>
            <w:r/>
          </w:p>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桌子20张，椅子60张</w:t>
            </w:r>
            <w:r/>
          </w:p>
        </w:tc>
        <w:tc>
          <w:tcPr>
            <w:tcBorders>
              <w:top w:val="single" w:color="auto" w:sz="4" w:space="0"/>
              <w:left w:val="single" w:color="000000" w:sz="8" w:space="0"/>
              <w:bottom w:val="single" w:color="000000" w:sz="8" w:space="0"/>
              <w:right w:val="single" w:color="auto" w:sz="4"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 保洁服务”“3.5 会议服务”</w:t>
            </w:r>
            <w:r/>
          </w:p>
        </w:tc>
      </w:tr>
      <w:tr>
        <w:trPr>
          <w:trHeight w:val="588"/>
        </w:trPr>
        <w:tc>
          <w:tcPr>
            <w:tcBorders>
              <w:left w:val="single" w:color="auto" w:sz="4" w:space="0"/>
              <w:bottom w:val="single" w:color="auto" w:sz="4" w:space="0"/>
              <w:right w:val="single" w:color="000000" w:sz="8" w:space="0"/>
            </w:tcBorders>
            <w:tcW w:w="700" w:type="pct"/>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auto" w:sz="4"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报告厅数量（个）及总面积（㎡）</w:t>
            </w:r>
            <w:r/>
          </w:p>
        </w:tc>
        <w:tc>
          <w:tcPr>
            <w:tcBorders>
              <w:top w:val="single" w:color="000000" w:sz="8"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2个，总面积约270</w:t>
            </w:r>
            <w:r>
              <w:rPr>
                <w:rFonts w:hint="eastAsia" w:cs="宋体" w:asciiTheme="minorEastAsia" w:hAnsiTheme="minorEastAsia"/>
                <w:color w:val="000000" w:themeColor="text1"/>
                <w:szCs w:val="21"/>
                <w:lang w:bidi="ar"/>
                <w14:textFill>
                  <w14:solidFill>
                    <w14:schemeClr w14:val="tx1"/>
                  </w14:solidFill>
                </w14:textFill>
              </w:rPr>
              <w:t xml:space="preserve">㎡</w:t>
            </w:r>
            <w:r/>
          </w:p>
        </w:tc>
        <w:tc>
          <w:tcPr>
            <w:tcBorders>
              <w:top w:val="single" w:color="000000" w:sz="8" w:space="0"/>
              <w:left w:val="single" w:color="000000" w:sz="8" w:space="0"/>
              <w:bottom w:val="single" w:color="auto" w:sz="4" w:space="0"/>
              <w:right w:val="single" w:color="auto" w:sz="4"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 保洁服务”“3.5 会议服务”</w:t>
            </w:r>
            <w:r/>
          </w:p>
        </w:tc>
      </w:tr>
      <w:tr>
        <w:trPr>
          <w:trHeight w:val="588"/>
        </w:trPr>
        <w:tc>
          <w:tcPr>
            <w:tcBorders>
              <w:top w:val="single" w:color="auto" w:sz="4"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卫生间</w:t>
            </w:r>
            <w:r/>
          </w:p>
        </w:tc>
        <w:tc>
          <w:tcPr>
            <w:tcBorders>
              <w:top w:val="single" w:color="auto" w:sz="4"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卫生间数量（个）及总面积（㎡）</w:t>
            </w:r>
            <w:r/>
          </w:p>
        </w:tc>
        <w:tc>
          <w:tcPr>
            <w:tcBorders>
              <w:top w:val="single" w:color="auto" w:sz="4"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卫生间数量30个，总面积约500m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874"/>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垃圾存放点</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各垃圾存放点位置、面积（㎡）及数量（个）</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各垃圾存放点主楼后侧东北角，合计4个垃圾桶。</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45"/>
        </w:trPr>
        <w:tc>
          <w:tcPr>
            <w:tcBorders>
              <w:top w:val="none" w:color="000000" w:sz="4" w:space="0"/>
              <w:left w:val="single" w:color="000000" w:sz="8" w:space="0"/>
              <w:bottom w:val="single" w:color="000000" w:sz="8" w:space="0"/>
              <w:right w:val="single" w:color="000000" w:sz="8" w:space="0"/>
            </w:tcBorders>
            <w:tcW w:w="700" w:type="pct"/>
            <w:vAlign w:val="center"/>
            <w:vMerge w:val="restart"/>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车行/人行口</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车行口</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3个</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403"/>
        </w:trPr>
        <w:tc>
          <w:tcPr>
            <w:tcBorders>
              <w:top w:val="none" w:color="000000" w:sz="4" w:space="0"/>
              <w:left w:val="single" w:color="000000" w:sz="8"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人行口</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3个</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403"/>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车位数</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地面车位数</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12个。</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588"/>
        </w:trPr>
        <w:tc>
          <w:tcPr>
            <w:tcBorders>
              <w:top w:val="none" w:color="000000" w:sz="4" w:space="0"/>
              <w:left w:val="single" w:color="auto" w:sz="4" w:space="0"/>
              <w:bottom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设施</w:t>
            </w:r>
            <w:r/>
          </w:p>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设备</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电梯系统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轿厢式电梯数量5台，额定载重1000KG,检验合格，由电梯维保机构维护保养。</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 “3.3公用设施设备维护服务”“3.4保洁服务”</w:t>
            </w:r>
            <w:r/>
          </w:p>
        </w:tc>
      </w:tr>
      <w:tr>
        <w:trPr>
          <w:trHeight w:val="817"/>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空调系统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中央空调</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 “3.3公用设施设备维护服务”“3.4保洁服务”</w:t>
            </w:r>
            <w:r/>
          </w:p>
        </w:tc>
      </w:tr>
      <w:tr>
        <w:trPr>
          <w:trHeight w:val="588"/>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给排水系统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馆区内供水系统，雨污水排水系统以及地下应急排水泵6台</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403"/>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消防系统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自动消防设备和消防电源、消防泵房、室内外消火栓、紧急疏散出口、防火门、灭火喷头、机械排烟口和送风口、排烟窗、火灾探测器、手动火灾报警按钮、声光报警装置、手提式灭火器等消防设施设备</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588"/>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安防系统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电子门禁系统、视频监控设备、周界报警、防入侵、 “110”红外报警等技防设施</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588"/>
        </w:trPr>
        <w:tc>
          <w:tcPr>
            <w:tcBorders>
              <w:top w:val="none" w:color="000000" w:sz="4" w:space="0"/>
              <w:left w:val="single" w:color="auto" w:sz="4" w:space="0"/>
              <w:bottom w:val="single" w:color="auto" w:sz="4"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auto" w:sz="4"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照明系统</w:t>
            </w:r>
            <w:r/>
          </w:p>
        </w:tc>
        <w:tc>
          <w:tcPr>
            <w:tcBorders>
              <w:top w:val="single" w:color="000000" w:sz="8"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室外路灯；室内LED节能灯，舞台灯光</w:t>
            </w:r>
            <w:r/>
          </w:p>
        </w:tc>
        <w:tc>
          <w:tcPr>
            <w:tcBorders>
              <w:top w:val="single" w:color="000000" w:sz="8" w:space="0"/>
              <w:left w:val="single" w:color="000000" w:sz="8" w:space="0"/>
              <w:bottom w:val="single" w:color="auto" w:sz="4"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605"/>
        </w:trPr>
        <w:tc>
          <w:tcPr>
            <w:tcBorders>
              <w:top w:val="single" w:color="auto" w:sz="4" w:space="0"/>
              <w:left w:val="single" w:color="auto" w:sz="4" w:space="0"/>
              <w:bottom w:val="single" w:color="auto" w:sz="4"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000000" w:sz="8" w:space="0"/>
              <w:bottom w:val="single" w:color="auto" w:sz="4"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供配电系统</w:t>
            </w:r>
            <w:r/>
          </w:p>
        </w:tc>
        <w:tc>
          <w:tcPr>
            <w:tcBorders>
              <w:top w:val="single" w:color="auto" w:sz="4"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高低压配电房（10KV变压器2台）</w:t>
            </w:r>
            <w:r/>
          </w:p>
        </w:tc>
        <w:tc>
          <w:tcPr>
            <w:tcBorders>
              <w:top w:val="single" w:color="auto" w:sz="4" w:space="0"/>
              <w:left w:val="single" w:color="000000" w:sz="8" w:space="0"/>
              <w:bottom w:val="single" w:color="auto" w:sz="4" w:space="0"/>
              <w:right w:val="single" w:color="auto" w:sz="4"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bl>
    <w:p>
      <w:pPr>
        <w:pStyle w:val="824"/>
        <w:spacing w:before="63"/>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p>
      <w:pPr>
        <w:pStyle w:val="824"/>
        <w:spacing w:before="63"/>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（2）物业管理（室外）</w:t>
      </w:r>
      <w:r/>
    </w:p>
    <w:tbl>
      <w:tblPr>
        <w:tblStyle w:val="853"/>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4"/>
        <w:gridCol w:w="3471"/>
        <w:gridCol w:w="3469"/>
      </w:tblGrid>
      <w:tr>
        <w:trPr>
          <w:trHeight w:val="454"/>
        </w:trPr>
        <w:tc>
          <w:tcPr>
            <w:tcBorders>
              <w:top w:val="single" w:color="000000" w:sz="8" w:space="0"/>
              <w:left w:val="single" w:color="000000" w:sz="8" w:space="0"/>
              <w:bottom w:val="single" w:color="auto" w:sz="4" w:space="0"/>
              <w:right w:val="single" w:color="000000" w:sz="8"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名称</w:t>
            </w:r>
            <w:r/>
          </w:p>
        </w:tc>
        <w:tc>
          <w:tcPr>
            <w:tcBorders>
              <w:top w:val="single" w:color="000000" w:sz="8" w:space="0"/>
              <w:left w:val="none" w:color="000000" w:sz="4" w:space="0"/>
              <w:bottom w:val="single" w:color="auto" w:sz="4" w:space="0"/>
              <w:right w:val="single" w:color="000000" w:sz="8" w:space="0"/>
            </w:tcBorders>
            <w:tcW w:w="1959"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明细</w:t>
            </w:r>
            <w:r/>
          </w:p>
        </w:tc>
        <w:tc>
          <w:tcPr>
            <w:tcBorders>
              <w:top w:val="single" w:color="000000" w:sz="8" w:space="0"/>
              <w:left w:val="none" w:color="000000" w:sz="4" w:space="0"/>
              <w:bottom w:val="single" w:color="auto" w:sz="4" w:space="0"/>
              <w:right w:val="single" w:color="000000" w:sz="8"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服务内容及标准</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盐城市文化馆</w:t>
            </w:r>
            <w:r/>
          </w:p>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室外面积</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约3500m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见“3.4保洁服务”“3.6消防、安全保卫服务”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绿化</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约800m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广场</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南北广场共2个，约3500m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361"/>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消防栓</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1"/>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室外消防栓65个，水泵接合器8个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垃圾箱</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4"/>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20个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室外配电箱</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4"/>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门前三包</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0"/>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50</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监控</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2"/>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摄像头120个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指示牌、显示屏</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2"/>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显示屏1块，指示牌10个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w:t>
            </w:r>
            <w:r/>
          </w:p>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“3.3公用设施设备维护服务”</w:t>
            </w:r>
            <w:r/>
          </w:p>
        </w:tc>
      </w:tr>
    </w:tbl>
    <w:p>
      <w:pPr>
        <w:jc w:val="left"/>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三、物业管理服务内容及标准</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盐城市文化馆（以下简称“本馆”）物业服务，包含但不限于消安防安全保卫、秩序维护、前台接待、卫生保洁、收发报刊及邮寄、会务服务、环境卫生以及绿化带杂物清理、停车管理、物业档案资料管理、剧场音响设备设施服务等工作。</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总体要求：</w:t>
      </w:r>
      <w:r>
        <w:rPr>
          <w:rFonts w:hint="eastAsia" w:ascii="宋体" w:hAnsi="宋体" w:cs="宋体"/>
          <w:color w:val="000000" w:themeColor="text1"/>
          <w:sz w:val="24"/>
          <w14:textFill>
            <w14:solidFill>
              <w14:schemeClr w14:val="tx1"/>
            </w14:solidFill>
          </w14:textFill>
        </w:rPr>
        <w:t xml:space="preserve">中标通知书发出后30日内，完成进场服务的所有准备工作，具体进场服务时间以业主通知为准。</w:t>
      </w:r>
      <w:r/>
    </w:p>
    <w:p>
      <w:pPr>
        <w:ind w:firstLine="482"/>
        <w:spacing w:line="50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3.1基本服务</w:t>
      </w:r>
      <w:r/>
    </w:p>
    <w:tbl>
      <w:tblPr>
        <w:tblStyle w:val="853"/>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608"/>
        <w:gridCol w:w="6402"/>
      </w:tblGrid>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0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Borders>
              <w:top w:val="none" w:color="000000" w:sz="4" w:space="0"/>
              <w:left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none" w:color="000000" w:sz="4" w:space="0"/>
              <w:left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目标与责任</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物业单位应从本物业管理实际出发，根据合同约定的管理服务范围和标准，设立专门的项目管理机构，配备符合要求的物业管理人员、工程专业技术人员和各类服务人员，制定完整、有效的内部管理和日常服务运行管理等相关制度。</w:t>
            </w:r>
            <w:r/>
          </w:p>
        </w:tc>
      </w:tr>
      <w:tr>
        <w:trPr>
          <w:trHeight w:val="454"/>
        </w:trPr>
        <w:tc>
          <w:tcPr>
            <w:tcBorders>
              <w:left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物业管理的维护保养工作，应保持整个馆区房屋建筑的完好和设施设备的正常运行；物业单位应提供全天候的公共秩序维护服务和安全服务，必须保证整个馆区的设施、人员和财产的安全；物业单位对整个馆区的环境保洁服务，提供整洁、卫生、美观的环境；物业单位对自然灾害、事故灾害、公共卫生事件和社会安全事件等突发公共事件建立应急预案，并组织培训、演练。有突发事件按规定程序及时采取相应措施。</w:t>
            </w:r>
            <w:r/>
          </w:p>
        </w:tc>
      </w:tr>
      <w:tr>
        <w:trPr>
          <w:trHeight w:val="1064"/>
        </w:trPr>
        <w:tc>
          <w:tcPr>
            <w:tcBorders>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（3）项目经理应具备良好的群众工作能力和安保统筹管理能力，能够妥善处理群众咨询、投诉及矛盾纠纷，熟悉安保工作流程，定期组织安全检查与隐患排查，确保馆区安全稳定运行。</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服务人员要求</w:t>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（1）每季度至少开展1次岗位技能、职业素质、安全意识、服务知识、绿色节能环保等教育培训，并进行适当形式的考核。</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（2）根据要求对服务人员进行从业资格审查，审查结果向采购人报备。</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（5）着装分类统一，佩戴标识。仪容整洁、姿态端正、举止文明。用语文明礼貌，态度温和耐心。</w:t>
            </w:r>
            <w:r/>
          </w:p>
        </w:tc>
      </w:tr>
      <w:tr>
        <w:trPr>
          <w:trHeight w:val="250"/>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保密和思想政治教育</w:t>
            </w:r>
            <w:r/>
          </w:p>
        </w:tc>
        <w:tc>
          <w:tcPr>
            <w:tcBorders>
              <w:top w:val="single" w:color="000000" w:sz="8" w:space="0"/>
              <w:left w:val="single" w:color="000000" w:sz="8" w:space="0"/>
              <w:bottom w:val="single" w:color="000000" w:sz="8" w:space="0"/>
              <w:right w:val="single" w:color="000000" w:sz="8" w:space="0"/>
            </w:tcBorders>
            <w:tcW w:w="3616" w:type="pct"/>
            <w:textDirection w:val="lrTb"/>
            <w:noWrap w:val="false"/>
          </w:tcPr>
          <w:p>
            <w:pPr>
              <w:pStyle w:val="1210"/>
              <w:ind w:right="128"/>
              <w:spacing w:line="340" w:lineRule="exact"/>
              <w:widowControl/>
              <w:rPr>
                <w:color w:val="000000" w:themeColor="text1"/>
                <w14:textFill>
                  <w14:solidFill>
                    <w14:schemeClr w14:val="tx1"/>
                  </w14:solidFill>
                </w14:textFill>
              </w:rPr>
            </w:pPr>
            <w:r>
              <w:rPr>
                <w:rFonts w:cs="宋体"/>
                <w:color w:val="000000" w:themeColor="text1"/>
                <w:spacing w:val="1"/>
                <w14:textFill>
                  <w14:solidFill>
                    <w14:schemeClr w14:val="tx1"/>
                  </w14:solidFill>
                </w14:textFill>
              </w:rPr>
              <w:t xml:space="preserve">（1）建立保密管理制度。制度内容应当包括但不限于：①明确重点要害岗</w:t>
            </w:r>
            <w:r>
              <w:rPr>
                <w:rFonts w:cs="宋体"/>
                <w:color w:val="000000" w:themeColor="text1"/>
                <w14:textFill>
                  <w14:solidFill>
                    <w14:schemeClr w14:val="tx1"/>
                  </w14:solidFill>
                </w14:textFill>
              </w:rPr>
              <w:t xml:space="preserve">位保密职责。②对涉密工作岗位的保密要求。</w:t>
            </w:r>
            <w:r/>
          </w:p>
        </w:tc>
      </w:tr>
      <w:tr>
        <w:trPr>
          <w:trHeight w:val="25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（3）发现服务人员违法违规或重大过失，应及时报告采购人，并采取必要补救措施。</w:t>
            </w:r>
            <w:r/>
          </w:p>
        </w:tc>
      </w:tr>
      <w:tr>
        <w:trPr>
          <w:trHeight w:val="77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投标人应对提供物业服务过程中获取的采购人商务、财务、技术、人员、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trHeight w:val="86"/>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档案管理</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szCs w:val="21"/>
                <w:lang w:bidi="ar"/>
                <w14:textFill>
                  <w14:solidFill>
                    <w14:schemeClr w14:val="tx1"/>
                  </w14:solidFill>
                </w14:textFill>
              </w:rPr>
              <w:t xml:space="preserve">（1）建立物业信息，准确、及时地对文件资料和服务记录进行归档保存，并确保其物</w:t>
            </w:r>
            <w:r>
              <w:rPr>
                <w:rFonts w:hint="eastAsia" w:ascii="宋体" w:hAnsi="宋体" w:cs="宋体"/>
                <w:color w:val="000000" w:themeColor="text1"/>
                <w:szCs w:val="21"/>
                <w:lang w:bidi="ar"/>
                <w14:textFill>
                  <w14:solidFill>
                    <w14:schemeClr w14:val="tx1"/>
                  </w14:solidFill>
                </w14:textFill>
              </w:rPr>
              <w:t xml:space="preserve">理安全。</w:t>
            </w:r>
            <w:r/>
          </w:p>
        </w:tc>
      </w:tr>
      <w:tr>
        <w:trPr>
          <w:trHeight w:val="86"/>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pacing w:val="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rPr>
                <w:rFonts w:hint="eastAsia" w:ascii="宋体" w:hAnsi="宋体" w:cs="宋体"/>
                <w:color w:val="000000" w:themeColor="text1"/>
                <w:spacing w:val="1"/>
                <w:szCs w:val="21"/>
                <w:lang w:bidi="ar"/>
                <w14:textFill>
                  <w14:solidFill>
                    <w14:schemeClr w14:val="tx1"/>
                  </w14:solidFill>
                </w14:textFill>
              </w:rPr>
              <w:t xml:space="preserve">档案、资料管理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加强有关物业的档案和资料管理。档案和资料的管理包括：业主投诉和意见档案、安全管理记录档案、场馆服务对象信息档案、清洁卫生管理档案、环境绿化管理档案、物业人事管理及人员培训档案等，以及具体的管理方案。物业管理企业所有档案要求做到保存完整，管理完善，交接手续完备，检索方便准确。</w:t>
            </w:r>
            <w:r/>
          </w:p>
        </w:tc>
      </w:tr>
      <w:tr>
        <w:trPr>
          <w:trHeight w:val="67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（3）遵守采购人的信息、档案资料保密要求，未经许可，不得将建筑物平面图等资料转作其他用途或向其他单位、个人提供。</w:t>
            </w:r>
            <w:r/>
          </w:p>
        </w:tc>
      </w:tr>
      <w:tr>
        <w:trPr>
          <w:trHeight w:val="86"/>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（4）履约结束后，相关资料交还采购人，采购人按政府采购相关规定存档。</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服务改进</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（1）明确责任人，定期对物业服务过程进行自查，结合反馈意见与评价结果采取改进措施，持续提升管理与服务水平。</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（2）对不合格服务进行控制，对不合格服务的原因进行识别和分析，及时采取纠正措施，消除不合格的原因，防止不合格再发生。</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（3）需整改问题及时整改完成。</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重大活动后勤保障</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（1）制订流程。配合采购人制订重大活动后勤保障工作流程，需对任务进行详细了解，并根据工作安排制定详细的后勤保障计划。</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（3）收尾工作。对现场进行检查，及时做好收拾清理工作。</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Borders>
              <w:top w:val="single" w:color="000000" w:sz="8" w:space="0"/>
              <w:left w:val="single" w:color="000000" w:sz="8" w:space="0"/>
              <w:bottom w:val="single" w:color="000000" w:sz="8" w:space="0"/>
              <w:right w:val="single" w:color="000000" w:sz="8" w:space="0"/>
            </w:tcBorders>
            <w:tcW w:w="90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应急保障预案</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应急预案的建立。根据本馆隐患排查的结果和实际情况，制定相应的专项预案，包括但不限于：火情火警紧急处理应急预案、紧急疏散应急预案、停水停电应急预案、有限空间救援应急预案、高空作业救援应急预案、恶劣天气应对应急预案等。</w:t>
            </w:r>
            <w:r/>
          </w:p>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（3）应急预案的培训和演练。应急预案定期培训和演练，组织相关岗位每半年至少开展一次专项应急预案演练。</w:t>
            </w:r>
            <w:r/>
          </w:p>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服务方案及工作制度</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制定工作制度，主要包括：人员录用制度、档案管理制度、物业服务管理制度、物业管理员工行为规范、项目经理岗位职责、保安工作职责、保洁工作职责、报刊收发、邮寄人员工作职责、会务及接待服务工作职责、考核奖惩制度、安全保卫制度、设备巡查制度等相关管理制度。</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（2）制定项目实施方案，主要包括：交接方案、人员培训方案、人员稳定性方案等。</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（3）制定物业服务方案，主要包括：保洁服务方案、保安服务方案、配电房值班服务方案等。</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信报服务</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（1）对邮件、包裹和挂号信等进行正确分理、安全检查和防疫卫生检查。</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（2）及时投送或通知收件人领取。</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auto" w:sz="4"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（3）大件物品出入向采购人报告，待采购人确认无误后放行。</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tcBorders>
              <w:top w:val="single" w:color="000000" w:sz="8"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服务热线</w:t>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及紧急维修</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（1）设置24小时报修服务热线。</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（2）紧急维修应当15分钟内到达现场，不间断维修直至修复。</w:t>
            </w:r>
            <w:r/>
          </w:p>
        </w:tc>
      </w:tr>
      <w:tr>
        <w:trPr>
          <w:trHeight w:val="778"/>
        </w:trPr>
        <w:tc>
          <w:tcPr>
            <w:tcBorders>
              <w:top w:val="single" w:color="000000" w:sz="8" w:space="0"/>
              <w:left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single" w:color="000000" w:sz="8" w:space="0"/>
              <w:left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  </w:t>
            </w:r>
            <w:r>
              <w:rPr>
                <w:rFonts w:hint="eastAsia" w:ascii="宋体" w:hAnsi="宋体" w:cs="宋体"/>
                <w:color w:val="000000" w:themeColor="text1"/>
                <w:szCs w:val="21"/>
                <w:lang w:eastAsia="zh-CN" w:bidi="ar"/>
                <w14:textFill>
                  <w14:solidFill>
                    <w14:schemeClr w14:val="tx1"/>
                  </w14:solidFill>
                </w14:textFill>
              </w:rPr>
              <w:t xml:space="preserve">安全</w:t>
            </w:r>
            <w:r>
              <w:rPr>
                <w:rFonts w:hint="eastAsia" w:ascii="宋体" w:hAnsi="宋体" w:cs="宋体"/>
                <w:color w:val="000000" w:themeColor="text1"/>
                <w:szCs w:val="21"/>
                <w:lang w:bidi="ar"/>
                <w14:textFill>
                  <w14:solidFill>
                    <w14:schemeClr w14:val="tx1"/>
                  </w14:solidFill>
                </w14:textFill>
              </w:rPr>
              <w:t xml:space="preserve">管理</w:t>
            </w:r>
            <w:r/>
          </w:p>
          <w:p>
            <w:pPr>
              <w:jc w:val="center"/>
              <w:spacing w:line="3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bidi="ar"/>
                <w14:textFill>
                  <w14:solidFill>
                    <w14:schemeClr w14:val="tx1"/>
                  </w14:solidFill>
                </w14:textFill>
              </w:rPr>
              <w:t xml:space="preserve">事项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（1）物业单位应按照采购人管理要求，在服务全过程中执行以下信息的采集、登记与存档工作</w:t>
            </w:r>
            <w:r>
              <w:rPr>
                <w:rFonts w:hint="eastAsia" w:ascii="宋体" w:hAnsi="宋体" w:cs="宋体"/>
                <w:color w:val="000000" w:themeColor="text1"/>
                <w:szCs w:val="21"/>
                <w:lang w:eastAsia="zh-CN" w:bidi="ar"/>
                <w14:textFill>
                  <w14:solidFill>
                    <w14:schemeClr w14:val="tx1"/>
                  </w14:solidFill>
                </w14:textFill>
              </w:rPr>
              <w:t xml:space="preserve">。</w:t>
            </w:r>
            <w:r/>
          </w:p>
        </w:tc>
      </w:tr>
      <w:tr>
        <w:trPr>
          <w:trHeight w:val="1000"/>
        </w:trPr>
        <w:tc>
          <w:tcPr>
            <w:tcBorders>
              <w:left w:val="single" w:color="000000" w:sz="8" w:space="0"/>
              <w:right w:val="single" w:color="000000" w:sz="8" w:space="0"/>
            </w:tcBorders>
            <w:tcW w:w="475" w:type="pct"/>
            <w:vAlign w:val="center"/>
            <w:vMerge w:val="continue"/>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left w:val="single" w:color="000000" w:sz="8" w:space="0"/>
              <w:right w:val="single" w:color="000000" w:sz="8" w:space="0"/>
            </w:tcBorders>
            <w:tcW w:w="908" w:type="pct"/>
            <w:vAlign w:val="center"/>
            <w:vMerge w:val="continue"/>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（2）人员出入登记：对来访办事人员实行实名信息登记（包括姓名、联系方式、事由等），采用专用台账保管信息，严禁无关人员查阅。</w:t>
            </w:r>
            <w:r/>
          </w:p>
        </w:tc>
      </w:tr>
    </w:tbl>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2"/>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3.2房屋维护服务</w:t>
      </w:r>
      <w:r/>
    </w:p>
    <w:tbl>
      <w:tblPr>
        <w:tblStyle w:val="853"/>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638"/>
        <w:gridCol w:w="6402"/>
      </w:tblGrid>
      <w:tr>
        <w:trPr>
          <w:trHeight w:val="585"/>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主体结构、围护结构、部品部件</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rFonts w:hint="eastAsia" w:ascii="宋体" w:hAnsi="宋体" w:cs="宋体"/>
                <w:color w:val="000000" w:themeColor="text1"/>
                <w:szCs w:val="21"/>
                <w:lang w:bidi="ar"/>
                <w14:textFill>
                  <w14:solidFill>
                    <w14:schemeClr w14:val="tx1"/>
                  </w14:solidFill>
                </w14:textFill>
              </w:rPr>
              <w:t xml:space="preserve">每季度至少开展1次房屋结构安全巡视，发现外观有变形、开裂等现象，及时向采购人报告，采取必要的避险和防护措施。</w:t>
            </w:r>
            <w:r/>
          </w:p>
          <w:p>
            <w:pPr>
              <w:spacing w:line="340" w:lineRule="exact"/>
              <w:rPr>
                <w:rFonts w:hint="eastAsia"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rPr>
                <w:rFonts w:hint="eastAsia" w:ascii="宋体" w:hAnsi="宋体" w:cs="宋体"/>
                <w:color w:val="000000" w:themeColor="text1"/>
                <w:szCs w:val="21"/>
                <w:lang w:bidi="ar"/>
                <w14:textFill>
                  <w14:solidFill>
                    <w14:schemeClr w14:val="tx1"/>
                  </w14:solidFill>
                </w14:textFill>
              </w:rPr>
              <w:t xml:space="preserve">每季度至少开展 1 次外墙贴饰面、雨篷、散水、空调室外机支撑构件等检查，发现破损，及时向采购人报告，采取必要的避险和防护措施。</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rPr>
                <w:rFonts w:hint="eastAsia" w:ascii="宋体" w:hAnsi="宋体" w:cs="宋体"/>
                <w:color w:val="000000" w:themeColor="text1"/>
                <w:szCs w:val="21"/>
                <w:lang w:bidi="ar"/>
                <w14:textFill>
                  <w14:solidFill>
                    <w14:schemeClr w14:val="tx1"/>
                  </w14:solidFill>
                </w14:textFill>
              </w:rPr>
              <w:t xml:space="preserve">每半月至少开展 1 次公用部位的门、窗、楼梯、通风道、室内地面、墙面、吊顶和室外屋面等巡查，发现破损，及时向采购人报告。      </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（4）每年强降雨天气前后、雨雪季节检查屋面防水和雨落管等，发现破损，及时向采购人报告，</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（5）场馆外观完好，建筑装饰面无脱落、无破损、无污渍。 </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（6）通道、楼梯、门窗等设施的完好和正常使用。 </w:t>
            </w:r>
            <w:r/>
          </w:p>
        </w:tc>
      </w:tr>
      <w:tr>
        <w:trPr>
          <w:trHeight w:val="86"/>
        </w:trPr>
        <w:tc>
          <w:tcPr>
            <w:tcBorders>
              <w:top w:val="single" w:color="000000" w:sz="8" w:space="0"/>
              <w:left w:val="single" w:color="000000" w:sz="8" w:space="0"/>
              <w:right w:val="single" w:color="000000" w:sz="8" w:space="0"/>
            </w:tcBorders>
            <w:tcW w:w="458" w:type="pct"/>
            <w:vAlign w:val="center"/>
            <w:vMerge w:val="restart"/>
            <w:textDirection w:val="lrTb"/>
            <w:noWrap w:val="false"/>
          </w:tcPr>
          <w:p>
            <w:pPr>
              <w:jc w:val="center"/>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right w:val="single" w:color="000000" w:sz="8" w:space="0"/>
            </w:tcBorders>
            <w:tcW w:w="925" w:type="pct"/>
            <w:vAlign w:val="center"/>
            <w:vMerge w:val="restart"/>
            <w:textDirection w:val="lrTb"/>
            <w:noWrap w:val="false"/>
          </w:tcPr>
          <w:p>
            <w:pPr>
              <w:jc w:val="center"/>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其他设施</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（1）每半月至少开展 1 次大门、围墙、道路、场地、管井、沟渠等巡查，每半月至少检查 1 次雨污水管井、化粪池等巡查，发现破损，及时向采购人报告，按采购人要求出具维修方案，待采购人同意后按维修方案实施维修。</w:t>
            </w:r>
            <w:r/>
          </w:p>
        </w:tc>
      </w:tr>
      <w:tr>
        <w:trPr>
          <w:trHeight w:val="420"/>
        </w:trPr>
        <w:tc>
          <w:tcPr>
            <w:tcBorders>
              <w:left w:val="single" w:color="000000" w:sz="8" w:space="0"/>
              <w:right w:val="single" w:color="000000" w:sz="8" w:space="0"/>
            </w:tcBorders>
            <w:tcW w:w="458" w:type="pct"/>
            <w:vAlign w:val="center"/>
            <w:vMerge w:val="continue"/>
            <w:textDirection w:val="lrTb"/>
            <w:noWrap w:val="false"/>
          </w:tcPr>
          <w:p>
            <w:pPr>
              <w:jc w:val="left"/>
              <w:spacing w:line="340" w:lineRule="exact"/>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8" w:space="0"/>
              <w:right w:val="single" w:color="000000" w:sz="8" w:space="0"/>
            </w:tcBorders>
            <w:tcW w:w="925" w:type="pct"/>
            <w:vAlign w:val="center"/>
            <w:vMerge w:val="continue"/>
            <w:textDirection w:val="lrTb"/>
            <w:noWrap w:val="false"/>
          </w:tcPr>
          <w:p>
            <w:pPr>
              <w:jc w:val="left"/>
              <w:spacing w:line="34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（2）路面状态良好，地漏通畅不堵塞。</w:t>
            </w:r>
            <w:r/>
          </w:p>
        </w:tc>
      </w:tr>
      <w:tr>
        <w:trPr>
          <w:trHeight w:val="9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标识标牌</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numPr>
                <w:ilvl w:val="0"/>
                <w:numId w:val="3"/>
              </w:num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标识标牌符合《公共信息图形符号 第 1 部分：通用符号》（GB/T 10001.1）的相关要求，消防与安全标识符合《安全标志及其使用导则》（GB2894）、《消防安全标志 第 1 部分：标志》（GB13495.1）的相关要求。</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（2）每月至少检查 1 次标识标牌和消防与安全标识。应当规范清晰、路线指引正确、安装稳固。</w:t>
            </w:r>
            <w:r/>
          </w:p>
        </w:tc>
      </w:tr>
      <w:tr>
        <w:trPr>
          <w:trHeight w:val="90"/>
        </w:trPr>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1638" w:type="dxa"/>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工程项目监督管理</w:t>
            </w:r>
            <w:r/>
          </w:p>
        </w:tc>
        <w:tc>
          <w:tcPr>
            <w:tcBorders>
              <w:top w:val="single" w:color="000000" w:sz="8" w:space="0"/>
              <w:left w:val="single" w:color="000000" w:sz="8" w:space="0"/>
              <w:bottom w:val="single" w:color="000000" w:sz="8" w:space="0"/>
              <w:right w:val="single" w:color="000000" w:sz="8" w:space="0"/>
            </w:tcBorders>
            <w:tcW w:w="6402" w:type="dxa"/>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（1）工程项目施工前，应当与采购人或采购人委托的施工企业签订施工管理服务协议，告知施工须知，并对施工过程进行管理服务。 </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（2）根据协议内容，督促施工单位做好装修垃圾临时堆放、清运等。</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（3）受采购人委托对工程施工进行严格的监督管理，发现问题及时上报，确保不因装修而危及建筑结构安全、人身安全和影响正常办公秩序。</w:t>
            </w:r>
            <w:r/>
          </w:p>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（4）工程施工结束后，督查施工单位对施工现场进行恢复、保洁等工作，发现问题及时上报。</w:t>
            </w:r>
            <w:r/>
          </w:p>
        </w:tc>
      </w:tr>
    </w:tbl>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 </w:t>
      </w:r>
      <w:r/>
    </w:p>
    <w:p>
      <w:pPr>
        <w:ind w:firstLine="482"/>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3.3公用设施设备维护服务</w:t>
      </w:r>
      <w:r/>
    </w:p>
    <w:tbl>
      <w:tblPr>
        <w:tblStyle w:val="853"/>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638"/>
        <w:gridCol w:w="6402"/>
      </w:tblGrid>
      <w:tr>
        <w:trPr>
          <w:trHeight w:val="64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基本要求</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（1）确保设备设施正常使用、运行，做到维护到位、响应及时、保障得力。</w:t>
            </w:r>
            <w:r/>
          </w:p>
          <w:p>
            <w:pPr>
              <w:ind w:firstLine="21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①负责水、电、电梯、分体空调、中央空调、电梯等设备设施的运行管理与巡查工作。</w:t>
            </w:r>
            <w:r/>
          </w:p>
          <w:p>
            <w:pPr>
              <w:ind w:firstLine="21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②负责水、电、门窗等日常小型维修工作。</w:t>
            </w:r>
            <w:r/>
          </w:p>
          <w:p>
            <w:pPr>
              <w:ind w:firstLine="21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③负责督促专业设备设施维保单位定期开展维保工作、及时修复隐患故障。</w:t>
            </w:r>
            <w:r/>
          </w:p>
          <w:p>
            <w:pPr>
              <w:ind w:firstLine="210"/>
              <w:spacing w:line="3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④负责督促馆内施工单位安全、文明施工，不得影响采购人工作秩序。</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管理范围</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本馆的高低压配电房、空调系统、强弱电系统、给排水系统、电梯的日常管理维护。</w:t>
            </w:r>
            <w:r/>
          </w:p>
        </w:tc>
      </w:tr>
      <w:tr>
        <w:trPr>
          <w:trHeight w:val="937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工作要求</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本馆配电设有10KV高压配电室和380V以下的低压配电室两个组成部分，设备维护人员必须持有对应的高压、低压电工作业证，符合应急管理部门和供电部门的相关要求，才能从事配电室值守、负责高压、低压电力系统的日常运行、维护、调试等工作，从而确保我馆电力设备的正常运行以及用电安全。坚持每日巡查、做好记录台账，一旦发生设备设施损坏或技术故障，要及时报告，并按要求进行更换或修复。</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（2）大、中型维修由本馆另行组织实施，物管企业负责协助与施工单位的监管，积极配合施工单位做好维修工作。</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工程保修期间的设施、设备维修工作由原施工单位或供货单位负责，物业企业负责巡查、监督、跟踪、记录，发现问题及时与原施工单位、供货单位联系，督促其及时保修，并向我馆相关负责部门报告，同时做好保修记录。</w:t>
            </w:r>
            <w:r/>
          </w:p>
          <w:p>
            <w:pPr>
              <w:spacing w:line="340" w:lineRule="exact"/>
              <w:rPr>
                <w:rFonts w:hint="eastAsia" w:ascii="宋体" w:hAnsi="宋体" w:cs="宋体"/>
                <w:color w:val="auto"/>
                <w:szCs w:val="21"/>
                <w:highlight w:val="none"/>
              </w:rPr>
            </w:pPr>
            <w:r>
              <w:rPr>
                <w:rFonts w:hint="eastAsia" w:ascii="宋体" w:hAnsi="宋体" w:cs="宋体"/>
                <w:color w:val="000000" w:themeColor="text1"/>
                <w:szCs w:val="21"/>
                <w:lang w:bidi="ar"/>
                <w14:textFill>
                  <w14:solidFill>
                    <w14:schemeClr w14:val="tx1"/>
                  </w14:solidFill>
                </w14:textFill>
              </w:rPr>
              <w:t xml:space="preserve">（3）定期对房屋、设施设备、道路、下水道等公共部位进行一次全面检查，掌握房屋设施设备完损状况，对完损程度做出评价；每季度巡视一次房屋主体结构，发现质量问题及时向本馆报告，提出相关管理、排除隐患及修缮维护建议。</w:t>
            </w:r>
            <w:r/>
          </w:p>
          <w:p>
            <w:pPr>
              <w:spacing w:line="3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配合本馆做好对各相关专业设备维保单位协调的管理，同时做好与之相关的协调、配合与服务工作，及时主动联系、沟通，便于维保单位正常开展维保服务工作，既做好管理，又服务到位。确保安全运行，万无一失。</w:t>
            </w:r>
            <w:r/>
          </w:p>
          <w:p>
            <w:pPr>
              <w:spacing w:line="340" w:lineRule="exact"/>
              <w:rPr>
                <w:rFonts w:hint="eastAsia" w:ascii="宋体" w:hAnsi="宋体" w:cs="宋体"/>
                <w:color w:val="000000" w:themeColor="text1"/>
                <w:szCs w:val="21"/>
                <w:highlight w:val="yellow"/>
                <w:lang w:bidi="ar"/>
                <w14:textFill>
                  <w14:solidFill>
                    <w14:schemeClr w14:val="tx1"/>
                  </w14:solidFill>
                </w14:textFill>
              </w:rPr>
            </w:pPr>
            <w:r>
              <w:rPr>
                <w:rFonts w:hint="eastAsia" w:ascii="宋体" w:hAnsi="宋体" w:cs="宋体"/>
                <w:color w:val="auto"/>
                <w:szCs w:val="21"/>
                <w:highlight w:val="none"/>
                <w:lang w:bidi="ar"/>
              </w:rPr>
              <w:t xml:space="preserve">（5）设备维护人员应妥善保管各类设备技术资料、维修记录和巡查台账，确保记录完整、准确、可追溯。设备维护</w:t>
            </w:r>
            <w:r>
              <w:rPr>
                <w:rFonts w:hint="eastAsia" w:ascii="宋体" w:hAnsi="宋体" w:cs="宋体"/>
                <w:color w:val="auto"/>
                <w:szCs w:val="21"/>
                <w:highlight w:val="none"/>
                <w:lang w:eastAsia="zh-CN" w:bidi="ar"/>
              </w:rPr>
              <w:t xml:space="preserve">人员</w:t>
            </w:r>
            <w:r>
              <w:rPr>
                <w:rFonts w:hint="eastAsia" w:ascii="宋体" w:hAnsi="宋体" w:cs="宋体"/>
                <w:color w:val="auto"/>
                <w:szCs w:val="21"/>
                <w:highlight w:val="none"/>
                <w:lang w:bidi="ar"/>
              </w:rPr>
              <w:t xml:space="preserve">应定期检查技术文档的规范性，并负责与采购人、维保单位的技术沟通与协调。设备维护人员需具备专业的电工技能，能够熟练处理高低压电力设施及各类场馆设备，保障设施设备安全稳定运行</w:t>
            </w: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390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设备机房</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rPr>
                <w:rFonts w:hint="eastAsia" w:cs="宋体" w:asciiTheme="minorEastAsia" w:hAnsiTheme="minorEastAsia"/>
                <w:color w:val="000000" w:themeColor="text1"/>
                <w:szCs w:val="21"/>
                <w14:textFill>
                  <w14:solidFill>
                    <w14:schemeClr w14:val="tx1"/>
                  </w14:solidFill>
                </w14:textFill>
              </w:rPr>
              <w:t xml:space="preserve">本馆配备了高低压配电房，定期巡检配电设备；低压配电房检查低压配电柜、母线、开关、接触器等设备。</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3）设备机房门窗、锁具应当完好、有效。</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（4）每半月至少开展 1 次清洁，整洁有序、无杂物、无积尘、无鼠、无虫害，温湿度符合设备运行要求。</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（5）安全防护用具配置齐全，检验合格。</w:t>
            </w:r>
            <w:r/>
          </w:p>
          <w:p>
            <w:pPr>
              <w:spacing w:line="3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（6）应急设施设备用品应当齐全、完备，可随时启用。</w:t>
            </w:r>
            <w:r/>
          </w:p>
        </w:tc>
      </w:tr>
      <w:tr>
        <w:trPr>
          <w:trHeight w:val="31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给排水系统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（1）对物业服务区域室内外给排水系统的设备、设施，如水泵、水箱、管道、管件、阀门、水嘴、卫生洁具、排水管、透气管、水封设备、室外排水管及附属构筑物等进行日常养护维修，保持正常运行。</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（2）有水泵房、水箱间的，每日至少巡视 1 次。每年至少养护 1 次水泵。</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（3）遇供水单位限水、停水，按规定时间通知采购人。</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（4）每季度至少开展 1 次对排水管进行疏通、清污，保证室内外排水系统通畅。</w:t>
            </w:r>
            <w:r/>
          </w:p>
        </w:tc>
      </w:tr>
      <w:tr>
        <w:trPr>
          <w:trHeight w:val="100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电梯系统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（1）加强电梯安全状况巡查，确保电梯运行平稳、无异响、开关正常。每周至少开展 2 次电梯的安全状况检查。</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（2）电梯准用证、年检合格证等证件齐全。相关证件、紧急救援电话和乘客注意事项置于电梯醒目位置。</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（3）有电梯突发事件或事故的应急措施与救援预案，每年至少开展演练 1 次。电梯出现故障，物业服务人员 10 分钟内到场应急处理，并同时通知维保专业人员即刻到场处理。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（4）根据采购人需求，合理设置电梯开启的数量、时间。</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空调系统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（1）做好空调运行记录，保证空调设施设备处于良好状态。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（2）空调运行前需对相关设施设备进行系统检查，中央空调运行期间每日至少开展 1 次运行情况巡查。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（3）制冷、供暖系统温度设定及启用时间根据文化馆需求运行并符合节能要求。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（4）发现故障或损坏物业服务人员 10 分钟内到场应急处理，并同时通知维保专业人员即刻到场处理。</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消防系统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（1）需制定消防设施每日/周/月巡检计划（如检查灭火器压力、消防通道畅通、报警系统状态等），并留存书面或电子巡检记录。</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（2）对发现的消防设施故障（如烟感失效、喷淋头堵塞）需24小时内报修，并跟踪维修进度。</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（3）确保消防设施（如消火栓、防火门、应急照明）不被遮挡、挪用或损坏。</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（4）消防控制室需24小时专人值守，值班人员需熟悉消防系统操作，能第一时间响应火警信号并启动应急程序。</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（5）需制定消防应急预案，明确火灾报警、人员疏散、初期火灾扑救等流程，并每半年组织一次消防演练。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（6）消火栓箱、防火门、灭火器、消防水泵、红外线报警器、应急照明、安全疏散等系统运行正常。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（7）消防监控系统运行良好，自动和手动报警设施启动正常。 </w:t>
            </w:r>
            <w:r/>
          </w:p>
          <w:p>
            <w:pPr>
              <w:spacing w:line="3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（8）正压送风、防排烟系统运行正常。</w:t>
            </w:r>
            <w:r/>
          </w:p>
        </w:tc>
      </w:tr>
      <w:tr>
        <w:trPr>
          <w:trHeight w:val="9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供电系统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（1）执行高低压配电房运行值班制度，符合供电主管部门的要求。</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（2）对区域内电气管线、电线电缆、电源开关、动力插座、电开水炉等低压用电设施进行日常管理和维护、维修，保持正常运行。</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（3）负责各类照明灯具、泛光照明系统、供用电设备设施的日常管理和维护修理。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（4）保证整个馆区的供电安全。</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（5）应急供电系统运行正常。</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（6）通过有效的管理措施及技术措施，积极开展节能服务工作。</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（7）督促配电房维保单位进行定期保养与维护、检测与年检等工作，设备设施出现故障，第一时间联系对应维保单位，跟踪维修进度，检查维修结果，确保及时修复。</w:t>
            </w:r>
            <w:r/>
          </w:p>
        </w:tc>
      </w:tr>
      <w:tr>
        <w:trPr>
          <w:trHeight w:val="931"/>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弱电系统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（1）安全防范系统维护保养符合《安全防范系统维护保养规范》（GA/T 1081）的相关要求。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（2）保持监控系统、门禁系统、安全防范系统等运行正常，有故障及时排除。</w:t>
            </w:r>
            <w:r/>
          </w:p>
        </w:tc>
      </w:tr>
      <w:tr>
        <w:trPr>
          <w:trHeight w:val="931"/>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亮化、照明系统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（1）外观整洁无缺损、无松落。 </w:t>
            </w:r>
            <w:r/>
          </w:p>
          <w:p>
            <w:pPr>
              <w:spacing w:line="340" w:lineRule="exact"/>
              <w:rPr>
                <w:rFonts w:hint="eastAsia" w:ascii="宋体" w:hAnsi="宋体" w:cs="宋体"/>
                <w:color w:val="auto"/>
                <w:szCs w:val="21"/>
                <w:highlight w:val="none"/>
              </w:rPr>
            </w:pPr>
            <w:r>
              <w:rPr>
                <w:rFonts w:hint="eastAsia" w:ascii="宋体" w:hAnsi="宋体" w:cs="宋体"/>
                <w:color w:val="000000" w:themeColor="text1"/>
                <w:szCs w:val="21"/>
                <w:lang w:bidi="ar"/>
                <w14:textFill>
                  <w14:solidFill>
                    <w14:schemeClr w14:val="tx1"/>
                  </w14:solidFill>
                </w14:textFill>
              </w:rPr>
              <w:t xml:space="preserve">（2）更换的照明灯具应当选用节能环保产品，亮度与更换前保持一</w:t>
            </w:r>
            <w:r>
              <w:rPr>
                <w:rFonts w:hint="eastAsia" w:ascii="宋体" w:hAnsi="宋体" w:cs="宋体"/>
                <w:color w:val="auto"/>
                <w:szCs w:val="21"/>
                <w:highlight w:val="none"/>
                <w:lang w:bidi="ar"/>
              </w:rPr>
              <w:t xml:space="preserve">致。 </w:t>
            </w:r>
            <w:r/>
          </w:p>
          <w:p>
            <w:pPr>
              <w:spacing w:line="3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（3）每周至少开展 1 次公共区域亮化、照明设备巡视。</w:t>
            </w:r>
            <w:r/>
          </w:p>
          <w:p>
            <w:pPr>
              <w:spacing w:line="340" w:lineRule="exact"/>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auto"/>
                <w:szCs w:val="21"/>
                <w:highlight w:val="none"/>
                <w:lang w:bidi="ar"/>
              </w:rPr>
              <w:t xml:space="preserve">（4）运行保障员应定期配合设备维护人员对馆内照明系统（包括</w:t>
            </w:r>
            <w:r>
              <w:rPr>
                <w:rFonts w:hint="eastAsia" w:ascii="宋体" w:hAnsi="宋体" w:cs="宋体"/>
                <w:color w:val="auto"/>
                <w:szCs w:val="21"/>
                <w:highlight w:val="none"/>
                <w:lang w:eastAsia="zh-CN" w:bidi="ar"/>
              </w:rPr>
              <w:t xml:space="preserve">群星剧场</w:t>
            </w:r>
            <w:r>
              <w:rPr>
                <w:rFonts w:hint="eastAsia" w:ascii="宋体" w:hAnsi="宋体" w:cs="宋体"/>
                <w:color w:val="auto"/>
                <w:szCs w:val="21"/>
                <w:highlight w:val="none"/>
                <w:lang w:bidi="ar"/>
              </w:rPr>
              <w:t xml:space="preserve">舞台灯光、展厅照明等）进行巡查，及时反馈灯具故障、线路异常等问题，确保照明设备始终处于良好运行状态，并能在演出、重大活动期间提供灯光操作支持。</w:t>
            </w:r>
            <w:r/>
          </w:p>
        </w:tc>
      </w:tr>
      <w:tr>
        <w:trPr>
          <w:trHeight w:val="465"/>
        </w:trPr>
        <w:tc>
          <w:tcPr>
            <w:tcBorders>
              <w:top w:val="single" w:color="000000" w:sz="8" w:space="0"/>
              <w:left w:val="single" w:color="000000" w:sz="8" w:space="0"/>
              <w:right w:val="single" w:color="000000" w:sz="8" w:space="0"/>
            </w:tcBorders>
            <w:tcW w:w="811" w:type="dxa"/>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tcBorders>
              <w:top w:val="single" w:color="000000" w:sz="8" w:space="0"/>
              <w:left w:val="single" w:color="000000" w:sz="8" w:space="0"/>
              <w:right w:val="single" w:color="000000" w:sz="8" w:space="0"/>
            </w:tcBorders>
            <w:tcW w:w="1638" w:type="dxa"/>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安防系统</w:t>
            </w:r>
            <w:r/>
          </w:p>
        </w:tc>
        <w:tc>
          <w:tcPr>
            <w:tcBorders>
              <w:top w:val="single" w:color="000000" w:sz="8" w:space="0"/>
              <w:left w:val="single" w:color="000000" w:sz="8" w:space="0"/>
              <w:bottom w:val="single" w:color="000000" w:sz="8" w:space="0"/>
              <w:right w:val="single" w:color="000000" w:sz="8" w:space="0"/>
            </w:tcBorders>
            <w:tcW w:w="6402" w:type="dxa"/>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（1）门窗保持完好，电子门禁系统、视频监控设备、周界报警、防入侵、 “110”红外报警等技防设施正常运行。</w:t>
            </w:r>
            <w:r/>
          </w:p>
        </w:tc>
      </w:tr>
      <w:tr>
        <w:trPr>
          <w:trHeight w:val="465"/>
        </w:trPr>
        <w:tc>
          <w:tcPr>
            <w:tcBorders>
              <w:left w:val="single" w:color="000000" w:sz="8" w:space="0"/>
              <w:bottom w:val="single" w:color="000000" w:sz="8" w:space="0"/>
              <w:right w:val="single" w:color="000000" w:sz="8" w:space="0"/>
            </w:tcBorders>
            <w:tcW w:w="811" w:type="dxa"/>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left w:val="single" w:color="000000" w:sz="8" w:space="0"/>
              <w:bottom w:val="single" w:color="000000" w:sz="8" w:space="0"/>
              <w:right w:val="single" w:color="000000" w:sz="8" w:space="0"/>
            </w:tcBorders>
            <w:tcW w:w="1638" w:type="dxa"/>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402" w:type="dxa"/>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（2）物业服务人员及时巡检，发现安防设备问题故障及时上报。</w:t>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 </w:t>
      </w:r>
      <w:r/>
    </w:p>
    <w:p>
      <w:pPr>
        <w:ind w:firstLine="482"/>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3.4保洁服务</w:t>
      </w:r>
      <w:r/>
    </w:p>
    <w:tbl>
      <w:tblPr>
        <w:tblStyle w:val="853"/>
        <w:tblW w:w="4993"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716"/>
        <w:gridCol w:w="6383"/>
      </w:tblGrid>
      <w:tr>
        <w:trPr>
          <w:trHeight w:val="454"/>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Borders>
              <w:top w:val="none" w:color="000000" w:sz="4" w:space="0"/>
              <w:left w:val="single" w:color="000000" w:sz="8" w:space="0"/>
              <w:right w:val="single" w:color="000000" w:sz="8" w:space="0"/>
            </w:tcBorders>
            <w:tcW w:w="421"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none" w:color="000000" w:sz="4" w:space="0"/>
              <w:left w:val="none" w:color="000000" w:sz="4" w:space="0"/>
              <w:right w:val="single" w:color="000000" w:sz="8" w:space="0"/>
            </w:tcBorders>
            <w:tcW w:w="970"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基本要求</w:t>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（1）建立保洁服务的工作制度及工作计划，并按照执行。</w:t>
            </w:r>
            <w:r/>
          </w:p>
        </w:tc>
      </w:tr>
      <w:tr>
        <w:trPr>
          <w:trHeight w:val="454"/>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（2）做好保洁服务工作记录，记录填写规范、保存完好。</w:t>
            </w:r>
            <w:r/>
          </w:p>
        </w:tc>
      </w:tr>
      <w:tr>
        <w:trPr>
          <w:trHeight w:val="454"/>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（3）作业时采取安全防护措施，防止对作业人员或他人造成伤害。相关耗材的环保、安全性等应当符合国家相关规定要求。</w:t>
            </w:r>
            <w:r/>
          </w:p>
        </w:tc>
      </w:tr>
      <w:tr>
        <w:trPr>
          <w:trHeight w:val="1956"/>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（4）保洁服务范围</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①室内部分：包括但不限于卫生间、楼梯、走道、展厅等公共部位、办公室、会议室、接待室、剧场等，具体范围各投标人自行现场踏勘充分了解招标人的要求。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②室外部分：包括但不限于道路、室外停车场、绿化带保洁等，具体范围各投标人自行现场踏勘充分了解招标人的要求。</w:t>
            </w:r>
            <w:r/>
          </w:p>
        </w:tc>
      </w:tr>
      <w:tr>
        <w:trPr>
          <w:trHeight w:val="1015"/>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室外区域</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（1）每天清扫道路、维护绿化带至少2次，并及时巡查，发现脏物、废品应及时处理，对区域内各种设施进行抹尘和清洗，确保外围环境保持干净、整洁。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（2）根据各种地面清洁的程度要及时进行清洗，绿化带定期巡查，及时清扫果皮、废纸、杂物等垃圾，确保地面、绿化带的干净、整洁。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（3）及时收集各类垃圾，堆放在指定地点。清运时密封装置，确保无飘洒和漏水现象。及时清洗垃圾筒筒身，更换垃圾袋，保持干净、无异味、无满溢。并协助进馆人员做好垃圾分类的工作。</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（4）根据招标人要求定期清除卫生死角，水管处、屋顶、下水道口、排水沟、水池、雨水槽内阴沟、污水井等地方，要确保其内无杂物、管道畅通。</w:t>
            </w:r>
            <w:r/>
          </w:p>
        </w:tc>
      </w:tr>
      <w:tr>
        <w:trPr>
          <w:trHeight w:val="822"/>
        </w:trPr>
        <w:tc>
          <w:tcPr>
            <w:tcBorders>
              <w:top w:val="single" w:color="000000" w:sz="8" w:space="0"/>
              <w:left w:val="single" w:color="000000" w:sz="8" w:space="0"/>
              <w:right w:val="single" w:color="000000" w:sz="8" w:space="0"/>
            </w:tcBorders>
            <w:tcW w:w="421"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right w:val="single" w:color="000000" w:sz="8" w:space="0"/>
            </w:tcBorders>
            <w:tcW w:w="970"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展厅、走廊、楼梯、电梯</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（1）每日循环清扫地面垃圾，清除地面的污迹，每月至少彻底清洗2次，平时发现污渍及时处理。展厅的地面每日巡回保洁。确保环境保持干净、整洁。</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p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p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（2）每日抹净展厅玻璃，擦净门框、柱子等灰尘。每周至少彻底清洗1次，保持玻璃、门框、柱子等干净、整洁。</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（3）每日至少1次用推尘布抹净地面，保持地面无脚印、无灰尘。抹净墙面的灰尘，每日至少清倒垃圾2次并做到随满随清，及时更换垃圾袋，及时处理垃圾筒上面的痰迹，使其外表干净、光亮、无满溢垃圾现象。</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（4）对展厅、走廊地面视其磨损程度，并根据招标人要求定期进行维护，使其干净。</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（5）每日擦抹展厅正门至少3次，确保其保持无灰尘、无污渍、无水迹。</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（6）每日擦净楼梯、电梯扶手，拖净楼梯、电梯，各眼见手及之处，经常抹尘，保持清洁。</w:t>
            </w:r>
            <w:r/>
          </w:p>
        </w:tc>
      </w:tr>
      <w:tr>
        <w:trPr>
          <w:trHeight w:val="822"/>
        </w:trPr>
        <w:tc>
          <w:tcPr>
            <w:tcBorders>
              <w:left w:val="single" w:color="000000" w:sz="8" w:space="0"/>
              <w:bottom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bottom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（7）主要道路、展厅等部位的保洁工作必须在早晨8：30前完成。</w:t>
            </w:r>
            <w:r/>
          </w:p>
        </w:tc>
      </w:tr>
      <w:tr>
        <w:trPr>
          <w:trHeight w:val="22"/>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办公室</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每天清扫地面垃圾、擦抹桌椅、橱柜、沙发、茶几等，擦净相关设施、设备、并定期消毒。沙发、茶几每天至少清洁1次，地面每天至少清洁1次，平时发现污渍、痰渍、水迹等及时处理，每周彻底拖洗1次。确保办公环境保持干净、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（2）办公室内茶水供应每天至少1次并根据需要添加供应；室内所有垃圾篓的垃圾不能超过2/3，无虫、无异味、及时运送至指定地点堆放。每天至少更换垃圾袋1次，每周至少全面清洁1次，每月至少彻底清洗1次。</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（3）彻底清理室内墙壁、墙角、天花等蜘蛛网，每周至少1次。平时随见随时清理，局部灰尘、污渍随时处理。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（4）窗户玻璃随时保洁，平时发现手印、污渍及时擦净，门、门框每天至少擦抹1次，并确保其保持干净。</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（5）平时对地面痰迹、口香糖等及时进行清除，拖洗地面后及时抹净地角线、墙角上的污迹、水迹、清理卫生死角。</w:t>
            </w:r>
            <w:r/>
          </w:p>
        </w:tc>
      </w:tr>
      <w:tr>
        <w:trPr>
          <w:trHeight w:val="662"/>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会议室、接待室、群星剧场</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（1）及时清扫地面垃圾、擦抹主席台、桌椅、橱柜、沙发、茶几等，擦净相关设施、设备、并定期消毒，痰渍、水迹等及时处理，每周至少彻底拖洗1次，保持室内整洁。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（2）负责会议室茶水供应，准备好茶叶与茶杯（由招标方提供）。</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（3）会后及时清理，检查是否有遗留物品、未熄灭的火种，关闭设备电源等。</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（4）排气扇、纱窗、照明设备等擦抹灰尘，每月至少1次。天花、风口、灯罩、喇叭出口每月至少清洁2次，及时清除拆装时留下的污迹。</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（5）每天清理电源开关、插座，抹净上面污渍和灰尘。</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（6）皮、布沙发每天清洁一次，皮质沙发每半年至少保养1次。地毯每月至少清洗1次，不得留有污渍、残留清洁剂等，水分要彻底吹干。</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（7）花盆里面垃圾、烟头每天清理，植物叶子经常抹尘。</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（8）平时对地面痰迹、口香糖等及时进行清除，每月机器清洗地面至少1次，拖洗地面后及时抹净地角线、墙角上的污迹、水迹、清理卫生死角。</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（9）门框每天至少擦抹1次，不锈钢门每天至少擦抹2次，每半年用不锈钢护理剂保养1次，防火门、玻璃门每天至少擦抹2次。桌椅、窗帘、书橱、讲台、电脑等其他设施每天至少擦抹1次，保持清洁、摆放整齐。</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（10）会务保密：会场服务时不得随意翻阅会议资料，防止闲杂人员进场，不得在任何场所透露会议的内容。</w:t>
            </w:r>
            <w:r/>
          </w:p>
        </w:tc>
      </w:tr>
      <w:tr>
        <w:trPr>
          <w:trHeight w:val="662"/>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洗手间</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（1）拖洗所有卫生间地面，抹净洁具、门框、墙身，保持无灰尘、无垃圾、无异味、无手脚印、无污渍等。</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洗手间隔板、纸盒每天至少擦抹1次。小便池、厕位、水池每天进行冲洗，每天至少用洗液清洗1次。洁具每天至少用消毒剂消毒1次，整体卫生间全面消毒，每周至少1次。镜面、台面、洗手盆每天至少清洁2次。上班时间按时巡视，发现污迹、水迹、积水、头发、手印、便迹、异味、报纸等及时清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（3）每周至少1次全面清洗墙面瓷砖，地面用清洁剂刷洗，天花擦净，保持干净，无污渍。卫生间的地面每天拖地至少2次以上，每天至少冲洗1次，保持地面干燥</w:t>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 </w:t>
      </w:r>
      <w:r/>
    </w:p>
    <w:p>
      <w:pPr>
        <w:ind w:firstLine="482"/>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3.4.1具体清洁要求</w:t>
      </w:r>
      <w:r/>
    </w:p>
    <w:tbl>
      <w:tblPr>
        <w:tblStyle w:val="853"/>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737"/>
        <w:gridCol w:w="6368"/>
      </w:tblGrid>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材质</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清洁要求</w:t>
            </w:r>
            <w:r/>
          </w:p>
        </w:tc>
      </w:tr>
      <w:tr>
        <w:trPr>
          <w:trHeight w:val="165"/>
        </w:trPr>
        <w:tc>
          <w:tcPr>
            <w:tcBorders>
              <w:top w:val="none" w:color="000000" w:sz="4" w:space="0"/>
              <w:left w:val="single" w:color="000000" w:sz="8" w:space="0"/>
              <w:bottom w:val="single" w:color="000000" w:sz="8" w:space="0"/>
              <w:right w:val="single" w:color="000000" w:sz="8" w:space="0"/>
            </w:tcBorders>
            <w:tcW w:w="422"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981"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环氧地坪地面</w:t>
            </w:r>
            <w:r/>
          </w:p>
        </w:tc>
        <w:tc>
          <w:tcPr>
            <w:tcBorders>
              <w:top w:val="single" w:color="000000" w:sz="8" w:space="0"/>
              <w:left w:val="none" w:color="000000" w:sz="4"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（1）清理垃圾：清理地面上的垃圾和杂物。</w:t>
            </w:r>
            <w:r/>
          </w:p>
        </w:tc>
      </w:tr>
      <w:tr>
        <w:trPr>
          <w:trHeight w:val="977"/>
        </w:trPr>
        <w:tc>
          <w:tcPr>
            <w:tcBorders>
              <w:left w:val="single" w:color="000000" w:sz="8" w:space="0"/>
              <w:right w:val="single" w:color="000000" w:sz="8" w:space="0"/>
            </w:tcBorders>
            <w:tcW w:w="422" w:type="pct"/>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left w:val="none" w:color="000000" w:sz="4" w:space="0"/>
              <w:right w:val="single" w:color="000000" w:sz="8" w:space="0"/>
            </w:tcBorders>
            <w:tcW w:w="981" w:type="pct"/>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Borders>
              <w:top w:val="none" w:color="000000" w:sz="4" w:space="0"/>
              <w:left w:val="single" w:color="000000" w:sz="8" w:space="0"/>
              <w:bottom w:val="single" w:color="000000" w:sz="8" w:space="0"/>
              <w:right w:val="single" w:color="000000" w:sz="8" w:space="0"/>
            </w:tcBorders>
            <w:tcW w:w="422"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8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（3）按照要求对划痕地面进行。</w:t>
            </w:r>
            <w:r/>
          </w:p>
        </w:tc>
      </w:tr>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瓷砖地面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推尘，保持地面干净无杂物，使用洗洁精或肥皂水清理。</w:t>
            </w:r>
            <w:r/>
          </w:p>
        </w:tc>
      </w:tr>
      <w:tr>
        <w:trPr>
          <w:trHeight w:val="9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石材地面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使用中性清洁剂清洁，避免使用强酸或强碱清洁剂。</w:t>
            </w:r>
            <w:r/>
          </w:p>
        </w:tc>
      </w:tr>
      <w:tr>
        <w:trPr>
          <w:trHeight w:val="217"/>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地胶板地面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使用中性清洁剂清洁，避免使用强酸或强碱清洁剂。</w:t>
            </w:r>
            <w:r/>
          </w:p>
        </w:tc>
      </w:tr>
      <w:tr>
        <w:trPr>
          <w:trHeight w:val="461"/>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地毯地面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日常用吸尘机除尘，局部脏污用湿布配中性清洁液重点清洁。</w:t>
            </w:r>
            <w:r/>
          </w:p>
        </w:tc>
      </w:tr>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乳胶漆内墙</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有污渍时用半干布擦拭。</w:t>
            </w:r>
            <w:r/>
          </w:p>
        </w:tc>
      </w:tr>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木饰面内墙</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有污渍时用中性清洁剂、半干布擦拭。</w:t>
            </w:r>
            <w:r/>
          </w:p>
        </w:tc>
      </w:tr>
    </w:tbl>
    <w:p>
      <w:pPr>
        <w:ind w:firstLine="420"/>
        <w:spacing w:line="240"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注：根据物业用材情况选择清洁要求</w:t>
      </w:r>
      <w:r/>
    </w:p>
    <w:p>
      <w:pPr>
        <w:ind w:firstLine="482"/>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3.5会议服务</w:t>
      </w:r>
      <w:r/>
    </w:p>
    <w:tbl>
      <w:tblPr>
        <w:tblStyle w:val="853"/>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247"/>
        <w:gridCol w:w="6815"/>
      </w:tblGrid>
      <w:tr>
        <w:trPr>
          <w:trHeight w:val="454"/>
        </w:trPr>
        <w:tc>
          <w:tcPr>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W w:w="704"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W w:w="384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W w:w="704" w:type="pct"/>
            <w:vAlign w:val="center"/>
            <w:textDirection w:val="lrTb"/>
            <w:noWrap w:val="false"/>
          </w:tcPr>
          <w:p>
            <w:pPr>
              <w:jc w:val="center"/>
              <w:spacing w:line="340" w:lineRule="exact"/>
              <w:rPr>
                <w:rFonts w:hint="eastAsia" w:ascii="宋体" w:hAnsi="宋体" w:cs="宋体"/>
                <w:color w:val="auto"/>
                <w:szCs w:val="21"/>
              </w:rPr>
            </w:pPr>
            <w:r>
              <w:rPr>
                <w:rFonts w:hint="eastAsia" w:ascii="宋体" w:hAnsi="宋体" w:cs="宋体"/>
                <w:color w:val="auto"/>
                <w:szCs w:val="21"/>
                <w:lang w:bidi="ar"/>
              </w:rPr>
              <w:t xml:space="preserve">基本要求</w:t>
            </w:r>
            <w:r/>
          </w:p>
        </w:tc>
        <w:tc>
          <w:tcPr>
            <w:tcW w:w="3848" w:type="pct"/>
            <w:vAlign w:val="center"/>
            <w:textDirection w:val="lrTb"/>
            <w:noWrap w:val="false"/>
          </w:tcPr>
          <w:p>
            <w:pPr>
              <w:spacing w:line="340" w:lineRule="exact"/>
              <w:rPr>
                <w:rFonts w:hint="eastAsia" w:ascii="宋体" w:hAnsi="宋体" w:cs="宋体"/>
                <w:color w:val="auto"/>
                <w:szCs w:val="21"/>
              </w:rPr>
            </w:pPr>
            <w:r>
              <w:rPr>
                <w:rFonts w:hint="eastAsia" w:ascii="宋体" w:hAnsi="宋体" w:cs="宋体"/>
                <w:color w:val="auto"/>
                <w:szCs w:val="21"/>
                <w:lang w:bidi="ar"/>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p>
        </w:tc>
      </w:tr>
      <w:tr>
        <w:trPr>
          <w:trHeight w:val="454"/>
        </w:trPr>
        <w:tc>
          <w:tcPr>
            <w:tcBorders>
              <w:bottom w:val="single" w:color="000000" w:sz="8" w:space="0"/>
            </w:tcBorders>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W w:w="704" w:type="pct"/>
            <w:vAlign w:val="center"/>
            <w:textDirection w:val="lrTb"/>
            <w:noWrap w:val="false"/>
          </w:tcPr>
          <w:p>
            <w:pPr>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会议服务</w:t>
            </w:r>
            <w:r/>
          </w:p>
        </w:tc>
        <w:tc>
          <w:tcPr>
            <w:tcW w:w="3848" w:type="pct"/>
            <w:vAlign w:val="center"/>
            <w:textDirection w:val="lrTb"/>
            <w:noWrap w:val="false"/>
          </w:tcPr>
          <w:p>
            <w:pPr>
              <w:numPr>
                <w:ilvl w:val="0"/>
                <w:numId w:val="4"/>
              </w:numPr>
              <w:ind w:firstLine="42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做好会前准备工作，检查会议所需物品，并按要求摆放整齐。舞台灯光、音响、空调等设备设施由专人负责运维保障。运行保障员应具备舞台灯光操作能力，能够根据会议、演出等不同活动的需求，精准调整灯光角度、亮度和场景模式，确保灯光效果与活动氛围相匹配。  </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①会议桌摆放位置要正，椅子摆放在会议桌前并与会议桌保持约为一人的距离，椅子左右之前的摆放距离要均匀约为一人距离，椅子摆放完毕后竖看要成一条直线。</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②根据椅子的位置在会议桌上摆放稿纸，稿纸摆放在每个椅子的正中间位置，稿纸底边与桌子的底边成一条水平线，铅笔成45度斜角放在稿纸右侧，笔尖朝上，标签外漏。</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③稿纸定位后，茶杯摆放在稿纸的右上方，与稿纸边保持约为一指的距离，杯把朝右，茶杯左侧摆放香巾碟，香巾碟与杯子的距离约为一指，杯子与香巾碟的中心在一条水平线上。</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④话筒固定在桌面上，话筒麦克方向角度一致摆在同一侧方向。每份物品摆放标准一致侧看成一条直线。</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⑤检查照明是否正常，灯具是否全部完好，有损坏的及时上报维修。</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⑥会议前提前检查音响设备是否完好，话筒音量调节适中，并检查无线网络是否正常使用。</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⑦检查室内空调是否正常，会场温度设定在规定温度内，冬季不高于23度，夏季不低于26度。</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（2）做好作会场及周围环境卫生工作</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①彻底清扫会议室卫生，会议桌干净无手印和水渍，椅子无灰尘和毛发，桌子抽屉无杂物无灰尘。</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②会议室死角卫生清洁到位，窗台无灰尘，墙角处无蜘蛛网，墙面干净无灰尘。</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③地板打蜡，地上无杂物无脚印，地板干燥无水渍。</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④会议室内网线及投影电源线摆放整齐，不杂乱避免绊倒客人。</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⑤会议室外环境卫生有专人清洁保持，地面明亮无脚印，痰桶干净，加强巡视随时清理。</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（3）做好会议过程中的服务</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①接到办公室通知后，根据会场人数、会议标准及会议性质来摆放所需物品，并按具体准备规定进行。</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②由文化馆安排挂会议所需会标及摆放座签，并确认会标内容是否准确无误，座签是否摆放正确。</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③安排部署好会议服务人员和具体分工，会议开始前半小时提水并打开空调。</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④在会议前半小时，所有工作准备到位、人员到位，迎接与会人员的到来。</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⑤客人到达后，迎宾人员应面带微笑，对所有来开会的客人都使用礼貌用语。</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⑥根据客人大部分喝水情况，约为20分钟添一次茶水。</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⑦会议期间可根据会场情况适当的调节空调温度，会场温度不能过低或过高，可将窗户打开1-2扇通风，使会议室内空气保持流通。</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⑧会议结束后，立即将所有会议室的门打开，迎宾人员热情送客，客人离开会议室后，要立即查看会议室有无客人遗留物品，若发现遗留物品及时通知客人，若不清楚是哪位客人的物品，可与文化馆联系帮忙转交。</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⑨会议结束后，立即清理会场物品，打扫会场卫生，检查设备设施是否全部关闭，锁好会议室门。</w:t>
            </w:r>
            <w:r/>
          </w:p>
        </w:tc>
      </w:tr>
      <w:tr>
        <w:trPr>
          <w:trHeight w:val="454"/>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left w:val="single" w:color="000000" w:sz="8" w:space="0"/>
            </w:tcBorders>
            <w:tcW w:w="704"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报刊收发及邮寄</w:t>
            </w:r>
            <w:r/>
          </w:p>
        </w:tc>
        <w:tc>
          <w:tcPr>
            <w:tcW w:w="384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（1）对邮件、包裹和挂号信等进行正确分理、安全检查和防疫卫生检查。</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（2）及时将报刊、信件分发至各处室，不丢缺、不错发。</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（3）做好邮件发送登记，及时投送或通知收件人领取。</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（4）大件物品出入向采购人报告，待采购人确认无误后放行。</w:t>
            </w:r>
            <w:r/>
          </w:p>
        </w:tc>
      </w:tr>
    </w:tbl>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 </w:t>
      </w:r>
      <w:r/>
    </w:p>
    <w:p>
      <w:pPr>
        <w:ind w:firstLine="482"/>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3.6消防、安全保卫服务</w:t>
      </w:r>
      <w:r/>
    </w:p>
    <w:tbl>
      <w:tblPr>
        <w:tblStyle w:val="853"/>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240"/>
        <w:gridCol w:w="6771"/>
      </w:tblGrid>
      <w:tr>
        <w:trPr>
          <w:trHeight w:val="46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W w:w="3823"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基本要求</w:t>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（1）建立保安服务相关制度，并按照执行。 </w:t>
            </w:r>
            <w:r/>
          </w:p>
          <w:p>
            <w:pPr>
              <w:spacing w:line="340" w:lineRule="exact"/>
              <w:rPr>
                <w:rFonts w:hint="eastAsia" w:ascii="宋体" w:hAnsi="宋体" w:cs="宋体"/>
                <w:color w:val="auto"/>
                <w:szCs w:val="21"/>
                <w:highlight w:val="none"/>
              </w:rPr>
            </w:pPr>
            <w:r>
              <w:rPr>
                <w:rFonts w:hint="eastAsia" w:ascii="宋体" w:hAnsi="宋体" w:cs="宋体"/>
                <w:color w:val="000000" w:themeColor="text1"/>
                <w:szCs w:val="21"/>
                <w14:textFill>
                  <w14:solidFill>
                    <w14:schemeClr w14:val="tx1"/>
                  </w14:solidFill>
                </w14:textFill>
              </w:rPr>
              <w:t xml:space="preserve">（2）对巡查、值守及异常情况等做好相关记录，填写规范，建立台账，保存完好。</w:t>
            </w:r>
            <w:r>
              <w:rPr>
                <w:rFonts w:hint="eastAsia" w:ascii="宋体" w:hAnsi="宋体" w:cs="宋体"/>
                <w:color w:val="auto"/>
                <w:szCs w:val="21"/>
                <w:highlight w:val="none"/>
              </w:rPr>
              <w:t xml:space="preserve"> </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（3）物业单位须为服务人员配备对讲机，保证在服务区域内通讯畅通。</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（4）配备保安服务必要的防暴器材。</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（5）项目经理作为安保工作第一责任人，应全面统筹馆区安保与消防工作，熟悉安保工作流程、应急响应流程及各类预案的指挥协调，确保安保管理责任落实到位。</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（6）保安人员应具备高级安保技能，能够有效应对各类突发事件，维护场馆安全秩序，保障馆区安全稳定。</w:t>
            </w:r>
            <w:r/>
          </w:p>
          <w:p>
            <w:pPr>
              <w:spacing w:line="340" w:lineRule="exact"/>
              <w:rPr>
                <w:rFonts w:hint="eastAsia" w:ascii="宋体" w:hAnsi="宋体" w:cs="宋体"/>
                <w:color w:val="000000" w:themeColor="text1"/>
                <w:szCs w:val="21"/>
                <w:highlight w:val="yellow"/>
                <w14:textFill>
                  <w14:solidFill>
                    <w14:schemeClr w14:val="tx1"/>
                  </w14:solidFill>
                </w14:textFill>
              </w:rPr>
            </w:pPr>
            <w:r>
              <w:rPr>
                <w:rFonts w:hint="eastAsia" w:ascii="宋体" w:hAnsi="宋体" w:cs="宋体"/>
                <w:color w:val="auto"/>
                <w:szCs w:val="21"/>
                <w:highlight w:val="none"/>
              </w:rPr>
              <w:t xml:space="preserve">（7）保安人员应熟悉重点区域照明系统的基本分布与应急启用位置，在突发断电、火警等应急情况下能够迅速配合运行保障员启用应急照明系统，确保人员疏散和现场处置的照明保障。</w:t>
            </w:r>
            <w:r/>
          </w:p>
        </w:tc>
      </w:tr>
      <w:tr>
        <w:trPr>
          <w:trHeight w:val="156"/>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总体要求</w:t>
            </w:r>
            <w:r/>
          </w:p>
        </w:tc>
        <w:tc>
          <w:tcPr>
            <w:tcW w:w="3823" w:type="pct"/>
            <w:vAlign w:val="center"/>
            <w:textDirection w:val="lrTb"/>
            <w:noWrap w:val="false"/>
          </w:tcPr>
          <w:p>
            <w:pPr>
              <w:ind w:firstLine="42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应充分认识到盐城市文化馆作为国家级一级文化馆、文明单位的重要性和防火、防盗、公共安全等方面的特殊性。如发生责任事故，依法承担相应的法律责任，并接受盐城市文化馆《物业保安工作考核处理办法》的处理。</w:t>
            </w:r>
            <w:r>
              <w:rPr>
                <w:rFonts w:hint="eastAsia" w:ascii="宋体" w:hAnsi="宋体" w:cs="宋体"/>
                <w:b/>
                <w:bCs/>
                <w:i/>
                <w:iCs/>
                <w:color w:val="000000" w:themeColor="text1"/>
                <w:szCs w:val="21"/>
                <w:highlight w:val="white"/>
                <w:u w:val="single"/>
                <w:lang w:eastAsia="zh-CN"/>
              </w:rPr>
              <w:t xml:space="preserve">所有</w:t>
            </w:r>
            <w:r>
              <w:rPr>
                <w:rFonts w:hint="eastAsia" w:ascii="宋体" w:hAnsi="宋体" w:cs="宋体"/>
                <w:b/>
                <w:bCs/>
                <w:i/>
                <w:iCs/>
                <w:color w:val="000000" w:themeColor="text1"/>
                <w:szCs w:val="21"/>
                <w:highlight w:val="white"/>
                <w:u w:val="single"/>
              </w:rPr>
              <w:t xml:space="preserve">保安人员</w:t>
            </w:r>
            <w:r>
              <w:rPr>
                <w:rFonts w:hint="eastAsia" w:ascii="宋体" w:hAnsi="宋体" w:cs="宋体"/>
                <w:b/>
                <w:bCs/>
                <w:i/>
                <w:iCs/>
                <w:color w:val="000000" w:themeColor="text1"/>
                <w:szCs w:val="21"/>
                <w:highlight w:val="white"/>
                <w:u w:val="single"/>
                <w:lang w:eastAsia="zh-CN"/>
              </w:rPr>
              <w:t xml:space="preserve">均须</w:t>
            </w:r>
            <w:r>
              <w:rPr>
                <w:rFonts w:hint="eastAsia" w:ascii="宋体" w:hAnsi="宋体" w:cs="宋体"/>
                <w:b/>
                <w:bCs/>
                <w:i/>
                <w:iCs/>
                <w:color w:val="000000" w:themeColor="text1"/>
                <w:szCs w:val="21"/>
                <w:highlight w:val="white"/>
                <w:u w:val="single"/>
              </w:rPr>
              <w:t xml:space="preserve">具有公安部门发放的保安员证书</w:t>
            </w:r>
            <w:r>
              <w:rPr>
                <w:rFonts w:hint="eastAsia" w:ascii="宋体" w:hAnsi="宋体" w:cs="宋体"/>
                <w:color w:val="000000" w:themeColor="text1"/>
                <w:szCs w:val="21"/>
                <w14:textFill>
                  <w14:solidFill>
                    <w14:schemeClr w14:val="tx1"/>
                  </w14:solidFill>
                </w14:textFill>
              </w:rPr>
              <w:t xml:space="preserve">，具备消防“四个能力”；严格遵守各项规章制度，坚守岗位，按章填写各项交接班、值班登记表；熟悉掌握</w:t>
            </w:r>
            <w:r>
              <w:rPr>
                <w:rFonts w:hint="eastAsia" w:ascii="宋体" w:hAnsi="宋体" w:cs="宋体"/>
                <w:color w:val="000000" w:themeColor="text1"/>
                <w:szCs w:val="21"/>
                <w:lang w:eastAsia="zh-CN"/>
                <w14:textFill>
                  <w14:solidFill>
                    <w14:schemeClr w14:val="tx1"/>
                  </w14:solidFill>
                </w14:textFill>
              </w:rPr>
              <w:t xml:space="preserve">本馆</w:t>
            </w:r>
            <w:r>
              <w:rPr>
                <w:rFonts w:hint="eastAsia" w:ascii="宋体" w:hAnsi="宋体" w:cs="宋体"/>
                <w:color w:val="000000" w:themeColor="text1"/>
                <w:szCs w:val="21"/>
                <w14:textFill>
                  <w14:solidFill>
                    <w14:schemeClr w14:val="tx1"/>
                  </w14:solidFill>
                </w14:textFill>
              </w:rPr>
              <w:t xml:space="preserve">消防、安全保卫工作的重点部位和防范应急措施，防止火灾、盗窃、破坏、等突发事件的发生；遇到突发事件和异常情况，保安人员及时汇报，并按预案处置要求，采取相应措施，确保安全。保安人员工作期间不做与工作无关的事，统一着装，姿态端庄，保持窗口单位文明形象，做好“门前三包”工作；夜间值班保安员值班期间按时巡更，禁止睡觉。</w:t>
            </w:r>
            <w:r/>
          </w:p>
        </w:tc>
      </w:tr>
      <w:tr>
        <w:trPr>
          <w:trHeight w:val="106"/>
        </w:trPr>
        <w:tc>
          <w:tcPr>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W w:w="700"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控制中心</w:t>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（1）本馆设有消防控制中心，实行24小时双人值班。</w:t>
            </w:r>
            <w:r/>
          </w:p>
        </w:tc>
      </w:tr>
      <w:tr>
        <w:trPr>
          <w:trHeight w:val="106"/>
        </w:trPr>
        <w:tc>
          <w:tcPr>
            <w:tcW w:w="475" w:type="pct"/>
            <w:vAlign w:val="center"/>
            <w:vMerge w:val="continue"/>
            <w:textDirection w:val="lrTb"/>
            <w:noWrap w:val="false"/>
          </w:tcPr>
          <w:p>
            <w:pPr>
              <w:spacing w:line="340" w:lineRule="exact"/>
            </w:pPr>
            <w:r/>
            <w:r/>
          </w:p>
        </w:tc>
        <w:tc>
          <w:tcPr>
            <w:tcW w:w="700" w:type="pct"/>
            <w:vAlign w:val="center"/>
            <w:vMerge w:val="continue"/>
            <w:textDirection w:val="lrTb"/>
            <w:noWrap w:val="false"/>
          </w:tcPr>
          <w:p>
            <w:pPr>
              <w:spacing w:line="340" w:lineRule="exact"/>
            </w:pPr>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w:t>
            </w:r>
            <w:r>
              <w:rPr>
                <w:rFonts w:hint="eastAsia" w:cs="宋体" w:asciiTheme="minorEastAsia" w:hAnsiTheme="minorEastAsia"/>
                <w:bCs/>
                <w:color w:val="000000" w:themeColor="text1"/>
                <w:szCs w:val="21"/>
                <w14:textFill>
                  <w14:solidFill>
                    <w14:schemeClr w14:val="tx1"/>
                  </w14:solidFill>
                </w14:textFill>
              </w:rPr>
              <w:t xml:space="preserve">控制中心监控人员必须具有消防部门颁发的从业资格证书</w:t>
            </w:r>
            <w:r>
              <w:rPr>
                <w:rFonts w:hint="eastAsia" w:cs="宋体" w:asciiTheme="minorEastAsia" w:hAnsiTheme="minorEastAsia"/>
                <w:color w:val="000000" w:themeColor="text1"/>
                <w:szCs w:val="21"/>
                <w14:textFill>
                  <w14:solidFill>
                    <w14:schemeClr w14:val="tx1"/>
                  </w14:solidFill>
                </w14:textFill>
              </w:rPr>
              <w:t xml:space="preserve">，有一定的组织管理、指挥与协调能力。能够熟练掌握各种消防、安防技术设备的使用并做好设备的管理和记录工作。</w:t>
            </w:r>
            <w:r/>
          </w:p>
        </w:tc>
      </w:tr>
      <w:tr>
        <w:trPr>
          <w:trHeight w:val="106"/>
        </w:trPr>
        <w:tc>
          <w:tcPr>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70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（3）做好文化馆每日防火巡查和记录工作，发生紧急情况按我馆《消防应急预案》及时处理并上报。</w:t>
            </w:r>
            <w:r/>
          </w:p>
        </w:tc>
      </w:tr>
      <w:tr>
        <w:trPr>
          <w:trHeight w:val="106"/>
        </w:trPr>
        <w:tc>
          <w:tcPr>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70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3823" w:type="pct"/>
            <w:vAlign w:val="center"/>
            <w:textDirection w:val="lrTb"/>
            <w:noWrap w:val="false"/>
          </w:tcPr>
          <w:p>
            <w:pP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（4）为确保24小时双人值班制度全年不间断执行，监控人员实行轮班轮休制，每名值班人员每周安排1天休息，投标人应据此合理配置值班人员数量及班次，确保任何时段值班人数均符合规定要求。</w:t>
            </w:r>
            <w:r/>
          </w:p>
        </w:tc>
      </w:tr>
      <w:tr>
        <w:trPr>
          <w:trHeight w:val="62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bottom w:val="single" w:color="000000" w:sz="8" w:space="0"/>
            </w:tcBorders>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门卫值班人员</w:t>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（1）做好进出人员、车辆的管理登记工作。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（2）保持职业敏感度，发现形迹可疑、聚众滋事、非法信访、非法传销、流动商贩、流浪乞讨、醉酒、携带宠物等不准进馆的人员，禁止入馆。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（3）熟练掌握文化馆各项应急预案，遇突发事件，按预案要求做好进馆人员的疏散、消防扑救等各项工作。</w:t>
            </w:r>
            <w:r/>
          </w:p>
        </w:tc>
      </w:tr>
      <w:tr>
        <w:trPr>
          <w:trHeight w:val="1066"/>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tcBorders>
            <w:tcW w:w="70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馆内巡逻</w:t>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剧场管理</w:t>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（1）当班期间不间断巡逻，保持高度警惕，保护艺术品、多媒体、乐器等的安全。如因在班人员履职不当，造成损坏的，均由物业单位按照要求修缮或者原价赔偿。</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（2）群星剧场开放时，要维护好正常的演出、观看秩序，发现抽烟、大声喧哗、追逐打闹、躺卧等违背文化馆要求的不文明现象，要及时文明制止、礼貌劝导。 </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（3）下班期间，要检查门窗是否关闭，水电是否关闭。</w:t>
            </w:r>
            <w:r/>
          </w:p>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（4）熟练掌握我馆各项应急预案，遇突发事件，按预案要求做好观众疏散、救援、消防扑救等各项工作。 </w:t>
            </w:r>
            <w:r/>
          </w:p>
        </w:tc>
      </w:tr>
      <w:tr>
        <w:trPr>
          <w:trHeight w:val="1066"/>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6</w:t>
            </w:r>
            <w:r/>
          </w:p>
        </w:tc>
        <w:tc>
          <w:tcPr>
            <w:tcBorders>
              <w:top w:val="single" w:color="000000" w:sz="8" w:space="0"/>
            </w:tcBorders>
            <w:tcW w:w="70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外场巡逻</w:t>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（1）巡逻人员实行24小时巡逻，夜间巡逻期间做好点更记录。</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（2）当班期间不间断巡逻，保持高度警惕，保护广场上的各种户外设施、设备及绿化的安全。维护好广场的正常 秩序，发现抽烟、吵闹、追逐打闹、遛狗等现象，要及时文明制止、礼貌劝导。 </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（3）熟练掌握我馆各项应急预案，遇突发事件，按预案要求做好观众疏散、救援、消防扑救等各项工作。</w:t>
            </w:r>
            <w:r/>
          </w:p>
        </w:tc>
      </w:tr>
      <w:tr>
        <w:trPr>
          <w:trHeight w:val="45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W w:w="70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其他消防、安全保卫工作</w:t>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（1）本馆内严禁明火和化学品、易燃易爆品等危险品进入。禁止在馆区内吸烟，如发现应立即劝阻、制止，并及时清理烟灰、烟蒂。</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（2）根据实际情况，承担举办临时性展览、群众性演出、大型活动、重大节日的庆典活动、会议等安全保安工作。</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（3）每年至少组织举行2次消防演练、2次突发事故应急处理演练；每月进行一次安全检查，做好检查记录；每周对物业人员进行岗位培训教育，定期组织保安人员训练。</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4）我馆作为国家一级文化馆，在物业管理服务中，物业管理系统、场管预约系统、员工信息、场馆服务对象信息、设备运行数据等尤为重要，供应商要具备全流程信息安全防护相关能力，因管理不善导致相关数据泄露，需承担相应责任。</w:t>
            </w:r>
            <w:r/>
          </w:p>
        </w:tc>
      </w:tr>
    </w:tbl>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 </w:t>
      </w:r>
      <w:r/>
    </w:p>
    <w:p>
      <w:pPr>
        <w:jc w:val="left"/>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四、供应商履行合同所需的设备 </w:t>
      </w:r>
      <w:r/>
    </w:p>
    <w:p>
      <w:pPr>
        <w:ind w:firstLine="420"/>
        <w:jc w:val="left"/>
        <w:spacing w:line="5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本项目需要供应商提供以下作业设备（自有或租赁）用于物业管理服务。</w:t>
      </w:r>
      <w:r/>
    </w:p>
    <w:tbl>
      <w:tblPr>
        <w:tblStyle w:val="853"/>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576"/>
        <w:gridCol w:w="3723"/>
        <w:gridCol w:w="678"/>
        <w:gridCol w:w="868"/>
        <w:gridCol w:w="1352"/>
      </w:tblGrid>
      <w:tr>
        <w:trPr>
          <w:trHeight w:val="454"/>
        </w:trPr>
        <w:tc>
          <w:tcPr>
            <w:tcW w:w="37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序号</w:t>
            </w:r>
            <w:r/>
          </w:p>
        </w:tc>
        <w:tc>
          <w:tcPr>
            <w:tcW w:w="8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用途</w:t>
            </w:r>
            <w:r/>
          </w:p>
        </w:tc>
        <w:tc>
          <w:tcPr>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作业设备名称</w:t>
            </w:r>
            <w:r/>
          </w:p>
        </w:tc>
        <w:tc>
          <w:tcPr>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数量</w:t>
            </w:r>
            <w:r/>
          </w:p>
        </w:tc>
        <w:tc>
          <w:tcPr>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单位</w:t>
            </w:r>
            <w:r/>
          </w:p>
        </w:tc>
        <w:tc>
          <w:tcPr>
            <w:tcW w:w="763" w:type="pct"/>
            <w:vAlign w:val="center"/>
            <w:textDirection w:val="lrTb"/>
            <w:noWrap w:val="false"/>
          </w:tcPr>
          <w:p>
            <w:pPr>
              <w:jc w:val="center"/>
              <w:spacing w:line="340" w:lineRule="exact"/>
              <w:rPr>
                <w:rFonts w:hint="eastAsia" w:cs="宋体" w:asciiTheme="minorEastAsia" w:hAnsiTheme="minorEastAsia"/>
                <w:b/>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备注</w:t>
            </w:r>
            <w:r/>
          </w:p>
        </w:tc>
      </w:tr>
      <w:tr>
        <w:trPr>
          <w:trHeight w:val="557"/>
        </w:trPr>
        <w:tc>
          <w:tcPr>
            <w:tcW w:w="37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w:t>
            </w:r>
            <w:r/>
          </w:p>
        </w:tc>
        <w:tc>
          <w:tcPr>
            <w:tcBorders>
              <w:right w:val="single" w:color="000000" w:sz="8" w:space="0"/>
            </w:tcBorders>
            <w:tcW w:w="8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保洁服务</w:t>
            </w:r>
            <w:r/>
          </w:p>
        </w:tc>
        <w:tc>
          <w:tcPr>
            <w:tcBorders>
              <w:top w:val="single" w:color="000000" w:sz="8" w:space="0"/>
              <w:left w:val="single" w:color="000000" w:sz="8" w:space="0"/>
              <w:bottom w:val="single" w:color="000000" w:sz="8" w:space="0"/>
              <w:right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常规保洁工具等</w:t>
            </w:r>
            <w:r/>
          </w:p>
        </w:tc>
        <w:tc>
          <w:tcPr>
            <w:tcBorders>
              <w:left w:val="single" w:color="000000" w:sz="8" w:space="0"/>
              <w:bottom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p>
        </w:tc>
        <w:tc>
          <w:tcPr>
            <w:tcBorders>
              <w:bottom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批</w:t>
            </w:r>
            <w:r/>
          </w:p>
        </w:tc>
        <w:tc>
          <w:tcPr>
            <w:tcBorders>
              <w:bottom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按需</w:t>
            </w:r>
            <w:r/>
          </w:p>
        </w:tc>
      </w:tr>
      <w:tr>
        <w:trPr>
          <w:trHeight w:val="551"/>
        </w:trPr>
        <w:tc>
          <w:tcPr>
            <w:tcW w:w="370" w:type="pct"/>
            <w:vAlign w:val="center"/>
            <w:vMerge w:val="restart"/>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2</w:t>
            </w:r>
            <w:r/>
          </w:p>
        </w:tc>
        <w:tc>
          <w:tcPr>
            <w:tcBorders>
              <w:right w:val="single" w:color="000000" w:sz="8" w:space="0"/>
            </w:tcBorders>
            <w:tcW w:w="890" w:type="pct"/>
            <w:vAlign w:val="center"/>
            <w:vMerge w:val="restart"/>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保安服务</w:t>
            </w:r>
            <w:r/>
          </w:p>
        </w:tc>
        <w:tc>
          <w:tcPr>
            <w:tcBorders>
              <w:top w:val="single" w:color="000000" w:sz="8" w:space="0"/>
              <w:left w:val="single" w:color="000000" w:sz="8" w:space="0"/>
              <w:bottom w:val="single" w:color="000000" w:sz="8" w:space="0"/>
              <w:right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保安防暴器材</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套</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按需</w:t>
            </w:r>
            <w:r/>
          </w:p>
        </w:tc>
      </w:tr>
      <w:tr>
        <w:trPr>
          <w:trHeight w:val="544"/>
        </w:trPr>
        <w:tc>
          <w:tcPr>
            <w:tcW w:w="370" w:type="pct"/>
            <w:vAlign w:val="center"/>
            <w:vMerge w:val="continue"/>
            <w:textDirection w:val="lrTb"/>
            <w:noWrap w:val="false"/>
          </w:tcPr>
          <w:p>
            <w:pPr>
              <w:jc w:val="center"/>
              <w:spacing w:line="340" w:lineRule="exact"/>
              <w:rPr>
                <w:rFonts w:hint="eastAsia" w:cs="宋体" w:asciiTheme="minorEastAsia" w:hAnsiTheme="minorEastAsia"/>
                <w:szCs w:val="21"/>
                <w:lang w:bidi="ar"/>
              </w:rPr>
            </w:pPr>
            <w:r>
              <w:rPr>
                <w:rFonts w:hint="eastAsia" w:cs="宋体" w:asciiTheme="minorEastAsia" w:hAnsiTheme="minorEastAsia"/>
                <w:szCs w:val="21"/>
                <w:lang w:bidi="ar"/>
              </w:rPr>
            </w:r>
            <w:r/>
          </w:p>
        </w:tc>
        <w:tc>
          <w:tcPr>
            <w:tcBorders>
              <w:right w:val="single" w:color="000000" w:sz="8" w:space="0"/>
            </w:tcBorders>
            <w:tcW w:w="890" w:type="pct"/>
            <w:vAlign w:val="center"/>
            <w:vMerge w:val="continue"/>
            <w:textDirection w:val="lrTb"/>
            <w:noWrap w:val="false"/>
          </w:tcPr>
          <w:p>
            <w:pPr>
              <w:jc w:val="center"/>
              <w:spacing w:line="340" w:lineRule="exact"/>
              <w:rPr>
                <w:rFonts w:hint="eastAsia" w:cs="宋体" w:asciiTheme="minorEastAsia" w:hAnsiTheme="minorEastAsia"/>
                <w:szCs w:val="21"/>
                <w:lang w:bidi="ar"/>
              </w:rPr>
            </w:pPr>
            <w:r>
              <w:rPr>
                <w:rFonts w:hint="eastAsia" w:cs="宋体" w:asciiTheme="minorEastAsia" w:hAnsiTheme="minorEastAsia"/>
                <w:szCs w:val="21"/>
                <w:lang w:bidi="ar"/>
              </w:rPr>
            </w:r>
            <w:r/>
          </w:p>
        </w:tc>
        <w:tc>
          <w:tcPr>
            <w:tcBorders>
              <w:top w:val="single" w:color="000000" w:sz="8" w:space="0"/>
              <w:left w:val="single" w:color="000000" w:sz="8" w:space="0"/>
              <w:bottom w:val="single" w:color="000000" w:sz="8" w:space="0"/>
              <w:right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无线对讲机等保安设备</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批</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按需</w:t>
            </w:r>
            <w:r/>
          </w:p>
        </w:tc>
      </w:tr>
      <w:tr>
        <w:trPr>
          <w:trHeight w:val="538"/>
        </w:trPr>
        <w:tc>
          <w:tcPr>
            <w:tcW w:w="37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w:t>
            </w:r>
            <w:r/>
          </w:p>
        </w:tc>
        <w:tc>
          <w:tcPr>
            <w:tcW w:w="8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工程维修服务</w:t>
            </w:r>
            <w:r/>
          </w:p>
        </w:tc>
        <w:tc>
          <w:tcPr>
            <w:tcBorders>
              <w:top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维修工具等</w:t>
            </w:r>
            <w:r/>
          </w:p>
        </w:tc>
        <w:tc>
          <w:tcPr>
            <w:tcBorders>
              <w:top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p>
        </w:tc>
        <w:tc>
          <w:tcPr>
            <w:tcBorders>
              <w:top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批</w:t>
            </w:r>
            <w:r/>
          </w:p>
        </w:tc>
        <w:tc>
          <w:tcPr>
            <w:tcBorders>
              <w:top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按需</w:t>
            </w:r>
            <w:r/>
          </w:p>
        </w:tc>
      </w:tr>
    </w:tbl>
    <w:p>
      <w:pPr>
        <w:jc w:val="left"/>
        <w:spacing w:line="500" w:lineRule="exact"/>
        <w:widowControl/>
        <w:rPr>
          <w:rFonts w:hint="eastAsia" w:ascii="宋体" w:hAnsi="宋体" w:cs="宋体"/>
          <w:color w:val="000000" w:themeColor="text1"/>
          <w:sz w:val="24"/>
          <w:szCs w:val="32"/>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五、物业管理服务人员配备及相关要求</w:t>
      </w:r>
      <w:r/>
    </w:p>
    <w:p>
      <w:pPr>
        <w:pStyle w:val="851"/>
        <w:spacing w:line="50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5.1</w:t>
      </w:r>
      <w:r>
        <w:rPr>
          <w:rFonts w:hint="eastAsia" w:ascii="宋体" w:hAnsi="宋体" w:eastAsia="宋体" w:cs="宋体"/>
          <w:b/>
          <w:color w:val="000000" w:themeColor="text1"/>
          <w:sz w:val="24"/>
          <w:szCs w:val="24"/>
          <w14:textFill>
            <w14:solidFill>
              <w14:schemeClr w14:val="tx1"/>
            </w14:solidFill>
          </w14:textFill>
        </w:rPr>
        <w:t xml:space="preserve">人员基本原则：</w:t>
      </w:r>
      <w:r>
        <w:rPr>
          <w:rFonts w:hint="eastAsia" w:ascii="宋体" w:hAnsi="宋体" w:eastAsia="宋体" w:cs="宋体"/>
          <w:color w:val="000000" w:themeColor="text1"/>
          <w:sz w:val="24"/>
          <w:szCs w:val="24"/>
          <w14:textFill>
            <w14:solidFill>
              <w14:schemeClr w14:val="tx1"/>
            </w14:solidFill>
          </w14:textFill>
        </w:rPr>
        <w:t xml:space="preserve">精干 高效 专业 敬业 健康。</w:t>
      </w:r>
      <w:r/>
    </w:p>
    <w:p>
      <w:pPr>
        <w:pStyle w:val="851"/>
        <w:spacing w:line="500" w:lineRule="exact"/>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5.</w:t>
      </w:r>
      <w:r>
        <w:rPr>
          <w:rFonts w:hint="eastAsia" w:ascii="宋体" w:hAnsi="宋体" w:cs="宋体"/>
          <w:b/>
          <w:bCs/>
          <w:color w:val="auto"/>
          <w:sz w:val="24"/>
          <w:szCs w:val="32"/>
          <w:highlight w:val="none"/>
        </w:rPr>
        <w:t xml:space="preserve">2</w:t>
      </w:r>
      <w:r>
        <w:rPr>
          <w:rFonts w:hint="eastAsia" w:ascii="宋体" w:hAnsi="宋体" w:eastAsia="宋体" w:cs="宋体"/>
          <w:b/>
          <w:bCs/>
          <w:color w:val="auto"/>
          <w:sz w:val="24"/>
          <w:szCs w:val="32"/>
          <w:highlight w:val="none"/>
        </w:rPr>
        <w:t xml:space="preserve">人员数量要求</w:t>
      </w:r>
      <w:r>
        <w:rPr>
          <w:rFonts w:hint="eastAsia" w:ascii="宋体" w:hAnsi="宋体" w:eastAsia="宋体" w:cs="宋体"/>
          <w:color w:val="auto"/>
          <w:sz w:val="24"/>
          <w:szCs w:val="32"/>
          <w:highlight w:val="none"/>
        </w:rPr>
        <w:t xml:space="preserve">（投入本项目的各类人员数量不得小于下表数量）</w:t>
      </w:r>
      <w:r/>
    </w:p>
    <w:tbl>
      <w:tblPr>
        <w:tblStyle w:val="8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37"/>
        <w:gridCol w:w="3261"/>
        <w:gridCol w:w="2058"/>
      </w:tblGrid>
      <w:tr>
        <w:trPr>
          <w:jc w:val="center"/>
          <w:trHeight w:val="476"/>
        </w:trPr>
        <w:tc>
          <w:tcPr>
            <w:gridSpan w:val="3"/>
            <w:tcW w:w="5000"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盐城市文化馆物业人员配置表</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人员</w:t>
            </w:r>
            <w:r/>
          </w:p>
        </w:tc>
        <w:tc>
          <w:tcPr>
            <w:tcW w:w="184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岗   位</w:t>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人数</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管理员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项目经理</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1</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保安员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安全保卫</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9</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监控员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监控室</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6</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客服员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会务、接待服务</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2</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保洁员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卫生保洁</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3</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设备员</w:t>
            </w:r>
            <w:r/>
          </w:p>
        </w:tc>
        <w:tc>
          <w:tcPr>
            <w:tcW w:w="1841"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水电设备维护</w:t>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1</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运行保障员</w:t>
            </w:r>
            <w:r/>
          </w:p>
        </w:tc>
        <w:tc>
          <w:tcPr>
            <w:tcW w:w="1841"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照明设备操作与技术支持</w:t>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1</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总计人数</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23</w:t>
            </w:r>
            <w:r/>
          </w:p>
        </w:tc>
      </w:tr>
    </w:tbl>
    <w:p>
      <w:pPr>
        <w:ind w:firstLine="480"/>
        <w:jc w:val="left"/>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所有岗位包含该项目的全部物业服务责任，上述岗位分配为主要性表述，如有遗漏不作为招标缺项，亦不作为中标人减少或降低服务的理由，由中标方按招标文件要求合理安排、完善，不留任何服务与管理死角。</w:t>
      </w:r>
      <w:r/>
    </w:p>
    <w:p>
      <w:pPr>
        <w:pStyle w:val="851"/>
        <w:spacing w:line="500" w:lineRule="exact"/>
        <w:rPr>
          <w:rFonts w:hint="eastAsia" w:ascii="宋体" w:hAnsi="宋体" w:eastAsia="宋体" w:cs="宋体"/>
          <w:b/>
          <w:color w:val="000000" w:themeColor="text1"/>
          <w:spacing w:val="15"/>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5.2人员综合素质要求</w:t>
      </w:r>
      <w:r>
        <w:rPr>
          <w:rFonts w:hint="eastAsia" w:ascii="宋体" w:hAnsi="宋体" w:eastAsia="宋体" w:cs="宋体"/>
          <w:color w:val="000000" w:themeColor="text1"/>
          <w:sz w:val="24"/>
          <w:szCs w:val="24"/>
          <w14:textFill>
            <w14:solidFill>
              <w14:schemeClr w14:val="tx1"/>
            </w14:solidFill>
          </w14:textFill>
        </w:rPr>
        <w:t xml:space="preserve">（投入本项目的人员综合素质不低于下表要求）：</w:t>
      </w:r>
      <w:r/>
    </w:p>
    <w:tbl>
      <w:tblPr>
        <w:tblStyle w:val="8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978"/>
        <w:gridCol w:w="5992"/>
      </w:tblGrid>
      <w:tr>
        <w:trPr>
          <w:jc w:val="center"/>
          <w:trHeight w:val="644"/>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项目职务</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人员综合素质要求</w:t>
            </w:r>
            <w:r/>
          </w:p>
        </w:tc>
      </w:tr>
      <w:tr>
        <w:trPr>
          <w:jc w:val="center"/>
          <w:trHeight w:val="1386"/>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项目负责人</w:t>
            </w:r>
            <w:r/>
          </w:p>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（项目经理）</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50周岁（含）以下，有一定的组织管理能力和协调能力；有担任过类近项目物业服务项目经理2年以上管理经历，身体健康，有较强的组织领导能力和协调能力，未受过刑事处罚。</w:t>
            </w:r>
            <w:r/>
          </w:p>
        </w:tc>
      </w:tr>
      <w:tr>
        <w:trPr>
          <w:jc w:val="center"/>
          <w:trHeight w:val="402"/>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保安人员</w:t>
            </w:r>
            <w:r/>
          </w:p>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（含保安主管、消防监控值班人员）</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男女不限，履约期内人员年龄须符合国家法定劳动年龄（其中夜间巡更人员须全部为男性），高中及以上文化，身体健康，五官端正，体态良好；责任心强，思想品质好，作风正派；接受过消防安全保卫相关训练，熟悉相关法律法规，掌握基本安全保卫技能，</w:t>
            </w:r>
            <w:r>
              <w:rPr>
                <w:rFonts w:hint="eastAsia" w:ascii="宋体" w:hAnsi="宋体"/>
                <w:b/>
                <w:bCs/>
                <w:i/>
                <w:iCs/>
                <w:color w:val="000000" w:themeColor="text1"/>
                <w:szCs w:val="21"/>
                <w:highlight w:val="white"/>
                <w:u w:val="single"/>
                <w:lang w:eastAsia="zh-CN"/>
                <w14:textFill>
                  <w14:solidFill>
                    <w14:schemeClr w14:val="tx1"/>
                  </w14:solidFill>
                </w14:textFill>
              </w:rPr>
              <w:t xml:space="preserve">所有保安人员均须</w:t>
            </w:r>
            <w:r>
              <w:rPr>
                <w:rFonts w:hint="eastAsia" w:ascii="宋体" w:hAnsi="宋体"/>
                <w:b/>
                <w:bCs/>
                <w:i/>
                <w:iCs/>
                <w:color w:val="000000" w:themeColor="text1"/>
                <w:szCs w:val="21"/>
                <w:highlight w:val="white"/>
                <w:u w:val="single"/>
                <w14:textFill>
                  <w14:solidFill>
                    <w14:schemeClr w14:val="tx1"/>
                  </w14:solidFill>
                </w14:textFill>
              </w:rPr>
              <w:t xml:space="preserve">持有公安部门颁发的保安员证书</w:t>
            </w:r>
            <w:r>
              <w:rPr>
                <w:rFonts w:hint="eastAsia" w:ascii="宋体" w:hAnsi="宋体"/>
                <w:bCs/>
                <w:color w:val="000000" w:themeColor="text1"/>
                <w:szCs w:val="21"/>
                <w14:textFill>
                  <w14:solidFill>
                    <w14:schemeClr w14:val="tx1"/>
                  </w14:solidFill>
                </w14:textFill>
              </w:rPr>
              <w:t xml:space="preserve">，消防监控值班人员须具有相关能力及消防部门颁发的资格证书。</w:t>
            </w:r>
            <w:r/>
          </w:p>
        </w:tc>
      </w:tr>
      <w:tr>
        <w:trPr>
          <w:jc w:val="center"/>
          <w:trHeight w:val="275"/>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卫生保洁员</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男女不限，履约期内人员年龄须符合国家法定劳动年龄，初中及以上文化，身体健康，有吃苦耐劳精神，责任心强，有一定的物业保洁服务工作经历，经培训，采购人与中标人共同考核合格后上岗。</w:t>
            </w:r>
            <w:r/>
          </w:p>
        </w:tc>
      </w:tr>
      <w:tr>
        <w:trPr>
          <w:jc w:val="center"/>
          <w:trHeight w:val="124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会务服务（兼报刊收发，会议室、报告厅和贵宾厅接待室卫生等）</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ascii="宋体" w:hAnsi="宋体" w:eastAsia="楷体_GB2312"/>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女性，1名，40岁（含）以下，高中及以上文化，身高1.60米以上，五官端正，身体健康，责任心强。</w:t>
            </w:r>
            <w:r/>
          </w:p>
        </w:tc>
      </w:tr>
      <w:tr>
        <w:trPr>
          <w:jc w:val="center"/>
          <w:trHeight w:val="796"/>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前台接待服务</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女性，1名，40岁</w:t>
            </w:r>
            <w:r>
              <w:rPr>
                <w:rFonts w:hint="eastAsia" w:ascii="宋体" w:hAnsi="宋体" w:cs="仿宋"/>
                <w:color w:val="000000" w:themeColor="text1"/>
                <w:szCs w:val="21"/>
                <w14:textFill>
                  <w14:solidFill>
                    <w14:schemeClr w14:val="tx1"/>
                  </w14:solidFill>
                </w14:textFill>
              </w:rPr>
              <w:t xml:space="preserve">（含）</w:t>
            </w:r>
            <w:r>
              <w:rPr>
                <w:rFonts w:hint="eastAsia" w:ascii="宋体" w:hAnsi="宋体"/>
                <w:bCs/>
                <w:color w:val="000000" w:themeColor="text1"/>
                <w:szCs w:val="21"/>
                <w14:textFill>
                  <w14:solidFill>
                    <w14:schemeClr w14:val="tx1"/>
                  </w14:solidFill>
                </w14:textFill>
              </w:rPr>
              <w:t xml:space="preserve">以下，高中及以上文化，身高1.60米以上，五官端正，身体健康，气质佳，普通话标准，责任心强,掌握电脑操作，有一定沟通协调能力。</w:t>
            </w:r>
            <w:r/>
          </w:p>
        </w:tc>
      </w:tr>
      <w:tr>
        <w:trPr>
          <w:jc w:val="center"/>
          <w:trHeight w:val="9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设备维护</w:t>
            </w:r>
            <w:r/>
          </w:p>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水电工</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适宜男性，履约</w:t>
            </w:r>
            <w:r>
              <w:rPr>
                <w:rFonts w:hint="eastAsia" w:ascii="宋体" w:hAnsi="宋体"/>
                <w:bCs/>
                <w:color w:val="auto"/>
                <w:szCs w:val="21"/>
                <w:highlight w:val="none"/>
              </w:rPr>
              <w:t xml:space="preserve">期内人员年龄须符合国家法定劳动年龄，身体健康，责任心强；具备较强的技术理解能力和学习能力，能够熟练阅读设备技术资料，独立完成设备档案管理和维保记录；掌握电器设备管理维护技能，有实践工作经验，</w:t>
            </w:r>
            <w:r>
              <w:rPr>
                <w:rFonts w:hint="eastAsia" w:ascii="宋体" w:hAnsi="宋体"/>
                <w:bCs/>
                <w:i/>
                <w:iCs/>
                <w:color w:val="auto"/>
                <w:szCs w:val="21"/>
                <w:highlight w:val="none"/>
                <w:u w:val="single"/>
              </w:rPr>
              <w:t xml:space="preserve">设备维护人员须同时持有高压电工作业证及低压电工作业证。</w:t>
            </w:r>
            <w:r/>
          </w:p>
        </w:tc>
      </w:tr>
      <w:tr>
        <w:trPr>
          <w:jc w:val="center"/>
          <w:trHeight w:val="489"/>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运行保障</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男女不限，履约期内人员年龄须符合国家法定劳动年龄，身体健康，责任心强；熟悉文化馆内照明系统（包括剧场舞台灯光、展厅照明、公共区域照明）的基本操作与调试，能够根据日常运行、重大活动及演出保障的需求，进行灯光角度、亮度的现场调试与配合，并在突发断电、火警等应急情况下迅速启用应急照明系统，确保人员疏散和现场处置的照明保障；具备良好的沟通协作能力，能够配合设备维护人员、保安、会务等岗位完成日常运行支持工作；具有照明设备操作相关经验优先考虑。上述人员上岗前须经过采购人与中标人共同考核合格后方可上岗。</w:t>
            </w:r>
            <w:r/>
          </w:p>
        </w:tc>
      </w:tr>
    </w:tbl>
    <w:p>
      <w:pPr>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auto"/>
          <w:sz w:val="24"/>
          <w:highlight w:val="none"/>
        </w:rPr>
        <w:t xml:space="preserve">备注：</w:t>
      </w:r>
      <w:r/>
    </w:p>
    <w:p>
      <w:pPr>
        <w:ind w:firstLine="480"/>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（1）以上所有人员无重大疾病和传染病，诚实守信，责任心强持有健康体检证明。上岗前须将人员情况报招标人审核，审核通过后方可上岗。</w:t>
      </w:r>
      <w:r/>
    </w:p>
    <w:p>
      <w:pPr>
        <w:pStyle w:val="1204"/>
        <w:ind w:firstLine="482"/>
        <w:spacing w:line="50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（2）物业服务人员在工作中不负责任，玩忽职守，发生重大责任事故的，依法追究法律责任。发生一般责任事故的，视事故责任大小处以辞退当事人、罚款、终止物业管理合同等措施。</w:t>
      </w:r>
      <w:r/>
    </w:p>
    <w:p>
      <w:pPr>
        <w:pStyle w:val="1204"/>
        <w:ind w:firstLine="482"/>
        <w:spacing w:line="50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3）物业公司须与所有为本项目服务的物业服务人员签证正式的劳动合同并缴纳相关社会保险，加强对物业服务人员的安全教育、为之配备工作所须安全装备，确保物业服务人员的安全。如物业服务人员在上班期间（包括上下班途中）发生任何安全责任事故，均由物业公司负责。</w:t>
      </w:r>
      <w:r/>
    </w:p>
    <w:p>
      <w:pPr>
        <w:pStyle w:val="1204"/>
        <w:ind w:firstLine="482"/>
        <w:spacing w:line="50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（4）物业人员管理须采用信息化管理，包括人员花名册、基本信息、考勤考核、培训等内容。</w:t>
      </w:r>
      <w:r/>
    </w:p>
    <w:p>
      <w:pPr>
        <w:ind w:firstLine="482"/>
        <w:spacing w:line="500" w:lineRule="exact"/>
        <w:rPr>
          <w:rFonts w:hint="eastAsia" w:ascii="宋体" w:hAnsi="宋体" w:cs="宋体"/>
          <w:b w:val="0"/>
          <w:bCs/>
          <w:i/>
          <w:iCs/>
          <w:color w:val="000000" w:themeColor="text1"/>
          <w:sz w:val="24"/>
          <w:szCs w:val="20"/>
          <w:u w:val="single"/>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（5）不接受退休人员为项目组成员，具体年龄中标后按岗位要求并满足采购人要求而定。所有人员均需无违法犯罪等不良记录证明。从业人员简历交一份业主备案。</w:t>
      </w:r>
      <w:r/>
    </w:p>
    <w:p>
      <w:pPr>
        <w:ind w:firstLine="482"/>
        <w:spacing w:line="500" w:lineRule="exact"/>
        <w:rPr>
          <w:rFonts w:hint="eastAsia" w:ascii="宋体" w:hAnsi="宋体" w:eastAsia="宋体" w:cs="宋体"/>
          <w:b w:val="0"/>
          <w:bCs/>
          <w:i/>
          <w:iCs/>
          <w:color w:val="000000" w:themeColor="text1"/>
          <w:sz w:val="24"/>
          <w:szCs w:val="20"/>
          <w:u w:val="single"/>
          <w:lang w:eastAsia="zh-CN"/>
          <w14:textFill>
            <w14:solidFill>
              <w14:schemeClr w14:val="tx1"/>
            </w14:solidFill>
          </w14:textFill>
        </w:rPr>
      </w:pPr>
      <w:r>
        <w:rPr>
          <w:rFonts w:hint="eastAsia" w:ascii="宋体" w:hAnsi="宋体" w:cs="宋体"/>
          <w:b w:val="0"/>
          <w:bCs/>
          <w:i/>
          <w:iCs/>
          <w:color w:val="000000" w:themeColor="text1"/>
          <w:sz w:val="24"/>
          <w:szCs w:val="20"/>
          <w:highlight w:val="none"/>
          <w:u w:val="single"/>
          <w:lang w:eastAsia="zh-CN"/>
          <w14:textFill>
            <w14:solidFill>
              <w14:schemeClr w14:val="tx1"/>
            </w14:solidFill>
          </w14:textFill>
        </w:rPr>
        <w:t xml:space="preserve">（</w:t>
      </w:r>
      <w:r>
        <w:rPr>
          <w:rFonts w:hint="eastAsia" w:ascii="宋体" w:hAnsi="宋体" w:cs="宋体"/>
          <w:b w:val="0"/>
          <w:bCs/>
          <w:i/>
          <w:iCs/>
          <w:color w:val="000000" w:themeColor="text1"/>
          <w:sz w:val="24"/>
          <w:szCs w:val="20"/>
          <w:highlight w:val="none"/>
          <w:u w:val="single"/>
          <w:lang w:val="en-US" w:eastAsia="zh-CN"/>
          <w14:textFill>
            <w14:solidFill>
              <w14:schemeClr w14:val="tx1"/>
            </w14:solidFill>
          </w14:textFill>
        </w:rPr>
        <w:t xml:space="preserve">6</w:t>
      </w:r>
      <w:r>
        <w:rPr>
          <w:rFonts w:hint="eastAsia" w:ascii="宋体" w:hAnsi="宋体" w:cs="宋体"/>
          <w:b w:val="0"/>
          <w:bCs/>
          <w:i/>
          <w:iCs/>
          <w:color w:val="000000" w:themeColor="text1"/>
          <w:sz w:val="24"/>
          <w:szCs w:val="20"/>
          <w:highlight w:val="none"/>
          <w:u w:val="single"/>
          <w:lang w:eastAsia="zh-CN"/>
          <w14:textFill>
            <w14:solidFill>
              <w14:schemeClr w14:val="tx1"/>
            </w14:solidFill>
          </w14:textFill>
        </w:rPr>
        <w:t xml:space="preserve">）拟</w:t>
      </w:r>
      <w:r>
        <w:rPr>
          <w:rFonts w:hint="eastAsia" w:ascii="宋体" w:hAnsi="宋体" w:cs="宋体"/>
          <w:b w:val="0"/>
          <w:bCs/>
          <w:i/>
          <w:iCs/>
          <w:color w:val="000000" w:themeColor="text1"/>
          <w:sz w:val="24"/>
          <w:szCs w:val="20"/>
          <w:highlight w:val="white"/>
          <w:u w:val="single"/>
          <w:lang w:eastAsia="zh-CN"/>
          <w14:textFill>
            <w14:solidFill>
              <w14:schemeClr w14:val="tx1"/>
            </w14:solidFill>
          </w14:textFill>
        </w:rPr>
        <w:t xml:space="preserve">派保安人员均须持有公安部门颁发的保安员证书，</w:t>
      </w:r>
      <w:r>
        <w:rPr>
          <w:rFonts w:hint="eastAsia" w:ascii="宋体" w:hAnsi="宋体" w:cs="宋体"/>
          <w:b w:val="0"/>
          <w:bCs/>
          <w:i/>
          <w:iCs/>
          <w:color w:val="000000" w:themeColor="text1"/>
          <w:sz w:val="24"/>
          <w:szCs w:val="20"/>
          <w:highlight w:val="none"/>
          <w:u w:val="single"/>
          <w:lang w:eastAsia="zh-CN"/>
          <w14:textFill>
            <w14:solidFill>
              <w14:schemeClr w14:val="tx1"/>
            </w14:solidFill>
          </w14:textFill>
        </w:rPr>
        <w:t xml:space="preserve">拟派设备维护人员须同时持有高压电工作业证及低压电工作业证。</w:t>
      </w:r>
      <w:r>
        <w:rPr>
          <w:rFonts w:hint="eastAsia" w:ascii="宋体" w:hAnsi="宋体"/>
          <w:b w:val="0"/>
          <w:bCs/>
          <w:i/>
          <w:iCs/>
          <w:sz w:val="24"/>
          <w:highlight w:val="none"/>
          <w:u w:val="single"/>
        </w:rPr>
        <w:t xml:space="preserve">投标时提供上述证书原件彩色扫描件，不提供或提供不全的</w:t>
      </w:r>
      <w:r>
        <w:rPr>
          <w:rFonts w:hint="eastAsia" w:ascii="宋体" w:hAnsi="宋体"/>
          <w:b w:val="0"/>
          <w:bCs/>
          <w:i/>
          <w:iCs/>
          <w:sz w:val="24"/>
          <w:highlight w:val="none"/>
          <w:u w:val="single"/>
          <w:lang w:eastAsia="zh-CN"/>
        </w:rPr>
        <w:t xml:space="preserve">做无效标处理</w:t>
      </w:r>
      <w:r>
        <w:rPr>
          <w:rFonts w:hint="eastAsia" w:ascii="宋体" w:hAnsi="宋体"/>
          <w:b w:val="0"/>
          <w:bCs/>
          <w:i/>
          <w:iCs/>
          <w:sz w:val="24"/>
          <w:highlight w:val="none"/>
          <w:u w:val="single"/>
        </w:rPr>
        <w:t xml:space="preserve">，提供的所有材料均须加盖投标人公章。</w:t>
      </w:r>
      <w:r/>
    </w:p>
    <w:p>
      <w:pPr>
        <w:ind w:firstLine="482"/>
        <w:spacing w:line="500" w:lineRule="exact"/>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w:t>
      </w:r>
      <w:r>
        <w:rPr>
          <w:rFonts w:hint="eastAsia" w:ascii="宋体" w:hAnsi="宋体" w:cs="宋体"/>
          <w:b/>
          <w:bCs/>
          <w:color w:val="000000" w:themeColor="text1"/>
          <w:sz w:val="24"/>
          <w:szCs w:val="20"/>
          <w:lang w:val="en-US" w:eastAsia="zh-CN"/>
          <w14:textFill>
            <w14:solidFill>
              <w14:schemeClr w14:val="tx1"/>
            </w14:solidFill>
          </w14:textFill>
        </w:rPr>
        <w:t xml:space="preserve">7</w:t>
      </w:r>
      <w:r>
        <w:rPr>
          <w:rFonts w:hint="eastAsia" w:ascii="宋体" w:hAnsi="宋体" w:cs="宋体"/>
          <w:b/>
          <w:bCs/>
          <w:color w:val="000000" w:themeColor="text1"/>
          <w:sz w:val="24"/>
          <w:szCs w:val="20"/>
          <w14:textFill>
            <w14:solidFill>
              <w14:schemeClr w14:val="tx1"/>
            </w14:solidFill>
          </w14:textFill>
        </w:rPr>
        <w:t xml:space="preserve">）除以上要求的证明材料，投标时无须提供以上人员其他相关证书及证明，中标人必须按岗位定员数量和素质要求配备人员，否则视为违约。</w:t>
      </w:r>
      <w:r/>
    </w:p>
    <w:p>
      <w:pPr>
        <w:ind w:firstLine="482"/>
        <w:jc w:val="left"/>
        <w:keepLines w:val="0"/>
        <w:keepNext w:val="0"/>
        <w:pageBreakBefore w:val="0"/>
        <w:spacing w:after="0" w:line="500" w:lineRule="exact"/>
        <w:widowControl/>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i/>
          <w:iCs/>
          <w:color w:val="auto"/>
          <w:sz w:val="24"/>
          <w:u w:val="single"/>
          <w:lang w:eastAsia="zh-CN"/>
        </w:rPr>
        <w:t xml:space="preserve">本文件</w:t>
      </w:r>
      <w:r>
        <w:rPr>
          <w:rFonts w:hint="eastAsia" w:ascii="宋体" w:hAnsi="宋体" w:cs="宋体"/>
          <w:b/>
          <w:bCs/>
          <w:i/>
          <w:iCs/>
          <w:color w:val="auto"/>
          <w:sz w:val="24"/>
          <w:u w:val="single"/>
        </w:rPr>
        <w:t xml:space="preserve">斜体下划线部分为本项目实质性需求，不允许负偏离。</w:t>
      </w:r>
      <w:r/>
    </w:p>
    <w:p>
      <w:pPr>
        <w:jc w:val="left"/>
        <w:spacing w:line="500" w:lineRule="exact"/>
        <w:widowControl/>
        <w:rPr>
          <w:rFonts w:hint="eastAsia" w:ascii="宋体" w:hAnsi="宋体" w:cs="宋体"/>
          <w:b/>
          <w:bCs/>
          <w:color w:val="000000" w:themeColor="text1"/>
          <w:sz w:val="24"/>
          <w:lang w:bidi="ar"/>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六、现场踏勘</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各投标人应自行前往项目地点实地了解，并向招标人了解物业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jc w:val="left"/>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七、采购人提供的条件</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1、采购人应当向物业管理企业移交下列资料：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（1）竣工总平面图，单体建筑、结构、设备竣工图，配套设施等竣工资料；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（2）设施设备的安装、使用说明书和维护保养等技术资料；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（3）物业管理所必需的其他资料。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物业管理企业应当在物业服务合同终止时将上述资料移交给业主。</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2、采购人按照规定在物业管理区域内配置必要的物业管理用房。</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3、物业管理用房的所有权依法属于业主。未经业主同意，物业管理企业不得改变物业管理用房的用途。</w:t>
      </w:r>
      <w:r/>
    </w:p>
    <w:p>
      <w:pPr>
        <w:spacing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八、其他</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（1）物业服务合同终止时，物业管理企业应当将物业管理用房和所有物管资料、档案完整的移交给业主。</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（2）物业服务合同终止时，采购单位选聘了新的物业管理企业的，物业管理企业之间应当做好交接工作。</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（3）物业管理企业可以将物业管理区域内的绿化服务业务委托给专业性服务企业，但不得将该区域内的其他物业管理委托给他人。</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（4）本招标文件中未尽事宜，按国家和地方最新《物业管理条例》执行，有冲突处，按高标准执行。</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（5）本招标文件的相关事宜由采购人负责最终解释。</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（6）补充承诺协议与所签合同具有同等法律效应。</w:t>
      </w:r>
      <w:r/>
    </w:p>
    <w:p>
      <w:pPr>
        <w:ind w:firstLine="480"/>
        <w:spacing w:line="500" w:lineRule="exact"/>
        <w:rPr>
          <w:rFonts w:hint="eastAsia" w:ascii="宋体" w:hAnsi="宋体" w:cs="宋体"/>
          <w:color w:val="ff0000"/>
          <w:sz w:val="24"/>
          <w:highlight w:val="yellow"/>
        </w:rPr>
      </w:pPr>
      <w:r>
        <w:rPr>
          <w:rFonts w:hint="eastAsia" w:ascii="宋体" w:hAnsi="宋体" w:cs="宋体"/>
          <w:color w:val="000000" w:themeColor="text1"/>
          <w:sz w:val="24"/>
          <w:highlight w:val="white"/>
        </w:rPr>
        <w:t xml:space="preserve">（7）物业委托管理期限：两年，合同一年一签，一年服务期内无连续两个月考核不合格或累计三个月考核不合格情形的可续签第二年合同，合同期从甲方正式通知进场服务之日起算。</w:t>
      </w:r>
      <w:r/>
    </w:p>
    <w:p>
      <w:pPr>
        <w:pStyle w:val="1008"/>
        <w:ind w:left="0"/>
        <w:spacing w:after="0"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九、特别约定</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1、所有物管工作不受节假日、昼夜、天气、季节的影响，无条件服从业主的作息时间。</w:t>
      </w:r>
      <w:r/>
    </w:p>
    <w:p>
      <w:pPr>
        <w:ind w:firstLine="482"/>
        <w:spacing w:line="500" w:lineRule="exac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2、由于物业企业方面的原因，给国家、业主或第三方造成的损失与伤害，所涉及的行政的、法律的、民事的责任由物业企业全部承担。</w:t>
      </w:r>
      <w:r/>
    </w:p>
    <w:p>
      <w:pPr>
        <w:pStyle w:val="1008"/>
        <w:ind w:left="0"/>
        <w:spacing w:after="0"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十、专项与特约服务</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招标人与中标企业在物业管理公共服务委托合同中未约定，但根据实际需要和物管企业的能力，在不损害本馆利益的前提下经双方协商同意，物管企业可向第三人提供公共服务内容之外的专项服务。</w:t>
      </w:r>
      <w:r/>
    </w:p>
    <w:p>
      <w:pPr>
        <w:ind w:firstLine="482"/>
        <w:spacing w:line="500" w:lineRule="exac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专项与特约服务内容、标准、费用等由物业服务企业与相关方，本着自愿、公平、等价有偿、诚实信用的原则达成服务协议，可以作为物业管理公共服务合同的附件，也可以另行单独签订。</w:t>
      </w:r>
      <w:r/>
    </w:p>
    <w:p>
      <w:pPr>
        <w:pStyle w:val="1008"/>
        <w:ind w:left="0"/>
        <w:spacing w:after="0"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十一、配合业主活动等</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积极配合业主做好各种创建、迎查以及接待工作，积极参加文广旅、公安、消防和辖区街道、属地社区的有关活动。</w:t>
      </w:r>
      <w:r/>
    </w:p>
    <w:p>
      <w:pPr>
        <w:pStyle w:val="1008"/>
        <w:ind w:left="0"/>
        <w:spacing w:after="0" w:line="500" w:lineRule="exact"/>
        <w:rPr>
          <w:rFonts w:hint="eastAsia" w:ascii="宋体" w:hAnsi="宋体" w:cs="宋体"/>
          <w:b/>
          <w:bCs/>
          <w:color w:val="000000" w:themeColor="text1"/>
          <w:sz w:val="24"/>
          <w:highlight w:val="yellow"/>
          <w14:textFill>
            <w14:solidFill>
              <w14:schemeClr w14:val="tx1"/>
            </w14:solidFill>
          </w14:textFill>
        </w:rPr>
        <w:outlineLvl w:val="1"/>
      </w:pPr>
      <w:r>
        <w:rPr>
          <w:rFonts w:hint="eastAsia" w:ascii="宋体" w:hAnsi="宋体" w:cs="宋体"/>
          <w:b/>
          <w:bCs/>
          <w:color w:val="000000" w:themeColor="text1"/>
          <w:sz w:val="24"/>
          <w:highlight w:val="white"/>
          <w14:textFill>
            <w14:solidFill>
              <w14:schemeClr w14:val="tx1"/>
            </w14:solidFill>
          </w14:textFill>
        </w:rPr>
        <w:t xml:space="preserve">十二、项目管理服务方案</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投标人应根据采购需求和本项目实际，制订相应的服务方案，方案应至少包括以下内容：</w:t>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1.项目总体实施方案与策划</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1.1管理理念与目标：阐述针对本项目的服务理念。设定清晰的管理目标，至少包含以下内容：</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（1）安全目标：责任安全事故发生率为0；消防、安防设施完好率100%；全年安保巡查有效记录率100%。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（2）环境目标：卫生保洁综合考核得分不低于95分（以采购人考核细则为准）；垃圾分类准确率不低于95%。</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（3）设备目标：所管理的公用设施设备日常运行故障修复及时率100%；配合专业维保单位确保电梯、消防、配电等系统年检合格率100%。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（4）服务目标：重大活动后勤保障满意度不低于98%；有效投诉处理及时率100%。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1.2服务定位与重点难点把控：</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（1）服务定位：明确物业服务作为文化馆安全平稳运行基础保障、公共文化服务环境重要维护者、市民文化形象展示窗口的定位，提供专业化、标准化、人性化的全方位支持。</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（2）重点难点分析及应对：针对本项目特点，识别并制定重点、难点管理服务的具体把控措施，至少包含：</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①群众活动保障：针对文化馆群众性活动多、人流量不均衡的特点，制定分级活动保障预案，明确不同规模活动下的人员增配、岗位设置、流线管理、应急备勤等具体措施。</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②剧场（群星剧场）管理与服务：制定剧场专项管理方案，包括演出期间的秩序维护、设施设备运行保障（音响、灯光等）、观众引导、应急疏散等，确保演出活动顺利进行。</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③消防安全管理：针对馆内人群密集的特点，制定专项防火巡查、用电管理和应急预案，明确消防控制室24小时值守、微型消防站人员配置与响应要求。</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④建筑与设施设备维护：针对文化馆建筑（主楼、附属楼）的日常维护，制定专项巡查计划，重点关注屋面防水、水电线路、剧场舞台设备等，发现问题即时报告并按采购人要求采取防护措施。</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⑤信息安全管理：针对物业管理中涉及的预约系统、人员信息、监控数据等，建立完善的信息安全管理制度，采取技术和管理措施防止信息泄露。</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2.组织机构设置、人员配置及人员培训</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（1）项目组织架构图：提供清晰的驻场服务组织架构图，明确项目经理、各班组负责人（安保、保洁、工程、客服）的职责，确保职责无遗漏、衔接无死角。</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人员配置：严格按照采购需求，拟定配备员工人数。提供详细的《岗位人员配备清单》，确保无服务空档。未经采购人书面同意，项目经理及关键岗位人员（保安队长、消防监控员、高低压电工）不得更换。</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（3）培训体系与考核：</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①岗前培训：所有人员（含管理人员）100%经过岗前培训，培训内容涵盖场馆文化、保密制度、安全规程、服务礼仪、应急演练、剧场服务常识等，经采购人与中标人共同考核合格后方可上岗。</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②在岗培训：每季度至少开展1次全员岗位技能与安全复训，每年至少组织2次消防演练、2次突发事件综合演练，留存完整的培训记录、签到表、考核成绩与演练影像资料。</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③例会制度：项目经理至少每周召开1次全员班会；各班组每日进行岗前10分钟晨会，布置当日重点，通报前日问题。</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3.制度的建立方案</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建立健全管理制度：承诺在进场后15日内，建立一套完整、规范且报采购人审核认可的物业服务管理制度体系。制度体系至少包含：综合管理制度、岗位职责与操作规程、安全保卫制度、消防安全管理制度、保密管理制度、环境卫生管理制度、设施设备运行维护管理制度、会务服务标准、应急预案体系、考核与奖惩制度等。</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（2）制度更新机制：建立制度定期评审与更新机制，每年至少组织1次制度全面评审，根据实际运行情况和采购人要求及时修订完善，确保制度的适用性和有效性。</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4.拟采取的管理服务模式</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管理模式创新：针对盐城市文化馆作为国家一级文化馆、公共文化服务阵地的特点，提出科学合理、具有创新性的管理服务模式。明确“统一指挥、分区负责、网格管理、动态响应”的管理思路，实现全区域、全时段、全要素的精细化覆盖。</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区域职能划分：根据物业功能分区（剧场区、展厅区、办公区、广场区等），明确各区域的管理职责、服务标准、人员配置和作业流程。建立区域责任人制度，每个区域指定一名责任人，负责区域内所有物业服务事项的统筹协调和质量监督。</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关键岗位管理：对项目经理、保安队长、消防监控员、高低压电工等关键岗位，建立专项管理措施，包括岗位胜任力评估、AB角互补机制、绩效考核与激励、后备人才培养等，确保关键岗位人员稳定、履职到位。</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服务质量监控：建立“日检查、周通报、月考核”的服务质量监控机制。每日由各班组负责人进行自查，每周由项目经理组织联合检查并通报检查结果，每月配合采购人进行月度考核。建立服务质量问题台账，对发现的问题实行“发现—整改—复查—销号”闭环管理。</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5.安保管理</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（1）巡逻与值守：实行24小时巡逻制，重点区域（剧场、展厅、出入口）巡逻频次每日不少于8次。各出入口实行24小时值守，严格落实人员、车辆出入登记查验制度。</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秩序维护：做好门前“三包”区域管理，引导车辆有序停放。维护馆内参观、演出、活动秩序，制止不文明行为（如吸烟、大声喧哗、追逐打闹等）。闭馆后对全馆进行清场检查，确保无滞留人员、无安全隐患。</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消防管理：消防控制室实行24小时双人持证值班，值班记录规范完整，火灾自动报警系统报警信息处置率100%。微型消防站实行24小时备勤，建立常态化训练机制，确保“1分钟响应、3分钟到场”。按照要求定期组织开展消防及安防演练，留存完整记录备查。</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（4）技防管理：熟练掌握监控、门禁、报警等安防系统操作，密切监视重点区域，发现异常及时处置并上报。监控记录按规定保存，未经批准不得调取、泄露。</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（5）应急救援：保安队伍应具备现场应急救援能力，定期开展急救知识与技能培训，确保在遇到群众突发疾病或意外受伤时，能迅速、科学地进行先期救助，并同步联动医疗救援。</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6.客服会务及保洁服务管理</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（1）会务服务：</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①会前准备：普通会议准备工作不超过30分钟，重要会议提前60分钟完成会场布置。会议桌、椅、文具、茶水等按标准摆放整齐。</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②会中服务：会议期间每30分钟巡检1次，提供茶水服务不少于3次/小时；随时关注设备运行状态，保障音响、灯光、投影等正常使用。</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③会后清理：会后20分钟内完成清理复位，检查是否有遗留物品，关闭设备电源，锁好门窗，清理完成率100%。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（2）报刊收发及邮寄：</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①对邮件、包裹、挂号信等进行正确分理、安全检查和防疫卫生检查，及时分发至各处室，不丢缺、不错发，准确率100%。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②做好邮件发送登记，及时通知收件人领取；大件物品出入需向采购人报告并确认后放行，登记率100%。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（3）保洁服务：</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①日常保洁：展厅、走廊等公共区域每日循环保洁至少4次，卫生间每2小时清洁1次，高峰时段加密至每小时1次；办公区、会议室每日全面清洁1次。</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②周期性保洁：每月至少开展1次室内外全面清洁，包括外墙、屋顶、雨棚、排水沟、窨井等，彻底清除卫生死角。</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③垃圾清运：垃圾日产日清，分类准确率≥95%，收集点无异味、无满溢、无蚊蝇滋生。</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④质量巡查：建立保洁质量巡查机制，每日由保洁队长带队巡查至少2次，对发现问题即时整改，巡查记录完整。</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7.适合本项目的各种突发事件的处理预案</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（1）预案体系：制定覆盖全面的专项应急预案，至少包括：火灾事故应急预案、治安防暴应急预案、大客流拥挤踩踏应急预案、设施设备故障应急预案、自然灾害应对应急预案、公共卫生事件应急预案等内容。</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（2）应急组织与响应：明确以项目经理为核心的应急指挥小组及各级人员职责，建立快速信息报告与联动机制。确保突发事件发生时能迅速启动预案，人员到位、物资到位、处置到位。</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（3）演练与改进：每半年至少组织1次专项应急演练，全年覆盖所有预案类型。演练后进行评估总结，持续完善预案内容与处置流程。</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（4）应急物资管理：配备必要的应急器材与物资，建立清单或台账，并承诺每月检查维护，确保随时可用。</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（5）应急响应时效：确保紧急维修15分钟内到达现场，不间断维修直至修复。对其它突发事件，按预案要求迅速启动应急响应。</w:t>
      </w:r>
      <w:r>
        <w:rPr>
          <w:color w:val="000000" w:themeColor="text1"/>
          <w:highlight w:val="white"/>
        </w:rPr>
      </w:r>
      <w:r/>
    </w:p>
    <w:p>
      <w:pPr>
        <w:pStyle w:val="1008"/>
        <w:ind w:left="0" w:right="0" w:firstLine="482"/>
        <w:spacing w:after="0" w:line="500" w:lineRule="exact"/>
        <w:rPr>
          <w:rFonts w:hint="default" w:ascii="宋体" w:hAnsi="宋体" w:cs="宋体"/>
          <w:color w:val="000000" w:themeColor="text1"/>
          <w:sz w:val="24"/>
          <w:highlight w:val="white"/>
        </w:rPr>
      </w:pPr>
      <w:r>
        <w:rPr>
          <w:rFonts w:hint="eastAsia" w:ascii="宋体" w:hAnsi="宋体" w:cs="宋体"/>
          <w:b/>
          <w:bCs/>
          <w:color w:val="000000" w:themeColor="text1"/>
          <w:sz w:val="24"/>
          <w:highlight w:val="white"/>
          <w:lang w:val="en-US" w:eastAsia="zh-CN"/>
        </w:rPr>
        <w:t xml:space="preserve">8.档案管理方案</w:t>
      </w:r>
      <w:r>
        <w:rPr>
          <w:rFonts w:hint="eastAsia" w:ascii="宋体" w:hAnsi="宋体" w:cs="宋体"/>
          <w:color w:val="000000" w:themeColor="text1"/>
          <w:sz w:val="24"/>
          <w:highlight w:val="white"/>
          <w:lang w:val="en-US" w:eastAsia="zh-CN"/>
        </w:rPr>
        <w:t xml:space="preserve">，内容应至少包括：</w:t>
      </w:r>
      <w:r>
        <w:rPr>
          <w:color w:val="000000" w:themeColor="text1"/>
          <w:highlight w:val="white"/>
        </w:rPr>
      </w:r>
      <w:r/>
    </w:p>
    <w:p>
      <w:pPr>
        <w:pStyle w:val="1008"/>
        <w:ind w:left="0" w:right="0" w:firstLine="480"/>
        <w:spacing w:after="0" w:line="500" w:lineRule="exact"/>
        <w:tabs>
          <w:tab w:val="clear" w:pos="9000" w:leader="none"/>
        </w:tabs>
        <w:rPr>
          <w:rFonts w:hint="eastAsia" w:ascii="宋体" w:hAnsi="宋体" w:cs="宋体"/>
          <w:color w:val="ff0000"/>
          <w:sz w:val="24"/>
          <w:highlight w:val="cyan"/>
        </w:rPr>
      </w:pPr>
      <w:r>
        <w:rPr>
          <w:rFonts w:hint="eastAsia" w:ascii="宋体" w:hAnsi="宋体" w:cs="宋体"/>
          <w:color w:val="000000" w:themeColor="text1"/>
          <w:sz w:val="24"/>
          <w:highlight w:val="white"/>
        </w:rPr>
        <w:t xml:space="preserve">（1）档案管理制度与归档标准：建立物业档案信息化管理制度，明确所有服务过程记录、设备运行记录、安保巡更记录、保养维修记录、培训演练记录、考核记录等各类档案的归档范围、归档标准和归档时限，确保归档率100%。</w:t>
      </w:r>
      <w:r>
        <w:rPr>
          <w:rFonts w:hint="eastAsia" w:ascii="宋体" w:hAnsi="宋体" w:cs="宋体"/>
          <w:color w:val="000000" w:themeColor="text1"/>
          <w:sz w:val="24"/>
          <w:highlight w:val="white"/>
        </w:rPr>
        <w:br/>
        <w:t xml:space="preserve">    </w:t>
      </w:r>
      <w:r>
        <w:rPr>
          <w:rFonts w:hint="eastAsia" w:ascii="宋体" w:hAnsi="宋体" w:cs="宋体"/>
          <w:color w:val="000000" w:themeColor="text1"/>
          <w:sz w:val="24"/>
          <w:szCs w:val="24"/>
          <w:highlight w:val="white"/>
        </w:rPr>
        <w:t xml:space="preserve">（2）档案保管与信息化：配备专用档案存储设施，确保档案物理安全。建立重要档案电子化备份机制，定期对纸质档案进行电子化扫描、存储和备份，确保档案安全、检索便捷。</w:t>
      </w:r>
      <w:r>
        <w:rPr>
          <w:rFonts w:hint="eastAsia" w:ascii="宋体" w:hAnsi="宋体" w:cs="宋体"/>
          <w:color w:val="000000" w:themeColor="text1"/>
          <w:sz w:val="24"/>
          <w:szCs w:val="24"/>
          <w:highlight w:val="white"/>
        </w:rPr>
        <w:br/>
        <w:t xml:space="preserve">    </w:t>
      </w:r>
      <w:r>
        <w:rPr>
          <w:rFonts w:hint="eastAsia" w:ascii="宋体" w:hAnsi="宋体" w:cs="宋体"/>
          <w:color w:val="000000" w:themeColor="text1"/>
          <w:sz w:val="24"/>
          <w:szCs w:val="24"/>
          <w:highlight w:val="white"/>
        </w:rPr>
        <w:t xml:space="preserve">（3）档案移交与保密：严格遵守采购人的档案保密要求，未经许可不得外借或泄露。合同期满后，所有档案资料（含电子档案）在规定时间内完整、有序地移交采购人，并办理正式交接手续。</w:t>
      </w:r>
      <w:r/>
    </w:p>
    <w:p>
      <w:pPr>
        <w:pStyle w:val="1008"/>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9</w:t>
      </w:r>
      <w:r>
        <w:rPr>
          <w:rFonts w:hint="eastAsia" w:ascii="宋体" w:hAnsi="宋体" w:cs="宋体"/>
          <w:b/>
          <w:bCs/>
          <w:color w:val="000000" w:themeColor="text1"/>
          <w:sz w:val="24"/>
          <w14:textFill>
            <w14:solidFill>
              <w14:schemeClr w14:val="tx1"/>
            </w14:solidFill>
          </w14:textFill>
        </w:rPr>
        <w:t xml:space="preserve">.体系认证</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投标人需具备各种良好的管理体系，规范日常管理与服务流程，确保物业服务质量稳定，积极保障员工健康，提升工作环境，整合管理流程，减少重复工作，</w:t>
      </w:r>
      <w:r>
        <w:rPr>
          <w:rFonts w:hint="eastAsia" w:ascii="宋体" w:hAnsi="宋体" w:cs="宋体"/>
          <w:sz w:val="24"/>
        </w:rPr>
        <w:t xml:space="preserve">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 w:val="24"/>
        </w:rPr>
        <w:t xml:space="preserve">优先</w:t>
      </w:r>
      <w:r>
        <w:rPr>
          <w:rFonts w:hint="eastAsia" w:ascii="宋体" w:hAnsi="宋体" w:cs="宋体"/>
          <w:sz w:val="24"/>
        </w:rPr>
        <w:t xml:space="preserve">。</w:t>
      </w:r>
      <w:r/>
    </w:p>
    <w:p>
      <w:pPr>
        <w:pStyle w:val="1008"/>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14:textFill>
            <w14:solidFill>
              <w14:schemeClr w14:val="tx1"/>
            </w14:solidFill>
          </w14:textFill>
        </w:rPr>
        <w:t xml:space="preserve">.业绩</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sz w:val="24"/>
        </w:rPr>
        <w:t xml:space="preserve">投标人需要具备丰富的物业服务相关承接经验，确保本项目的顺利实施，投标人自2021年1月1日以来承接过类似党政机关、事业单位、企业单位物业管理服务项目(不含住宅工厂等)业绩的</w:t>
      </w:r>
      <w:r>
        <w:rPr>
          <w:rFonts w:hint="eastAsia" w:ascii="宋体" w:hAnsi="宋体" w:cs="宋体"/>
          <w:b/>
          <w:sz w:val="24"/>
        </w:rPr>
        <w:t xml:space="preserve">优先</w:t>
      </w:r>
      <w:r>
        <w:rPr>
          <w:rFonts w:hint="eastAsia" w:ascii="宋体" w:hAnsi="宋体" w:cs="宋体"/>
          <w:bCs/>
          <w:sz w:val="24"/>
        </w:rPr>
        <w:t xml:space="preserve">。</w:t>
      </w:r>
      <w:r/>
    </w:p>
    <w:p>
      <w:pPr>
        <w:pStyle w:val="1008"/>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b/>
          <w:bCs/>
          <w:color w:val="000000" w:themeColor="text1"/>
          <w:sz w:val="24"/>
          <w:lang w:val="en-US" w:eastAsia="zh-CN"/>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 综合实力</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为更好地体现企业的综合实力，投标人在物业管理方面自2021年1月1日以来（以相关证书或文件上注明的日期为准）获得过县、区及以上行政部门颁发的表彰或奖项的</w:t>
      </w:r>
      <w:r>
        <w:rPr>
          <w:rFonts w:hint="eastAsia" w:ascii="宋体" w:hAnsi="宋体" w:cs="宋体"/>
          <w:b/>
          <w:bCs/>
          <w:sz w:val="24"/>
        </w:rPr>
        <w:t xml:space="preserve">优先</w:t>
      </w:r>
      <w:r>
        <w:rPr>
          <w:rFonts w:hint="eastAsia" w:ascii="宋体" w:hAnsi="宋体" w:cs="宋体"/>
          <w:sz w:val="24"/>
        </w:rPr>
        <w:t xml:space="preserve">。</w:t>
      </w:r>
      <w:r/>
    </w:p>
    <w:p>
      <w:pPr>
        <w:pStyle w:val="1008"/>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 人员</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ascii="Segoe UI" w:hAnsi="Segoe UI" w:eastAsia="Segoe UI" w:cs="Segoe UI"/>
          <w:i w:val="0"/>
          <w:iCs w:val="0"/>
          <w:caps w:val="0"/>
          <w:color w:val="000000" w:themeColor="text1"/>
          <w:spacing w:val="0"/>
          <w:sz w:val="24"/>
          <w:szCs w:val="24"/>
          <w:highlight w:val="white"/>
          <w:shd w:val="clear" w:color="auto" w:fill="ffffff"/>
        </w:rPr>
        <w:t xml:space="preserve">本项目为盐城市文化馆物业管理服务，文化馆作为国家一级文化馆、公共文化服务的重要阵地，具有人流密集、群众活动频繁、剧场演出多样等特点，需高标准的安保、保洁、会务及设备维护服务。因此，投标人应为本项目配备具有丰富经验的物业服务团队。其中，项目经理需具备全面的管理能力，同时鉴于文化馆作为公共文化场所，安保工作至关重要，项目经理应具备高水平的安保管理能力。因此，拟派项目经理具有</w:t>
      </w:r>
      <w:r>
        <w:rPr>
          <w:rFonts w:hint="eastAsia" w:ascii="Segoe UI" w:hAnsi="Segoe UI" w:cs="Segoe UI"/>
          <w:i w:val="0"/>
          <w:iCs w:val="0"/>
          <w:caps w:val="0"/>
          <w:color w:val="000000" w:themeColor="text1"/>
          <w:spacing w:val="0"/>
          <w:sz w:val="24"/>
          <w:szCs w:val="24"/>
          <w:highlight w:val="white"/>
          <w:shd w:val="clear" w:color="auto" w:fill="ffffff"/>
          <w:lang w:eastAsia="zh-CN"/>
        </w:rPr>
        <w:t xml:space="preserve">大专</w:t>
      </w:r>
      <w:r>
        <w:rPr>
          <w:rFonts w:ascii="Segoe UI" w:hAnsi="Segoe UI" w:eastAsia="Segoe UI" w:cs="Segoe UI"/>
          <w:i w:val="0"/>
          <w:iCs w:val="0"/>
          <w:caps w:val="0"/>
          <w:color w:val="000000" w:themeColor="text1"/>
          <w:spacing w:val="0"/>
          <w:sz w:val="24"/>
          <w:szCs w:val="24"/>
          <w:highlight w:val="white"/>
          <w:shd w:val="clear" w:color="auto" w:fill="ffffff"/>
        </w:rPr>
        <w:t xml:space="preserve">及以上学历、保安职业技能等级高级（三级）及以上证书的</w:t>
      </w:r>
      <w:r>
        <w:rPr>
          <w:rStyle w:val="854"/>
          <w:rFonts w:hint="default" w:ascii="Segoe UI" w:hAnsi="Segoe UI" w:eastAsia="Segoe UI" w:cs="Segoe UI"/>
          <w:b/>
          <w:bCs/>
          <w:i w:val="0"/>
          <w:iCs w:val="0"/>
          <w:caps w:val="0"/>
          <w:color w:val="000000" w:themeColor="text1"/>
          <w:spacing w:val="0"/>
          <w:sz w:val="24"/>
          <w:szCs w:val="24"/>
          <w:highlight w:val="white"/>
          <w:shd w:val="clear" w:color="auto" w:fill="ffffff"/>
        </w:rPr>
        <w:t xml:space="preserve">优先</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；拟派设备维护人员需能熟练处理高低压电力设施及各类场馆设备（如剧场舞台设备、空调系统等），具备专业的电工技能、较强的技术理解能力</w:t>
      </w:r>
      <w:r>
        <w:rPr>
          <w:rFonts w:hint="eastAsia" w:ascii="Segoe UI" w:hAnsi="Segoe UI" w:cs="Segoe UI"/>
          <w:i w:val="0"/>
          <w:iCs w:val="0"/>
          <w:caps w:val="0"/>
          <w:color w:val="000000" w:themeColor="text1"/>
          <w:spacing w:val="0"/>
          <w:sz w:val="24"/>
          <w:szCs w:val="24"/>
          <w:highlight w:val="white"/>
          <w:shd w:val="clear" w:color="auto" w:fill="ffffff"/>
          <w:lang w:eastAsia="zh-CN"/>
        </w:rPr>
        <w:t xml:space="preserve">是</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保障场馆安全稳定运行的关键。因此，设备维护人员中具有大专及以上学历、电工职业技能等级证书（中级及以上）的</w:t>
      </w:r>
      <w:r>
        <w:rPr>
          <w:rStyle w:val="854"/>
          <w:rFonts w:hint="default" w:ascii="Segoe UI" w:hAnsi="Segoe UI" w:eastAsia="Segoe UI" w:cs="Segoe UI"/>
          <w:b/>
          <w:bCs/>
          <w:i w:val="0"/>
          <w:iCs w:val="0"/>
          <w:caps w:val="0"/>
          <w:color w:val="000000" w:themeColor="text1"/>
          <w:spacing w:val="0"/>
          <w:sz w:val="24"/>
          <w:szCs w:val="24"/>
          <w:highlight w:val="white"/>
          <w:shd w:val="clear" w:color="auto" w:fill="ffffff"/>
        </w:rPr>
        <w:t xml:space="preserve">优先</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；拟派保安人员需具备高级安保技能，能够有效应对各类突发事件，保障馆区安全稳定。因此，保安队伍中具有保安职业技能等级高级（三级）及以上证书的</w:t>
      </w:r>
      <w:r>
        <w:rPr>
          <w:rStyle w:val="854"/>
          <w:rFonts w:hint="default" w:ascii="Segoe UI" w:hAnsi="Segoe UI" w:eastAsia="Segoe UI" w:cs="Segoe UI"/>
          <w:b/>
          <w:bCs/>
          <w:i w:val="0"/>
          <w:iCs w:val="0"/>
          <w:caps w:val="0"/>
          <w:color w:val="000000" w:themeColor="text1"/>
          <w:spacing w:val="0"/>
          <w:sz w:val="24"/>
          <w:szCs w:val="24"/>
          <w:highlight w:val="white"/>
          <w:shd w:val="clear" w:color="auto" w:fill="ffffff"/>
        </w:rPr>
        <w:t xml:space="preserve">优先</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；同时，考虑到剧场演出、重大活动对灯光调试与应急照明的实际需求，拟派运行保障员中具有照明设备操作员</w:t>
      </w:r>
      <w:r>
        <w:rPr>
          <w:rFonts w:hint="eastAsia" w:ascii="Segoe UI" w:hAnsi="Segoe UI" w:cs="Segoe UI"/>
          <w:i w:val="0"/>
          <w:iCs w:val="0"/>
          <w:caps w:val="0"/>
          <w:color w:val="000000" w:themeColor="text1"/>
          <w:spacing w:val="0"/>
          <w:sz w:val="24"/>
          <w:szCs w:val="24"/>
          <w:highlight w:val="white"/>
          <w:shd w:val="clear" w:color="auto" w:fill="ffffff"/>
          <w:lang w:eastAsia="zh-CN"/>
        </w:rPr>
        <w:t xml:space="preserve">初级</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及以上证书</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的</w:t>
      </w:r>
      <w:r>
        <w:rPr>
          <w:rStyle w:val="854"/>
          <w:rFonts w:hint="default" w:ascii="Segoe UI" w:hAnsi="Segoe UI" w:eastAsia="Segoe UI" w:cs="Segoe UI"/>
          <w:b/>
          <w:bCs/>
          <w:i w:val="0"/>
          <w:iCs w:val="0"/>
          <w:caps w:val="0"/>
          <w:color w:val="000000" w:themeColor="text1"/>
          <w:spacing w:val="0"/>
          <w:sz w:val="24"/>
          <w:szCs w:val="24"/>
          <w:highlight w:val="white"/>
          <w:shd w:val="clear" w:color="auto" w:fill="ffffff"/>
        </w:rPr>
        <w:t xml:space="preserve">优先</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以上内容为对投标人综合能力的考察，投标时须按评分标准要求提供相关证明材料。中标后，中标人必须按岗位定员数量和素质要求配备人员，否则视为违约。</w:t>
      </w:r>
      <w:r/>
    </w:p>
    <w:p>
      <w:pPr>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十三、采购标的对应的中小企业划分标准所属行业一览表</w:t>
      </w:r>
      <w:r/>
    </w:p>
    <w:tbl>
      <w:tblPr>
        <w:tblStyle w:val="853"/>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251"/>
        <w:gridCol w:w="3817"/>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14:textFill>
                  <w14:solidFill>
                    <w14:schemeClr w14:val="tx1"/>
                  </w14:solidFill>
                </w14:textFill>
              </w:rPr>
              <w:t xml:space="preserve">盐城市文化馆物业管理服务项目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物业管理</w:t>
            </w:r>
            <w:r/>
          </w:p>
        </w:tc>
      </w:tr>
    </w:tbl>
    <w:p>
      <w:pP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br w:type="page" w:clear="all"/>
      </w:r>
      <w:r/>
    </w:p>
    <w:p>
      <w:pPr>
        <w:pStyle w:val="848"/>
        <w:ind w:firstLine="480"/>
        <w:jc w:val="center"/>
        <w:spacing w:beforeAutospacing="0" w:afterAutospacing="0" w:line="0" w:lineRule="atLeast"/>
        <w:rPr>
          <w:rFonts w:hint="eastAsia" w:asciiTheme="majorEastAsia" w:hAnsiTheme="majorEastAsia" w:eastAsiaTheme="majorEastAsia" w:cstheme="majorEastAsia"/>
          <w:sz w:val="44"/>
          <w:szCs w:val="44"/>
        </w:rPr>
        <w:outlineLvl w:val="0"/>
      </w:pPr>
      <w:r>
        <w:rPr>
          <w:rFonts w:hint="eastAsia" w:asciiTheme="majorEastAsia" w:hAnsiTheme="majorEastAsia" w:eastAsiaTheme="majorEastAsia" w:cstheme="majorEastAsia"/>
          <w:sz w:val="44"/>
          <w:szCs w:val="44"/>
        </w:rPr>
        <w:t xml:space="preserve">第五章  评标方法与评标标准</w:t>
      </w:r>
      <w:r/>
    </w:p>
    <w:p>
      <w:pPr>
        <w:ind w:firstLine="480"/>
        <w:jc w:val="left"/>
        <w:spacing w:line="560" w:lineRule="exact"/>
        <w:widowControl/>
        <w:rPr>
          <w:rFonts w:hint="eastAsia" w:ascii="宋体" w:hAnsi="宋体" w:cs="宋体"/>
          <w:b/>
          <w:bCs/>
          <w:color w:val="000000" w:themeColor="text1"/>
          <w:sz w:val="24"/>
          <w:szCs w:val="20"/>
          <w:lang w:val="zh-CN"/>
          <w14:textFill>
            <w14:solidFill>
              <w14:schemeClr w14:val="tx1"/>
            </w14:solidFill>
          </w14:textFill>
        </w:rPr>
      </w:pPr>
      <w:r>
        <w:rPr>
          <w:rFonts w:hint="eastAsia" w:ascii="宋体" w:hAnsi="宋体" w:cs="宋体"/>
          <w:b/>
          <w:bCs/>
          <w:color w:val="000000" w:themeColor="text1"/>
          <w:sz w:val="24"/>
          <w:szCs w:val="20"/>
          <w:lang w:val="zh-CN"/>
          <w14:textFill>
            <w14:solidFill>
              <w14:schemeClr w14:val="tx1"/>
            </w14:solidFill>
          </w14:textFill>
        </w:rPr>
        <w:t xml:space="preserve">一、定标原则</w:t>
      </w:r>
      <w:r/>
    </w:p>
    <w:p>
      <w:pPr>
        <w:ind w:firstLine="480"/>
        <w:jc w:val="left"/>
        <w:spacing w:line="560" w:lineRule="exact"/>
        <w:widowControl/>
        <w:rPr>
          <w:rFonts w:hint="eastAsia"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本项目采用</w:t>
      </w:r>
      <w:r>
        <w:rPr>
          <w:rFonts w:hint="eastAsia" w:ascii="宋体" w:hAnsi="宋体" w:cs="宋体"/>
          <w:color w:val="000000" w:themeColor="text1"/>
          <w:sz w:val="24"/>
          <w:szCs w:val="20"/>
          <w:u w:val="single"/>
          <w:lang w:val="zh-CN"/>
          <w14:textFill>
            <w14:solidFill>
              <w14:schemeClr w14:val="tx1"/>
            </w14:solidFill>
          </w14:textFill>
        </w:rPr>
        <w:t xml:space="preserve">综合评分</w:t>
      </w:r>
      <w:r>
        <w:rPr>
          <w:rFonts w:hint="eastAsia" w:ascii="宋体" w:hAnsi="宋体" w:cs="宋体"/>
          <w:color w:val="000000" w:themeColor="text1"/>
          <w:sz w:val="24"/>
          <w:szCs w:val="20"/>
          <w:lang w:val="zh-CN"/>
          <w14:textFill>
            <w14:solidFill>
              <w14:schemeClr w14:val="tx1"/>
            </w14:solidFill>
          </w14:textFill>
        </w:rPr>
        <w:t xml:space="preserve">法。</w:t>
      </w:r>
      <w:r>
        <w:rPr>
          <w:rFonts w:hint="eastAsia" w:ascii="宋体" w:hAnsi="宋体" w:cs="宋体"/>
          <w:color w:val="000000" w:themeColor="text1"/>
          <w:sz w:val="24"/>
          <w:szCs w:val="20"/>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1、小微型企业价格扣除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（2）供应商需按照采购文件的要求提供相应的《中小企业声明函》。</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2、残疾人福利单位价格扣除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（1）本项目对残疾人福利性单位视同小型、微型企业。</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3、监狱和戒毒企业价格扣除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（1）本项目对监狱和戒毒企业（简称监狱企业）视同小型、微型企业。</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14:textFill>
            <w14:solidFill>
              <w14:schemeClr w14:val="tx1"/>
            </w14:solidFill>
          </w14:textFill>
        </w:rPr>
        <w:outlineLvl w:val="1"/>
      </w:pPr>
      <w:r>
        <w:rPr>
          <w:rFonts w:hint="eastAsia" w:ascii="宋体" w:hAnsi="宋体" w:eastAsia="Arial" w:cs="宋体"/>
          <w:b/>
          <w:bCs/>
          <w:color w:val="000000" w:themeColor="text1"/>
          <w:sz w:val="24"/>
          <w:szCs w:val="20"/>
          <w14:textFill>
            <w14:solidFill>
              <w14:schemeClr w14:val="tx1"/>
            </w14:solidFill>
          </w14:textFill>
        </w:rPr>
        <w:t xml:space="preserve">二、评标方法与评标标准</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Arial" w:cs="宋体"/>
          <w:color w:val="000000" w:themeColor="text1"/>
          <w:sz w:val="24"/>
          <w:szCs w:val="20"/>
          <w14:textFill>
            <w14:solidFill>
              <w14:schemeClr w14:val="tx1"/>
            </w14:solidFill>
          </w14:textFill>
        </w:rPr>
        <w:t xml:space="preserve">本项目评分总分值为100分。</w:t>
      </w:r>
      <w:r/>
    </w:p>
    <w:tbl>
      <w:tblPr>
        <w:tblStyle w:val="819"/>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7060"/>
      </w:tblGrid>
      <w:tr>
        <w:trPr>
          <w:jc w:val="center"/>
          <w:trHeight w:val="454"/>
          <w:tblHeader/>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序号</w:t>
            </w:r>
            <w:r/>
          </w:p>
        </w:tc>
        <w:tc>
          <w:tcPr>
            <w:tcW w:w="964" w:type="dxa"/>
            <w:vAlign w:val="center"/>
            <w:textDirection w:val="lrTb"/>
            <w:noWrap w:val="false"/>
          </w:tcPr>
          <w:p>
            <w:pPr>
              <w:jc w:val="center"/>
              <w:spacing w:line="440" w:lineRule="exact"/>
              <w:rPr>
                <w:rFonts w:hint="eastAsia" w:ascii="宋体" w:hAnsi="宋体"/>
                <w:b/>
                <w:sz w:val="24"/>
              </w:rPr>
            </w:pPr>
            <w:r>
              <w:rPr>
                <w:rFonts w:ascii="宋体" w:hAnsi="宋体"/>
                <w:b/>
                <w:sz w:val="24"/>
              </w:rPr>
              <w:t xml:space="preserve">评</w:t>
            </w:r>
            <w:r>
              <w:rPr>
                <w:rFonts w:hint="eastAsia" w:ascii="宋体" w:hAnsi="宋体"/>
                <w:b/>
                <w:sz w:val="24"/>
              </w:rPr>
              <w:t xml:space="preserve">审</w:t>
            </w:r>
            <w:r/>
          </w:p>
          <w:p>
            <w:pPr>
              <w:jc w:val="center"/>
              <w:spacing w:line="440" w:lineRule="exact"/>
              <w:rPr>
                <w:rFonts w:hint="eastAsia" w:ascii="宋体" w:hAnsi="宋体"/>
                <w:b/>
                <w:sz w:val="24"/>
              </w:rPr>
            </w:pPr>
            <w:r>
              <w:rPr>
                <w:rFonts w:ascii="宋体" w:hAnsi="宋体"/>
                <w:b/>
                <w:sz w:val="24"/>
              </w:rPr>
              <w:t xml:space="preserve">因素</w:t>
            </w:r>
            <w:r/>
          </w:p>
        </w:tc>
        <w:tc>
          <w:tcPr>
            <w:tcW w:w="794"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满分</w:t>
            </w:r>
            <w:r>
              <w:rPr>
                <w:rFonts w:ascii="宋体" w:hAnsi="宋体"/>
                <w:b/>
                <w:sz w:val="24"/>
              </w:rPr>
              <w:t xml:space="preserve">分值</w:t>
            </w:r>
            <w:r/>
          </w:p>
        </w:tc>
        <w:tc>
          <w:tcPr>
            <w:tcW w:w="7060"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评分标准</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1</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投标</w:t>
            </w:r>
            <w:r/>
          </w:p>
          <w:p>
            <w:pPr>
              <w:jc w:val="center"/>
              <w:spacing w:line="440" w:lineRule="exact"/>
              <w:rPr>
                <w:rFonts w:hint="eastAsia" w:ascii="宋体" w:hAnsi="宋体"/>
                <w:bCs/>
                <w:sz w:val="24"/>
              </w:rPr>
            </w:pPr>
            <w:r>
              <w:rPr>
                <w:rFonts w:hint="eastAsia" w:ascii="宋体" w:hAnsi="宋体"/>
                <w:bCs/>
                <w:sz w:val="24"/>
              </w:rPr>
              <w:t xml:space="preserve">报价</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50分</w:t>
            </w:r>
            <w:r/>
          </w:p>
        </w:tc>
        <w:tc>
          <w:tcPr>
            <w:tcW w:w="7060" w:type="dxa"/>
            <w:vAlign w:val="center"/>
            <w:textDirection w:val="lrTb"/>
            <w:noWrap w:val="false"/>
          </w:tcPr>
          <w:p>
            <w:pPr>
              <w:ind w:firstLine="480"/>
              <w:spacing w:line="440" w:lineRule="exact"/>
              <w:rPr>
                <w:rFonts w:hint="eastAsia" w:ascii="宋体" w:hAnsi="宋体"/>
                <w:sz w:val="24"/>
              </w:rPr>
            </w:pPr>
            <w:r>
              <w:rPr>
                <w:rFonts w:hint="eastAsia" w:ascii="宋体" w:hAnsi="宋体"/>
                <w:sz w:val="24"/>
              </w:rPr>
              <w:t xml:space="preserve">投标报价分采用低价优先法计算，即满足招标文件要求且报价最低的投标人报价为评标基准价，</w:t>
            </w:r>
            <w:r>
              <w:rPr>
                <w:rFonts w:hint="eastAsia" w:ascii="宋体" w:hAnsi="宋体"/>
                <w:b/>
                <w:sz w:val="24"/>
              </w:rPr>
              <w:t xml:space="preserve">其报价分为满分50分</w:t>
            </w:r>
            <w:r>
              <w:rPr>
                <w:rFonts w:hint="eastAsia" w:ascii="宋体" w:hAnsi="宋体"/>
                <w:sz w:val="24"/>
              </w:rPr>
              <w:t xml:space="preserve">。</w:t>
            </w:r>
            <w:r/>
          </w:p>
          <w:p>
            <w:pPr>
              <w:ind w:firstLine="480"/>
              <w:spacing w:line="440" w:lineRule="exact"/>
              <w:rPr>
                <w:rFonts w:hint="eastAsia" w:ascii="宋体" w:hAnsi="宋体"/>
                <w:bCs/>
                <w:sz w:val="24"/>
              </w:rPr>
            </w:pPr>
            <w:r>
              <w:rPr>
                <w:rFonts w:hint="eastAsia" w:ascii="宋体" w:hAnsi="宋体"/>
                <w:sz w:val="24"/>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2</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服务</w:t>
            </w:r>
            <w:r/>
          </w:p>
          <w:p>
            <w:pPr>
              <w:jc w:val="center"/>
              <w:spacing w:line="440" w:lineRule="exact"/>
              <w:rPr>
                <w:rFonts w:hint="eastAsia" w:ascii="宋体" w:hAnsi="宋体"/>
                <w:bCs/>
                <w:sz w:val="24"/>
              </w:rPr>
            </w:pPr>
            <w:r>
              <w:rPr>
                <w:rFonts w:hint="eastAsia" w:ascii="宋体" w:hAnsi="宋体"/>
                <w:bCs/>
                <w:sz w:val="24"/>
              </w:rPr>
              <w:t xml:space="preserve">方案</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lang w:val="en-US" w:eastAsia="zh-CN"/>
              </w:rPr>
              <w:t xml:space="preserve">33</w:t>
            </w:r>
            <w:r>
              <w:rPr>
                <w:rFonts w:hint="eastAsia" w:ascii="宋体" w:hAnsi="宋体"/>
                <w:bCs/>
                <w:sz w:val="24"/>
              </w:rPr>
              <w:t xml:space="preserve">分</w:t>
            </w:r>
            <w:r/>
          </w:p>
        </w:tc>
        <w:tc>
          <w:tcPr>
            <w:tcW w:w="7060" w:type="dxa"/>
            <w:vAlign w:val="center"/>
            <w:textDirection w:val="lrTb"/>
            <w:noWrap w:val="false"/>
          </w:tcPr>
          <w:p>
            <w:pPr>
              <w:ind w:firstLine="480"/>
              <w:spacing w:line="460" w:lineRule="exact"/>
              <w:rPr>
                <w:rFonts w:hint="eastAsia" w:ascii="宋体" w:hAnsi="宋体" w:cs="宋体"/>
                <w:sz w:val="24"/>
                <w:szCs w:val="20"/>
              </w:rPr>
            </w:pPr>
            <w:r>
              <w:rPr>
                <w:rFonts w:hint="eastAsia" w:ascii="宋体" w:hAnsi="宋体" w:cs="宋体"/>
                <w:sz w:val="24"/>
                <w:szCs w:val="20"/>
              </w:rPr>
              <w:t xml:space="preserve">1、项目总体实施方案与策划（本项最高得5分）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投标人根据第四章第十二项第一条中“项目总体实施方案与策划”要求，方案至少包含：①管理理念与目标；②服务定位与重点难点把控等内容；优于项目需求得5分，满足项目需求得4分，不满足或不提供得0分。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2、组织机构设置、人员配置及人员培训（本项最高得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投标人根据第四章第十二项第二条中“组织机构设置、人员配置及人员培训”要求，方案至少包含：①项目组织架构图；②人员配置；③培训体系与考核等内容；优于项目需求得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3、制度的建立方案（本项最高得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投标人根据第四章第十二项第三条中“制度的建立方案”要求，方案至少包含：①建立健全管理制度；②制度更新机制；③制度宣贯与执行等内容；优于项目需求得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4、拟采取的管理服务模式（本项最高得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投标人根据第四章第十二项第四条中“拟采取的管理服务模式”要求，方案至少包含：①管理模式创新；②区域职能划分；③关键岗位管理；④服务质量监控等内容；优于项目需求得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5、安保管理（本项最高得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投标人根据第四章第十二项第五条中“安保管理”要求，方案至少包含：①巡逻与值守；②秩序维护；③消防管理；④技防管理；⑤</w:t>
            </w:r>
            <w:r>
              <w:rPr>
                <w:rFonts w:hint="eastAsia" w:ascii="宋体" w:hAnsi="宋体" w:cs="宋体"/>
                <w:sz w:val="24"/>
                <w:szCs w:val="20"/>
                <w:lang w:eastAsia="zh-CN"/>
              </w:rPr>
              <w:t xml:space="preserve">应急救援</w:t>
            </w:r>
            <w:r>
              <w:rPr>
                <w:rFonts w:hint="eastAsia" w:ascii="宋体" w:hAnsi="宋体" w:cs="宋体"/>
                <w:sz w:val="24"/>
                <w:szCs w:val="20"/>
              </w:rPr>
              <w:t xml:space="preserve">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6、客服会务及保洁服务管理（本项最高得4分）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投标人根据第四章第十二项第六条中“客服会务及保洁服务管理”要求，方案至少包含：①会务服务；②报刊收发及邮寄；③保洁服务等内容；优于项目需求得4分，满足项目需求得3分，不满足或不提供得0分。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7、适合本项目的各种突发事件的处理预案（本项最高得4分）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七条中“适合本项目的各种突发事件的处理预案”要求，方案至少包含：①预案体系；②应急组织与响应；③演练与改进；④应急物资管理；⑤应急响应时效等内容；优于项目需求得4分，满足项目需求得3分，不满足或不提供得0分。  </w:t>
            </w:r>
            <w:r/>
          </w:p>
          <w:p>
            <w:pPr>
              <w:ind w:firstLine="480"/>
              <w:spacing w:line="460" w:lineRule="exact"/>
              <w:rPr>
                <w:rFonts w:hint="eastAsia" w:ascii="宋体" w:hAnsi="宋体" w:cs="宋体"/>
                <w:sz w:val="24"/>
                <w:szCs w:val="20"/>
                <w:highlight w:val="cyan"/>
                <w:lang w:val="en-US" w:eastAsia="zh-CN"/>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hint="eastAsia" w:ascii="宋体" w:hAnsi="宋体" w:cs="宋体"/>
                <w:sz w:val="24"/>
                <w:szCs w:val="20"/>
                <w:highlight w:val="white"/>
              </w:rPr>
            </w:pPr>
            <w:r>
              <w:rPr>
                <w:rFonts w:hint="eastAsia" w:ascii="宋体" w:hAnsi="宋体" w:cs="宋体"/>
                <w:sz w:val="24"/>
                <w:szCs w:val="20"/>
                <w:highlight w:val="white"/>
                <w:lang w:val="en-US" w:eastAsia="zh-CN"/>
              </w:rPr>
              <w:t xml:space="preserve">8</w:t>
            </w:r>
            <w:r>
              <w:rPr>
                <w:rFonts w:hint="eastAsia" w:ascii="宋体" w:hAnsi="宋体" w:cs="宋体"/>
                <w:sz w:val="24"/>
                <w:szCs w:val="20"/>
                <w:highlight w:val="white"/>
              </w:rPr>
              <w:t xml:space="preserve">、</w:t>
            </w:r>
            <w:r>
              <w:rPr>
                <w:rFonts w:hint="eastAsia" w:ascii="宋体" w:hAnsi="宋体" w:cs="宋体"/>
                <w:sz w:val="24"/>
                <w:szCs w:val="20"/>
                <w:highlight w:val="white"/>
                <w:lang w:val="en-US" w:eastAsia="zh-CN"/>
              </w:rPr>
              <w:t xml:space="preserve">档案管理方案</w:t>
            </w:r>
            <w:r>
              <w:rPr>
                <w:rFonts w:hint="eastAsia" w:ascii="宋体" w:hAnsi="宋体" w:cs="宋体"/>
                <w:sz w:val="24"/>
                <w:szCs w:val="20"/>
                <w:highlight w:val="white"/>
              </w:rPr>
              <w:t xml:space="preserve">（本项最高得4分）</w:t>
            </w:r>
            <w:r>
              <w:rPr>
                <w:highlight w:val="white"/>
              </w:rPr>
            </w:r>
            <w:r/>
          </w:p>
          <w:p>
            <w:pPr>
              <w:ind w:firstLine="480"/>
              <w:spacing w:line="460" w:lineRule="exact"/>
              <w:rPr>
                <w:rFonts w:hint="eastAsia" w:ascii="宋体" w:hAnsi="宋体" w:eastAsia="宋体" w:cs="宋体"/>
                <w:sz w:val="24"/>
                <w:szCs w:val="20"/>
                <w:highlight w:val="cyan"/>
                <w:lang w:val="en-US" w:eastAsia="zh-CN"/>
              </w:rPr>
            </w:pPr>
            <w:r>
              <w:rPr>
                <w:rFonts w:hint="eastAsia" w:ascii="宋体" w:hAnsi="宋体" w:eastAsia="宋体" w:cs="宋体"/>
                <w:sz w:val="24"/>
                <w:szCs w:val="20"/>
                <w:highlight w:val="white"/>
                <w:lang w:val="en-US" w:eastAsia="zh-CN"/>
              </w:rPr>
              <w:t xml:space="preserve">投标人根据第四章第十二项第八条中“档案管理方案”要求，方案至少包含：①档案管理制度与归档标准；②档案保管与信息化；③档案移交与保密等内容；优于项目需求得</w:t>
            </w:r>
            <w:r>
              <w:rPr>
                <w:rFonts w:hint="eastAsia" w:ascii="宋体" w:hAnsi="宋体" w:cs="宋体"/>
                <w:sz w:val="24"/>
                <w:szCs w:val="20"/>
                <w:highlight w:val="white"/>
                <w:lang w:val="en-US" w:eastAsia="zh-CN"/>
              </w:rPr>
              <w:t xml:space="preserve">4</w:t>
            </w:r>
            <w:r>
              <w:rPr>
                <w:rFonts w:hint="eastAsia" w:ascii="宋体" w:hAnsi="宋体" w:eastAsia="宋体" w:cs="宋体"/>
                <w:sz w:val="24"/>
                <w:szCs w:val="20"/>
                <w:highlight w:val="white"/>
                <w:lang w:val="en-US" w:eastAsia="zh-CN"/>
              </w:rPr>
              <w:t xml:space="preserve">分，满足项目需求得</w:t>
            </w:r>
            <w:r>
              <w:rPr>
                <w:rFonts w:hint="eastAsia" w:ascii="宋体" w:hAnsi="宋体" w:cs="宋体"/>
                <w:sz w:val="24"/>
                <w:szCs w:val="20"/>
                <w:highlight w:val="white"/>
                <w:lang w:val="en-US" w:eastAsia="zh-CN"/>
              </w:rPr>
              <w:t xml:space="preserve">3</w:t>
            </w:r>
            <w:r>
              <w:rPr>
                <w:rFonts w:hint="eastAsia" w:ascii="宋体" w:hAnsi="宋体" w:eastAsia="宋体" w:cs="宋体"/>
                <w:sz w:val="24"/>
                <w:szCs w:val="20"/>
                <w:highlight w:val="white"/>
                <w:lang w:val="en-US" w:eastAsia="zh-CN"/>
              </w:rPr>
              <w:t xml:space="preserve">分，不满足或不提供得0分。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3</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企业  认证</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3分</w:t>
            </w:r>
            <w:r/>
          </w:p>
        </w:tc>
        <w:tc>
          <w:tcPr>
            <w:tcW w:w="7060" w:type="dxa"/>
            <w:vAlign w:val="center"/>
            <w:textDirection w:val="lrTb"/>
            <w:noWrap w:val="false"/>
          </w:tcPr>
          <w:p>
            <w:pPr>
              <w:ind w:firstLine="480"/>
              <w:spacing w:line="460" w:lineRule="exact"/>
              <w:rPr>
                <w:rFonts w:hint="eastAsia" w:ascii="宋体" w:hAnsi="宋体"/>
                <w:bCs/>
                <w:sz w:val="24"/>
              </w:rPr>
            </w:pPr>
            <w:r>
              <w:rPr>
                <w:rFonts w:hint="eastAsia" w:ascii="宋体" w:hAnsi="宋体"/>
                <w:bCs/>
                <w:sz w:val="24"/>
              </w:rPr>
              <w:t xml:space="preserve">投标人具有有效期内的质量管理体系认证证书、环境管理体系认证证书、职业健康安全管理体系认证证书的有一项得1分，最高得3分。</w:t>
            </w:r>
            <w:r/>
          </w:p>
          <w:p>
            <w:pPr>
              <w:ind w:firstLine="480"/>
              <w:spacing w:line="460" w:lineRule="exact"/>
              <w:rPr>
                <w:rFonts w:hint="eastAsia" w:ascii="宋体" w:hAnsi="宋体"/>
                <w:sz w:val="24"/>
              </w:rPr>
            </w:pPr>
            <w:r>
              <w:rPr>
                <w:rFonts w:hint="eastAsia" w:ascii="宋体" w:hAnsi="宋体"/>
                <w:bCs/>
                <w:sz w:val="24"/>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113"/>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4</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企业  业绩</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3分</w:t>
            </w:r>
            <w:r/>
          </w:p>
        </w:tc>
        <w:tc>
          <w:tcPr>
            <w:tcW w:w="7060" w:type="dxa"/>
            <w:vAlign w:val="center"/>
            <w:textDirection w:val="lrTb"/>
            <w:noWrap w:val="false"/>
          </w:tcPr>
          <w:p>
            <w:pPr>
              <w:ind w:firstLine="480"/>
              <w:spacing w:line="440" w:lineRule="exact"/>
              <w:rPr>
                <w:rFonts w:hint="eastAsia" w:ascii="宋体" w:hAnsi="宋体"/>
                <w:bCs/>
                <w:sz w:val="24"/>
              </w:rPr>
            </w:pPr>
            <w:r>
              <w:rPr>
                <w:rFonts w:hint="eastAsia" w:ascii="宋体" w:hAnsi="宋体"/>
                <w:bCs/>
                <w:sz w:val="24"/>
              </w:rPr>
              <w:t xml:space="preserve">投标人自2021年1月1日以来(以合同签订时间为准)承接过类似物业服务项目业绩的，每提供1个类似业绩得1分，本项最高得3分。</w:t>
            </w:r>
            <w:r/>
          </w:p>
          <w:p>
            <w:pPr>
              <w:ind w:firstLine="480"/>
              <w:spacing w:line="440" w:lineRule="exact"/>
              <w:rPr>
                <w:rFonts w:hint="eastAsia" w:ascii="宋体" w:hAnsi="宋体"/>
                <w:bCs/>
                <w:sz w:val="24"/>
              </w:rPr>
            </w:pPr>
            <w:r>
              <w:rPr>
                <w:rFonts w:hint="eastAsia" w:ascii="宋体" w:hAnsi="宋体"/>
                <w:bCs/>
                <w:sz w:val="24"/>
              </w:rPr>
              <w:t xml:space="preserve">注：类似业绩指:类似党政机关、事业单位、企业单位物业管理项目(不含住宅工厂等)。投标人须提供合同原件扫描件并加盖投标人公章，合同中必须包含服务内容、合同签订时间等信息，否则不计分。</w:t>
            </w:r>
            <w:r/>
          </w:p>
        </w:tc>
      </w:tr>
      <w:tr>
        <w:trPr>
          <w:jc w:val="center"/>
          <w:trHeight w:val="67"/>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5</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企业</w:t>
            </w:r>
            <w:r/>
          </w:p>
          <w:p>
            <w:pPr>
              <w:jc w:val="center"/>
              <w:spacing w:line="440" w:lineRule="exact"/>
              <w:rPr>
                <w:rFonts w:hint="eastAsia" w:ascii="宋体" w:hAnsi="宋体"/>
                <w:bCs/>
                <w:sz w:val="24"/>
              </w:rPr>
            </w:pPr>
            <w:r>
              <w:rPr>
                <w:rFonts w:hint="eastAsia" w:ascii="宋体" w:hAnsi="宋体"/>
                <w:bCs/>
                <w:sz w:val="24"/>
              </w:rPr>
              <w:t xml:space="preserve">表彰</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3分</w:t>
            </w:r>
            <w:r/>
          </w:p>
        </w:tc>
        <w:tc>
          <w:tcPr>
            <w:tcW w:w="7060" w:type="dxa"/>
            <w:vAlign w:val="center"/>
            <w:textDirection w:val="lrTb"/>
            <w:noWrap w:val="false"/>
          </w:tcPr>
          <w:p>
            <w:pPr>
              <w:ind w:firstLine="480"/>
              <w:spacing w:line="460" w:lineRule="exact"/>
              <w:rPr>
                <w:rFonts w:hint="eastAsia" w:ascii="宋体" w:hAnsi="宋体"/>
                <w:bCs/>
                <w:sz w:val="24"/>
              </w:rPr>
            </w:pPr>
            <w:r>
              <w:rPr>
                <w:rFonts w:hint="eastAsia" w:ascii="宋体" w:hAnsi="宋体"/>
                <w:bCs/>
                <w:sz w:val="24"/>
              </w:rPr>
              <w:t xml:space="preserve">投标人2021年1月1日以来（以文件或证书获得时间为准）获得县、区级行政部门表彰或奖项的每提供一个得0.5分，市级行政部门表彰或奖项的每提供一个得1分，省级及以上行政部门表彰或奖项的每提供一个得2分，本项最高得3分（同一年份的同一项目表彰或奖项按最高级别奖项计算，不重复得分，不包括各类协会表彰或奖项）。</w:t>
            </w:r>
            <w:r/>
          </w:p>
          <w:p>
            <w:pPr>
              <w:ind w:firstLine="480"/>
              <w:spacing w:line="460" w:lineRule="exact"/>
              <w:rPr>
                <w:rFonts w:hint="eastAsia" w:ascii="宋体" w:hAnsi="宋体"/>
                <w:bCs/>
                <w:sz w:val="24"/>
              </w:rPr>
            </w:pPr>
            <w:r>
              <w:rPr>
                <w:rFonts w:hint="eastAsia" w:ascii="宋体" w:hAnsi="宋体"/>
                <w:bCs/>
                <w:sz w:val="24"/>
              </w:rPr>
              <w:t xml:space="preserve">注：须提供由行政部门颁发的与物业管理相关的表彰或奖项证明材料扫描件并加盖投标人公章，不提供不得分。</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t xml:space="preserve">6</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t xml:space="preserve">拟派</w:t>
            </w:r>
            <w:r/>
          </w:p>
          <w:p>
            <w:pPr>
              <w:jc w:val="center"/>
              <w:spacing w:line="440" w:lineRule="exact"/>
              <w:rPr>
                <w:rFonts w:hint="eastAsia" w:ascii="宋体" w:hAnsi="宋体"/>
                <w:bCs/>
                <w:sz w:val="24"/>
              </w:rPr>
            </w:pPr>
            <w:r>
              <w:rPr>
                <w:rFonts w:hint="eastAsia" w:ascii="宋体" w:hAnsi="宋体"/>
                <w:bCs/>
                <w:sz w:val="24"/>
              </w:rPr>
              <w:t xml:space="preserve">人员</w:t>
            </w:r>
            <w:r/>
          </w:p>
          <w:p>
            <w:pPr>
              <w:jc w:val="center"/>
              <w:spacing w:line="440" w:lineRule="exact"/>
              <w:rPr>
                <w:rFonts w:hint="eastAsia" w:ascii="宋体" w:hAnsi="宋体"/>
                <w:bCs/>
                <w:sz w:val="24"/>
              </w:rPr>
            </w:pPr>
            <w:r>
              <w:rPr>
                <w:rFonts w:hint="eastAsia" w:ascii="宋体" w:hAnsi="宋体"/>
                <w:bCs/>
                <w:sz w:val="24"/>
              </w:rPr>
              <w:t xml:space="preserve">证书</w:t>
            </w:r>
            <w:r/>
          </w:p>
          <w:p>
            <w:pPr>
              <w:jc w:val="center"/>
              <w:spacing w:line="440" w:lineRule="exact"/>
              <w:rPr>
                <w:rFonts w:hint="eastAsia" w:ascii="宋体" w:hAnsi="宋体"/>
                <w:bCs/>
                <w:sz w:val="24"/>
              </w:rPr>
            </w:pPr>
            <w:r>
              <w:rPr>
                <w:rFonts w:hint="eastAsia" w:ascii="宋体" w:hAnsi="宋体"/>
                <w:bCs/>
                <w:sz w:val="24"/>
              </w:rPr>
              <w:t xml:space="preserve">情况</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lang w:val="en-US" w:eastAsia="zh-CN"/>
              </w:rPr>
              <w:t xml:space="preserve">8</w:t>
            </w:r>
            <w:r>
              <w:rPr>
                <w:rFonts w:hint="eastAsia" w:ascii="宋体" w:hAnsi="宋体"/>
                <w:bCs/>
                <w:sz w:val="24"/>
              </w:rPr>
              <w:t xml:space="preserve">分</w:t>
            </w:r>
            <w:r/>
          </w:p>
        </w:tc>
        <w:tc>
          <w:tcPr>
            <w:tcW w:w="7060" w:type="dxa"/>
            <w:vAlign w:val="center"/>
            <w:textDirection w:val="lrTb"/>
            <w:noWrap w:val="false"/>
          </w:tcPr>
          <w:p>
            <w:pPr>
              <w:ind w:firstLine="480"/>
              <w:spacing w:line="460" w:lineRule="exact"/>
              <w:rPr>
                <w:rFonts w:hint="eastAsia" w:ascii="宋体" w:hAnsi="宋体"/>
                <w:bCs/>
                <w:i w:val="0"/>
                <w:iCs w:val="0"/>
                <w:color w:val="000000" w:themeColor="text1"/>
                <w:sz w:val="24"/>
                <w:highlight w:val="white"/>
              </w:rPr>
            </w:pPr>
            <w:r>
              <w:rPr>
                <w:rFonts w:hint="eastAsia" w:ascii="宋体" w:hAnsi="宋体"/>
                <w:bCs/>
                <w:color w:val="000000" w:themeColor="text1"/>
                <w:sz w:val="24"/>
                <w:highlight w:val="white"/>
              </w:rPr>
              <w:t xml:space="preserve">1、拟派项目经理具有</w:t>
            </w:r>
            <w:r>
              <w:rPr>
                <w:rFonts w:hint="eastAsia" w:ascii="宋体" w:hAnsi="宋体"/>
                <w:bCs/>
                <w:color w:val="000000" w:themeColor="text1"/>
                <w:sz w:val="24"/>
                <w:highlight w:val="white"/>
                <w:lang w:eastAsia="zh-CN"/>
              </w:rPr>
              <w:t xml:space="preserve">大专</w:t>
            </w:r>
            <w:r>
              <w:rPr>
                <w:rFonts w:hint="eastAsia" w:ascii="宋体" w:hAnsi="宋体"/>
                <w:bCs/>
                <w:color w:val="000000" w:themeColor="text1"/>
                <w:sz w:val="24"/>
                <w:highlight w:val="white"/>
              </w:rPr>
              <w:t xml:space="preserve">学历的得0.5分，本科及以上学历的得1分，具有保安职业技能等级高级（三级）及以上证书（包括原依法取得仍在有效期内的相应等级证书）的得1分</w:t>
            </w:r>
            <w:r>
              <w:rPr>
                <w:rFonts w:hint="eastAsia" w:ascii="宋体" w:hAnsi="宋体"/>
                <w:bCs/>
                <w:i w:val="0"/>
                <w:iCs w:val="0"/>
                <w:color w:val="000000" w:themeColor="text1"/>
                <w:sz w:val="24"/>
                <w:highlight w:val="white"/>
              </w:rPr>
              <w:t xml:space="preserve">，本条最高得</w:t>
            </w:r>
            <w:r>
              <w:rPr>
                <w:rFonts w:hint="eastAsia" w:ascii="宋体" w:hAnsi="宋体"/>
                <w:bCs/>
                <w:i w:val="0"/>
                <w:iCs w:val="0"/>
                <w:color w:val="000000" w:themeColor="text1"/>
                <w:sz w:val="24"/>
                <w:highlight w:val="white"/>
                <w:lang w:val="en-US" w:eastAsia="zh-CN"/>
              </w:rPr>
              <w:t xml:space="preserve">2</w:t>
            </w:r>
            <w:r>
              <w:rPr>
                <w:rFonts w:hint="eastAsia" w:ascii="宋体" w:hAnsi="宋体"/>
                <w:bCs/>
                <w:i w:val="0"/>
                <w:iCs w:val="0"/>
                <w:color w:val="000000" w:themeColor="text1"/>
                <w:sz w:val="24"/>
                <w:highlight w:val="white"/>
              </w:rPr>
              <w:t xml:space="preserve">分。</w:t>
            </w:r>
            <w:r>
              <w:rPr>
                <w:color w:val="000000" w:themeColor="text1"/>
                <w:highlight w:val="white"/>
              </w:rPr>
            </w:r>
            <w:r/>
          </w:p>
          <w:p>
            <w:pPr>
              <w:ind w:firstLine="480"/>
              <w:spacing w:line="460" w:lineRule="exact"/>
              <w:rPr>
                <w:rFonts w:hint="eastAsia" w:ascii="宋体" w:hAnsi="宋体"/>
                <w:bCs/>
                <w:i w:val="0"/>
                <w:iCs w:val="0"/>
                <w:color w:val="000000" w:themeColor="text1"/>
                <w:sz w:val="24"/>
                <w:highlight w:val="white"/>
              </w:rPr>
            </w:pPr>
            <w:r>
              <w:rPr>
                <w:rFonts w:hint="eastAsia" w:ascii="宋体" w:hAnsi="宋体"/>
                <w:bCs/>
                <w:i w:val="0"/>
                <w:iCs w:val="0"/>
                <w:color w:val="000000" w:themeColor="text1"/>
                <w:sz w:val="24"/>
                <w:highlight w:val="white"/>
              </w:rPr>
              <w:t xml:space="preserve">2、拟派设备维护人员具有大专及以上学历得1分；具有电工职业技能等级证书的，其中：中级（四级）得0.5分，高级（三级）及以上得1分，以最高等级计分，不重复得分，本条最高得</w:t>
            </w:r>
            <w:r>
              <w:rPr>
                <w:rFonts w:hint="eastAsia" w:ascii="宋体" w:hAnsi="宋体"/>
                <w:bCs/>
                <w:i w:val="0"/>
                <w:iCs w:val="0"/>
                <w:color w:val="000000" w:themeColor="text1"/>
                <w:sz w:val="24"/>
                <w:highlight w:val="white"/>
                <w:lang w:val="en-US" w:eastAsia="zh-CN"/>
              </w:rPr>
              <w:t xml:space="preserve">2</w:t>
            </w:r>
            <w:r>
              <w:rPr>
                <w:rFonts w:hint="eastAsia" w:ascii="宋体" w:hAnsi="宋体"/>
                <w:bCs/>
                <w:i w:val="0"/>
                <w:iCs w:val="0"/>
                <w:color w:val="000000" w:themeColor="text1"/>
                <w:sz w:val="24"/>
                <w:highlight w:val="white"/>
              </w:rPr>
              <w:t xml:space="preserve">分。</w:t>
            </w:r>
            <w:r>
              <w:rPr>
                <w:color w:val="000000" w:themeColor="text1"/>
                <w:highlight w:val="white"/>
              </w:rPr>
            </w:r>
            <w:r/>
          </w:p>
          <w:p>
            <w:pPr>
              <w:ind w:firstLine="480"/>
              <w:spacing w:line="460" w:lineRule="exact"/>
              <w:rPr>
                <w:rFonts w:hint="eastAsia" w:ascii="宋体" w:hAnsi="宋体"/>
                <w:bCs/>
                <w:color w:val="auto"/>
                <w:sz w:val="24"/>
                <w:highlight w:val="white"/>
              </w:rPr>
            </w:pPr>
            <w:r>
              <w:rPr>
                <w:rFonts w:hint="eastAsia" w:ascii="宋体" w:hAnsi="宋体"/>
                <w:bCs/>
                <w:color w:val="auto"/>
                <w:sz w:val="24"/>
                <w:highlight w:val="none"/>
              </w:rPr>
              <w:t xml:space="preserve">3、拟派保安人员中具有保安职业技能等级高级（三级）及以上证书（包括原依法取得仍在有效期内的相应等级证书），每提供一个得1分，</w:t>
            </w:r>
            <w:r>
              <w:rPr>
                <w:rFonts w:hint="eastAsia" w:ascii="宋体" w:hAnsi="宋体"/>
                <w:bCs/>
                <w:i w:val="0"/>
                <w:iCs w:val="0"/>
                <w:color w:val="auto"/>
                <w:sz w:val="24"/>
                <w:highlight w:val="white"/>
              </w:rPr>
              <w:t xml:space="preserve">本条最高得</w:t>
            </w:r>
            <w:r>
              <w:rPr>
                <w:rFonts w:hint="eastAsia" w:ascii="宋体" w:hAnsi="宋体"/>
                <w:bCs/>
                <w:i w:val="0"/>
                <w:iCs w:val="0"/>
                <w:color w:val="auto"/>
                <w:sz w:val="24"/>
                <w:highlight w:val="white"/>
                <w:lang w:val="en-US" w:eastAsia="zh-CN"/>
              </w:rPr>
              <w:t xml:space="preserve">3</w:t>
            </w:r>
            <w:r>
              <w:rPr>
                <w:rFonts w:hint="eastAsia" w:ascii="宋体" w:hAnsi="宋体"/>
                <w:bCs/>
                <w:i w:val="0"/>
                <w:iCs w:val="0"/>
                <w:color w:val="auto"/>
                <w:sz w:val="24"/>
                <w:highlight w:val="white"/>
              </w:rPr>
              <w:t xml:space="preserve">分。</w:t>
            </w:r>
            <w:r>
              <w:rPr>
                <w:highlight w:val="whit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4、投标人拟派运行保障员中具有照明设备操作员初级证书的得0.5分，中级及以上证书的得1分，本条最高得1分。</w:t>
            </w:r>
            <w:r/>
          </w:p>
          <w:p>
            <w:pPr>
              <w:ind w:firstLine="480"/>
              <w:spacing w:line="460" w:lineRule="exact"/>
              <w:rPr>
                <w:rFonts w:hint="eastAsia" w:ascii="宋体" w:hAnsi="宋体"/>
                <w:bCs/>
                <w:sz w:val="24"/>
              </w:rPr>
            </w:pPr>
            <w:r>
              <w:rPr>
                <w:rFonts w:hint="eastAsia" w:ascii="宋体" w:hAnsi="宋体"/>
                <w:bCs/>
                <w:color w:val="auto"/>
                <w:sz w:val="24"/>
                <w:highlight w:val="none"/>
              </w:rPr>
              <w:t xml:space="preserve">注：投标时提供上述证书或相关证明材料的原件彩色扫描件，毕业证书须同时提供学信网查询截图，同时须提供以上人员在</w:t>
            </w:r>
            <w:r>
              <w:rPr>
                <w:rFonts w:hint="eastAsia" w:ascii="宋体" w:hAnsi="宋体"/>
                <w:bCs/>
                <w:color w:val="auto"/>
                <w:sz w:val="24"/>
                <w:highlight w:val="none"/>
                <w:lang w:eastAsia="zh-CN"/>
              </w:rPr>
              <w:t xml:space="preserve">采购公告上网</w:t>
            </w:r>
            <w:r>
              <w:rPr>
                <w:rFonts w:hint="eastAsia" w:ascii="宋体" w:hAnsi="宋体"/>
                <w:bCs/>
                <w:color w:val="auto"/>
                <w:sz w:val="24"/>
                <w:highlight w:val="none"/>
              </w:rPr>
              <w:t xml:space="preserve">之日前1个月在投标人单位缴纳社保的相关证明材料，不提供或提供不全的不得分，本项投标人提供的所有材料均须加盖投标人公章。</w:t>
            </w:r>
            <w:r/>
          </w:p>
        </w:tc>
      </w:tr>
    </w:tbl>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u w:val="single"/>
        </w:rPr>
        <w:t xml:space="preserve">120</w:t>
      </w:r>
      <w:r>
        <w:rPr>
          <w:rFonts w:hint="eastAsia"/>
          <w:b/>
          <w:bCs/>
          <w:i/>
          <w:iCs/>
          <w:sz w:val="24"/>
          <w:szCs w:val="20"/>
          <w:u w:val="single"/>
          <w:lang w:val="zh-CN"/>
        </w:rPr>
        <w:t xml:space="preserve">页，违反上述规定方案分得0分。</w:t>
      </w:r>
      <w:r/>
    </w:p>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p>
    <w:p>
      <w:pPr>
        <w:rPr>
          <w:rFonts w:hint="eastAsia" w:ascii="宋体" w:hAnsi="宋体" w:cs="宋体"/>
          <w:bCs/>
          <w:sz w:val="44"/>
        </w:rPr>
      </w:pPr>
      <w:r>
        <w:rPr>
          <w:rFonts w:hint="eastAsia" w:ascii="宋体" w:hAnsi="宋体" w:cs="宋体"/>
          <w:bCs/>
          <w:sz w:val="44"/>
        </w:rPr>
        <w:br w:type="page" w:clear="all"/>
      </w:r>
      <w:r/>
    </w:p>
    <w:p>
      <w:pPr>
        <w:pStyle w:val="951"/>
        <w:spacing w:line="360" w:lineRule="auto"/>
        <w:rPr>
          <w:rFonts w:hint="eastAsia" w:ascii="宋体" w:hAnsi="宋体" w:eastAsia="宋体" w:cs="宋体"/>
          <w:bCs/>
          <w:sz w:val="44"/>
        </w:rPr>
      </w:pPr>
      <w:r>
        <w:rPr>
          <w:rFonts w:hint="eastAsia" w:ascii="宋体" w:hAnsi="宋体" w:eastAsia="宋体" w:cs="宋体"/>
          <w:bCs/>
          <w:sz w:val="44"/>
        </w:rPr>
      </w:r>
      <w:r/>
    </w:p>
    <w:p>
      <w:pPr>
        <w:pStyle w:val="951"/>
        <w:spacing w:line="360" w:lineRule="auto"/>
        <w:rPr>
          <w:rFonts w:hint="eastAsia" w:ascii="黑体" w:hAnsi="黑体" w:eastAsia="黑体" w:cs="黑体"/>
          <w:sz w:val="44"/>
          <w:szCs w:val="44"/>
        </w:rPr>
      </w:pPr>
      <w:r>
        <w:rPr>
          <w:rFonts w:hint="eastAsia" w:ascii="黑体" w:hAnsi="黑体" w:eastAsia="黑体" w:cs="黑体"/>
          <w:bCs/>
          <w:sz w:val="44"/>
        </w:rPr>
        <w:t xml:space="preserve">第六章 投标文件格式</w:t>
      </w:r>
      <w:bookmarkEnd w:id="3"/>
      <w:r/>
      <w:r/>
    </w:p>
    <w:p>
      <w:pPr>
        <w:spacing w:line="360" w:lineRule="auto"/>
        <w:rPr>
          <w:rFonts w:hint="eastAsia" w:ascii="宋体" w:hAnsi="宋体" w:cs="宋体"/>
          <w:b/>
          <w:sz w:val="72"/>
        </w:rPr>
      </w:pPr>
      <w:r/>
      <w:bookmarkStart w:id="7" w:name="_Toc23368"/>
      <w:r/>
      <w:bookmarkEnd w:id="7"/>
      <w:r/>
      <w:r/>
    </w:p>
    <w:p>
      <w:pPr>
        <w:jc w:val="center"/>
        <w:widowControl/>
        <w:rPr>
          <w:rFonts w:hint="eastAsia" w:ascii="方正小标宋_GBK" w:eastAsia="方正小标宋_GBK" w:hAnsiTheme="minorEastAsia"/>
          <w:color w:val="000000" w:themeColor="text1"/>
          <w:sz w:val="84"/>
          <w:szCs w:val="84"/>
          <w14:textFill>
            <w14:solidFill>
              <w14:schemeClr w14:val="tx1"/>
            </w14:solidFill>
          </w14:textFill>
        </w:rPr>
      </w:pPr>
      <w:r>
        <w:rPr>
          <w:rFonts w:hint="eastAsia" w:ascii="方正小标宋_GBK" w:eastAsia="方正小标宋_GBK" w:hAnsiTheme="minorEastAsia"/>
          <w:color w:val="000000" w:themeColor="text1"/>
          <w:sz w:val="84"/>
          <w:szCs w:val="84"/>
          <w14:textFill>
            <w14:solidFill>
              <w14:schemeClr w14:val="tx1"/>
            </w14:solidFill>
          </w14:textFill>
        </w:rPr>
        <w:t xml:space="preserve">投 标 文 件</w:t>
      </w:r>
      <w:r/>
    </w:p>
    <w:p>
      <w:pPr>
        <w:pStyle w:val="1077"/>
        <w:ind w:firstLine="723"/>
        <w:jc w:val="both"/>
        <w:spacing w:beforeAutospacing="0" w:afterAutospacing="0" w:line="360" w:lineRule="auto"/>
        <w:rPr>
          <w:rFonts w:hint="eastAsia"/>
          <w:b/>
          <w:sz w:val="36"/>
          <w:szCs w:val="36"/>
        </w:rPr>
      </w:pPr>
      <w:r>
        <w:rPr>
          <w:rFonts w:hint="eastAsia"/>
          <w:b/>
          <w:sz w:val="36"/>
          <w:szCs w:val="36"/>
        </w:rPr>
      </w:r>
      <w:r/>
    </w:p>
    <w:p>
      <w:pPr>
        <w:pStyle w:val="1077"/>
        <w:ind w:firstLine="723"/>
        <w:jc w:val="both"/>
        <w:spacing w:beforeAutospacing="0" w:afterAutospacing="0" w:line="360" w:lineRule="auto"/>
        <w:rPr>
          <w:rFonts w:hint="eastAsia"/>
          <w:b/>
          <w:sz w:val="36"/>
          <w:szCs w:val="36"/>
        </w:rPr>
      </w:pPr>
      <w:r>
        <w:rPr>
          <w:rFonts w:hint="eastAsia"/>
          <w:b/>
          <w:sz w:val="36"/>
          <w:szCs w:val="36"/>
        </w:rPr>
      </w:r>
      <w:r/>
    </w:p>
    <w:p>
      <w:pPr>
        <w:pStyle w:val="1077"/>
        <w:ind w:firstLine="723"/>
        <w:jc w:val="both"/>
        <w:spacing w:beforeAutospacing="0" w:afterAutospacing="0" w:line="360" w:lineRule="auto"/>
        <w:rPr>
          <w:rFonts w:hint="eastAsia"/>
          <w:b/>
          <w:sz w:val="36"/>
          <w:szCs w:val="36"/>
        </w:rPr>
      </w:pPr>
      <w:r>
        <w:rPr>
          <w:rFonts w:hint="eastAsia"/>
          <w:b/>
          <w:sz w:val="36"/>
          <w:szCs w:val="36"/>
        </w:rPr>
      </w:r>
      <w:r/>
    </w:p>
    <w:p>
      <w:pPr>
        <w:pStyle w:val="1077"/>
        <w:ind w:firstLine="1446"/>
        <w:jc w:val="both"/>
        <w:spacing w:beforeAutospacing="0" w:afterAutospacing="0" w:line="500" w:lineRule="exact"/>
        <w:rPr>
          <w:rFonts w:hint="eastAsia"/>
        </w:rPr>
      </w:pPr>
      <w:r/>
      <w:bookmarkStart w:id="8" w:name="_Toc9337"/>
      <w:r>
        <w:rPr>
          <w:rFonts w:hint="eastAsia"/>
          <w:b/>
          <w:sz w:val="36"/>
          <w:szCs w:val="36"/>
        </w:rPr>
        <w:t xml:space="preserve">项 目 名 称：</w:t>
      </w:r>
      <w:r>
        <w:rPr>
          <w:rFonts w:hint="eastAsia"/>
          <w:b/>
          <w:sz w:val="36"/>
          <w:szCs w:val="36"/>
          <w:u w:val="single"/>
        </w:rPr>
        <w:t xml:space="preserve">              </w:t>
      </w:r>
      <w:bookmarkEnd w:id="8"/>
      <w:r/>
      <w:r/>
    </w:p>
    <w:p>
      <w:pPr>
        <w:pStyle w:val="1077"/>
        <w:ind w:firstLine="1446"/>
        <w:jc w:val="both"/>
        <w:spacing w:beforeAutospacing="0" w:afterAutospacing="0" w:line="500" w:lineRule="exact"/>
        <w:rPr>
          <w:rFonts w:hint="eastAsia"/>
          <w:b/>
          <w:sz w:val="36"/>
          <w:szCs w:val="36"/>
          <w:u w:val="single"/>
        </w:rPr>
      </w:pPr>
      <w:r/>
      <w:bookmarkStart w:id="9" w:name="_Toc24100"/>
      <w:r>
        <w:rPr>
          <w:rFonts w:hint="eastAsia"/>
          <w:b/>
          <w:sz w:val="36"/>
          <w:szCs w:val="36"/>
        </w:rPr>
        <w:t xml:space="preserve">项 目 编 号：</w:t>
      </w:r>
      <w:r>
        <w:rPr>
          <w:rFonts w:hint="eastAsia"/>
          <w:b/>
          <w:sz w:val="36"/>
          <w:szCs w:val="36"/>
          <w:u w:val="single"/>
        </w:rPr>
        <w:t xml:space="preserve">        </w:t>
      </w:r>
      <w:bookmarkEnd w:id="9"/>
      <w:r>
        <w:rPr>
          <w:rFonts w:hint="eastAsia"/>
          <w:b/>
          <w:sz w:val="36"/>
          <w:szCs w:val="36"/>
          <w:u w:val="single"/>
        </w:rPr>
        <w:t xml:space="preserve">        </w:t>
      </w:r>
      <w:r/>
    </w:p>
    <w:p>
      <w:pPr>
        <w:pStyle w:val="1077"/>
        <w:ind w:firstLine="1446"/>
        <w:jc w:val="both"/>
        <w:spacing w:beforeAutospacing="0" w:afterAutospacing="0" w:line="500" w:lineRule="exact"/>
        <w:rPr>
          <w:rFonts w:hint="eastAsia"/>
          <w:b/>
          <w:sz w:val="36"/>
          <w:szCs w:val="36"/>
          <w:u w:val="single"/>
        </w:rPr>
      </w:pPr>
      <w:r/>
      <w:bookmarkStart w:id="10" w:name="_Toc7579"/>
      <w:r>
        <w:rPr>
          <w:rFonts w:hint="eastAsia"/>
          <w:b/>
          <w:sz w:val="36"/>
          <w:szCs w:val="36"/>
        </w:rPr>
        <w:t xml:space="preserve">投标人名称 ：</w:t>
      </w:r>
      <w:r>
        <w:rPr>
          <w:rFonts w:hint="eastAsia"/>
          <w:b/>
          <w:sz w:val="36"/>
          <w:szCs w:val="36"/>
          <w:u w:val="single"/>
        </w:rPr>
        <w:t xml:space="preserve">（加盖CA电子公章）</w:t>
      </w:r>
      <w:bookmarkEnd w:id="10"/>
      <w:r>
        <w:rPr>
          <w:rFonts w:hint="eastAsia"/>
          <w:b/>
          <w:sz w:val="36"/>
          <w:szCs w:val="36"/>
          <w:u w:val="single"/>
        </w:rPr>
        <w:t xml:space="preserve"> </w:t>
      </w:r>
      <w:r/>
    </w:p>
    <w:p>
      <w:pPr>
        <w:pStyle w:val="1077"/>
        <w:ind w:firstLine="1446"/>
        <w:jc w:val="both"/>
        <w:spacing w:beforeAutospacing="0" w:afterAutospacing="0" w:line="500" w:lineRule="exact"/>
        <w:rPr>
          <w:rFonts w:hint="eastAsia"/>
        </w:rPr>
      </w:pPr>
      <w:r/>
      <w:bookmarkStart w:id="11" w:name="_Toc21823"/>
      <w:r>
        <w:rPr>
          <w:rFonts w:hint="eastAsia"/>
          <w:b/>
          <w:sz w:val="36"/>
          <w:szCs w:val="36"/>
        </w:rPr>
        <w:t xml:space="preserve">日    期 ：</w:t>
      </w:r>
      <w:r>
        <w:rPr>
          <w:rFonts w:hint="eastAsia"/>
          <w:b/>
          <w:sz w:val="36"/>
          <w:szCs w:val="36"/>
          <w:u w:val="single"/>
        </w:rPr>
        <w:t xml:space="preserve">                 </w:t>
      </w:r>
      <w:bookmarkEnd w:id="11"/>
      <w:r/>
      <w:r/>
    </w:p>
    <w:p>
      <w:pPr>
        <w:rPr>
          <w:rFonts w:hint="eastAsia" w:ascii="宋体" w:hAnsi="宋体" w:cs="宋体"/>
          <w:b/>
          <w:bCs/>
          <w:sz w:val="32"/>
          <w:szCs w:val="32"/>
        </w:rPr>
      </w:pPr>
      <w:r>
        <w:rPr>
          <w:rFonts w:hint="eastAsia" w:ascii="宋体" w:hAnsi="宋体" w:cs="宋体"/>
          <w:b/>
          <w:bCs/>
          <w:sz w:val="32"/>
          <w:szCs w:val="32"/>
        </w:rPr>
        <w:br w:type="page" w:clear="all"/>
      </w:r>
      <w:r/>
    </w:p>
    <w:p>
      <w:pPr>
        <w:pStyle w:val="1077"/>
        <w:jc w:val="center"/>
        <w:spacing w:beforeAutospacing="0" w:afterAutospacing="0" w:line="0" w:lineRule="atLeast"/>
        <w:rPr>
          <w:rFonts w:hint="eastAsia"/>
        </w:rPr>
      </w:pPr>
      <w:r>
        <w:rPr>
          <w:rFonts w:hint="eastAsia"/>
          <w:b/>
          <w:bCs/>
          <w:sz w:val="32"/>
          <w:szCs w:val="32"/>
        </w:rPr>
        <w:t xml:space="preserve">投标文件目录</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一、法人或者其他组织的营业执照等证明文件，自然人的身份证明</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二、2024年或2025年度的财务状况报告（至少提供资产负债表、利润表、现金流量表，投标人成立不满一年无需提供）</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三、具备履行合同所必需的设备和专业技术能力的书面声明</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eastAsiaTheme="minorEastAsia" w:cstheme="minorEastAsia"/>
          <w:color w:val="000000" w:themeColor="text1"/>
          <w:sz w:val="24"/>
          <w:highlight w:val="yellow"/>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七、特定资格要求的证明文件（如果本项目设置特定资格要求，则需要提供）</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八、法人授权书</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九、投标函</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十、中小企业声明函</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十一、残疾人福利性单位声明函</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十二、投标分项报价表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十三、技术要求响应及偏离表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十四、商务要求响应及偏离表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十五、开标一览表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十六、服务方案等</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十七、盐城市政府采购事前信用承诺书</w:t>
      </w:r>
      <w:r/>
    </w:p>
    <w:p>
      <w:pPr>
        <w:jc w:val="center"/>
        <w:spacing w:line="500" w:lineRule="exact"/>
        <w:widowControl/>
        <w:rPr>
          <w:rFonts w:hint="eastAsia"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hint="eastAsia"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二、2024年或2025年度的财务状况报告（成立不满一年无需提供）</w:t>
      </w:r>
      <w:r/>
    </w:p>
    <w:p>
      <w:pPr>
        <w:jc w:val="center"/>
        <w:spacing w:line="500" w:lineRule="exact"/>
        <w:tabs>
          <w:tab w:val="left" w:pos="1331" w:leader="none"/>
        </w:tabs>
        <w:rPr>
          <w:rFonts w:hint="eastAsia"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48"/>
        <w:ind w:firstLine="492"/>
        <w:jc w:val="center"/>
        <w:widowControl/>
        <w:rPr>
          <w:rFonts w:hint="eastAsia" w:ascii="宋体" w:hAnsi="宋体" w:cs="宋体"/>
        </w:rPr>
      </w:pPr>
      <w:r>
        <w:rPr>
          <w:rFonts w:hint="eastAsia" w:ascii="宋体" w:hAnsi="宋体" w:cs="宋体"/>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48"/>
        <w:ind w:firstLine="480"/>
        <w:jc w:val="both"/>
        <w:spacing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848"/>
        <w:ind w:firstLine="480"/>
        <w:jc w:val="both"/>
        <w:spacing w:afterAutospacing="0" w:line="380" w:lineRule="exact"/>
        <w:rPr>
          <w:rFonts w:hint="eastAsia"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48"/>
        <w:ind w:firstLine="480"/>
        <w:jc w:val="both"/>
        <w:spacing w:afterAutospacing="0" w:line="380" w:lineRule="exact"/>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48"/>
        <w:ind w:firstLine="492"/>
        <w:jc w:val="center"/>
        <w:widowControl/>
        <w:rPr>
          <w:rFonts w:hint="eastAsia" w:ascii="方正小标宋_GBK" w:hAnsi="宋体" w:eastAsia="方正小标宋_GBK" w:cs="宋体"/>
          <w:iCs/>
        </w:rPr>
      </w:pPr>
      <w:r>
        <w:rPr>
          <w:rFonts w:hint="eastAsia" w:ascii="方正小标宋_GBK" w:hAnsi="宋体" w:eastAsia="方正小标宋_GBK" w:cs="宋体"/>
          <w:iCs/>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48"/>
        <w:ind w:firstLine="480"/>
        <w:jc w:val="both"/>
        <w:spacing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pStyle w:val="848"/>
        <w:ind w:firstLine="492"/>
        <w:jc w:val="both"/>
        <w:widowControl/>
        <w:rPr>
          <w:rFonts w:hint="eastAsia" w:ascii="宋体" w:hAnsi="宋体" w:cs="宋体"/>
        </w:rPr>
      </w:pPr>
      <w:r>
        <w:rPr>
          <w:rFonts w:hint="eastAsia" w:ascii="宋体" w:hAnsi="宋体" w:cs="宋体"/>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48"/>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48"/>
        <w:ind w:firstLine="480"/>
        <w:jc w:val="both"/>
        <w:spacing w:line="56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48"/>
        <w:ind w:firstLine="492"/>
        <w:jc w:val="both"/>
        <w:spacing w:line="56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077"/>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48"/>
        <w:jc w:val="center"/>
        <w:widowControl/>
        <w:rPr>
          <w:rFonts w:hint="eastAsia"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77"/>
        <w:ind w:firstLine="482"/>
        <w:jc w:val="both"/>
        <w:spacing w:beforeAutospacing="0" w:afterAutospacing="0" w:line="500" w:lineRule="exact"/>
        <w:rPr>
          <w:rFonts w:hint="eastAsia"/>
        </w:rPr>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48"/>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848"/>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848"/>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ind w:left="4620" w:firstLine="480"/>
        <w:spacing w:line="520" w:lineRule="exact"/>
        <w:rPr>
          <w:rFonts w:hint="eastAsia" w:ascii="宋体" w:hAnsi="宋体" w:cs="宋体"/>
          <w:sz w:val="24"/>
        </w:rPr>
      </w:pPr>
      <w:r>
        <w:rPr>
          <w:rFonts w:hint="eastAsia" w:ascii="宋体" w:hAnsi="宋体" w:cs="宋体"/>
          <w:sz w:val="24"/>
        </w:rPr>
        <w:t xml:space="preserve">企业名称（加盖CA电子公章）：</w:t>
      </w:r>
      <w:r/>
    </w:p>
    <w:p>
      <w:pPr>
        <w:ind w:firstLine="7680"/>
        <w:spacing w:line="520" w:lineRule="exact"/>
        <w:rPr>
          <w:rFonts w:hint="eastAsia" w:ascii="宋体" w:hAnsi="宋体" w:cs="宋体"/>
          <w:sz w:val="24"/>
        </w:rPr>
      </w:pPr>
      <w:r>
        <w:rPr>
          <w:rFonts w:hint="eastAsia" w:ascii="宋体" w:hAnsi="宋体" w:cs="宋体"/>
          <w:sz w:val="24"/>
        </w:rPr>
        <w:t xml:space="preserve">日 期：</w:t>
      </w:r>
      <w:r/>
    </w:p>
    <w:p>
      <w:pPr>
        <w:jc w:val="left"/>
        <w:widowControl/>
        <w:rPr>
          <w:rFonts w:hint="eastAsia" w:asciiTheme="minorEastAsia" w:hAnsiTheme="minorEastAsia"/>
          <w:sz w:val="32"/>
          <w:szCs w:val="32"/>
        </w:rPr>
      </w:pPr>
      <w:r>
        <w:rPr>
          <w:rFonts w:asciiTheme="minorEastAsia" w:hAnsiTheme="minorEastAsia"/>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hint="eastAsia" w:ascii="宋体" w:hAnsi="宋体" w:cs="宋体"/>
          <w:sz w:val="24"/>
        </w:rPr>
      </w:pPr>
      <w:r>
        <w:rPr>
          <w:rFonts w:hint="eastAsia" w:ascii="宋体" w:hAnsi="宋体" w:cs="宋体"/>
          <w:sz w:val="24"/>
        </w:rPr>
        <w:t xml:space="preserve">如果本项目申请人的特定资格要求中要求提供的，必须提供。</w:t>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48"/>
        <w:ind w:firstLine="480"/>
        <w:jc w:val="both"/>
        <w:spacing w:line="56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eastAsia="zh-CN"/>
        </w:rPr>
        <w:t xml:space="preserve">JSZC-320900-JZCG-G2026-0020</w:t>
      </w:r>
      <w:r>
        <w:rPr>
          <w:rFonts w:hint="eastAsia" w:ascii="宋体" w:hAnsi="宋体" w:cs="宋体"/>
        </w:rPr>
        <w:t xml:space="preserve">号</w:t>
      </w:r>
      <w:r>
        <w:rPr>
          <w:rFonts w:hint="eastAsia" w:ascii="宋体" w:hAnsi="宋体" w:cs="宋体"/>
          <w:u w:val="single"/>
        </w:rPr>
        <w:t xml:space="preserve">盐城市文化馆物业管理服务项目</w:t>
      </w:r>
      <w:r>
        <w:rPr>
          <w:rFonts w:hint="eastAsia" w:ascii="宋体" w:hAnsi="宋体" w:cs="宋体"/>
        </w:rPr>
        <w:t xml:space="preserve">采购活动的合法代理人，以本单位名义全权处理一切与该项目采购有关的事务。</w:t>
      </w:r>
      <w:r/>
    </w:p>
    <w:p>
      <w:pPr>
        <w:pStyle w:val="1077"/>
        <w:ind w:firstLine="480"/>
        <w:jc w:val="both"/>
        <w:spacing w:beforeAutospacing="0" w:afterAutospacing="0" w:line="500" w:lineRule="exact"/>
        <w:tabs>
          <w:tab w:val="left" w:pos="360" w:leader="none"/>
        </w:tabs>
        <w:rPr>
          <w:rFonts w:hint="eastAsia"/>
        </w:rPr>
      </w:pPr>
      <w:r>
        <w:rPr>
          <w:rFonts w:hint="eastAsia"/>
        </w:rPr>
        <w:t xml:space="preserve">本授权书于______年____月____日起生效，特此声明。</w:t>
      </w:r>
      <w:r/>
    </w:p>
    <w:p>
      <w:pPr>
        <w:pStyle w:val="1077"/>
        <w:ind w:firstLine="480"/>
        <w:jc w:val="both"/>
        <w:spacing w:beforeAutospacing="0" w:afterAutospacing="0" w:line="500" w:lineRule="exact"/>
        <w:tabs>
          <w:tab w:val="left" w:pos="360" w:leader="none"/>
        </w:tabs>
        <w:rPr>
          <w:rFonts w:hint="eastAsia"/>
        </w:rPr>
      </w:pPr>
      <w:r>
        <w:rPr>
          <w:rFonts w:hint="eastAsia"/>
        </w:rPr>
        <w:t xml:space="preserve">被授权人身份证号码：</w:t>
      </w:r>
      <w:r>
        <w:rPr>
          <w:rFonts w:hint="eastAsia"/>
          <w:u w:val="single"/>
        </w:rPr>
        <w:t xml:space="preserve">                 </w:t>
      </w:r>
      <w:r/>
    </w:p>
    <w:p>
      <w:pPr>
        <w:pStyle w:val="1077"/>
        <w:ind w:firstLine="480"/>
        <w:jc w:val="both"/>
        <w:spacing w:beforeAutospacing="0" w:afterAutospacing="0" w:line="500" w:lineRule="exact"/>
        <w:tabs>
          <w:tab w:val="left" w:pos="360" w:leader="none"/>
        </w:tabs>
        <w:rPr>
          <w:rFonts w:hint="eastAsia"/>
        </w:rPr>
      </w:pPr>
      <w:r>
        <w:rPr>
          <w:rFonts w:hint="eastAsia"/>
        </w:rPr>
        <w:t xml:space="preserve">被授权人联系电话：</w:t>
      </w:r>
      <w:r>
        <w:rPr>
          <w:rFonts w:hint="eastAsia"/>
          <w:u w:val="single"/>
        </w:rPr>
        <w:t xml:space="preserve">         （手机）       </w:t>
      </w:r>
      <w:r/>
    </w:p>
    <w:p>
      <w:pPr>
        <w:pStyle w:val="1077"/>
        <w:ind w:firstLine="480"/>
        <w:jc w:val="both"/>
        <w:spacing w:beforeAutospacing="0" w:afterAutospacing="0" w:line="500" w:lineRule="exact"/>
        <w:tabs>
          <w:tab w:val="left" w:pos="360" w:leader="none"/>
        </w:tabs>
        <w:rPr>
          <w:rFonts w:hint="eastAsia"/>
        </w:rPr>
      </w:pPr>
      <w:r>
        <w:rPr>
          <w:rFonts w:hint="eastAsia"/>
        </w:rPr>
        <w:t xml:space="preserve">授权单位名称：</w:t>
      </w:r>
      <w:r>
        <w:rPr>
          <w:rFonts w:hint="eastAsia"/>
          <w:u w:val="single"/>
        </w:rPr>
        <w:t xml:space="preserve">      （加盖CA电子公章）      </w:t>
      </w:r>
      <w:r/>
    </w:p>
    <w:p>
      <w:pPr>
        <w:pStyle w:val="1077"/>
        <w:ind w:firstLine="480"/>
        <w:jc w:val="both"/>
        <w:spacing w:beforeAutospacing="0" w:afterAutospacing="0" w:line="500" w:lineRule="exact"/>
        <w:tabs>
          <w:tab w:val="left" w:pos="360" w:leader="none"/>
        </w:tabs>
        <w:rPr>
          <w:rFonts w:hint="eastAsia"/>
        </w:rPr>
      </w:pPr>
      <w:r>
        <w:rPr>
          <w:rFonts w:hint="eastAsia"/>
        </w:rPr>
        <w:t xml:space="preserve">单位地址：</w:t>
      </w:r>
      <w:r>
        <w:rPr>
          <w:rFonts w:hint="eastAsia"/>
          <w:u w:val="single"/>
        </w:rPr>
        <w:t xml:space="preserve">                               </w:t>
      </w:r>
      <w:r/>
    </w:p>
    <w:p>
      <w:pPr>
        <w:pStyle w:val="1077"/>
        <w:ind w:firstLine="480"/>
        <w:jc w:val="both"/>
        <w:spacing w:beforeAutospacing="0" w:afterAutospacing="0" w:line="500" w:lineRule="exact"/>
        <w:tabs>
          <w:tab w:val="left" w:pos="360" w:leader="none"/>
        </w:tabs>
        <w:rPr>
          <w:rFonts w:hint="eastAsia"/>
        </w:rPr>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hint="eastAsia"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JSZC-320900-JZCG-G2026-0020</w:t>
      </w:r>
      <w:r>
        <w:rPr>
          <w:rFonts w:hint="eastAsia" w:ascii="宋体" w:hAnsi="宋体" w:cs="宋体"/>
          <w:sz w:val="24"/>
        </w:rPr>
        <w:t xml:space="preserve">号招标文件，正式授权下述签字人</w:t>
      </w:r>
      <w:r/>
    </w:p>
    <w:p>
      <w:pPr>
        <w:jc w:val="left"/>
        <w:spacing w:line="52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hint="eastAsia"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hint="eastAsia"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hint="eastAsia"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hint="eastAsia"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hint="eastAsia" w:ascii="宋体" w:hAnsi="宋体" w:cs="宋体"/>
          <w:sz w:val="24"/>
        </w:rPr>
      </w:pPr>
      <w:r>
        <w:rPr>
          <w:rFonts w:hint="eastAsia" w:ascii="宋体" w:hAnsi="宋体" w:cs="宋体"/>
          <w:sz w:val="24"/>
        </w:rPr>
        <w:t xml:space="preserve">地        址：</w:t>
      </w:r>
      <w:r/>
    </w:p>
    <w:p>
      <w:pPr>
        <w:ind w:firstLine="480"/>
        <w:jc w:val="left"/>
        <w:spacing w:line="520" w:lineRule="exact"/>
        <w:rPr>
          <w:rFonts w:hint="eastAsia" w:ascii="宋体" w:hAnsi="宋体" w:cs="宋体"/>
          <w:sz w:val="24"/>
        </w:rPr>
      </w:pPr>
      <w:r>
        <w:rPr>
          <w:rFonts w:hint="eastAsia" w:ascii="宋体" w:hAnsi="宋体" w:cs="宋体"/>
          <w:sz w:val="24"/>
        </w:rPr>
        <w:t xml:space="preserve">邮        编：</w:t>
      </w:r>
      <w:r/>
    </w:p>
    <w:p>
      <w:pPr>
        <w:ind w:firstLine="480"/>
        <w:jc w:val="left"/>
        <w:spacing w:line="520" w:lineRule="exact"/>
        <w:rPr>
          <w:rFonts w:hint="eastAsia" w:ascii="宋体" w:hAnsi="宋体" w:cs="宋体"/>
          <w:sz w:val="24"/>
        </w:rPr>
      </w:pPr>
      <w:r>
        <w:rPr>
          <w:rFonts w:hint="eastAsia" w:ascii="宋体" w:hAnsi="宋体" w:cs="宋体"/>
          <w:sz w:val="24"/>
        </w:rPr>
        <w:t xml:space="preserve">电        话：</w:t>
      </w:r>
      <w:r/>
    </w:p>
    <w:p>
      <w:pPr>
        <w:ind w:firstLine="480"/>
        <w:jc w:val="left"/>
        <w:spacing w:line="520" w:lineRule="exact"/>
        <w:rPr>
          <w:rFonts w:hint="eastAsia" w:ascii="宋体" w:hAnsi="宋体" w:cs="宋体"/>
          <w:sz w:val="24"/>
        </w:rPr>
      </w:pPr>
      <w:r>
        <w:rPr>
          <w:rFonts w:hint="eastAsia" w:ascii="宋体" w:hAnsi="宋体" w:cs="宋体"/>
          <w:sz w:val="24"/>
        </w:rPr>
        <w:t xml:space="preserve">传        真：</w:t>
      </w:r>
      <w:r/>
    </w:p>
    <w:p>
      <w:pPr>
        <w:ind w:firstLine="480"/>
        <w:jc w:val="left"/>
        <w:spacing w:line="520" w:lineRule="exact"/>
        <w:rPr>
          <w:rFonts w:hint="eastAsia" w:ascii="宋体" w:hAnsi="宋体" w:cs="宋体"/>
          <w:sz w:val="24"/>
        </w:rPr>
      </w:pPr>
      <w:r>
        <w:rPr>
          <w:rFonts w:hint="eastAsia" w:ascii="宋体" w:hAnsi="宋体" w:cs="宋体"/>
          <w:sz w:val="24"/>
        </w:rPr>
        <w:t xml:space="preserve">投标人开户行：</w:t>
      </w:r>
      <w:r/>
    </w:p>
    <w:p>
      <w:pPr>
        <w:ind w:firstLine="480"/>
        <w:jc w:val="left"/>
        <w:spacing w:line="520" w:lineRule="exact"/>
        <w:rPr>
          <w:rFonts w:hint="eastAsia" w:ascii="宋体" w:hAnsi="宋体" w:cs="宋体"/>
          <w:sz w:val="24"/>
        </w:rPr>
      </w:pPr>
      <w:r>
        <w:rPr>
          <w:rFonts w:hint="eastAsia" w:ascii="宋体" w:hAnsi="宋体" w:cs="宋体"/>
          <w:sz w:val="24"/>
        </w:rPr>
        <w:t xml:space="preserve">账        号： </w:t>
      </w:r>
      <w:r/>
    </w:p>
    <w:p>
      <w:pPr>
        <w:ind w:firstLine="480"/>
        <w:jc w:val="left"/>
        <w:spacing w:line="520" w:lineRule="exact"/>
        <w:rPr>
          <w:rFonts w:hint="eastAsia" w:ascii="宋体" w:hAnsi="宋体" w:cs="宋体"/>
          <w:sz w:val="24"/>
        </w:rPr>
      </w:pPr>
      <w:r>
        <w:rPr>
          <w:rFonts w:hint="eastAsia" w:ascii="宋体" w:hAnsi="宋体" w:cs="宋体"/>
          <w:sz w:val="24"/>
        </w:rPr>
        <w:t xml:space="preserve">日        期：______年____月____日</w:t>
      </w:r>
      <w:r/>
    </w:p>
    <w:p>
      <w:pPr>
        <w:jc w:val="center"/>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bCs/>
          <w:iCs/>
          <w:sz w:val="32"/>
          <w:szCs w:val="32"/>
        </w:rPr>
      </w:pPr>
      <w:r>
        <w:rPr>
          <w:rFonts w:hint="eastAsia" w:ascii="宋体" w:hAnsi="宋体" w:cs="宋体"/>
          <w:bCs/>
          <w:iCs/>
          <w:sz w:val="32"/>
          <w:szCs w:val="32"/>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盐城市文化馆</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JSZC-320900-JZCG-G2026-0020</w:t>
      </w:r>
      <w:r>
        <w:rPr>
          <w:rFonts w:ascii="宋体" w:hAnsi="宋体" w:cs="宋体"/>
          <w:sz w:val="24"/>
        </w:rPr>
        <w:t xml:space="preserve">，</w:t>
      </w:r>
      <w:r>
        <w:rPr>
          <w:rFonts w:hint="eastAsia" w:ascii="宋体" w:hAnsi="宋体" w:cs="宋体"/>
          <w:sz w:val="24"/>
          <w:u w:val="single"/>
        </w:rPr>
        <w:t xml:space="preserve">盐城市文化馆物业管理服务项目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sz w:val="34"/>
          <w:szCs w:val="32"/>
          <w:u w:val="single"/>
        </w:rPr>
      </w:pPr>
      <w:r>
        <w:rPr>
          <w:rFonts w:eastAsia="方正小标宋_GBK"/>
          <w:bCs/>
          <w:sz w:val="32"/>
          <w:szCs w:val="32"/>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盐城市文化馆</w:t>
      </w:r>
      <w:r>
        <w:rPr>
          <w:rFonts w:hint="eastAsia" w:ascii="宋体" w:hAnsi="宋体" w:cs="宋体"/>
          <w:sz w:val="24"/>
        </w:rPr>
        <w:t xml:space="preserve">单位的采购文件编号为</w:t>
      </w:r>
      <w:r>
        <w:rPr>
          <w:rFonts w:hint="eastAsia" w:ascii="宋体" w:hAnsi="宋体" w:cs="宋体"/>
          <w:sz w:val="24"/>
          <w:szCs w:val="32"/>
          <w:u w:val="single"/>
          <w:lang w:eastAsia="zh-CN"/>
        </w:rPr>
        <w:t xml:space="preserve">JSZC-320900-JZCG-G2026-0020</w:t>
      </w:r>
      <w:r>
        <w:rPr>
          <w:rFonts w:hint="eastAsia" w:ascii="宋体" w:hAnsi="宋体" w:cs="宋体"/>
          <w:sz w:val="24"/>
        </w:rPr>
        <w:t xml:space="preserve">的</w:t>
      </w:r>
      <w:r>
        <w:rPr>
          <w:rFonts w:hint="eastAsia" w:ascii="宋体" w:hAnsi="宋体" w:cs="宋体"/>
          <w:sz w:val="24"/>
          <w:szCs w:val="20"/>
          <w:u w:val="single"/>
        </w:rPr>
        <w:t xml:space="preserve">盐城市文化馆物业管理服务项目</w:t>
      </w:r>
      <w:r>
        <w:rPr>
          <w:rFonts w:hint="eastAsia" w:ascii="宋体" w:hAnsi="宋体" w:cs="宋体"/>
          <w:sz w:val="24"/>
        </w:rPr>
        <w:t xml:space="preserve">采购活动由本单位提供服务。</w:t>
      </w:r>
      <w:r/>
    </w:p>
    <w:p>
      <w:pPr>
        <w:ind w:firstLine="480"/>
        <w:jc w:val="left"/>
        <w:spacing w:line="5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firstLine="480"/>
        <w:jc w:val="left"/>
        <w:spacing w:line="520" w:lineRule="exact"/>
        <w:rPr>
          <w:rFonts w:hint="eastAsia"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firstLine="480"/>
        <w:jc w:val="right"/>
        <w:spacing w:line="520" w:lineRule="exact"/>
        <w:rPr>
          <w:rFonts w:hint="eastAsia"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hint="eastAsia" w:ascii="宋体" w:hAnsi="宋体" w:cs="宋体"/>
          <w:sz w:val="24"/>
        </w:rPr>
      </w:pPr>
      <w:r>
        <w:rPr>
          <w:rFonts w:hint="eastAsia" w:ascii="宋体" w:hAnsi="宋体" w:cs="宋体"/>
          <w:sz w:val="24"/>
        </w:rPr>
        <w:t xml:space="preserve">日  期：</w:t>
      </w:r>
      <w:r/>
    </w:p>
    <w:p>
      <w:pPr>
        <w:rPr>
          <w:rFonts w:hint="eastAsia" w:ascii="宋体" w:hAnsi="宋体" w:cs="宋体"/>
          <w:sz w:val="24"/>
        </w:rPr>
      </w:pPr>
      <w:r>
        <w:rPr>
          <w:rFonts w:hint="eastAsia" w:ascii="宋体" w:hAnsi="宋体" w:cs="宋体"/>
          <w:sz w:val="24"/>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381"/>
      </w:tblGrid>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序号</w:t>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标的物名称</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人数</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单价（元/人/年）</w:t>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总价</w:t>
            </w:r>
            <w:r/>
          </w:p>
        </w:tc>
        <w:tc>
          <w:tcPr>
            <w:tcW w:w="238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1</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物业管理服务人员工资、社保、福利及国假加班等费用</w:t>
            </w:r>
            <w:r/>
          </w:p>
        </w:tc>
        <w:tc>
          <w:tcPr>
            <w:gridSpan w:val="3"/>
            <w:tcW w:w="30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（以下  项合计）</w:t>
            </w:r>
            <w:r/>
          </w:p>
        </w:tc>
        <w:tc>
          <w:tcPr>
            <w:tcW w:w="2381"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 </w:t>
            </w:r>
            <w:r/>
          </w:p>
        </w:tc>
      </w:tr>
      <w:tr>
        <w:trPr>
          <w:jc w:val="center"/>
          <w:trHeight w:val="811"/>
        </w:trPr>
        <w:tc>
          <w:tcPr>
            <w:tcW w:w="709" w:type="dxa"/>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项目负责人          （项目经理）</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1</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restart"/>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lang w:val="zh-CN"/>
              </w:rPr>
              <w:t xml:space="preserve">所有人员工资不低于盐城市最新公布的最低工资标准2</w:t>
            </w:r>
            <w:r>
              <w:rPr>
                <w:rFonts w:hint="eastAsia" w:ascii="宋体" w:hAnsi="宋体" w:cs="宋体"/>
                <w:szCs w:val="21"/>
              </w:rPr>
              <w:t xml:space="preserve">43</w:t>
            </w:r>
            <w:r>
              <w:rPr>
                <w:rFonts w:hint="eastAsia" w:ascii="宋体" w:hAnsi="宋体" w:cs="宋体"/>
                <w:szCs w:val="21"/>
                <w:lang w:val="zh-CN"/>
              </w:rPr>
              <w:t xml:space="preserve">0元/人</w:t>
            </w:r>
            <w:r>
              <w:rPr>
                <w:rFonts w:hint="eastAsia" w:ascii="宋体" w:hAnsi="宋体" w:cs="宋体"/>
                <w:szCs w:val="21"/>
              </w:rPr>
              <w:t xml:space="preserve">/</w:t>
            </w:r>
            <w:r>
              <w:rPr>
                <w:rFonts w:hint="eastAsia" w:ascii="宋体" w:hAnsi="宋体" w:cs="宋体"/>
                <w:szCs w:val="21"/>
                <w:lang w:val="zh-CN"/>
              </w:rPr>
              <w:t xml:space="preserve">月，所提供人员的费用不得低于上述标准进行测算，否则将视为未实质性响应招标文件要求。</w:t>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监控员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6</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设备管理维护人员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1</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会务、接待</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2</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保安员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9</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保洁员</w:t>
            </w:r>
            <w:r/>
          </w:p>
        </w:tc>
        <w:tc>
          <w:tcPr>
            <w:tcW w:w="1033" w:type="dxa"/>
            <w:vAlign w:val="center"/>
            <w:textDirection w:val="lrTb"/>
            <w:noWrap w:val="false"/>
          </w:tcPr>
          <w:p>
            <w:pPr>
              <w:jc w:val="center"/>
              <w:spacing w:line="400" w:lineRule="exact"/>
              <w:widowControl/>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运行保障员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1</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i w:val="0"/>
                <w:iCs w:val="0"/>
                <w:color w:val="000000" w:themeColor="text1"/>
                <w:sz w:val="24"/>
                <w:highlight w:val="white"/>
              </w:rPr>
            </w:pPr>
            <w:r>
              <w:rPr>
                <w:rFonts w:hint="eastAsia" w:ascii="宋体" w:hAnsi="宋体" w:cs="宋体"/>
                <w:i w:val="0"/>
                <w:iCs w:val="0"/>
                <w:color w:val="000000" w:themeColor="text1"/>
                <w:sz w:val="24"/>
                <w:highlight w:val="white"/>
              </w:rPr>
              <w:t xml:space="preserve">特殊岗位补贴</w:t>
            </w:r>
            <w:r>
              <w:rPr>
                <w:color w:val="000000" w:themeColor="text1"/>
              </w:rPr>
            </w:r>
            <w:r/>
          </w:p>
        </w:tc>
        <w:tc>
          <w:tcPr>
            <w:tcW w:w="1033" w:type="dxa"/>
            <w:vAlign w:val="center"/>
            <w:textDirection w:val="lrTb"/>
            <w:noWrap w:val="false"/>
          </w:tcPr>
          <w:p>
            <w:pPr>
              <w:jc w:val="center"/>
              <w:spacing w:line="400" w:lineRule="exact"/>
              <w:widowControl/>
              <w:rPr>
                <w:rFonts w:hint="eastAsia" w:ascii="宋体" w:hAnsi="宋体" w:cs="宋体"/>
                <w:i w:val="0"/>
                <w:iCs w:val="0"/>
                <w:color w:val="000000" w:themeColor="text1"/>
                <w:sz w:val="24"/>
                <w:highlight w:val="white"/>
              </w:rPr>
            </w:pPr>
            <w:r>
              <w:rPr>
                <w:rFonts w:hint="eastAsia" w:ascii="宋体" w:hAnsi="宋体" w:cs="宋体"/>
                <w:i w:val="0"/>
                <w:iCs w:val="0"/>
                <w:color w:val="000000" w:themeColor="text1"/>
                <w:sz w:val="24"/>
                <w:highlight w:val="white"/>
              </w:rPr>
              <w:t xml:space="preserve">6</w:t>
            </w:r>
            <w:r>
              <w:rPr>
                <w:color w:val="000000" w:themeColor="text1"/>
              </w:rPr>
            </w:r>
            <w:r/>
          </w:p>
        </w:tc>
        <w:tc>
          <w:tcPr>
            <w:tcW w:w="1167" w:type="dxa"/>
            <w:vAlign w:val="center"/>
            <w:textDirection w:val="lrTb"/>
            <w:noWrap w:val="false"/>
          </w:tcPr>
          <w:p>
            <w:pPr>
              <w:jc w:val="center"/>
              <w:spacing w:line="400" w:lineRule="exact"/>
              <w:widowControl/>
              <w:rPr>
                <w:rFonts w:hint="eastAsia" w:ascii="宋体" w:hAnsi="宋体" w:cs="宋体"/>
                <w:i w:val="0"/>
                <w:iCs w:val="0"/>
                <w:color w:val="000000" w:themeColor="text1"/>
                <w:sz w:val="24"/>
              </w:rPr>
            </w:pPr>
            <w:r>
              <w:rPr>
                <w:rFonts w:hint="eastAsia" w:ascii="宋体" w:hAnsi="宋体" w:cs="宋体"/>
                <w:i w:val="0"/>
                <w:iCs w:val="0"/>
                <w:color w:val="000000" w:themeColor="text1"/>
                <w:sz w:val="24"/>
              </w:rPr>
            </w:r>
            <w:r>
              <w:rPr>
                <w:color w:val="000000" w:themeColor="text1"/>
              </w:rPr>
            </w:r>
            <w:r/>
          </w:p>
        </w:tc>
        <w:tc>
          <w:tcPr>
            <w:tcW w:w="857" w:type="dxa"/>
            <w:vAlign w:val="center"/>
            <w:textDirection w:val="lrTb"/>
            <w:noWrap w:val="false"/>
          </w:tcPr>
          <w:p>
            <w:pPr>
              <w:jc w:val="center"/>
              <w:spacing w:line="400" w:lineRule="exact"/>
              <w:widowControl/>
              <w:rPr>
                <w:rFonts w:hint="eastAsia" w:ascii="宋体" w:hAnsi="宋体" w:cs="宋体"/>
                <w:i w:val="0"/>
                <w:iCs w:val="0"/>
                <w:color w:val="000000" w:themeColor="text1"/>
                <w:sz w:val="24"/>
              </w:rPr>
            </w:pPr>
            <w:r>
              <w:rPr>
                <w:rFonts w:hint="eastAsia" w:ascii="宋体" w:hAnsi="宋体" w:cs="宋体"/>
                <w:i w:val="0"/>
                <w:iCs w:val="0"/>
                <w:color w:val="000000" w:themeColor="text1"/>
                <w:sz w:val="24"/>
              </w:rPr>
            </w:r>
            <w:r>
              <w:rPr>
                <w:color w:val="000000" w:themeColor="text1"/>
              </w:rPr>
            </w:r>
            <w:r/>
          </w:p>
        </w:tc>
        <w:tc>
          <w:tcPr>
            <w:tcW w:w="2381" w:type="dxa"/>
            <w:vAlign w:val="center"/>
            <w:textDirection w:val="lrTb"/>
            <w:noWrap w:val="false"/>
          </w:tcPr>
          <w:p>
            <w:pPr>
              <w:jc w:val="center"/>
              <w:spacing w:line="320" w:lineRule="exact"/>
              <w:widowControl/>
              <w:rPr>
                <w:rFonts w:hint="eastAsia" w:ascii="宋体" w:hAnsi="宋体" w:cs="宋体"/>
                <w:i w:val="0"/>
                <w:iCs w:val="0"/>
                <w:color w:val="000000" w:themeColor="text1"/>
                <w:szCs w:val="21"/>
              </w:rPr>
            </w:pPr>
            <w:r>
              <w:rPr>
                <w:rFonts w:hint="eastAsia" w:ascii="宋体" w:hAnsi="宋体" w:cs="宋体"/>
                <w:i w:val="0"/>
                <w:iCs w:val="0"/>
                <w:color w:val="000000" w:themeColor="text1"/>
                <w:szCs w:val="21"/>
              </w:rPr>
              <w:t xml:space="preserve">本项目要求</w:t>
            </w:r>
            <w:r>
              <w:rPr>
                <w:rFonts w:hint="eastAsia" w:ascii="宋体" w:hAnsi="宋体" w:cs="宋体"/>
                <w:i w:val="0"/>
                <w:iCs w:val="0"/>
                <w:color w:val="000000" w:themeColor="text1"/>
                <w:szCs w:val="21"/>
                <w:lang w:eastAsia="zh-CN"/>
              </w:rPr>
              <w:t xml:space="preserve">监控员</w:t>
            </w:r>
            <w:r>
              <w:rPr>
                <w:rFonts w:hint="eastAsia" w:ascii="宋体" w:hAnsi="宋体" w:cs="宋体"/>
                <w:i w:val="0"/>
                <w:iCs w:val="0"/>
                <w:color w:val="000000" w:themeColor="text1"/>
                <w:szCs w:val="21"/>
              </w:rPr>
              <w:t xml:space="preserve">，每年105天执行，其中安排调休52天/人/年（上六休一），加班时间为52天/年，各投标人须按不低于11619.31元/人/年填报，否则作无效标书处理。</w:t>
            </w:r>
            <w:r>
              <w:rPr>
                <w:color w:val="000000" w:themeColor="text1"/>
              </w:rPr>
            </w:r>
            <w:r/>
          </w:p>
        </w:tc>
      </w:tr>
      <w:tr>
        <w:trPr>
          <w:jc w:val="center"/>
          <w:trHeight w:val="2340"/>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社会保险</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lang w:val="zh-CN"/>
              </w:rPr>
              <w:t xml:space="preserve">社保（企业部分）不得低于</w:t>
            </w:r>
            <w:r>
              <w:rPr>
                <w:rFonts w:hint="eastAsia" w:ascii="宋体" w:hAnsi="宋体" w:cs="宋体"/>
                <w:szCs w:val="21"/>
              </w:rPr>
              <w:t xml:space="preserve">1292.47</w:t>
            </w:r>
            <w:r>
              <w:rPr>
                <w:rFonts w:hint="eastAsia" w:ascii="宋体" w:hAnsi="宋体" w:cs="宋体"/>
                <w:szCs w:val="21"/>
                <w:lang w:val="zh-CN"/>
              </w:rPr>
              <w:t xml:space="preserve">元/人/月，</w:t>
            </w:r>
            <w:r>
              <w:rPr>
                <w:rFonts w:hint="eastAsia" w:ascii="宋体" w:hAnsi="宋体" w:cs="宋体"/>
                <w:szCs w:val="21"/>
              </w:rPr>
              <w:t xml:space="preserve">否则将视为未实质性响应招标文件要求。</w:t>
            </w:r>
            <w:r/>
          </w:p>
        </w:tc>
      </w:tr>
      <w:tr>
        <w:trPr>
          <w:jc w:val="center"/>
          <w:trHeight w:val="736"/>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国假加班费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lang w:val="zh-CN"/>
              </w:rPr>
              <w:t xml:space="preserve">每年国假加班天数为</w:t>
            </w:r>
            <w:r>
              <w:rPr>
                <w:rFonts w:hint="eastAsia" w:ascii="宋体" w:hAnsi="宋体" w:cs="宋体"/>
                <w:szCs w:val="21"/>
              </w:rPr>
              <w:t xml:space="preserve">13</w:t>
            </w:r>
            <w:r>
              <w:rPr>
                <w:rFonts w:hint="eastAsia" w:ascii="宋体" w:hAnsi="宋体" w:cs="宋体"/>
                <w:szCs w:val="21"/>
                <w:lang w:val="zh-CN"/>
              </w:rPr>
              <w:t xml:space="preserve">天，所有人员须按不低于</w:t>
            </w:r>
            <w:r>
              <w:rPr>
                <w:rFonts w:hint="eastAsia" w:ascii="宋体" w:hAnsi="宋体" w:cs="宋体"/>
                <w:szCs w:val="21"/>
              </w:rPr>
              <w:t xml:space="preserve">4357.25</w:t>
            </w:r>
            <w:r>
              <w:rPr>
                <w:rFonts w:hint="eastAsia" w:ascii="宋体" w:hAnsi="宋体" w:cs="宋体"/>
                <w:szCs w:val="21"/>
                <w:lang w:val="zh-CN"/>
              </w:rPr>
              <w:t xml:space="preserve">元/人</w:t>
            </w:r>
            <w:r>
              <w:rPr>
                <w:rFonts w:hint="eastAsia" w:ascii="宋体" w:hAnsi="宋体" w:cs="宋体"/>
                <w:szCs w:val="21"/>
              </w:rPr>
              <w:t xml:space="preserve">/</w:t>
            </w:r>
            <w:r>
              <w:rPr>
                <w:rFonts w:hint="eastAsia" w:ascii="宋体" w:hAnsi="宋体" w:cs="宋体"/>
                <w:szCs w:val="21"/>
                <w:lang w:val="zh-CN"/>
              </w:rPr>
              <w:t xml:space="preserve">年填报，否则作无效标书处理。</w:t>
            </w:r>
            <w:r/>
          </w:p>
        </w:tc>
      </w:tr>
      <w:tr>
        <w:trPr>
          <w:jc w:val="center"/>
          <w:trHeight w:val="1266"/>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公积金</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各投标人须按不低于</w:t>
            </w:r>
            <w:r>
              <w:rPr>
                <w:rFonts w:hint="eastAsia" w:ascii="宋体" w:hAnsi="宋体" w:cs="宋体"/>
                <w:szCs w:val="21"/>
                <w:lang w:eastAsia="zh-CN"/>
              </w:rPr>
              <w:t xml:space="preserve">122</w:t>
            </w:r>
            <w:r>
              <w:rPr>
                <w:rFonts w:hint="eastAsia" w:ascii="宋体" w:hAnsi="宋体" w:cs="宋体"/>
                <w:szCs w:val="21"/>
              </w:rPr>
              <w:t xml:space="preserve">元/人/月填报，否则作无效标书处理。</w:t>
            </w:r>
            <w:r/>
          </w:p>
        </w:tc>
      </w:tr>
      <w:tr>
        <w:trPr>
          <w:jc w:val="center"/>
          <w:trHeight w:val="1089"/>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福利费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2</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综合管理杂费</w:t>
            </w:r>
            <w:r/>
          </w:p>
        </w:tc>
        <w:tc>
          <w:tcPr>
            <w:gridSpan w:val="3"/>
            <w:tcW w:w="30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（以下  项合计）</w:t>
            </w:r>
            <w:r/>
          </w:p>
        </w:tc>
        <w:tc>
          <w:tcPr>
            <w:tcW w:w="2381" w:type="dxa"/>
            <w:vAlign w:val="center"/>
            <w:textDirection w:val="lrTb"/>
            <w:noWrap w:val="false"/>
          </w:tcPr>
          <w:p>
            <w:pPr>
              <w:jc w:val="left"/>
              <w:spacing w:line="400" w:lineRule="exact"/>
              <w:widowControl/>
              <w:rPr>
                <w:rFonts w:hint="eastAsia" w:ascii="宋体" w:hAnsi="宋体" w:cs="宋体"/>
                <w:b/>
                <w:szCs w:val="21"/>
              </w:rPr>
            </w:pPr>
            <w:r>
              <w:rPr>
                <w:rFonts w:hint="eastAsia" w:ascii="宋体" w:hAnsi="宋体" w:cs="宋体"/>
                <w:b/>
                <w:szCs w:val="21"/>
              </w:rPr>
            </w:r>
            <w:r/>
          </w:p>
        </w:tc>
      </w:tr>
      <w:tr>
        <w:trPr>
          <w:jc w:val="center"/>
          <w:trHeight w:val="838"/>
        </w:trPr>
        <w:tc>
          <w:tcPr>
            <w:tcW w:w="709" w:type="dxa"/>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lang w:val="zh-CN"/>
              </w:rPr>
              <w:t xml:space="preserve">夏季高温补助</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spacing w:line="3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spacing w:line="3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各投标人须按1200元/人/年填报，此项费用为不可竞争费，投标人不得更改，否则作无效标书处理。</w:t>
            </w:r>
            <w:r/>
          </w:p>
        </w:tc>
      </w:tr>
      <w:tr>
        <w:trPr>
          <w:jc w:val="center"/>
          <w:trHeight w:val="838"/>
        </w:trPr>
        <w:tc>
          <w:tcPr>
            <w:tcW w:w="709" w:type="dxa"/>
            <w:vAlign w:val="center"/>
            <w:vMerge w:val="continue"/>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服装费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jc w:val="center"/>
          <w:trHeight w:val="583"/>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培训费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Cs w:val="21"/>
              </w:rPr>
            </w:pPr>
            <w:r>
              <w:rPr>
                <w:rFonts w:hint="eastAsia" w:ascii="宋体" w:hAnsi="宋体" w:cs="宋体"/>
                <w:szCs w:val="21"/>
              </w:rPr>
            </w:r>
            <w:r/>
          </w:p>
        </w:tc>
      </w:tr>
      <w:tr>
        <w:trPr>
          <w:jc w:val="center"/>
          <w:trHeight w:val="583"/>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办公品消耗费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583"/>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体检费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3</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清洁卫生费</w:t>
            </w:r>
            <w:r/>
          </w:p>
        </w:tc>
        <w:tc>
          <w:tcPr>
            <w:gridSpan w:val="3"/>
            <w:tcW w:w="30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（以下  项合计）</w:t>
            </w:r>
            <w:r/>
          </w:p>
        </w:tc>
        <w:tc>
          <w:tcPr>
            <w:tcW w:w="2381" w:type="dxa"/>
            <w:vAlign w:val="center"/>
            <w:textDirection w:val="lrTb"/>
            <w:noWrap w:val="false"/>
          </w:tcPr>
          <w:p>
            <w:pPr>
              <w:jc w:val="left"/>
              <w:spacing w:line="400" w:lineRule="exact"/>
              <w:widowControl/>
              <w:rPr>
                <w:rFonts w:hint="eastAsia" w:ascii="宋体" w:hAnsi="宋体" w:cs="宋体"/>
                <w:b/>
                <w:sz w:val="24"/>
              </w:rPr>
            </w:pPr>
            <w:r>
              <w:rPr>
                <w:rFonts w:hint="eastAsia" w:ascii="宋体" w:hAnsi="宋体" w:cs="宋体"/>
                <w:b/>
                <w:sz w:val="24"/>
              </w:rPr>
            </w:r>
            <w:r/>
          </w:p>
        </w:tc>
      </w:tr>
      <w:tr>
        <w:trPr>
          <w:jc w:val="center"/>
          <w:trHeight w:val="583"/>
        </w:trPr>
        <w:tc>
          <w:tcPr>
            <w:tcW w:w="709" w:type="dxa"/>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资产费</w:t>
            </w:r>
            <w:r/>
          </w:p>
        </w:tc>
        <w:tc>
          <w:tcPr>
            <w:gridSpan w:val="2"/>
            <w:tcW w:w="220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1年</w:t>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681"/>
        </w:trPr>
        <w:tc>
          <w:tcPr>
            <w:tcW w:w="709" w:type="dxa"/>
            <w:vAlign w:val="center"/>
            <w:vMerge w:val="continue"/>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清洁设备、工具、材料费</w:t>
            </w:r>
            <w:r/>
          </w:p>
        </w:tc>
        <w:tc>
          <w:tcPr>
            <w:gridSpan w:val="2"/>
            <w:tcW w:w="220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1年</w:t>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4</w:t>
            </w:r>
            <w:r/>
          </w:p>
        </w:tc>
        <w:tc>
          <w:tcPr>
            <w:tcW w:w="2535"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不可预见费</w:t>
            </w:r>
            <w:r/>
          </w:p>
        </w:tc>
        <w:tc>
          <w:tcPr>
            <w:gridSpan w:val="2"/>
            <w:tcW w:w="220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1年</w:t>
            </w:r>
            <w:r/>
          </w:p>
        </w:tc>
        <w:tc>
          <w:tcPr>
            <w:tcW w:w="857" w:type="dxa"/>
            <w:vAlign w:val="center"/>
            <w:textDirection w:val="lrTb"/>
            <w:noWrap w:val="false"/>
          </w:tcPr>
          <w:p>
            <w:pPr>
              <w:jc w:val="left"/>
              <w:spacing w:line="400" w:lineRule="exact"/>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jc w:val="left"/>
              <w:spacing w:line="300" w:lineRule="exact"/>
              <w:rPr>
                <w:rFonts w:hint="eastAsia" w:ascii="宋体" w:hAnsi="宋体" w:cs="宋体"/>
                <w:b/>
                <w:szCs w:val="21"/>
              </w:rPr>
            </w:pPr>
            <w:r>
              <w:rPr>
                <w:rFonts w:hint="eastAsia" w:ascii="宋体" w:hAnsi="宋体" w:cs="宋体"/>
                <w:b/>
                <w:szCs w:val="21"/>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5</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酬金（管理费）</w:t>
            </w:r>
            <w:r/>
          </w:p>
        </w:tc>
        <w:tc>
          <w:tcPr>
            <w:gridSpan w:val="2"/>
            <w:tcW w:w="220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1年</w:t>
            </w:r>
            <w:r/>
          </w:p>
        </w:tc>
        <w:tc>
          <w:tcPr>
            <w:tcW w:w="857" w:type="dxa"/>
            <w:vAlign w:val="center"/>
            <w:textDirection w:val="lrTb"/>
            <w:noWrap w:val="false"/>
          </w:tcPr>
          <w:p>
            <w:pPr>
              <w:jc w:val="left"/>
              <w:spacing w:line="400" w:lineRule="exact"/>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r>
      <w:tr>
        <w:trPr>
          <w:jc w:val="center"/>
          <w:trHeight w:val="984"/>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6</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税金</w:t>
            </w:r>
            <w:r/>
          </w:p>
        </w:tc>
        <w:tc>
          <w:tcPr>
            <w:gridSpan w:val="2"/>
            <w:tcW w:w="2200"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1年</w:t>
            </w:r>
            <w:r/>
          </w:p>
        </w:tc>
        <w:tc>
          <w:tcPr>
            <w:tcW w:w="85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bCs/>
                <w:sz w:val="24"/>
                <w:lang w:val="zh-CN"/>
              </w:rPr>
              <w:t xml:space="preserve">6.72%</w:t>
            </w:r>
            <w:r/>
          </w:p>
        </w:tc>
        <w:tc>
          <w:tcPr>
            <w:tcW w:w="2381" w:type="dxa"/>
            <w:vAlign w:val="center"/>
            <w:textDirection w:val="lrTb"/>
            <w:noWrap w:val="false"/>
          </w:tcPr>
          <w:p>
            <w:pPr>
              <w:jc w:val="center"/>
              <w:spacing w:line="300" w:lineRule="exact"/>
              <w:widowControl/>
              <w:rPr>
                <w:rFonts w:hint="eastAsia" w:ascii="宋体" w:hAnsi="宋体" w:cs="宋体"/>
                <w:szCs w:val="21"/>
              </w:rPr>
            </w:pPr>
            <w:r>
              <w:rPr>
                <w:rStyle w:val="1033"/>
                <w:rFonts w:hint="default"/>
                <w:color w:val="auto"/>
                <w:sz w:val="20"/>
                <w:szCs w:val="20"/>
                <w:lang w:bidi="ar"/>
              </w:rPr>
              <w:t xml:space="preserve">1至5项合计的6.72%（各投标人填报的税率统一按照6.72%计算。）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sz w:val="24"/>
              </w:rPr>
              <w:t xml:space="preserve">一年费用合计</w:t>
            </w:r>
            <w:r/>
          </w:p>
        </w:tc>
        <w:tc>
          <w:tcPr>
            <w:tcW w:w="8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spacing w:line="300" w:lineRule="exact"/>
              <w:widowControl/>
              <w:rPr>
                <w:rFonts w:hint="eastAsia" w:ascii="宋体" w:hAnsi="宋体" w:cs="宋体"/>
                <w:sz w:val="24"/>
              </w:rPr>
            </w:pPr>
            <w:r>
              <w:rPr>
                <w:rStyle w:val="1033"/>
                <w:rFonts w:hint="default"/>
                <w:color w:val="auto"/>
                <w:sz w:val="20"/>
                <w:szCs w:val="20"/>
                <w:lang w:bidi="ar"/>
              </w:rPr>
              <w:t xml:space="preserve">计算式：（</w:t>
            </w:r>
            <w:r>
              <w:rPr>
                <w:rFonts w:hint="eastAsia" w:ascii="宋体" w:hAnsi="宋体" w:cs="宋体"/>
                <w:b/>
                <w:bCs/>
                <w:sz w:val="18"/>
                <w:szCs w:val="15"/>
                <w:lang w:val="zh-CN"/>
              </w:rPr>
              <w:t xml:space="preserve">1项+2项+…+</w:t>
            </w:r>
            <w:r>
              <w:rPr>
                <w:rFonts w:hint="eastAsia" w:ascii="宋体" w:hAnsi="宋体" w:cs="宋体"/>
                <w:b/>
                <w:bCs/>
                <w:sz w:val="18"/>
                <w:szCs w:val="15"/>
              </w:rPr>
              <w:t xml:space="preserve">6</w:t>
            </w:r>
            <w:r>
              <w:rPr>
                <w:rFonts w:hint="eastAsia" w:ascii="宋体" w:hAnsi="宋体" w:cs="宋体"/>
                <w:b/>
                <w:bCs/>
                <w:sz w:val="18"/>
                <w:szCs w:val="15"/>
                <w:lang w:val="zh-CN"/>
              </w:rPr>
              <w:t xml:space="preserve">项</w:t>
            </w:r>
            <w:r>
              <w:rPr>
                <w:rStyle w:val="1033"/>
                <w:rFonts w:hint="default"/>
                <w:color w:val="auto"/>
                <w:sz w:val="20"/>
                <w:szCs w:val="20"/>
                <w:lang w:bidi="ar"/>
              </w:rPr>
              <w:t xml:space="preserve">）</w:t>
            </w:r>
            <w:r/>
          </w:p>
        </w:tc>
      </w:tr>
      <w:tr>
        <w:trPr>
          <w:jc w:val="center"/>
          <w:trHeight w:val="593"/>
        </w:trPr>
        <w:tc>
          <w:tcPr>
            <w:gridSpan w:val="4"/>
            <w:tcW w:w="5444"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投标总报价 </w:t>
            </w:r>
            <w:r/>
          </w:p>
          <w:p>
            <w:pPr>
              <w:jc w:val="center"/>
              <w:spacing w:line="400" w:lineRule="exact"/>
              <w:widowControl/>
              <w:rPr>
                <w:rFonts w:hint="eastAsia" w:ascii="宋体" w:hAnsi="宋体" w:cs="宋体"/>
                <w:b/>
                <w:sz w:val="24"/>
              </w:rPr>
            </w:pPr>
            <w:r>
              <w:rPr>
                <w:rFonts w:hint="eastAsia" w:ascii="宋体" w:hAnsi="宋体" w:cs="宋体"/>
                <w:b/>
                <w:sz w:val="24"/>
              </w:rPr>
              <w:t xml:space="preserve">（两年费用）</w:t>
            </w:r>
            <w:r/>
          </w:p>
        </w:tc>
        <w:tc>
          <w:tcPr>
            <w:tcW w:w="8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spacing w:line="300" w:lineRule="exact"/>
              <w:widowControl/>
              <w:rPr>
                <w:rFonts w:hint="eastAsia" w:ascii="宋体" w:hAnsi="宋体" w:cs="宋体"/>
                <w:sz w:val="24"/>
              </w:rPr>
            </w:pPr>
            <w:r>
              <w:rPr>
                <w:rStyle w:val="1033"/>
                <w:rFonts w:hint="default"/>
                <w:color w:val="auto"/>
                <w:sz w:val="20"/>
                <w:szCs w:val="20"/>
                <w:lang w:val="zh-CN" w:bidi="ar"/>
              </w:rPr>
              <w:t xml:space="preserve">计算式：</w:t>
            </w:r>
            <w:r>
              <w:rPr>
                <w:rStyle w:val="1033"/>
                <w:rFonts w:hint="default"/>
                <w:color w:val="auto"/>
                <w:sz w:val="20"/>
                <w:szCs w:val="20"/>
                <w:lang w:bidi="ar"/>
              </w:rPr>
              <w:t xml:space="preserve">一年费用合计 * 2</w:t>
            </w:r>
            <w:r/>
          </w:p>
        </w:tc>
      </w:tr>
    </w:tbl>
    <w:p>
      <w:pPr>
        <w:ind w:firstLine="470"/>
        <w:spacing w:line="500" w:lineRule="exact"/>
        <w:rPr>
          <w:rFonts w:hint="eastAsia"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rPr>
          <w:rFonts w:hint="eastAsia" w:ascii="宋体" w:hAnsi="宋体" w:cs="宋体"/>
          <w:b/>
          <w:bCs/>
          <w:sz w:val="32"/>
          <w:szCs w:val="32"/>
        </w:rPr>
      </w:pPr>
      <w:r>
        <w:rPr>
          <w:rFonts w:hint="eastAsia" w:ascii="宋体" w:hAnsi="宋体" w:cs="宋体"/>
          <w:b/>
          <w:bCs/>
          <w:sz w:val="32"/>
          <w:szCs w:val="32"/>
        </w:rPr>
        <w:br w:type="page" w:clear="all"/>
      </w:r>
      <w:r/>
    </w:p>
    <w:p>
      <w:pPr>
        <w:pStyle w:val="1077"/>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p>
    <w:p>
      <w:pPr>
        <w:pStyle w:val="1077"/>
        <w:jc w:val="both"/>
        <w:spacing w:beforeAutospacing="0" w:afterAutospacing="0"/>
        <w:rPr>
          <w:rFonts w:hint="eastAsia"/>
          <w:bCs/>
          <w:i/>
          <w:sz w:val="13"/>
          <w:szCs w:val="13"/>
          <w:u w:val="single"/>
        </w:rPr>
      </w:pPr>
      <w:r>
        <w:rPr>
          <w:rFonts w:hint="eastAsia"/>
          <w:bCs/>
          <w:i/>
          <w:sz w:val="13"/>
          <w:szCs w:val="13"/>
          <w:u w:val="single"/>
        </w:rPr>
      </w:r>
      <w:r/>
    </w:p>
    <w:tbl>
      <w:tblPr>
        <w:tblStyle w:val="819"/>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7"/>
              <w:jc w:val="center"/>
              <w:spacing w:beforeAutospacing="0" w:afterAutospacing="0"/>
              <w:rPr>
                <w:rFonts w:hint="eastAsia"/>
              </w:rPr>
            </w:pPr>
            <w:r>
              <w:rPr>
                <w:rFonts w:hint="eastAsia"/>
              </w:rPr>
              <w:t xml:space="preserve">序号</w:t>
            </w:r>
            <w:r/>
          </w:p>
        </w:tc>
        <w:tc>
          <w:tcPr>
            <w:tcW w:w="2369" w:type="dxa"/>
            <w:vAlign w:val="center"/>
            <w:textDirection w:val="lrTb"/>
            <w:noWrap/>
          </w:tcPr>
          <w:p>
            <w:pPr>
              <w:pStyle w:val="1077"/>
              <w:jc w:val="center"/>
              <w:spacing w:beforeAutospacing="0" w:afterAutospacing="0"/>
              <w:rPr>
                <w:rFonts w:hint="eastAsia"/>
              </w:rPr>
            </w:pPr>
            <w:r>
              <w:rPr>
                <w:rFonts w:hint="eastAsia"/>
              </w:rPr>
              <w:t xml:space="preserve">招标文件要求</w:t>
            </w:r>
            <w:r/>
          </w:p>
        </w:tc>
        <w:tc>
          <w:tcPr>
            <w:tcW w:w="2240" w:type="dxa"/>
            <w:vAlign w:val="center"/>
            <w:textDirection w:val="lrTb"/>
            <w:noWrap/>
          </w:tcPr>
          <w:p>
            <w:pPr>
              <w:pStyle w:val="1077"/>
              <w:jc w:val="center"/>
              <w:spacing w:beforeAutospacing="0" w:afterAutospacing="0"/>
              <w:rPr>
                <w:rFonts w:hint="eastAsia"/>
              </w:rPr>
            </w:pPr>
            <w:r>
              <w:rPr>
                <w:rFonts w:hint="eastAsia"/>
              </w:rPr>
              <w:t xml:space="preserve">投标响应情况</w:t>
            </w:r>
            <w:r/>
          </w:p>
        </w:tc>
        <w:tc>
          <w:tcPr>
            <w:tcW w:w="1679" w:type="dxa"/>
            <w:vAlign w:val="center"/>
            <w:textDirection w:val="lrTb"/>
            <w:noWrap/>
          </w:tcPr>
          <w:p>
            <w:pPr>
              <w:pStyle w:val="1077"/>
              <w:jc w:val="center"/>
              <w:spacing w:beforeAutospacing="0" w:afterAutospacing="0"/>
              <w:rPr>
                <w:rFonts w:hint="eastAsia"/>
              </w:rPr>
            </w:pPr>
            <w:r>
              <w:rPr>
                <w:rFonts w:hint="eastAsia"/>
              </w:rPr>
              <w:t xml:space="preserve">超出、符合或偏离</w:t>
            </w:r>
            <w:r/>
          </w:p>
        </w:tc>
        <w:tc>
          <w:tcPr>
            <w:tcW w:w="1679" w:type="dxa"/>
            <w:vAlign w:val="center"/>
            <w:textDirection w:val="lrTb"/>
            <w:noWrap/>
          </w:tcPr>
          <w:p>
            <w:pPr>
              <w:pStyle w:val="1077"/>
              <w:jc w:val="center"/>
              <w:spacing w:beforeAutospacing="0" w:afterAutospacing="0"/>
              <w:rPr>
                <w:rFonts w:hint="eastAsia"/>
              </w:rPr>
            </w:pPr>
            <w:r>
              <w:rPr>
                <w:rFonts w:hint="eastAsia"/>
              </w:rPr>
              <w:t xml:space="preserve">证明</w:t>
            </w:r>
            <w:r/>
          </w:p>
          <w:p>
            <w:pPr>
              <w:pStyle w:val="1077"/>
              <w:jc w:val="center"/>
              <w:spacing w:beforeAutospacing="0" w:afterAutospacing="0"/>
              <w:rPr>
                <w:rFonts w:hint="eastAsia"/>
              </w:rPr>
            </w:pPr>
            <w:r>
              <w:rPr>
                <w:rFonts w:hint="eastAsia"/>
              </w:rPr>
              <w:t xml:space="preserve">材料</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9"/>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480"/>
              <w:jc w:val="center"/>
              <w:spacing w:beforeAutospacing="0" w:afterAutospacing="0"/>
              <w:rPr>
                <w:rFonts w:hint="eastAsia"/>
              </w:rPr>
            </w:pPr>
            <w:r>
              <w:rPr>
                <w:rFonts w:hint="eastAsia"/>
              </w:rPr>
              <w:t xml:space="preserve">……</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bl>
    <w:p>
      <w:pPr>
        <w:pStyle w:val="1077"/>
        <w:ind w:firstLine="480"/>
        <w:jc w:val="both"/>
        <w:spacing w:beforeAutospacing="0" w:afterAutospacing="0"/>
        <w:rPr>
          <w:rFonts w:hint="eastAsia"/>
        </w:rPr>
      </w:pPr>
      <w:r>
        <w:rPr>
          <w:rFonts w:hint="eastAsia"/>
        </w:rPr>
        <w:t xml:space="preserve">注：行数不够，可自行添加。</w:t>
      </w:r>
      <w:r/>
    </w:p>
    <w:p>
      <w:pPr>
        <w:pStyle w:val="1077"/>
        <w:jc w:val="center"/>
        <w:spacing w:beforeAutospacing="0" w:afterAutospacing="0" w:line="0" w:lineRule="atLeast"/>
        <w:rPr>
          <w:rFonts w:hint="eastAsia"/>
          <w:iCs/>
        </w:rPr>
      </w:pPr>
      <w:r>
        <w:rPr>
          <w:rFonts w:hint="eastAsia"/>
        </w:rPr>
        <w:br w:type="page" w:clear="all"/>
      </w:r>
      <w:r>
        <w:rPr>
          <w:rFonts w:hint="eastAsia" w:ascii="黑体" w:hAnsi="黑体" w:eastAsia="黑体" w:cs="黑体"/>
          <w:i/>
          <w:sz w:val="32"/>
          <w:szCs w:val="32"/>
          <w:u w:val="single"/>
        </w:rPr>
        <w:t xml:space="preserve">十四、商务要求响应及偏离表</w:t>
      </w:r>
      <w:r/>
    </w:p>
    <w:p>
      <w:pPr>
        <w:pStyle w:val="1077"/>
        <w:jc w:val="both"/>
        <w:spacing w:beforeAutospacing="0" w:afterAutospacing="0"/>
        <w:rPr>
          <w:rFonts w:hint="eastAsia"/>
          <w:bCs/>
          <w:i/>
          <w:sz w:val="13"/>
          <w:szCs w:val="13"/>
          <w:u w:val="single"/>
        </w:rPr>
      </w:pPr>
      <w:r>
        <w:rPr>
          <w:rFonts w:hint="eastAsia"/>
          <w:bCs/>
          <w:i/>
          <w:sz w:val="13"/>
          <w:szCs w:val="13"/>
          <w:u w:val="single"/>
        </w:rPr>
      </w:r>
      <w:r/>
    </w:p>
    <w:tbl>
      <w:tblPr>
        <w:tblStyle w:val="819"/>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7"/>
              <w:jc w:val="center"/>
              <w:spacing w:beforeAutospacing="0" w:afterAutospacing="0"/>
              <w:rPr>
                <w:rFonts w:hint="eastAsia"/>
              </w:rPr>
            </w:pPr>
            <w:r>
              <w:rPr>
                <w:rFonts w:hint="eastAsia"/>
              </w:rPr>
              <w:t xml:space="preserve">序号</w:t>
            </w:r>
            <w:r/>
          </w:p>
        </w:tc>
        <w:tc>
          <w:tcPr>
            <w:tcW w:w="2011" w:type="dxa"/>
            <w:vAlign w:val="center"/>
            <w:textDirection w:val="lrTb"/>
            <w:noWrap/>
          </w:tcPr>
          <w:p>
            <w:pPr>
              <w:pStyle w:val="1077"/>
              <w:jc w:val="center"/>
              <w:spacing w:beforeAutospacing="0" w:afterAutospacing="0"/>
              <w:rPr>
                <w:rFonts w:hint="eastAsia"/>
              </w:rPr>
            </w:pPr>
            <w:r>
              <w:rPr>
                <w:rFonts w:hint="eastAsia"/>
              </w:rPr>
              <w:t xml:space="preserve">招标文件要求</w:t>
            </w:r>
            <w:r/>
          </w:p>
        </w:tc>
        <w:tc>
          <w:tcPr>
            <w:tcW w:w="2304" w:type="dxa"/>
            <w:vAlign w:val="center"/>
            <w:textDirection w:val="lrTb"/>
            <w:noWrap/>
          </w:tcPr>
          <w:p>
            <w:pPr>
              <w:pStyle w:val="1077"/>
              <w:jc w:val="center"/>
              <w:spacing w:beforeAutospacing="0" w:afterAutospacing="0"/>
              <w:rPr>
                <w:rFonts w:hint="eastAsia"/>
              </w:rPr>
            </w:pPr>
            <w:r>
              <w:rPr>
                <w:rFonts w:hint="eastAsia"/>
              </w:rPr>
              <w:t xml:space="preserve">投标响应情况</w:t>
            </w:r>
            <w:r/>
          </w:p>
        </w:tc>
        <w:tc>
          <w:tcPr>
            <w:tcW w:w="1872" w:type="dxa"/>
            <w:vAlign w:val="center"/>
            <w:textDirection w:val="lrTb"/>
            <w:noWrap/>
          </w:tcPr>
          <w:p>
            <w:pPr>
              <w:pStyle w:val="1077"/>
              <w:jc w:val="center"/>
              <w:spacing w:beforeAutospacing="0" w:afterAutospacing="0"/>
              <w:rPr>
                <w:rFonts w:hint="eastAsia"/>
              </w:rPr>
            </w:pPr>
            <w:r>
              <w:rPr>
                <w:rFonts w:hint="eastAsia"/>
              </w:rPr>
              <w:t xml:space="preserve">超出、符合或偏离</w:t>
            </w:r>
            <w:r/>
          </w:p>
        </w:tc>
        <w:tc>
          <w:tcPr>
            <w:tcW w:w="1813" w:type="dxa"/>
            <w:vAlign w:val="center"/>
            <w:textDirection w:val="lrTb"/>
            <w:noWrap/>
          </w:tcPr>
          <w:p>
            <w:pPr>
              <w:pStyle w:val="1077"/>
              <w:jc w:val="center"/>
              <w:spacing w:beforeAutospacing="0" w:afterAutospacing="0"/>
              <w:rPr>
                <w:rFonts w:hint="eastAsia"/>
              </w:rPr>
            </w:pPr>
            <w:r>
              <w:rPr>
                <w:rFonts w:hint="eastAsia"/>
              </w:rPr>
              <w:t xml:space="preserve">证明</w:t>
            </w:r>
            <w:r/>
          </w:p>
          <w:p>
            <w:pPr>
              <w:pStyle w:val="1077"/>
              <w:jc w:val="center"/>
              <w:spacing w:beforeAutospacing="0" w:afterAutospacing="0"/>
              <w:rPr>
                <w:rFonts w:hint="eastAsia"/>
              </w:rPr>
            </w:pPr>
            <w:r>
              <w:rPr>
                <w:rFonts w:hint="eastAsia"/>
              </w:rPr>
              <w:t xml:space="preserve">材料</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2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bl>
    <w:p>
      <w:pPr>
        <w:pStyle w:val="1077"/>
        <w:jc w:val="both"/>
        <w:spacing w:beforeAutospacing="0" w:afterAutospacing="0"/>
        <w:rPr>
          <w:rFonts w:hint="eastAsia"/>
        </w:rPr>
      </w:pPr>
      <w:r>
        <w:rPr>
          <w:rFonts w:hint="eastAsia"/>
        </w:rPr>
        <w:t xml:space="preserve">注：行数不够，可自行添加。</w:t>
      </w:r>
      <w:r/>
    </w:p>
    <w:p>
      <w:pPr>
        <w:pStyle w:val="1077"/>
        <w:ind w:firstLine="600"/>
        <w:jc w:val="both"/>
        <w:spacing w:beforeAutospacing="0" w:afterAutospacing="0"/>
        <w:rPr>
          <w:rFonts w:hint="eastAsia"/>
        </w:rPr>
      </w:pPr>
      <w:r>
        <w:rPr>
          <w:rFonts w:hint="eastAsia"/>
        </w:rPr>
      </w:r>
      <w:r/>
    </w:p>
    <w:p>
      <w:pPr>
        <w:pStyle w:val="1077"/>
        <w:jc w:val="center"/>
        <w:spacing w:beforeAutospacing="0" w:afterAutospacing="0" w:line="0" w:lineRule="atLeast"/>
        <w:rPr>
          <w:rFonts w:hint="eastAsia"/>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077"/>
        <w:ind w:firstLine="482"/>
        <w:jc w:val="both"/>
        <w:spacing w:beforeAutospacing="0" w:afterAutospacing="0" w:line="500" w:lineRule="exact"/>
        <w:rPr>
          <w:rFonts w:hint="eastAsia"/>
        </w:rPr>
      </w:pPr>
      <w:r>
        <w:rPr>
          <w:rFonts w:hint="eastAsia"/>
        </w:rPr>
        <w:t xml:space="preserve">投标人全称（加盖CA电子签章）：</w:t>
      </w:r>
      <w:r/>
    </w:p>
    <w:p>
      <w:pPr>
        <w:pStyle w:val="1077"/>
        <w:ind w:firstLine="482"/>
        <w:jc w:val="both"/>
        <w:spacing w:beforeAutospacing="0" w:afterAutospacing="0" w:line="500" w:lineRule="exact"/>
        <w:rPr>
          <w:rFonts w:hint="eastAsia"/>
        </w:rPr>
      </w:pPr>
      <w:r>
        <w:rPr>
          <w:rFonts w:hint="eastAsia"/>
        </w:rPr>
        <w:t xml:space="preserve">项目名称：盐城市文化馆物业管理服务项目</w:t>
      </w:r>
      <w:r/>
    </w:p>
    <w:p>
      <w:pPr>
        <w:pStyle w:val="1077"/>
        <w:ind w:firstLine="482"/>
        <w:jc w:val="both"/>
        <w:spacing w:beforeAutospacing="0" w:afterAutospacing="0" w:line="500" w:lineRule="exact"/>
        <w:rPr>
          <w:rFonts w:hint="eastAsia"/>
        </w:rPr>
      </w:pPr>
      <w:r>
        <w:rPr>
          <w:rFonts w:hint="eastAsia"/>
        </w:rPr>
        <w:t xml:space="preserve">项目编号：</w:t>
      </w:r>
      <w:bookmarkStart w:id="12" w:name="_GoBack"/>
      <w:r>
        <w:rPr>
          <w:rFonts w:hint="eastAsia"/>
          <w:lang w:eastAsia="zh-CN"/>
        </w:rPr>
        <w:t xml:space="preserve">JSZC-320900-JZCG-G2026</w:t>
      </w:r>
      <w:bookmarkEnd w:id="12"/>
      <w:r>
        <w:rPr>
          <w:rFonts w:hint="eastAsia"/>
          <w:lang w:eastAsia="zh-CN"/>
        </w:rPr>
        <w:t xml:space="preserve">-0020</w:t>
      </w:r>
      <w:r>
        <w:t xml:space="preserve"> </w:t>
      </w:r>
      <w:r/>
    </w:p>
    <w:p>
      <w:pPr>
        <w:pStyle w:val="1077"/>
        <w:ind w:firstLine="482"/>
        <w:jc w:val="both"/>
        <w:spacing w:beforeAutospacing="0" w:afterAutospacing="0" w:line="500" w:lineRule="exact"/>
        <w:rPr>
          <w:rFonts w:hint="eastAsia"/>
        </w:rPr>
      </w:pPr>
      <w:r>
        <w:rPr>
          <w:rFonts w:hint="eastAsia"/>
        </w:rPr>
        <w:t xml:space="preserve">分包号：/    </w:t>
      </w:r>
      <w:r/>
    </w:p>
    <w:tbl>
      <w:tblPr>
        <w:tblStyle w:val="819"/>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7"/>
              <w:jc w:val="center"/>
              <w:spacing w:beforeAutospacing="0" w:afterAutospacing="0" w:line="400" w:lineRule="exact"/>
              <w:rPr>
                <w:rFonts w:hint="eastAsia"/>
              </w:rPr>
            </w:pPr>
            <w:r>
              <w:rPr>
                <w:rFonts w:hint="eastAsia"/>
              </w:rPr>
              <w:t xml:space="preserve">投标总报价：</w:t>
            </w:r>
            <w:r/>
          </w:p>
        </w:tc>
      </w:tr>
      <w:tr>
        <w:trPr>
          <w:tblCellSpacing w:w="0" w:type="dxa"/>
          <w:trHeight w:val="1070"/>
        </w:trPr>
        <w:tc>
          <w:tcPr>
            <w:tcW w:w="8619" w:type="dxa"/>
            <w:vAlign w:val="center"/>
            <w:textDirection w:val="lrTb"/>
            <w:noWrap/>
          </w:tcPr>
          <w:p>
            <w:pPr>
              <w:pStyle w:val="1077"/>
              <w:spacing w:beforeAutospacing="0" w:afterAutospacing="0" w:line="400" w:lineRule="exact"/>
              <w:rPr>
                <w:rFonts w:hint="eastAsia"/>
              </w:rPr>
            </w:pPr>
            <w:r>
              <w:rPr>
                <w:rFonts w:hint="eastAsia"/>
              </w:rPr>
              <w:t xml:space="preserve">小写：           （人民币：元）       </w:t>
            </w:r>
            <w:r/>
          </w:p>
        </w:tc>
      </w:tr>
      <w:tr>
        <w:trPr>
          <w:tblCellSpacing w:w="0" w:type="dxa"/>
          <w:trHeight w:val="1070"/>
        </w:trPr>
        <w:tc>
          <w:tcPr>
            <w:tcW w:w="8619" w:type="dxa"/>
            <w:vAlign w:val="center"/>
            <w:textDirection w:val="lrTb"/>
            <w:noWrap/>
          </w:tcPr>
          <w:p>
            <w:pPr>
              <w:pStyle w:val="1077"/>
              <w:spacing w:beforeAutospacing="0" w:afterAutospacing="0" w:line="400" w:lineRule="exact"/>
              <w:rPr>
                <w:rFonts w:hint="eastAsia"/>
              </w:rPr>
            </w:pPr>
            <w:r>
              <w:rPr>
                <w:rFonts w:hint="eastAsia"/>
                <w:szCs w:val="21"/>
              </w:rPr>
              <w:t xml:space="preserve">报价（大写）：   </w:t>
            </w:r>
            <w:r>
              <w:rPr>
                <w:rFonts w:hint="eastAsia"/>
              </w:rPr>
              <w:t xml:space="preserve">        金额大写     </w:t>
            </w:r>
            <w:r/>
          </w:p>
        </w:tc>
      </w:tr>
    </w:tbl>
    <w:p>
      <w:pPr>
        <w:pStyle w:val="1077"/>
        <w:ind w:firstLine="600"/>
        <w:jc w:val="both"/>
        <w:spacing w:beforeAutospacing="0" w:afterAutospacing="0" w:line="500" w:lineRule="exact"/>
        <w:rPr>
          <w:rFonts w:hint="eastAsia"/>
        </w:rPr>
      </w:pPr>
      <w:r>
        <w:t xml:space="preserve"> </w:t>
      </w:r>
      <w:r/>
    </w:p>
    <w:p>
      <w:pPr>
        <w:pStyle w:val="1077"/>
        <w:ind w:firstLine="480"/>
        <w:jc w:val="right"/>
        <w:spacing w:beforeAutospacing="0" w:afterAutospacing="0" w:line="500" w:lineRule="exact"/>
        <w:rPr>
          <w:rFonts w:hint="eastAsia"/>
        </w:rPr>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77"/>
        <w:ind w:firstLine="600"/>
        <w:jc w:val="both"/>
        <w:spacing w:beforeAutospacing="0" w:afterAutospacing="0" w:line="500" w:lineRule="exact"/>
        <w:rPr>
          <w:rFonts w:hint="eastAsia"/>
        </w:rPr>
      </w:pPr>
      <w:r>
        <w:rPr>
          <w:rFonts w:hint="eastAsia"/>
        </w:rPr>
        <w:t xml:space="preserve"> </w:t>
      </w:r>
      <w:r/>
    </w:p>
    <w:p>
      <w:pPr>
        <w:rPr>
          <w:rFonts w:hint="eastAsia" w:ascii="宋体" w:hAnsi="宋体" w:cs="宋体"/>
        </w:rPr>
      </w:pPr>
      <w:r>
        <w:rPr>
          <w:rFonts w:hint="eastAsia" w:ascii="宋体" w:hAnsi="宋体" w:cs="宋体"/>
        </w:rPr>
        <w:br w:type="page" w:clear="all"/>
      </w:r>
      <w:r/>
    </w:p>
    <w:p>
      <w:pPr>
        <w:pStyle w:val="107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p>
    <w:p>
      <w:pPr>
        <w:ind w:firstLine="480"/>
        <w:jc w:val="left"/>
        <w:spacing w:line="560" w:lineRule="exact"/>
        <w:widowControl/>
        <w:rPr>
          <w:sz w:val="32"/>
          <w:szCs w:val="32"/>
        </w:rPr>
      </w:pPr>
      <w:r>
        <w:rPr>
          <w:rFonts w:hint="eastAsia" w:ascii="宋体" w:hAnsi="宋体" w:cs="宋体"/>
          <w:b/>
          <w:bCs/>
          <w:i/>
          <w:iCs/>
          <w:color w:val="ff0000"/>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sz w:val="32"/>
          <w:szCs w:val="32"/>
        </w:rPr>
        <w:br w:type="page" w:clear="all"/>
      </w:r>
      <w:r/>
    </w:p>
    <w:p>
      <w:pPr>
        <w:pStyle w:val="107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w:t>
      </w:r>
      <w:r/>
    </w:p>
    <w:p>
      <w:pPr>
        <w:jc w:val="center"/>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848"/>
        <w:jc w:val="center"/>
        <w:spacing w:beforeAutospacing="0" w:afterAutospacing="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7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48"/>
        <w:jc w:val="both"/>
        <w:spacing w:before="290" w:beforeAutospacing="0" w:afterAutospacing="0" w:line="500" w:lineRule="exact"/>
        <w:rPr>
          <w:rFonts w:hint="eastAsia" w:ascii="宋体" w:hAnsi="宋体" w:cs="宋体"/>
        </w:rPr>
      </w:pPr>
      <w:r>
        <w:rPr>
          <w:rFonts w:hint="eastAsia" w:ascii="宋体" w:hAnsi="宋体" w:cs="宋体"/>
        </w:rPr>
        <w:t xml:space="preserve">一、质疑供应商基本信息</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二、质疑项目基本情况</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三、质疑事项具体内容</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48"/>
        <w:spacing w:beforeAutospacing="0" w:afterAutospacing="0" w:line="500" w:lineRule="exact"/>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质疑事项2</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w:t>
      </w:r>
      <w:r/>
    </w:p>
    <w:p>
      <w:pPr>
        <w:pStyle w:val="848"/>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848"/>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48"/>
        <w:jc w:val="both"/>
        <w:spacing w:beforeAutospacing="0" w:afterAutospacing="0" w:line="360" w:lineRule="auto"/>
        <w:rPr>
          <w:rFonts w:hint="eastAsia" w:ascii="宋体" w:hAnsi="宋体" w:cs="宋体"/>
        </w:rPr>
      </w:pPr>
      <w:r>
        <w:rPr>
          <w:rFonts w:hint="eastAsia" w:ascii="宋体" w:hAnsi="宋体" w:cs="宋体"/>
        </w:rPr>
        <w:t xml:space="preserve">签字(签章)：                 公章：               日期：    </w:t>
      </w:r>
      <w:r/>
    </w:p>
    <w:p>
      <w:pPr>
        <w:pStyle w:val="848"/>
        <w:jc w:val="both"/>
        <w:spacing w:beforeAutospacing="0" w:afterAutospacing="0" w:line="500" w:lineRule="exact"/>
        <w:rPr>
          <w:rFonts w:hint="eastAsia" w:ascii="宋体" w:hAnsi="宋体" w:cs="宋体"/>
        </w:rPr>
      </w:pPr>
      <w:r>
        <w:rPr>
          <w:rFonts w:hint="eastAsia" w:ascii="宋体" w:hAnsi="宋体" w:cs="宋体"/>
          <w:b/>
        </w:rPr>
        <w:t xml:space="preserve">质疑函制作说明：</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1.供应商提出质疑时，应提交质疑函和必要的证明材料。</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5.质疑函的质疑请求应与质疑事项相关。</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tabs>
          <w:tab w:val="left" w:pos="7680" w:leader="none"/>
        </w:tabs>
      </w:pPr>
      <w:r>
        <w:rPr>
          <w:rFonts w:hint="eastAsia"/>
        </w:rPr>
        <w:tab/>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Segoe UI">
    <w:panose1 w:val="020B0502040204020203"/>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
  </w:p>
  <w:p>
    <w:pPr>
      <w:pStyle w:val="8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33"/>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33"/>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3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3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JSZC-320900-JZCG-G2026-0020</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JSZC-320900-JZCG-G2026-0020</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JSZC-320900-JZCG-G2026-0020</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条　"/>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8">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7">
    <w:name w:val="TOC Heading"/>
    <w:uiPriority w:val="39"/>
    <w:unhideWhenUsed/>
  </w:style>
  <w:style w:type="paragraph" w:styleId="80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9">
    <w:name w:val="Heading 1"/>
    <w:basedOn w:val="808"/>
    <w:next w:val="808"/>
    <w:link w:val="880"/>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810">
    <w:name w:val="Heading 2"/>
    <w:basedOn w:val="808"/>
    <w:next w:val="808"/>
    <w:link w:val="881"/>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882"/>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883"/>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884"/>
    <w:uiPriority w:val="9"/>
    <w:unhideWhenUsed/>
    <w:qFormat/>
    <w:pPr>
      <w:keepLines/>
      <w:keepNext/>
      <w:spacing w:before="320" w:after="200"/>
      <w:outlineLvl w:val="4"/>
    </w:pPr>
    <w:rPr>
      <w:rFonts w:ascii="Arial" w:hAnsi="Arial" w:eastAsia="Arial" w:cs="Arial"/>
      <w:b/>
      <w:bCs/>
      <w:sz w:val="24"/>
    </w:rPr>
  </w:style>
  <w:style w:type="paragraph" w:styleId="814">
    <w:name w:val="Heading 6"/>
    <w:basedOn w:val="808"/>
    <w:next w:val="808"/>
    <w:link w:val="885"/>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887"/>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888"/>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basedOn w:val="808"/>
    <w:next w:val="808"/>
    <w:uiPriority w:val="39"/>
    <w:qFormat/>
    <w:pPr>
      <w:ind w:left="1701"/>
      <w:spacing w:after="57"/>
    </w:pPr>
  </w:style>
  <w:style w:type="paragraph" w:styleId="821">
    <w:name w:val="Normal Indent"/>
    <w:basedOn w:val="808"/>
    <w:uiPriority w:val="0"/>
    <w:qFormat/>
    <w:pPr>
      <w:ind w:firstLine="420"/>
      <w:jc w:val="left"/>
      <w:spacing w:line="360" w:lineRule="auto"/>
    </w:pPr>
    <w:rPr>
      <w:rFonts w:ascii="宋体" w:hAnsi="宋体" w:cs="宋体"/>
      <w:color w:val="000000"/>
      <w:sz w:val="24"/>
      <w:szCs w:val="21"/>
    </w:rPr>
  </w:style>
  <w:style w:type="paragraph" w:styleId="822">
    <w:name w:val="Caption"/>
    <w:basedOn w:val="808"/>
    <w:next w:val="80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23">
    <w:name w:val="annotation text"/>
    <w:basedOn w:val="808"/>
    <w:link w:val="890"/>
    <w:uiPriority w:val="0"/>
    <w:qFormat/>
    <w:pPr>
      <w:jc w:val="left"/>
    </w:pPr>
  </w:style>
  <w:style w:type="paragraph" w:styleId="824">
    <w:name w:val="Body Text"/>
    <w:basedOn w:val="808"/>
    <w:link w:val="891"/>
    <w:uiPriority w:val="99"/>
    <w:qFormat/>
    <w:rPr>
      <w:rFonts w:ascii="楷体" w:hAnsi="Arial" w:eastAsia="楷体"/>
      <w:sz w:val="28"/>
      <w:szCs w:val="28"/>
    </w:rPr>
  </w:style>
  <w:style w:type="paragraph" w:styleId="825">
    <w:name w:val="Body Text Indent"/>
    <w:basedOn w:val="808"/>
    <w:link w:val="892"/>
    <w:uiPriority w:val="0"/>
    <w:qFormat/>
    <w:pPr>
      <w:ind w:firstLine="645"/>
    </w:pPr>
    <w:rPr>
      <w:rFonts w:ascii="楷体_GB2312" w:eastAsia="楷体_GB2312"/>
      <w:sz w:val="32"/>
      <w:szCs w:val="32"/>
    </w:rPr>
  </w:style>
  <w:style w:type="paragraph" w:styleId="826">
    <w:name w:val="Block Text"/>
    <w:basedOn w:val="808"/>
    <w:uiPriority w:val="0"/>
    <w:qFormat/>
    <w:pPr>
      <w:ind w:left="560" w:right="-512"/>
    </w:pPr>
    <w:rPr>
      <w:rFonts w:ascii="幼圆" w:eastAsia="幼圆" w:cs="Garamond"/>
      <w:sz w:val="24"/>
      <w:szCs w:val="21"/>
    </w:rPr>
  </w:style>
  <w:style w:type="paragraph" w:styleId="827">
    <w:name w:val="toc 5"/>
    <w:basedOn w:val="808"/>
    <w:next w:val="808"/>
    <w:uiPriority w:val="39"/>
    <w:qFormat/>
    <w:pPr>
      <w:ind w:left="1134"/>
      <w:spacing w:after="57"/>
    </w:pPr>
  </w:style>
  <w:style w:type="paragraph" w:styleId="828">
    <w:name w:val="toc 3"/>
    <w:basedOn w:val="808"/>
    <w:next w:val="808"/>
    <w:link w:val="893"/>
    <w:uiPriority w:val="39"/>
    <w:qFormat/>
    <w:pPr>
      <w:ind w:left="567"/>
      <w:spacing w:after="57"/>
    </w:pPr>
  </w:style>
  <w:style w:type="paragraph" w:styleId="829">
    <w:name w:val="Plain Text"/>
    <w:basedOn w:val="808"/>
    <w:link w:val="894"/>
    <w:uiPriority w:val="0"/>
    <w:qFormat/>
    <w:rPr>
      <w:rFonts w:ascii="宋体" w:hAnsi="Courier New" w:eastAsia="楷体"/>
      <w:sz w:val="28"/>
      <w:szCs w:val="20"/>
    </w:rPr>
  </w:style>
  <w:style w:type="paragraph" w:styleId="830">
    <w:name w:val="toc 8"/>
    <w:basedOn w:val="808"/>
    <w:next w:val="808"/>
    <w:uiPriority w:val="39"/>
    <w:qFormat/>
    <w:pPr>
      <w:ind w:left="1984"/>
      <w:spacing w:after="57"/>
    </w:pPr>
  </w:style>
  <w:style w:type="paragraph" w:styleId="831">
    <w:name w:val="endnote text"/>
    <w:basedOn w:val="808"/>
    <w:link w:val="895"/>
    <w:uiPriority w:val="99"/>
    <w:qFormat/>
    <w:rPr>
      <w:sz w:val="20"/>
    </w:rPr>
  </w:style>
  <w:style w:type="paragraph" w:styleId="832">
    <w:name w:val="Balloon Text"/>
    <w:basedOn w:val="808"/>
    <w:link w:val="896"/>
    <w:uiPriority w:val="99"/>
    <w:qFormat/>
    <w:rPr>
      <w:sz w:val="18"/>
      <w:szCs w:val="18"/>
    </w:rPr>
  </w:style>
  <w:style w:type="paragraph" w:styleId="833">
    <w:name w:val="Footer"/>
    <w:basedOn w:val="808"/>
    <w:link w:val="897"/>
    <w:uiPriority w:val="99"/>
    <w:unhideWhenUsed/>
    <w:qFormat/>
    <w:pPr>
      <w:jc w:val="left"/>
      <w:tabs>
        <w:tab w:val="center" w:pos="4153" w:leader="none"/>
        <w:tab w:val="right" w:pos="8306" w:leader="none"/>
      </w:tabs>
    </w:pPr>
    <w:rPr>
      <w:sz w:val="18"/>
      <w:szCs w:val="18"/>
    </w:rPr>
  </w:style>
  <w:style w:type="paragraph" w:styleId="834">
    <w:name w:val="envelope return"/>
    <w:basedOn w:val="808"/>
    <w:uiPriority w:val="0"/>
    <w:qFormat/>
    <w:pPr>
      <w:ind w:firstLine="420"/>
      <w:jc w:val="left"/>
      <w:spacing w:line="360" w:lineRule="auto"/>
    </w:pPr>
    <w:rPr>
      <w:rFonts w:ascii="Arial" w:hAnsi="Arial" w:cs="宋体"/>
      <w:color w:val="000000"/>
      <w:sz w:val="22"/>
      <w:szCs w:val="21"/>
    </w:rPr>
  </w:style>
  <w:style w:type="paragraph" w:styleId="835">
    <w:name w:val="Header"/>
    <w:basedOn w:val="808"/>
    <w:link w:val="8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6">
    <w:name w:val="toc 1"/>
    <w:basedOn w:val="808"/>
    <w:next w:val="808"/>
    <w:uiPriority w:val="39"/>
    <w:qFormat/>
    <w:pPr>
      <w:spacing w:after="57"/>
    </w:pPr>
  </w:style>
  <w:style w:type="paragraph" w:styleId="837">
    <w:name w:val="toc 4"/>
    <w:basedOn w:val="808"/>
    <w:next w:val="808"/>
    <w:uiPriority w:val="39"/>
    <w:qFormat/>
    <w:pPr>
      <w:ind w:left="850"/>
      <w:spacing w:after="57"/>
    </w:pPr>
  </w:style>
  <w:style w:type="paragraph" w:styleId="838">
    <w:name w:val="Subtitle"/>
    <w:basedOn w:val="808"/>
    <w:next w:val="808"/>
    <w:link w:val="899"/>
    <w:uiPriority w:val="11"/>
    <w:qFormat/>
    <w:pPr>
      <w:spacing w:before="200" w:after="200"/>
    </w:pPr>
    <w:rPr>
      <w:sz w:val="24"/>
    </w:rPr>
  </w:style>
  <w:style w:type="paragraph" w:styleId="839">
    <w:name w:val="footnote text"/>
    <w:basedOn w:val="808"/>
    <w:link w:val="900"/>
    <w:uiPriority w:val="99"/>
    <w:qFormat/>
    <w:pPr>
      <w:spacing w:after="40"/>
    </w:pPr>
    <w:rPr>
      <w:sz w:val="18"/>
    </w:rPr>
  </w:style>
  <w:style w:type="paragraph" w:styleId="840">
    <w:name w:val="toc 6"/>
    <w:basedOn w:val="808"/>
    <w:next w:val="808"/>
    <w:uiPriority w:val="39"/>
    <w:qFormat/>
    <w:pPr>
      <w:ind w:left="1417"/>
      <w:spacing w:after="57"/>
    </w:pPr>
  </w:style>
  <w:style w:type="paragraph" w:styleId="841">
    <w:name w:val="Body Text Indent 3"/>
    <w:basedOn w:val="808"/>
    <w:link w:val="901"/>
    <w:uiPriority w:val="0"/>
    <w:qFormat/>
    <w:pPr>
      <w:ind w:left="645" w:firstLine="645"/>
    </w:pPr>
    <w:rPr>
      <w:rFonts w:ascii="Arial" w:hAnsi="Arial" w:eastAsia="仿宋" w:cs="Arial"/>
      <w:color w:val="ffff00"/>
      <w:sz w:val="32"/>
      <w:szCs w:val="32"/>
    </w:rPr>
  </w:style>
  <w:style w:type="paragraph" w:styleId="842">
    <w:name w:val="table of figures"/>
    <w:basedOn w:val="808"/>
    <w:next w:val="808"/>
    <w:uiPriority w:val="99"/>
    <w:qFormat/>
  </w:style>
  <w:style w:type="paragraph" w:styleId="843">
    <w:name w:val="toc 2"/>
    <w:basedOn w:val="808"/>
    <w:next w:val="808"/>
    <w:uiPriority w:val="39"/>
    <w:qFormat/>
    <w:pPr>
      <w:ind w:left="283"/>
      <w:spacing w:after="57"/>
    </w:pPr>
  </w:style>
  <w:style w:type="paragraph" w:styleId="844">
    <w:name w:val="toc 9"/>
    <w:basedOn w:val="808"/>
    <w:next w:val="808"/>
    <w:uiPriority w:val="39"/>
    <w:qFormat/>
    <w:pPr>
      <w:ind w:left="2268"/>
      <w:spacing w:after="57"/>
    </w:pPr>
  </w:style>
  <w:style w:type="paragraph" w:styleId="845">
    <w:name w:val="Body Text 2"/>
    <w:basedOn w:val="808"/>
    <w:link w:val="1209"/>
    <w:uiPriority w:val="99"/>
    <w:semiHidden/>
    <w:unhideWhenUsed/>
    <w:qFormat/>
    <w:pPr>
      <w:ind w:firstLine="420"/>
      <w:jc w:val="left"/>
      <w:spacing w:after="120" w:line="480" w:lineRule="auto"/>
    </w:pPr>
    <w:rPr>
      <w:rFonts w:ascii="宋体" w:hAnsi="宋体" w:cs="宋体"/>
      <w:color w:val="000000"/>
      <w:sz w:val="22"/>
      <w:szCs w:val="21"/>
    </w:rPr>
  </w:style>
  <w:style w:type="paragraph" w:styleId="846">
    <w:name w:val="Message Header"/>
    <w:basedOn w:val="808"/>
    <w:link w:val="1191"/>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47">
    <w:name w:val="HTML Preformatted"/>
    <w:basedOn w:val="808"/>
    <w:link w:val="902"/>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8">
    <w:name w:val="Normal (Web)"/>
    <w:basedOn w:val="808"/>
    <w:uiPriority w:val="0"/>
    <w:qFormat/>
    <w:pPr>
      <w:jc w:val="left"/>
      <w:spacing w:beforeAutospacing="1" w:afterAutospacing="1"/>
    </w:pPr>
    <w:rPr>
      <w:sz w:val="24"/>
    </w:rPr>
  </w:style>
  <w:style w:type="paragraph" w:styleId="849">
    <w:name w:val="Title"/>
    <w:basedOn w:val="808"/>
    <w:next w:val="808"/>
    <w:link w:val="903"/>
    <w:uiPriority w:val="10"/>
    <w:qFormat/>
    <w:pPr>
      <w:contextualSpacing/>
      <w:spacing w:before="300" w:after="200"/>
    </w:pPr>
    <w:rPr>
      <w:sz w:val="48"/>
      <w:szCs w:val="48"/>
    </w:rPr>
  </w:style>
  <w:style w:type="paragraph" w:styleId="850">
    <w:name w:val="annotation subject"/>
    <w:basedOn w:val="823"/>
    <w:next w:val="823"/>
    <w:link w:val="904"/>
    <w:uiPriority w:val="0"/>
    <w:qFormat/>
    <w:pPr>
      <w:spacing w:line="300" w:lineRule="auto"/>
    </w:pPr>
    <w:rPr>
      <w:rFonts w:ascii="Calibri" w:hAnsi="Calibri" w:cs="Calibri"/>
      <w:b/>
      <w:bCs/>
      <w:sz w:val="20"/>
      <w:szCs w:val="21"/>
    </w:rPr>
  </w:style>
  <w:style w:type="paragraph" w:styleId="851">
    <w:name w:val="Body Text First Indent"/>
    <w:basedOn w:val="824"/>
    <w:link w:val="905"/>
    <w:uiPriority w:val="99"/>
    <w:qFormat/>
    <w:pPr>
      <w:ind w:firstLine="420"/>
    </w:pPr>
  </w:style>
  <w:style w:type="paragraph" w:styleId="852">
    <w:name w:val="Body Text First Indent 2"/>
    <w:basedOn w:val="825"/>
    <w:link w:val="906"/>
    <w:uiPriority w:val="0"/>
    <w:qFormat/>
    <w:pPr>
      <w:ind w:firstLine="420"/>
      <w:spacing w:line="360" w:lineRule="auto"/>
    </w:pPr>
    <w:rPr>
      <w:rFonts w:ascii="宋体" w:hAnsi="宋体" w:eastAsia="宋体"/>
      <w:sz w:val="21"/>
      <w:szCs w:val="20"/>
    </w:rPr>
  </w:style>
  <w:style w:type="table" w:styleId="8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Strong"/>
    <w:basedOn w:val="818"/>
    <w:uiPriority w:val="22"/>
    <w:qFormat/>
    <w:rPr>
      <w:b/>
    </w:rPr>
  </w:style>
  <w:style w:type="character" w:styleId="855">
    <w:name w:val="endnote reference"/>
    <w:uiPriority w:val="99"/>
    <w:qFormat/>
    <w:rPr>
      <w:vertAlign w:val="superscript"/>
    </w:rPr>
  </w:style>
  <w:style w:type="character" w:styleId="856">
    <w:name w:val="FollowedHyperlink"/>
    <w:basedOn w:val="818"/>
    <w:uiPriority w:val="99"/>
    <w:semiHidden/>
    <w:unhideWhenUsed/>
    <w:qFormat/>
    <w:rPr>
      <w:color w:val="800080" w:themeColor="followedHyperlink"/>
      <w:u w:val="single"/>
      <w14:textFill>
        <w14:solidFill>
          <w14:schemeClr w14:val="folHlink"/>
        </w14:solidFill>
      </w14:textFill>
    </w:rPr>
  </w:style>
  <w:style w:type="character" w:styleId="857">
    <w:name w:val="Hyperlink"/>
    <w:uiPriority w:val="99"/>
    <w:qFormat/>
    <w:rPr>
      <w:color w:val="0000ff"/>
      <w:u w:val="single"/>
    </w:rPr>
  </w:style>
  <w:style w:type="character" w:styleId="858">
    <w:name w:val="annotation reference"/>
    <w:basedOn w:val="818"/>
    <w:uiPriority w:val="99"/>
    <w:qFormat/>
    <w:rPr>
      <w:sz w:val="21"/>
      <w:szCs w:val="21"/>
    </w:rPr>
  </w:style>
  <w:style w:type="character" w:styleId="859">
    <w:name w:val="footnote reference"/>
    <w:uiPriority w:val="99"/>
    <w:qFormat/>
    <w:rPr>
      <w:vertAlign w:val="superscript"/>
    </w:rPr>
  </w:style>
  <w:style w:type="table" w:styleId="860" w:customStyle="1">
    <w:name w:val="无格式表格 1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8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8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8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网格表 3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网格表 5 深色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网格表 6 彩色1"/>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网格表 7 彩色1"/>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清单表 1 浅色1"/>
    <w:basedOn w:val="8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清单表 21"/>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清单表 3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4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5 深色1"/>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basedOn w:val="8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清单表 7 彩色1"/>
    <w:basedOn w:val="8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9" w:customStyle="1">
    <w:name w:val="TOC 标题1"/>
    <w:uiPriority w:val="39"/>
    <w:unhideWhenUsed/>
    <w:qFormat/>
    <w:rPr>
      <w:rFonts w:ascii="Times New Roman" w:hAnsi="Times New Roman" w:eastAsia="宋体" w:cs="Times New Roman"/>
      <w:lang w:val="en-US" w:eastAsia="zh-CN" w:bidi="ar-SA"/>
    </w:rPr>
  </w:style>
  <w:style w:type="character" w:styleId="880" w:customStyle="1">
    <w:name w:val="标题 1 字符1"/>
    <w:basedOn w:val="818"/>
    <w:link w:val="809"/>
    <w:uiPriority w:val="9"/>
    <w:qFormat/>
    <w:rPr>
      <w:b/>
      <w:bCs/>
      <w:sz w:val="44"/>
      <w:szCs w:val="44"/>
    </w:rPr>
  </w:style>
  <w:style w:type="character" w:styleId="881" w:customStyle="1">
    <w:name w:val="标题 2 字符1"/>
    <w:basedOn w:val="818"/>
    <w:link w:val="810"/>
    <w:uiPriority w:val="9"/>
    <w:qFormat/>
    <w:rPr>
      <w:rFonts w:ascii="Arial" w:hAnsi="Arial" w:eastAsia="Arial" w:cs="Arial"/>
      <w:sz w:val="34"/>
    </w:rPr>
  </w:style>
  <w:style w:type="character" w:styleId="882" w:customStyle="1">
    <w:name w:val="标题 3 字符1"/>
    <w:basedOn w:val="818"/>
    <w:link w:val="811"/>
    <w:uiPriority w:val="9"/>
    <w:qFormat/>
    <w:rPr>
      <w:rFonts w:ascii="Arial" w:hAnsi="Arial" w:eastAsia="Arial" w:cs="Arial"/>
      <w:sz w:val="30"/>
      <w:szCs w:val="30"/>
    </w:rPr>
  </w:style>
  <w:style w:type="character" w:styleId="883" w:customStyle="1">
    <w:name w:val="标题 4 字符1"/>
    <w:basedOn w:val="818"/>
    <w:link w:val="812"/>
    <w:uiPriority w:val="9"/>
    <w:qFormat/>
    <w:rPr>
      <w:rFonts w:ascii="Arial" w:hAnsi="Arial" w:eastAsia="Arial" w:cs="Arial"/>
      <w:b/>
      <w:bCs/>
      <w:sz w:val="26"/>
      <w:szCs w:val="26"/>
    </w:rPr>
  </w:style>
  <w:style w:type="character" w:styleId="884" w:customStyle="1">
    <w:name w:val="标题 5 字符1"/>
    <w:basedOn w:val="818"/>
    <w:link w:val="813"/>
    <w:uiPriority w:val="9"/>
    <w:qFormat/>
    <w:rPr>
      <w:rFonts w:ascii="Arial" w:hAnsi="Arial" w:eastAsia="Arial" w:cs="Arial"/>
      <w:b/>
      <w:bCs/>
      <w:sz w:val="24"/>
      <w:szCs w:val="24"/>
    </w:rPr>
  </w:style>
  <w:style w:type="character" w:styleId="885" w:customStyle="1">
    <w:name w:val="标题 6 字符1"/>
    <w:basedOn w:val="818"/>
    <w:link w:val="814"/>
    <w:uiPriority w:val="9"/>
    <w:qFormat/>
    <w:rPr>
      <w:rFonts w:ascii="Arial" w:hAnsi="Arial" w:eastAsia="Arial" w:cs="Arial"/>
      <w:b/>
      <w:bCs/>
      <w:sz w:val="22"/>
      <w:szCs w:val="22"/>
    </w:rPr>
  </w:style>
  <w:style w:type="character" w:styleId="886" w:customStyle="1">
    <w:name w:val="标题 7 字符1"/>
    <w:basedOn w:val="818"/>
    <w:link w:val="815"/>
    <w:uiPriority w:val="9"/>
    <w:qFormat/>
    <w:rPr>
      <w:rFonts w:ascii="Arial" w:hAnsi="Arial" w:eastAsia="Arial" w:cs="Arial"/>
      <w:b/>
      <w:bCs/>
      <w:i/>
      <w:iCs/>
      <w:sz w:val="22"/>
      <w:szCs w:val="22"/>
    </w:rPr>
  </w:style>
  <w:style w:type="character" w:styleId="887" w:customStyle="1">
    <w:name w:val="标题 8 字符1"/>
    <w:basedOn w:val="818"/>
    <w:link w:val="816"/>
    <w:uiPriority w:val="9"/>
    <w:qFormat/>
    <w:rPr>
      <w:rFonts w:ascii="Arial" w:hAnsi="Arial" w:eastAsia="Arial" w:cs="Arial"/>
      <w:i/>
      <w:iCs/>
      <w:sz w:val="22"/>
      <w:szCs w:val="22"/>
    </w:rPr>
  </w:style>
  <w:style w:type="character" w:styleId="888" w:customStyle="1">
    <w:name w:val="标题 9 字符1"/>
    <w:basedOn w:val="818"/>
    <w:link w:val="817"/>
    <w:uiPriority w:val="9"/>
    <w:qFormat/>
    <w:rPr>
      <w:rFonts w:ascii="Arial" w:hAnsi="Arial" w:eastAsia="Arial" w:cs="Arial"/>
      <w:i/>
      <w:iCs/>
      <w:sz w:val="21"/>
      <w:szCs w:val="21"/>
    </w:rPr>
  </w:style>
  <w:style w:type="paragraph" w:styleId="889" w:customStyle="1">
    <w:name w:val="TOC 标题1123"/>
    <w:uiPriority w:val="39"/>
    <w:unhideWhenUsed/>
    <w:qFormat/>
    <w:rPr>
      <w:rFonts w:ascii="Times New Roman" w:hAnsi="Times New Roman" w:eastAsia="宋体" w:cs="Times New Roman"/>
      <w:lang w:val="en-US" w:eastAsia="zh-CN" w:bidi="ar-SA"/>
    </w:rPr>
  </w:style>
  <w:style w:type="character" w:styleId="890" w:customStyle="1">
    <w:name w:val="批注文字 字符"/>
    <w:basedOn w:val="818"/>
    <w:link w:val="823"/>
    <w:uiPriority w:val="99"/>
    <w:qFormat/>
    <w:rPr>
      <w:sz w:val="21"/>
      <w:szCs w:val="24"/>
    </w:rPr>
  </w:style>
  <w:style w:type="character" w:styleId="891" w:customStyle="1">
    <w:name w:val="正文文本 字符"/>
    <w:basedOn w:val="818"/>
    <w:link w:val="824"/>
    <w:uiPriority w:val="99"/>
    <w:qFormat/>
    <w:rPr>
      <w:rFonts w:ascii="楷体" w:hAnsi="Arial" w:eastAsia="楷体"/>
      <w:sz w:val="28"/>
      <w:szCs w:val="28"/>
    </w:rPr>
  </w:style>
  <w:style w:type="character" w:styleId="892" w:customStyle="1">
    <w:name w:val="正文文本缩进 字符"/>
    <w:basedOn w:val="818"/>
    <w:link w:val="825"/>
    <w:uiPriority w:val="0"/>
    <w:qFormat/>
    <w:rPr>
      <w:rFonts w:ascii="楷体_GB2312" w:eastAsia="楷体_GB2312"/>
      <w:sz w:val="32"/>
      <w:szCs w:val="32"/>
    </w:rPr>
  </w:style>
  <w:style w:type="character" w:styleId="893" w:customStyle="1">
    <w:name w:val="TOC 3 字符"/>
    <w:link w:val="828"/>
    <w:uiPriority w:val="39"/>
    <w:qFormat/>
    <w:rPr>
      <w:sz w:val="21"/>
      <w:szCs w:val="24"/>
    </w:rPr>
  </w:style>
  <w:style w:type="character" w:styleId="894" w:customStyle="1">
    <w:name w:val="纯文本 字符"/>
    <w:basedOn w:val="818"/>
    <w:link w:val="829"/>
    <w:uiPriority w:val="0"/>
    <w:qFormat/>
    <w:rPr>
      <w:rFonts w:ascii="宋体" w:hAnsi="Courier New" w:eastAsia="楷体"/>
      <w:sz w:val="28"/>
    </w:rPr>
  </w:style>
  <w:style w:type="character" w:styleId="895" w:customStyle="1">
    <w:name w:val="尾注文本 字符"/>
    <w:link w:val="831"/>
    <w:uiPriority w:val="99"/>
    <w:qFormat/>
    <w:rPr>
      <w:sz w:val="20"/>
    </w:rPr>
  </w:style>
  <w:style w:type="character" w:styleId="896" w:customStyle="1">
    <w:name w:val="批注框文本 字符"/>
    <w:basedOn w:val="818"/>
    <w:link w:val="832"/>
    <w:uiPriority w:val="99"/>
    <w:qFormat/>
    <w:rPr>
      <w:rFonts w:ascii="Times New Roman" w:hAnsi="Times New Roman"/>
      <w:sz w:val="18"/>
      <w:szCs w:val="18"/>
    </w:rPr>
  </w:style>
  <w:style w:type="character" w:styleId="897" w:customStyle="1">
    <w:name w:val="页脚 字符1"/>
    <w:basedOn w:val="818"/>
    <w:link w:val="833"/>
    <w:uiPriority w:val="0"/>
    <w:qFormat/>
    <w:rPr>
      <w:sz w:val="18"/>
      <w:szCs w:val="18"/>
    </w:rPr>
  </w:style>
  <w:style w:type="character" w:styleId="898" w:customStyle="1">
    <w:name w:val="页眉 字符1"/>
    <w:basedOn w:val="818"/>
    <w:link w:val="835"/>
    <w:uiPriority w:val="0"/>
    <w:qFormat/>
    <w:rPr>
      <w:sz w:val="18"/>
      <w:szCs w:val="18"/>
    </w:rPr>
  </w:style>
  <w:style w:type="character" w:styleId="899" w:customStyle="1">
    <w:name w:val="副标题 字符"/>
    <w:link w:val="838"/>
    <w:uiPriority w:val="11"/>
    <w:qFormat/>
    <w:rPr>
      <w:sz w:val="24"/>
      <w:szCs w:val="24"/>
    </w:rPr>
  </w:style>
  <w:style w:type="character" w:styleId="900" w:customStyle="1">
    <w:name w:val="脚注文本 字符"/>
    <w:link w:val="839"/>
    <w:uiPriority w:val="99"/>
    <w:qFormat/>
    <w:rPr>
      <w:sz w:val="18"/>
    </w:rPr>
  </w:style>
  <w:style w:type="character" w:styleId="901" w:customStyle="1">
    <w:name w:val="正文文本缩进 3 字符"/>
    <w:basedOn w:val="818"/>
    <w:link w:val="841"/>
    <w:uiPriority w:val="0"/>
    <w:qFormat/>
    <w:rPr>
      <w:rFonts w:ascii="Arial" w:hAnsi="Arial" w:eastAsia="仿宋" w:cs="Arial"/>
      <w:color w:val="ffff00"/>
      <w:sz w:val="32"/>
      <w:szCs w:val="32"/>
    </w:rPr>
  </w:style>
  <w:style w:type="character" w:styleId="902" w:customStyle="1">
    <w:name w:val="HTML 预设格式 字符"/>
    <w:basedOn w:val="818"/>
    <w:link w:val="847"/>
    <w:uiPriority w:val="0"/>
    <w:qFormat/>
    <w:rPr>
      <w:rFonts w:ascii="宋体" w:hAnsi="宋体"/>
      <w:sz w:val="24"/>
      <w:szCs w:val="24"/>
    </w:rPr>
  </w:style>
  <w:style w:type="character" w:styleId="903" w:customStyle="1">
    <w:name w:val="标题 字符"/>
    <w:link w:val="849"/>
    <w:uiPriority w:val="10"/>
    <w:qFormat/>
    <w:rPr>
      <w:sz w:val="48"/>
      <w:szCs w:val="48"/>
    </w:rPr>
  </w:style>
  <w:style w:type="character" w:styleId="904" w:customStyle="1">
    <w:name w:val="批注主题 字符"/>
    <w:basedOn w:val="890"/>
    <w:link w:val="850"/>
    <w:uiPriority w:val="0"/>
    <w:qFormat/>
    <w:rPr>
      <w:rFonts w:ascii="Calibri" w:hAnsi="Calibri" w:cs="Calibri"/>
      <w:b/>
      <w:bCs/>
      <w:sz w:val="21"/>
      <w:szCs w:val="21"/>
    </w:rPr>
  </w:style>
  <w:style w:type="character" w:styleId="905" w:customStyle="1">
    <w:name w:val="正文文本首行缩进 字符"/>
    <w:basedOn w:val="891"/>
    <w:link w:val="851"/>
    <w:uiPriority w:val="99"/>
    <w:qFormat/>
    <w:rPr>
      <w:rFonts w:ascii="楷体" w:hAnsi="Arial" w:eastAsia="楷体"/>
      <w:sz w:val="21"/>
      <w:szCs w:val="24"/>
    </w:rPr>
  </w:style>
  <w:style w:type="character" w:styleId="906" w:customStyle="1">
    <w:name w:val="正文文本首行缩进 2 字符"/>
    <w:basedOn w:val="892"/>
    <w:link w:val="852"/>
    <w:uiPriority w:val="0"/>
    <w:qFormat/>
    <w:rPr>
      <w:rFonts w:ascii="宋体" w:hAnsi="宋体" w:eastAsia="楷体_GB2312"/>
      <w:sz w:val="21"/>
      <w:szCs w:val="32"/>
    </w:rPr>
  </w:style>
  <w:style w:type="paragraph" w:styleId="907" w:customStyle="1">
    <w:name w:val="标题 11"/>
    <w:basedOn w:val="808"/>
    <w:next w:val="808"/>
    <w:link w:val="908"/>
    <w:uiPriority w:val="9"/>
    <w:qFormat/>
    <w:pPr>
      <w:keepLines/>
      <w:keepNext/>
      <w:spacing w:before="340" w:after="330" w:line="578" w:lineRule="auto"/>
      <w:outlineLvl w:val="0"/>
    </w:pPr>
    <w:rPr>
      <w:b/>
      <w:bCs/>
      <w:sz w:val="44"/>
      <w:szCs w:val="44"/>
    </w:rPr>
  </w:style>
  <w:style w:type="character" w:styleId="908" w:customStyle="1">
    <w:name w:val="标题 1 Char"/>
    <w:basedOn w:val="818"/>
    <w:link w:val="907"/>
    <w:uiPriority w:val="9"/>
    <w:qFormat/>
    <w:rPr>
      <w:rFonts w:ascii="Times New Roman" w:hAnsi="Times New Roman"/>
      <w:b/>
      <w:bCs/>
      <w:sz w:val="44"/>
      <w:szCs w:val="44"/>
    </w:rPr>
  </w:style>
  <w:style w:type="paragraph" w:styleId="909" w:customStyle="1">
    <w:name w:val="标题 21"/>
    <w:basedOn w:val="808"/>
    <w:next w:val="808"/>
    <w:link w:val="910"/>
    <w:uiPriority w:val="9"/>
    <w:unhideWhenUsed/>
    <w:qFormat/>
    <w:pPr>
      <w:ind w:firstLine="200"/>
      <w:keepLines/>
      <w:keepNext/>
      <w:spacing w:line="300" w:lineRule="auto"/>
      <w:outlineLvl w:val="1"/>
    </w:pPr>
    <w:rPr>
      <w:rFonts w:ascii="Calibri" w:hAnsi="Calibri"/>
      <w:b/>
      <w:bCs/>
      <w:szCs w:val="32"/>
    </w:rPr>
  </w:style>
  <w:style w:type="character" w:styleId="910" w:customStyle="1">
    <w:name w:val="Heading 2 Char"/>
    <w:basedOn w:val="818"/>
    <w:link w:val="909"/>
    <w:uiPriority w:val="9"/>
    <w:qFormat/>
    <w:rPr>
      <w:rFonts w:ascii="Calibri" w:hAnsi="Calibri"/>
      <w:b/>
      <w:bCs/>
      <w:sz w:val="21"/>
      <w:szCs w:val="32"/>
    </w:rPr>
  </w:style>
  <w:style w:type="paragraph" w:styleId="911" w:customStyle="1">
    <w:name w:val="标题 31"/>
    <w:basedOn w:val="808"/>
    <w:next w:val="808"/>
    <w:link w:val="912"/>
    <w:uiPriority w:val="9"/>
    <w:unhideWhenUsed/>
    <w:qFormat/>
    <w:pPr>
      <w:ind w:firstLine="200"/>
      <w:spacing w:line="300" w:lineRule="auto"/>
      <w:widowControl/>
      <w:outlineLvl w:val="2"/>
    </w:pPr>
    <w:rPr>
      <w:rFonts w:ascii="Calibri" w:hAnsi="Calibri"/>
      <w:b/>
      <w:szCs w:val="20"/>
    </w:rPr>
  </w:style>
  <w:style w:type="character" w:styleId="912" w:customStyle="1">
    <w:name w:val="Heading 3 Char"/>
    <w:basedOn w:val="818"/>
    <w:link w:val="911"/>
    <w:uiPriority w:val="9"/>
    <w:qFormat/>
    <w:rPr>
      <w:rFonts w:ascii="Calibri" w:hAnsi="Calibri"/>
      <w:b/>
      <w:sz w:val="21"/>
    </w:rPr>
  </w:style>
  <w:style w:type="paragraph" w:styleId="913" w:customStyle="1">
    <w:name w:val="页脚1"/>
    <w:basedOn w:val="808"/>
    <w:link w:val="914"/>
    <w:uiPriority w:val="99"/>
    <w:qFormat/>
    <w:pPr>
      <w:jc w:val="left"/>
      <w:tabs>
        <w:tab w:val="center" w:pos="4153" w:leader="none"/>
        <w:tab w:val="right" w:pos="8306" w:leader="none"/>
      </w:tabs>
    </w:pPr>
    <w:rPr>
      <w:sz w:val="18"/>
      <w:szCs w:val="18"/>
    </w:rPr>
  </w:style>
  <w:style w:type="character" w:styleId="914" w:customStyle="1">
    <w:name w:val="页脚 Char"/>
    <w:basedOn w:val="818"/>
    <w:link w:val="913"/>
    <w:uiPriority w:val="99"/>
    <w:qFormat/>
    <w:rPr>
      <w:rFonts w:ascii="Times New Roman" w:hAnsi="Times New Roman"/>
      <w:sz w:val="18"/>
      <w:szCs w:val="18"/>
    </w:rPr>
  </w:style>
  <w:style w:type="paragraph" w:styleId="915" w:customStyle="1">
    <w:name w:val="页眉1"/>
    <w:basedOn w:val="808"/>
    <w:link w:val="916"/>
    <w:uiPriority w:val="99"/>
    <w:qFormat/>
    <w:pPr>
      <w:jc w:val="center"/>
      <w:tabs>
        <w:tab w:val="center" w:pos="4153" w:leader="none"/>
        <w:tab w:val="right" w:pos="8306" w:leader="none"/>
      </w:tabs>
      <w:pBdr>
        <w:bottom w:val="single" w:color="auto" w:sz="6" w:space="1"/>
      </w:pBdr>
    </w:pPr>
    <w:rPr>
      <w:sz w:val="18"/>
      <w:szCs w:val="18"/>
    </w:rPr>
  </w:style>
  <w:style w:type="character" w:styleId="916" w:customStyle="1">
    <w:name w:val="页眉 Char"/>
    <w:basedOn w:val="818"/>
    <w:link w:val="915"/>
    <w:uiPriority w:val="99"/>
    <w:qFormat/>
    <w:rPr>
      <w:rFonts w:ascii="Times New Roman" w:hAnsi="Times New Roman"/>
      <w:sz w:val="18"/>
      <w:szCs w:val="18"/>
    </w:rPr>
  </w:style>
  <w:style w:type="character" w:styleId="917" w:customStyle="1">
    <w:name w:val="Heading 1 Char"/>
    <w:basedOn w:val="818"/>
    <w:uiPriority w:val="9"/>
    <w:qFormat/>
    <w:rPr>
      <w:rFonts w:ascii="Arial" w:hAnsi="Arial" w:eastAsia="Arial" w:cs="Arial"/>
      <w:sz w:val="40"/>
      <w:szCs w:val="40"/>
    </w:rPr>
  </w:style>
  <w:style w:type="character" w:styleId="918" w:customStyle="1">
    <w:name w:val="Title Char"/>
    <w:basedOn w:val="818"/>
    <w:uiPriority w:val="10"/>
    <w:qFormat/>
    <w:rPr>
      <w:sz w:val="48"/>
      <w:szCs w:val="48"/>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Header Char"/>
    <w:basedOn w:val="818"/>
    <w:uiPriority w:val="99"/>
    <w:qFormat/>
  </w:style>
  <w:style w:type="character" w:styleId="922" w:customStyle="1">
    <w:name w:val="Footer Char"/>
    <w:basedOn w:val="818"/>
    <w:uiPriority w:val="99"/>
    <w:qFormat/>
  </w:style>
  <w:style w:type="paragraph" w:styleId="923" w:customStyle="1">
    <w:name w:val="TOC 标题1122"/>
    <w:uiPriority w:val="39"/>
    <w:unhideWhenUsed/>
    <w:qFormat/>
    <w:rPr>
      <w:rFonts w:ascii="Times New Roman" w:hAnsi="Times New Roman" w:eastAsia="宋体" w:cs="Times New Roman"/>
      <w:lang w:val="en-US" w:eastAsia="zh-CN" w:bidi="ar-SA"/>
    </w:rPr>
  </w:style>
  <w:style w:type="paragraph" w:styleId="924" w:customStyle="1">
    <w:name w:val="表格正文"/>
    <w:basedOn w:val="808"/>
    <w:next w:val="808"/>
    <w:uiPriority w:val="0"/>
    <w:qFormat/>
    <w:pPr>
      <w:jc w:val="left"/>
      <w:spacing w:line="440" w:lineRule="exact"/>
    </w:pPr>
    <w:rPr>
      <w:szCs w:val="21"/>
    </w:rPr>
  </w:style>
  <w:style w:type="table" w:styleId="92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7" w:customStyle="1">
    <w:name w:val="标题 71"/>
    <w:basedOn w:val="808"/>
    <w:next w:val="808"/>
    <w:link w:val="928"/>
    <w:uiPriority w:val="9"/>
    <w:qFormat/>
    <w:pPr>
      <w:keepLines/>
      <w:keepNext/>
      <w:spacing w:before="320" w:after="200"/>
      <w:outlineLvl w:val="6"/>
    </w:pPr>
    <w:rPr>
      <w:rFonts w:ascii="Arial" w:hAnsi="Arial" w:eastAsia="Arial" w:cs="Arial"/>
      <w:b/>
      <w:bCs/>
      <w:i/>
      <w:iCs/>
      <w:sz w:val="22"/>
      <w:szCs w:val="22"/>
    </w:rPr>
  </w:style>
  <w:style w:type="character" w:styleId="928" w:customStyle="1">
    <w:name w:val="Heading 7 Char_243c9c46-6bad-48b0-9f85-4983fd8b207a"/>
    <w:link w:val="927"/>
    <w:uiPriority w:val="9"/>
    <w:qFormat/>
    <w:rPr>
      <w:rFonts w:ascii="Arial" w:hAnsi="Arial" w:eastAsia="Arial" w:cs="Arial"/>
      <w:b/>
      <w:bCs/>
      <w:i/>
      <w:iCs/>
      <w:sz w:val="22"/>
      <w:szCs w:val="22"/>
    </w:rPr>
  </w:style>
  <w:style w:type="paragraph" w:styleId="929" w:customStyle="1">
    <w:name w:val="正文文本缩进12"/>
    <w:basedOn w:val="808"/>
    <w:next w:val="930"/>
    <w:uiPriority w:val="0"/>
    <w:qFormat/>
    <w:pPr>
      <w:ind w:firstLine="645"/>
    </w:pPr>
    <w:rPr>
      <w:rFonts w:ascii="楷体" w:eastAsia="楷体"/>
      <w:sz w:val="32"/>
      <w:szCs w:val="32"/>
    </w:rPr>
  </w:style>
  <w:style w:type="paragraph" w:styleId="930" w:customStyle="1">
    <w:name w:val="寄信人地址11"/>
    <w:basedOn w:val="808"/>
    <w:uiPriority w:val="0"/>
    <w:qFormat/>
    <w:pPr>
      <w:ind w:firstLine="420"/>
      <w:jc w:val="left"/>
      <w:spacing w:line="360" w:lineRule="auto"/>
    </w:pPr>
    <w:rPr>
      <w:rFonts w:ascii="Arial" w:hAnsi="Arial" w:cs="宋体"/>
      <w:color w:val="000000"/>
      <w:sz w:val="22"/>
      <w:szCs w:val="21"/>
    </w:rPr>
  </w:style>
  <w:style w:type="paragraph" w:styleId="931" w:customStyle="1">
    <w:name w:val="pa-4"/>
    <w:basedOn w:val="808"/>
    <w:uiPriority w:val="0"/>
    <w:qFormat/>
    <w:pPr>
      <w:jc w:val="left"/>
      <w:spacing w:before="150" w:after="150"/>
      <w:widowControl/>
    </w:pPr>
    <w:rPr>
      <w:rFonts w:ascii="宋体" w:hAnsi="宋体" w:cs="宋体"/>
      <w:color w:val="000000"/>
      <w:sz w:val="24"/>
    </w:rPr>
  </w:style>
  <w:style w:type="table" w:styleId="93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34">
    <w:name w:val="No Spacing"/>
    <w:uiPriority w:val="1"/>
    <w:qFormat/>
    <w:rPr>
      <w:rFonts w:ascii="Calibri" w:hAnsi="Calibri" w:eastAsia="宋体" w:cs="Times New Roman"/>
      <w:sz w:val="21"/>
      <w:szCs w:val="22"/>
      <w:lang w:val="en-US" w:eastAsia="zh-CN" w:bidi="ar-SA"/>
    </w:rPr>
  </w:style>
  <w:style w:type="table" w:styleId="93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6" w:customStyle="1">
    <w:name w:val="标题 411"/>
    <w:basedOn w:val="808"/>
    <w:next w:val="937"/>
    <w:uiPriority w:val="0"/>
    <w:qFormat/>
    <w:pPr>
      <w:keepLines/>
      <w:keepNext/>
      <w:spacing w:before="280" w:after="290" w:line="376" w:lineRule="auto"/>
      <w:outlineLvl w:val="3"/>
    </w:pPr>
    <w:rPr>
      <w:rFonts w:ascii="Arial" w:hAnsi="Arial" w:eastAsia="黑体"/>
      <w:b/>
      <w:bCs/>
      <w:sz w:val="28"/>
      <w:szCs w:val="28"/>
    </w:rPr>
  </w:style>
  <w:style w:type="paragraph" w:styleId="937" w:customStyle="1">
    <w:name w:val="正文缩进11"/>
    <w:basedOn w:val="808"/>
    <w:uiPriority w:val="0"/>
    <w:qFormat/>
    <w:pPr>
      <w:ind w:firstLine="420"/>
    </w:pPr>
    <w:rPr>
      <w:szCs w:val="20"/>
    </w:rPr>
  </w:style>
  <w:style w:type="table" w:styleId="93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4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41" w:customStyle="1">
    <w:name w:val="Subtitle Char"/>
    <w:basedOn w:val="818"/>
    <w:uiPriority w:val="11"/>
    <w:qFormat/>
    <w:rPr>
      <w:sz w:val="24"/>
      <w:szCs w:val="24"/>
    </w:rPr>
  </w:style>
  <w:style w:type="paragraph" w:styleId="942" w:customStyle="1">
    <w:name w:val="页脚11"/>
    <w:basedOn w:val="808"/>
    <w:uiPriority w:val="0"/>
    <w:qFormat/>
    <w:pPr>
      <w:jc w:val="left"/>
      <w:tabs>
        <w:tab w:val="center" w:pos="4153" w:leader="none"/>
        <w:tab w:val="right" w:pos="8306" w:leader="none"/>
      </w:tabs>
    </w:pPr>
    <w:rPr>
      <w:sz w:val="18"/>
      <w:szCs w:val="20"/>
    </w:rPr>
  </w:style>
  <w:style w:type="table" w:styleId="94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6" w:customStyle="1">
    <w:name w:val="4"/>
    <w:basedOn w:val="808"/>
    <w:next w:val="841"/>
    <w:uiPriority w:val="99"/>
    <w:qFormat/>
    <w:pPr>
      <w:ind w:firstLine="480"/>
      <w:spacing w:line="360" w:lineRule="auto"/>
    </w:pPr>
    <w:rPr>
      <w:rFonts w:eastAsia="微软雅黑"/>
      <w:b/>
      <w:color w:val="ff0000"/>
      <w:sz w:val="24"/>
    </w:rPr>
  </w:style>
  <w:style w:type="table" w:styleId="94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8" w:customStyle="1">
    <w:name w:val="标题 111"/>
    <w:basedOn w:val="808"/>
    <w:next w:val="808"/>
    <w:uiPriority w:val="0"/>
    <w:qFormat/>
    <w:pPr>
      <w:keepNext/>
      <w:outlineLvl w:val="0"/>
    </w:pPr>
    <w:rPr>
      <w:rFonts w:ascii="楷体" w:eastAsia="楷体"/>
      <w:sz w:val="28"/>
      <w:szCs w:val="20"/>
    </w:rPr>
  </w:style>
  <w:style w:type="table" w:styleId="94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51" w:customStyle="1">
    <w:name w:val="标题 1121"/>
    <w:basedOn w:val="808"/>
    <w:next w:val="808"/>
    <w:uiPriority w:val="0"/>
    <w:qFormat/>
    <w:pPr>
      <w:jc w:val="center"/>
      <w:keepNext/>
      <w:outlineLvl w:val="0"/>
    </w:pPr>
    <w:rPr>
      <w:rFonts w:ascii="楷体" w:eastAsia="楷体"/>
      <w:sz w:val="28"/>
      <w:szCs w:val="28"/>
    </w:rPr>
  </w:style>
  <w:style w:type="character" w:styleId="952" w:customStyle="1">
    <w:name w:val="Heading 8 Char_bb4c8d23-d699-441a-bd29-a0db28661282"/>
    <w:link w:val="953"/>
    <w:uiPriority w:val="9"/>
    <w:qFormat/>
    <w:rPr>
      <w:rFonts w:ascii="Arial" w:hAnsi="Arial" w:eastAsia="Arial" w:cs="Arial"/>
      <w:i/>
      <w:iCs/>
      <w:sz w:val="22"/>
      <w:szCs w:val="22"/>
    </w:rPr>
  </w:style>
  <w:style w:type="paragraph" w:styleId="953" w:customStyle="1">
    <w:name w:val="标题 81"/>
    <w:basedOn w:val="808"/>
    <w:next w:val="808"/>
    <w:link w:val="952"/>
    <w:uiPriority w:val="9"/>
    <w:qFormat/>
    <w:pPr>
      <w:keepLines/>
      <w:keepNext/>
      <w:spacing w:before="320" w:after="200"/>
      <w:outlineLvl w:val="7"/>
    </w:pPr>
    <w:rPr>
      <w:rFonts w:ascii="Arial" w:hAnsi="Arial" w:eastAsia="Arial" w:cs="Arial"/>
      <w:i/>
      <w:iCs/>
      <w:sz w:val="22"/>
      <w:szCs w:val="22"/>
    </w:rPr>
  </w:style>
  <w:style w:type="table" w:styleId="95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8" w:customStyle="1">
    <w:name w:val="Body text|2"/>
    <w:basedOn w:val="808"/>
    <w:uiPriority w:val="0"/>
    <w:qFormat/>
    <w:pPr>
      <w:spacing w:after="580"/>
    </w:pPr>
    <w:rPr>
      <w:rFonts w:ascii="宋体" w:hAnsi="宋体" w:cs="宋体"/>
      <w:sz w:val="28"/>
      <w:szCs w:val="28"/>
      <w:lang w:val="zh-TW" w:eastAsia="zh-TW" w:bidi="zh-TW"/>
    </w:rPr>
  </w:style>
  <w:style w:type="table" w:styleId="95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60" w:customStyle="1">
    <w:name w:val="正文首行缩进 211"/>
    <w:basedOn w:val="961"/>
    <w:uiPriority w:val="0"/>
    <w:qFormat/>
    <w:pPr>
      <w:ind w:firstLine="420"/>
    </w:pPr>
  </w:style>
  <w:style w:type="paragraph" w:styleId="961" w:customStyle="1">
    <w:name w:val="正文文本缩进11"/>
    <w:basedOn w:val="808"/>
    <w:next w:val="962"/>
    <w:uiPriority w:val="0"/>
    <w:qFormat/>
    <w:pPr>
      <w:ind w:left="420"/>
      <w:spacing w:after="120"/>
    </w:pPr>
  </w:style>
  <w:style w:type="paragraph" w:styleId="962" w:customStyle="1">
    <w:name w:val="寄信人地址1"/>
    <w:basedOn w:val="808"/>
    <w:uiPriority w:val="0"/>
    <w:qFormat/>
    <w:rPr>
      <w:rFonts w:ascii="Arial" w:hAnsi="Arial"/>
    </w:rPr>
  </w:style>
  <w:style w:type="character" w:styleId="963" w:customStyle="1">
    <w:name w:val="页码11"/>
    <w:uiPriority w:val="0"/>
    <w:qFormat/>
  </w:style>
  <w:style w:type="table" w:styleId="96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6" w:customStyle="1">
    <w:name w:val="NormalCharacter"/>
    <w:uiPriority w:val="99"/>
    <w:qFormat/>
    <w:rPr>
      <w:rFonts w:ascii="Calibri" w:hAnsi="Calibri" w:eastAsia="宋体"/>
    </w:rPr>
  </w:style>
  <w:style w:type="character" w:styleId="967" w:customStyle="1">
    <w:name w:val="标题 2 Char"/>
    <w:link w:val="968"/>
    <w:uiPriority w:val="0"/>
    <w:qFormat/>
    <w:rPr>
      <w:rFonts w:ascii="Arial" w:hAnsi="Arial" w:eastAsia="宋体"/>
      <w:b/>
      <w:sz w:val="44"/>
      <w:szCs w:val="20"/>
    </w:rPr>
  </w:style>
  <w:style w:type="paragraph" w:styleId="968" w:customStyle="1">
    <w:name w:val="标题 211"/>
    <w:basedOn w:val="808"/>
    <w:next w:val="808"/>
    <w:link w:val="967"/>
    <w:uiPriority w:val="0"/>
    <w:qFormat/>
    <w:pPr>
      <w:jc w:val="center"/>
      <w:keepLines/>
      <w:keepNext/>
      <w:spacing w:before="260" w:after="260" w:line="416" w:lineRule="auto"/>
      <w:outlineLvl w:val="1"/>
    </w:pPr>
    <w:rPr>
      <w:rFonts w:ascii="Arial" w:hAnsi="Arial"/>
      <w:b/>
      <w:sz w:val="44"/>
      <w:szCs w:val="20"/>
    </w:rPr>
  </w:style>
  <w:style w:type="paragraph" w:styleId="969" w:customStyle="1">
    <w:name w:val="正文缩进1"/>
    <w:basedOn w:val="808"/>
    <w:uiPriority w:val="0"/>
    <w:qFormat/>
    <w:pPr>
      <w:ind w:firstLine="420"/>
    </w:pPr>
  </w:style>
  <w:style w:type="paragraph" w:styleId="970" w:customStyle="1">
    <w:name w:val="WPSOffice手动目录 1"/>
    <w:uiPriority w:val="0"/>
    <w:qFormat/>
    <w:rPr>
      <w:rFonts w:ascii="Times New Roman" w:hAnsi="Times New Roman" w:eastAsia="宋体" w:cs="Times New Roman"/>
      <w:lang w:val="en-US" w:eastAsia="zh-CN" w:bidi="ar-SA"/>
    </w:rPr>
  </w:style>
  <w:style w:type="table" w:styleId="97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72" w:customStyle="1">
    <w:name w:val="标题 41"/>
    <w:basedOn w:val="808"/>
    <w:next w:val="808"/>
    <w:link w:val="973"/>
    <w:uiPriority w:val="9"/>
    <w:qFormat/>
    <w:pPr>
      <w:keepLines/>
      <w:keepNext/>
      <w:spacing w:before="320" w:after="200"/>
      <w:outlineLvl w:val="3"/>
    </w:pPr>
    <w:rPr>
      <w:rFonts w:ascii="Arial" w:hAnsi="Arial" w:eastAsia="Arial" w:cs="Arial"/>
      <w:b/>
      <w:bCs/>
      <w:sz w:val="26"/>
      <w:szCs w:val="26"/>
    </w:rPr>
  </w:style>
  <w:style w:type="character" w:styleId="973" w:customStyle="1">
    <w:name w:val="Heading 4 Char_c31a3291-bfa4-4d7b-9792-7b59c18d4e2b"/>
    <w:link w:val="972"/>
    <w:uiPriority w:val="9"/>
    <w:qFormat/>
    <w:rPr>
      <w:rFonts w:ascii="Arial" w:hAnsi="Arial" w:eastAsia="Arial" w:cs="Arial"/>
      <w:b/>
      <w:bCs/>
      <w:sz w:val="26"/>
      <w:szCs w:val="26"/>
    </w:rPr>
  </w:style>
  <w:style w:type="table" w:styleId="9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5" w:customStyle="1">
    <w:name w:val="Heading 11"/>
    <w:basedOn w:val="808"/>
    <w:next w:val="808"/>
    <w:link w:val="976"/>
    <w:uiPriority w:val="9"/>
    <w:qFormat/>
    <w:pPr>
      <w:keepLines/>
      <w:keepNext/>
      <w:spacing w:before="480" w:after="200"/>
      <w:outlineLvl w:val="0"/>
    </w:pPr>
    <w:rPr>
      <w:rFonts w:ascii="Arial" w:hAnsi="Arial" w:eastAsia="Arial" w:cs="Arial"/>
      <w:sz w:val="40"/>
      <w:szCs w:val="40"/>
    </w:rPr>
  </w:style>
  <w:style w:type="character" w:styleId="976" w:customStyle="1">
    <w:name w:val="Heading 1 Char_d4af410d-dfd8-408c-bcbd-0b5a38582c10"/>
    <w:link w:val="975"/>
    <w:uiPriority w:val="9"/>
    <w:qFormat/>
    <w:rPr>
      <w:rFonts w:ascii="Arial" w:hAnsi="Arial" w:eastAsia="Arial" w:cs="Arial"/>
      <w:sz w:val="40"/>
      <w:szCs w:val="40"/>
    </w:rPr>
  </w:style>
  <w:style w:type="table" w:styleId="9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8" w:customStyle="1">
    <w:name w:val="纯文本11"/>
    <w:basedOn w:val="808"/>
    <w:uiPriority w:val="99"/>
    <w:qFormat/>
    <w:rPr>
      <w:rFonts w:ascii="宋体" w:hAnsi="Courier New"/>
      <w:szCs w:val="20"/>
    </w:r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80" w:customStyle="1">
    <w:name w:val="普通正文"/>
    <w:basedOn w:val="808"/>
    <w:link w:val="981"/>
    <w:uiPriority w:val="0"/>
    <w:qFormat/>
    <w:pPr>
      <w:ind w:firstLine="480"/>
      <w:jc w:val="left"/>
      <w:spacing w:before="120" w:after="120" w:line="360" w:lineRule="auto"/>
    </w:pPr>
    <w:rPr>
      <w:rFonts w:ascii="Arial" w:hAnsi="Arial"/>
      <w:sz w:val="24"/>
    </w:rPr>
  </w:style>
  <w:style w:type="character" w:styleId="981" w:customStyle="1">
    <w:name w:val="普通正文 Char"/>
    <w:link w:val="980"/>
    <w:uiPriority w:val="0"/>
    <w:qFormat/>
    <w:rPr>
      <w:rFonts w:ascii="Arial" w:hAnsi="Arial"/>
      <w:sz w:val="24"/>
      <w:szCs w:val="24"/>
    </w:rPr>
  </w:style>
  <w:style w:type="character" w:styleId="982" w:customStyle="1">
    <w:name w:val="Heading 3 Char_b44b1981-d08e-43d8-9445-f3a845f9238f"/>
    <w:link w:val="983"/>
    <w:uiPriority w:val="9"/>
    <w:qFormat/>
    <w:rPr>
      <w:rFonts w:ascii="Arial" w:hAnsi="Arial" w:eastAsia="Arial" w:cs="Arial"/>
      <w:sz w:val="30"/>
      <w:szCs w:val="30"/>
    </w:rPr>
  </w:style>
  <w:style w:type="paragraph" w:styleId="983" w:customStyle="1">
    <w:name w:val="Heading 31"/>
    <w:basedOn w:val="808"/>
    <w:next w:val="808"/>
    <w:link w:val="982"/>
    <w:uiPriority w:val="9"/>
    <w:qFormat/>
    <w:pPr>
      <w:keepLines/>
      <w:keepNext/>
      <w:spacing w:before="320" w:after="200"/>
      <w:outlineLvl w:val="2"/>
    </w:pPr>
    <w:rPr>
      <w:rFonts w:ascii="Arial" w:hAnsi="Arial" w:eastAsia="Arial" w:cs="Arial"/>
      <w:sz w:val="30"/>
      <w:szCs w:val="30"/>
    </w:rPr>
  </w:style>
  <w:style w:type="table" w:styleId="98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5" w:customStyle="1">
    <w:name w:val="font21"/>
    <w:basedOn w:val="818"/>
    <w:uiPriority w:val="0"/>
    <w:qFormat/>
    <w:rPr>
      <w:rFonts w:hint="default" w:ascii="Times New Roman" w:hAnsi="Times New Roman" w:cs="Times New Roman"/>
      <w:color w:val="000000"/>
      <w:sz w:val="24"/>
      <w:szCs w:val="24"/>
      <w:u w:val="none"/>
    </w:rPr>
  </w:style>
  <w:style w:type="table" w:styleId="98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7" w:customStyle="1">
    <w:name w:val="TOC 标题1121"/>
    <w:uiPriority w:val="39"/>
    <w:qFormat/>
    <w:rPr>
      <w:rFonts w:ascii="Times New Roman" w:hAnsi="Times New Roman" w:eastAsia="宋体" w:cs="Times New Roman"/>
      <w:sz w:val="21"/>
      <w:szCs w:val="22"/>
      <w:lang w:val="en-US" w:eastAsia="zh-CN" w:bidi="ar-SA"/>
    </w:rPr>
  </w:style>
  <w:style w:type="table" w:styleId="98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91" w:customStyle="1">
    <w:name w:val="Header1"/>
    <w:basedOn w:val="808"/>
    <w:link w:val="992"/>
    <w:uiPriority w:val="99"/>
    <w:qFormat/>
    <w:pPr>
      <w:tabs>
        <w:tab w:val="center" w:pos="7143" w:leader="none"/>
        <w:tab w:val="right" w:pos="14287" w:leader="none"/>
      </w:tabs>
    </w:pPr>
  </w:style>
  <w:style w:type="character" w:styleId="992" w:customStyle="1">
    <w:name w:val="Header Char_be4f24b2-7f17-4af0-8f33-0590e26a917c"/>
    <w:link w:val="991"/>
    <w:uiPriority w:val="99"/>
    <w:qFormat/>
  </w:style>
  <w:style w:type="table" w:styleId="9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7" w:customStyle="1">
    <w:name w:val="Title Char_b4b369a3-c0dc-4a1c-864f-542fcbabd844"/>
    <w:basedOn w:val="818"/>
    <w:uiPriority w:val="10"/>
    <w:qFormat/>
    <w:rPr>
      <w:sz w:val="48"/>
      <w:szCs w:val="48"/>
    </w:rPr>
  </w:style>
  <w:style w:type="table" w:styleId="99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0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0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1002" w:customStyle="1">
    <w:name w:val="Footer Char_9810c813-560c-4d63-9ee2-25cd38a8754c"/>
    <w:uiPriority w:val="99"/>
    <w:qFormat/>
  </w:style>
  <w:style w:type="paragraph" w:styleId="1003" w:customStyle="1">
    <w:name w:val="标题 311"/>
    <w:basedOn w:val="808"/>
    <w:next w:val="808"/>
    <w:uiPriority w:val="0"/>
    <w:qFormat/>
    <w:pPr>
      <w:keepLines/>
      <w:keepNext/>
      <w:spacing w:before="260" w:after="260" w:line="416" w:lineRule="auto"/>
      <w:outlineLvl w:val="2"/>
    </w:pPr>
    <w:rPr>
      <w:b/>
      <w:sz w:val="32"/>
      <w:szCs w:val="20"/>
    </w:rPr>
  </w:style>
  <w:style w:type="table" w:styleId="10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6" w:customStyle="1">
    <w:name w:val="正文文本缩进1"/>
    <w:basedOn w:val="808"/>
    <w:uiPriority w:val="0"/>
    <w:qFormat/>
    <w:pPr>
      <w:ind w:firstLine="645"/>
    </w:pPr>
    <w:rPr>
      <w:rFonts w:ascii="楷体" w:eastAsia="楷体"/>
      <w:sz w:val="32"/>
      <w:szCs w:val="32"/>
    </w:rPr>
  </w:style>
  <w:style w:type="paragraph" w:styleId="1007" w:customStyle="1">
    <w:name w:val="样式 小四 段前: 5 磅 段后: 5 磅 首行缩进:  2 字符"/>
    <w:basedOn w:val="808"/>
    <w:uiPriority w:val="0"/>
    <w:qFormat/>
    <w:pPr>
      <w:spacing w:line="360" w:lineRule="auto"/>
    </w:pPr>
    <w:rPr>
      <w:rFonts w:ascii="宋体" w:hAnsi="宋体"/>
    </w:rPr>
  </w:style>
  <w:style w:type="paragraph" w:styleId="1008" w:customStyle="1">
    <w:name w:val="文本块1"/>
    <w:basedOn w:val="808"/>
    <w:uiPriority w:val="99"/>
    <w:qFormat/>
    <w:pPr>
      <w:ind w:left="1440" w:right="1440"/>
      <w:spacing w:after="120"/>
      <w:tabs>
        <w:tab w:val="left" w:pos="9000" w:leader="none"/>
      </w:tabs>
    </w:pPr>
  </w:style>
  <w:style w:type="table" w:styleId="10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1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12" w:customStyle="1">
    <w:name w:val="Table Normal"/>
    <w:uiPriority w:val="0"/>
    <w:qFormat/>
    <w:tblPr>
      <w:tblCellMar>
        <w:left w:w="0" w:type="dxa"/>
        <w:top w:w="0" w:type="dxa"/>
        <w:right w:w="0" w:type="dxa"/>
        <w:bottom w:w="0" w:type="dxa"/>
      </w:tblCellMar>
    </w:tblPr>
  </w:style>
  <w:style w:type="table" w:styleId="101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5">
    <w:name w:val="Intense Quote"/>
    <w:basedOn w:val="808"/>
    <w:next w:val="808"/>
    <w:link w:val="10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明显引用 字符"/>
    <w:link w:val="1015"/>
    <w:uiPriority w:val="30"/>
    <w:qFormat/>
    <w:rPr>
      <w:i/>
    </w:rPr>
  </w:style>
  <w:style w:type="table" w:styleId="10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8" w:customStyle="1">
    <w:name w:val="标题 2121"/>
    <w:basedOn w:val="808"/>
    <w:next w:val="969"/>
    <w:uiPriority w:val="0"/>
    <w:qFormat/>
    <w:pPr>
      <w:jc w:val="center"/>
      <w:keepLines/>
      <w:keepNext/>
      <w:spacing w:before="260" w:after="260" w:line="416" w:lineRule="auto"/>
      <w:outlineLvl w:val="1"/>
    </w:pPr>
    <w:rPr>
      <w:rFonts w:ascii="Arial" w:hAnsi="Arial" w:cs="Arial"/>
      <w:b/>
      <w:bCs/>
      <w:sz w:val="44"/>
      <w:szCs w:val="44"/>
    </w:rPr>
  </w:style>
  <w:style w:type="table" w:styleId="1019"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20" w:customStyle="1">
    <w:name w:val="Heading 6 Char_2290764d-6979-4590-8bd3-c121b1f1845e"/>
    <w:link w:val="1021"/>
    <w:uiPriority w:val="9"/>
    <w:qFormat/>
    <w:rPr>
      <w:rFonts w:ascii="Arial" w:hAnsi="Arial" w:eastAsia="Arial" w:cs="Arial"/>
      <w:b/>
      <w:bCs/>
      <w:sz w:val="22"/>
      <w:szCs w:val="22"/>
    </w:rPr>
  </w:style>
  <w:style w:type="paragraph" w:styleId="1021" w:customStyle="1">
    <w:name w:val="标题 61"/>
    <w:basedOn w:val="808"/>
    <w:next w:val="808"/>
    <w:link w:val="1020"/>
    <w:uiPriority w:val="9"/>
    <w:qFormat/>
    <w:pPr>
      <w:keepLines/>
      <w:keepNext/>
      <w:spacing w:before="320" w:after="200"/>
      <w:outlineLvl w:val="5"/>
    </w:pPr>
    <w:rPr>
      <w:rFonts w:ascii="Arial" w:hAnsi="Arial" w:eastAsia="Arial" w:cs="Arial"/>
      <w:b/>
      <w:bCs/>
      <w:sz w:val="22"/>
      <w:szCs w:val="22"/>
    </w:rPr>
  </w:style>
  <w:style w:type="paragraph" w:styleId="1022" w:customStyle="1">
    <w:name w:val="flName"/>
    <w:basedOn w:val="808"/>
    <w:uiPriority w:val="0"/>
    <w:qFormat/>
    <w:pPr>
      <w:jc w:val="center"/>
      <w:spacing w:before="320" w:after="160" w:line="360" w:lineRule="atLeast"/>
    </w:pPr>
    <w:rPr>
      <w:rFonts w:ascii="Arial" w:eastAsia="黑体"/>
      <w:sz w:val="32"/>
      <w:szCs w:val="20"/>
    </w:rPr>
  </w:style>
  <w:style w:type="table" w:styleId="10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2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5" w:customStyle="1">
    <w:name w:val="NormalCharacter1"/>
    <w:uiPriority w:val="99"/>
    <w:qFormat/>
    <w:rPr>
      <w:rFonts w:ascii="Calibri" w:hAnsi="Calibri" w:eastAsia="宋体"/>
    </w:rPr>
  </w:style>
  <w:style w:type="paragraph" w:styleId="1026" w:customStyle="1">
    <w:name w:val="pa-5"/>
    <w:basedOn w:val="808"/>
    <w:uiPriority w:val="0"/>
    <w:qFormat/>
    <w:pPr>
      <w:jc w:val="left"/>
      <w:spacing w:before="150" w:after="150"/>
      <w:widowControl/>
    </w:pPr>
    <w:rPr>
      <w:rFonts w:ascii="宋体" w:hAnsi="宋体" w:cs="宋体"/>
      <w:color w:val="000000"/>
      <w:sz w:val="24"/>
    </w:rPr>
  </w:style>
  <w:style w:type="character" w:styleId="1027" w:customStyle="1">
    <w:name w:val="Heading 2 Char_5c8af6f5-e48a-4634-bbf8-b2e5c568ca8f"/>
    <w:link w:val="1028"/>
    <w:uiPriority w:val="9"/>
    <w:qFormat/>
    <w:rPr>
      <w:rFonts w:ascii="Arial" w:hAnsi="Arial" w:eastAsia="Arial" w:cs="Arial"/>
      <w:sz w:val="34"/>
    </w:rPr>
  </w:style>
  <w:style w:type="paragraph" w:styleId="1028" w:customStyle="1">
    <w:name w:val="Heading 21"/>
    <w:basedOn w:val="808"/>
    <w:next w:val="808"/>
    <w:link w:val="1027"/>
    <w:uiPriority w:val="9"/>
    <w:qFormat/>
    <w:pPr>
      <w:keepLines/>
      <w:keepNext/>
      <w:spacing w:before="360" w:after="200"/>
      <w:outlineLvl w:val="1"/>
    </w:pPr>
    <w:rPr>
      <w:rFonts w:ascii="Arial" w:hAnsi="Arial" w:eastAsia="Arial" w:cs="Arial"/>
      <w:sz w:val="34"/>
    </w:rPr>
  </w:style>
  <w:style w:type="table" w:styleId="10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30" w:customStyle="1">
    <w:name w:val="Footnote Text Char"/>
    <w:uiPriority w:val="99"/>
    <w:qFormat/>
    <w:rPr>
      <w:sz w:val="18"/>
    </w:rPr>
  </w:style>
  <w:style w:type="paragraph" w:styleId="1031" w:customStyle="1">
    <w:name w:val="批注文字1"/>
    <w:basedOn w:val="808"/>
    <w:uiPriority w:val="0"/>
    <w:qFormat/>
    <w:pPr>
      <w:jc w:val="left"/>
    </w:pPr>
    <w:rPr>
      <w:rFonts w:ascii="Calibri" w:hAnsi="Calibri"/>
      <w:szCs w:val="22"/>
    </w:rPr>
  </w:style>
  <w:style w:type="table" w:styleId="103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33" w:customStyle="1">
    <w:name w:val="font31"/>
    <w:basedOn w:val="818"/>
    <w:uiPriority w:val="0"/>
    <w:qFormat/>
    <w:rPr>
      <w:rFonts w:hint="eastAsia" w:ascii="宋体" w:hAnsi="宋体" w:eastAsia="宋体" w:cs="宋体"/>
      <w:color w:val="000000"/>
      <w:sz w:val="19"/>
      <w:szCs w:val="19"/>
      <w:u w:val="none"/>
    </w:rPr>
  </w:style>
  <w:style w:type="table" w:styleId="103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5" w:customStyle="1">
    <w:name w:val="标题 51"/>
    <w:basedOn w:val="808"/>
    <w:next w:val="808"/>
    <w:link w:val="1036"/>
    <w:uiPriority w:val="9"/>
    <w:qFormat/>
    <w:pPr>
      <w:keepLines/>
      <w:keepNext/>
      <w:spacing w:before="320" w:after="200"/>
      <w:outlineLvl w:val="4"/>
    </w:pPr>
    <w:rPr>
      <w:rFonts w:ascii="Arial" w:hAnsi="Arial" w:eastAsia="Arial" w:cs="Arial"/>
      <w:b/>
      <w:bCs/>
      <w:sz w:val="24"/>
    </w:rPr>
  </w:style>
  <w:style w:type="character" w:styleId="1036" w:customStyle="1">
    <w:name w:val="Heading 5 Char_23cf5061-de88-43b9-8d64-289936838cdf"/>
    <w:link w:val="1035"/>
    <w:uiPriority w:val="9"/>
    <w:qFormat/>
    <w:rPr>
      <w:rFonts w:ascii="Arial" w:hAnsi="Arial" w:eastAsia="Arial" w:cs="Arial"/>
      <w:b/>
      <w:bCs/>
      <w:sz w:val="24"/>
      <w:szCs w:val="24"/>
    </w:rPr>
  </w:style>
  <w:style w:type="paragraph" w:styleId="1037" w:customStyle="1">
    <w:name w:val="页脚121"/>
    <w:basedOn w:val="808"/>
    <w:uiPriority w:val="0"/>
    <w:qFormat/>
    <w:pPr>
      <w:jc w:val="left"/>
      <w:tabs>
        <w:tab w:val="center" w:pos="4153" w:leader="none"/>
        <w:tab w:val="right" w:pos="8306" w:leader="none"/>
      </w:tabs>
    </w:pPr>
    <w:rPr>
      <w:sz w:val="18"/>
      <w:szCs w:val="18"/>
    </w:rPr>
  </w:style>
  <w:style w:type="table" w:styleId="103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9" w:customStyle="1">
    <w:name w:val="Intense Quote Char_cd88471f-87b8-480c-ab55-e1b012420c09"/>
    <w:uiPriority w:val="30"/>
    <w:qFormat/>
    <w:rPr>
      <w:i/>
    </w:rPr>
  </w:style>
  <w:style w:type="table" w:styleId="104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4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42" w:customStyle="1">
    <w:name w:val="目录 11"/>
    <w:basedOn w:val="808"/>
    <w:next w:val="808"/>
    <w:uiPriority w:val="0"/>
    <w:qFormat/>
    <w:pPr>
      <w:jc w:val="left"/>
      <w:spacing w:before="120" w:after="120" w:line="300" w:lineRule="exact"/>
      <w:tabs>
        <w:tab w:val="right" w:pos="9440" w:leader="dot"/>
      </w:tabs>
    </w:pPr>
    <w:rPr>
      <w:rFonts w:ascii="黑体" w:eastAsia="黑体"/>
      <w:b/>
      <w:caps/>
      <w:sz w:val="18"/>
      <w:szCs w:val="28"/>
    </w:rPr>
  </w:style>
  <w:style w:type="table" w:styleId="10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8" w:customStyle="1">
    <w:name w:val="标题 91"/>
    <w:basedOn w:val="808"/>
    <w:next w:val="808"/>
    <w:link w:val="1049"/>
    <w:uiPriority w:val="9"/>
    <w:qFormat/>
    <w:pPr>
      <w:keepLines/>
      <w:keepNext/>
      <w:spacing w:before="320" w:after="200"/>
      <w:outlineLvl w:val="8"/>
    </w:pPr>
    <w:rPr>
      <w:rFonts w:ascii="Arial" w:hAnsi="Arial" w:eastAsia="Arial" w:cs="Arial"/>
      <w:i/>
      <w:iCs/>
      <w:szCs w:val="21"/>
    </w:rPr>
  </w:style>
  <w:style w:type="character" w:styleId="1049" w:customStyle="1">
    <w:name w:val="Heading 9 Char_dff5989d-488f-4bce-8721-1e40fadef25a"/>
    <w:link w:val="1048"/>
    <w:uiPriority w:val="9"/>
    <w:qFormat/>
    <w:rPr>
      <w:rFonts w:ascii="Arial" w:hAnsi="Arial" w:eastAsia="Arial" w:cs="Arial"/>
      <w:i/>
      <w:iCs/>
      <w:sz w:val="21"/>
      <w:szCs w:val="21"/>
    </w:rPr>
  </w:style>
  <w:style w:type="table" w:styleId="105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53" w:customStyle="1">
    <w:name w:val="Body text|1"/>
    <w:basedOn w:val="808"/>
    <w:uiPriority w:val="0"/>
    <w:qFormat/>
    <w:pPr>
      <w:ind w:firstLine="320"/>
      <w:spacing w:line="466" w:lineRule="auto"/>
    </w:pPr>
    <w:rPr>
      <w:rFonts w:ascii="宋体" w:hAnsi="宋体" w:cs="宋体"/>
      <w:sz w:val="20"/>
      <w:szCs w:val="20"/>
      <w:lang w:val="zh-TW" w:eastAsia="zh-TW" w:bidi="zh-TW"/>
    </w:rPr>
  </w:style>
  <w:style w:type="table" w:styleId="105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6" w:customStyle="1">
    <w:name w:val="列出段落1"/>
    <w:basedOn w:val="808"/>
    <w:uiPriority w:val="34"/>
    <w:qFormat/>
    <w:pPr>
      <w:contextualSpacing/>
      <w:ind w:left="720"/>
      <w:jc w:val="left"/>
      <w:widowControl/>
    </w:pPr>
    <w:rPr>
      <w:rFonts w:ascii="Calibri" w:hAnsi="Calibri"/>
      <w:sz w:val="24"/>
      <w:lang w:eastAsia="en-US" w:bidi="en-US"/>
    </w:rPr>
  </w:style>
  <w:style w:type="paragraph" w:styleId="1057" w:customStyle="1">
    <w:name w:val="正文缩进12"/>
    <w:basedOn w:val="808"/>
    <w:uiPriority w:val="0"/>
    <w:qFormat/>
    <w:pPr>
      <w:ind w:firstLine="420"/>
      <w:jc w:val="left"/>
      <w:spacing w:line="360" w:lineRule="auto"/>
    </w:pPr>
    <w:rPr>
      <w:rFonts w:ascii="宋体" w:hAnsi="宋体" w:cs="宋体"/>
      <w:color w:val="000000"/>
      <w:sz w:val="24"/>
      <w:szCs w:val="21"/>
    </w:rPr>
  </w:style>
  <w:style w:type="table" w:styleId="10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59" w:customStyle="1">
    <w:name w:val="默认段落字体1"/>
    <w:uiPriority w:val="0"/>
    <w:qFormat/>
  </w:style>
  <w:style w:type="table" w:styleId="10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62" w:customStyle="1">
    <w:name w:val="font11"/>
    <w:basedOn w:val="818"/>
    <w:uiPriority w:val="0"/>
    <w:qFormat/>
    <w:rPr>
      <w:rFonts w:hint="eastAsia" w:ascii="宋体" w:hAnsi="宋体" w:eastAsia="宋体" w:cs="宋体"/>
      <w:b/>
      <w:bCs/>
      <w:color w:val="000000"/>
      <w:sz w:val="21"/>
      <w:szCs w:val="21"/>
      <w:u w:val="none"/>
    </w:rPr>
  </w:style>
  <w:style w:type="table" w:styleId="106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5"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7" w:customStyle="1">
    <w:name w:val="日期1"/>
    <w:basedOn w:val="808"/>
    <w:next w:val="808"/>
    <w:uiPriority w:val="0"/>
    <w:qFormat/>
    <w:rPr>
      <w:sz w:val="24"/>
      <w:szCs w:val="20"/>
    </w:rPr>
  </w:style>
  <w:style w:type="paragraph" w:styleId="1068" w:customStyle="1">
    <w:name w:val="pa-6"/>
    <w:basedOn w:val="808"/>
    <w:uiPriority w:val="0"/>
    <w:qFormat/>
    <w:pPr>
      <w:jc w:val="left"/>
      <w:spacing w:before="150" w:after="150"/>
      <w:widowControl/>
    </w:pPr>
    <w:rPr>
      <w:rFonts w:ascii="宋体" w:hAnsi="宋体" w:cs="宋体"/>
      <w:color w:val="000000"/>
      <w:sz w:val="24"/>
    </w:rPr>
  </w:style>
  <w:style w:type="table" w:styleId="1069"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70">
    <w:name w:val="List Paragraph"/>
    <w:basedOn w:val="808"/>
    <w:uiPriority w:val="34"/>
    <w:qFormat/>
    <w:pPr>
      <w:contextualSpacing/>
      <w:ind w:left="720"/>
    </w:pPr>
  </w:style>
  <w:style w:type="table" w:styleId="10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5" w:customStyle="1">
    <w:name w:val="纯文本1"/>
    <w:basedOn w:val="808"/>
    <w:uiPriority w:val="0"/>
    <w:qFormat/>
    <w:rPr>
      <w:rFonts w:ascii="宋体" w:hAnsi="Courier New" w:eastAsia="楷体"/>
      <w:sz w:val="26"/>
    </w:rPr>
  </w:style>
  <w:style w:type="paragraph" w:styleId="1076" w:customStyle="1">
    <w:name w:val="Table Paragraph"/>
    <w:basedOn w:val="808"/>
    <w:uiPriority w:val="1"/>
    <w:qFormat/>
    <w:pPr>
      <w:ind w:left="348"/>
    </w:pPr>
    <w:rPr>
      <w:rFonts w:ascii="宋体" w:hAnsi="宋体" w:cs="宋体"/>
      <w:lang w:val="zh-CN" w:bidi="zh-CN"/>
    </w:rPr>
  </w:style>
  <w:style w:type="paragraph" w:styleId="1077" w:customStyle="1">
    <w:name w:val="普通(网站)1"/>
    <w:basedOn w:val="808"/>
    <w:uiPriority w:val="99"/>
    <w:qFormat/>
    <w:pPr>
      <w:jc w:val="left"/>
      <w:spacing w:before="100" w:beforeAutospacing="1" w:after="100" w:afterAutospacing="1"/>
      <w:widowControl/>
    </w:pPr>
    <w:rPr>
      <w:rFonts w:ascii="宋体" w:hAnsi="宋体" w:cs="宋体"/>
      <w:sz w:val="24"/>
    </w:rPr>
  </w:style>
  <w:style w:type="paragraph" w:styleId="1078" w:customStyle="1">
    <w:name w:val="页眉1111"/>
    <w:basedOn w:val="808"/>
    <w:uiPriority w:val="0"/>
    <w:qFormat/>
    <w:pPr>
      <w:jc w:val="center"/>
      <w:tabs>
        <w:tab w:val="center" w:pos="4153" w:leader="none"/>
        <w:tab w:val="right" w:pos="8306" w:leader="none"/>
      </w:tabs>
      <w:pBdr>
        <w:bottom w:val="single" w:color="000000" w:sz="6" w:space="1"/>
      </w:pBdr>
    </w:pPr>
    <w:rPr>
      <w:sz w:val="18"/>
      <w:szCs w:val="18"/>
    </w:rPr>
  </w:style>
  <w:style w:type="table" w:styleId="10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8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81"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82" w:customStyle="1">
    <w:name w:val="普通(网站)11"/>
    <w:basedOn w:val="808"/>
    <w:uiPriority w:val="0"/>
    <w:qFormat/>
    <w:pPr>
      <w:jc w:val="left"/>
      <w:spacing w:before="100" w:beforeAutospacing="1" w:after="100" w:afterAutospacing="1"/>
      <w:widowControl/>
    </w:pPr>
    <w:rPr>
      <w:rFonts w:ascii="宋体" w:hAnsi="宋体" w:cs="宋体"/>
      <w:sz w:val="24"/>
    </w:rPr>
  </w:style>
  <w:style w:type="paragraph" w:styleId="1083" w:customStyle="1">
    <w:name w:val="pa-3"/>
    <w:basedOn w:val="808"/>
    <w:uiPriority w:val="0"/>
    <w:qFormat/>
    <w:pPr>
      <w:jc w:val="left"/>
      <w:spacing w:before="150" w:after="150"/>
      <w:widowControl/>
    </w:pPr>
    <w:rPr>
      <w:rFonts w:ascii="宋体" w:hAnsi="宋体" w:cs="宋体"/>
      <w:color w:val="000000"/>
      <w:sz w:val="24"/>
    </w:rPr>
  </w:style>
  <w:style w:type="table" w:styleId="10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5" w:customStyle="1">
    <w:name w:val="TOC 标题111"/>
    <w:uiPriority w:val="39"/>
    <w:qFormat/>
    <w:rPr>
      <w:rFonts w:ascii="Times New Roman" w:hAnsi="Times New Roman" w:eastAsia="宋体" w:cs="Times New Roman"/>
      <w:sz w:val="21"/>
      <w:szCs w:val="22"/>
      <w:lang w:val="en-US" w:eastAsia="zh-CN" w:bidi="ar-SA"/>
    </w:rPr>
  </w:style>
  <w:style w:type="table" w:styleId="10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8" w:customStyle="1">
    <w:name w:val="正文文本1"/>
    <w:basedOn w:val="808"/>
    <w:next w:val="1089"/>
    <w:uiPriority w:val="0"/>
    <w:qFormat/>
    <w:rPr>
      <w:rFonts w:ascii="楷体" w:hAnsi="Arial" w:eastAsia="楷体"/>
      <w:sz w:val="28"/>
      <w:szCs w:val="20"/>
    </w:rPr>
  </w:style>
  <w:style w:type="paragraph" w:styleId="1089" w:customStyle="1">
    <w:name w:val="正文文本 21"/>
    <w:basedOn w:val="808"/>
    <w:uiPriority w:val="0"/>
    <w:qFormat/>
    <w:pPr>
      <w:jc w:val="center"/>
    </w:pPr>
    <w:rPr>
      <w:rFonts w:ascii="仿宋" w:eastAsia="仿宋"/>
      <w:sz w:val="44"/>
    </w:rPr>
  </w:style>
  <w:style w:type="table" w:styleId="109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91" w:customStyle="1">
    <w:name w:val="段"/>
    <w:next w:val="808"/>
    <w:uiPriority w:val="0"/>
    <w:qFormat/>
    <w:pPr>
      <w:ind w:firstLine="420"/>
      <w:jc w:val="both"/>
      <w:tabs>
        <w:tab w:val="center" w:pos="4201" w:leader="none"/>
        <w:tab w:val="right" w:pos="9298" w:leader="dot"/>
      </w:tabs>
    </w:pPr>
    <w:rPr>
      <w:rFonts w:ascii="宋体" w:hAnsi="Calibri" w:eastAsia="宋体" w:cs="Times New Roman"/>
      <w:sz w:val="21"/>
      <w:szCs w:val="22"/>
      <w:lang w:val="en-US" w:eastAsia="zh-CN" w:bidi="ar-SA"/>
    </w:rPr>
  </w:style>
  <w:style w:type="character" w:styleId="1092" w:customStyle="1">
    <w:name w:val="引用 字符"/>
    <w:link w:val="1093"/>
    <w:uiPriority w:val="29"/>
    <w:qFormat/>
    <w:rPr>
      <w:i/>
    </w:rPr>
  </w:style>
  <w:style w:type="paragraph" w:styleId="1093">
    <w:name w:val="Quote"/>
    <w:basedOn w:val="808"/>
    <w:next w:val="808"/>
    <w:link w:val="1092"/>
    <w:uiPriority w:val="29"/>
    <w:qFormat/>
    <w:pPr>
      <w:ind w:left="720" w:right="720"/>
    </w:pPr>
    <w:rPr>
      <w:i/>
    </w:rPr>
  </w:style>
  <w:style w:type="table" w:styleId="1094"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6" w:customStyle="1">
    <w:name w:val="正文首行缩进 21"/>
    <w:basedOn w:val="1006"/>
    <w:uiPriority w:val="0"/>
    <w:qFormat/>
    <w:pPr>
      <w:ind w:firstLine="420"/>
      <w:spacing w:line="360" w:lineRule="auto"/>
    </w:pPr>
    <w:rPr>
      <w:rFonts w:ascii="宋体" w:hAnsi="宋体" w:eastAsia="宋体"/>
      <w:sz w:val="21"/>
      <w:szCs w:val="20"/>
    </w:rPr>
  </w:style>
  <w:style w:type="table" w:styleId="109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9" w:customStyle="1">
    <w:name w:val="Endnote Text Char"/>
    <w:uiPriority w:val="99"/>
    <w:qFormat/>
    <w:rPr>
      <w:sz w:val="20"/>
    </w:rPr>
  </w:style>
  <w:style w:type="table" w:styleId="11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103" w:customStyle="1">
    <w:name w:val="TOC 标题11"/>
    <w:uiPriority w:val="39"/>
    <w:qFormat/>
    <w:rPr>
      <w:rFonts w:ascii="Calibri" w:hAnsi="Calibri" w:eastAsia="宋体" w:cs="Times New Roman"/>
      <w:sz w:val="21"/>
      <w:szCs w:val="22"/>
      <w:lang w:val="en-US" w:eastAsia="zh-CN" w:bidi="ar-SA"/>
    </w:rPr>
  </w:style>
  <w:style w:type="table" w:styleId="11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5" w:customStyle="1">
    <w:name w:val="标题 4121"/>
    <w:basedOn w:val="808"/>
    <w:next w:val="808"/>
    <w:link w:val="1106"/>
    <w:uiPriority w:val="0"/>
    <w:qFormat/>
    <w:pPr>
      <w:keepLines/>
      <w:keepNext/>
      <w:spacing w:before="280" w:after="290" w:line="376" w:lineRule="auto"/>
      <w:outlineLvl w:val="3"/>
    </w:pPr>
    <w:rPr>
      <w:rFonts w:ascii="Arial" w:hAnsi="Arial" w:eastAsia="黑体" w:cs="Arial"/>
      <w:b/>
      <w:bCs/>
      <w:sz w:val="28"/>
      <w:szCs w:val="28"/>
    </w:rPr>
  </w:style>
  <w:style w:type="character" w:styleId="1106" w:customStyle="1">
    <w:name w:val="标题 4 Char"/>
    <w:basedOn w:val="818"/>
    <w:link w:val="1105"/>
    <w:uiPriority w:val="9"/>
    <w:qFormat/>
    <w:rPr>
      <w:rFonts w:ascii="Arial" w:hAnsi="Arial" w:eastAsia="黑体" w:cs="Arial"/>
      <w:b/>
      <w:bCs/>
      <w:sz w:val="28"/>
      <w:szCs w:val="28"/>
    </w:rPr>
  </w:style>
  <w:style w:type="paragraph" w:styleId="1107" w:customStyle="1">
    <w:name w:val="题注1"/>
    <w:basedOn w:val="808"/>
    <w:next w:val="808"/>
    <w:uiPriority w:val="35"/>
    <w:qFormat/>
    <w:pPr>
      <w:spacing w:line="276" w:lineRule="auto"/>
    </w:pPr>
    <w:rPr>
      <w:b/>
      <w:bCs/>
      <w:color w:val="4f81bd"/>
      <w:sz w:val="18"/>
      <w:szCs w:val="18"/>
    </w:rPr>
  </w:style>
  <w:style w:type="table" w:styleId="11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1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1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13" w:customStyle="1">
    <w:name w:val="Body text|4"/>
    <w:basedOn w:val="808"/>
    <w:uiPriority w:val="0"/>
    <w:qFormat/>
    <w:pPr>
      <w:ind w:hanging="1540"/>
    </w:pPr>
    <w:rPr>
      <w:sz w:val="20"/>
      <w:szCs w:val="20"/>
      <w:lang w:val="zh-CN"/>
    </w:rPr>
  </w:style>
  <w:style w:type="table" w:styleId="111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5" w:customStyle="1">
    <w:name w:val="页码1"/>
    <w:uiPriority w:val="0"/>
    <w:qFormat/>
  </w:style>
  <w:style w:type="table" w:styleId="111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7" w:customStyle="1">
    <w:name w:val="无间隔1"/>
    <w:uiPriority w:val="1"/>
    <w:qFormat/>
    <w:pPr>
      <w:jc w:val="both"/>
      <w:widowControl w:val="off"/>
    </w:pPr>
    <w:rPr>
      <w:rFonts w:ascii="Calibri" w:hAnsi="Calibri" w:eastAsia="宋体" w:cs="Times New Roman"/>
      <w:sz w:val="21"/>
      <w:szCs w:val="22"/>
      <w:lang w:val="en-US" w:eastAsia="zh-CN" w:bidi="ar-SA"/>
    </w:rPr>
  </w:style>
  <w:style w:type="table" w:styleId="111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20" w:customStyle="1">
    <w:name w:val="标题 3121"/>
    <w:basedOn w:val="808"/>
    <w:next w:val="808"/>
    <w:link w:val="1121"/>
    <w:uiPriority w:val="0"/>
    <w:qFormat/>
    <w:pPr>
      <w:keepLines/>
      <w:keepNext/>
      <w:spacing w:before="260" w:after="260" w:line="416" w:lineRule="auto"/>
      <w:outlineLvl w:val="2"/>
    </w:pPr>
    <w:rPr>
      <w:b/>
      <w:bCs/>
      <w:sz w:val="32"/>
      <w:szCs w:val="32"/>
    </w:rPr>
  </w:style>
  <w:style w:type="character" w:styleId="1121" w:customStyle="1">
    <w:name w:val="标题 3 Char"/>
    <w:basedOn w:val="818"/>
    <w:link w:val="1120"/>
    <w:uiPriority w:val="9"/>
    <w:qFormat/>
    <w:rPr>
      <w:b/>
      <w:bCs/>
      <w:sz w:val="32"/>
      <w:szCs w:val="32"/>
    </w:rPr>
  </w:style>
  <w:style w:type="paragraph" w:styleId="1122" w:customStyle="1">
    <w:name w:val="纯文本2"/>
    <w:basedOn w:val="808"/>
    <w:uiPriority w:val="0"/>
    <w:qFormat/>
    <w:rPr>
      <w:rFonts w:ascii="宋体" w:hAnsi="Courier New" w:eastAsia="楷体"/>
      <w:sz w:val="28"/>
      <w:szCs w:val="20"/>
    </w:rPr>
  </w:style>
  <w:style w:type="table" w:styleId="11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5" w:customStyle="1">
    <w:name w:val="Char"/>
    <w:basedOn w:val="808"/>
    <w:uiPriority w:val="0"/>
    <w:qFormat/>
    <w:pPr>
      <w:tabs>
        <w:tab w:val="left" w:pos="360" w:leader="none"/>
      </w:tabs>
    </w:pPr>
    <w:rPr>
      <w:sz w:val="24"/>
    </w:rPr>
  </w:style>
  <w:style w:type="paragraph" w:styleId="1126" w:customStyle="1">
    <w:name w:val="页眉11"/>
    <w:basedOn w:val="808"/>
    <w:uiPriority w:val="0"/>
    <w:qFormat/>
    <w:pPr>
      <w:jc w:val="center"/>
      <w:tabs>
        <w:tab w:val="center" w:pos="4153" w:leader="none"/>
        <w:tab w:val="right" w:pos="8306" w:leader="none"/>
      </w:tabs>
      <w:pBdr>
        <w:bottom w:val="single" w:color="000000" w:sz="6" w:space="1"/>
      </w:pBdr>
    </w:pPr>
    <w:rPr>
      <w:sz w:val="18"/>
      <w:szCs w:val="18"/>
    </w:rPr>
  </w:style>
  <w:style w:type="table" w:styleId="11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8" w:customStyle="1">
    <w:name w:val="正文首行缩进1"/>
    <w:basedOn w:val="808"/>
    <w:next w:val="960"/>
    <w:uiPriority w:val="99"/>
    <w:qFormat/>
    <w:pPr>
      <w:ind w:firstLine="200"/>
      <w:spacing w:line="360" w:lineRule="auto"/>
    </w:pPr>
    <w:rPr>
      <w:rFonts w:ascii="仿宋" w:eastAsia="仿宋"/>
      <w:sz w:val="30"/>
      <w:szCs w:val="30"/>
    </w:rPr>
  </w:style>
  <w:style w:type="paragraph" w:styleId="1129" w:customStyle="1">
    <w:name w:val="TOC 标题2"/>
    <w:basedOn w:val="907"/>
    <w:next w:val="808"/>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30" w:customStyle="1">
    <w:name w:val="Footer1"/>
    <w:basedOn w:val="808"/>
    <w:link w:val="1131"/>
    <w:uiPriority w:val="0"/>
    <w:qFormat/>
    <w:pPr>
      <w:tabs>
        <w:tab w:val="center" w:pos="7143" w:leader="none"/>
        <w:tab w:val="right" w:pos="14287" w:leader="none"/>
      </w:tabs>
    </w:pPr>
  </w:style>
  <w:style w:type="character" w:styleId="1131" w:customStyle="1">
    <w:name w:val="Caption Char"/>
    <w:link w:val="1130"/>
    <w:uiPriority w:val="99"/>
    <w:qFormat/>
  </w:style>
  <w:style w:type="table" w:styleId="11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33" w:customStyle="1">
    <w:name w:val="正文首行缩进 212"/>
    <w:basedOn w:val="929"/>
    <w:next w:val="1057"/>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3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5"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6" w:customStyle="1">
    <w:name w:val="Quote Char_e5e4ffb8-e2c5-436f-adcb-072f9351b8ac"/>
    <w:uiPriority w:val="29"/>
    <w:qFormat/>
    <w:rPr>
      <w:i/>
    </w:rPr>
  </w:style>
  <w:style w:type="table" w:styleId="1137" w:customStyle="1">
    <w:name w:val="普通表格1"/>
    <w:uiPriority w:val="0"/>
    <w:qFormat/>
    <w:tblPr>
      <w:tblCellMar>
        <w:left w:w="0" w:type="dxa"/>
        <w:top w:w="0" w:type="dxa"/>
        <w:right w:w="0" w:type="dxa"/>
        <w:bottom w:w="0" w:type="dxa"/>
      </w:tblCellMar>
    </w:tblPr>
  </w:style>
  <w:style w:type="paragraph" w:styleId="1138" w:customStyle="1">
    <w:name w:val="Char Char Char Char Char Char Char Char"/>
    <w:basedOn w:val="808"/>
    <w:uiPriority w:val="0"/>
    <w:qFormat/>
    <w:pPr>
      <w:ind w:firstLine="420"/>
      <w:jc w:val="left"/>
      <w:spacing w:after="160" w:line="240" w:lineRule="exact"/>
      <w:widowControl/>
    </w:pPr>
    <w:rPr>
      <w:rFonts w:ascii="Verdana" w:hAnsi="Verdana"/>
      <w:color w:val="000000"/>
      <w:sz w:val="20"/>
      <w:szCs w:val="20"/>
      <w:lang w:eastAsia="en-US"/>
    </w:rPr>
  </w:style>
  <w:style w:type="paragraph" w:styleId="1139" w:customStyle="1">
    <w:name w:val="TOC 标题3"/>
    <w:uiPriority w:val="39"/>
    <w:unhideWhenUsed/>
    <w:qFormat/>
    <w:rPr>
      <w:rFonts w:ascii="Times New Roman" w:hAnsi="Times New Roman" w:eastAsia="宋体" w:cs="Times New Roman"/>
      <w:lang w:val="en-US" w:eastAsia="zh-CN" w:bidi="ar-SA"/>
    </w:rPr>
  </w:style>
  <w:style w:type="character" w:styleId="1140" w:customStyle="1">
    <w:name w:val="批注文字 Char"/>
    <w:basedOn w:val="818"/>
    <w:uiPriority w:val="0"/>
    <w:qFormat/>
    <w:rPr>
      <w:rFonts w:ascii="Calibri" w:hAnsi="Calibri" w:cs="Calibri"/>
      <w:szCs w:val="21"/>
    </w:rPr>
  </w:style>
  <w:style w:type="paragraph" w:styleId="1141" w:customStyle="1">
    <w:name w:val="标题 5111"/>
    <w:basedOn w:val="808"/>
    <w:next w:val="808"/>
    <w:link w:val="1142"/>
    <w:uiPriority w:val="9"/>
    <w:unhideWhenUsed/>
    <w:qFormat/>
    <w:pPr>
      <w:keepLines/>
      <w:keepNext/>
      <w:spacing w:before="320" w:after="200"/>
      <w:outlineLvl w:val="4"/>
    </w:pPr>
    <w:rPr>
      <w:rFonts w:ascii="Arial" w:hAnsi="Arial" w:eastAsia="Arial" w:cs="Arial"/>
      <w:b/>
      <w:bCs/>
      <w:sz w:val="24"/>
    </w:rPr>
  </w:style>
  <w:style w:type="character" w:styleId="1142" w:customStyle="1">
    <w:name w:val="标题 5 Char"/>
    <w:basedOn w:val="818"/>
    <w:link w:val="1141"/>
    <w:uiPriority w:val="9"/>
    <w:qFormat/>
    <w:rPr>
      <w:rFonts w:ascii="Arial" w:hAnsi="Arial" w:eastAsia="Arial" w:cs="Arial"/>
      <w:b/>
      <w:bCs/>
      <w:sz w:val="24"/>
      <w:szCs w:val="24"/>
    </w:rPr>
  </w:style>
  <w:style w:type="paragraph" w:styleId="1143" w:customStyle="1">
    <w:name w:val="标题 6111"/>
    <w:basedOn w:val="808"/>
    <w:next w:val="808"/>
    <w:link w:val="1144"/>
    <w:uiPriority w:val="9"/>
    <w:unhideWhenUsed/>
    <w:qFormat/>
    <w:pPr>
      <w:keepLines/>
      <w:keepNext/>
      <w:spacing w:before="320" w:after="200"/>
      <w:outlineLvl w:val="5"/>
    </w:pPr>
    <w:rPr>
      <w:rFonts w:ascii="Arial" w:hAnsi="Arial" w:eastAsia="Arial" w:cs="Arial"/>
      <w:b/>
      <w:bCs/>
      <w:sz w:val="22"/>
      <w:szCs w:val="22"/>
    </w:rPr>
  </w:style>
  <w:style w:type="character" w:styleId="1144" w:customStyle="1">
    <w:name w:val="标题 6 Char"/>
    <w:basedOn w:val="818"/>
    <w:link w:val="1143"/>
    <w:uiPriority w:val="9"/>
    <w:qFormat/>
    <w:rPr>
      <w:rFonts w:ascii="Arial" w:hAnsi="Arial" w:eastAsia="Arial" w:cs="Arial"/>
      <w:b/>
      <w:bCs/>
      <w:sz w:val="22"/>
      <w:szCs w:val="22"/>
    </w:rPr>
  </w:style>
  <w:style w:type="paragraph" w:styleId="1145" w:customStyle="1">
    <w:name w:val="标题 7111"/>
    <w:basedOn w:val="808"/>
    <w:next w:val="808"/>
    <w:link w:val="1146"/>
    <w:uiPriority w:val="9"/>
    <w:unhideWhenUsed/>
    <w:qFormat/>
    <w:pPr>
      <w:keepLines/>
      <w:keepNext/>
      <w:spacing w:before="320" w:after="200"/>
      <w:outlineLvl w:val="6"/>
    </w:pPr>
    <w:rPr>
      <w:rFonts w:ascii="Arial" w:hAnsi="Arial" w:eastAsia="Arial" w:cs="Arial"/>
      <w:b/>
      <w:bCs/>
      <w:i/>
      <w:iCs/>
      <w:sz w:val="22"/>
      <w:szCs w:val="22"/>
    </w:rPr>
  </w:style>
  <w:style w:type="character" w:styleId="1146" w:customStyle="1">
    <w:name w:val="标题 7 Char"/>
    <w:basedOn w:val="818"/>
    <w:link w:val="1145"/>
    <w:uiPriority w:val="9"/>
    <w:qFormat/>
    <w:rPr>
      <w:rFonts w:ascii="Arial" w:hAnsi="Arial" w:eastAsia="Arial" w:cs="Arial"/>
      <w:b/>
      <w:bCs/>
      <w:i/>
      <w:iCs/>
      <w:sz w:val="22"/>
      <w:szCs w:val="22"/>
    </w:rPr>
  </w:style>
  <w:style w:type="paragraph" w:styleId="1147" w:customStyle="1">
    <w:name w:val="标题 8111"/>
    <w:basedOn w:val="808"/>
    <w:next w:val="808"/>
    <w:link w:val="1148"/>
    <w:uiPriority w:val="9"/>
    <w:unhideWhenUsed/>
    <w:qFormat/>
    <w:pPr>
      <w:keepLines/>
      <w:keepNext/>
      <w:spacing w:before="320" w:after="200"/>
      <w:outlineLvl w:val="7"/>
    </w:pPr>
    <w:rPr>
      <w:rFonts w:ascii="Arial" w:hAnsi="Arial" w:eastAsia="Arial" w:cs="Arial"/>
      <w:i/>
      <w:iCs/>
      <w:sz w:val="22"/>
      <w:szCs w:val="22"/>
    </w:rPr>
  </w:style>
  <w:style w:type="character" w:styleId="1148" w:customStyle="1">
    <w:name w:val="标题 8 Char"/>
    <w:basedOn w:val="818"/>
    <w:link w:val="1147"/>
    <w:uiPriority w:val="9"/>
    <w:qFormat/>
    <w:rPr>
      <w:rFonts w:ascii="Arial" w:hAnsi="Arial" w:eastAsia="Arial" w:cs="Arial"/>
      <w:i/>
      <w:iCs/>
      <w:sz w:val="22"/>
      <w:szCs w:val="22"/>
    </w:rPr>
  </w:style>
  <w:style w:type="paragraph" w:styleId="1149" w:customStyle="1">
    <w:name w:val="标题 9111"/>
    <w:basedOn w:val="808"/>
    <w:next w:val="808"/>
    <w:link w:val="1150"/>
    <w:uiPriority w:val="9"/>
    <w:unhideWhenUsed/>
    <w:qFormat/>
    <w:pPr>
      <w:keepLines/>
      <w:keepNext/>
      <w:spacing w:before="320" w:after="200"/>
      <w:outlineLvl w:val="8"/>
    </w:pPr>
    <w:rPr>
      <w:rFonts w:ascii="Arial" w:hAnsi="Arial" w:eastAsia="Arial" w:cs="Arial"/>
      <w:i/>
      <w:iCs/>
      <w:szCs w:val="21"/>
    </w:rPr>
  </w:style>
  <w:style w:type="character" w:styleId="1150" w:customStyle="1">
    <w:name w:val="标题 9 Char"/>
    <w:basedOn w:val="818"/>
    <w:link w:val="1149"/>
    <w:uiPriority w:val="9"/>
    <w:qFormat/>
    <w:rPr>
      <w:rFonts w:ascii="Arial" w:hAnsi="Arial" w:eastAsia="Arial" w:cs="Arial"/>
      <w:i/>
      <w:iCs/>
      <w:sz w:val="21"/>
      <w:szCs w:val="21"/>
    </w:rPr>
  </w:style>
  <w:style w:type="paragraph" w:styleId="1151" w:customStyle="1">
    <w:name w:val="题注111"/>
    <w:basedOn w:val="808"/>
    <w:next w:val="808"/>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52" w:customStyle="1">
    <w:name w:val="TOC 标题112"/>
    <w:uiPriority w:val="39"/>
    <w:unhideWhenUsed/>
    <w:qFormat/>
    <w:rPr>
      <w:rFonts w:asciiTheme="minorHAnsi" w:hAnsiTheme="minorHAnsi" w:eastAsiaTheme="minorEastAsia" w:cstheme="minorBidi"/>
      <w:lang w:val="en-US" w:eastAsia="zh-CN" w:bidi="ar-SA"/>
    </w:rPr>
  </w:style>
  <w:style w:type="paragraph" w:styleId="1153" w:customStyle="1">
    <w:name w:val="标题 1111"/>
    <w:basedOn w:val="808"/>
    <w:next w:val="808"/>
    <w:link w:val="1154"/>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54" w:customStyle="1">
    <w:name w:val="标题 1 字符"/>
    <w:link w:val="1153"/>
    <w:uiPriority w:val="9"/>
    <w:qFormat/>
    <w:rPr>
      <w:rFonts w:ascii="Arial" w:hAnsi="Arial" w:eastAsia="Arial" w:cs="Arial"/>
      <w:color w:val="000000"/>
      <w:sz w:val="40"/>
      <w:szCs w:val="40"/>
    </w:rPr>
  </w:style>
  <w:style w:type="paragraph" w:styleId="1155" w:customStyle="1">
    <w:name w:val="标题 2111"/>
    <w:basedOn w:val="808"/>
    <w:next w:val="808"/>
    <w:link w:val="1156"/>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6" w:customStyle="1">
    <w:name w:val="标题 2 字符"/>
    <w:link w:val="1155"/>
    <w:uiPriority w:val="9"/>
    <w:qFormat/>
    <w:rPr>
      <w:rFonts w:ascii="Arial" w:hAnsi="Arial" w:eastAsia="Arial" w:cs="Arial"/>
      <w:color w:val="000000"/>
      <w:sz w:val="34"/>
      <w:szCs w:val="21"/>
    </w:rPr>
  </w:style>
  <w:style w:type="paragraph" w:styleId="1157" w:customStyle="1">
    <w:name w:val="标题 3111"/>
    <w:basedOn w:val="808"/>
    <w:next w:val="808"/>
    <w:link w:val="1158"/>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8" w:customStyle="1">
    <w:name w:val="标题 3 字符"/>
    <w:link w:val="1157"/>
    <w:uiPriority w:val="9"/>
    <w:qFormat/>
    <w:rPr>
      <w:rFonts w:ascii="Arial" w:hAnsi="Arial" w:eastAsia="Arial" w:cs="Arial"/>
      <w:color w:val="000000"/>
      <w:sz w:val="30"/>
      <w:szCs w:val="30"/>
    </w:rPr>
  </w:style>
  <w:style w:type="paragraph" w:styleId="1159" w:customStyle="1">
    <w:name w:val="标题 4111"/>
    <w:basedOn w:val="808"/>
    <w:next w:val="808"/>
    <w:link w:val="1160"/>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60" w:customStyle="1">
    <w:name w:val="标题 4 字符"/>
    <w:link w:val="1159"/>
    <w:uiPriority w:val="9"/>
    <w:qFormat/>
    <w:rPr>
      <w:rFonts w:ascii="Arial" w:hAnsi="Arial" w:eastAsia="Arial" w:cs="Arial"/>
      <w:b/>
      <w:bCs/>
      <w:color w:val="000000"/>
      <w:sz w:val="26"/>
      <w:szCs w:val="26"/>
    </w:rPr>
  </w:style>
  <w:style w:type="paragraph" w:styleId="1161" w:customStyle="1">
    <w:name w:val="标题 511"/>
    <w:basedOn w:val="808"/>
    <w:next w:val="808"/>
    <w:link w:val="1162"/>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62" w:customStyle="1">
    <w:name w:val="标题 5 字符"/>
    <w:link w:val="1161"/>
    <w:uiPriority w:val="9"/>
    <w:qFormat/>
    <w:rPr>
      <w:rFonts w:ascii="Arial" w:hAnsi="Arial" w:eastAsia="Arial" w:cs="Arial"/>
      <w:b/>
      <w:bCs/>
      <w:color w:val="000000"/>
      <w:sz w:val="24"/>
      <w:szCs w:val="21"/>
    </w:rPr>
  </w:style>
  <w:style w:type="paragraph" w:styleId="1163" w:customStyle="1">
    <w:name w:val="标题 611"/>
    <w:basedOn w:val="808"/>
    <w:next w:val="808"/>
    <w:link w:val="1164"/>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64" w:customStyle="1">
    <w:name w:val="标题 6 字符"/>
    <w:link w:val="1163"/>
    <w:uiPriority w:val="9"/>
    <w:qFormat/>
    <w:rPr>
      <w:rFonts w:ascii="Arial" w:hAnsi="Arial" w:eastAsia="Arial" w:cs="Arial"/>
      <w:b/>
      <w:bCs/>
      <w:color w:val="000000"/>
      <w:sz w:val="22"/>
      <w:szCs w:val="22"/>
    </w:rPr>
  </w:style>
  <w:style w:type="paragraph" w:styleId="1165" w:customStyle="1">
    <w:name w:val="标题 711"/>
    <w:basedOn w:val="808"/>
    <w:next w:val="808"/>
    <w:link w:val="1166"/>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6" w:customStyle="1">
    <w:name w:val="标题 7 字符"/>
    <w:link w:val="1165"/>
    <w:uiPriority w:val="9"/>
    <w:qFormat/>
    <w:rPr>
      <w:rFonts w:ascii="Arial" w:hAnsi="Arial" w:eastAsia="Arial" w:cs="Arial"/>
      <w:b/>
      <w:bCs/>
      <w:i/>
      <w:iCs/>
      <w:color w:val="000000"/>
      <w:sz w:val="22"/>
      <w:szCs w:val="22"/>
    </w:rPr>
  </w:style>
  <w:style w:type="paragraph" w:styleId="1167" w:customStyle="1">
    <w:name w:val="标题 811"/>
    <w:basedOn w:val="808"/>
    <w:next w:val="808"/>
    <w:link w:val="1168"/>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8" w:customStyle="1">
    <w:name w:val="标题 8 字符"/>
    <w:link w:val="1167"/>
    <w:uiPriority w:val="9"/>
    <w:qFormat/>
    <w:rPr>
      <w:rFonts w:ascii="Arial" w:hAnsi="Arial" w:eastAsia="Arial" w:cs="Arial"/>
      <w:i/>
      <w:iCs/>
      <w:color w:val="000000"/>
      <w:sz w:val="22"/>
      <w:szCs w:val="22"/>
    </w:rPr>
  </w:style>
  <w:style w:type="paragraph" w:styleId="1169" w:customStyle="1">
    <w:name w:val="标题 911"/>
    <w:basedOn w:val="808"/>
    <w:next w:val="808"/>
    <w:link w:val="1170"/>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70" w:customStyle="1">
    <w:name w:val="标题 9 字符"/>
    <w:link w:val="1169"/>
    <w:uiPriority w:val="9"/>
    <w:qFormat/>
    <w:rPr>
      <w:rFonts w:ascii="Arial" w:hAnsi="Arial" w:eastAsia="Arial" w:cs="Arial"/>
      <w:i/>
      <w:iCs/>
      <w:color w:val="000000"/>
      <w:sz w:val="22"/>
      <w:szCs w:val="21"/>
    </w:rPr>
  </w:style>
  <w:style w:type="paragraph" w:styleId="1171" w:customStyle="1">
    <w:name w:val="题注11"/>
    <w:basedOn w:val="808"/>
    <w:next w:val="808"/>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72" w:customStyle="1">
    <w:name w:val="页脚111"/>
    <w:basedOn w:val="808"/>
    <w:link w:val="1173"/>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3" w:customStyle="1">
    <w:name w:val="页脚 字符"/>
    <w:link w:val="1172"/>
    <w:uiPriority w:val="99"/>
    <w:qFormat/>
    <w:rPr>
      <w:rFonts w:ascii="宋体" w:hAnsi="宋体" w:cs="宋体"/>
      <w:color w:val="000000"/>
      <w:sz w:val="22"/>
      <w:szCs w:val="21"/>
    </w:rPr>
  </w:style>
  <w:style w:type="paragraph" w:styleId="1174" w:customStyle="1">
    <w:name w:val="页眉111"/>
    <w:basedOn w:val="808"/>
    <w:link w:val="1175"/>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5" w:customStyle="1">
    <w:name w:val="页眉 字符"/>
    <w:link w:val="1174"/>
    <w:uiPriority w:val="99"/>
    <w:qFormat/>
    <w:rPr>
      <w:rFonts w:ascii="宋体" w:hAnsi="宋体" w:cs="宋体"/>
      <w:color w:val="000000"/>
      <w:sz w:val="22"/>
      <w:szCs w:val="21"/>
    </w:rPr>
  </w:style>
  <w:style w:type="paragraph" w:styleId="1176" w:customStyle="1">
    <w:name w:val="正文1"/>
    <w:uiPriority w:val="0"/>
    <w:qFormat/>
    <w:rPr>
      <w:rFonts w:ascii="Helvetica" w:hAnsi="Helvetica" w:eastAsia="Arial Unicode MS" w:cs="Arial Unicode MS"/>
      <w:color w:val="000000"/>
      <w:sz w:val="22"/>
      <w:szCs w:val="22"/>
      <w:lang w:val="en-US" w:eastAsia="zh-CN" w:bidi="ar-SA"/>
    </w:rPr>
  </w:style>
  <w:style w:type="paragraph" w:styleId="1177" w:customStyle="1">
    <w:name w:val="标题 112"/>
    <w:basedOn w:val="808"/>
    <w:next w:val="808"/>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8" w:customStyle="1">
    <w:name w:val="标题 212"/>
    <w:basedOn w:val="808"/>
    <w:next w:val="969"/>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9" w:customStyle="1">
    <w:name w:val="标题 412"/>
    <w:basedOn w:val="808"/>
    <w:next w:val="808"/>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80" w:customStyle="1">
    <w:name w:val="标题 312"/>
    <w:basedOn w:val="808"/>
    <w:next w:val="808"/>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81" w:customStyle="1">
    <w:name w:val="页眉12"/>
    <w:basedOn w:val="808"/>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82" w:customStyle="1">
    <w:name w:val="页脚12"/>
    <w:basedOn w:val="808"/>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83" w:customStyle="1">
    <w:name w:val="15"/>
    <w:basedOn w:val="818"/>
    <w:uiPriority w:val="0"/>
    <w:qFormat/>
  </w:style>
  <w:style w:type="paragraph" w:styleId="1184" w:customStyle="1">
    <w:name w:val="首行缩进"/>
    <w:basedOn w:val="808"/>
    <w:uiPriority w:val="0"/>
    <w:qFormat/>
    <w:pPr>
      <w:ind w:firstLine="480"/>
      <w:spacing w:line="360" w:lineRule="auto"/>
    </w:pPr>
    <w:rPr>
      <w:rFonts w:ascii="宋体" w:hAnsi="宋体" w:cs="宋体"/>
      <w:sz w:val="24"/>
      <w:szCs w:val="21"/>
    </w:rPr>
  </w:style>
  <w:style w:type="character" w:styleId="1185" w:customStyle="1">
    <w:name w:val="批注框文本 Char1"/>
    <w:basedOn w:val="818"/>
    <w:uiPriority w:val="99"/>
    <w:semiHidden/>
    <w:qFormat/>
    <w:rPr>
      <w:sz w:val="18"/>
      <w:szCs w:val="18"/>
    </w:rPr>
  </w:style>
  <w:style w:type="character" w:styleId="1186" w:customStyle="1">
    <w:name w:val="HTML 预设格式 Char1"/>
    <w:basedOn w:val="818"/>
    <w:uiPriority w:val="99"/>
    <w:semiHidden/>
    <w:qFormat/>
    <w:rPr>
      <w:rFonts w:ascii="Courier New" w:hAnsi="Courier New" w:cs="Courier New"/>
    </w:rPr>
  </w:style>
  <w:style w:type="character" w:styleId="1187" w:customStyle="1">
    <w:name w:val="批注主题 Char1"/>
    <w:basedOn w:val="890"/>
    <w:uiPriority w:val="99"/>
    <w:semiHidden/>
    <w:qFormat/>
    <w:rPr>
      <w:b/>
      <w:bCs/>
      <w:sz w:val="21"/>
      <w:szCs w:val="24"/>
    </w:rPr>
  </w:style>
  <w:style w:type="character" w:styleId="1188" w:customStyle="1">
    <w:name w:val="页眉 Char2"/>
    <w:basedOn w:val="818"/>
    <w:uiPriority w:val="0"/>
    <w:semiHidden/>
    <w:qFormat/>
    <w:rPr>
      <w:rFonts w:asciiTheme="minorHAnsi" w:hAnsiTheme="minorHAnsi" w:eastAsiaTheme="minorEastAsia" w:cstheme="minorBidi"/>
      <w:sz w:val="18"/>
      <w:szCs w:val="18"/>
    </w:rPr>
  </w:style>
  <w:style w:type="character" w:styleId="1189" w:customStyle="1">
    <w:name w:val="页脚 Char2"/>
    <w:basedOn w:val="818"/>
    <w:uiPriority w:val="0"/>
    <w:semiHidden/>
    <w:qFormat/>
    <w:rPr>
      <w:rFonts w:asciiTheme="minorHAnsi" w:hAnsiTheme="minorHAnsi" w:eastAsiaTheme="minorEastAsia" w:cstheme="minorBidi"/>
      <w:sz w:val="18"/>
      <w:szCs w:val="18"/>
    </w:rPr>
  </w:style>
  <w:style w:type="paragraph" w:styleId="1190"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91" w:customStyle="1">
    <w:name w:val="信息标题 字符"/>
    <w:basedOn w:val="818"/>
    <w:link w:val="846"/>
    <w:uiPriority w:val="0"/>
    <w:qFormat/>
    <w:rPr>
      <w:rFonts w:ascii="Cambria" w:hAnsi="Cambria" w:cs="宋体"/>
      <w:color w:val="000000"/>
      <w:sz w:val="24"/>
      <w:szCs w:val="21"/>
      <w:shd w:val="pct20" w:color="auto" w:fill="auto"/>
    </w:rPr>
  </w:style>
  <w:style w:type="paragraph" w:styleId="1192" w:customStyle="1">
    <w:name w:val="TOC 标题113"/>
    <w:uiPriority w:val="39"/>
    <w:unhideWhenUsed/>
    <w:qFormat/>
    <w:rPr>
      <w:rFonts w:ascii="Times New Roman" w:hAnsi="Times New Roman" w:eastAsia="宋体" w:cs="Times New Roman"/>
      <w:lang w:val="en-US" w:eastAsia="zh-CN" w:bidi="ar-SA"/>
    </w:rPr>
  </w:style>
  <w:style w:type="character" w:styleId="1193" w:customStyle="1">
    <w:name w:val="Heading 4 Char"/>
    <w:basedOn w:val="818"/>
    <w:uiPriority w:val="9"/>
    <w:qFormat/>
    <w:rPr>
      <w:rFonts w:ascii="Arial" w:hAnsi="Arial" w:eastAsia="Arial" w:cs="Arial"/>
      <w:b/>
      <w:bCs/>
      <w:color w:val="000000"/>
      <w:sz w:val="26"/>
      <w:szCs w:val="26"/>
    </w:rPr>
  </w:style>
  <w:style w:type="character" w:styleId="1194" w:customStyle="1">
    <w:name w:val="Heading 5 Char"/>
    <w:basedOn w:val="818"/>
    <w:uiPriority w:val="9"/>
    <w:qFormat/>
    <w:rPr>
      <w:rFonts w:ascii="Arial" w:hAnsi="Arial" w:eastAsia="Arial" w:cs="Arial"/>
      <w:b/>
      <w:bCs/>
      <w:color w:val="000000"/>
      <w:sz w:val="24"/>
      <w:szCs w:val="24"/>
    </w:rPr>
  </w:style>
  <w:style w:type="character" w:styleId="1195" w:customStyle="1">
    <w:name w:val="Heading 6 Char"/>
    <w:basedOn w:val="818"/>
    <w:uiPriority w:val="9"/>
    <w:qFormat/>
    <w:rPr>
      <w:rFonts w:ascii="Arial" w:hAnsi="Arial" w:eastAsia="Arial" w:cs="Arial"/>
      <w:b/>
      <w:bCs/>
      <w:color w:val="000000"/>
      <w:sz w:val="22"/>
      <w:szCs w:val="22"/>
    </w:rPr>
  </w:style>
  <w:style w:type="character" w:styleId="1196" w:customStyle="1">
    <w:name w:val="Heading 7 Char"/>
    <w:basedOn w:val="818"/>
    <w:uiPriority w:val="9"/>
    <w:qFormat/>
    <w:rPr>
      <w:rFonts w:ascii="Arial" w:hAnsi="Arial" w:eastAsia="Arial" w:cs="Arial"/>
      <w:b/>
      <w:bCs/>
      <w:i/>
      <w:iCs/>
      <w:color w:val="000000"/>
      <w:sz w:val="22"/>
      <w:szCs w:val="22"/>
    </w:rPr>
  </w:style>
  <w:style w:type="character" w:styleId="1197" w:customStyle="1">
    <w:name w:val="Heading 8 Char"/>
    <w:basedOn w:val="818"/>
    <w:uiPriority w:val="9"/>
    <w:qFormat/>
    <w:rPr>
      <w:rFonts w:ascii="Arial" w:hAnsi="Arial" w:eastAsia="Arial" w:cs="Arial"/>
      <w:i/>
      <w:iCs/>
      <w:color w:val="000000"/>
      <w:sz w:val="22"/>
      <w:szCs w:val="22"/>
    </w:rPr>
  </w:style>
  <w:style w:type="character" w:styleId="1198" w:customStyle="1">
    <w:name w:val="Heading 9 Char"/>
    <w:basedOn w:val="818"/>
    <w:uiPriority w:val="9"/>
    <w:qFormat/>
    <w:rPr>
      <w:rFonts w:ascii="Arial" w:hAnsi="Arial" w:eastAsia="Arial" w:cs="Arial"/>
      <w:i/>
      <w:iCs/>
      <w:color w:val="000000"/>
      <w:sz w:val="21"/>
      <w:szCs w:val="21"/>
    </w:rPr>
  </w:style>
  <w:style w:type="character" w:styleId="1199" w:customStyle="1">
    <w:name w:val="标题 2 Char1"/>
    <w:uiPriority w:val="9"/>
    <w:qFormat/>
    <w:rPr>
      <w:rFonts w:ascii="Arial" w:hAnsi="Arial" w:eastAsia="Arial" w:cs="Arial"/>
      <w:color w:val="000000"/>
      <w:sz w:val="34"/>
      <w:szCs w:val="21"/>
    </w:rPr>
  </w:style>
  <w:style w:type="paragraph" w:styleId="1200" w:customStyle="1">
    <w:name w:val="引用1"/>
    <w:basedOn w:val="808"/>
    <w:next w:val="808"/>
    <w:uiPriority w:val="29"/>
    <w:qFormat/>
    <w:pPr>
      <w:ind w:left="720" w:right="720" w:firstLine="420"/>
      <w:jc w:val="left"/>
      <w:spacing w:line="360" w:lineRule="auto"/>
    </w:pPr>
    <w:rPr>
      <w:rFonts w:ascii="宋体" w:hAnsi="宋体" w:cs="宋体"/>
      <w:i/>
      <w:color w:val="000000"/>
      <w:sz w:val="22"/>
      <w:szCs w:val="21"/>
    </w:rPr>
  </w:style>
  <w:style w:type="paragraph" w:styleId="1201" w:customStyle="1">
    <w:name w:val="明显引用1"/>
    <w:basedOn w:val="808"/>
    <w:next w:val="808"/>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02" w:customStyle="1">
    <w:name w:val="无间隔11"/>
    <w:uiPriority w:val="1"/>
    <w:qFormat/>
    <w:pPr>
      <w:jc w:val="both"/>
      <w:widowControl w:val="off"/>
    </w:pPr>
    <w:rPr>
      <w:rFonts w:ascii="Calibri" w:hAnsi="Calibri" w:eastAsia="宋体" w:cs="Times New Roman"/>
      <w:sz w:val="21"/>
      <w:szCs w:val="22"/>
      <w:lang w:val="en-US" w:eastAsia="zh-CN" w:bidi="ar-SA"/>
    </w:rPr>
  </w:style>
  <w:style w:type="paragraph" w:styleId="1203" w:customStyle="1">
    <w:name w:val="列出段落11"/>
    <w:basedOn w:val="808"/>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04" w:customStyle="1">
    <w:name w:val="p0"/>
    <w:basedOn w:val="808"/>
    <w:uiPriority w:val="0"/>
    <w:qFormat/>
    <w:pPr>
      <w:widowControl/>
    </w:pPr>
    <w:rPr>
      <w:szCs w:val="21"/>
    </w:rPr>
  </w:style>
  <w:style w:type="paragraph" w:styleId="1205" w:customStyle="1">
    <w:name w:val="普通(网站)111"/>
    <w:basedOn w:val="808"/>
    <w:uiPriority w:val="0"/>
    <w:qFormat/>
    <w:pPr>
      <w:ind w:firstLine="420"/>
      <w:jc w:val="left"/>
      <w:spacing w:beforeAutospacing="1" w:afterAutospacing="1" w:line="360" w:lineRule="auto"/>
    </w:pPr>
    <w:rPr>
      <w:rFonts w:ascii="宋体" w:hAnsi="宋体" w:cs="宋体"/>
      <w:color w:val="000000"/>
      <w:sz w:val="24"/>
      <w:szCs w:val="21"/>
    </w:rPr>
  </w:style>
  <w:style w:type="paragraph" w:styleId="1206" w:customStyle="1">
    <w:name w:val="Body Text(ch)"/>
    <w:basedOn w:val="808"/>
    <w:next w:val="824"/>
    <w:uiPriority w:val="0"/>
    <w:qFormat/>
    <w:pPr>
      <w:ind w:firstLine="420"/>
      <w:jc w:val="left"/>
      <w:spacing w:after="120" w:line="360" w:lineRule="auto"/>
    </w:pPr>
    <w:rPr>
      <w:rFonts w:ascii="宋体" w:hAnsi="Arial" w:cs="宋体"/>
      <w:bCs/>
      <w:iCs/>
      <w:color w:val="000000"/>
      <w:sz w:val="22"/>
      <w:szCs w:val="21"/>
    </w:rPr>
  </w:style>
  <w:style w:type="paragraph" w:styleId="1207" w:customStyle="1">
    <w:name w:val="正文_17"/>
    <w:next w:val="1208"/>
    <w:uiPriority w:val="0"/>
    <w:qFormat/>
    <w:pPr>
      <w:jc w:val="both"/>
      <w:widowControl w:val="off"/>
    </w:pPr>
    <w:rPr>
      <w:rFonts w:ascii="Calibri" w:hAnsi="Calibri" w:eastAsia="宋体" w:cs="Times New Roman"/>
      <w:sz w:val="21"/>
      <w:szCs w:val="22"/>
      <w:lang w:val="en-US" w:eastAsia="zh-CN" w:bidi="ar-SA"/>
    </w:rPr>
  </w:style>
  <w:style w:type="paragraph" w:styleId="1208" w:customStyle="1">
    <w:name w:val="标题 2_1"/>
    <w:basedOn w:val="1207"/>
    <w:next w:val="1207"/>
    <w:uiPriority w:val="0"/>
    <w:qFormat/>
    <w:pPr>
      <w:keepLines/>
      <w:keepNext/>
      <w:spacing w:before="260" w:after="260" w:line="413" w:lineRule="auto"/>
      <w:outlineLvl w:val="1"/>
    </w:pPr>
    <w:rPr>
      <w:rFonts w:ascii="Arial" w:hAnsi="Arial" w:eastAsia="黑体"/>
      <w:b/>
      <w:sz w:val="32"/>
      <w:szCs w:val="20"/>
    </w:rPr>
  </w:style>
  <w:style w:type="character" w:styleId="1209" w:customStyle="1">
    <w:name w:val="正文文本 2 字符"/>
    <w:basedOn w:val="818"/>
    <w:link w:val="845"/>
    <w:uiPriority w:val="99"/>
    <w:semiHidden/>
    <w:qFormat/>
    <w:rPr>
      <w:rFonts w:ascii="宋体" w:hAnsi="宋体" w:cs="宋体"/>
      <w:color w:val="000000"/>
      <w:sz w:val="22"/>
      <w:szCs w:val="21"/>
    </w:rPr>
  </w:style>
  <w:style w:type="paragraph" w:styleId="1210" w:customStyle="1">
    <w:name w:val="Table Text"/>
    <w:basedOn w:val="808"/>
    <w:hidden/>
    <w:uiPriority w:val="0"/>
    <w:qFormat/>
    <w:rPr>
      <w:rFonts w:hint="eastAsia" w:ascii="宋体" w:hAnsi="宋体"/>
      <w:szCs w:val="21"/>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范蓉</cp:lastModifiedBy>
  <cp:revision>37</cp:revision>
  <dcterms:created xsi:type="dcterms:W3CDTF">2025-12-29T03:30:00Z</dcterms:created>
  <dcterms:modified xsi:type="dcterms:W3CDTF">2026-04-30T01:31:38Z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eyJoZGlkIjoiMDA3Zjk1ZTVlYWUwYTk3YjI3ZWI0OTRlMjQ3OGNlZDgiLCJ1c2VySWQiOiI1MDc3NTIxMjUifQ==</vt:lpwstr>
  </property>
  <property fmtid="{D5CDD505-2E9C-101B-9397-08002B2CF9AE}" pid="3" name="KSOProductBuildVer">
    <vt:lpwstr>2052-12.1.0.25865</vt:lpwstr>
  </property>
  <property fmtid="{D5CDD505-2E9C-101B-9397-08002B2CF9AE}" pid="4" name="ICV">
    <vt:lpwstr>9A755F7275EB454FA87C8A825AB620BC_13</vt:lpwstr>
  </property>
</Properties>
</file>