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2FFD8">
      <w:pPr>
        <w:pStyle w:val="34"/>
        <w:spacing w:before="120" w:beforeAutospacing="0" w:after="120" w:afterAutospacing="0" w:line="360" w:lineRule="auto"/>
      </w:pPr>
      <w:r>
        <w:t> </w:t>
      </w:r>
    </w:p>
    <w:p w14:paraId="1B4DB82B">
      <w:pPr>
        <w:pStyle w:val="34"/>
        <w:spacing w:before="120" w:beforeAutospacing="0" w:after="120" w:afterAutospacing="0" w:line="360" w:lineRule="auto"/>
        <w:jc w:val="center"/>
      </w:pPr>
      <w:r>
        <w:rPr>
          <w:rFonts w:ascii="Arial" w:hAnsi="Arial" w:cs="Arial"/>
          <w:b/>
          <w:sz w:val="84"/>
          <w:szCs w:val="84"/>
        </w:rPr>
        <w:t>竞争性磋商文件</w:t>
      </w:r>
    </w:p>
    <w:p w14:paraId="0F9F1407">
      <w:pPr>
        <w:pStyle w:val="34"/>
        <w:spacing w:before="120" w:beforeAutospacing="0" w:after="120" w:afterAutospacing="0" w:line="360" w:lineRule="auto"/>
        <w:rPr>
          <w:rFonts w:ascii="Arial" w:hAnsi="Arial" w:cs="Arial"/>
          <w:b/>
          <w:sz w:val="32"/>
          <w:szCs w:val="32"/>
        </w:rPr>
      </w:pPr>
    </w:p>
    <w:p w14:paraId="64D0122E">
      <w:pPr>
        <w:pStyle w:val="34"/>
        <w:spacing w:before="120" w:beforeAutospacing="0" w:after="120" w:afterAutospacing="0" w:line="360" w:lineRule="auto"/>
        <w:rPr>
          <w:rFonts w:ascii="Arial" w:hAnsi="Arial" w:cs="Arial"/>
          <w:b/>
          <w:sz w:val="32"/>
          <w:szCs w:val="32"/>
        </w:rPr>
      </w:pPr>
    </w:p>
    <w:p w14:paraId="1D564D0C">
      <w:pPr>
        <w:pStyle w:val="34"/>
        <w:spacing w:before="120" w:beforeAutospacing="0" w:after="120" w:afterAutospacing="0" w:line="360" w:lineRule="auto"/>
        <w:rPr>
          <w:rFonts w:ascii="Arial" w:hAnsi="Arial" w:cs="Arial"/>
          <w:b/>
          <w:sz w:val="32"/>
          <w:szCs w:val="32"/>
        </w:rPr>
      </w:pPr>
    </w:p>
    <w:p w14:paraId="12D69323">
      <w:pPr>
        <w:pStyle w:val="34"/>
        <w:spacing w:before="120" w:beforeAutospacing="0" w:after="120" w:afterAutospacing="0" w:line="360" w:lineRule="auto"/>
        <w:rPr>
          <w:rFonts w:ascii="Arial" w:hAnsi="Arial" w:cs="Arial"/>
          <w:b/>
          <w:sz w:val="32"/>
          <w:szCs w:val="32"/>
        </w:rPr>
      </w:pPr>
    </w:p>
    <w:p w14:paraId="4CD76E05">
      <w:pPr>
        <w:pStyle w:val="34"/>
        <w:spacing w:before="120" w:beforeAutospacing="0" w:after="120" w:afterAutospacing="0" w:line="360" w:lineRule="auto"/>
        <w:rPr>
          <w:rFonts w:ascii="Arial" w:hAnsi="Arial" w:cs="Arial"/>
          <w:b/>
          <w:sz w:val="32"/>
          <w:szCs w:val="32"/>
        </w:rPr>
      </w:pPr>
    </w:p>
    <w:p w14:paraId="7FA49A84">
      <w:pPr>
        <w:pStyle w:val="34"/>
        <w:spacing w:before="120" w:beforeAutospacing="0" w:after="120" w:afterAutospacing="0" w:line="360" w:lineRule="auto"/>
        <w:ind w:firstLine="1124" w:firstLineChars="400"/>
        <w:rPr>
          <w:rFonts w:ascii="Arial" w:hAnsi="Arial" w:cs="Arial"/>
          <w:b/>
          <w:sz w:val="28"/>
          <w:szCs w:val="28"/>
        </w:rPr>
      </w:pPr>
      <w:r>
        <w:rPr>
          <w:rFonts w:ascii="Arial" w:hAnsi="Arial" w:cs="Arial"/>
          <w:b/>
          <w:sz w:val="28"/>
          <w:szCs w:val="28"/>
        </w:rPr>
        <w:t>项目名称：</w:t>
      </w:r>
      <w:r>
        <w:rPr>
          <w:rFonts w:hint="eastAsia" w:ascii="Arial" w:hAnsi="Arial" w:cs="Arial"/>
          <w:b/>
          <w:sz w:val="28"/>
          <w:szCs w:val="28"/>
        </w:rPr>
        <w:t>射阳港经济开发区园区道路市政管网清淤项目</w:t>
      </w:r>
    </w:p>
    <w:p w14:paraId="68C8BEF3">
      <w:pPr>
        <w:pStyle w:val="34"/>
        <w:spacing w:beforeAutospacing="0" w:afterAutospacing="0" w:line="360" w:lineRule="auto"/>
        <w:ind w:firstLine="1124" w:firstLineChars="400"/>
        <w:rPr>
          <w:rFonts w:hint="eastAsia" w:eastAsia="宋体"/>
          <w:lang w:eastAsia="zh-CN"/>
        </w:rPr>
      </w:pPr>
      <w:r>
        <w:rPr>
          <w:rFonts w:ascii="Arial" w:hAnsi="Arial" w:cs="Arial"/>
          <w:b/>
          <w:sz w:val="28"/>
          <w:szCs w:val="28"/>
        </w:rPr>
        <w:t>项目编号：</w:t>
      </w:r>
      <w:r>
        <w:t> </w:t>
      </w:r>
      <w:r>
        <w:rPr>
          <w:rFonts w:hint="eastAsia" w:ascii="宋体" w:hAnsi="宋体" w:eastAsia="宋体" w:cs="宋体"/>
          <w:b/>
          <w:color w:val="000000"/>
          <w:sz w:val="30"/>
          <w:szCs w:val="30"/>
        </w:rPr>
        <w:t>JSZC-320924-YCBR-C2026-</w:t>
      </w:r>
      <w:r>
        <w:rPr>
          <w:rFonts w:hint="eastAsia" w:ascii="宋体" w:hAnsi="宋体" w:eastAsia="宋体" w:cs="宋体"/>
          <w:b/>
          <w:color w:val="000000"/>
          <w:sz w:val="30"/>
          <w:szCs w:val="30"/>
          <w:lang w:eastAsia="zh-CN"/>
        </w:rPr>
        <w:t>0004</w:t>
      </w:r>
    </w:p>
    <w:p w14:paraId="78525A00">
      <w:pPr>
        <w:pStyle w:val="34"/>
        <w:spacing w:beforeAutospacing="0" w:afterAutospacing="0" w:line="360" w:lineRule="auto"/>
      </w:pPr>
      <w:r>
        <w:t> </w:t>
      </w:r>
    </w:p>
    <w:p w14:paraId="0A539728">
      <w:pPr>
        <w:pStyle w:val="34"/>
        <w:spacing w:beforeAutospacing="0" w:afterAutospacing="0" w:line="360" w:lineRule="auto"/>
      </w:pPr>
      <w:r>
        <w:t> </w:t>
      </w:r>
    </w:p>
    <w:p w14:paraId="43DA9566">
      <w:pPr>
        <w:pStyle w:val="34"/>
        <w:spacing w:beforeAutospacing="0" w:afterAutospacing="0" w:line="360" w:lineRule="auto"/>
      </w:pPr>
    </w:p>
    <w:p w14:paraId="33A248EA">
      <w:pPr>
        <w:pStyle w:val="34"/>
        <w:spacing w:beforeAutospacing="0" w:afterAutospacing="0" w:line="360" w:lineRule="auto"/>
      </w:pPr>
    </w:p>
    <w:p w14:paraId="73D41132">
      <w:pPr>
        <w:pStyle w:val="34"/>
        <w:spacing w:beforeAutospacing="0" w:afterAutospacing="0" w:line="360" w:lineRule="auto"/>
      </w:pPr>
    </w:p>
    <w:p w14:paraId="29A4A35A">
      <w:pPr>
        <w:pStyle w:val="34"/>
        <w:spacing w:before="120" w:beforeAutospacing="0" w:after="120" w:afterAutospacing="0" w:line="360" w:lineRule="auto"/>
        <w:jc w:val="center"/>
        <w:rPr>
          <w:rFonts w:ascii="Arial" w:hAnsi="Arial" w:eastAsia="宋体" w:cs="Arial"/>
          <w:b/>
          <w:sz w:val="32"/>
          <w:szCs w:val="32"/>
        </w:rPr>
      </w:pPr>
      <w:r>
        <w:rPr>
          <w:rFonts w:hint="eastAsia" w:ascii="Arial" w:hAnsi="Arial" w:eastAsia="宋体" w:cs="Arial"/>
          <w:b/>
          <w:sz w:val="32"/>
          <w:szCs w:val="32"/>
        </w:rPr>
        <w:t>江苏射阳港经济开发区管理委员会</w:t>
      </w:r>
    </w:p>
    <w:p w14:paraId="2C1B74A9">
      <w:pPr>
        <w:pStyle w:val="34"/>
        <w:spacing w:before="120" w:beforeAutospacing="0" w:after="120" w:afterAutospacing="0" w:line="360" w:lineRule="auto"/>
        <w:jc w:val="center"/>
        <w:rPr>
          <w:rFonts w:ascii="Arial" w:hAnsi="Arial" w:cs="Arial"/>
          <w:b/>
          <w:sz w:val="32"/>
          <w:szCs w:val="32"/>
        </w:rPr>
      </w:pPr>
      <w:r>
        <w:rPr>
          <w:rFonts w:hint="eastAsia" w:ascii="Arial" w:hAnsi="Arial" w:cs="Arial"/>
          <w:b/>
          <w:sz w:val="32"/>
          <w:szCs w:val="32"/>
        </w:rPr>
        <w:t>盐城宝融项目管理有限公司</w:t>
      </w:r>
    </w:p>
    <w:p w14:paraId="34573D61">
      <w:pPr>
        <w:pStyle w:val="34"/>
        <w:spacing w:before="120" w:beforeAutospacing="0" w:after="120" w:afterAutospacing="0" w:line="360" w:lineRule="auto"/>
        <w:jc w:val="center"/>
        <w:rPr>
          <w:rFonts w:ascii="Arial" w:hAnsi="Arial" w:cs="Arial"/>
          <w:b/>
          <w:sz w:val="32"/>
          <w:szCs w:val="32"/>
        </w:rPr>
      </w:pPr>
    </w:p>
    <w:p w14:paraId="11DA7EBE">
      <w:pPr>
        <w:pStyle w:val="34"/>
        <w:spacing w:before="120" w:beforeAutospacing="0" w:after="120" w:afterAutospacing="0" w:line="360" w:lineRule="auto"/>
        <w:jc w:val="center"/>
        <w:rPr>
          <w:rFonts w:ascii="Arial" w:hAnsi="Arial" w:cs="Arial"/>
          <w:b/>
          <w:sz w:val="32"/>
          <w:szCs w:val="32"/>
        </w:rPr>
      </w:pPr>
    </w:p>
    <w:p w14:paraId="063D03F6">
      <w:pPr>
        <w:pStyle w:val="34"/>
        <w:spacing w:before="120" w:beforeAutospacing="0" w:after="120" w:afterAutospacing="0" w:line="360" w:lineRule="auto"/>
        <w:jc w:val="center"/>
      </w:pPr>
      <w:r>
        <w:rPr>
          <w:rFonts w:hint="eastAsia" w:ascii="Arial" w:hAnsi="Arial" w:cs="Arial"/>
          <w:b/>
          <w:sz w:val="32"/>
          <w:szCs w:val="32"/>
        </w:rPr>
        <w:t>2026</w:t>
      </w:r>
      <w:r>
        <w:rPr>
          <w:rFonts w:ascii="Arial" w:hAnsi="Arial" w:cs="Arial"/>
          <w:b/>
          <w:sz w:val="32"/>
          <w:szCs w:val="32"/>
        </w:rPr>
        <w:t>年</w:t>
      </w:r>
      <w:r>
        <w:rPr>
          <w:rFonts w:hint="eastAsia" w:ascii="Arial" w:hAnsi="Arial" w:cs="Arial"/>
          <w:b/>
          <w:sz w:val="32"/>
          <w:szCs w:val="32"/>
        </w:rPr>
        <w:t>09</w:t>
      </w:r>
      <w:r>
        <w:rPr>
          <w:rFonts w:ascii="Arial" w:hAnsi="Arial" w:cs="Arial"/>
          <w:b/>
          <w:sz w:val="32"/>
          <w:szCs w:val="32"/>
        </w:rPr>
        <w:t>月</w:t>
      </w:r>
    </w:p>
    <w:p w14:paraId="6DCDAC09">
      <w:pPr>
        <w:pStyle w:val="34"/>
        <w:spacing w:before="120" w:beforeAutospacing="0" w:after="120" w:afterAutospacing="0" w:line="360" w:lineRule="auto"/>
      </w:pPr>
      <w:r>
        <w:rPr>
          <w:rFonts w:ascii="Arial" w:hAnsi="Arial" w:cs="Arial"/>
        </w:rPr>
        <w:t xml:space="preserve">                        </w:t>
      </w:r>
    </w:p>
    <w:p w14:paraId="064DD3E7">
      <w:pPr>
        <w:pStyle w:val="34"/>
        <w:spacing w:beforeAutospacing="0" w:afterAutospacing="0" w:line="480" w:lineRule="auto"/>
        <w:ind w:firstLine="2940" w:firstLineChars="1400"/>
        <w:jc w:val="both"/>
      </w:pPr>
      <w:r>
        <w:rPr>
          <w:rFonts w:ascii="Times New Roman" w:hAnsi="Times New Roman"/>
          <w:sz w:val="21"/>
          <w:szCs w:val="21"/>
        </w:rPr>
        <w:t> </w:t>
      </w:r>
      <w:bookmarkStart w:id="0" w:name="_Toc513029200"/>
      <w:bookmarkStart w:id="1" w:name="_Toc20823272"/>
      <w:bookmarkStart w:id="2" w:name="_Toc523127445"/>
      <w:bookmarkStart w:id="3" w:name="_Toc120614210"/>
      <w:bookmarkStart w:id="4" w:name="_Toc16938516"/>
      <w:bookmarkStart w:id="5" w:name="_Toc479757206"/>
      <w:r>
        <w:rPr>
          <w:rFonts w:ascii="黑体" w:hAnsi="宋体" w:eastAsia="黑体" w:cs="黑体"/>
          <w:b/>
          <w:sz w:val="44"/>
          <w:szCs w:val="44"/>
        </w:rPr>
        <w:t>总  目  录</w:t>
      </w:r>
      <w:bookmarkEnd w:id="0"/>
      <w:bookmarkEnd w:id="1"/>
      <w:bookmarkEnd w:id="2"/>
      <w:bookmarkEnd w:id="3"/>
      <w:bookmarkEnd w:id="4"/>
      <w:bookmarkEnd w:id="5"/>
    </w:p>
    <w:p w14:paraId="72C6F77E">
      <w:pPr>
        <w:pStyle w:val="26"/>
        <w:tabs>
          <w:tab w:val="right" w:leader="dot" w:pos="8296"/>
        </w:tabs>
        <w:spacing w:line="480" w:lineRule="auto"/>
        <w:ind w:firstLine="1285" w:firstLineChars="400"/>
        <w:jc w:val="left"/>
        <w:rPr>
          <w:rFonts w:hint="eastAsia" w:ascii="宋体" w:hAnsi="宋体" w:eastAsia="宋体"/>
          <w:b/>
          <w:sz w:val="32"/>
          <w:szCs w:val="32"/>
        </w:rPr>
      </w:pPr>
      <w:r>
        <w:rPr>
          <w:b/>
          <w:sz w:val="32"/>
          <w:szCs w:val="32"/>
        </w:rPr>
        <w:fldChar w:fldCharType="begin"/>
      </w:r>
      <w:r>
        <w:rPr>
          <w:b/>
          <w:sz w:val="32"/>
          <w:szCs w:val="32"/>
        </w:rPr>
        <w:instrText xml:space="preserve"> TOC \o "1-3" \h \z \u </w:instrText>
      </w:r>
      <w:r>
        <w:rPr>
          <w:b/>
          <w:sz w:val="32"/>
          <w:szCs w:val="32"/>
        </w:rPr>
        <w:fldChar w:fldCharType="separate"/>
      </w:r>
      <w:r>
        <w:fldChar w:fldCharType="begin"/>
      </w:r>
      <w:r>
        <w:instrText xml:space="preserve"> HYPERLINK \l "_Toc198284254" </w:instrText>
      </w:r>
      <w:r>
        <w:fldChar w:fldCharType="separate"/>
      </w:r>
      <w:r>
        <w:rPr>
          <w:rStyle w:val="43"/>
          <w:rFonts w:hint="eastAsia" w:ascii="宋体" w:hAnsi="宋体" w:eastAsia="宋体"/>
          <w:b/>
          <w:color w:val="auto"/>
          <w:sz w:val="32"/>
          <w:szCs w:val="32"/>
        </w:rPr>
        <w:t>第一章</w:t>
      </w:r>
      <w:r>
        <w:rPr>
          <w:rStyle w:val="43"/>
          <w:rFonts w:ascii="宋体" w:hAnsi="宋体" w:eastAsia="宋体"/>
          <w:b/>
          <w:color w:val="auto"/>
          <w:sz w:val="32"/>
          <w:szCs w:val="32"/>
        </w:rPr>
        <w:t xml:space="preserve">  </w:t>
      </w:r>
      <w:r>
        <w:rPr>
          <w:rStyle w:val="43"/>
          <w:rFonts w:hint="eastAsia" w:ascii="宋体" w:hAnsi="宋体" w:eastAsia="宋体"/>
          <w:b/>
          <w:color w:val="auto"/>
          <w:sz w:val="32"/>
          <w:szCs w:val="32"/>
        </w:rPr>
        <w:t>竞争性磋商公告</w:t>
      </w:r>
      <w:r>
        <w:rPr>
          <w:rStyle w:val="43"/>
          <w:rFonts w:hint="eastAsia" w:ascii="宋体" w:hAnsi="宋体" w:eastAsia="宋体"/>
          <w:b/>
          <w:color w:val="auto"/>
          <w:sz w:val="32"/>
          <w:szCs w:val="32"/>
        </w:rPr>
        <w:fldChar w:fldCharType="end"/>
      </w:r>
    </w:p>
    <w:p w14:paraId="56118DEA">
      <w:pPr>
        <w:pStyle w:val="26"/>
        <w:tabs>
          <w:tab w:val="right" w:leader="dot" w:pos="8296"/>
        </w:tabs>
        <w:spacing w:line="480" w:lineRule="auto"/>
        <w:ind w:firstLine="840" w:firstLineChars="400"/>
        <w:jc w:val="left"/>
        <w:rPr>
          <w:rFonts w:hint="eastAsia" w:ascii="宋体" w:hAnsi="宋体" w:eastAsia="宋体"/>
          <w:b/>
          <w:sz w:val="32"/>
          <w:szCs w:val="32"/>
        </w:rPr>
      </w:pPr>
      <w:r>
        <w:fldChar w:fldCharType="begin"/>
      </w:r>
      <w:r>
        <w:instrText xml:space="preserve"> HYPERLINK \l "_Toc198284255" </w:instrText>
      </w:r>
      <w:r>
        <w:fldChar w:fldCharType="separate"/>
      </w:r>
      <w:r>
        <w:rPr>
          <w:rStyle w:val="43"/>
          <w:rFonts w:hint="eastAsia" w:ascii="宋体" w:hAnsi="宋体" w:eastAsia="宋体"/>
          <w:b/>
          <w:color w:val="auto"/>
          <w:sz w:val="32"/>
          <w:szCs w:val="32"/>
        </w:rPr>
        <w:t>第二章</w:t>
      </w:r>
      <w:r>
        <w:rPr>
          <w:rStyle w:val="43"/>
          <w:rFonts w:ascii="宋体" w:hAnsi="宋体" w:eastAsia="宋体"/>
          <w:b/>
          <w:color w:val="auto"/>
          <w:sz w:val="32"/>
          <w:szCs w:val="32"/>
        </w:rPr>
        <w:t xml:space="preserve">  </w:t>
      </w:r>
      <w:r>
        <w:rPr>
          <w:rStyle w:val="43"/>
          <w:rFonts w:hint="eastAsia" w:ascii="宋体" w:hAnsi="宋体" w:eastAsia="宋体"/>
          <w:b/>
          <w:color w:val="auto"/>
          <w:sz w:val="32"/>
          <w:szCs w:val="32"/>
        </w:rPr>
        <w:t>供应商须知</w:t>
      </w:r>
      <w:r>
        <w:rPr>
          <w:rStyle w:val="43"/>
          <w:rFonts w:hint="eastAsia" w:ascii="宋体" w:hAnsi="宋体" w:eastAsia="宋体"/>
          <w:b/>
          <w:color w:val="auto"/>
          <w:sz w:val="32"/>
          <w:szCs w:val="32"/>
        </w:rPr>
        <w:fldChar w:fldCharType="end"/>
      </w:r>
    </w:p>
    <w:p w14:paraId="7A7E2EA2">
      <w:pPr>
        <w:pStyle w:val="26"/>
        <w:tabs>
          <w:tab w:val="right" w:leader="dot" w:pos="8296"/>
        </w:tabs>
        <w:spacing w:line="480" w:lineRule="auto"/>
        <w:ind w:firstLine="840" w:firstLineChars="400"/>
        <w:jc w:val="left"/>
        <w:rPr>
          <w:rFonts w:hint="eastAsia" w:ascii="宋体" w:hAnsi="宋体" w:eastAsia="宋体"/>
          <w:b/>
          <w:sz w:val="32"/>
          <w:szCs w:val="32"/>
        </w:rPr>
      </w:pPr>
      <w:r>
        <w:fldChar w:fldCharType="begin"/>
      </w:r>
      <w:r>
        <w:instrText xml:space="preserve"> HYPERLINK \l "_Toc198284256" </w:instrText>
      </w:r>
      <w:r>
        <w:fldChar w:fldCharType="separate"/>
      </w:r>
      <w:r>
        <w:rPr>
          <w:rStyle w:val="43"/>
          <w:rFonts w:hint="eastAsia" w:ascii="宋体" w:hAnsi="宋体" w:eastAsia="宋体"/>
          <w:b/>
          <w:color w:val="auto"/>
          <w:sz w:val="32"/>
          <w:szCs w:val="32"/>
        </w:rPr>
        <w:t>第三章</w:t>
      </w:r>
      <w:r>
        <w:rPr>
          <w:rStyle w:val="43"/>
          <w:rFonts w:ascii="宋体" w:hAnsi="宋体" w:eastAsia="宋体"/>
          <w:b/>
          <w:color w:val="auto"/>
          <w:sz w:val="32"/>
          <w:szCs w:val="32"/>
        </w:rPr>
        <w:t xml:space="preserve">  </w:t>
      </w:r>
      <w:r>
        <w:rPr>
          <w:rStyle w:val="43"/>
          <w:rFonts w:hint="eastAsia" w:ascii="宋体" w:hAnsi="宋体" w:eastAsia="宋体"/>
          <w:b/>
          <w:color w:val="auto"/>
          <w:sz w:val="32"/>
          <w:szCs w:val="32"/>
        </w:rPr>
        <w:t>合同文本</w:t>
      </w:r>
      <w:r>
        <w:rPr>
          <w:rStyle w:val="43"/>
          <w:rFonts w:hint="eastAsia" w:ascii="宋体" w:hAnsi="宋体" w:eastAsia="宋体"/>
          <w:b/>
          <w:color w:val="auto"/>
          <w:sz w:val="32"/>
          <w:szCs w:val="32"/>
        </w:rPr>
        <w:fldChar w:fldCharType="end"/>
      </w:r>
    </w:p>
    <w:p w14:paraId="55CFFAE1">
      <w:pPr>
        <w:pStyle w:val="26"/>
        <w:tabs>
          <w:tab w:val="right" w:leader="dot" w:pos="8296"/>
        </w:tabs>
        <w:spacing w:line="480" w:lineRule="auto"/>
        <w:ind w:firstLine="840" w:firstLineChars="400"/>
        <w:jc w:val="left"/>
        <w:rPr>
          <w:rFonts w:hint="eastAsia" w:ascii="宋体" w:hAnsi="宋体" w:eastAsia="宋体"/>
          <w:b/>
          <w:sz w:val="32"/>
          <w:szCs w:val="32"/>
        </w:rPr>
      </w:pPr>
      <w:r>
        <w:fldChar w:fldCharType="begin"/>
      </w:r>
      <w:r>
        <w:instrText xml:space="preserve"> HYPERLINK \l "_Toc198284257" </w:instrText>
      </w:r>
      <w:r>
        <w:fldChar w:fldCharType="separate"/>
      </w:r>
      <w:r>
        <w:rPr>
          <w:rStyle w:val="43"/>
          <w:rFonts w:hint="eastAsia" w:ascii="宋体" w:hAnsi="宋体" w:eastAsia="宋体"/>
          <w:b/>
          <w:color w:val="auto"/>
          <w:sz w:val="32"/>
          <w:szCs w:val="32"/>
        </w:rPr>
        <w:t>第四章   采购需求</w:t>
      </w:r>
      <w:r>
        <w:rPr>
          <w:rStyle w:val="43"/>
          <w:rFonts w:hint="eastAsia" w:ascii="宋体" w:hAnsi="宋体" w:eastAsia="宋体"/>
          <w:b/>
          <w:color w:val="auto"/>
          <w:sz w:val="32"/>
          <w:szCs w:val="32"/>
        </w:rPr>
        <w:fldChar w:fldCharType="end"/>
      </w:r>
    </w:p>
    <w:p w14:paraId="26D877A9">
      <w:pPr>
        <w:pStyle w:val="26"/>
        <w:tabs>
          <w:tab w:val="right" w:leader="dot" w:pos="8296"/>
        </w:tabs>
        <w:spacing w:line="480" w:lineRule="auto"/>
        <w:ind w:firstLine="840" w:firstLineChars="400"/>
        <w:jc w:val="left"/>
        <w:rPr>
          <w:rFonts w:hint="eastAsia" w:ascii="宋体" w:hAnsi="宋体" w:eastAsia="宋体"/>
          <w:b/>
          <w:sz w:val="32"/>
          <w:szCs w:val="32"/>
        </w:rPr>
      </w:pPr>
      <w:r>
        <w:fldChar w:fldCharType="begin"/>
      </w:r>
      <w:r>
        <w:instrText xml:space="preserve"> HYPERLINK \l "_Toc198284258" </w:instrText>
      </w:r>
      <w:r>
        <w:fldChar w:fldCharType="separate"/>
      </w:r>
      <w:r>
        <w:rPr>
          <w:rStyle w:val="43"/>
          <w:rFonts w:hint="eastAsia" w:ascii="宋体" w:hAnsi="宋体" w:eastAsia="宋体"/>
          <w:b/>
          <w:color w:val="auto"/>
          <w:sz w:val="32"/>
          <w:szCs w:val="32"/>
        </w:rPr>
        <w:t>第五章</w:t>
      </w:r>
      <w:r>
        <w:rPr>
          <w:rStyle w:val="43"/>
          <w:rFonts w:ascii="宋体" w:hAnsi="宋体" w:eastAsia="宋体"/>
          <w:b/>
          <w:color w:val="auto"/>
          <w:sz w:val="32"/>
          <w:szCs w:val="32"/>
        </w:rPr>
        <w:t xml:space="preserve">  </w:t>
      </w:r>
      <w:r>
        <w:rPr>
          <w:rStyle w:val="43"/>
          <w:rFonts w:hint="eastAsia" w:ascii="宋体" w:hAnsi="宋体" w:eastAsia="宋体"/>
          <w:b/>
          <w:color w:val="auto"/>
          <w:sz w:val="32"/>
          <w:szCs w:val="32"/>
        </w:rPr>
        <w:t>评审方法与评审标准</w:t>
      </w:r>
      <w:r>
        <w:rPr>
          <w:rStyle w:val="43"/>
          <w:rFonts w:hint="eastAsia" w:ascii="宋体" w:hAnsi="宋体" w:eastAsia="宋体"/>
          <w:b/>
          <w:color w:val="auto"/>
          <w:sz w:val="32"/>
          <w:szCs w:val="32"/>
        </w:rPr>
        <w:fldChar w:fldCharType="end"/>
      </w:r>
    </w:p>
    <w:p w14:paraId="597353C7">
      <w:pPr>
        <w:pStyle w:val="26"/>
        <w:tabs>
          <w:tab w:val="right" w:leader="dot" w:pos="8296"/>
        </w:tabs>
        <w:spacing w:line="480" w:lineRule="auto"/>
        <w:ind w:firstLine="840" w:firstLineChars="400"/>
        <w:jc w:val="left"/>
        <w:rPr>
          <w:sz w:val="32"/>
          <w:szCs w:val="32"/>
        </w:rPr>
      </w:pPr>
      <w:r>
        <w:fldChar w:fldCharType="begin"/>
      </w:r>
      <w:r>
        <w:instrText xml:space="preserve"> HYPERLINK \l "_Toc198284259" </w:instrText>
      </w:r>
      <w:r>
        <w:fldChar w:fldCharType="separate"/>
      </w:r>
      <w:r>
        <w:rPr>
          <w:rStyle w:val="43"/>
          <w:rFonts w:hint="eastAsia" w:ascii="宋体" w:hAnsi="宋体" w:eastAsia="宋体"/>
          <w:b/>
          <w:color w:val="auto"/>
          <w:sz w:val="32"/>
          <w:szCs w:val="32"/>
        </w:rPr>
        <w:t>第六章</w:t>
      </w:r>
      <w:r>
        <w:rPr>
          <w:rStyle w:val="43"/>
          <w:rFonts w:ascii="宋体" w:hAnsi="宋体" w:eastAsia="宋体"/>
          <w:b/>
          <w:color w:val="auto"/>
          <w:sz w:val="32"/>
          <w:szCs w:val="32"/>
        </w:rPr>
        <w:t xml:space="preserve">  </w:t>
      </w:r>
      <w:r>
        <w:rPr>
          <w:rStyle w:val="43"/>
          <w:rFonts w:hint="eastAsia" w:ascii="宋体" w:hAnsi="宋体" w:eastAsia="宋体"/>
          <w:b/>
          <w:color w:val="auto"/>
          <w:sz w:val="32"/>
          <w:szCs w:val="32"/>
        </w:rPr>
        <w:t>响应文件格式</w:t>
      </w:r>
      <w:r>
        <w:rPr>
          <w:rStyle w:val="43"/>
          <w:rFonts w:hint="eastAsia" w:ascii="宋体" w:hAnsi="宋体" w:eastAsia="宋体"/>
          <w:b/>
          <w:color w:val="auto"/>
          <w:sz w:val="32"/>
          <w:szCs w:val="32"/>
        </w:rPr>
        <w:fldChar w:fldCharType="end"/>
      </w:r>
    </w:p>
    <w:p w14:paraId="3861DAC7">
      <w:pPr>
        <w:pStyle w:val="34"/>
        <w:spacing w:beforeAutospacing="0" w:afterAutospacing="0"/>
      </w:pPr>
      <w:r>
        <w:rPr>
          <w:b/>
          <w:sz w:val="32"/>
          <w:szCs w:val="32"/>
        </w:rPr>
        <w:fldChar w:fldCharType="end"/>
      </w:r>
      <w:r>
        <w:t> </w:t>
      </w:r>
    </w:p>
    <w:p w14:paraId="1D12C3D6">
      <w:pPr>
        <w:pStyle w:val="34"/>
        <w:spacing w:beforeAutospacing="0" w:afterAutospacing="0"/>
        <w:jc w:val="both"/>
      </w:pPr>
      <w:r>
        <w:t> </w:t>
      </w:r>
    </w:p>
    <w:p w14:paraId="73EF9D6A">
      <w:pPr>
        <w:pStyle w:val="34"/>
        <w:spacing w:beforeAutospacing="0" w:afterAutospacing="0"/>
        <w:jc w:val="both"/>
      </w:pPr>
      <w:r>
        <w:t> </w:t>
      </w:r>
    </w:p>
    <w:p w14:paraId="4A76DFF2">
      <w:pPr>
        <w:pStyle w:val="34"/>
        <w:spacing w:beforeAutospacing="0" w:afterAutospacing="0"/>
        <w:jc w:val="both"/>
      </w:pPr>
      <w:r>
        <w:t> </w:t>
      </w:r>
    </w:p>
    <w:p w14:paraId="4D7A2B3E">
      <w:pPr>
        <w:pStyle w:val="34"/>
        <w:spacing w:beforeAutospacing="0" w:afterAutospacing="0"/>
        <w:jc w:val="both"/>
      </w:pPr>
      <w:r>
        <w:t> </w:t>
      </w:r>
    </w:p>
    <w:p w14:paraId="62D9CBAD">
      <w:pPr>
        <w:pStyle w:val="34"/>
        <w:spacing w:beforeAutospacing="0" w:afterAutospacing="0"/>
        <w:jc w:val="both"/>
      </w:pPr>
      <w:r>
        <w:t> </w:t>
      </w:r>
    </w:p>
    <w:p w14:paraId="5867AA1A">
      <w:pPr>
        <w:pStyle w:val="34"/>
        <w:spacing w:beforeAutospacing="0" w:afterAutospacing="0"/>
        <w:jc w:val="both"/>
      </w:pPr>
      <w:r>
        <w:t> </w:t>
      </w:r>
    </w:p>
    <w:p w14:paraId="1BF583C2">
      <w:pPr>
        <w:pStyle w:val="34"/>
        <w:spacing w:beforeAutospacing="0" w:afterAutospacing="0"/>
        <w:jc w:val="both"/>
      </w:pPr>
      <w:r>
        <w:t> </w:t>
      </w:r>
    </w:p>
    <w:p w14:paraId="34CC7AED">
      <w:pPr>
        <w:pStyle w:val="34"/>
        <w:spacing w:beforeAutospacing="0" w:afterAutospacing="0"/>
        <w:jc w:val="both"/>
      </w:pPr>
      <w:r>
        <w:t> </w:t>
      </w:r>
    </w:p>
    <w:p w14:paraId="23949A96">
      <w:pPr>
        <w:pStyle w:val="34"/>
        <w:spacing w:beforeAutospacing="0" w:afterAutospacing="0"/>
        <w:jc w:val="both"/>
      </w:pPr>
      <w:r>
        <w:t> </w:t>
      </w:r>
    </w:p>
    <w:p w14:paraId="16FB20B8">
      <w:pPr>
        <w:pStyle w:val="34"/>
        <w:spacing w:beforeAutospacing="0" w:afterAutospacing="0"/>
        <w:jc w:val="both"/>
      </w:pPr>
      <w:r>
        <w:t> </w:t>
      </w:r>
    </w:p>
    <w:p w14:paraId="3B22FD79">
      <w:pPr>
        <w:pStyle w:val="34"/>
        <w:spacing w:beforeAutospacing="0" w:afterAutospacing="0"/>
        <w:jc w:val="both"/>
      </w:pPr>
      <w:r>
        <w:t> </w:t>
      </w:r>
    </w:p>
    <w:p w14:paraId="4862E180">
      <w:pPr>
        <w:pStyle w:val="34"/>
        <w:spacing w:beforeAutospacing="0" w:afterAutospacing="0"/>
        <w:jc w:val="both"/>
      </w:pPr>
      <w:r>
        <w:t> </w:t>
      </w:r>
    </w:p>
    <w:p w14:paraId="1471BD79">
      <w:pPr>
        <w:pStyle w:val="34"/>
        <w:spacing w:beforeAutospacing="0" w:afterAutospacing="0"/>
        <w:jc w:val="both"/>
      </w:pPr>
      <w:r>
        <w:t> </w:t>
      </w:r>
    </w:p>
    <w:p w14:paraId="6A7E99DB">
      <w:pPr>
        <w:pStyle w:val="34"/>
        <w:spacing w:beforeAutospacing="0" w:afterAutospacing="0"/>
        <w:jc w:val="both"/>
      </w:pPr>
      <w:r>
        <w:t> </w:t>
      </w:r>
    </w:p>
    <w:p w14:paraId="15E14AAA">
      <w:pPr>
        <w:pStyle w:val="34"/>
        <w:spacing w:beforeAutospacing="0" w:afterAutospacing="0"/>
        <w:jc w:val="both"/>
      </w:pPr>
      <w:r>
        <w:t> </w:t>
      </w:r>
    </w:p>
    <w:p w14:paraId="7EFA2901">
      <w:pPr>
        <w:pStyle w:val="34"/>
        <w:spacing w:beforeAutospacing="0" w:afterAutospacing="0"/>
        <w:jc w:val="both"/>
      </w:pPr>
      <w:r>
        <w:t> </w:t>
      </w:r>
    </w:p>
    <w:p w14:paraId="5E0415FB">
      <w:pPr>
        <w:pStyle w:val="34"/>
        <w:spacing w:beforeAutospacing="0" w:afterAutospacing="0"/>
        <w:jc w:val="both"/>
      </w:pPr>
      <w:r>
        <w:t> </w:t>
      </w:r>
    </w:p>
    <w:p w14:paraId="5DCC1985">
      <w:pPr>
        <w:pStyle w:val="34"/>
        <w:spacing w:beforeAutospacing="0" w:afterAutospacing="0"/>
        <w:jc w:val="both"/>
      </w:pPr>
      <w:r>
        <w:t> </w:t>
      </w:r>
    </w:p>
    <w:p w14:paraId="79FBED43">
      <w:pPr>
        <w:pStyle w:val="34"/>
        <w:spacing w:beforeAutospacing="0" w:afterAutospacing="0"/>
        <w:jc w:val="both"/>
      </w:pPr>
      <w:r>
        <w:t> </w:t>
      </w:r>
    </w:p>
    <w:p w14:paraId="50CA1D66">
      <w:pPr>
        <w:pStyle w:val="34"/>
        <w:spacing w:beforeAutospacing="0" w:afterAutospacing="0"/>
        <w:jc w:val="both"/>
      </w:pPr>
      <w:r>
        <w:t> </w:t>
      </w:r>
    </w:p>
    <w:p w14:paraId="74D6A7D8">
      <w:pPr>
        <w:pStyle w:val="34"/>
        <w:spacing w:beforeAutospacing="0" w:afterAutospacing="0"/>
        <w:jc w:val="both"/>
      </w:pPr>
      <w:r>
        <w:t> </w:t>
      </w:r>
    </w:p>
    <w:p w14:paraId="69F208D8">
      <w:pPr>
        <w:pStyle w:val="34"/>
        <w:spacing w:beforeAutospacing="0" w:afterAutospacing="0"/>
        <w:jc w:val="both"/>
      </w:pPr>
    </w:p>
    <w:p w14:paraId="054A3E95">
      <w:pPr>
        <w:pStyle w:val="34"/>
        <w:spacing w:beforeAutospacing="0" w:afterAutospacing="0"/>
        <w:jc w:val="both"/>
      </w:pPr>
    </w:p>
    <w:p w14:paraId="0C4F9420">
      <w:pPr>
        <w:pStyle w:val="2"/>
        <w:spacing w:line="312" w:lineRule="auto"/>
        <w:rPr>
          <w:rFonts w:hint="eastAsia"/>
          <w:sz w:val="36"/>
          <w:szCs w:val="36"/>
        </w:rPr>
      </w:pPr>
      <w:bookmarkStart w:id="6" w:name="_Toc28359086"/>
      <w:r>
        <w:rPr>
          <w:rFonts w:hint="eastAsia"/>
          <w:sz w:val="36"/>
          <w:szCs w:val="36"/>
        </w:rPr>
        <w:t>第一章  竞争性磋商公告</w:t>
      </w:r>
    </w:p>
    <w:p w14:paraId="63F259BA">
      <w:pPr>
        <w:pStyle w:val="34"/>
        <w:pBdr>
          <w:top w:val="single" w:color="000000" w:sz="4" w:space="0"/>
          <w:left w:val="single" w:color="000000" w:sz="4" w:space="0"/>
          <w:bottom w:val="single" w:color="000000" w:sz="4" w:space="0"/>
          <w:right w:val="single" w:color="000000" w:sz="4" w:space="0"/>
        </w:pBdr>
        <w:spacing w:beforeAutospacing="0" w:afterAutospacing="0" w:line="324" w:lineRule="auto"/>
        <w:jc w:val="both"/>
        <w:rPr>
          <w:rFonts w:hint="eastAsia" w:ascii="宋体" w:hAnsi="宋体" w:eastAsia="宋体" w:cs="宋体"/>
        </w:rPr>
      </w:pPr>
      <w:r>
        <w:rPr>
          <w:rFonts w:hint="eastAsia" w:ascii="宋体" w:hAnsi="宋体" w:eastAsia="宋体" w:cs="宋体"/>
        </w:rPr>
        <w:t>项目概况</w:t>
      </w:r>
    </w:p>
    <w:p w14:paraId="6369270F">
      <w:pPr>
        <w:pStyle w:val="34"/>
        <w:pBdr>
          <w:top w:val="single" w:color="000000" w:sz="4" w:space="0"/>
          <w:left w:val="single" w:color="000000" w:sz="4" w:space="0"/>
          <w:bottom w:val="single" w:color="000000" w:sz="4" w:space="0"/>
          <w:right w:val="single" w:color="000000" w:sz="4" w:space="0"/>
        </w:pBdr>
        <w:spacing w:beforeAutospacing="0" w:afterAutospacing="0" w:line="324" w:lineRule="auto"/>
        <w:ind w:firstLine="480"/>
        <w:rPr>
          <w:rFonts w:hint="eastAsia" w:ascii="宋体" w:hAnsi="宋体" w:eastAsia="宋体" w:cs="宋体"/>
        </w:rPr>
      </w:pPr>
      <w:r>
        <w:rPr>
          <w:rFonts w:hint="eastAsia" w:ascii="宋体" w:hAnsi="宋体" w:eastAsia="宋体" w:cs="宋体"/>
          <w:u w:val="single"/>
        </w:rPr>
        <w:t>射阳港经济开发区园区道路市政管网清淤项目</w:t>
      </w:r>
      <w:r>
        <w:rPr>
          <w:rFonts w:hint="eastAsia" w:ascii="宋体" w:hAnsi="宋体" w:eastAsia="宋体" w:cs="宋体"/>
        </w:rPr>
        <w:t>采购项目的潜在供应商应在</w:t>
      </w:r>
      <w:r>
        <w:rPr>
          <w:rFonts w:hint="eastAsia" w:ascii="宋体" w:hAnsi="宋体" w:eastAsia="宋体" w:cs="宋体"/>
          <w:shd w:val="clear" w:color="auto" w:fill="FFFFFF"/>
        </w:rPr>
        <w:t>“苏采云”系统内免费下载（投标人必须在苏采云系统中获</w:t>
      </w:r>
      <w:r>
        <w:rPr>
          <w:rFonts w:hint="eastAsia" w:ascii="宋体" w:hAnsi="宋体" w:eastAsia="宋体" w:cs="宋体"/>
        </w:rPr>
        <w:t>取磋商文件，方能参与政府采购项目）；并于</w:t>
      </w:r>
      <w:r>
        <w:rPr>
          <w:rFonts w:hint="eastAsia" w:ascii="宋体" w:hAnsi="宋体" w:eastAsia="宋体" w:cs="宋体"/>
          <w:u w:val="single"/>
        </w:rPr>
        <w:t>2026 年</w:t>
      </w:r>
      <w:r>
        <w:rPr>
          <w:rFonts w:hint="eastAsia" w:ascii="宋体" w:hAnsi="宋体" w:eastAsia="宋体" w:cs="宋体"/>
          <w:u w:val="single"/>
          <w:lang w:val="en-US" w:eastAsia="zh-CN"/>
        </w:rPr>
        <w:t>10</w:t>
      </w:r>
      <w:r>
        <w:rPr>
          <w:rFonts w:hint="eastAsia" w:ascii="宋体" w:hAnsi="宋体" w:eastAsia="宋体" w:cs="宋体"/>
          <w:u w:val="single"/>
        </w:rPr>
        <w:t>月1</w:t>
      </w:r>
      <w:r>
        <w:rPr>
          <w:rFonts w:hint="eastAsia" w:ascii="宋体" w:hAnsi="宋体" w:eastAsia="宋体" w:cs="宋体"/>
          <w:u w:val="single"/>
          <w:lang w:val="en-US" w:eastAsia="zh-CN"/>
        </w:rPr>
        <w:t>0</w:t>
      </w:r>
      <w:r>
        <w:rPr>
          <w:rFonts w:hint="eastAsia" w:ascii="宋体" w:hAnsi="宋体" w:eastAsia="宋体" w:cs="宋体"/>
          <w:u w:val="single"/>
        </w:rPr>
        <w:t>日15点00分（</w:t>
      </w:r>
      <w:r>
        <w:rPr>
          <w:rFonts w:hint="eastAsia" w:ascii="宋体" w:hAnsi="宋体" w:eastAsia="宋体" w:cs="宋体"/>
        </w:rPr>
        <w:t>北京时间）前递交响应文件。</w:t>
      </w:r>
    </w:p>
    <w:p w14:paraId="540C5944">
      <w:pPr>
        <w:pStyle w:val="34"/>
        <w:keepNext/>
        <w:keepLines/>
        <w:spacing w:before="145" w:beforeAutospacing="0" w:after="145" w:afterAutospacing="0" w:line="324" w:lineRule="auto"/>
        <w:ind w:firstLine="498"/>
        <w:jc w:val="both"/>
        <w:rPr>
          <w:rFonts w:hint="eastAsia" w:ascii="宋体" w:hAnsi="宋体" w:eastAsia="宋体" w:cs="宋体"/>
        </w:rPr>
      </w:pPr>
      <w:bookmarkStart w:id="7" w:name="_Hlk24379207"/>
      <w:bookmarkStart w:id="8" w:name="_Toc35393790"/>
      <w:bookmarkStart w:id="9" w:name="_Toc28359002"/>
      <w:bookmarkStart w:id="10" w:name="_Toc28359079"/>
      <w:bookmarkStart w:id="11" w:name="_Toc35393621"/>
      <w:bookmarkStart w:id="12" w:name="_Toc38985263"/>
      <w:r>
        <w:rPr>
          <w:rFonts w:hint="eastAsia" w:ascii="宋体" w:hAnsi="宋体" w:eastAsia="宋体" w:cs="宋体"/>
          <w:b/>
        </w:rPr>
        <w:t>一、项目基本情况</w:t>
      </w:r>
      <w:bookmarkEnd w:id="7"/>
      <w:bookmarkEnd w:id="8"/>
      <w:bookmarkEnd w:id="9"/>
      <w:bookmarkEnd w:id="10"/>
      <w:bookmarkEnd w:id="11"/>
      <w:bookmarkEnd w:id="12"/>
    </w:p>
    <w:p w14:paraId="78C97857">
      <w:pPr>
        <w:pStyle w:val="34"/>
        <w:spacing w:beforeAutospacing="0" w:afterAutospacing="0" w:line="324" w:lineRule="auto"/>
        <w:ind w:firstLine="480"/>
        <w:jc w:val="both"/>
        <w:rPr>
          <w:rFonts w:hint="eastAsia" w:ascii="宋体" w:hAnsi="宋体" w:eastAsia="宋体" w:cs="宋体"/>
          <w:lang w:eastAsia="zh-CN"/>
        </w:rPr>
      </w:pPr>
      <w:r>
        <w:rPr>
          <w:rFonts w:hint="eastAsia" w:ascii="宋体" w:hAnsi="宋体" w:eastAsia="宋体" w:cs="宋体"/>
        </w:rPr>
        <w:t>1.项目编号：JSZC-320924-YCBR-C2026-</w:t>
      </w:r>
      <w:r>
        <w:rPr>
          <w:rFonts w:hint="eastAsia" w:ascii="宋体" w:hAnsi="宋体" w:eastAsia="宋体" w:cs="宋体"/>
          <w:lang w:eastAsia="zh-CN"/>
        </w:rPr>
        <w:t>0004</w:t>
      </w:r>
    </w:p>
    <w:p w14:paraId="641A9E5C">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2.项目名称：射阳港经济开发区园区道路市政管网清淤项目</w:t>
      </w:r>
    </w:p>
    <w:p w14:paraId="6C3A19E5">
      <w:pPr>
        <w:pStyle w:val="34"/>
        <w:spacing w:beforeAutospacing="0" w:afterAutospacing="0" w:line="324" w:lineRule="auto"/>
        <w:ind w:firstLine="480"/>
        <w:jc w:val="both"/>
        <w:rPr>
          <w:rFonts w:hint="eastAsia" w:ascii="宋体" w:hAnsi="宋体" w:eastAsia="宋体" w:cs="宋体"/>
          <w:shd w:val="clear" w:color="auto" w:fill="FFFFFF"/>
        </w:rPr>
      </w:pPr>
      <w:r>
        <w:rPr>
          <w:rFonts w:hint="eastAsia" w:ascii="宋体" w:hAnsi="宋体" w:eastAsia="宋体" w:cs="宋体"/>
          <w:shd w:val="clear" w:color="auto" w:fill="FFFFFF"/>
        </w:rPr>
        <w:t>3.采购方式：竞争性磋商</w:t>
      </w:r>
    </w:p>
    <w:p w14:paraId="0C00444E">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shd w:val="clear" w:color="auto" w:fill="FFFFFF"/>
        </w:rPr>
        <w:t>4.预算金</w:t>
      </w:r>
      <w:r>
        <w:rPr>
          <w:rFonts w:hint="eastAsia" w:ascii="宋体" w:hAnsi="宋体" w:eastAsia="宋体" w:cs="宋体"/>
        </w:rPr>
        <w:t>额：380万元</w:t>
      </w:r>
    </w:p>
    <w:p w14:paraId="01491D36">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5.最高限价（如有）：380万元，投标报价高于最高限价的，采购人将不予接受，作无效标处理。</w:t>
      </w:r>
    </w:p>
    <w:p w14:paraId="6CF24EEC">
      <w:pPr>
        <w:pStyle w:val="34"/>
        <w:spacing w:beforeAutospacing="0" w:afterAutospacing="0" w:line="324" w:lineRule="auto"/>
        <w:ind w:firstLine="480"/>
        <w:jc w:val="both"/>
        <w:rPr>
          <w:rFonts w:hint="eastAsia" w:ascii="宋体" w:hAnsi="宋体" w:eastAsia="宋体" w:cs="宋体"/>
          <w:color w:val="0000FF"/>
        </w:rPr>
      </w:pPr>
      <w:r>
        <w:rPr>
          <w:rFonts w:hint="eastAsia" w:ascii="宋体" w:hAnsi="宋体" w:eastAsia="宋体" w:cs="宋体"/>
        </w:rPr>
        <w:t>6.采购需求（简介）：</w:t>
      </w:r>
      <w:r>
        <w:rPr>
          <w:rFonts w:ascii="Helvetica" w:hAnsi="Helvetica" w:eastAsia="Helvetica" w:cs="Helvetica"/>
          <w:color w:val="333333"/>
          <w:shd w:val="clear" w:color="auto" w:fill="FFFFFF"/>
        </w:rPr>
        <w:t>对港区能源路、高新路、磐石西路、远景大道、水头大道、S329省道部分路段市政管网进行疏通清堵，总长约45公里</w:t>
      </w:r>
      <w:r>
        <w:rPr>
          <w:rFonts w:hint="eastAsia" w:ascii="Helvetica" w:hAnsi="Helvetica" w:eastAsia="宋体" w:cs="Helvetica"/>
          <w:color w:val="333333"/>
          <w:shd w:val="clear" w:color="auto" w:fill="FFFFFF"/>
        </w:rPr>
        <w:t>（按实际实施工作量为准）</w:t>
      </w:r>
      <w:r>
        <w:rPr>
          <w:rFonts w:hint="eastAsia" w:ascii="宋体" w:hAnsi="宋体" w:eastAsia="宋体" w:cs="宋体"/>
        </w:rPr>
        <w:t>。管道清淤:检查井、管道内的淤积量需满足CCTV检测标准。清淤范围包括管道及检查井;清淤内容包括临时封猪、渡水(雨污水管网存在满管水现象)、降排水、通风、清淤、淤泥外运、安全围护等，确保能够实施CCTV检测。清理出的淤泥需全部清除外运出园区。</w:t>
      </w:r>
      <w:r>
        <w:rPr>
          <w:rFonts w:hint="eastAsia" w:ascii="Times New Roman" w:hAnsi="Times New Roman" w:cs="宋体"/>
        </w:rPr>
        <w:t>具体详见项目需求</w:t>
      </w:r>
      <w:r>
        <w:rPr>
          <w:rFonts w:hint="eastAsia" w:ascii="宋体" w:hAnsi="宋体" w:eastAsia="宋体" w:cs="宋体"/>
        </w:rPr>
        <w:t>。</w:t>
      </w:r>
    </w:p>
    <w:p w14:paraId="26CA9751">
      <w:pPr>
        <w:pStyle w:val="34"/>
        <w:spacing w:beforeAutospacing="0" w:afterAutospacing="0" w:line="324" w:lineRule="auto"/>
        <w:ind w:firstLine="480"/>
        <w:jc w:val="both"/>
        <w:rPr>
          <w:rFonts w:hint="eastAsia" w:ascii="宋体" w:hAnsi="宋体" w:eastAsia="宋体" w:cs="宋体"/>
          <w:color w:val="0000FF"/>
        </w:rPr>
      </w:pPr>
      <w:r>
        <w:rPr>
          <w:rFonts w:hint="eastAsia" w:ascii="宋体" w:hAnsi="宋体" w:eastAsia="宋体" w:cs="宋体"/>
          <w:color w:val="000000" w:themeColor="text1"/>
          <w14:textFill>
            <w14:solidFill>
              <w14:schemeClr w14:val="tx1"/>
            </w14:solidFill>
          </w14:textFill>
        </w:rPr>
        <w:t>7.合同履行期限：90日历天</w:t>
      </w:r>
    </w:p>
    <w:p w14:paraId="451BCCE0">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8.本项目（是/否）接受联合体：否。</w:t>
      </w:r>
    </w:p>
    <w:p w14:paraId="568F8E08">
      <w:pPr>
        <w:pStyle w:val="34"/>
        <w:keepNext/>
        <w:keepLines/>
        <w:spacing w:before="145" w:beforeAutospacing="0" w:after="145" w:afterAutospacing="0" w:line="324" w:lineRule="auto"/>
        <w:ind w:firstLine="498"/>
        <w:jc w:val="both"/>
        <w:rPr>
          <w:rFonts w:hint="eastAsia" w:ascii="宋体" w:hAnsi="宋体" w:eastAsia="宋体" w:cs="宋体"/>
        </w:rPr>
      </w:pPr>
      <w:bookmarkStart w:id="13" w:name="_Toc35393791"/>
      <w:bookmarkStart w:id="14" w:name="_Toc38985264"/>
      <w:bookmarkStart w:id="15" w:name="_Toc28359003"/>
      <w:bookmarkStart w:id="16" w:name="_Toc35393622"/>
      <w:bookmarkStart w:id="17" w:name="_Toc28359080"/>
      <w:r>
        <w:rPr>
          <w:rFonts w:hint="eastAsia" w:ascii="宋体" w:hAnsi="宋体" w:eastAsia="宋体" w:cs="宋体"/>
          <w:b/>
        </w:rPr>
        <w:t>二、申请人的资格要求：</w:t>
      </w:r>
      <w:bookmarkEnd w:id="13"/>
      <w:bookmarkEnd w:id="14"/>
      <w:bookmarkEnd w:id="15"/>
      <w:bookmarkEnd w:id="16"/>
      <w:bookmarkEnd w:id="17"/>
    </w:p>
    <w:p w14:paraId="5C48AEE2">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(一)满足《中华人民共和国政府采购法》第二十二条规定:</w:t>
      </w:r>
    </w:p>
    <w:p w14:paraId="6B69F61B">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1.法人或者其他组织的营业执照等证明文件，自然人的身份证明。</w:t>
      </w:r>
    </w:p>
    <w:p w14:paraId="5B135A20">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2.上一年度的财务状况报表(成立不满一年无需提供)。</w:t>
      </w:r>
    </w:p>
    <w:p w14:paraId="10756242">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2472F49">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4.具备履行合同所必需的设备和专业技术能力的书面声明。</w:t>
      </w:r>
    </w:p>
    <w:p w14:paraId="7FEDA48F">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5.参加政府采购活动前3年内在经营活动中没有重大违法记录的书面声明。</w:t>
      </w:r>
    </w:p>
    <w:p w14:paraId="5ACF0620">
      <w:pPr>
        <w:pStyle w:val="34"/>
        <w:spacing w:beforeAutospacing="0" w:afterAutospacing="0" w:line="324" w:lineRule="auto"/>
        <w:ind w:firstLine="480"/>
        <w:jc w:val="both"/>
        <w:rPr>
          <w:rFonts w:hint="eastAsia" w:ascii="宋体" w:hAnsi="宋体" w:eastAsia="宋体" w:cs="宋体"/>
        </w:rPr>
      </w:pPr>
      <w:r>
        <w:rPr>
          <w:rFonts w:hint="eastAsia" w:ascii="宋体" w:hAnsi="宋体" w:eastAsia="宋体" w:cs="宋体"/>
        </w:rPr>
        <w:t>6.法律、行政法规规定的其他条件。</w:t>
      </w:r>
    </w:p>
    <w:p w14:paraId="532AD410">
      <w:pPr>
        <w:pStyle w:val="34"/>
        <w:pageBreakBefore w:val="0"/>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7.单位负责人为同一人或者存在直接控股、管理关系的不同供应商，不得参加同一合同项下的政府采购活动。</w:t>
      </w:r>
    </w:p>
    <w:p w14:paraId="2D164CDF">
      <w:pPr>
        <w:pStyle w:val="34"/>
        <w:pageBreakBefore w:val="0"/>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8.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B8FBF6F">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（二）落实政府采购政策需满足的资格要求：</w:t>
      </w:r>
    </w:p>
    <w:p w14:paraId="64AFD68B">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落实政府采购政策需满足的资格要求：本项目为非专门面向中小企业的采购项目，对小微企业报价给予扣除，用扣除后的价格参加评审。</w:t>
      </w:r>
    </w:p>
    <w:p w14:paraId="48C68ECD">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1.小微型企业价格扣除</w:t>
      </w:r>
    </w:p>
    <w:p w14:paraId="0461356E">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（1）本项目对小型和微型企业产品给予20%的扣除价格，用扣除后的价格参与评审。</w:t>
      </w:r>
    </w:p>
    <w:p w14:paraId="204B601B">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（2）供应商需按照采购文件的要求提供相应的《小微企业声明函》。</w:t>
      </w:r>
    </w:p>
    <w:p w14:paraId="06B2A68E">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（3）企业标准请参照《关于印发中小企业划型标准规定的通知》（工信部联企业[2011]300号）文件规定自行填写。</w:t>
      </w:r>
    </w:p>
    <w:p w14:paraId="0EAC58A6">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2.残疾人福利单位价格扣除</w:t>
      </w:r>
    </w:p>
    <w:p w14:paraId="04D1A197">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（1）本项目对残疾人福利性单位视同小型、微型企业，给予20%的价格扣除，用扣除后的价格参与评审。</w:t>
      </w:r>
    </w:p>
    <w:p w14:paraId="7930C3B1">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（2）残疾人福利单位需按照采购文件的要求提供《残疾人福利性单位声明函》。</w:t>
      </w:r>
    </w:p>
    <w:p w14:paraId="5ED05316">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（3）残疾人福利单位标准请参照《关于促进残疾人就业政府采购政策的通知》（财库〔2017〕141号）。</w:t>
      </w:r>
    </w:p>
    <w:p w14:paraId="79106182">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3.监狱和戒毒企业价格扣除</w:t>
      </w:r>
    </w:p>
    <w:p w14:paraId="0479B55C">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（1）本项目对监狱和戒毒企业（简称监狱企业）视同小型、微型企业，给予20%的价格扣除，用扣除后的价格参与评审。</w:t>
      </w:r>
    </w:p>
    <w:p w14:paraId="4C2F4B16">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（2）监狱企业参加政府采购活动时，需提供由省级以上监狱管理局、戒毒管理局(含新疆生产建设兵团)出具的属于监狱企业的证明文件。供应商如不提供上述证明文件，价格将不做相应扣除。</w:t>
      </w:r>
    </w:p>
    <w:p w14:paraId="4D605B77">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shd w:val="clear" w:color="auto" w:fill="FFFFFF"/>
        </w:rPr>
        <w:t>（3）监狱企业标准请参照《关于政府采购支持监狱企业发展有关问题的通知》（财库[</w:t>
      </w:r>
      <w:r>
        <w:rPr>
          <w:rFonts w:hint="eastAsia" w:ascii="宋体" w:hAnsi="宋体" w:eastAsia="宋体" w:cs="宋体"/>
          <w:color w:val="000000" w:themeColor="text1"/>
          <w:shd w:val="clear" w:color="auto" w:fill="FFFFFF"/>
          <w14:textFill>
            <w14:solidFill>
              <w14:schemeClr w14:val="tx1"/>
            </w14:solidFill>
          </w14:textFill>
        </w:rPr>
        <w:t>2014]68号）。</w:t>
      </w:r>
    </w:p>
    <w:p w14:paraId="04A1C138">
      <w:pPr>
        <w:pStyle w:val="34"/>
        <w:pageBreakBefore w:val="0"/>
        <w:kinsoku/>
        <w:wordWrap/>
        <w:overflowPunct/>
        <w:topLinePunct w:val="0"/>
        <w:autoSpaceDE/>
        <w:autoSpaceDN/>
        <w:bidi w:val="0"/>
        <w:adjustRightInd/>
        <w:snapToGrid/>
        <w:spacing w:beforeAutospacing="0" w:afterAutospacing="0" w:line="312" w:lineRule="auto"/>
        <w:ind w:firstLine="482"/>
        <w:jc w:val="both"/>
        <w:textAlignment w:val="auto"/>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4.残疾人福利单位、监狱企业属于小型、微型企业的，不重复享受政策。</w:t>
      </w:r>
    </w:p>
    <w:p w14:paraId="5D00D22B">
      <w:pPr>
        <w:pageBreakBefore w:val="0"/>
        <w:kinsoku/>
        <w:wordWrap/>
        <w:overflowPunct/>
        <w:topLinePunct w:val="0"/>
        <w:autoSpaceDE/>
        <w:autoSpaceDN/>
        <w:bidi w:val="0"/>
        <w:adjustRightInd/>
        <w:snapToGrid/>
        <w:spacing w:line="312" w:lineRule="auto"/>
        <w:ind w:firstLine="480"/>
        <w:textAlignment w:val="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（三）本项目的特定资格要求：</w:t>
      </w:r>
    </w:p>
    <w:p w14:paraId="599A3F0F">
      <w:pPr>
        <w:pageBreakBefore w:val="0"/>
        <w:kinsoku/>
        <w:wordWrap/>
        <w:overflowPunct/>
        <w:topLinePunct w:val="0"/>
        <w:autoSpaceDE/>
        <w:autoSpaceDN/>
        <w:bidi w:val="0"/>
        <w:adjustRightInd/>
        <w:snapToGrid/>
        <w:spacing w:line="312" w:lineRule="auto"/>
        <w:ind w:firstLine="48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1.项目负责人须为投标人本单位的职工，具有建设行政主管部门核发的</w:t>
      </w:r>
      <w:r>
        <w:rPr>
          <w:rFonts w:hint="eastAsia" w:ascii="宋体" w:hAnsi="宋体"/>
          <w:b/>
          <w:bCs/>
          <w:color w:val="000000" w:themeColor="text1"/>
          <w:sz w:val="24"/>
          <w14:textFill>
            <w14:solidFill>
              <w14:schemeClr w14:val="tx1"/>
            </w14:solidFill>
          </w14:textFill>
        </w:rPr>
        <w:t>市政工程二级</w:t>
      </w:r>
      <w:r>
        <w:rPr>
          <w:rFonts w:hint="eastAsia" w:ascii="宋体" w:hAnsi="宋体"/>
          <w:color w:val="000000" w:themeColor="text1"/>
          <w:sz w:val="24"/>
          <w14:textFill>
            <w14:solidFill>
              <w14:schemeClr w14:val="tx1"/>
            </w14:solidFill>
          </w14:textFill>
        </w:rPr>
        <w:t>及以上建造师注册证书和建筑施工企业项目负责人</w:t>
      </w:r>
      <w:r>
        <w:rPr>
          <w:rFonts w:hint="eastAsia" w:ascii="宋体" w:hAnsi="宋体"/>
          <w:b/>
          <w:bCs/>
          <w:color w:val="000000" w:themeColor="text1"/>
          <w:sz w:val="24"/>
          <w14:textFill>
            <w14:solidFill>
              <w14:schemeClr w14:val="tx1"/>
            </w14:solidFill>
          </w14:textFill>
        </w:rPr>
        <w:t>安全生产考核合格证（B类）</w:t>
      </w:r>
      <w:r>
        <w:rPr>
          <w:rFonts w:hint="eastAsia" w:ascii="宋体" w:hAnsi="宋体"/>
          <w:color w:val="000000" w:themeColor="text1"/>
          <w:sz w:val="24"/>
          <w14:textFill>
            <w14:solidFill>
              <w14:schemeClr w14:val="tx1"/>
            </w14:solidFill>
          </w14:textFill>
        </w:rPr>
        <w:t>。</w:t>
      </w:r>
    </w:p>
    <w:p w14:paraId="5C1AF260">
      <w:pPr>
        <w:pStyle w:val="45"/>
        <w:pageBreakBefore w:val="0"/>
        <w:kinsoku/>
        <w:wordWrap/>
        <w:overflowPunct/>
        <w:topLinePunct w:val="0"/>
        <w:autoSpaceDE/>
        <w:autoSpaceDN/>
        <w:bidi w:val="0"/>
        <w:adjustRightInd/>
        <w:snapToGrid/>
        <w:spacing w:line="312" w:lineRule="auto"/>
        <w:ind w:firstLine="480" w:firstLineChars="200"/>
        <w:textAlignment w:val="auto"/>
        <w:rPr>
          <w:rFonts w:hint="eastAsia" w:hAnsi="宋体" w:cstheme="minorBidi"/>
          <w:color w:val="000000" w:themeColor="text1"/>
          <w14:textFill>
            <w14:solidFill>
              <w14:schemeClr w14:val="tx1"/>
            </w14:solidFill>
          </w14:textFill>
        </w:rPr>
      </w:pPr>
      <w:r>
        <w:rPr>
          <w:rFonts w:hint="eastAsia" w:ascii="宋体" w:hAnsi="宋体" w:eastAsiaTheme="minorEastAsia" w:cstheme="minorBidi"/>
          <w:color w:val="000000" w:themeColor="text1"/>
          <w:sz w:val="24"/>
          <w:szCs w:val="24"/>
          <w:lang w:val="en-US" w:eastAsia="zh-CN" w:bidi="ar-SA"/>
          <w14:textFill>
            <w14:solidFill>
              <w14:schemeClr w14:val="tx1"/>
            </w14:solidFill>
          </w14:textFill>
        </w:rPr>
        <w:t>2.</w:t>
      </w:r>
      <w:r>
        <w:rPr>
          <w:rFonts w:hint="eastAsia" w:hAnsi="宋体" w:cstheme="minorBidi"/>
          <w:color w:val="000000" w:themeColor="text1"/>
          <w14:textFill>
            <w14:solidFill>
              <w14:schemeClr w14:val="tx1"/>
            </w14:solidFill>
          </w14:textFill>
        </w:rPr>
        <w:t>提供项目负责人从2026年06月开始至投标截止之日当月至少1个月在本单位缴纳养老保险证明。</w:t>
      </w:r>
    </w:p>
    <w:p w14:paraId="2321726B">
      <w:pPr>
        <w:pageBreakBefore w:val="0"/>
        <w:kinsoku/>
        <w:wordWrap/>
        <w:overflowPunct/>
        <w:topLinePunct w:val="0"/>
        <w:autoSpaceDE/>
        <w:autoSpaceDN/>
        <w:bidi w:val="0"/>
        <w:adjustRightInd/>
        <w:snapToGrid/>
        <w:spacing w:line="312" w:lineRule="auto"/>
        <w:ind w:firstLine="480"/>
        <w:textAlignment w:val="auto"/>
        <w:rPr>
          <w:rFonts w:hint="eastAsia" w:ascii="宋体" w:hAnsi="宋体" w:eastAsia="宋体" w:cs="宋体"/>
        </w:rPr>
      </w:pPr>
      <w:r>
        <w:rPr>
          <w:rFonts w:hint="eastAsia" w:ascii="宋体" w:hAnsi="宋体" w:eastAsia="宋体" w:cs="宋体"/>
          <w:b/>
          <w:sz w:val="24"/>
        </w:rPr>
        <w:t>三、获取磋商文件</w:t>
      </w:r>
    </w:p>
    <w:p w14:paraId="552F2A7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12" w:lineRule="auto"/>
        <w:ind w:firstLine="480"/>
        <w:textAlignment w:val="auto"/>
        <w:rPr>
          <w:rFonts w:hint="eastAsia" w:ascii="宋体" w:hAnsi="宋体" w:eastAsia="宋体" w:cs="宋体"/>
          <w:sz w:val="24"/>
        </w:rPr>
      </w:pPr>
      <w:bookmarkStart w:id="18" w:name="_Toc28359082"/>
      <w:bookmarkStart w:id="19" w:name="_Toc38985266"/>
      <w:bookmarkStart w:id="20" w:name="_Toc35393793"/>
      <w:bookmarkStart w:id="21" w:name="_Toc28359005"/>
      <w:bookmarkStart w:id="22" w:name="_Toc35393624"/>
      <w:r>
        <w:rPr>
          <w:rFonts w:hint="eastAsia" w:ascii="宋体" w:hAnsi="宋体" w:eastAsia="宋体" w:cs="宋体"/>
          <w:sz w:val="24"/>
        </w:rPr>
        <w:t>1.时间：自磋商文件公告发布之日起5个工作日。</w:t>
      </w:r>
      <w:bookmarkEnd w:id="18"/>
      <w:bookmarkEnd w:id="19"/>
      <w:bookmarkEnd w:id="20"/>
      <w:bookmarkEnd w:id="21"/>
      <w:bookmarkEnd w:id="22"/>
    </w:p>
    <w:p w14:paraId="0D7D0EE5">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2.地点：“苏采云”系统内免费下载（投标人必须在苏采云系统中获取磋商文件，方能参与政府采购项目）；</w:t>
      </w:r>
    </w:p>
    <w:p w14:paraId="11B11DBE">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 xml:space="preserve">3.方式：本项目采用网上注册登记方式。 </w:t>
      </w:r>
    </w:p>
    <w:p w14:paraId="52CEBE7D">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4.售价：0元</w:t>
      </w:r>
    </w:p>
    <w:p w14:paraId="606EB1A7">
      <w:pPr>
        <w:pStyle w:val="34"/>
        <w:keepNext/>
        <w:keepLines/>
        <w:pageBreakBefore w:val="0"/>
        <w:kinsoku/>
        <w:wordWrap/>
        <w:overflowPunct/>
        <w:topLinePunct w:val="0"/>
        <w:autoSpaceDE/>
        <w:autoSpaceDN/>
        <w:bidi w:val="0"/>
        <w:adjustRightInd/>
        <w:snapToGrid/>
        <w:spacing w:before="145" w:beforeAutospacing="0" w:after="145" w:afterAutospacing="0" w:line="312" w:lineRule="auto"/>
        <w:ind w:firstLine="498"/>
        <w:jc w:val="both"/>
        <w:textAlignment w:val="auto"/>
        <w:rPr>
          <w:rFonts w:hint="eastAsia" w:ascii="宋体" w:hAnsi="宋体" w:eastAsia="宋体" w:cs="宋体"/>
        </w:rPr>
      </w:pPr>
      <w:r>
        <w:rPr>
          <w:rFonts w:hint="eastAsia" w:ascii="宋体" w:hAnsi="宋体" w:eastAsia="宋体" w:cs="宋体"/>
          <w:b/>
        </w:rPr>
        <w:t>四、响应文件提交</w:t>
      </w:r>
    </w:p>
    <w:p w14:paraId="11A23142">
      <w:pPr>
        <w:pStyle w:val="34"/>
        <w:pageBreakBefore w:val="0"/>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1.截止时间：</w:t>
      </w:r>
      <w:r>
        <w:rPr>
          <w:rFonts w:hint="eastAsia" w:ascii="宋体" w:hAnsi="宋体" w:eastAsia="宋体" w:cs="宋体"/>
          <w:u w:val="single"/>
        </w:rPr>
        <w:t>2026 年</w:t>
      </w:r>
      <w:r>
        <w:rPr>
          <w:rFonts w:hint="eastAsia" w:ascii="宋体" w:hAnsi="宋体" w:eastAsia="宋体" w:cs="宋体"/>
          <w:u w:val="single"/>
          <w:lang w:val="en-US" w:eastAsia="zh-CN"/>
        </w:rPr>
        <w:t>10</w:t>
      </w:r>
      <w:r>
        <w:rPr>
          <w:rFonts w:hint="eastAsia" w:ascii="宋体" w:hAnsi="宋体" w:eastAsia="宋体" w:cs="宋体"/>
          <w:u w:val="single"/>
        </w:rPr>
        <w:t>月1</w:t>
      </w:r>
      <w:r>
        <w:rPr>
          <w:rFonts w:hint="eastAsia" w:ascii="宋体" w:hAnsi="宋体" w:eastAsia="宋体" w:cs="宋体"/>
          <w:u w:val="single"/>
          <w:lang w:val="en-US" w:eastAsia="zh-CN"/>
        </w:rPr>
        <w:t>0</w:t>
      </w:r>
      <w:r>
        <w:rPr>
          <w:rFonts w:hint="eastAsia" w:ascii="宋体" w:hAnsi="宋体" w:eastAsia="宋体" w:cs="宋体"/>
          <w:u w:val="single"/>
        </w:rPr>
        <w:t>日15点00分</w:t>
      </w:r>
      <w:r>
        <w:rPr>
          <w:rFonts w:hint="eastAsia" w:ascii="宋体" w:hAnsi="宋体" w:eastAsia="宋体" w:cs="宋体"/>
        </w:rPr>
        <w:t>（北京时间）。</w:t>
      </w:r>
    </w:p>
    <w:p w14:paraId="16485F6F">
      <w:pPr>
        <w:pStyle w:val="34"/>
        <w:pageBreakBefore w:val="0"/>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2.地点：</w:t>
      </w:r>
      <w:r>
        <w:rPr>
          <w:rFonts w:hint="eastAsia" w:ascii="宋体" w:hAnsi="宋体" w:eastAsia="宋体" w:cs="宋体"/>
          <w:color w:val="000000"/>
        </w:rPr>
        <w:t>苏采云“不见面”开标大厅 。</w:t>
      </w:r>
    </w:p>
    <w:p w14:paraId="7181F079">
      <w:pPr>
        <w:pStyle w:val="34"/>
        <w:keepNext/>
        <w:keepLines/>
        <w:pageBreakBefore w:val="0"/>
        <w:kinsoku/>
        <w:wordWrap/>
        <w:overflowPunct/>
        <w:topLinePunct w:val="0"/>
        <w:autoSpaceDE/>
        <w:autoSpaceDN/>
        <w:bidi w:val="0"/>
        <w:adjustRightInd/>
        <w:snapToGrid/>
        <w:spacing w:before="145" w:beforeAutospacing="0" w:after="145" w:afterAutospacing="0" w:line="312" w:lineRule="auto"/>
        <w:ind w:firstLine="498"/>
        <w:jc w:val="both"/>
        <w:textAlignment w:val="auto"/>
        <w:rPr>
          <w:rFonts w:hint="eastAsia" w:ascii="宋体" w:hAnsi="宋体" w:eastAsia="宋体" w:cs="宋体"/>
          <w:b/>
        </w:rPr>
      </w:pPr>
      <w:bookmarkStart w:id="23" w:name="_Toc35393795"/>
      <w:bookmarkStart w:id="24" w:name="_Toc38985268"/>
      <w:bookmarkStart w:id="25" w:name="_Toc35393626"/>
      <w:r>
        <w:rPr>
          <w:rFonts w:hint="eastAsia" w:ascii="宋体" w:hAnsi="宋体" w:eastAsia="宋体" w:cs="宋体"/>
          <w:b/>
        </w:rPr>
        <w:t>五、开启</w:t>
      </w:r>
    </w:p>
    <w:p w14:paraId="20F35948">
      <w:pPr>
        <w:pStyle w:val="34"/>
        <w:pageBreakBefore w:val="0"/>
        <w:widowControl/>
        <w:shd w:val="clear" w:color="auto" w:fill="FFFFFF"/>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1.时间：</w:t>
      </w:r>
      <w:r>
        <w:rPr>
          <w:rFonts w:hint="eastAsia" w:ascii="宋体" w:hAnsi="宋体" w:eastAsia="宋体" w:cs="宋体"/>
          <w:u w:val="single"/>
        </w:rPr>
        <w:t>2026 年</w:t>
      </w:r>
      <w:r>
        <w:rPr>
          <w:rFonts w:hint="eastAsia" w:ascii="宋体" w:hAnsi="宋体" w:eastAsia="宋体" w:cs="宋体"/>
          <w:u w:val="single"/>
          <w:lang w:val="en-US" w:eastAsia="zh-CN"/>
        </w:rPr>
        <w:t>10</w:t>
      </w:r>
      <w:r>
        <w:rPr>
          <w:rFonts w:hint="eastAsia" w:ascii="宋体" w:hAnsi="宋体" w:eastAsia="宋体" w:cs="宋体"/>
          <w:u w:val="single"/>
        </w:rPr>
        <w:t>月1</w:t>
      </w:r>
      <w:r>
        <w:rPr>
          <w:rFonts w:hint="eastAsia" w:ascii="宋体" w:hAnsi="宋体" w:eastAsia="宋体" w:cs="宋体"/>
          <w:u w:val="single"/>
          <w:lang w:val="en-US" w:eastAsia="zh-CN"/>
        </w:rPr>
        <w:t>0</w:t>
      </w:r>
      <w:r>
        <w:rPr>
          <w:rFonts w:hint="eastAsia" w:ascii="宋体" w:hAnsi="宋体" w:eastAsia="宋体" w:cs="宋体"/>
          <w:u w:val="single"/>
        </w:rPr>
        <w:t>日15点00分</w:t>
      </w:r>
      <w:r>
        <w:rPr>
          <w:rFonts w:hint="eastAsia" w:ascii="宋体" w:hAnsi="宋体" w:eastAsia="宋体" w:cs="宋体"/>
        </w:rPr>
        <w:t>（北京时间）。</w:t>
      </w:r>
      <w:bookmarkEnd w:id="23"/>
      <w:bookmarkEnd w:id="24"/>
      <w:bookmarkEnd w:id="25"/>
    </w:p>
    <w:p w14:paraId="32B4D46E">
      <w:pPr>
        <w:pStyle w:val="34"/>
        <w:pageBreakBefore w:val="0"/>
        <w:kinsoku/>
        <w:wordWrap/>
        <w:overflowPunct/>
        <w:topLinePunct w:val="0"/>
        <w:autoSpaceDE/>
        <w:autoSpaceDN/>
        <w:bidi w:val="0"/>
        <w:adjustRightInd/>
        <w:snapToGrid/>
        <w:spacing w:beforeAutospacing="0" w:afterAutospacing="0" w:line="312" w:lineRule="auto"/>
        <w:ind w:firstLine="480"/>
        <w:jc w:val="both"/>
        <w:textAlignment w:val="auto"/>
        <w:rPr>
          <w:rFonts w:hint="eastAsia" w:ascii="宋体" w:hAnsi="宋体" w:eastAsia="宋体" w:cs="宋体"/>
        </w:rPr>
      </w:pPr>
      <w:r>
        <w:rPr>
          <w:rFonts w:hint="eastAsia" w:ascii="宋体" w:hAnsi="宋体" w:eastAsia="宋体" w:cs="宋体"/>
        </w:rPr>
        <w:t>2.地点：</w:t>
      </w:r>
      <w:r>
        <w:rPr>
          <w:rFonts w:hint="eastAsia" w:ascii="宋体" w:hAnsi="宋体" w:eastAsia="宋体" w:cs="宋体"/>
          <w:color w:val="000000"/>
        </w:rPr>
        <w:t>苏采云“不见面”开标大厅 。</w:t>
      </w:r>
    </w:p>
    <w:p w14:paraId="5E465F6B">
      <w:pPr>
        <w:pStyle w:val="34"/>
        <w:keepNext/>
        <w:keepLines/>
        <w:pageBreakBefore w:val="0"/>
        <w:kinsoku/>
        <w:wordWrap/>
        <w:overflowPunct/>
        <w:topLinePunct w:val="0"/>
        <w:autoSpaceDE/>
        <w:autoSpaceDN/>
        <w:bidi w:val="0"/>
        <w:adjustRightInd/>
        <w:snapToGrid/>
        <w:spacing w:before="145" w:beforeAutospacing="0" w:after="145" w:afterAutospacing="0" w:line="312" w:lineRule="auto"/>
        <w:ind w:firstLine="498"/>
        <w:jc w:val="both"/>
        <w:textAlignment w:val="auto"/>
      </w:pPr>
      <w:bookmarkStart w:id="26" w:name="_Toc28359094"/>
      <w:r>
        <w:rPr>
          <w:rFonts w:hint="eastAsia" w:ascii="宋体" w:hAnsi="宋体" w:eastAsia="宋体" w:cs="宋体"/>
          <w:b/>
        </w:rPr>
        <w:t>六、公告期限</w:t>
      </w:r>
      <w:bookmarkEnd w:id="26"/>
    </w:p>
    <w:p w14:paraId="4CC77572">
      <w:pPr>
        <w:pStyle w:val="34"/>
        <w:pageBreakBefore w:val="0"/>
        <w:widowControl/>
        <w:shd w:val="clear" w:color="auto" w:fill="FFFFFF"/>
        <w:kinsoku/>
        <w:wordWrap/>
        <w:overflowPunct/>
        <w:topLinePunct w:val="0"/>
        <w:autoSpaceDE/>
        <w:autoSpaceDN/>
        <w:bidi w:val="0"/>
        <w:adjustRightInd/>
        <w:snapToGrid/>
        <w:spacing w:beforeAutospacing="0" w:afterAutospacing="0" w:line="312" w:lineRule="auto"/>
        <w:ind w:firstLine="560"/>
        <w:jc w:val="both"/>
        <w:textAlignment w:val="auto"/>
        <w:rPr>
          <w:rFonts w:hint="eastAsia" w:ascii="宋体" w:hAnsi="宋体" w:eastAsia="宋体" w:cs="宋体"/>
        </w:rPr>
      </w:pPr>
      <w:r>
        <w:rPr>
          <w:rFonts w:hint="eastAsia" w:ascii="宋体" w:hAnsi="宋体" w:eastAsia="宋体" w:cs="宋体"/>
        </w:rPr>
        <w:t>自本公告发布之日起5个工作日。</w:t>
      </w:r>
    </w:p>
    <w:p w14:paraId="1AF16DA2">
      <w:pPr>
        <w:pStyle w:val="34"/>
        <w:keepNext/>
        <w:keepLines/>
        <w:pageBreakBefore w:val="0"/>
        <w:kinsoku/>
        <w:wordWrap/>
        <w:overflowPunct/>
        <w:topLinePunct w:val="0"/>
        <w:autoSpaceDE/>
        <w:autoSpaceDN/>
        <w:bidi w:val="0"/>
        <w:adjustRightInd/>
        <w:snapToGrid/>
        <w:spacing w:before="145" w:beforeAutospacing="0" w:after="145" w:afterAutospacing="0" w:line="312" w:lineRule="auto"/>
        <w:ind w:firstLine="498"/>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七、其他补充事宜</w:t>
      </w:r>
    </w:p>
    <w:p w14:paraId="3B07A3D0">
      <w:pPr>
        <w:pStyle w:val="34"/>
        <w:pageBreakBefore w:val="0"/>
        <w:widowControl/>
        <w:shd w:val="clear" w:color="auto" w:fill="FFFFFF"/>
        <w:kinsoku/>
        <w:wordWrap/>
        <w:overflowPunct/>
        <w:topLinePunct w:val="0"/>
        <w:autoSpaceDE/>
        <w:autoSpaceDN/>
        <w:bidi w:val="0"/>
        <w:adjustRightInd/>
        <w:snapToGrid/>
        <w:spacing w:beforeAutospacing="0" w:afterAutospacing="0" w:line="312" w:lineRule="auto"/>
        <w:ind w:firstLine="560"/>
        <w:jc w:val="both"/>
        <w:textAlignment w:val="auto"/>
        <w:rPr>
          <w:rFonts w:hint="eastAsia" w:ascii="宋体" w:hAnsi="宋体" w:eastAsia="宋体" w:cs="宋体"/>
          <w:color w:val="000000" w:themeColor="text1"/>
          <w14:textFill>
            <w14:solidFill>
              <w14:schemeClr w14:val="tx1"/>
            </w14:solidFill>
          </w14:textFill>
        </w:rPr>
      </w:pPr>
      <w:bookmarkStart w:id="27" w:name="_Toc28359018"/>
      <w:r>
        <w:rPr>
          <w:rFonts w:hint="eastAsia" w:ascii="宋体" w:hAnsi="宋体" w:eastAsia="宋体" w:cs="宋体"/>
          <w:color w:val="000000" w:themeColor="text1"/>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F2432BD">
      <w:pPr>
        <w:pStyle w:val="34"/>
        <w:pageBreakBefore w:val="0"/>
        <w:widowControl/>
        <w:shd w:val="clear" w:color="auto" w:fill="FFFFFF"/>
        <w:kinsoku/>
        <w:wordWrap/>
        <w:overflowPunct/>
        <w:topLinePunct w:val="0"/>
        <w:autoSpaceDE/>
        <w:autoSpaceDN/>
        <w:bidi w:val="0"/>
        <w:adjustRightInd/>
        <w:snapToGrid/>
        <w:spacing w:beforeAutospacing="0" w:afterAutospacing="0" w:line="312" w:lineRule="auto"/>
        <w:ind w:firstLine="560"/>
        <w:jc w:val="both"/>
        <w:textAlignment w:val="auto"/>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领取CA和办理电子签章（请至盐城市府西路1号盐城市公共资源交易中心四楼大厅10号，11号窗口办理，联系电话：15051556883，办理邮箱：yancheng@ideabank.net.cn，具体联系方式见《</w:t>
      </w:r>
      <w:r>
        <w:rPr>
          <w:rFonts w:hint="eastAsia" w:ascii="宋体" w:hAnsi="宋体" w:eastAsia="宋体" w:cs="宋体"/>
        </w:rPr>
        <w:t>苏采云系统供应商操作手册》（以下简称《操作手册》））、进行注册并按《操作手册》要求制作、上传电子响应文件,《苏采云系统供应商操作手册》：盐城市政府采购网点击【办事指南】-【供应商参与政府采购活动相关资料】。</w:t>
      </w:r>
    </w:p>
    <w:p w14:paraId="1ABB3DC7">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 xml:space="preserve">2.潜在供应商访问电子招标响应交易平台的网络地址和方法： </w:t>
      </w:r>
    </w:p>
    <w:p w14:paraId="1C3DA8DA">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04837775">
      <w:pPr>
        <w:pageBreakBefore w:val="0"/>
        <w:widowControl/>
        <w:kinsoku/>
        <w:wordWrap/>
        <w:overflowPunct/>
        <w:topLinePunct w:val="0"/>
        <w:autoSpaceDE/>
        <w:autoSpaceDN/>
        <w:bidi w:val="0"/>
        <w:adjustRightInd/>
        <w:snapToGrid/>
        <w:spacing w:line="312" w:lineRule="auto"/>
        <w:ind w:firstLine="480"/>
        <w:jc w:val="left"/>
        <w:textAlignment w:val="auto"/>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p>
    <w:p w14:paraId="428A8930">
      <w:pPr>
        <w:widowControl/>
        <w:spacing w:line="329" w:lineRule="auto"/>
        <w:ind w:firstLine="480"/>
        <w:jc w:val="left"/>
        <w:rPr>
          <w:rFonts w:hint="eastAsia" w:ascii="宋体" w:hAnsi="宋体" w:eastAsia="宋体" w:cs="宋体"/>
          <w:sz w:val="24"/>
        </w:rPr>
      </w:pPr>
      <w:r>
        <w:rPr>
          <w:rFonts w:hint="eastAsia" w:ascii="宋体" w:hAnsi="宋体" w:eastAsia="宋体" w:cs="宋体"/>
          <w:sz w:val="24"/>
        </w:rPr>
        <w:t xml:space="preserve">2.3 磋商文件（后缀名为“.kedt”）、供应商操作手册及政府采购客户端 工具可通过“苏采云”系统相应链接进行下载。 </w:t>
      </w:r>
    </w:p>
    <w:p w14:paraId="57BDCD6E">
      <w:pPr>
        <w:widowControl/>
        <w:spacing w:line="329" w:lineRule="auto"/>
        <w:ind w:firstLine="480"/>
        <w:jc w:val="left"/>
        <w:rPr>
          <w:rFonts w:hint="eastAsia" w:ascii="宋体" w:hAnsi="宋体" w:eastAsia="宋体" w:cs="宋体"/>
          <w:sz w:val="24"/>
        </w:rPr>
      </w:pPr>
      <w:r>
        <w:rPr>
          <w:rFonts w:hint="eastAsia" w:ascii="宋体" w:hAnsi="宋体" w:eastAsia="宋体" w:cs="宋体"/>
          <w:sz w:val="24"/>
        </w:rPr>
        <w:t xml:space="preserve">2.4 采购代理机构将数据电文形式的磋商文件加载至“苏采云”系统，供潜在供应商下载或者查阅。 </w:t>
      </w:r>
    </w:p>
    <w:p w14:paraId="277ECA62">
      <w:pPr>
        <w:widowControl/>
        <w:spacing w:line="329" w:lineRule="auto"/>
        <w:ind w:firstLine="480"/>
        <w:jc w:val="left"/>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p>
    <w:p w14:paraId="4626C7C6">
      <w:pPr>
        <w:widowControl/>
        <w:spacing w:line="329" w:lineRule="auto"/>
        <w:ind w:firstLine="480"/>
        <w:jc w:val="left"/>
        <w:rPr>
          <w:rFonts w:hint="eastAsia" w:ascii="宋体" w:hAnsi="宋体" w:eastAsia="宋体" w:cs="宋体"/>
          <w:sz w:val="24"/>
        </w:rPr>
      </w:pPr>
      <w:r>
        <w:rPr>
          <w:rFonts w:hint="eastAsia" w:ascii="宋体" w:hAnsi="宋体" w:eastAsia="宋体" w:cs="宋体"/>
          <w:sz w:val="24"/>
        </w:rPr>
        <w:t>如潜在投标人未按上述要求操作，将自行承担所产生的风险。</w:t>
      </w:r>
    </w:p>
    <w:p w14:paraId="58CADD48">
      <w:pPr>
        <w:pStyle w:val="34"/>
        <w:widowControl/>
        <w:shd w:val="clear" w:color="auto" w:fill="FFFFFF"/>
        <w:spacing w:beforeAutospacing="0" w:afterAutospacing="0" w:line="329" w:lineRule="auto"/>
        <w:ind w:firstLine="480"/>
        <w:jc w:val="both"/>
        <w:rPr>
          <w:rFonts w:hint="eastAsia" w:ascii="宋体" w:hAnsi="宋体" w:eastAsia="宋体" w:cs="宋体"/>
        </w:rPr>
      </w:pPr>
      <w:r>
        <w:rPr>
          <w:rFonts w:hint="eastAsia" w:ascii="宋体" w:hAnsi="宋体" w:eastAsia="宋体" w:cs="宋体"/>
        </w:rPr>
        <w:t>3. 有关本次磋商的事项若存在变动或修改，敬请及时关注在“中国政府采购网”“江苏政府采购网”“盐城市政府采购网”发布的更正公告。</w:t>
      </w:r>
    </w:p>
    <w:p w14:paraId="7997F1A3">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4. 本次磋商不收取磋商保证金，不收取质量保证金。</w:t>
      </w:r>
    </w:p>
    <w:p w14:paraId="551DFC4A">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5.电子投标文件一份(通过系统提交)；纸质投标文件正本一份，副本</w:t>
      </w:r>
      <w:r>
        <w:rPr>
          <w:rFonts w:hint="eastAsia" w:ascii="宋体" w:hAnsi="宋体" w:cs="宋体"/>
        </w:rPr>
        <w:t>四</w:t>
      </w:r>
      <w:r>
        <w:rPr>
          <w:rFonts w:hint="eastAsia" w:ascii="宋体" w:hAnsi="宋体" w:eastAsia="宋体" w:cs="宋体"/>
        </w:rPr>
        <w:t>份（评审结束后由</w:t>
      </w:r>
      <w:r>
        <w:rPr>
          <w:rFonts w:hint="eastAsia" w:ascii="宋体" w:hAnsi="宋体" w:cs="宋体"/>
        </w:rPr>
        <w:t>中标候选供应商</w:t>
      </w:r>
      <w:r>
        <w:rPr>
          <w:rFonts w:hint="eastAsia" w:ascii="宋体" w:hAnsi="宋体" w:eastAsia="宋体" w:cs="宋体"/>
        </w:rPr>
        <w:t>邮寄至（代理公司），未中标单位不需要提供）。</w:t>
      </w:r>
    </w:p>
    <w:p w14:paraId="7A64894E">
      <w:pPr>
        <w:pStyle w:val="34"/>
        <w:keepNext/>
        <w:keepLines/>
        <w:spacing w:before="145" w:beforeAutospacing="0" w:after="145" w:afterAutospacing="0" w:line="329" w:lineRule="auto"/>
        <w:ind w:firstLine="498"/>
        <w:jc w:val="both"/>
        <w:rPr>
          <w:rFonts w:hint="eastAsia" w:ascii="宋体" w:hAnsi="宋体" w:eastAsia="宋体" w:cs="宋体"/>
          <w:b/>
        </w:rPr>
      </w:pPr>
      <w:r>
        <w:rPr>
          <w:rFonts w:hint="eastAsia" w:ascii="宋体" w:hAnsi="宋体" w:eastAsia="宋体" w:cs="宋体"/>
          <w:b/>
        </w:rPr>
        <w:t>八、凡对本次采购提出询问，请按以下方式联系。</w:t>
      </w:r>
      <w:bookmarkEnd w:id="27"/>
    </w:p>
    <w:p w14:paraId="7DF48126">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1.采购人信息</w:t>
      </w:r>
    </w:p>
    <w:p w14:paraId="280B8CE9">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名 称：</w:t>
      </w:r>
      <w:r>
        <w:rPr>
          <w:rFonts w:hint="eastAsia" w:eastAsia="宋体"/>
          <w:shd w:val="clear" w:color="auto" w:fill="FFFFFF"/>
        </w:rPr>
        <w:t>江苏射阳港经济开发区管理委员会</w:t>
      </w:r>
    </w:p>
    <w:p w14:paraId="5E299518">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地址：江苏省盐城市射阳县射阳港人民东路2号</w:t>
      </w:r>
    </w:p>
    <w:p w14:paraId="7C499A5F">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联系人：武传芳</w:t>
      </w:r>
    </w:p>
    <w:p w14:paraId="2EB43ADB">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联系方式：15251050567  </w:t>
      </w:r>
      <w:bookmarkStart w:id="28" w:name="_Toc28359009"/>
      <w:bookmarkEnd w:id="28"/>
      <w:bookmarkStart w:id="29" w:name="_Toc28359010"/>
      <w:bookmarkStart w:id="30" w:name="_Toc28359087"/>
    </w:p>
    <w:p w14:paraId="53429F47">
      <w:pPr>
        <w:pStyle w:val="34"/>
        <w:widowControl/>
        <w:shd w:val="clear" w:color="auto" w:fill="FFFFFF"/>
        <w:spacing w:beforeAutospacing="0" w:afterAutospacing="0" w:line="329" w:lineRule="auto"/>
        <w:ind w:firstLine="560"/>
        <w:jc w:val="both"/>
        <w:rPr>
          <w:rFonts w:hint="eastAsia" w:ascii="宋体" w:hAnsi="宋体" w:eastAsia="宋体" w:cs="宋体"/>
        </w:rPr>
      </w:pPr>
    </w:p>
    <w:p w14:paraId="3DE537B7">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2、采购代理机构信息</w:t>
      </w:r>
    </w:p>
    <w:p w14:paraId="1D9747EA">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名    称：盐城宝融项目管理有限公司</w:t>
      </w:r>
    </w:p>
    <w:p w14:paraId="4FAEAD14">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 xml:space="preserve">地    址：射阳县合德镇城中公园小区西侧  </w:t>
      </w:r>
    </w:p>
    <w:p w14:paraId="7B32C6A2">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联系方式：15371129369   </w:t>
      </w:r>
      <w:bookmarkEnd w:id="29"/>
      <w:bookmarkEnd w:id="30"/>
      <w:bookmarkStart w:id="31" w:name="_Toc28359021"/>
    </w:p>
    <w:p w14:paraId="65FB240B">
      <w:pPr>
        <w:pStyle w:val="34"/>
        <w:widowControl/>
        <w:shd w:val="clear" w:color="auto" w:fill="FFFFFF"/>
        <w:spacing w:beforeAutospacing="0" w:afterAutospacing="0" w:line="329" w:lineRule="auto"/>
        <w:ind w:firstLine="560"/>
        <w:jc w:val="both"/>
        <w:rPr>
          <w:rFonts w:hint="eastAsia" w:ascii="宋体" w:hAnsi="宋体" w:eastAsia="宋体" w:cs="宋体"/>
        </w:rPr>
      </w:pPr>
    </w:p>
    <w:p w14:paraId="6EA2A91D">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3.</w:t>
      </w:r>
      <w:bookmarkEnd w:id="31"/>
      <w:r>
        <w:rPr>
          <w:rFonts w:hint="eastAsia" w:ascii="宋体" w:hAnsi="宋体" w:eastAsia="宋体" w:cs="宋体"/>
        </w:rPr>
        <w:t>项目联系方式</w:t>
      </w:r>
    </w:p>
    <w:p w14:paraId="713EA5AF">
      <w:pPr>
        <w:pStyle w:val="34"/>
        <w:widowControl/>
        <w:shd w:val="clear" w:color="auto" w:fill="FFFFFF"/>
        <w:spacing w:beforeAutospacing="0" w:afterAutospacing="0" w:line="329" w:lineRule="auto"/>
        <w:ind w:firstLine="560"/>
        <w:jc w:val="both"/>
        <w:rPr>
          <w:rFonts w:hint="eastAsia" w:ascii="宋体" w:hAnsi="宋体" w:eastAsia="宋体" w:cs="宋体"/>
        </w:rPr>
      </w:pPr>
      <w:r>
        <w:rPr>
          <w:rFonts w:hint="eastAsia" w:ascii="宋体" w:hAnsi="宋体" w:eastAsia="宋体" w:cs="宋体"/>
        </w:rPr>
        <w:t>项目联系人：武传芳</w:t>
      </w:r>
    </w:p>
    <w:p w14:paraId="0B671700">
      <w:pPr>
        <w:pStyle w:val="34"/>
        <w:widowControl/>
        <w:shd w:val="clear" w:color="auto" w:fill="FFFFFF"/>
        <w:spacing w:beforeAutospacing="0" w:afterAutospacing="0" w:line="329" w:lineRule="auto"/>
        <w:ind w:firstLine="560"/>
        <w:jc w:val="both"/>
      </w:pPr>
      <w:r>
        <w:rPr>
          <w:rFonts w:hint="eastAsia" w:ascii="宋体" w:hAnsi="宋体" w:eastAsia="宋体" w:cs="宋体"/>
        </w:rPr>
        <w:t>电　　 话：15251050567   </w:t>
      </w:r>
    </w:p>
    <w:p w14:paraId="0CEA082F">
      <w:pPr>
        <w:spacing w:line="336" w:lineRule="auto"/>
        <w:rPr>
          <w:sz w:val="36"/>
          <w:szCs w:val="36"/>
        </w:rPr>
      </w:pPr>
      <w:r>
        <w:rPr>
          <w:rFonts w:hint="eastAsia" w:ascii="仿宋" w:hAnsi="仿宋" w:eastAsia="仿宋" w:cs="仿宋"/>
          <w:b/>
          <w:sz w:val="28"/>
          <w:szCs w:val="28"/>
        </w:rPr>
        <w:br w:type="page" w:clear="all"/>
      </w:r>
      <w:bookmarkStart w:id="32" w:name="_Toc120614211"/>
      <w:r>
        <w:rPr>
          <w:rFonts w:hint="eastAsia" w:ascii="仿宋" w:hAnsi="仿宋" w:eastAsia="仿宋" w:cs="仿宋"/>
          <w:b/>
          <w:sz w:val="28"/>
          <w:szCs w:val="28"/>
        </w:rPr>
        <w:t xml:space="preserve">                   </w:t>
      </w:r>
      <w:r>
        <w:rPr>
          <w:rFonts w:hint="eastAsia"/>
          <w:sz w:val="36"/>
          <w:szCs w:val="36"/>
        </w:rPr>
        <w:t xml:space="preserve">第二章  </w:t>
      </w:r>
      <w:bookmarkEnd w:id="32"/>
      <w:r>
        <w:rPr>
          <w:rFonts w:hint="eastAsia"/>
          <w:sz w:val="36"/>
          <w:szCs w:val="36"/>
        </w:rPr>
        <w:t>供应商须知</w:t>
      </w:r>
    </w:p>
    <w:p w14:paraId="0948BADC">
      <w:pPr>
        <w:pStyle w:val="34"/>
        <w:spacing w:beforeAutospacing="0" w:afterAutospacing="0" w:line="327" w:lineRule="auto"/>
        <w:ind w:firstLine="480"/>
        <w:jc w:val="both"/>
        <w:rPr>
          <w:rFonts w:hint="eastAsia" w:ascii="宋体" w:hAnsi="宋体" w:eastAsia="宋体" w:cs="宋体"/>
        </w:rPr>
      </w:pPr>
      <w:bookmarkStart w:id="33" w:name="_Toc16938519"/>
      <w:bookmarkStart w:id="34" w:name="_Toc513029203"/>
      <w:bookmarkStart w:id="35" w:name="_Toc20823275"/>
      <w:bookmarkStart w:id="36" w:name="_Toc120614214"/>
      <w:r>
        <w:rPr>
          <w:rFonts w:hint="eastAsia" w:ascii="宋体" w:hAnsi="宋体" w:eastAsia="宋体" w:cs="宋体"/>
          <w:b/>
        </w:rPr>
        <w:t>一、总则</w:t>
      </w:r>
      <w:bookmarkEnd w:id="33"/>
      <w:bookmarkEnd w:id="34"/>
      <w:bookmarkEnd w:id="35"/>
      <w:bookmarkEnd w:id="36"/>
    </w:p>
    <w:p w14:paraId="46353DD9">
      <w:pPr>
        <w:pStyle w:val="34"/>
        <w:spacing w:beforeAutospacing="0" w:afterAutospacing="0" w:line="327" w:lineRule="auto"/>
        <w:ind w:firstLine="480"/>
        <w:jc w:val="both"/>
        <w:rPr>
          <w:rFonts w:hint="eastAsia" w:ascii="宋体" w:hAnsi="宋体" w:eastAsia="宋体" w:cs="宋体"/>
        </w:rPr>
      </w:pPr>
      <w:bookmarkStart w:id="37" w:name="_Toc20823276"/>
      <w:bookmarkStart w:id="38" w:name="_Toc16938520"/>
      <w:bookmarkStart w:id="39" w:name="_Toc513029204"/>
      <w:bookmarkStart w:id="40" w:name="_Toc458694821"/>
      <w:bookmarkStart w:id="41" w:name="_Hlt16619475"/>
      <w:r>
        <w:rPr>
          <w:rFonts w:hint="eastAsia" w:ascii="宋体" w:hAnsi="宋体" w:eastAsia="宋体" w:cs="宋体"/>
        </w:rPr>
        <w:t>1</w:t>
      </w:r>
      <w:bookmarkEnd w:id="37"/>
      <w:r>
        <w:rPr>
          <w:rFonts w:hint="eastAsia" w:ascii="宋体" w:hAnsi="宋体" w:eastAsia="宋体" w:cs="宋体"/>
        </w:rPr>
        <w:t>、采购方式</w:t>
      </w:r>
      <w:bookmarkEnd w:id="38"/>
      <w:bookmarkEnd w:id="39"/>
      <w:bookmarkEnd w:id="40"/>
    </w:p>
    <w:p w14:paraId="039282F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1.1 本次政府采购活动采取竞争性磋商(以下简称磋商)方式，本磋商文件仅适用于磋商公告中所述项目。</w:t>
      </w:r>
    </w:p>
    <w:p w14:paraId="26B68B4E">
      <w:pPr>
        <w:pStyle w:val="34"/>
        <w:spacing w:beforeAutospacing="0" w:afterAutospacing="0" w:line="327" w:lineRule="auto"/>
        <w:ind w:firstLine="480"/>
        <w:jc w:val="both"/>
        <w:rPr>
          <w:rFonts w:hint="eastAsia" w:ascii="宋体" w:hAnsi="宋体" w:eastAsia="宋体" w:cs="宋体"/>
        </w:rPr>
      </w:pPr>
      <w:bookmarkStart w:id="42" w:name="_Toc513029205"/>
      <w:bookmarkStart w:id="43" w:name="_Toc20823277"/>
      <w:bookmarkStart w:id="44" w:name="_Toc16938521"/>
      <w:r>
        <w:rPr>
          <w:rFonts w:hint="eastAsia" w:ascii="宋体" w:hAnsi="宋体" w:eastAsia="宋体" w:cs="宋体"/>
        </w:rPr>
        <w:t>2、合格的</w:t>
      </w:r>
      <w:bookmarkEnd w:id="42"/>
      <w:bookmarkEnd w:id="43"/>
      <w:bookmarkEnd w:id="44"/>
      <w:r>
        <w:rPr>
          <w:rFonts w:hint="eastAsia" w:ascii="宋体" w:hAnsi="宋体" w:eastAsia="宋体" w:cs="宋体"/>
        </w:rPr>
        <w:t>供应商</w:t>
      </w:r>
    </w:p>
    <w:p w14:paraId="440AFFC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2.1满足磋商公告中供应商资格要求的规定。</w:t>
      </w:r>
    </w:p>
    <w:p w14:paraId="7504852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2.2 满足本磋商文件实质性要求和条件的规定。</w:t>
      </w:r>
    </w:p>
    <w:p w14:paraId="497645DF">
      <w:pPr>
        <w:pStyle w:val="34"/>
        <w:spacing w:beforeAutospacing="0" w:afterAutospacing="0" w:line="327" w:lineRule="auto"/>
        <w:ind w:firstLine="480"/>
        <w:jc w:val="both"/>
        <w:rPr>
          <w:rFonts w:hint="eastAsia" w:ascii="宋体" w:hAnsi="宋体" w:eastAsia="宋体" w:cs="宋体"/>
        </w:rPr>
      </w:pPr>
      <w:bookmarkStart w:id="45" w:name="_Toc513029206"/>
      <w:bookmarkStart w:id="46" w:name="_Toc20823278"/>
      <w:bookmarkStart w:id="47" w:name="_Toc16938522"/>
      <w:bookmarkStart w:id="48" w:name="_Toc16938523"/>
      <w:bookmarkStart w:id="49" w:name="_Toc462564067"/>
      <w:bookmarkStart w:id="50" w:name="_Toc20823279"/>
      <w:bookmarkStart w:id="51" w:name="_Toc513029207"/>
      <w:r>
        <w:rPr>
          <w:rFonts w:hint="eastAsia" w:ascii="宋体" w:hAnsi="宋体" w:eastAsia="宋体" w:cs="宋体"/>
        </w:rPr>
        <w:t>3、适用法律</w:t>
      </w:r>
      <w:bookmarkEnd w:id="45"/>
      <w:bookmarkEnd w:id="46"/>
      <w:bookmarkEnd w:id="47"/>
      <w:r>
        <w:rPr>
          <w:rFonts w:hint="eastAsia" w:ascii="宋体" w:hAnsi="宋体" w:eastAsia="宋体" w:cs="宋体"/>
        </w:rPr>
        <w:t>和标准</w:t>
      </w:r>
    </w:p>
    <w:p w14:paraId="5963682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3.1 本次招标及由此产生的合同受中华人民共和国有关的法律法规制约和保护。</w:t>
      </w:r>
    </w:p>
    <w:p w14:paraId="559EBE5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3.2 在本项目政府采购活动过程中，如果所执行的标准有更新的，按照最新标准执行。</w:t>
      </w:r>
    </w:p>
    <w:p w14:paraId="45F7D45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4、磋商费用</w:t>
      </w:r>
      <w:bookmarkEnd w:id="48"/>
      <w:bookmarkEnd w:id="49"/>
      <w:bookmarkEnd w:id="50"/>
      <w:bookmarkEnd w:id="51"/>
    </w:p>
    <w:p w14:paraId="4F9AAA5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4.1供应商应自行承担所有与参加本次磋商有关的费用，无论磋商过程中的做法和结果如何，采购人及采购代理机构在任何情况下均无义务和责任承担这些费用。</w:t>
      </w:r>
    </w:p>
    <w:p w14:paraId="7B8561B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4.2本项目采购代理服务费</w:t>
      </w:r>
      <w:r>
        <w:rPr>
          <w:rFonts w:hint="eastAsia" w:ascii="宋体" w:hAnsi="宋体" w:eastAsia="宋体" w:cs="宋体"/>
          <w:color w:val="000000" w:themeColor="text1"/>
          <w14:textFill>
            <w14:solidFill>
              <w14:schemeClr w14:val="tx1"/>
            </w14:solidFill>
          </w14:textFill>
        </w:rPr>
        <w:t>用按《江苏省政府采购代理服务收费指导意见》（苏政采协【2024】20号）收费标准进行计取。由招标人在领取发放成交通知</w:t>
      </w:r>
      <w:r>
        <w:rPr>
          <w:rFonts w:hint="eastAsia" w:ascii="宋体" w:hAnsi="宋体" w:eastAsia="宋体" w:cs="宋体"/>
        </w:rPr>
        <w:t>书前向招标代理机构一次性支付。</w:t>
      </w:r>
    </w:p>
    <w:p w14:paraId="47024CF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5、磋商文件的约束力</w:t>
      </w:r>
    </w:p>
    <w:p w14:paraId="3E50B05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5.1供应商一旦参加本项目采购活动，即被认为接受了本磋商文件的规定和约束。</w:t>
      </w:r>
    </w:p>
    <w:p w14:paraId="388B0F45">
      <w:pPr>
        <w:pStyle w:val="34"/>
        <w:keepNext/>
        <w:keepLines/>
        <w:spacing w:before="145" w:beforeAutospacing="0" w:after="145" w:afterAutospacing="0" w:line="327" w:lineRule="auto"/>
        <w:ind w:firstLine="321"/>
        <w:jc w:val="both"/>
        <w:rPr>
          <w:rFonts w:hint="eastAsia" w:ascii="宋体" w:hAnsi="宋体" w:eastAsia="宋体" w:cs="宋体"/>
        </w:rPr>
      </w:pPr>
      <w:bookmarkStart w:id="52" w:name="_Toc20823281"/>
      <w:bookmarkStart w:id="53" w:name="_Toc16938525"/>
      <w:bookmarkStart w:id="54" w:name="_Toc513029209"/>
      <w:bookmarkStart w:id="55" w:name="_Toc120614215"/>
      <w:r>
        <w:rPr>
          <w:rFonts w:hint="eastAsia" w:ascii="宋体" w:hAnsi="宋体" w:eastAsia="宋体" w:cs="宋体"/>
          <w:b/>
        </w:rPr>
        <w:t>二、</w:t>
      </w:r>
      <w:bookmarkEnd w:id="52"/>
      <w:bookmarkEnd w:id="53"/>
      <w:bookmarkEnd w:id="54"/>
      <w:bookmarkEnd w:id="55"/>
      <w:r>
        <w:rPr>
          <w:rFonts w:hint="eastAsia" w:ascii="宋体" w:hAnsi="宋体" w:eastAsia="宋体" w:cs="宋体"/>
          <w:b/>
        </w:rPr>
        <w:t>磋商文件</w:t>
      </w:r>
    </w:p>
    <w:p w14:paraId="49D58CFA">
      <w:pPr>
        <w:pStyle w:val="34"/>
        <w:spacing w:beforeAutospacing="0" w:afterAutospacing="0" w:line="327" w:lineRule="auto"/>
        <w:ind w:firstLine="480"/>
        <w:jc w:val="both"/>
        <w:rPr>
          <w:rFonts w:hint="eastAsia" w:ascii="宋体" w:hAnsi="宋体" w:eastAsia="宋体" w:cs="宋体"/>
        </w:rPr>
      </w:pPr>
      <w:bookmarkStart w:id="56" w:name="_Toc513029210"/>
      <w:bookmarkStart w:id="57" w:name="_Toc20823282"/>
      <w:bookmarkStart w:id="58" w:name="_Toc16938526"/>
      <w:r>
        <w:rPr>
          <w:rFonts w:hint="eastAsia" w:ascii="宋体" w:hAnsi="宋体" w:eastAsia="宋体" w:cs="宋体"/>
        </w:rPr>
        <w:t>6、磋商文件构成</w:t>
      </w:r>
      <w:bookmarkEnd w:id="56"/>
      <w:bookmarkEnd w:id="57"/>
      <w:bookmarkEnd w:id="58"/>
    </w:p>
    <w:p w14:paraId="208E348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6.1磋商文件由以下部分组成：</w:t>
      </w:r>
    </w:p>
    <w:p w14:paraId="0A81F37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（1）磋商公告</w:t>
      </w:r>
    </w:p>
    <w:p w14:paraId="3666D11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（2）供应商须知</w:t>
      </w:r>
    </w:p>
    <w:p w14:paraId="2170083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（3）合同文本</w:t>
      </w:r>
    </w:p>
    <w:p w14:paraId="61F7196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（4）采购需求</w:t>
      </w:r>
    </w:p>
    <w:p w14:paraId="5F96DAA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（5）评审方法与评审标准</w:t>
      </w:r>
    </w:p>
    <w:p w14:paraId="394E84F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（6）响应文件格式</w:t>
      </w:r>
    </w:p>
    <w:p w14:paraId="144FEB3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请仔细检查磋商文件是否齐全，如有缺漏请立即与采购人或采购代理机构联系解决。</w:t>
      </w:r>
    </w:p>
    <w:p w14:paraId="58FEB37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38591D">
      <w:pPr>
        <w:pStyle w:val="34"/>
        <w:spacing w:beforeAutospacing="0" w:afterAutospacing="0" w:line="327" w:lineRule="auto"/>
        <w:ind w:firstLine="480"/>
        <w:jc w:val="both"/>
        <w:rPr>
          <w:rFonts w:hint="eastAsia" w:ascii="宋体" w:hAnsi="宋体" w:eastAsia="宋体" w:cs="宋体"/>
        </w:rPr>
      </w:pPr>
      <w:bookmarkStart w:id="59" w:name="_Toc20823283"/>
      <w:bookmarkStart w:id="60" w:name="_Toc462564070"/>
      <w:bookmarkStart w:id="61" w:name="_Toc16938527"/>
      <w:bookmarkStart w:id="62" w:name="_Toc513029211"/>
      <w:r>
        <w:rPr>
          <w:rFonts w:hint="eastAsia" w:ascii="宋体" w:hAnsi="宋体" w:eastAsia="宋体" w:cs="宋体"/>
        </w:rPr>
        <w:t>7、磋商文件的澄清</w:t>
      </w:r>
      <w:bookmarkEnd w:id="59"/>
      <w:bookmarkEnd w:id="60"/>
      <w:bookmarkEnd w:id="61"/>
      <w:bookmarkEnd w:id="62"/>
    </w:p>
    <w:p w14:paraId="12BF88C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7.1 任何要求对磋商文件进行澄清的供应商，应在磋商截止期5日前按磋商公告中的通讯地址，以书面形式通知采购人或采购代理机构。</w:t>
      </w:r>
    </w:p>
    <w:p w14:paraId="58EFDD17">
      <w:pPr>
        <w:pStyle w:val="34"/>
        <w:spacing w:beforeAutospacing="0" w:afterAutospacing="0" w:line="327" w:lineRule="auto"/>
        <w:ind w:firstLine="480"/>
        <w:jc w:val="both"/>
        <w:rPr>
          <w:rFonts w:hint="eastAsia" w:ascii="宋体" w:hAnsi="宋体" w:eastAsia="宋体" w:cs="宋体"/>
        </w:rPr>
      </w:pPr>
      <w:bookmarkStart w:id="63" w:name="_Toc513029212"/>
      <w:bookmarkStart w:id="64" w:name="_Toc16938528"/>
      <w:bookmarkStart w:id="65" w:name="_Toc462564071"/>
      <w:bookmarkStart w:id="66" w:name="_Toc20823284"/>
      <w:r>
        <w:rPr>
          <w:rFonts w:hint="eastAsia" w:ascii="宋体" w:hAnsi="宋体" w:eastAsia="宋体" w:cs="宋体"/>
        </w:rPr>
        <w:t>8、磋商文件的澄清和修改</w:t>
      </w:r>
      <w:bookmarkEnd w:id="63"/>
      <w:bookmarkEnd w:id="64"/>
      <w:bookmarkEnd w:id="65"/>
      <w:bookmarkEnd w:id="66"/>
    </w:p>
    <w:p w14:paraId="0501932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2877D45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8.2采购人或采购代理机构可以视采购项目的具体情况，组织供应商进行现场考察或召开磋商前答疑会，但不单独或分别组织只有一个供应商参加的现场考察和答疑会。</w:t>
      </w:r>
    </w:p>
    <w:p w14:paraId="18197016">
      <w:pPr>
        <w:pStyle w:val="34"/>
        <w:keepNext/>
        <w:keepLines/>
        <w:spacing w:before="145" w:beforeAutospacing="0" w:after="145" w:afterAutospacing="0" w:line="327" w:lineRule="auto"/>
        <w:ind w:firstLine="482"/>
        <w:jc w:val="both"/>
        <w:rPr>
          <w:rFonts w:hint="eastAsia" w:ascii="宋体" w:hAnsi="宋体" w:eastAsia="宋体" w:cs="宋体"/>
        </w:rPr>
      </w:pPr>
      <w:bookmarkStart w:id="67" w:name="_Toc462564072"/>
      <w:bookmarkStart w:id="68" w:name="_Toc20823285"/>
      <w:bookmarkStart w:id="69" w:name="_Toc120614216"/>
      <w:bookmarkStart w:id="70" w:name="_Toc513029213"/>
      <w:bookmarkStart w:id="71" w:name="_Toc16938529"/>
      <w:r>
        <w:rPr>
          <w:rFonts w:hint="eastAsia" w:ascii="宋体" w:hAnsi="宋体" w:eastAsia="宋体" w:cs="宋体"/>
          <w:b/>
        </w:rPr>
        <w:t>三、响应文件的编制</w:t>
      </w:r>
      <w:bookmarkEnd w:id="67"/>
      <w:bookmarkEnd w:id="68"/>
      <w:bookmarkEnd w:id="69"/>
      <w:bookmarkEnd w:id="70"/>
      <w:bookmarkEnd w:id="71"/>
    </w:p>
    <w:p w14:paraId="22EDC01B">
      <w:pPr>
        <w:pStyle w:val="34"/>
        <w:spacing w:beforeAutospacing="0" w:afterAutospacing="0" w:line="327" w:lineRule="auto"/>
        <w:ind w:firstLine="480"/>
        <w:jc w:val="both"/>
        <w:rPr>
          <w:rFonts w:hint="eastAsia" w:ascii="宋体" w:hAnsi="宋体" w:eastAsia="宋体" w:cs="宋体"/>
        </w:rPr>
      </w:pPr>
      <w:bookmarkStart w:id="72" w:name="_Toc513029214"/>
      <w:bookmarkStart w:id="73" w:name="_Toc16938530"/>
      <w:bookmarkStart w:id="74" w:name="_Toc20823286"/>
      <w:bookmarkStart w:id="75" w:name="_Toc462564073"/>
      <w:r>
        <w:rPr>
          <w:rFonts w:hint="eastAsia" w:ascii="宋体" w:hAnsi="宋体" w:eastAsia="宋体" w:cs="宋体"/>
        </w:rPr>
        <w:t>9、响应文件的语言及度量衡单位</w:t>
      </w:r>
      <w:bookmarkEnd w:id="72"/>
      <w:bookmarkEnd w:id="73"/>
      <w:bookmarkEnd w:id="74"/>
      <w:bookmarkEnd w:id="75"/>
    </w:p>
    <w:p w14:paraId="15EF838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9.1供应商提交的响应文件以及供应商与采购人或采购代理机构就有关磋商的所有来往通知、函件和文件均应使用</w:t>
      </w:r>
      <w:r>
        <w:rPr>
          <w:rFonts w:hint="eastAsia" w:ascii="宋体" w:hAnsi="宋体" w:eastAsia="宋体" w:cs="宋体"/>
          <w:b/>
        </w:rPr>
        <w:t>简体中文</w:t>
      </w:r>
      <w:r>
        <w:rPr>
          <w:rFonts w:hint="eastAsia" w:ascii="宋体" w:hAnsi="宋体" w:eastAsia="宋体" w:cs="宋体"/>
        </w:rPr>
        <w:t>。</w:t>
      </w:r>
    </w:p>
    <w:p w14:paraId="2096BDD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9.2 除技术性能另有规定外，响应文件所使用的度量衡单位，均须采用国家法定计量单位。</w:t>
      </w:r>
    </w:p>
    <w:p w14:paraId="51FCF5F5">
      <w:pPr>
        <w:pStyle w:val="34"/>
        <w:spacing w:beforeAutospacing="0" w:afterAutospacing="0" w:line="327" w:lineRule="auto"/>
        <w:ind w:firstLine="480"/>
        <w:jc w:val="both"/>
        <w:rPr>
          <w:rFonts w:hint="eastAsia" w:ascii="宋体" w:hAnsi="宋体" w:eastAsia="宋体" w:cs="宋体"/>
        </w:rPr>
      </w:pPr>
      <w:bookmarkStart w:id="76" w:name="_Toc462564074"/>
      <w:bookmarkStart w:id="77" w:name="_Toc20823287"/>
      <w:bookmarkStart w:id="78" w:name="_Toc513029215"/>
      <w:bookmarkStart w:id="79" w:name="_Toc16938531"/>
      <w:r>
        <w:rPr>
          <w:rFonts w:hint="eastAsia" w:ascii="宋体" w:hAnsi="宋体" w:eastAsia="宋体" w:cs="宋体"/>
        </w:rPr>
        <w:t>10、响应文件构成</w:t>
      </w:r>
      <w:bookmarkEnd w:id="76"/>
      <w:bookmarkEnd w:id="77"/>
      <w:bookmarkEnd w:id="78"/>
      <w:bookmarkEnd w:id="79"/>
    </w:p>
    <w:p w14:paraId="70749B9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10.1供应商编写的响应文件应包括资格证明文件、符合性检查响应对照表、已标价工程量清单、技术要求响应及偏离表、其他证明文件、磋商响应函等部分。</w:t>
      </w:r>
    </w:p>
    <w:p w14:paraId="44818C5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10.2 如标书制作工具中格式和内容与“中国政府采购网”、“江苏政府采购网”“盐城市政府采购网”发布的磋商文件不一致，请以“中国政府采购网”“江苏政府采购网”“盐城市政府采购网”发布的磋商文件为准。</w:t>
      </w:r>
    </w:p>
    <w:p w14:paraId="38F14D41">
      <w:pPr>
        <w:pStyle w:val="34"/>
        <w:spacing w:beforeAutospacing="0" w:afterAutospacing="0" w:line="327" w:lineRule="auto"/>
        <w:ind w:firstLine="480"/>
        <w:jc w:val="both"/>
        <w:rPr>
          <w:rFonts w:hint="eastAsia" w:ascii="宋体" w:hAnsi="宋体" w:eastAsia="宋体" w:cs="宋体"/>
        </w:rPr>
      </w:pPr>
      <w:bookmarkStart w:id="80" w:name="_Toc49090509"/>
      <w:bookmarkStart w:id="81" w:name="_Toc14577357"/>
      <w:bookmarkStart w:id="82" w:name="_Toc49090507"/>
      <w:bookmarkStart w:id="83" w:name="_Toc513029216"/>
      <w:bookmarkStart w:id="84" w:name="_Toc49090508"/>
      <w:bookmarkStart w:id="85" w:name="_Toc14577354"/>
      <w:bookmarkStart w:id="86" w:name="_Toc14577355"/>
      <w:bookmarkStart w:id="87" w:name="_Toc513029219"/>
      <w:bookmarkStart w:id="88" w:name="_Hlt26668975"/>
      <w:bookmarkStart w:id="89" w:name="_Hlt26954838"/>
      <w:bookmarkStart w:id="90" w:name="_Hlt26670360"/>
      <w:r>
        <w:rPr>
          <w:rFonts w:hint="eastAsia" w:ascii="宋体" w:hAnsi="宋体" w:eastAsia="宋体" w:cs="宋体"/>
        </w:rPr>
        <w:t>11、证明磋商响应标的符合磋商文件规定的文件</w:t>
      </w:r>
      <w:bookmarkEnd w:id="80"/>
      <w:bookmarkEnd w:id="81"/>
      <w:bookmarkEnd w:id="82"/>
      <w:bookmarkEnd w:id="83"/>
      <w:bookmarkEnd w:id="84"/>
      <w:bookmarkEnd w:id="85"/>
      <w:bookmarkEnd w:id="86"/>
      <w:bookmarkEnd w:id="87"/>
    </w:p>
    <w:p w14:paraId="1C2D8F2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11.1供应商应按照磋商文件要求提交证明文件，证明其及磋商响应标的符合磋商文件规定。</w:t>
      </w:r>
    </w:p>
    <w:p w14:paraId="1ADAA60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11.2磋商文件对证明文件无明确形式要求的，证明文件可以以文字资料、图纸和数据等形式提交。</w:t>
      </w:r>
    </w:p>
    <w:p w14:paraId="511F93C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12、已标价工程量清单</w:t>
      </w:r>
    </w:p>
    <w:p w14:paraId="43765A6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12.1供应商应按照磋商文件规定格式填报已标价工程量清单。</w:t>
      </w:r>
    </w:p>
    <w:p w14:paraId="2E779C2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12.2磋商货币。响应文件中的单价和总价无特殊规定的采用人民币报价，以元为单位标注。磋商文件中另有规定的按规定执行。</w:t>
      </w:r>
    </w:p>
    <w:p w14:paraId="3DAD6EFC">
      <w:pPr>
        <w:pStyle w:val="34"/>
        <w:spacing w:beforeAutospacing="0" w:afterAutospacing="0" w:line="327" w:lineRule="auto"/>
        <w:ind w:firstLine="480"/>
        <w:jc w:val="both"/>
        <w:rPr>
          <w:rFonts w:hint="eastAsia" w:ascii="宋体" w:hAnsi="宋体" w:eastAsia="宋体" w:cs="宋体"/>
        </w:rPr>
      </w:pPr>
      <w:bookmarkStart w:id="91" w:name="_Hlt26670482"/>
      <w:bookmarkStart w:id="92" w:name="_Hlt26954731"/>
      <w:bookmarkStart w:id="93" w:name="_Hlt26954848"/>
      <w:bookmarkStart w:id="94" w:name="_Hlt26670486"/>
      <w:bookmarkStart w:id="95" w:name="_Hlt26954846"/>
      <w:r>
        <w:rPr>
          <w:rFonts w:hint="eastAsia" w:ascii="宋体" w:hAnsi="宋体" w:eastAsia="宋体" w:cs="宋体"/>
        </w:rPr>
        <w:t>13、技术要求响应及偏离表、商务要求响应及偏离表</w:t>
      </w:r>
    </w:p>
    <w:p w14:paraId="4187A0F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13.1供应商需对磋商文件中的技术要求与商务要求逐项作出响应或偏离，并说明原因。</w:t>
      </w:r>
    </w:p>
    <w:p w14:paraId="0B36573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13.2供应商可在响应文件中提供认为需要的其他技术文件或说明。</w:t>
      </w:r>
    </w:p>
    <w:p w14:paraId="3EBD3AD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14、服务承诺、培训计划、人员安排及其他</w:t>
      </w:r>
    </w:p>
    <w:p w14:paraId="7C86293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14.1供应商需根据磋商文件要求提供有关售后服务的管理制度，售后服务机构的分布情况，售后服务人员的数量、素质、技术水平及售后服务的反应能力等。</w:t>
      </w:r>
    </w:p>
    <w:p w14:paraId="41E8BD4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14.2供应商需根据磋商文件要求提供培训计划。</w:t>
      </w:r>
    </w:p>
    <w:p w14:paraId="18B369B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14.3供应商需根据磋商文件要求提供磋商响应标的的主要组成部分、功能设计、实现思路及关键技术等。</w:t>
      </w:r>
    </w:p>
    <w:p w14:paraId="35EBB8DF">
      <w:pPr>
        <w:pStyle w:val="34"/>
        <w:spacing w:beforeAutospacing="0" w:afterAutospacing="0" w:line="327" w:lineRule="auto"/>
        <w:ind w:firstLine="480"/>
        <w:jc w:val="both"/>
        <w:rPr>
          <w:rFonts w:hint="eastAsia" w:ascii="宋体" w:hAnsi="宋体" w:eastAsia="宋体" w:cs="宋体"/>
        </w:rPr>
      </w:pPr>
      <w:bookmarkStart w:id="96" w:name="_Toc49090510"/>
      <w:bookmarkStart w:id="97" w:name="_Toc14577359"/>
      <w:r>
        <w:rPr>
          <w:rFonts w:hint="eastAsia" w:ascii="宋体" w:hAnsi="宋体" w:eastAsia="宋体" w:cs="宋体"/>
        </w:rPr>
        <w:t>15、磋商响应函</w:t>
      </w:r>
      <w:bookmarkEnd w:id="96"/>
      <w:bookmarkEnd w:id="97"/>
    </w:p>
    <w:p w14:paraId="2F20149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15.1供应商应按照磋商文件中提供的格式完整、正确填写磋商响应函。</w:t>
      </w:r>
    </w:p>
    <w:p w14:paraId="7CC37717">
      <w:pPr>
        <w:pStyle w:val="34"/>
        <w:spacing w:beforeAutospacing="0" w:afterAutospacing="0" w:line="327" w:lineRule="auto"/>
        <w:ind w:firstLine="480"/>
        <w:jc w:val="both"/>
        <w:rPr>
          <w:rFonts w:hint="eastAsia" w:ascii="宋体" w:hAnsi="宋体" w:eastAsia="宋体" w:cs="宋体"/>
        </w:rPr>
      </w:pPr>
      <w:bookmarkStart w:id="98" w:name="_Toc49090511"/>
      <w:bookmarkStart w:id="99" w:name="_Toc14577360"/>
      <w:r>
        <w:rPr>
          <w:rFonts w:hint="eastAsia" w:ascii="宋体" w:hAnsi="宋体" w:eastAsia="宋体" w:cs="宋体"/>
        </w:rPr>
        <w:t>16、磋商有效期</w:t>
      </w:r>
      <w:bookmarkEnd w:id="98"/>
      <w:bookmarkEnd w:id="99"/>
    </w:p>
    <w:p w14:paraId="71BCA61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16.1磋商有效期为采购人或采购代理机构规定的提交响应文件截止之日后</w:t>
      </w:r>
      <w:r>
        <w:rPr>
          <w:rFonts w:hint="eastAsia" w:ascii="宋体" w:hAnsi="宋体" w:eastAsia="宋体" w:cs="宋体"/>
          <w:b/>
          <w:u w:val="single"/>
        </w:rPr>
        <w:t>九十（90）天</w:t>
      </w:r>
      <w:r>
        <w:rPr>
          <w:rFonts w:hint="eastAsia" w:ascii="宋体" w:hAnsi="宋体" w:eastAsia="宋体" w:cs="宋体"/>
        </w:rPr>
        <w:t>。磋商有效期比规定短的将被视为非实质性响应磋商文件而予以拒绝。</w:t>
      </w:r>
    </w:p>
    <w:p w14:paraId="6D3BA5A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17、磋商有效期的延长</w:t>
      </w:r>
    </w:p>
    <w:p w14:paraId="244DE80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17.1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5BCB4CF4">
      <w:pPr>
        <w:pStyle w:val="34"/>
        <w:keepNext/>
        <w:keepLines/>
        <w:spacing w:before="145" w:beforeAutospacing="0" w:after="145" w:afterAutospacing="0" w:line="327" w:lineRule="auto"/>
        <w:ind w:firstLine="482"/>
        <w:jc w:val="both"/>
        <w:rPr>
          <w:rFonts w:hint="eastAsia" w:ascii="宋体" w:hAnsi="宋体" w:eastAsia="宋体" w:cs="宋体"/>
        </w:rPr>
      </w:pPr>
      <w:bookmarkStart w:id="100" w:name="_Toc513029224"/>
      <w:bookmarkStart w:id="101" w:name="_Toc20823296"/>
      <w:bookmarkStart w:id="102" w:name="_Toc120614217"/>
      <w:bookmarkStart w:id="103" w:name="_Toc16938540"/>
      <w:bookmarkStart w:id="104" w:name="_Hlt26954739"/>
      <w:bookmarkStart w:id="105" w:name="_Hlt26954852"/>
      <w:r>
        <w:rPr>
          <w:rFonts w:hint="eastAsia" w:ascii="宋体" w:hAnsi="宋体" w:eastAsia="宋体" w:cs="宋体"/>
          <w:b/>
        </w:rPr>
        <w:t>四、响应文件的递交</w:t>
      </w:r>
      <w:bookmarkEnd w:id="100"/>
      <w:bookmarkEnd w:id="101"/>
      <w:bookmarkEnd w:id="102"/>
      <w:bookmarkEnd w:id="103"/>
    </w:p>
    <w:p w14:paraId="21540283">
      <w:pPr>
        <w:pStyle w:val="34"/>
        <w:spacing w:beforeAutospacing="0" w:afterAutospacing="0" w:line="327" w:lineRule="auto"/>
        <w:ind w:firstLine="480"/>
        <w:jc w:val="both"/>
        <w:rPr>
          <w:rFonts w:hint="eastAsia" w:ascii="宋体" w:hAnsi="宋体" w:eastAsia="宋体" w:cs="宋体"/>
        </w:rPr>
      </w:pPr>
      <w:bookmarkStart w:id="106" w:name="_Toc20823297"/>
      <w:bookmarkStart w:id="107" w:name="_Toc462564084"/>
      <w:bookmarkStart w:id="108" w:name="_Toc16938541"/>
      <w:bookmarkStart w:id="109" w:name="_Toc513029225"/>
      <w:r>
        <w:rPr>
          <w:rFonts w:hint="eastAsia" w:ascii="宋体" w:hAnsi="宋体" w:eastAsia="宋体" w:cs="宋体"/>
        </w:rPr>
        <w:t>18、电子磋商</w:t>
      </w:r>
      <w:bookmarkEnd w:id="106"/>
      <w:bookmarkEnd w:id="107"/>
      <w:bookmarkEnd w:id="108"/>
      <w:bookmarkEnd w:id="109"/>
      <w:r>
        <w:rPr>
          <w:rFonts w:hint="eastAsia" w:ascii="宋体" w:hAnsi="宋体" w:eastAsia="宋体" w:cs="宋体"/>
        </w:rPr>
        <w:t>响应文件的递交</w:t>
      </w:r>
    </w:p>
    <w:p w14:paraId="2EF1153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18.1供应商应当按照《操作手册》规定，在提交响应文件截止时间前制作并上传电子响应文件。</w:t>
      </w:r>
      <w:bookmarkStart w:id="110" w:name="_Toc16938542"/>
      <w:bookmarkEnd w:id="110"/>
      <w:bookmarkStart w:id="111" w:name="_Toc20823298"/>
      <w:bookmarkEnd w:id="111"/>
      <w:bookmarkStart w:id="112" w:name="_Toc513029226"/>
    </w:p>
    <w:p w14:paraId="71C7863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19、提交响应文件截止时间</w:t>
      </w:r>
    </w:p>
    <w:p w14:paraId="0E75D94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i/>
          <w:u w:val="single"/>
        </w:rPr>
        <w:t>19.1供应商上传电子响应文件的时间不得迟于磋商公告中规定的提交响应文件截止时间。</w:t>
      </w:r>
    </w:p>
    <w:p w14:paraId="5A1C7FA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供应商应充分考虑到网络环境、网络带宽等风险因素，如因供应商自身原因造成的电子响应文件上传不成功的按照本磋商文件第二章第26.3.2条规定做无效响应处理。</w:t>
      </w:r>
    </w:p>
    <w:p w14:paraId="12594EB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19.2 采购人或采购代理机构可以按照规定，通过修改磋商文件酌情延长提交响应文件截止日期，在此情况下，供应商的所有权利和义务以及供应商受制的截止日期均应以延长后新的截止日期为准。</w:t>
      </w:r>
    </w:p>
    <w:p w14:paraId="072D3BF7">
      <w:pPr>
        <w:pStyle w:val="34"/>
        <w:spacing w:beforeAutospacing="0" w:afterAutospacing="0" w:line="327" w:lineRule="auto"/>
        <w:ind w:firstLine="480"/>
        <w:jc w:val="both"/>
        <w:rPr>
          <w:rFonts w:hint="eastAsia" w:ascii="宋体" w:hAnsi="宋体" w:eastAsia="宋体" w:cs="宋体"/>
        </w:rPr>
      </w:pPr>
      <w:bookmarkStart w:id="113" w:name="_Toc20823299"/>
      <w:bookmarkStart w:id="114" w:name="_Toc513029227"/>
      <w:bookmarkStart w:id="115" w:name="_Toc16938543"/>
      <w:r>
        <w:rPr>
          <w:rFonts w:hint="eastAsia" w:ascii="宋体" w:hAnsi="宋体" w:eastAsia="宋体" w:cs="宋体"/>
        </w:rPr>
        <w:t>20、响应文件</w:t>
      </w:r>
      <w:bookmarkEnd w:id="113"/>
      <w:bookmarkEnd w:id="114"/>
      <w:bookmarkEnd w:id="115"/>
      <w:r>
        <w:rPr>
          <w:rFonts w:hint="eastAsia" w:ascii="宋体" w:hAnsi="宋体" w:eastAsia="宋体" w:cs="宋体"/>
        </w:rPr>
        <w:t>的拒收</w:t>
      </w:r>
    </w:p>
    <w:p w14:paraId="6D622DC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20.1 采购人或采购代理机构拒绝接收在其规定的提交响应文件截止时间后上传的任何电子响应文件。</w:t>
      </w:r>
    </w:p>
    <w:p w14:paraId="6A82E3DD">
      <w:pPr>
        <w:pStyle w:val="34"/>
        <w:spacing w:beforeAutospacing="0" w:afterAutospacing="0" w:line="327" w:lineRule="auto"/>
        <w:ind w:firstLine="480"/>
        <w:jc w:val="both"/>
        <w:rPr>
          <w:rFonts w:hint="eastAsia" w:ascii="宋体" w:hAnsi="宋体" w:eastAsia="宋体" w:cs="宋体"/>
        </w:rPr>
      </w:pPr>
      <w:bookmarkStart w:id="116" w:name="_Toc513029228"/>
      <w:bookmarkStart w:id="117" w:name="_Toc16938544"/>
      <w:bookmarkStart w:id="118" w:name="_Toc20823300"/>
      <w:r>
        <w:rPr>
          <w:rFonts w:hint="eastAsia" w:ascii="宋体" w:hAnsi="宋体" w:eastAsia="宋体" w:cs="宋体"/>
        </w:rPr>
        <w:t>21、响应文件的撤回和修改</w:t>
      </w:r>
      <w:bookmarkEnd w:id="116"/>
      <w:bookmarkEnd w:id="117"/>
      <w:bookmarkEnd w:id="118"/>
    </w:p>
    <w:p w14:paraId="3A6C748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21.1响应文件的撤回</w:t>
      </w:r>
    </w:p>
    <w:p w14:paraId="6DBEE6F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21.1.1 电子响应文件的撤回</w:t>
      </w:r>
    </w:p>
    <w:p w14:paraId="4FB0352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供应商可在提交响应文件截止时间前，撤回其电子响应文件，具体操作方法见《操作手册》。</w:t>
      </w:r>
    </w:p>
    <w:p w14:paraId="35F2F5E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21.1.2供应商撤回电子响应文件，则认为其不再参与本项目磋商活动。</w:t>
      </w:r>
    </w:p>
    <w:p w14:paraId="44D05A4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21.2响应文件的修改</w:t>
      </w:r>
    </w:p>
    <w:p w14:paraId="082390C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供应商可在提交响应文件截止时间前，对其电子响应文件进行修改，具体操作方法见《操作手册》。</w:t>
      </w:r>
    </w:p>
    <w:p w14:paraId="57763DB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21.3 在提交响应文件截止时间之后，供应商不得对其电子响应文件作任何修改。</w:t>
      </w:r>
    </w:p>
    <w:p w14:paraId="6E29A4D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21.4 在提交响应文件截止时间至磋商文件中规定的磋商有效期满之间的这段时间内，供应商不得撤回其响应文件。</w:t>
      </w:r>
    </w:p>
    <w:p w14:paraId="4EA68BE6">
      <w:pPr>
        <w:pStyle w:val="34"/>
        <w:keepNext/>
        <w:keepLines/>
        <w:spacing w:before="145" w:beforeAutospacing="0" w:after="145" w:afterAutospacing="0" w:line="327" w:lineRule="auto"/>
        <w:ind w:firstLine="482"/>
        <w:jc w:val="both"/>
        <w:rPr>
          <w:rFonts w:hint="eastAsia" w:ascii="宋体" w:hAnsi="宋体" w:eastAsia="宋体" w:cs="宋体"/>
        </w:rPr>
      </w:pPr>
      <w:bookmarkStart w:id="119" w:name="_Toc120614218"/>
      <w:bookmarkStart w:id="120" w:name="_Toc16938545"/>
      <w:bookmarkStart w:id="121" w:name="_Toc513029229"/>
      <w:bookmarkStart w:id="122" w:name="_Toc20823301"/>
      <w:r>
        <w:rPr>
          <w:rFonts w:hint="eastAsia" w:ascii="宋体" w:hAnsi="宋体" w:eastAsia="宋体" w:cs="宋体"/>
          <w:b/>
        </w:rPr>
        <w:t>五、响应文件的解密与评审</w:t>
      </w:r>
      <w:bookmarkEnd w:id="119"/>
      <w:bookmarkEnd w:id="120"/>
      <w:bookmarkEnd w:id="121"/>
      <w:bookmarkEnd w:id="122"/>
    </w:p>
    <w:p w14:paraId="6651D9AF">
      <w:pPr>
        <w:pStyle w:val="34"/>
        <w:spacing w:beforeAutospacing="0" w:afterAutospacing="0" w:line="327" w:lineRule="auto"/>
        <w:ind w:firstLine="480"/>
        <w:jc w:val="both"/>
        <w:rPr>
          <w:rFonts w:hint="eastAsia" w:ascii="宋体" w:hAnsi="宋体" w:eastAsia="宋体" w:cs="宋体"/>
        </w:rPr>
      </w:pPr>
      <w:bookmarkStart w:id="123" w:name="_Toc513029230"/>
      <w:bookmarkStart w:id="124" w:name="_Toc20823302"/>
      <w:bookmarkStart w:id="125" w:name="_Toc16938546"/>
      <w:r>
        <w:rPr>
          <w:rFonts w:hint="eastAsia" w:ascii="宋体" w:hAnsi="宋体" w:eastAsia="宋体" w:cs="宋体"/>
        </w:rPr>
        <w:t>22、</w:t>
      </w:r>
      <w:bookmarkEnd w:id="123"/>
      <w:bookmarkEnd w:id="124"/>
      <w:bookmarkEnd w:id="125"/>
      <w:r>
        <w:rPr>
          <w:rFonts w:hint="eastAsia" w:ascii="宋体" w:hAnsi="宋体" w:eastAsia="宋体" w:cs="宋体"/>
        </w:rPr>
        <w:t>响应文件解密</w:t>
      </w:r>
    </w:p>
    <w:p w14:paraId="6D18F45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22.1供应商应当按照《操作手册》规定，在苏采云系统规定的时间内对磋商响应文件进行解密。</w:t>
      </w:r>
    </w:p>
    <w:p w14:paraId="7162079D">
      <w:pPr>
        <w:pStyle w:val="34"/>
        <w:spacing w:beforeAutospacing="0" w:afterAutospacing="0" w:line="327" w:lineRule="auto"/>
        <w:ind w:firstLine="480"/>
        <w:jc w:val="both"/>
        <w:rPr>
          <w:rFonts w:hint="eastAsia" w:ascii="宋体" w:hAnsi="宋体" w:eastAsia="宋体" w:cs="宋体"/>
        </w:rPr>
      </w:pPr>
      <w:bookmarkStart w:id="126" w:name="_Toc20823303"/>
      <w:bookmarkStart w:id="127" w:name="_Toc513029231"/>
      <w:bookmarkStart w:id="128" w:name="_Toc16938547"/>
      <w:r>
        <w:rPr>
          <w:rFonts w:hint="eastAsia" w:ascii="宋体" w:hAnsi="宋体" w:eastAsia="宋体" w:cs="宋体"/>
        </w:rPr>
        <w:t>23、磋商小组</w:t>
      </w:r>
      <w:bookmarkEnd w:id="126"/>
      <w:bookmarkEnd w:id="127"/>
      <w:bookmarkEnd w:id="128"/>
    </w:p>
    <w:p w14:paraId="58CB0EC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  23.1采购人或采购代理机构将组织磋商小组对响应文件进行评审。磋商小组由采购人代表和有关技术、经济等方面的专家组成，且人员构成符合政府采购有关规定。</w:t>
      </w:r>
    </w:p>
    <w:p w14:paraId="010345D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  23.2磋商小组独立工作，负责评审所有响应文件并确定成交候选人。</w:t>
      </w:r>
    </w:p>
    <w:p w14:paraId="759BC0A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24、评审过程的保密与公正</w:t>
      </w:r>
    </w:p>
    <w:p w14:paraId="733B3F5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24.1磋商小组、采购人或采购代理机构工作人员、相关监督人员等与评审工作有关的人员，对评审情况以及在评审过程中获悉的国家秘密、商业秘密负有保密责任。</w:t>
      </w:r>
    </w:p>
    <w:p w14:paraId="42FA665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24.2在评审过程中，供应商不得以任何行为影响磋商评审过程，否则其响应文件将被视为无效响应文件。</w:t>
      </w:r>
    </w:p>
    <w:p w14:paraId="1B35012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24.3在项目评审期间，采购人或采购代理机构将设专门人员与供应商联系。</w:t>
      </w:r>
    </w:p>
    <w:p w14:paraId="5B7B18E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24.4 采购人或采购代理机构和磋商小组不向未成交的供应商解释未成交原因，也不公布评审过程中的相关细节。</w:t>
      </w:r>
    </w:p>
    <w:p w14:paraId="1C78266C">
      <w:pPr>
        <w:pStyle w:val="34"/>
        <w:spacing w:beforeAutospacing="0" w:afterAutospacing="0" w:line="327" w:lineRule="auto"/>
        <w:ind w:firstLine="480"/>
        <w:jc w:val="both"/>
        <w:rPr>
          <w:rFonts w:hint="eastAsia" w:ascii="宋体" w:hAnsi="宋体" w:eastAsia="宋体" w:cs="宋体"/>
        </w:rPr>
      </w:pPr>
      <w:bookmarkStart w:id="129" w:name="_Toc513029232"/>
      <w:bookmarkStart w:id="130" w:name="_Toc20823304"/>
      <w:bookmarkStart w:id="131" w:name="_Toc16938548"/>
      <w:r>
        <w:rPr>
          <w:rFonts w:hint="eastAsia" w:ascii="宋体" w:hAnsi="宋体" w:eastAsia="宋体" w:cs="宋体"/>
        </w:rPr>
        <w:t>25、评审过程中的澄清</w:t>
      </w:r>
      <w:bookmarkEnd w:id="129"/>
      <w:bookmarkEnd w:id="130"/>
      <w:bookmarkEnd w:id="131"/>
    </w:p>
    <w:p w14:paraId="4866CD6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AE2F64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磋商小组并非对每个供应商都作澄清要求。</w:t>
      </w:r>
    </w:p>
    <w:p w14:paraId="600E15E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76ADCD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25.3 接到磋商小组澄清、说明和更正要求的供应商如未按规定作出澄清、说明和 更正，其风险由供应商自行承担。</w:t>
      </w:r>
    </w:p>
    <w:p w14:paraId="79A6039B">
      <w:pPr>
        <w:pStyle w:val="34"/>
        <w:spacing w:beforeAutospacing="0" w:afterAutospacing="0" w:line="327" w:lineRule="auto"/>
        <w:ind w:firstLine="480"/>
        <w:jc w:val="both"/>
        <w:rPr>
          <w:rFonts w:hint="eastAsia" w:ascii="宋体" w:hAnsi="宋体" w:eastAsia="宋体" w:cs="宋体"/>
        </w:rPr>
      </w:pPr>
      <w:bookmarkStart w:id="132" w:name="_Toc20823305"/>
      <w:bookmarkStart w:id="133" w:name="_Toc16938549"/>
      <w:bookmarkStart w:id="134" w:name="_Toc513029233"/>
      <w:r>
        <w:rPr>
          <w:rFonts w:hint="eastAsia" w:ascii="宋体" w:hAnsi="宋体" w:eastAsia="宋体" w:cs="宋体"/>
        </w:rPr>
        <w:t>26、对响应文件的审</w:t>
      </w:r>
      <w:bookmarkEnd w:id="132"/>
      <w:bookmarkEnd w:id="133"/>
      <w:bookmarkEnd w:id="134"/>
      <w:r>
        <w:rPr>
          <w:rFonts w:hint="eastAsia" w:ascii="宋体" w:hAnsi="宋体" w:eastAsia="宋体" w:cs="宋体"/>
        </w:rPr>
        <w:t>查</w:t>
      </w:r>
    </w:p>
    <w:p w14:paraId="70E54EA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26.1响应文件审查分为资格审查和符合性审查。</w:t>
      </w:r>
    </w:p>
    <w:p w14:paraId="2807A54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26.1.1 资格审查：由磋商小组依据法律法规和磋商文件的规定，对响应文件中的资格证明文件进行审查，以确定供应商是否具备参加磋商的资格。</w:t>
      </w:r>
    </w:p>
    <w:p w14:paraId="485B6BD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磋商小组在进行资格审查的同时，将在“信用中国”网站（www.creditchina.gov.cn）查询供应商的信用记录，以确定供应商是否具备磋商资格,查询结果留存并归档。</w:t>
      </w:r>
    </w:p>
    <w:p w14:paraId="76448D3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3EEA51B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26.1.2 符合性审查：依据磋商文件的规定，由磋商小组从响应文件的有效性、完整性和对磋商文件的响应程度进行审查，以确定是否对磋商文件的实质性要求作出响应。</w:t>
      </w:r>
    </w:p>
    <w:p w14:paraId="3E4DD87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26.1.3 未通过资格审查或符合性审查的供应商，磋商小组将在苏采云系统中告知未通过资格审查或符合性审查的原因，评审结束后，磋商小组将不再告知未通过资格审查或符合性审查的原因。</w:t>
      </w:r>
    </w:p>
    <w:p w14:paraId="4B76E25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26.2在详细评审之前，磋商小组将首先审查每份响应文件是否实质性响应了磋商文件的要求。实质性响应的响应文件应该是与磋商文件要求的条款、条件和规格相符，没有重大偏离或保留。</w:t>
      </w:r>
    </w:p>
    <w:p w14:paraId="2AD50C0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所谓重大偏离或保留是指与磋商文件规定的实质性要求存在负偏离，或者在实质上与磋商文件不一致，而且限制了合同中买方和采购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A3B30C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26.3未实质性响应磋商文件的情形</w:t>
      </w:r>
    </w:p>
    <w:p w14:paraId="5BCAF9A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26.3.1供应商在苏采云系统规定的时间内未成功解密电子响应文件的。</w:t>
      </w:r>
    </w:p>
    <w:p w14:paraId="14D8D18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26.3.2供应商未按照磋商文件要求上传电子响应文件的。</w:t>
      </w:r>
    </w:p>
    <w:p w14:paraId="5CEA77D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26.3.3同一供应商提交两个（含两个）以上不同的响应文件或者最后报价的。</w:t>
      </w:r>
    </w:p>
    <w:p w14:paraId="2A053AF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26.3.4供应商不具备磋商文件中规定资格要求的。</w:t>
      </w:r>
    </w:p>
    <w:p w14:paraId="25B4F6B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26.3.5供应商的最后报价超过了采购预算。</w:t>
      </w:r>
    </w:p>
    <w:p w14:paraId="2A69BF8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26.3.6不符合磋商文件中规定的实质性要求和条件的</w:t>
      </w:r>
      <w:r>
        <w:rPr>
          <w:rFonts w:hint="eastAsia" w:ascii="宋体" w:hAnsi="宋体" w:eastAsia="宋体" w:cs="宋体"/>
          <w:i/>
          <w:u w:val="single"/>
        </w:rPr>
        <w:t>（本磋商文件中斜体且有下划线部分为实质性要求和条件）。</w:t>
      </w:r>
    </w:p>
    <w:p w14:paraId="35E5208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1D419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26.3.8响应文件含有采购人不能接受的附加条件的。</w:t>
      </w:r>
    </w:p>
    <w:p w14:paraId="27693ACF">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w:t>
      </w:r>
      <w:r>
        <w:rPr>
          <w:rFonts w:hint="eastAsia" w:ascii="宋体" w:hAnsi="宋体" w:eastAsia="宋体" w:cs="宋体"/>
          <w:color w:val="000000" w:themeColor="text1"/>
          <w14:textFill>
            <w14:solidFill>
              <w14:schemeClr w14:val="tx1"/>
            </w14:solidFill>
          </w14:textFill>
        </w:rPr>
        <w:t>国家确定的认证机构出具的、处于有效期之内的该节能产品认证证书图片）</w:t>
      </w:r>
    </w:p>
    <w:p w14:paraId="0B01D698">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26.3.10供应商不能证明其报价合理性的，磋商小组应当将其作为无效响应处理。</w:t>
      </w:r>
    </w:p>
    <w:p w14:paraId="60922BF4">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（一）评审过程中出现下列情形之一的，磋商小组应当启动异常低价响应审查程序：</w:t>
      </w:r>
    </w:p>
    <w:p w14:paraId="62AD2C52">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1.投标（响应）报价低于全部通过符合性审查供应商投标（响应）报价平均值65%的，即投标（响应）报价&lt;全部通过符合性审查供应商投标（响应）报价平均值×</w:t>
      </w:r>
      <w:r>
        <w:rPr>
          <w:rFonts w:hint="eastAsia" w:ascii="宋体" w:hAnsi="宋体" w:eastAsia="宋体" w:cs="宋体"/>
          <w:b/>
          <w:bCs/>
          <w:color w:val="000000" w:themeColor="text1"/>
          <w14:textFill>
            <w14:solidFill>
              <w14:schemeClr w14:val="tx1"/>
            </w14:solidFill>
          </w14:textFill>
        </w:rPr>
        <w:t>65%</w:t>
      </w:r>
      <w:r>
        <w:rPr>
          <w:rFonts w:hint="eastAsia" w:ascii="宋体" w:hAnsi="宋体" w:eastAsia="宋体" w:cs="宋体"/>
          <w:color w:val="000000" w:themeColor="text1"/>
          <w14:textFill>
            <w14:solidFill>
              <w14:schemeClr w14:val="tx1"/>
            </w14:solidFill>
          </w14:textFill>
        </w:rPr>
        <w:t>；</w:t>
      </w:r>
    </w:p>
    <w:p w14:paraId="288A2938">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2.投标（响应）报价低于通过符合性审查的次低报价供应商投标（响应）报价65%的，即投标（响应）报价&lt;通过符合性审查的次低报价供应商投标（响应）报价×</w:t>
      </w:r>
      <w:r>
        <w:rPr>
          <w:rFonts w:hint="eastAsia" w:ascii="宋体" w:hAnsi="宋体" w:eastAsia="宋体" w:cs="宋体"/>
          <w:b/>
          <w:bCs/>
          <w:color w:val="000000" w:themeColor="text1"/>
          <w14:textFill>
            <w14:solidFill>
              <w14:schemeClr w14:val="tx1"/>
            </w14:solidFill>
          </w14:textFill>
        </w:rPr>
        <w:t>65%</w:t>
      </w:r>
      <w:r>
        <w:rPr>
          <w:rFonts w:hint="eastAsia" w:ascii="宋体" w:hAnsi="宋体" w:eastAsia="宋体" w:cs="宋体"/>
          <w:color w:val="000000" w:themeColor="text1"/>
          <w14:textFill>
            <w14:solidFill>
              <w14:schemeClr w14:val="tx1"/>
            </w14:solidFill>
          </w14:textFill>
        </w:rPr>
        <w:t>；</w:t>
      </w:r>
    </w:p>
    <w:p w14:paraId="575C249B">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3.投标（响应）报价低于采购项目最高限价65%的，即投标（响应）报价&lt;采购项目最高限价×</w:t>
      </w:r>
      <w:r>
        <w:rPr>
          <w:rFonts w:hint="eastAsia" w:ascii="宋体" w:hAnsi="宋体" w:eastAsia="宋体" w:cs="宋体"/>
          <w:b/>
          <w:bCs/>
          <w:color w:val="000000" w:themeColor="text1"/>
          <w14:textFill>
            <w14:solidFill>
              <w14:schemeClr w14:val="tx1"/>
            </w14:solidFill>
          </w14:textFill>
        </w:rPr>
        <w:t>65%</w:t>
      </w:r>
      <w:r>
        <w:rPr>
          <w:rFonts w:hint="eastAsia" w:ascii="宋体" w:hAnsi="宋体" w:eastAsia="宋体" w:cs="宋体"/>
          <w:color w:val="000000" w:themeColor="text1"/>
          <w14:textFill>
            <w14:solidFill>
              <w14:schemeClr w14:val="tx1"/>
            </w14:solidFill>
          </w14:textFill>
        </w:rPr>
        <w:t>；</w:t>
      </w:r>
    </w:p>
    <w:p w14:paraId="04F5314B">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4.评审委员会基于专业判断，认为供应商报价过低，有可能影响产品质量或者不能诚信履约的其他情形。</w:t>
      </w:r>
    </w:p>
    <w:p w14:paraId="4D70BBB3">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u w:val="single"/>
          <w14:textFill>
            <w14:solidFill>
              <w14:schemeClr w14:val="tx1"/>
            </w14:solidFill>
          </w14:textFill>
        </w:rPr>
        <w:t>提醒：采购人可以结合具体项目实际情况，提高上述第1项至第3项中启动异常低价投标（响应）审查的数值标准，但是最高不得超过65%</w:t>
      </w:r>
      <w:r>
        <w:rPr>
          <w:rFonts w:hint="eastAsia" w:ascii="宋体" w:hAnsi="宋体" w:eastAsia="宋体" w:cs="宋体"/>
          <w:color w:val="000000" w:themeColor="text1"/>
          <w14:textFill>
            <w14:solidFill>
              <w14:schemeClr w14:val="tx1"/>
            </w14:solidFill>
          </w14:textFill>
        </w:rPr>
        <w:t>。</w:t>
      </w:r>
    </w:p>
    <w:p w14:paraId="78DD975E">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相关法律法规对供应商报价有规定的，从其规定。</w:t>
      </w:r>
    </w:p>
    <w:p w14:paraId="6804ED14">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0802E4">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E63AA82">
      <w:pPr>
        <w:pStyle w:val="34"/>
        <w:spacing w:beforeAutospacing="0" w:afterAutospacing="0" w:line="327"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913A96">
      <w:pPr>
        <w:pStyle w:val="34"/>
        <w:spacing w:beforeAutospacing="0" w:afterAutospacing="0" w:line="327" w:lineRule="auto"/>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5E813B9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26.3.11响应文件未按照</w:t>
      </w:r>
      <w:r>
        <w:rPr>
          <w:rFonts w:hint="eastAsia" w:ascii="宋体" w:hAnsi="宋体" w:eastAsia="宋体" w:cs="宋体"/>
        </w:rPr>
        <w:t>磋商文件要求加盖CA电子公章的。</w:t>
      </w:r>
    </w:p>
    <w:p w14:paraId="1ED9264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26.4未实质性响应磋商文件的响应文件按无效响应处理。</w:t>
      </w:r>
    </w:p>
    <w:p w14:paraId="0B9DEC6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26.5如果响应文件实质上没有响应磋商文件的要求，磋商小组将予以拒绝，供应商不得通过修改或撤销不符合要求的偏离或保留而使其成为实质性响应的文件。</w:t>
      </w:r>
    </w:p>
    <w:p w14:paraId="4482DBE6">
      <w:pPr>
        <w:pStyle w:val="34"/>
        <w:spacing w:beforeAutospacing="0" w:afterAutospacing="0" w:line="327" w:lineRule="auto"/>
        <w:ind w:firstLine="480"/>
        <w:jc w:val="both"/>
        <w:rPr>
          <w:rFonts w:hint="eastAsia" w:ascii="宋体" w:hAnsi="宋体" w:eastAsia="宋体" w:cs="宋体"/>
        </w:rPr>
      </w:pPr>
      <w:bookmarkStart w:id="135" w:name="_Toc513029234"/>
      <w:bookmarkStart w:id="136" w:name="_Toc20823306"/>
      <w:bookmarkStart w:id="137" w:name="_Toc16938550"/>
      <w:r>
        <w:rPr>
          <w:rFonts w:hint="eastAsia" w:ascii="宋体" w:hAnsi="宋体" w:eastAsia="宋体" w:cs="宋体"/>
        </w:rPr>
        <w:t>26.6供应商在项目评审全过程中应保持通信畅通，并安排专人与采购人或采购代理机构及磋商小组联系。</w:t>
      </w:r>
      <w:bookmarkEnd w:id="135"/>
      <w:bookmarkEnd w:id="136"/>
      <w:bookmarkEnd w:id="137"/>
    </w:p>
    <w:p w14:paraId="6B3ACE0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27、磋商程序及评审方法和评审标准</w:t>
      </w:r>
    </w:p>
    <w:p w14:paraId="49FF140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27.1磋商程序</w:t>
      </w:r>
    </w:p>
    <w:p w14:paraId="59B0F60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4DBA3C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92670A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2BC26B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725D38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12FEF5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6FD3FD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27.2 评审方法和评审标准</w:t>
      </w:r>
    </w:p>
    <w:p w14:paraId="6C86B1C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27.2.1评审方法。经磋商确定最终采购需求和提交最后报价的供应商后，由磋商小组采用综合评分法对提交最后报价的供应商的响应文件和最后报价进行综合评分。</w:t>
      </w:r>
    </w:p>
    <w:p w14:paraId="06602D8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BFCAC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27.2.2评审标准</w:t>
      </w:r>
    </w:p>
    <w:p w14:paraId="02D3A86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见本磋商文件第五章规定。</w:t>
      </w:r>
    </w:p>
    <w:p w14:paraId="0CF095B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27.3采购活动终止的情况</w:t>
      </w:r>
    </w:p>
    <w:p w14:paraId="04AD6C7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出现下列情形之一的，本次竞争性磋商采购活动将被终止：</w:t>
      </w:r>
    </w:p>
    <w:p w14:paraId="0C263AC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27.3.1因情况变化，不再符合规定的竞争性磋商采购方式适用情形的。</w:t>
      </w:r>
    </w:p>
    <w:p w14:paraId="31A8D78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27.3.2出现影响采购公正的违法、违规行为的。</w:t>
      </w:r>
    </w:p>
    <w:p w14:paraId="3561520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27.3.3除本磋商文件第二章第27.1.2条第三款规定的情形外，在磋商过程中符合要求的供应商或者最后报价未超过采购预算的供应商不足3家的。</w:t>
      </w:r>
    </w:p>
    <w:p w14:paraId="71952BD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27.3.4在苏采云系统规定时间内成功解密电子响应文件的供应商不足3家的。</w:t>
      </w:r>
    </w:p>
    <w:p w14:paraId="02BF2C37">
      <w:pPr>
        <w:pStyle w:val="34"/>
        <w:keepNext/>
        <w:keepLines/>
        <w:spacing w:before="145" w:beforeAutospacing="0" w:after="145" w:afterAutospacing="0" w:line="327" w:lineRule="auto"/>
        <w:ind w:firstLine="482"/>
        <w:jc w:val="both"/>
        <w:rPr>
          <w:rFonts w:hint="eastAsia" w:ascii="宋体" w:hAnsi="宋体" w:eastAsia="宋体" w:cs="宋体"/>
        </w:rPr>
      </w:pPr>
      <w:bookmarkStart w:id="138" w:name="_Toc16938551"/>
      <w:bookmarkStart w:id="139" w:name="_Toc120614219"/>
      <w:bookmarkStart w:id="140" w:name="_Toc513029235"/>
      <w:bookmarkStart w:id="141" w:name="_Toc20823307"/>
      <w:r>
        <w:rPr>
          <w:rFonts w:hint="eastAsia" w:ascii="宋体" w:hAnsi="宋体" w:eastAsia="宋体" w:cs="宋体"/>
          <w:b/>
        </w:rPr>
        <w:t>六、</w:t>
      </w:r>
      <w:bookmarkEnd w:id="138"/>
      <w:bookmarkEnd w:id="139"/>
      <w:bookmarkEnd w:id="140"/>
      <w:bookmarkEnd w:id="141"/>
      <w:r>
        <w:rPr>
          <w:rFonts w:hint="eastAsia" w:ascii="宋体" w:hAnsi="宋体" w:eastAsia="宋体" w:cs="宋体"/>
          <w:b/>
        </w:rPr>
        <w:t>成交</w:t>
      </w:r>
    </w:p>
    <w:p w14:paraId="7B0FDAB9">
      <w:pPr>
        <w:pStyle w:val="34"/>
        <w:spacing w:beforeAutospacing="0" w:afterAutospacing="0" w:line="327" w:lineRule="auto"/>
        <w:ind w:firstLine="480"/>
        <w:jc w:val="both"/>
        <w:rPr>
          <w:rFonts w:hint="eastAsia" w:ascii="宋体" w:hAnsi="宋体" w:eastAsia="宋体" w:cs="宋体"/>
        </w:rPr>
      </w:pPr>
      <w:bookmarkStart w:id="142" w:name="_Toc20823310"/>
      <w:bookmarkStart w:id="143" w:name="_Toc513029238"/>
      <w:bookmarkStart w:id="144" w:name="_Toc16938554"/>
      <w:r>
        <w:rPr>
          <w:rFonts w:hint="eastAsia" w:ascii="宋体" w:hAnsi="宋体" w:eastAsia="宋体" w:cs="宋体"/>
        </w:rPr>
        <w:t>28、</w:t>
      </w:r>
      <w:bookmarkEnd w:id="142"/>
      <w:r>
        <w:rPr>
          <w:rFonts w:hint="eastAsia" w:ascii="宋体" w:hAnsi="宋体" w:eastAsia="宋体" w:cs="宋体"/>
        </w:rPr>
        <w:t>确定</w:t>
      </w:r>
      <w:bookmarkEnd w:id="143"/>
      <w:bookmarkEnd w:id="144"/>
      <w:r>
        <w:rPr>
          <w:rFonts w:hint="eastAsia" w:ascii="宋体" w:hAnsi="宋体" w:eastAsia="宋体" w:cs="宋体"/>
        </w:rPr>
        <w:t>成交单位</w:t>
      </w:r>
    </w:p>
    <w:p w14:paraId="2A46D38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A2D0D2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D5E4C5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28.2采购人从评审报告提出的成交候选供应商中，按照排序由高到低的原则确定成交供应商。采购人确定成交供应商后，将在“中国政府采购网”、“江苏政府采购网”“盐城市政府采购网”发布成交结果公告，公告期限为1个工作日。</w:t>
      </w:r>
    </w:p>
    <w:p w14:paraId="15A4527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28.3若有充分证据证明，成交供应商出现下列情况之一的，一经查实，将被取消成交资格：</w:t>
      </w:r>
    </w:p>
    <w:p w14:paraId="5BFB9DE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28.3.1提供虚假材料谋取成交的。</w:t>
      </w:r>
    </w:p>
    <w:p w14:paraId="5EE5937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28.3.2与评审专家、采购人、其他供应商或者采购人或采购代理机构工作人员恶意串通的。</w:t>
      </w:r>
    </w:p>
    <w:p w14:paraId="285803D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28.3.3向评审专家、采购人或采购代理机构工作人员行贿或者提供其他不正当利益的。</w:t>
      </w:r>
    </w:p>
    <w:p w14:paraId="539747D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28.3.4恶意竞争，最后报价明显低于其自身合理成本且又无法提供证明的。</w:t>
      </w:r>
    </w:p>
    <w:p w14:paraId="6DACA21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28.3.5不满足本磋商文件规定的实质性要求，但在评审过程中又未被磋商小组发现的。</w:t>
      </w:r>
    </w:p>
    <w:p w14:paraId="12D2CD5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28.3.6成交后无正当理由拒不与采购人签订政府采购合同或者未按照磋商文件确定的事项签订政府采购合同的。</w:t>
      </w:r>
    </w:p>
    <w:p w14:paraId="3C1BF74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28.3.7将政府采购合同转包的。</w:t>
      </w:r>
    </w:p>
    <w:p w14:paraId="17EAC1AE">
      <w:pPr>
        <w:pStyle w:val="34"/>
        <w:spacing w:beforeAutospacing="0" w:afterAutospacing="0" w:line="327" w:lineRule="auto"/>
        <w:ind w:firstLine="480"/>
        <w:jc w:val="both"/>
        <w:rPr>
          <w:rFonts w:hint="eastAsia" w:ascii="宋体" w:hAnsi="宋体" w:eastAsia="宋体" w:cs="宋体"/>
        </w:rPr>
      </w:pPr>
      <w:bookmarkStart w:id="145" w:name="_Toc200451960"/>
      <w:r>
        <w:rPr>
          <w:rFonts w:hint="eastAsia" w:ascii="宋体" w:hAnsi="宋体" w:eastAsia="宋体" w:cs="宋体"/>
        </w:rPr>
        <w:t>29、质疑处理</w:t>
      </w:r>
      <w:bookmarkEnd w:id="145"/>
    </w:p>
    <w:p w14:paraId="2414E3FD">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29.1 提出质疑的供应商应当是参与所质疑项目采购活动的供应商。潜在供应商依法获取其可质疑的磋商文件的，可以对磋商文件提出质疑。</w:t>
      </w:r>
    </w:p>
    <w:p w14:paraId="507B281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p>
    <w:p w14:paraId="1FBDE9A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29.2.1对可以质疑的磋商文件提出质疑的，为收到磋商文件之日或者磋商文件公告期限届满之日。</w:t>
      </w:r>
      <w:r>
        <w:rPr>
          <w:rFonts w:hint="eastAsia" w:ascii="宋体" w:hAnsi="宋体" w:eastAsia="宋体" w:cs="宋体"/>
        </w:rPr>
        <w:br w:type="textWrapping"/>
      </w:r>
      <w:r>
        <w:rPr>
          <w:rFonts w:hint="eastAsia" w:ascii="宋体" w:hAnsi="宋体" w:eastAsia="宋体" w:cs="宋体"/>
        </w:rPr>
        <w:t>   29.2.2对磋商过程提出质疑的，为各采购程序环节结束之日。</w:t>
      </w:r>
      <w:r>
        <w:rPr>
          <w:rFonts w:hint="eastAsia" w:ascii="宋体" w:hAnsi="宋体" w:eastAsia="宋体" w:cs="宋体"/>
        </w:rPr>
        <w:br w:type="textWrapping"/>
      </w:r>
      <w:r>
        <w:rPr>
          <w:rFonts w:hint="eastAsia" w:ascii="宋体" w:hAnsi="宋体" w:eastAsia="宋体" w:cs="宋体"/>
        </w:rPr>
        <w:t>   29.2.3对成交结果提出质疑的，为成交结果公告期限届满之日。</w:t>
      </w:r>
    </w:p>
    <w:p w14:paraId="53B86ED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供应商应当在法定质疑期内一次性提出针对同一采购程序环节的质疑。供应商如在法定期限内对同一采购程序环节提出多次质疑的，采购人或采购代理机构将只对供应商第一次质疑作出答复。</w:t>
      </w:r>
    </w:p>
    <w:p w14:paraId="65815ED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29.3质疑函必须按照本磋商文件中《质疑函范本》要求的格式和内容进行填写。供应商如组成联合体参加磋商，则《质疑函范本》中要求签字、盖章、加盖公章之处，联合体各方均须按要求签字、盖章、加盖公章。</w:t>
      </w:r>
    </w:p>
    <w:p w14:paraId="2F210A92">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219F450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采购人及采购代理机构只接收以纸质原件形式送达的质疑,采购人和采购代理机构不接受未填写快递运单的快件。</w:t>
      </w:r>
    </w:p>
    <w:p w14:paraId="7628DE8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 以下情形的质疑不予受理</w:t>
      </w:r>
    </w:p>
    <w:p w14:paraId="18EE0D4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29.5.1 内容不符合《政府采购质疑和投诉办法》第十二条规定的质疑。</w:t>
      </w:r>
    </w:p>
    <w:p w14:paraId="7F81339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29.5.2 超出政府采购法定期限的质疑。</w:t>
      </w:r>
    </w:p>
    <w:p w14:paraId="1AA501E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29.5.3 以传真、电子邮件等方式递交的非原件形式的质疑。</w:t>
      </w:r>
    </w:p>
    <w:p w14:paraId="47477B1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29.5.4 未参加磋商活动的供应商或在磋商活动中自身权益未受到损害的供应商所提出的质疑。</w:t>
      </w:r>
    </w:p>
    <w:p w14:paraId="1C4A490C">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29.5.5供应商组成联合体参加磋商，联合体中任何一方或多方未按要求签字、盖章、加盖公章的质疑。</w:t>
      </w:r>
    </w:p>
    <w:p w14:paraId="68E1187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E74758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30、成交通知书</w:t>
      </w:r>
    </w:p>
    <w:p w14:paraId="74CDB640">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2D598E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2757C63D">
      <w:pPr>
        <w:pStyle w:val="34"/>
        <w:keepNext/>
        <w:keepLines/>
        <w:spacing w:before="145" w:beforeAutospacing="0" w:after="145" w:afterAutospacing="0" w:line="327" w:lineRule="auto"/>
        <w:jc w:val="both"/>
        <w:rPr>
          <w:rFonts w:hint="eastAsia" w:ascii="宋体" w:hAnsi="宋体" w:eastAsia="宋体" w:cs="宋体"/>
        </w:rPr>
      </w:pPr>
      <w:bookmarkStart w:id="146" w:name="_Toc513029236"/>
      <w:bookmarkStart w:id="147" w:name="_Toc120614220"/>
      <w:bookmarkStart w:id="148" w:name="_Toc16938552"/>
      <w:bookmarkStart w:id="149" w:name="_Toc20823308"/>
      <w:r>
        <w:rPr>
          <w:rFonts w:hint="eastAsia" w:ascii="宋体" w:hAnsi="宋体" w:eastAsia="宋体" w:cs="宋体"/>
          <w:b/>
        </w:rPr>
        <w:t>七、授予合同</w:t>
      </w:r>
      <w:bookmarkEnd w:id="146"/>
      <w:bookmarkEnd w:id="147"/>
      <w:bookmarkEnd w:id="148"/>
      <w:bookmarkEnd w:id="149"/>
    </w:p>
    <w:p w14:paraId="6D5CD059">
      <w:pPr>
        <w:pStyle w:val="34"/>
        <w:spacing w:beforeAutospacing="0" w:afterAutospacing="0" w:line="327" w:lineRule="auto"/>
        <w:ind w:firstLine="480"/>
        <w:jc w:val="both"/>
        <w:rPr>
          <w:rFonts w:hint="eastAsia" w:ascii="宋体" w:hAnsi="宋体" w:eastAsia="宋体" w:cs="宋体"/>
        </w:rPr>
      </w:pPr>
      <w:bookmarkStart w:id="150" w:name="_Toc16938553"/>
      <w:bookmarkStart w:id="151" w:name="_Toc513029237"/>
      <w:bookmarkStart w:id="152" w:name="_Toc20823309"/>
      <w:r>
        <w:rPr>
          <w:rFonts w:hint="eastAsia" w:ascii="宋体" w:hAnsi="宋体" w:eastAsia="宋体" w:cs="宋体"/>
        </w:rPr>
        <w:t>31.签订合同</w:t>
      </w:r>
      <w:bookmarkEnd w:id="150"/>
      <w:bookmarkEnd w:id="151"/>
      <w:bookmarkEnd w:id="152"/>
    </w:p>
    <w:p w14:paraId="1CB1DD6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p>
    <w:p w14:paraId="6E87374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31.2磋商文件、成交供应商的响应文件及磋商过程中有关澄清、承诺文件均应作为合同附件。</w:t>
      </w:r>
    </w:p>
    <w:p w14:paraId="54611CA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31.3 签订合同后，</w:t>
      </w:r>
      <w:r>
        <w:rPr>
          <w:rFonts w:hint="eastAsia" w:ascii="宋体" w:hAnsi="宋体" w:eastAsia="宋体" w:cs="宋体"/>
          <w:i/>
          <w:u w:val="single"/>
        </w:rPr>
        <w:t>成交供应商不得将合同标的进行转包</w:t>
      </w:r>
      <w:r>
        <w:rPr>
          <w:rFonts w:hint="eastAsia" w:ascii="宋体" w:hAnsi="宋体" w:eastAsia="宋体" w:cs="宋体"/>
        </w:rPr>
        <w:t>。未经采购人同意，成交供应商也不得采用分包形式履行合同,否则采购人有权终止合同。转包或分包造成采购人损失的，成交供应商应承担相应赔偿责任。</w:t>
      </w:r>
    </w:p>
    <w:p w14:paraId="2C94F56E">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32.标的物的追加</w:t>
      </w:r>
    </w:p>
    <w:p w14:paraId="699850B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35DF29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33.政府采购政策功能落实</w:t>
      </w:r>
    </w:p>
    <w:p w14:paraId="16318BB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33.1政府采购线上合同信用融资政策</w:t>
      </w:r>
    </w:p>
    <w:p w14:paraId="05C8B52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FDB822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33.2进口产品</w:t>
      </w:r>
    </w:p>
    <w:p w14:paraId="231DB15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2A45D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33.3中小企业、监狱企业及残疾人福利性单位</w:t>
      </w:r>
    </w:p>
    <w:p w14:paraId="01C5B85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33.3.1中小企业定义：</w:t>
      </w:r>
    </w:p>
    <w:p w14:paraId="193D079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55A0C7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7A9D40C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7DCB867B">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03F31BB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207A044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040313B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05188AA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8D1353">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542B1006">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13128ADA">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49658A69">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577BC758">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429B55B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5C33D95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C24ED17">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33.3.7本项目是否专门面向中小企业预留采购份额见第一章《竞争性磋商公告》。</w:t>
      </w:r>
    </w:p>
    <w:p w14:paraId="3FA85E14">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392DED1F">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31EE9F85">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33.4政府采购节能产品、环境标志产品</w:t>
      </w:r>
    </w:p>
    <w:p w14:paraId="2A6A8251">
      <w:pPr>
        <w:pStyle w:val="34"/>
        <w:spacing w:beforeAutospacing="0" w:afterAutospacing="0" w:line="327" w:lineRule="auto"/>
        <w:ind w:firstLine="480"/>
        <w:jc w:val="both"/>
        <w:rPr>
          <w:rFonts w:hint="eastAsia" w:ascii="宋体" w:hAnsi="宋体" w:eastAsia="宋体" w:cs="宋体"/>
        </w:rPr>
      </w:pPr>
      <w:r>
        <w:rPr>
          <w:rFonts w:hint="eastAsia" w:ascii="宋体" w:hAnsi="宋体" w:eastAsia="宋体" w:cs="宋体"/>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如属政府强制采购产品未提供认证证书的或认证证书提供不全的将视为未实质性响应采购要求</w:t>
      </w:r>
      <w:r>
        <w:rPr>
          <w:rFonts w:hint="eastAsia" w:ascii="宋体" w:hAnsi="宋体" w:eastAsia="宋体" w:cs="宋体"/>
          <w:i/>
        </w:rPr>
        <w:t>。</w:t>
      </w:r>
      <w:r>
        <w:rPr>
          <w:rFonts w:hint="eastAsia" w:ascii="宋体" w:hAnsi="宋体" w:eastAsia="宋体" w:cs="宋体"/>
        </w:rPr>
        <w:t>其他条件相同情况下，应当优先采购节能产品、环境标志产品。</w:t>
      </w:r>
    </w:p>
    <w:p w14:paraId="53161E76">
      <w:pPr>
        <w:spacing w:line="327" w:lineRule="auto"/>
        <w:ind w:firstLine="480"/>
        <w:rPr>
          <w:rFonts w:hint="eastAsia" w:ascii="宋体" w:hAnsi="宋体" w:eastAsia="宋体" w:cs="宋体"/>
          <w:sz w:val="24"/>
        </w:rPr>
      </w:pPr>
      <w:r>
        <w:rPr>
          <w:rFonts w:hint="eastAsia" w:ascii="宋体" w:hAnsi="宋体" w:eastAsia="宋体" w:cs="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29B882F">
      <w:pPr>
        <w:tabs>
          <w:tab w:val="left" w:pos="1381"/>
        </w:tabs>
        <w:spacing w:line="327" w:lineRule="auto"/>
        <w:ind w:firstLine="482"/>
        <w:rPr>
          <w:rFonts w:hint="eastAsia" w:ascii="宋体" w:hAnsi="宋体" w:eastAsia="宋体" w:cs="宋体"/>
          <w:sz w:val="24"/>
        </w:rPr>
      </w:pPr>
      <w:r>
        <w:rPr>
          <w:rFonts w:hint="eastAsia" w:ascii="宋体" w:hAnsi="宋体" w:eastAsia="宋体" w:cs="宋体"/>
          <w:sz w:val="24"/>
        </w:rPr>
        <w:t>33.5绿色包装</w:t>
      </w:r>
    </w:p>
    <w:p w14:paraId="73C43B74">
      <w:pPr>
        <w:spacing w:line="327" w:lineRule="auto"/>
        <w:ind w:firstLine="480"/>
        <w:rPr>
          <w:rFonts w:hint="eastAsia" w:ascii="宋体" w:hAnsi="宋体" w:eastAsia="宋体" w:cs="宋体"/>
          <w:sz w:val="24"/>
        </w:rPr>
      </w:pPr>
      <w:r>
        <w:rPr>
          <w:rFonts w:hint="eastAsia" w:ascii="宋体" w:hAnsi="宋体" w:eastAsia="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A29BCD0">
      <w:pPr>
        <w:tabs>
          <w:tab w:val="left" w:pos="1381"/>
        </w:tabs>
        <w:spacing w:line="327" w:lineRule="auto"/>
        <w:ind w:firstLine="482"/>
        <w:rPr>
          <w:rFonts w:hint="eastAsia" w:ascii="宋体" w:hAnsi="宋体" w:eastAsia="宋体" w:cs="宋体"/>
          <w:sz w:val="24"/>
        </w:rPr>
      </w:pPr>
      <w:r>
        <w:rPr>
          <w:rFonts w:hint="eastAsia" w:ascii="宋体" w:hAnsi="宋体" w:eastAsia="宋体" w:cs="宋体"/>
          <w:sz w:val="24"/>
        </w:rPr>
        <w:t>33.6政府采购创新产品</w:t>
      </w:r>
    </w:p>
    <w:p w14:paraId="3E3D5227">
      <w:pPr>
        <w:pBdr>
          <w:top w:val="none" w:color="000000" w:sz="0" w:space="0"/>
          <w:left w:val="none" w:color="000000" w:sz="0" w:space="0"/>
          <w:bottom w:val="none" w:color="000000" w:sz="0" w:space="0"/>
          <w:right w:val="none" w:color="000000" w:sz="0" w:space="0"/>
        </w:pBdr>
        <w:spacing w:line="327" w:lineRule="auto"/>
        <w:ind w:firstLine="478"/>
        <w:rPr>
          <w:rFonts w:hint="eastAsia" w:ascii="宋体" w:hAnsi="宋体" w:eastAsia="宋体" w:cs="宋体"/>
          <w:sz w:val="24"/>
        </w:rPr>
      </w:pPr>
      <w:r>
        <w:rPr>
          <w:rFonts w:hint="eastAsia" w:ascii="宋体" w:hAnsi="宋体" w:eastAsia="宋体" w:cs="宋体"/>
          <w:sz w:val="24"/>
        </w:rPr>
        <w:t>采购人优先采购各级政府部门公开发布的有效期内的创新产品、创新服务、首台套、首购首用等《目录》的创新产品。</w:t>
      </w:r>
    </w:p>
    <w:p w14:paraId="51856CCC">
      <w:pPr>
        <w:tabs>
          <w:tab w:val="left" w:pos="1381"/>
        </w:tabs>
        <w:spacing w:line="327" w:lineRule="auto"/>
        <w:ind w:firstLine="482"/>
        <w:rPr>
          <w:rFonts w:hint="eastAsia" w:ascii="宋体" w:hAnsi="宋体" w:eastAsia="宋体" w:cs="宋体"/>
          <w:sz w:val="24"/>
        </w:rPr>
      </w:pPr>
      <w:r>
        <w:rPr>
          <w:rFonts w:hint="eastAsia" w:ascii="宋体" w:hAnsi="宋体" w:eastAsia="宋体" w:cs="宋体"/>
          <w:sz w:val="24"/>
        </w:rPr>
        <w:t xml:space="preserve">33.7绿色数据中心政策 </w:t>
      </w:r>
    </w:p>
    <w:p w14:paraId="06ABA4A8">
      <w:pPr>
        <w:spacing w:line="327" w:lineRule="auto"/>
        <w:ind w:firstLine="480"/>
        <w:rPr>
          <w:rFonts w:hint="eastAsia" w:ascii="宋体" w:hAnsi="宋体" w:eastAsia="宋体" w:cs="宋体"/>
          <w:sz w:val="24"/>
        </w:rPr>
      </w:pPr>
      <w:r>
        <w:rPr>
          <w:rFonts w:hint="eastAsia" w:ascii="宋体" w:hAnsi="宋体" w:eastAsia="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1D86CA5">
      <w:pPr>
        <w:spacing w:line="327" w:lineRule="auto"/>
        <w:ind w:firstLine="482"/>
        <w:rPr>
          <w:rFonts w:hint="eastAsia" w:ascii="宋体" w:hAnsi="宋体" w:eastAsia="宋体" w:cs="宋体"/>
          <w:b/>
          <w:bCs/>
          <w:sz w:val="24"/>
        </w:rPr>
      </w:pPr>
      <w:r>
        <w:rPr>
          <w:rFonts w:hint="eastAsia" w:ascii="宋体" w:hAnsi="宋体" w:eastAsia="宋体" w:cs="宋体"/>
          <w:b/>
          <w:bCs/>
          <w:sz w:val="24"/>
        </w:rPr>
        <w:t>33.8实施本国产品标准及相关政策</w:t>
      </w:r>
    </w:p>
    <w:p w14:paraId="66CC9E7A">
      <w:pPr>
        <w:spacing w:line="327" w:lineRule="auto"/>
        <w:ind w:firstLine="482"/>
        <w:rPr>
          <w:rFonts w:hint="eastAsia" w:ascii="宋体" w:hAnsi="宋体" w:eastAsia="宋体" w:cs="宋体"/>
          <w:b/>
          <w:bCs/>
          <w:sz w:val="24"/>
        </w:rPr>
      </w:pPr>
      <w:r>
        <w:rPr>
          <w:rFonts w:hint="eastAsia" w:ascii="宋体" w:hAnsi="宋体" w:eastAsia="宋体" w:cs="宋体"/>
          <w:b/>
          <w:bCs/>
          <w:sz w:val="24"/>
        </w:rPr>
        <w:t>1.本项目对采购本国产品给予政策支持，具体内容见招标文件“第五章 评标方法与评标标准”。</w:t>
      </w:r>
    </w:p>
    <w:p w14:paraId="52E8926D">
      <w:pPr>
        <w:spacing w:line="327" w:lineRule="auto"/>
        <w:ind w:firstLine="482"/>
        <w:rPr>
          <w:rFonts w:hint="eastAsia" w:ascii="宋体" w:hAnsi="宋体" w:eastAsia="宋体" w:cs="宋体"/>
          <w:b/>
          <w:bCs/>
          <w:sz w:val="24"/>
        </w:rPr>
      </w:pPr>
      <w:r>
        <w:rPr>
          <w:rFonts w:hint="eastAsia" w:ascii="宋体" w:hAnsi="宋体" w:eastAsia="宋体" w:cs="宋体"/>
          <w:b/>
          <w:bCs/>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4643DA">
      <w:pPr>
        <w:spacing w:line="327" w:lineRule="auto"/>
        <w:ind w:firstLine="482"/>
        <w:rPr>
          <w:rFonts w:hint="eastAsia" w:ascii="宋体" w:hAnsi="宋体" w:eastAsia="宋体" w:cs="宋体"/>
          <w:b/>
          <w:bCs/>
          <w:sz w:val="24"/>
        </w:rPr>
      </w:pPr>
      <w:r>
        <w:rPr>
          <w:rFonts w:hint="eastAsia" w:ascii="宋体" w:hAnsi="宋体" w:eastAsia="宋体" w:cs="宋体"/>
          <w:b/>
          <w:bCs/>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A5DD63">
      <w:pPr>
        <w:spacing w:line="327" w:lineRule="auto"/>
        <w:ind w:firstLine="482"/>
        <w:rPr>
          <w:rFonts w:hint="eastAsia" w:ascii="宋体" w:hAnsi="宋体" w:eastAsia="宋体" w:cs="宋体"/>
          <w:b/>
          <w:bCs/>
          <w:color w:val="FF0000"/>
          <w:sz w:val="24"/>
        </w:rPr>
      </w:pPr>
      <w:r>
        <w:rPr>
          <w:rFonts w:hint="eastAsia" w:ascii="宋体" w:hAnsi="宋体" w:eastAsia="宋体" w:cs="宋体"/>
          <w:b/>
          <w:bCs/>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u w:val="single"/>
        </w:rPr>
        <w:t>。</w:t>
      </w:r>
    </w:p>
    <w:p w14:paraId="472AD49D">
      <w:pPr>
        <w:tabs>
          <w:tab w:val="left" w:pos="1381"/>
        </w:tabs>
        <w:spacing w:line="327" w:lineRule="auto"/>
        <w:ind w:firstLine="482"/>
        <w:rPr>
          <w:rFonts w:hint="eastAsia" w:ascii="宋体" w:hAnsi="宋体" w:eastAsia="宋体" w:cs="宋体"/>
          <w:sz w:val="24"/>
        </w:rPr>
      </w:pPr>
      <w:r>
        <w:rPr>
          <w:rFonts w:hint="eastAsia" w:ascii="宋体" w:hAnsi="宋体" w:eastAsia="宋体" w:cs="宋体"/>
          <w:sz w:val="24"/>
        </w:rPr>
        <w:t>33.9履约保证金政策</w:t>
      </w:r>
    </w:p>
    <w:p w14:paraId="512B66F9">
      <w:pPr>
        <w:spacing w:line="327" w:lineRule="auto"/>
        <w:ind w:firstLine="480"/>
        <w:rPr>
          <w:rFonts w:hint="eastAsia" w:ascii="宋体" w:hAnsi="宋体" w:eastAsia="宋体" w:cs="宋体"/>
          <w:sz w:val="24"/>
        </w:rPr>
      </w:pPr>
      <w:r>
        <w:rPr>
          <w:rFonts w:hint="eastAsia" w:ascii="宋体" w:hAnsi="宋体" w:eastAsia="宋体" w:cs="宋体"/>
          <w:sz w:val="24"/>
        </w:rPr>
        <w:t xml:space="preserve">供应商在签订合同时交纳不超过中标额10%的履约保证金到采购人指定账户，根据合同履行情况，供应商在履约期内无违约行为的，采购人在验收合格后15日内全额退还履约保证金，不计利息。 </w:t>
      </w:r>
    </w:p>
    <w:p w14:paraId="091A336E">
      <w:pPr>
        <w:spacing w:line="327" w:lineRule="auto"/>
        <w:ind w:firstLine="480"/>
        <w:rPr>
          <w:rFonts w:hint="eastAsia" w:ascii="宋体" w:hAnsi="宋体" w:eastAsia="宋体" w:cs="宋体"/>
          <w:sz w:val="24"/>
        </w:rPr>
      </w:pPr>
      <w:r>
        <w:rPr>
          <w:rFonts w:hint="eastAsia" w:ascii="宋体" w:hAnsi="宋体" w:eastAsia="宋体" w:cs="宋体"/>
          <w:sz w:val="24"/>
        </w:rPr>
        <w:t>履约保证金允许供应商自主选择以支票、汇票、本票、保函等非现金形式缴纳或提交。</w:t>
      </w:r>
    </w:p>
    <w:p w14:paraId="4D33B5B0">
      <w:pPr>
        <w:spacing w:line="327" w:lineRule="auto"/>
        <w:ind w:firstLine="480"/>
        <w:rPr>
          <w:rFonts w:hint="eastAsia" w:ascii="宋体" w:hAnsi="宋体" w:eastAsia="宋体" w:cs="宋体"/>
          <w:sz w:val="24"/>
        </w:rPr>
      </w:pP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53CDF9A7">
      <w:pPr>
        <w:tabs>
          <w:tab w:val="left" w:pos="1381"/>
        </w:tabs>
        <w:spacing w:line="327" w:lineRule="auto"/>
        <w:ind w:firstLine="482"/>
        <w:rPr>
          <w:rFonts w:hint="eastAsia" w:ascii="宋体" w:hAnsi="宋体" w:eastAsia="宋体" w:cs="宋体"/>
          <w:sz w:val="24"/>
        </w:rPr>
      </w:pPr>
      <w:r>
        <w:rPr>
          <w:rFonts w:hint="eastAsia" w:ascii="宋体" w:hAnsi="宋体" w:eastAsia="宋体" w:cs="宋体"/>
          <w:sz w:val="24"/>
        </w:rPr>
        <w:t>34. 预付款制度</w:t>
      </w:r>
    </w:p>
    <w:p w14:paraId="1FEF57E8">
      <w:pPr>
        <w:spacing w:line="327" w:lineRule="auto"/>
        <w:ind w:firstLine="480"/>
        <w:rPr>
          <w:rFonts w:hint="eastAsia" w:ascii="宋体" w:hAnsi="宋体" w:eastAsia="宋体" w:cs="宋体"/>
          <w:sz w:val="24"/>
        </w:rPr>
      </w:pPr>
      <w:r>
        <w:rPr>
          <w:rFonts w:hint="eastAsia" w:ascii="宋体" w:hAnsi="宋体" w:eastAsia="宋体" w:cs="宋体"/>
          <w:sz w:val="24"/>
        </w:rPr>
        <w:t>本项目落实预付款制度，预付款比例为30% 。在签订合同时，中标、成交供应商明确书面表示无需预付款或者主动要求降低预付款比例的，采购人可就预付款比例作相应调整。</w:t>
      </w:r>
      <w:r>
        <w:rPr>
          <w:rFonts w:hint="eastAsia" w:ascii="宋体" w:hAnsi="宋体" w:eastAsia="宋体" w:cs="宋体"/>
          <w:sz w:val="24"/>
        </w:rPr>
        <w:br w:type="page" w:clear="all"/>
      </w:r>
    </w:p>
    <w:p w14:paraId="3C0C29C3">
      <w:pPr>
        <w:pStyle w:val="2"/>
        <w:rPr>
          <w:rFonts w:hint="eastAsia"/>
        </w:rPr>
      </w:pPr>
      <w:r>
        <w:rPr>
          <w:rFonts w:hint="eastAsia"/>
        </w:rPr>
        <w:t>第三章  合同条款及格式</w:t>
      </w:r>
    </w:p>
    <w:p w14:paraId="39AAE672">
      <w:pPr>
        <w:pStyle w:val="34"/>
        <w:spacing w:before="120" w:beforeAutospacing="0" w:after="120" w:afterAutospacing="0" w:line="360" w:lineRule="auto"/>
        <w:jc w:val="both"/>
        <w:rPr>
          <w:rFonts w:hint="eastAsia" w:ascii="宋体" w:hAnsi="宋体" w:eastAsia="宋体" w:cs="宋体"/>
        </w:rPr>
      </w:pPr>
      <w:bookmarkStart w:id="153" w:name="_Toc479757211"/>
      <w:bookmarkStart w:id="154" w:name="_Toc120614244"/>
      <w:bookmarkStart w:id="155" w:name="_Toc462564139"/>
      <w:bookmarkStart w:id="156" w:name="_Toc20823346"/>
      <w:bookmarkStart w:id="157" w:name="_Toc16938590"/>
      <w:bookmarkStart w:id="158" w:name="_Hlt16619369"/>
      <w:bookmarkStart w:id="159" w:name="_Hlt16619350"/>
      <w:r>
        <w:rPr>
          <w:rFonts w:hint="eastAsia" w:ascii="宋体" w:hAnsi="宋体" w:eastAsia="宋体" w:cs="宋体"/>
        </w:rPr>
        <w:t>项目名称：                          </w:t>
      </w:r>
    </w:p>
    <w:p w14:paraId="6C577DA0">
      <w:pPr>
        <w:pStyle w:val="34"/>
        <w:spacing w:before="120" w:beforeAutospacing="0" w:after="120" w:afterAutospacing="0" w:line="360" w:lineRule="auto"/>
        <w:jc w:val="both"/>
      </w:pPr>
      <w:r>
        <w:rPr>
          <w:rFonts w:hint="eastAsia" w:ascii="宋体" w:hAnsi="宋体" w:eastAsia="宋体" w:cs="宋体"/>
        </w:rPr>
        <w:t>项目编号：</w:t>
      </w:r>
    </w:p>
    <w:p w14:paraId="737B57A3">
      <w:pPr>
        <w:pStyle w:val="34"/>
        <w:spacing w:before="120" w:beforeAutospacing="0" w:after="120" w:afterAutospacing="0" w:line="360" w:lineRule="auto"/>
        <w:jc w:val="both"/>
      </w:pPr>
      <w:r>
        <w:rPr>
          <w:rFonts w:hint="eastAsia" w:ascii="宋体" w:hAnsi="宋体" w:eastAsia="宋体" w:cs="宋体"/>
        </w:rPr>
        <w:t>甲方：（买方）_________</w:t>
      </w:r>
    </w:p>
    <w:p w14:paraId="5DDDF370">
      <w:pPr>
        <w:pStyle w:val="34"/>
        <w:spacing w:before="120" w:beforeAutospacing="0" w:after="120" w:afterAutospacing="0" w:line="360" w:lineRule="auto"/>
        <w:jc w:val="both"/>
      </w:pPr>
      <w:r>
        <w:rPr>
          <w:rFonts w:hint="eastAsia" w:ascii="宋体" w:hAnsi="宋体" w:eastAsia="宋体" w:cs="宋体"/>
        </w:rPr>
        <w:t>乙方：（卖方）_________</w:t>
      </w:r>
    </w:p>
    <w:p w14:paraId="26D0E6D5">
      <w:pPr>
        <w:pStyle w:val="34"/>
        <w:spacing w:before="120" w:beforeAutospacing="0" w:after="120" w:afterAutospacing="0" w:line="360" w:lineRule="auto"/>
        <w:jc w:val="both"/>
      </w:pPr>
      <w:r>
        <w:rPr>
          <w:rFonts w:hint="eastAsia" w:ascii="宋体" w:hAnsi="宋体" w:eastAsia="宋体" w:cs="宋体"/>
          <w:b/>
        </w:rPr>
        <w:t xml:space="preserve">   </w:t>
      </w:r>
      <w:r>
        <w:rPr>
          <w:rFonts w:hint="eastAsia" w:ascii="宋体" w:hAnsi="宋体" w:eastAsia="宋体" w:cs="宋体"/>
        </w:rPr>
        <w:t>甲、乙双方根据</w:t>
      </w:r>
      <w:r>
        <w:rPr>
          <w:rFonts w:hint="eastAsia" w:ascii="宋体" w:hAnsi="宋体" w:eastAsia="宋体" w:cs="宋体"/>
          <w:u w:val="single"/>
        </w:rPr>
        <w:t xml:space="preserve">         </w:t>
      </w:r>
      <w:r>
        <w:rPr>
          <w:rFonts w:hint="eastAsia" w:ascii="宋体" w:hAnsi="宋体" w:eastAsia="宋体" w:cs="宋体"/>
        </w:rPr>
        <w:t>项目竞争性磋商的结果，签署本合同。</w:t>
      </w:r>
    </w:p>
    <w:p w14:paraId="3734365F">
      <w:pPr>
        <w:pStyle w:val="34"/>
        <w:spacing w:before="120" w:beforeAutospacing="0" w:after="120" w:afterAutospacing="0" w:line="360" w:lineRule="auto"/>
        <w:jc w:val="both"/>
      </w:pPr>
      <w:r>
        <w:rPr>
          <w:rFonts w:hint="eastAsia" w:ascii="宋体" w:hAnsi="宋体" w:eastAsia="宋体" w:cs="宋体"/>
          <w:b/>
        </w:rPr>
        <w:t>一、合同内容</w:t>
      </w:r>
    </w:p>
    <w:p w14:paraId="6916AECE">
      <w:pPr>
        <w:pStyle w:val="34"/>
        <w:spacing w:before="120" w:beforeAutospacing="0" w:after="120" w:afterAutospacing="0" w:line="360" w:lineRule="auto"/>
        <w:ind w:firstLine="480"/>
        <w:jc w:val="both"/>
      </w:pPr>
      <w:r>
        <w:rPr>
          <w:rFonts w:hint="eastAsia" w:ascii="宋体" w:hAnsi="宋体" w:eastAsia="宋体" w:cs="宋体"/>
        </w:rPr>
        <w:t>1.1 标的名称：</w:t>
      </w:r>
    </w:p>
    <w:p w14:paraId="263CFBF0">
      <w:pPr>
        <w:pStyle w:val="34"/>
        <w:spacing w:before="120" w:beforeAutospacing="0" w:after="120" w:afterAutospacing="0" w:line="360" w:lineRule="auto"/>
        <w:ind w:firstLine="480"/>
        <w:jc w:val="both"/>
      </w:pPr>
      <w:r>
        <w:rPr>
          <w:rFonts w:hint="eastAsia" w:ascii="宋体" w:hAnsi="宋体" w:eastAsia="宋体" w:cs="宋体"/>
        </w:rPr>
        <w:t>1.2 标的质量：</w:t>
      </w:r>
    </w:p>
    <w:p w14:paraId="0C99FDA2">
      <w:pPr>
        <w:pStyle w:val="34"/>
        <w:spacing w:before="120" w:beforeAutospacing="0" w:after="120" w:afterAutospacing="0" w:line="360" w:lineRule="auto"/>
        <w:ind w:firstLine="480"/>
        <w:jc w:val="both"/>
      </w:pPr>
      <w:r>
        <w:rPr>
          <w:rFonts w:hint="eastAsia" w:ascii="宋体" w:hAnsi="宋体" w:eastAsia="宋体" w:cs="宋体"/>
        </w:rPr>
        <w:t>1.3 标的数量（规模）：</w:t>
      </w:r>
    </w:p>
    <w:p w14:paraId="0AA3E25B">
      <w:pPr>
        <w:pStyle w:val="34"/>
        <w:spacing w:before="120" w:beforeAutospacing="0" w:after="120" w:afterAutospacing="0" w:line="360" w:lineRule="auto"/>
        <w:ind w:firstLine="480"/>
        <w:jc w:val="both"/>
      </w:pPr>
      <w:r>
        <w:rPr>
          <w:rFonts w:hint="eastAsia" w:ascii="宋体" w:hAnsi="宋体" w:eastAsia="宋体" w:cs="宋体"/>
        </w:rPr>
        <w:t>1.4 履行时间（期限）：</w:t>
      </w:r>
    </w:p>
    <w:p w14:paraId="4C2F80DE">
      <w:pPr>
        <w:pStyle w:val="34"/>
        <w:spacing w:before="120" w:beforeAutospacing="0" w:after="120" w:afterAutospacing="0" w:line="360" w:lineRule="auto"/>
        <w:ind w:firstLine="480"/>
        <w:jc w:val="both"/>
      </w:pPr>
      <w:r>
        <w:rPr>
          <w:rFonts w:hint="eastAsia" w:ascii="宋体" w:hAnsi="宋体" w:eastAsia="宋体" w:cs="宋体"/>
        </w:rPr>
        <w:t>1.5 履行地点：</w:t>
      </w:r>
    </w:p>
    <w:p w14:paraId="556FAD3F">
      <w:pPr>
        <w:pStyle w:val="34"/>
        <w:spacing w:before="120" w:beforeAutospacing="0" w:after="120" w:afterAutospacing="0" w:line="360" w:lineRule="auto"/>
        <w:ind w:firstLine="480"/>
        <w:jc w:val="both"/>
      </w:pPr>
      <w:r>
        <w:rPr>
          <w:rFonts w:hint="eastAsia" w:ascii="宋体" w:hAnsi="宋体" w:eastAsia="宋体" w:cs="宋体"/>
        </w:rPr>
        <w:t>1.6 履行方式：</w:t>
      </w:r>
    </w:p>
    <w:p w14:paraId="3856399B">
      <w:pPr>
        <w:pStyle w:val="34"/>
        <w:spacing w:before="120" w:beforeAutospacing="0" w:after="120" w:afterAutospacing="0" w:line="360" w:lineRule="auto"/>
        <w:jc w:val="both"/>
      </w:pPr>
      <w:r>
        <w:rPr>
          <w:rFonts w:hint="eastAsia" w:ascii="宋体" w:hAnsi="宋体" w:eastAsia="宋体" w:cs="宋体"/>
          <w:b/>
        </w:rPr>
        <w:t>二、合同金额</w:t>
      </w:r>
    </w:p>
    <w:p w14:paraId="5EECC27A">
      <w:pPr>
        <w:pStyle w:val="34"/>
        <w:spacing w:before="120" w:beforeAutospacing="0" w:after="120" w:afterAutospacing="0" w:line="360" w:lineRule="auto"/>
        <w:ind w:left="426" w:firstLine="12"/>
        <w:jc w:val="both"/>
        <w:rPr>
          <w:rFonts w:hint="eastAsia" w:ascii="宋体" w:hAnsi="宋体" w:eastAsia="宋体" w:cs="宋体"/>
        </w:rPr>
      </w:pPr>
      <w:r>
        <w:rPr>
          <w:rFonts w:hint="eastAsia" w:ascii="宋体" w:hAnsi="宋体" w:eastAsia="宋体" w:cs="宋体"/>
        </w:rPr>
        <w:t>2.1 本合同金额为人民币（大写）：____元（</w:t>
      </w:r>
      <w:r>
        <w:rPr>
          <w:rFonts w:hint="eastAsia" w:ascii="宋体" w:hAnsi="宋体" w:eastAsia="宋体" w:cs="宋体"/>
          <w:u w:val="single"/>
        </w:rPr>
        <w:t xml:space="preserve">          </w:t>
      </w:r>
      <w:r>
        <w:rPr>
          <w:rFonts w:hint="eastAsia" w:ascii="宋体" w:hAnsi="宋体" w:eastAsia="宋体" w:cs="宋体"/>
        </w:rPr>
        <w:t xml:space="preserve"> 元）。</w:t>
      </w:r>
    </w:p>
    <w:p w14:paraId="3BEDB3FD">
      <w:pPr>
        <w:pStyle w:val="34"/>
        <w:spacing w:before="120" w:beforeAutospacing="0" w:after="120" w:afterAutospacing="0" w:line="360" w:lineRule="auto"/>
        <w:ind w:left="426" w:firstLine="12"/>
        <w:jc w:val="both"/>
      </w:pPr>
      <w:r>
        <w:rPr>
          <w:rFonts w:hint="eastAsia" w:ascii="宋体" w:hAnsi="宋体" w:eastAsia="宋体" w:cs="宋体"/>
        </w:rPr>
        <w:t>2.2</w:t>
      </w:r>
      <w:r>
        <w:rPr>
          <w:rFonts w:hint="eastAsia"/>
        </w:rPr>
        <w:t>本合同价款包含所有乙方提供合同约定服务的报酬及乙方提供合同中服务所支出的必要费用，甲方在上述合同价款之外不再向乙方支付其他任何费用。</w:t>
      </w:r>
    </w:p>
    <w:p w14:paraId="291EB971">
      <w:pPr>
        <w:pStyle w:val="34"/>
        <w:spacing w:before="120" w:beforeAutospacing="0" w:after="120" w:afterAutospacing="0" w:line="360" w:lineRule="auto"/>
        <w:jc w:val="both"/>
      </w:pPr>
      <w:r>
        <w:rPr>
          <w:rFonts w:hint="eastAsia" w:ascii="宋体" w:hAnsi="宋体" w:eastAsia="宋体" w:cs="宋体"/>
          <w:b/>
        </w:rPr>
        <w:t>三、技术资料</w:t>
      </w:r>
    </w:p>
    <w:p w14:paraId="1ABCF74C">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3.1乙方应按磋商文件规定的时间向甲方提供与合同标的有关的技术资料。</w:t>
      </w:r>
    </w:p>
    <w:p w14:paraId="5E67F0E1">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490D283">
      <w:pPr>
        <w:pStyle w:val="34"/>
        <w:spacing w:before="120" w:beforeAutospacing="0" w:after="120" w:afterAutospacing="0" w:line="360" w:lineRule="auto"/>
        <w:ind w:left="412" w:hanging="412"/>
        <w:jc w:val="both"/>
      </w:pPr>
      <w:r>
        <w:rPr>
          <w:rFonts w:hint="eastAsia" w:ascii="宋体" w:hAnsi="宋体" w:eastAsia="宋体" w:cs="宋体"/>
          <w:b/>
        </w:rPr>
        <w:t>四、知识产权</w:t>
      </w:r>
    </w:p>
    <w:p w14:paraId="52E8BF36">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4.1乙方应保证甲方在使用、接受本合同标的或其任何一部分时不受第三方提出侵犯其专利权、版权、商标权和工业设计权等知识产权的起诉。一旦出现侵权，由乙方负全部责任。</w:t>
      </w:r>
    </w:p>
    <w:p w14:paraId="45FC495E">
      <w:pPr>
        <w:pStyle w:val="34"/>
        <w:spacing w:before="120" w:beforeAutospacing="0" w:after="120" w:afterAutospacing="0" w:line="360" w:lineRule="auto"/>
        <w:jc w:val="both"/>
      </w:pPr>
      <w:r>
        <w:rPr>
          <w:rFonts w:hint="eastAsia" w:ascii="宋体" w:hAnsi="宋体" w:eastAsia="宋体" w:cs="宋体"/>
          <w:b/>
        </w:rPr>
        <w:t>五、产权担保</w:t>
      </w:r>
    </w:p>
    <w:p w14:paraId="7A977150">
      <w:pPr>
        <w:pStyle w:val="34"/>
        <w:spacing w:before="120" w:beforeAutospacing="0" w:after="120" w:afterAutospacing="0" w:line="360" w:lineRule="auto"/>
        <w:ind w:left="428" w:firstLine="14"/>
        <w:jc w:val="both"/>
      </w:pPr>
      <w:r>
        <w:rPr>
          <w:rFonts w:hint="eastAsia" w:ascii="宋体" w:hAnsi="宋体" w:eastAsia="宋体" w:cs="宋体"/>
        </w:rPr>
        <w:t>5.1 乙方保证所交付的合同标的的所有权完全属于乙方且无任何抵押、查封等产权瑕疵。</w:t>
      </w:r>
    </w:p>
    <w:p w14:paraId="1EE305EC">
      <w:pPr>
        <w:pStyle w:val="34"/>
        <w:spacing w:before="120" w:beforeAutospacing="0" w:after="120" w:afterAutospacing="0" w:line="360" w:lineRule="auto"/>
        <w:ind w:left="410" w:hanging="410"/>
        <w:jc w:val="both"/>
      </w:pPr>
      <w:r>
        <w:rPr>
          <w:rFonts w:hint="eastAsia" w:ascii="宋体" w:hAnsi="宋体" w:eastAsia="宋体" w:cs="宋体"/>
          <w:b/>
        </w:rPr>
        <w:t>六、履约保证金</w:t>
      </w:r>
    </w:p>
    <w:p w14:paraId="0666EBF4">
      <w:pPr>
        <w:pStyle w:val="34"/>
        <w:spacing w:before="120" w:beforeAutospacing="0" w:after="120" w:afterAutospacing="0" w:line="360" w:lineRule="auto"/>
        <w:ind w:left="428" w:firstLine="14"/>
        <w:jc w:val="both"/>
        <w:rPr>
          <w:rFonts w:hint="eastAsia" w:ascii="宋体" w:hAnsi="宋体" w:eastAsia="宋体" w:cs="宋体"/>
        </w:rPr>
      </w:pPr>
      <w:r>
        <w:rPr>
          <w:rFonts w:hint="eastAsia" w:ascii="宋体" w:hAnsi="宋体" w:eastAsia="宋体" w:cs="宋体"/>
        </w:rPr>
        <w:t>6.1 乙方交纳人民币_________元作为本合同的履约保证金。</w:t>
      </w:r>
    </w:p>
    <w:p w14:paraId="3576B27A">
      <w:pPr>
        <w:pStyle w:val="34"/>
        <w:spacing w:before="120" w:beforeAutospacing="0" w:after="120" w:afterAutospacing="0" w:line="360" w:lineRule="auto"/>
        <w:ind w:left="210" w:firstLine="240"/>
        <w:jc w:val="both"/>
        <w:rPr>
          <w:rFonts w:hint="eastAsia" w:ascii="宋体" w:hAnsi="宋体" w:eastAsia="宋体" w:cs="宋体"/>
        </w:rPr>
      </w:pPr>
      <w:r>
        <w:rPr>
          <w:rFonts w:hint="eastAsia" w:ascii="宋体" w:hAnsi="宋体" w:eastAsia="宋体" w:cs="宋体"/>
        </w:rPr>
        <w:t>（备注：不得超过合同金额的10%，采购人应当对AA评级及以上政府采购供应商（需提供信用管理部门备案的第三方信用报告）免收履约保证金或降低履约保证金缴纳比例。）</w:t>
      </w:r>
    </w:p>
    <w:p w14:paraId="25A9CD0F">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6.2履约保证金的缴纳形式：</w:t>
      </w:r>
    </w:p>
    <w:p w14:paraId="7E2C9103">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EC414C2">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6.2.2 如以履约保函（保险）形式缴纳履约保证金，供应商可通过政府采购电子履约保函（保险）平台（www.jsdzbh.com）在线申请履约保函（保险）。</w:t>
      </w:r>
    </w:p>
    <w:p w14:paraId="135D02E9">
      <w:pPr>
        <w:pStyle w:val="34"/>
        <w:spacing w:before="120" w:beforeAutospacing="0" w:after="120" w:afterAutospacing="0" w:line="360" w:lineRule="auto"/>
        <w:ind w:left="428" w:firstLine="14"/>
        <w:jc w:val="both"/>
      </w:pPr>
      <w:r>
        <w:rPr>
          <w:rFonts w:hint="eastAsia" w:ascii="宋体" w:hAnsi="宋体" w:eastAsia="宋体" w:cs="宋体"/>
        </w:rPr>
        <w:t>6.3合同履行结束后，甲方应及时退还交纳的履约保证金。</w:t>
      </w:r>
    </w:p>
    <w:p w14:paraId="72457377">
      <w:pPr>
        <w:spacing w:line="360" w:lineRule="auto"/>
        <w:ind w:firstLine="480"/>
        <w:rPr>
          <w:rFonts w:hint="eastAsia" w:ascii="宋体" w:hAnsi="宋体" w:eastAsia="宋体" w:cs="宋体"/>
          <w:sz w:val="24"/>
        </w:rPr>
      </w:pPr>
      <w:r>
        <w:rPr>
          <w:rFonts w:hint="eastAsia" w:ascii="宋体" w:hAnsi="宋体" w:eastAsia="宋体" w:cs="宋体"/>
          <w:sz w:val="24"/>
        </w:rPr>
        <w:t>6.4履约保证金的退还：</w:t>
      </w:r>
    </w:p>
    <w:p w14:paraId="6D6B9FBA">
      <w:pPr>
        <w:spacing w:line="360" w:lineRule="auto"/>
        <w:ind w:firstLine="480"/>
        <w:rPr>
          <w:rFonts w:hint="eastAsia" w:ascii="宋体" w:hAnsi="宋体" w:eastAsia="宋体" w:cs="宋体"/>
          <w:sz w:val="24"/>
        </w:rPr>
      </w:pPr>
      <w:r>
        <w:rPr>
          <w:rFonts w:hint="eastAsia" w:ascii="宋体" w:hAnsi="宋体" w:eastAsia="宋体" w:cs="宋体"/>
          <w:sz w:val="24"/>
        </w:rPr>
        <w:t>6.4.1方式：</w:t>
      </w:r>
      <w:r>
        <w:rPr>
          <w:rFonts w:hint="eastAsia" w:ascii="宋体" w:hAnsi="宋体"/>
          <w:sz w:val="24"/>
        </w:rPr>
        <w:t>无息</w:t>
      </w:r>
      <w:r>
        <w:rPr>
          <w:rFonts w:hint="eastAsia" w:ascii="宋体" w:hAnsi="宋体" w:eastAsia="宋体" w:cs="宋体"/>
          <w:sz w:val="24"/>
        </w:rPr>
        <w:t>退还至投标人缴纳履约保证金的账户。如为保函，在到期时自行失效。</w:t>
      </w:r>
    </w:p>
    <w:p w14:paraId="54DB9A61">
      <w:pPr>
        <w:spacing w:line="360" w:lineRule="auto"/>
        <w:ind w:firstLine="480"/>
        <w:rPr>
          <w:rFonts w:hint="eastAsia" w:ascii="宋体" w:hAnsi="宋体" w:eastAsia="宋体" w:cs="宋体"/>
          <w:sz w:val="24"/>
        </w:rPr>
      </w:pPr>
      <w:r>
        <w:rPr>
          <w:rFonts w:hint="eastAsia" w:ascii="宋体" w:hAnsi="宋体" w:eastAsia="宋体" w:cs="宋体"/>
          <w:sz w:val="24"/>
        </w:rPr>
        <w:t>6.4.2时间：验收合格且采购人收到发票后30日内。</w:t>
      </w:r>
    </w:p>
    <w:p w14:paraId="07BE662A">
      <w:pPr>
        <w:spacing w:line="360" w:lineRule="auto"/>
        <w:ind w:firstLine="480"/>
        <w:rPr>
          <w:rFonts w:hint="eastAsia" w:ascii="宋体" w:hAnsi="宋体" w:eastAsia="宋体" w:cs="宋体"/>
          <w:sz w:val="24"/>
        </w:rPr>
      </w:pPr>
      <w:r>
        <w:rPr>
          <w:rFonts w:hint="eastAsia" w:ascii="宋体" w:hAnsi="宋体" w:eastAsia="宋体" w:cs="宋体"/>
          <w:sz w:val="24"/>
        </w:rPr>
        <w:t>6.4.3条件：按合同要求全部履约完成并经采购人验收合格，且采购人收到中标人出具的发票。</w:t>
      </w:r>
    </w:p>
    <w:p w14:paraId="2E621474">
      <w:pPr>
        <w:spacing w:line="360" w:lineRule="auto"/>
        <w:ind w:firstLine="480"/>
        <w:rPr>
          <w:rFonts w:hint="eastAsia" w:ascii="宋体" w:hAnsi="宋体" w:eastAsia="宋体" w:cs="宋体"/>
          <w:sz w:val="24"/>
        </w:rPr>
      </w:pPr>
      <w:r>
        <w:rPr>
          <w:rFonts w:hint="eastAsia" w:ascii="宋体" w:hAnsi="宋体" w:eastAsia="宋体" w:cs="宋体"/>
          <w:sz w:val="24"/>
        </w:rPr>
        <w:t>6.4.4不予退还情形：</w:t>
      </w:r>
    </w:p>
    <w:p w14:paraId="03B76CA7">
      <w:pPr>
        <w:spacing w:line="360" w:lineRule="auto"/>
        <w:rPr>
          <w:rFonts w:hint="eastAsia" w:ascii="宋体" w:hAnsi="宋体" w:eastAsia="宋体" w:cs="宋体"/>
          <w:sz w:val="24"/>
        </w:rPr>
      </w:pPr>
      <w:r>
        <w:rPr>
          <w:rFonts w:hint="eastAsia" w:ascii="宋体" w:hAnsi="宋体" w:eastAsia="宋体" w:cs="宋体"/>
          <w:sz w:val="24"/>
        </w:rPr>
        <w:t>除不可抗力情况外，投标人出现下列情形之一的，其履约保证金，招标人将视情节决定不予退还或部分不予退还。</w:t>
      </w:r>
    </w:p>
    <w:p w14:paraId="2ECFF339">
      <w:pPr>
        <w:spacing w:line="360" w:lineRule="auto"/>
        <w:ind w:firstLine="240"/>
        <w:rPr>
          <w:rFonts w:hint="eastAsia" w:ascii="宋体" w:hAnsi="宋体" w:eastAsia="宋体" w:cs="宋体"/>
          <w:sz w:val="24"/>
        </w:rPr>
      </w:pPr>
      <w:r>
        <w:rPr>
          <w:rFonts w:hint="eastAsia" w:ascii="宋体" w:hAnsi="宋体" w:eastAsia="宋体" w:cs="宋体"/>
          <w:sz w:val="24"/>
        </w:rPr>
        <w:t>（1）中标人无正当理由拒绝签订合同的，或者在签订合同时向采购人提出附加条件或者更改合同实质性内容要求的；</w:t>
      </w:r>
    </w:p>
    <w:p w14:paraId="7AB2A027">
      <w:pPr>
        <w:spacing w:line="360" w:lineRule="auto"/>
        <w:ind w:firstLine="240"/>
        <w:rPr>
          <w:rFonts w:hint="eastAsia" w:ascii="宋体" w:hAnsi="宋体" w:eastAsia="宋体" w:cs="宋体"/>
          <w:sz w:val="24"/>
        </w:rPr>
      </w:pPr>
      <w:r>
        <w:rPr>
          <w:rFonts w:hint="eastAsia" w:ascii="宋体" w:hAnsi="宋体" w:eastAsia="宋体" w:cs="宋体"/>
          <w:sz w:val="24"/>
        </w:rPr>
        <w:t>（2）中标人不履行与采购人订立的合同的；</w:t>
      </w:r>
    </w:p>
    <w:p w14:paraId="31B6FF31">
      <w:pPr>
        <w:spacing w:line="360" w:lineRule="auto"/>
        <w:ind w:firstLine="240"/>
        <w:rPr>
          <w:rFonts w:hint="eastAsia" w:ascii="宋体" w:hAnsi="宋体" w:eastAsia="宋体" w:cs="宋体"/>
          <w:sz w:val="24"/>
        </w:rPr>
      </w:pPr>
      <w:r>
        <w:rPr>
          <w:rFonts w:hint="eastAsia" w:ascii="宋体" w:hAnsi="宋体" w:eastAsia="宋体" w:cs="宋体"/>
          <w:sz w:val="24"/>
        </w:rPr>
        <w:t>（3）中标人所供货物或服务不符合磋商文件规定要求的；</w:t>
      </w:r>
    </w:p>
    <w:p w14:paraId="5468BA90">
      <w:pPr>
        <w:spacing w:line="360" w:lineRule="auto"/>
        <w:ind w:firstLine="240"/>
        <w:rPr>
          <w:rFonts w:hint="eastAsia" w:ascii="宋体" w:hAnsi="宋体" w:eastAsia="宋体" w:cs="宋体"/>
          <w:sz w:val="24"/>
        </w:rPr>
      </w:pPr>
      <w:r>
        <w:rPr>
          <w:rFonts w:hint="eastAsia" w:ascii="宋体" w:hAnsi="宋体" w:eastAsia="宋体" w:cs="宋体"/>
          <w:sz w:val="24"/>
        </w:rPr>
        <w:t>（4）中标人采取欺骗、弄虚作假方式投标的或与其它投标人串通投标的；</w:t>
      </w:r>
    </w:p>
    <w:p w14:paraId="50CA1641">
      <w:pPr>
        <w:spacing w:line="360" w:lineRule="auto"/>
        <w:ind w:firstLine="240"/>
        <w:rPr>
          <w:rFonts w:hint="eastAsia" w:ascii="宋体" w:hAnsi="宋体" w:eastAsia="宋体" w:cs="宋体"/>
          <w:sz w:val="24"/>
        </w:rPr>
      </w:pPr>
      <w:r>
        <w:rPr>
          <w:rFonts w:hint="eastAsia" w:ascii="宋体" w:hAnsi="宋体" w:eastAsia="宋体" w:cs="宋体"/>
          <w:sz w:val="24"/>
        </w:rPr>
        <w:t>（5）中标人将合同内容转包、违法分包的；</w:t>
      </w:r>
    </w:p>
    <w:p w14:paraId="73C4A3B0">
      <w:pPr>
        <w:spacing w:line="360" w:lineRule="auto"/>
        <w:ind w:firstLine="240"/>
        <w:rPr>
          <w:rFonts w:hint="eastAsia" w:ascii="宋体" w:hAnsi="宋体" w:eastAsia="宋体" w:cs="宋体"/>
          <w:sz w:val="24"/>
        </w:rPr>
      </w:pPr>
      <w:r>
        <w:rPr>
          <w:rFonts w:hint="eastAsia" w:ascii="宋体" w:hAnsi="宋体" w:eastAsia="宋体" w:cs="宋体"/>
          <w:sz w:val="24"/>
        </w:rPr>
        <w:t>（6）中标人故意捏造事实或伪造证明材料，进行虚假恶意投诉或反映的。</w:t>
      </w:r>
    </w:p>
    <w:p w14:paraId="59C87C3D">
      <w:pPr>
        <w:spacing w:line="360" w:lineRule="auto"/>
        <w:ind w:firstLine="480"/>
        <w:rPr>
          <w:rFonts w:hint="eastAsia" w:ascii="宋体" w:hAnsi="宋体" w:eastAsia="宋体" w:cs="宋体"/>
          <w:sz w:val="24"/>
        </w:rPr>
      </w:pPr>
      <w:r>
        <w:rPr>
          <w:rFonts w:hint="eastAsia" w:ascii="宋体" w:hAnsi="宋体" w:eastAsia="宋体" w:cs="宋体"/>
          <w:sz w:val="24"/>
        </w:rPr>
        <w:t>6.4.5逾期退还的违约责任：采购人逾期无故未退还履约保证金的，按中国人民银行同期贷款基准利率上浮20%后的利率支付超期资金占用费，但因供应商自身原因导致无法及时退还的除外。</w:t>
      </w:r>
    </w:p>
    <w:p w14:paraId="7B53202D">
      <w:pPr>
        <w:pStyle w:val="34"/>
        <w:spacing w:before="145" w:beforeAutospacing="0" w:after="145" w:afterAutospacing="0" w:line="360" w:lineRule="auto"/>
        <w:jc w:val="both"/>
      </w:pPr>
      <w:r>
        <w:rPr>
          <w:rFonts w:hint="eastAsia" w:ascii="宋体" w:hAnsi="宋体" w:eastAsia="宋体" w:cs="宋体"/>
          <w:b/>
        </w:rPr>
        <w:t>七、合同转包或分包</w:t>
      </w:r>
    </w:p>
    <w:p w14:paraId="3F064D64">
      <w:pPr>
        <w:pStyle w:val="34"/>
        <w:spacing w:before="145" w:beforeAutospacing="0" w:after="145" w:afterAutospacing="0" w:line="360" w:lineRule="auto"/>
        <w:ind w:firstLine="480"/>
        <w:jc w:val="both"/>
      </w:pPr>
      <w:r>
        <w:rPr>
          <w:rFonts w:hint="eastAsia" w:ascii="宋体" w:hAnsi="宋体" w:eastAsia="宋体" w:cs="宋体"/>
        </w:rPr>
        <w:t>7.1乙方不得将合同标的转包给他人履行。</w:t>
      </w:r>
    </w:p>
    <w:p w14:paraId="6FD3D6A8">
      <w:pPr>
        <w:pStyle w:val="34"/>
        <w:spacing w:before="145" w:beforeAutospacing="0" w:after="145" w:afterAutospacing="0" w:line="360" w:lineRule="auto"/>
        <w:ind w:firstLine="480"/>
        <w:jc w:val="both"/>
      </w:pPr>
      <w:r>
        <w:rPr>
          <w:rFonts w:hint="eastAsia" w:ascii="宋体" w:hAnsi="宋体" w:eastAsia="宋体" w:cs="宋体"/>
        </w:rPr>
        <w:t>7.2乙方不得将合同标的分包给他人履行。</w:t>
      </w:r>
    </w:p>
    <w:p w14:paraId="2CDEE95D">
      <w:pPr>
        <w:pStyle w:val="34"/>
        <w:spacing w:before="145" w:beforeAutospacing="0" w:after="145" w:afterAutospacing="0" w:line="360" w:lineRule="auto"/>
        <w:ind w:firstLine="480"/>
        <w:jc w:val="both"/>
      </w:pPr>
      <w:r>
        <w:rPr>
          <w:rFonts w:hint="eastAsia" w:ascii="宋体" w:hAnsi="宋体" w:eastAsia="宋体" w:cs="宋体"/>
        </w:rPr>
        <w:t>7.3乙方如有转包或未经甲方同意的分包行为，甲方有权解除合同。</w:t>
      </w:r>
    </w:p>
    <w:p w14:paraId="7EAB51D9">
      <w:pPr>
        <w:pStyle w:val="34"/>
        <w:spacing w:before="120" w:beforeAutospacing="0" w:after="120" w:afterAutospacing="0" w:line="360" w:lineRule="auto"/>
        <w:jc w:val="both"/>
      </w:pPr>
      <w:r>
        <w:rPr>
          <w:rFonts w:hint="eastAsia" w:ascii="宋体" w:hAnsi="宋体" w:eastAsia="宋体" w:cs="宋体"/>
          <w:b/>
        </w:rPr>
        <w:t>八、合同款项支付</w:t>
      </w:r>
    </w:p>
    <w:p w14:paraId="0D6FF376">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8.1合同签订时，经采购人与中标人根据实际情况协商一致，在财政资金到位的前提下，可支付合同总价的30%作为项目启动预付款，供应商书面明确表示无需预付款或主动要求降低预付款比例的，由双方另行商定。</w:t>
      </w:r>
    </w:p>
    <w:p w14:paraId="1ADBB2A3">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8.2全部服务工作结束后，支付至合同价款的70%。</w:t>
      </w:r>
    </w:p>
    <w:p w14:paraId="7960D69A">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8.3经招标人验收合格后，支付剩余的项目款，完成全部拨付。</w:t>
      </w:r>
    </w:p>
    <w:p w14:paraId="1315C56A">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8.4按以上进度付款，无任何利息补偿。付款前，中标单位须开具税务部门认可的税务发票。</w:t>
      </w:r>
    </w:p>
    <w:p w14:paraId="45432389">
      <w:pPr>
        <w:pStyle w:val="34"/>
        <w:spacing w:before="145" w:beforeAutospacing="0" w:after="145" w:afterAutospacing="0" w:line="360" w:lineRule="auto"/>
        <w:jc w:val="both"/>
      </w:pPr>
      <w:r>
        <w:rPr>
          <w:rFonts w:hint="eastAsia" w:ascii="宋体" w:hAnsi="宋体" w:eastAsia="宋体" w:cs="宋体"/>
          <w:b/>
        </w:rPr>
        <w:t>九、税费</w:t>
      </w:r>
    </w:p>
    <w:p w14:paraId="3BB7292B">
      <w:pPr>
        <w:pStyle w:val="34"/>
        <w:spacing w:before="145" w:beforeAutospacing="0" w:after="145" w:afterAutospacing="0" w:line="360" w:lineRule="auto"/>
        <w:ind w:firstLine="480"/>
        <w:jc w:val="both"/>
      </w:pPr>
      <w:r>
        <w:rPr>
          <w:rFonts w:hint="eastAsia" w:ascii="宋体" w:hAnsi="宋体" w:eastAsia="宋体" w:cs="宋体"/>
        </w:rPr>
        <w:t>9.1本合同执行中相关的一切税费均由乙方负担。</w:t>
      </w:r>
    </w:p>
    <w:p w14:paraId="7CB32DC2">
      <w:pPr>
        <w:pStyle w:val="34"/>
        <w:spacing w:before="120" w:beforeAutospacing="0" w:after="120" w:afterAutospacing="0" w:line="360" w:lineRule="auto"/>
        <w:jc w:val="both"/>
      </w:pPr>
      <w:r>
        <w:rPr>
          <w:rFonts w:hint="eastAsia" w:ascii="宋体" w:hAnsi="宋体" w:eastAsia="宋体" w:cs="宋体"/>
          <w:b/>
        </w:rPr>
        <w:t>十、项目验收</w:t>
      </w:r>
    </w:p>
    <w:p w14:paraId="00EF7533">
      <w:pPr>
        <w:spacing w:line="360" w:lineRule="auto"/>
        <w:ind w:firstLine="480"/>
        <w:rPr>
          <w:rFonts w:hint="eastAsia" w:ascii="宋体" w:hAnsi="宋体" w:eastAsia="宋体" w:cs="宋体"/>
          <w:sz w:val="24"/>
        </w:rPr>
      </w:pPr>
      <w:r>
        <w:rPr>
          <w:rFonts w:hint="eastAsia" w:ascii="宋体" w:hAnsi="宋体" w:eastAsia="宋体" w:cs="宋体"/>
          <w:sz w:val="24"/>
        </w:rPr>
        <w:t>10.1甲方依法组织履约验收工作。</w:t>
      </w:r>
    </w:p>
    <w:p w14:paraId="7D6FD39B">
      <w:pPr>
        <w:spacing w:line="360" w:lineRule="auto"/>
        <w:ind w:firstLine="480"/>
        <w:rPr>
          <w:rFonts w:hint="eastAsia" w:ascii="宋体" w:hAnsi="宋体" w:eastAsia="宋体" w:cs="宋体"/>
          <w:sz w:val="24"/>
        </w:rPr>
      </w:pPr>
      <w:r>
        <w:rPr>
          <w:rFonts w:hint="eastAsia" w:ascii="宋体" w:hAnsi="宋体" w:eastAsia="宋体" w:cs="宋体"/>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615D659">
      <w:pPr>
        <w:spacing w:line="360" w:lineRule="auto"/>
        <w:ind w:firstLine="480"/>
        <w:rPr>
          <w:rFonts w:hint="eastAsia" w:ascii="宋体" w:hAnsi="宋体" w:eastAsia="宋体" w:cs="宋体"/>
          <w:sz w:val="24"/>
        </w:rPr>
      </w:pPr>
      <w:r>
        <w:rPr>
          <w:rFonts w:hint="eastAsia" w:ascii="宋体" w:hAnsi="宋体" w:eastAsia="宋体" w:cs="宋体"/>
          <w:sz w:val="24"/>
        </w:rPr>
        <w:t>10.3对于实际使用人和甲方分离的项目，甲方邀请实际使用人参与验收。</w:t>
      </w:r>
    </w:p>
    <w:p w14:paraId="4ECCEF12">
      <w:pPr>
        <w:spacing w:line="360" w:lineRule="auto"/>
        <w:ind w:firstLine="480"/>
        <w:rPr>
          <w:rFonts w:hint="eastAsia" w:ascii="宋体" w:hAnsi="宋体" w:eastAsia="宋体" w:cs="宋体"/>
          <w:sz w:val="24"/>
        </w:rPr>
      </w:pPr>
      <w:r>
        <w:rPr>
          <w:rFonts w:hint="eastAsia" w:ascii="宋体" w:hAnsi="宋体" w:eastAsia="宋体" w:cs="宋体"/>
          <w:sz w:val="24"/>
        </w:rPr>
        <w:t>10.4如有必要，甲方邀请参加本项目的其他供应商或第三方专业机构及专家参与验收，相关意见将作为验收书的参考资料。</w:t>
      </w:r>
    </w:p>
    <w:p w14:paraId="26FC5E1B">
      <w:pPr>
        <w:spacing w:line="360" w:lineRule="auto"/>
        <w:ind w:firstLine="480"/>
        <w:rPr>
          <w:rFonts w:hint="eastAsia" w:ascii="宋体" w:hAnsi="宋体" w:eastAsia="宋体" w:cs="宋体"/>
          <w:sz w:val="24"/>
        </w:rPr>
      </w:pPr>
      <w:r>
        <w:rPr>
          <w:rFonts w:hint="eastAsia" w:ascii="宋体" w:hAnsi="宋体" w:eastAsia="宋体" w:cs="宋体"/>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AB3001C">
      <w:pPr>
        <w:spacing w:line="360" w:lineRule="auto"/>
        <w:ind w:firstLine="480"/>
        <w:rPr>
          <w:rFonts w:hint="eastAsia" w:ascii="宋体" w:hAnsi="宋体" w:eastAsia="宋体" w:cs="宋体"/>
          <w:sz w:val="24"/>
        </w:rPr>
      </w:pPr>
      <w:r>
        <w:rPr>
          <w:rFonts w:hint="eastAsia" w:ascii="宋体" w:hAnsi="宋体" w:eastAsia="宋体" w:cs="宋体"/>
          <w:sz w:val="24"/>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01804E6">
      <w:pPr>
        <w:pStyle w:val="34"/>
        <w:spacing w:before="120" w:beforeAutospacing="0" w:after="120" w:afterAutospacing="0" w:line="360" w:lineRule="auto"/>
        <w:jc w:val="both"/>
      </w:pPr>
      <w:r>
        <w:rPr>
          <w:rFonts w:hint="eastAsia" w:ascii="宋体" w:hAnsi="宋体" w:eastAsia="宋体" w:cs="宋体"/>
          <w:b/>
        </w:rPr>
        <w:t>十一、违约责任</w:t>
      </w:r>
    </w:p>
    <w:p w14:paraId="34808D0C">
      <w:pPr>
        <w:pStyle w:val="34"/>
        <w:spacing w:beforeAutospacing="0" w:afterAutospacing="0" w:line="360" w:lineRule="auto"/>
        <w:ind w:firstLine="480"/>
        <w:jc w:val="both"/>
      </w:pPr>
      <w:r>
        <w:rPr>
          <w:rFonts w:hint="eastAsia" w:ascii="宋体" w:hAnsi="宋体" w:eastAsia="宋体" w:cs="宋体"/>
        </w:rPr>
        <w:t>11.1甲方无正当理由拒绝接受乙方提供的合同标的的，甲方向乙方偿付拒绝接受合同价款总值</w:t>
      </w:r>
      <w:r>
        <w:rPr>
          <w:rFonts w:hint="eastAsia" w:ascii="宋体" w:hAnsi="宋体" w:eastAsia="宋体" w:cs="宋体"/>
          <w:u w:val="single"/>
        </w:rPr>
        <w:t xml:space="preserve">    </w:t>
      </w:r>
      <w:r>
        <w:rPr>
          <w:rFonts w:hint="eastAsia" w:ascii="宋体" w:hAnsi="宋体" w:eastAsia="宋体" w:cs="宋体"/>
        </w:rPr>
        <w:t>的违约金。</w:t>
      </w:r>
    </w:p>
    <w:p w14:paraId="42AFE69E">
      <w:pPr>
        <w:pStyle w:val="34"/>
        <w:spacing w:beforeAutospacing="0" w:afterAutospacing="0" w:line="360" w:lineRule="auto"/>
        <w:ind w:firstLine="480"/>
        <w:jc w:val="both"/>
      </w:pPr>
      <w:r>
        <w:rPr>
          <w:rFonts w:hint="eastAsia" w:ascii="宋体" w:hAnsi="宋体" w:eastAsia="宋体" w:cs="宋体"/>
        </w:rPr>
        <w:t>11.2甲方无故逾期验收和办理合同款项支付手续的,甲方应按逾期付款总额</w:t>
      </w:r>
      <w:r>
        <w:rPr>
          <w:rFonts w:hint="eastAsia" w:ascii="宋体" w:hAnsi="宋体" w:eastAsia="宋体" w:cs="宋体"/>
          <w:u w:val="single"/>
        </w:rPr>
        <w:t xml:space="preserve">    </w:t>
      </w:r>
      <w:r>
        <w:rPr>
          <w:rFonts w:hint="eastAsia" w:ascii="宋体" w:hAnsi="宋体" w:eastAsia="宋体" w:cs="宋体"/>
        </w:rPr>
        <w:t>每日向乙方支付违约金。</w:t>
      </w:r>
    </w:p>
    <w:p w14:paraId="712F1A08">
      <w:pPr>
        <w:pStyle w:val="34"/>
        <w:spacing w:beforeAutospacing="0" w:afterAutospacing="0" w:line="360" w:lineRule="auto"/>
        <w:ind w:firstLine="480"/>
        <w:jc w:val="both"/>
      </w:pPr>
      <w:r>
        <w:rPr>
          <w:rFonts w:hint="eastAsia" w:ascii="宋体" w:hAnsi="宋体" w:eastAsia="宋体" w:cs="宋体"/>
        </w:rPr>
        <w:t>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u w:val="single"/>
        </w:rPr>
        <w:t xml:space="preserve">     </w:t>
      </w:r>
      <w:r>
        <w:rPr>
          <w:rFonts w:hint="eastAsia" w:ascii="宋体" w:hAnsi="宋体" w:eastAsia="宋体" w:cs="宋体"/>
        </w:rPr>
        <w:t xml:space="preserve">的违约金，如造成甲方损失超过违约金的，超出部分由乙方继续承担赔偿责任。 </w:t>
      </w:r>
    </w:p>
    <w:p w14:paraId="37068E8E">
      <w:pPr>
        <w:pStyle w:val="34"/>
        <w:spacing w:beforeAutospacing="0" w:afterAutospacing="0" w:line="360" w:lineRule="auto"/>
        <w:ind w:firstLine="480"/>
        <w:jc w:val="both"/>
      </w:pPr>
      <w:r>
        <w:rPr>
          <w:rFonts w:hint="eastAsia" w:ascii="宋体" w:hAnsi="宋体" w:eastAsia="宋体" w:cs="宋体"/>
        </w:rPr>
        <w:t>11.4乙方交付合同标的的标准不符合合同规定及磋商文件规定标准的，甲方有权拒绝接受合同标的，并可单方面解除合同。</w:t>
      </w:r>
    </w:p>
    <w:p w14:paraId="1197BBEC">
      <w:pPr>
        <w:pStyle w:val="34"/>
        <w:spacing w:before="120" w:beforeAutospacing="0" w:after="120" w:afterAutospacing="0" w:line="360" w:lineRule="auto"/>
        <w:jc w:val="both"/>
      </w:pPr>
      <w:r>
        <w:rPr>
          <w:rFonts w:hint="eastAsia" w:ascii="宋体" w:hAnsi="宋体" w:eastAsia="宋体" w:cs="宋体"/>
          <w:b/>
        </w:rPr>
        <w:t>十二、不可抗力事件处理</w:t>
      </w:r>
    </w:p>
    <w:p w14:paraId="05111A84">
      <w:pPr>
        <w:pStyle w:val="34"/>
        <w:spacing w:beforeAutospacing="0" w:afterAutospacing="0" w:line="360" w:lineRule="auto"/>
        <w:ind w:firstLine="480"/>
        <w:jc w:val="both"/>
      </w:pPr>
      <w:r>
        <w:rPr>
          <w:rFonts w:hint="eastAsia" w:ascii="宋体" w:hAnsi="宋体" w:eastAsia="宋体" w:cs="宋体"/>
        </w:rPr>
        <w:t>12.1在合同有效期内，任何一方因不可抗力事件导致不能履行合同，则合同履行期可延长，其延长期与不可抗力影响期相同。</w:t>
      </w:r>
    </w:p>
    <w:p w14:paraId="7C32DBE4">
      <w:pPr>
        <w:pStyle w:val="34"/>
        <w:spacing w:before="120" w:beforeAutospacing="0" w:after="120" w:afterAutospacing="0" w:line="360" w:lineRule="auto"/>
        <w:ind w:firstLine="480"/>
        <w:jc w:val="both"/>
      </w:pPr>
      <w:r>
        <w:rPr>
          <w:rFonts w:hint="eastAsia" w:ascii="宋体" w:hAnsi="宋体" w:eastAsia="宋体" w:cs="宋体"/>
        </w:rPr>
        <w:t>12.2不可抗力事件发生后，应立即通知对方，并寄送有关权威机构出具的证明。</w:t>
      </w:r>
    </w:p>
    <w:p w14:paraId="462AC4E5">
      <w:pPr>
        <w:pStyle w:val="34"/>
        <w:spacing w:before="120" w:beforeAutospacing="0" w:after="120" w:afterAutospacing="0" w:line="360" w:lineRule="auto"/>
        <w:ind w:firstLine="480"/>
        <w:jc w:val="both"/>
        <w:rPr>
          <w:rFonts w:hint="eastAsia" w:ascii="宋体" w:hAnsi="宋体" w:eastAsia="宋体" w:cs="宋体"/>
        </w:rPr>
      </w:pPr>
      <w:r>
        <w:rPr>
          <w:rFonts w:hint="eastAsia" w:ascii="宋体" w:hAnsi="宋体" w:eastAsia="宋体" w:cs="宋体"/>
        </w:rPr>
        <w:t>12.3不可抗力事件延续120天以上，双方应通过友好协商，确定是否继续履行合同。</w:t>
      </w:r>
    </w:p>
    <w:p w14:paraId="71D063D3">
      <w:pPr>
        <w:pStyle w:val="34"/>
        <w:spacing w:before="120" w:beforeAutospacing="0" w:after="120" w:afterAutospacing="0" w:line="360" w:lineRule="auto"/>
        <w:jc w:val="both"/>
        <w:rPr>
          <w:rFonts w:hint="eastAsia" w:ascii="宋体" w:hAnsi="宋体" w:eastAsia="宋体" w:cs="宋体"/>
          <w:b/>
        </w:rPr>
      </w:pPr>
      <w:r>
        <w:rPr>
          <w:rFonts w:hint="eastAsia" w:ascii="宋体" w:hAnsi="宋体" w:eastAsia="宋体" w:cs="宋体"/>
          <w:b/>
        </w:rPr>
        <w:t>十三、质量保证及售后服务</w:t>
      </w:r>
    </w:p>
    <w:p w14:paraId="62927F4D">
      <w:pPr>
        <w:pStyle w:val="34"/>
        <w:spacing w:before="120" w:beforeAutospacing="0" w:after="120" w:afterAutospacing="0" w:line="360" w:lineRule="auto"/>
        <w:ind w:firstLine="482"/>
        <w:rPr>
          <w:rFonts w:hint="eastAsia" w:ascii="宋体" w:hAnsi="宋体" w:eastAsia="宋体" w:cs="宋体"/>
        </w:rPr>
      </w:pPr>
      <w:r>
        <w:rPr>
          <w:rFonts w:hint="eastAsia" w:ascii="宋体" w:hAnsi="宋体" w:eastAsia="宋体" w:cs="宋体"/>
        </w:rPr>
        <w:t>13.1乙方应按招标文件规定和投标文件承诺的标准向甲方提供服务。</w:t>
      </w:r>
    </w:p>
    <w:p w14:paraId="292A8B4F">
      <w:pPr>
        <w:pStyle w:val="34"/>
        <w:spacing w:before="120" w:beforeAutospacing="0" w:after="120" w:afterAutospacing="0" w:line="360" w:lineRule="auto"/>
        <w:ind w:firstLine="482"/>
        <w:rPr>
          <w:rFonts w:hint="eastAsia" w:ascii="宋体" w:hAnsi="宋体" w:eastAsia="宋体" w:cs="宋体"/>
        </w:rPr>
      </w:pPr>
      <w:r>
        <w:rPr>
          <w:rFonts w:hint="eastAsia" w:ascii="宋体" w:hAnsi="宋体" w:eastAsia="宋体" w:cs="宋体"/>
        </w:rPr>
        <w:t>13.2乙方提供的服务因其本身出现质量问题，根据实际情况，经双方协商，可按以下办法处理：</w:t>
      </w:r>
    </w:p>
    <w:p w14:paraId="602F2379">
      <w:pPr>
        <w:pStyle w:val="34"/>
        <w:spacing w:before="120" w:beforeAutospacing="0" w:after="120" w:afterAutospacing="0" w:line="360" w:lineRule="auto"/>
        <w:ind w:firstLine="482"/>
        <w:rPr>
          <w:rFonts w:hint="eastAsia" w:ascii="宋体" w:hAnsi="宋体" w:eastAsia="宋体" w:cs="宋体"/>
        </w:rPr>
      </w:pPr>
      <w:r>
        <w:rPr>
          <w:rFonts w:hint="eastAsia" w:ascii="宋体" w:hAnsi="宋体" w:eastAsia="宋体" w:cs="宋体"/>
        </w:rPr>
        <w:t>（1）重做：由乙方承担所发生的全部费用。</w:t>
      </w:r>
    </w:p>
    <w:p w14:paraId="0B70C7A1">
      <w:pPr>
        <w:pStyle w:val="34"/>
        <w:spacing w:before="120" w:beforeAutospacing="0" w:after="120" w:afterAutospacing="0" w:line="360" w:lineRule="auto"/>
        <w:ind w:firstLine="482"/>
        <w:rPr>
          <w:rFonts w:hint="eastAsia" w:ascii="宋体" w:hAnsi="宋体" w:eastAsia="宋体" w:cs="宋体"/>
        </w:rPr>
      </w:pPr>
      <w:r>
        <w:rPr>
          <w:rFonts w:hint="eastAsia" w:ascii="宋体" w:hAnsi="宋体" w:eastAsia="宋体" w:cs="宋体"/>
        </w:rPr>
        <w:t>（2）合同终止处理：合同终止，并退还甲方支付的合同款，同时应承担由此产生的所有费用，甲方不承担发生任何费用。</w:t>
      </w:r>
    </w:p>
    <w:p w14:paraId="00A729D5">
      <w:pPr>
        <w:pStyle w:val="34"/>
        <w:spacing w:before="120" w:beforeAutospacing="0" w:after="120" w:afterAutospacing="0" w:line="360" w:lineRule="auto"/>
        <w:ind w:firstLine="482"/>
        <w:jc w:val="both"/>
        <w:rPr>
          <w:rFonts w:hint="eastAsia" w:ascii="宋体" w:hAnsi="宋体" w:eastAsia="宋体" w:cs="宋体"/>
        </w:rPr>
      </w:pPr>
      <w:r>
        <w:rPr>
          <w:rFonts w:hint="eastAsia" w:ascii="宋体" w:hAnsi="宋体" w:eastAsia="宋体" w:cs="宋体"/>
        </w:rPr>
        <w:t>13.3乙方应对服务出现的质量及安全问题负责处理解决并承担一切费用。</w:t>
      </w:r>
    </w:p>
    <w:p w14:paraId="27FC88A7">
      <w:pPr>
        <w:pStyle w:val="34"/>
        <w:spacing w:before="120" w:beforeAutospacing="0" w:after="120" w:afterAutospacing="0" w:line="360" w:lineRule="auto"/>
        <w:jc w:val="both"/>
      </w:pPr>
      <w:r>
        <w:rPr>
          <w:rFonts w:hint="eastAsia" w:ascii="宋体" w:hAnsi="宋体" w:eastAsia="宋体" w:cs="宋体"/>
          <w:b/>
        </w:rPr>
        <w:t>十四、解决争议的方法</w:t>
      </w:r>
    </w:p>
    <w:p w14:paraId="1E1331F5">
      <w:pPr>
        <w:pStyle w:val="34"/>
        <w:spacing w:before="120" w:beforeAutospacing="0" w:after="120" w:afterAutospacing="0" w:line="360" w:lineRule="auto"/>
        <w:ind w:firstLine="480"/>
        <w:jc w:val="both"/>
      </w:pPr>
      <w:r>
        <w:rPr>
          <w:rFonts w:hint="eastAsia" w:ascii="宋体" w:hAnsi="宋体" w:eastAsia="宋体" w:cs="宋体"/>
        </w:rPr>
        <w:t>14.1双方在签订、履行合同中所发生的一切争议，应通过友好协商解决。如协商不成，由甲方住所地人民法院管辖。</w:t>
      </w:r>
    </w:p>
    <w:p w14:paraId="61704753">
      <w:pPr>
        <w:pStyle w:val="34"/>
        <w:spacing w:before="120" w:beforeAutospacing="0" w:after="120" w:afterAutospacing="0" w:line="360" w:lineRule="auto"/>
        <w:jc w:val="both"/>
      </w:pPr>
      <w:r>
        <w:rPr>
          <w:rFonts w:hint="eastAsia" w:ascii="宋体" w:hAnsi="宋体" w:eastAsia="宋体" w:cs="宋体"/>
          <w:b/>
        </w:rPr>
        <w:t>十五、合同生效及其它</w:t>
      </w:r>
    </w:p>
    <w:p w14:paraId="2B6D3001">
      <w:pPr>
        <w:pStyle w:val="34"/>
        <w:spacing w:before="120" w:beforeAutospacing="0" w:after="120" w:afterAutospacing="0" w:line="360" w:lineRule="auto"/>
        <w:ind w:firstLine="480"/>
        <w:jc w:val="both"/>
      </w:pPr>
      <w:r>
        <w:rPr>
          <w:rFonts w:hint="eastAsia" w:ascii="宋体" w:hAnsi="宋体" w:eastAsia="宋体" w:cs="宋体"/>
        </w:rPr>
        <w:t>15.1合同经双方法定代表人或授权委托代表人签字并加盖单位公章后生效。</w:t>
      </w:r>
    </w:p>
    <w:p w14:paraId="16D7674A">
      <w:pPr>
        <w:pStyle w:val="34"/>
        <w:spacing w:before="120" w:beforeAutospacing="0" w:after="120" w:afterAutospacing="0" w:line="360" w:lineRule="auto"/>
        <w:ind w:firstLine="480"/>
        <w:jc w:val="both"/>
      </w:pPr>
      <w:r>
        <w:rPr>
          <w:rFonts w:hint="eastAsia" w:ascii="宋体" w:hAnsi="宋体" w:eastAsia="宋体" w:cs="宋体"/>
        </w:rPr>
        <w:t>15.2本合同未尽事宜，遵照《民法典》、《政府采购法》有关条文执行。</w:t>
      </w:r>
    </w:p>
    <w:p w14:paraId="60A23BF3">
      <w:pPr>
        <w:pStyle w:val="34"/>
        <w:spacing w:beforeAutospacing="0" w:afterAutospacing="0" w:line="360" w:lineRule="auto"/>
        <w:ind w:firstLine="480"/>
        <w:jc w:val="both"/>
      </w:pPr>
      <w:r>
        <w:rPr>
          <w:rFonts w:hint="eastAsia" w:ascii="宋体" w:hAnsi="宋体" w:eastAsia="宋体" w:cs="宋体"/>
        </w:rPr>
        <w:t>15.3本合同正本一式陆份，具有同等法律效力，甲方、乙方各执叁份。</w:t>
      </w:r>
    </w:p>
    <w:p w14:paraId="4AE2D0B6">
      <w:pPr>
        <w:pStyle w:val="34"/>
        <w:spacing w:before="120" w:beforeAutospacing="0" w:after="120" w:afterAutospacing="0" w:line="360" w:lineRule="auto"/>
        <w:ind w:left="480" w:hanging="480"/>
        <w:jc w:val="both"/>
      </w:pPr>
      <w:r>
        <w:rPr>
          <w:rFonts w:hint="eastAsia" w:ascii="宋体" w:hAnsi="宋体" w:eastAsia="宋体" w:cs="宋体"/>
        </w:rPr>
        <w:t xml:space="preserve">  甲方：                 乙方： </w:t>
      </w:r>
    </w:p>
    <w:p w14:paraId="7A6DC47C">
      <w:pPr>
        <w:pStyle w:val="34"/>
        <w:spacing w:before="120" w:beforeAutospacing="0" w:after="120" w:afterAutospacing="0" w:line="360" w:lineRule="auto"/>
        <w:jc w:val="both"/>
      </w:pPr>
      <w:r>
        <w:rPr>
          <w:rFonts w:hint="eastAsia" w:ascii="宋体" w:hAnsi="宋体" w:eastAsia="宋体" w:cs="宋体"/>
        </w:rPr>
        <w:t xml:space="preserve">  地址：                 地址： </w:t>
      </w:r>
    </w:p>
    <w:p w14:paraId="6017B83D">
      <w:pPr>
        <w:pStyle w:val="34"/>
        <w:spacing w:before="120" w:beforeAutospacing="0" w:after="120" w:afterAutospacing="0" w:line="360" w:lineRule="auto"/>
        <w:jc w:val="both"/>
      </w:pPr>
      <w:r>
        <w:rPr>
          <w:rFonts w:hint="eastAsia" w:ascii="宋体" w:hAnsi="宋体" w:eastAsia="宋体" w:cs="宋体"/>
        </w:rPr>
        <w:t>  法定代表人或授权代表：         法定代表人或授权代表：</w:t>
      </w:r>
    </w:p>
    <w:p w14:paraId="0903EB48">
      <w:pPr>
        <w:pStyle w:val="34"/>
        <w:spacing w:before="120" w:beforeAutospacing="0" w:after="120" w:afterAutospacing="0" w:line="360" w:lineRule="auto"/>
        <w:ind w:firstLine="240"/>
        <w:jc w:val="both"/>
        <w:rPr>
          <w:rFonts w:hint="eastAsia" w:ascii="宋体" w:hAnsi="宋体" w:eastAsia="宋体" w:cs="宋体"/>
        </w:rPr>
      </w:pPr>
      <w:r>
        <w:rPr>
          <w:rFonts w:hint="eastAsia" w:ascii="宋体" w:hAnsi="宋体" w:eastAsia="宋体" w:cs="宋体"/>
        </w:rPr>
        <w:t>联系电话：                联系电话：  </w:t>
      </w:r>
    </w:p>
    <w:p w14:paraId="7665EAF1">
      <w:pPr>
        <w:pStyle w:val="34"/>
        <w:spacing w:before="120" w:beforeAutospacing="0" w:after="120" w:afterAutospacing="0" w:line="360" w:lineRule="auto"/>
        <w:ind w:firstLine="240"/>
        <w:jc w:val="right"/>
        <w:rPr>
          <w:rFonts w:hint="eastAsia" w:ascii="宋体" w:hAnsi="宋体" w:eastAsia="宋体" w:cs="宋体"/>
        </w:rPr>
      </w:pPr>
      <w:r>
        <w:rPr>
          <w:rFonts w:hint="eastAsia" w:ascii="宋体" w:hAnsi="宋体" w:eastAsia="宋体" w:cs="宋体"/>
        </w:rPr>
        <w:t xml:space="preserve">                 </w:t>
      </w:r>
    </w:p>
    <w:p w14:paraId="3EF30BD3">
      <w:pPr>
        <w:pStyle w:val="34"/>
        <w:spacing w:before="120" w:beforeAutospacing="0" w:after="120" w:afterAutospacing="0" w:line="360" w:lineRule="auto"/>
        <w:ind w:firstLine="240"/>
        <w:jc w:val="right"/>
        <w:rPr>
          <w:rFonts w:hint="eastAsia" w:ascii="宋体" w:hAnsi="宋体" w:eastAsia="宋体" w:cs="宋体"/>
        </w:rPr>
      </w:pPr>
    </w:p>
    <w:p w14:paraId="0D196344">
      <w:pPr>
        <w:pStyle w:val="34"/>
        <w:spacing w:before="120" w:beforeAutospacing="0" w:after="120" w:afterAutospacing="0" w:line="360" w:lineRule="auto"/>
        <w:ind w:firstLine="240"/>
        <w:jc w:val="right"/>
        <w:rPr>
          <w:rFonts w:ascii="Times New Roman" w:hAnsi="Times New Roman"/>
        </w:rPr>
      </w:pPr>
      <w:r>
        <w:rPr>
          <w:rFonts w:hint="eastAsia" w:ascii="宋体" w:hAnsi="宋体" w:eastAsia="宋体" w:cs="宋体"/>
        </w:rPr>
        <w:t xml:space="preserve">                  签订日期：   年    月   日        </w:t>
      </w:r>
    </w:p>
    <w:p w14:paraId="2201D15E">
      <w:pPr>
        <w:widowControl/>
        <w:spacing w:line="348" w:lineRule="auto"/>
        <w:jc w:val="left"/>
        <w:rPr>
          <w:b/>
          <w:bCs/>
          <w:sz w:val="44"/>
          <w:szCs w:val="44"/>
        </w:rPr>
      </w:pPr>
      <w:r>
        <w:rPr/>
        <w:br w:type="page" w:clear="all"/>
      </w:r>
    </w:p>
    <w:p w14:paraId="3AC9B653">
      <w:pPr>
        <w:pStyle w:val="2"/>
        <w:spacing w:line="440" w:lineRule="exact"/>
        <w:ind w:firstLine="3614" w:firstLineChars="1000"/>
        <w:jc w:val="both"/>
        <w:rPr>
          <w:rFonts w:hint="eastAsia"/>
          <w:sz w:val="36"/>
          <w:szCs w:val="36"/>
        </w:rPr>
      </w:pPr>
      <w:r>
        <w:rPr>
          <w:rStyle w:val="202"/>
          <w:rFonts w:hint="eastAsia"/>
          <w:b/>
          <w:bCs/>
          <w:sz w:val="36"/>
          <w:szCs w:val="36"/>
        </w:rPr>
        <w:t>第</w:t>
      </w:r>
      <w:bookmarkEnd w:id="153"/>
      <w:r>
        <w:rPr>
          <w:rStyle w:val="202"/>
          <w:rFonts w:hint="eastAsia"/>
          <w:b/>
          <w:bCs/>
          <w:sz w:val="36"/>
          <w:szCs w:val="36"/>
        </w:rPr>
        <w:t>四章 采购需求</w:t>
      </w:r>
      <w:bookmarkEnd w:id="154"/>
      <w:bookmarkEnd w:id="155"/>
      <w:bookmarkEnd w:id="156"/>
      <w:bookmarkEnd w:id="157"/>
      <w:bookmarkStart w:id="160" w:name="_Toc49090575"/>
      <w:bookmarkEnd w:id="160"/>
      <w:bookmarkStart w:id="161" w:name="_Toc26554093"/>
      <w:bookmarkEnd w:id="161"/>
    </w:p>
    <w:p w14:paraId="67646A50">
      <w:pPr>
        <w:pStyle w:val="34"/>
        <w:spacing w:before="120" w:beforeAutospacing="0" w:after="120" w:afterAutospacing="0" w:line="440" w:lineRule="exact"/>
        <w:ind w:firstLine="482" w:firstLineChars="200"/>
        <w:jc w:val="both"/>
        <w:rPr>
          <w:rFonts w:hint="eastAsia" w:ascii="宋体" w:hAnsi="宋体" w:eastAsia="宋体" w:cs="宋体"/>
        </w:rPr>
      </w:pPr>
      <w:r>
        <w:rPr>
          <w:rFonts w:hint="eastAsia" w:ascii="宋体" w:hAnsi="宋体" w:eastAsia="宋体" w:cs="宋体"/>
          <w:b/>
          <w:bCs/>
        </w:rPr>
        <w:t>项目属性：服务类项目</w:t>
      </w:r>
    </w:p>
    <w:p w14:paraId="124F68F0">
      <w:pPr>
        <w:pStyle w:val="34"/>
        <w:keepNext/>
        <w:keepLines/>
        <w:spacing w:before="145" w:beforeAutospacing="0" w:after="145" w:afterAutospacing="0" w:line="348" w:lineRule="auto"/>
        <w:ind w:firstLine="498"/>
        <w:jc w:val="both"/>
        <w:rPr>
          <w:rFonts w:eastAsia="宋体"/>
          <w:b/>
          <w:bCs/>
        </w:rPr>
      </w:pPr>
      <w:r>
        <w:rPr>
          <w:rFonts w:hint="eastAsia"/>
          <w:b/>
          <w:bCs/>
        </w:rPr>
        <w:t>一、</w:t>
      </w:r>
      <w:r>
        <w:rPr>
          <w:rFonts w:hint="eastAsia" w:ascii="宋体" w:hAnsi="宋体" w:eastAsia="宋体" w:cs="宋体"/>
          <w:b/>
        </w:rPr>
        <w:t>项目基本情况</w:t>
      </w:r>
    </w:p>
    <w:p w14:paraId="0B798BEB">
      <w:pPr>
        <w:widowControl/>
        <w:spacing w:line="348" w:lineRule="auto"/>
        <w:ind w:firstLine="480"/>
        <w:rPr>
          <w:rFonts w:hint="eastAsia" w:ascii="宋体" w:hAnsi="宋体" w:eastAsia="宋体" w:cs="宋体"/>
          <w:sz w:val="24"/>
        </w:rPr>
      </w:pPr>
      <w:r>
        <w:rPr>
          <w:rFonts w:hint="eastAsia" w:ascii="宋体" w:hAnsi="宋体" w:eastAsia="宋体" w:cs="宋体"/>
          <w:sz w:val="24"/>
        </w:rPr>
        <w:t>1、项目名称：射阳港经济开发区园区道路市政管网清淤项目</w:t>
      </w:r>
    </w:p>
    <w:p w14:paraId="50F969D9">
      <w:pPr>
        <w:widowControl/>
        <w:spacing w:line="348" w:lineRule="auto"/>
        <w:ind w:firstLine="480"/>
        <w:rPr>
          <w:rFonts w:hint="eastAsia" w:ascii="宋体" w:hAnsi="宋体" w:eastAsia="宋体" w:cs="宋体"/>
          <w:sz w:val="24"/>
        </w:rPr>
      </w:pPr>
      <w:r>
        <w:rPr>
          <w:rFonts w:hint="eastAsia" w:ascii="宋体" w:hAnsi="宋体" w:eastAsia="宋体" w:cs="宋体"/>
          <w:sz w:val="24"/>
        </w:rPr>
        <w:t>2、服务质量要求：合格（达到国家行业标准）</w:t>
      </w:r>
    </w:p>
    <w:p w14:paraId="0B5E7B82">
      <w:pPr>
        <w:widowControl/>
        <w:spacing w:line="348" w:lineRule="auto"/>
        <w:ind w:firstLine="48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shd w:val="clear" w:color="auto" w:fill="FFFFFF"/>
        </w:rPr>
        <w:t>合同履行期限：90日历天</w:t>
      </w:r>
    </w:p>
    <w:p w14:paraId="42B4DD41">
      <w:pPr>
        <w:widowControl/>
        <w:spacing w:line="348" w:lineRule="auto"/>
        <w:ind w:firstLine="480"/>
        <w:rPr>
          <w:rFonts w:hint="eastAsia" w:ascii="宋体" w:hAnsi="宋体" w:eastAsia="宋体" w:cs="宋体"/>
          <w:sz w:val="24"/>
        </w:rPr>
      </w:pPr>
      <w:r>
        <w:rPr>
          <w:rFonts w:hint="eastAsia" w:ascii="宋体" w:hAnsi="宋体" w:eastAsia="宋体" w:cs="宋体"/>
          <w:sz w:val="24"/>
        </w:rPr>
        <w:t>4、预算金额：380万元</w:t>
      </w:r>
    </w:p>
    <w:p w14:paraId="2F98D4D7">
      <w:pPr>
        <w:widowControl/>
        <w:spacing w:line="348" w:lineRule="auto"/>
        <w:ind w:firstLine="480"/>
        <w:rPr>
          <w:rFonts w:hint="eastAsia" w:ascii="宋体" w:hAnsi="宋体" w:eastAsia="宋体" w:cs="宋体"/>
          <w:sz w:val="24"/>
        </w:rPr>
      </w:pPr>
      <w:r>
        <w:rPr>
          <w:rFonts w:hint="eastAsia" w:ascii="Calibri" w:hAnsi="宋体" w:eastAsia="宋体" w:cs="宋体"/>
          <w:sz w:val="24"/>
        </w:rPr>
        <w:t>5、</w:t>
      </w:r>
      <w:r>
        <w:rPr>
          <w:rFonts w:hint="eastAsia" w:ascii="宋体" w:hAnsi="宋体" w:eastAsia="宋体" w:cs="宋体"/>
          <w:sz w:val="24"/>
        </w:rPr>
        <w:t>最高限价：380万元</w:t>
      </w:r>
    </w:p>
    <w:p w14:paraId="152A07DC">
      <w:pPr>
        <w:widowControl/>
        <w:spacing w:line="348" w:lineRule="auto"/>
        <w:ind w:firstLine="480"/>
        <w:rPr>
          <w:rFonts w:hint="eastAsia" w:ascii="宋体" w:hAnsi="宋体" w:eastAsia="宋体" w:cs="宋体"/>
          <w:sz w:val="24"/>
        </w:rPr>
      </w:pPr>
      <w:r>
        <w:rPr>
          <w:rFonts w:hint="eastAsia" w:ascii="Calibri" w:hAnsi="宋体" w:eastAsia="宋体" w:cs="宋体"/>
          <w:sz w:val="24"/>
        </w:rPr>
        <w:t>6</w:t>
      </w:r>
      <w:r>
        <w:rPr>
          <w:rFonts w:hint="eastAsia" w:ascii="宋体" w:hAnsi="宋体" w:eastAsia="宋体" w:cs="宋体"/>
          <w:sz w:val="24"/>
        </w:rPr>
        <w:t>、采购方式：竞争性磋商</w:t>
      </w:r>
    </w:p>
    <w:p w14:paraId="087C4EE7">
      <w:pPr>
        <w:pStyle w:val="34"/>
        <w:spacing w:beforeAutospacing="0" w:afterAutospacing="0" w:line="348" w:lineRule="auto"/>
        <w:ind w:firstLine="480"/>
        <w:jc w:val="both"/>
        <w:rPr>
          <w:b/>
          <w:bCs/>
        </w:rPr>
      </w:pPr>
      <w:r>
        <w:rPr>
          <w:rFonts w:hint="eastAsia" w:ascii="Calibri" w:hAnsi="宋体" w:eastAsia="宋体" w:cs="宋体"/>
        </w:rPr>
        <w:t>7</w:t>
      </w:r>
      <w:r>
        <w:rPr>
          <w:rFonts w:hint="eastAsia" w:ascii="宋体" w:hAnsi="宋体" w:eastAsia="宋体" w:cs="宋体"/>
        </w:rPr>
        <w:t>、评标方法：综合评分法</w:t>
      </w:r>
    </w:p>
    <w:p w14:paraId="23EBAE70">
      <w:pPr>
        <w:spacing w:line="348" w:lineRule="auto"/>
        <w:ind w:firstLine="482" w:firstLineChars="200"/>
        <w:rPr>
          <w:rFonts w:hint="eastAsia" w:ascii="宋体" w:hAnsi="宋体" w:eastAsia="宋体" w:cs="宋体"/>
          <w:b/>
          <w:bCs/>
          <w:sz w:val="24"/>
        </w:rPr>
      </w:pPr>
      <w:r>
        <w:rPr>
          <w:rFonts w:hint="eastAsia" w:ascii="宋体" w:hAnsi="宋体" w:cs="宋体"/>
          <w:b/>
          <w:sz w:val="24"/>
        </w:rPr>
        <w:t>二、</w:t>
      </w:r>
      <w:r>
        <w:rPr>
          <w:rFonts w:hint="eastAsia" w:ascii="宋体" w:hAnsi="宋体" w:cs="宋体"/>
          <w:b/>
          <w:bCs/>
          <w:sz w:val="24"/>
        </w:rPr>
        <w:t>项目概况</w:t>
      </w:r>
    </w:p>
    <w:p w14:paraId="238FD335">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实施射阳港经济开发区园区道路市政管网清淤项目，</w:t>
      </w:r>
      <w:r>
        <w:rPr>
          <w:rFonts w:ascii="宋体" w:hAnsi="宋体" w:eastAsia="宋体" w:cs="宋体"/>
          <w:color w:val="000000" w:themeColor="text1"/>
          <w:sz w:val="24"/>
          <w14:textFill>
            <w14:solidFill>
              <w14:schemeClr w14:val="tx1"/>
            </w14:solidFill>
          </w14:textFill>
        </w:rPr>
        <w:t>对港区能源路、高新路、磐石西路、远景大道、水头大道、S329省道部分路段市政管网进行疏通清堵，总长约45公里（</w:t>
      </w:r>
      <w:r>
        <w:rPr>
          <w:rFonts w:hint="eastAsia" w:ascii="宋体" w:hAnsi="宋体" w:eastAsia="宋体" w:cs="宋体"/>
          <w:color w:val="000000" w:themeColor="text1"/>
          <w:sz w:val="24"/>
          <w14:textFill>
            <w14:solidFill>
              <w14:schemeClr w14:val="tx1"/>
            </w14:solidFill>
          </w14:textFill>
        </w:rPr>
        <w:t>管径φ</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00–φ1200</w:t>
      </w:r>
      <w:r>
        <w:rPr>
          <w:rFonts w:hint="eastAsia" w:ascii="宋体" w:hAnsi="宋体" w:eastAsia="宋体" w:cs="宋体"/>
          <w:color w:val="000000" w:themeColor="text1"/>
          <w:sz w:val="24"/>
          <w:lang w:eastAsia="zh-CN"/>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按实际实施工作量为准）。管道清淤:检查井、管道内的淤积量需满足CCTV检测标准。清淤范围包括管道及检查井;清淤内容包括临时封猪、渡水(雨污水管网存在满管水现象)、降排水、通风、清淤、淤泥外运、安全围护等，确保能够实施CCTV检测。清理出的淤泥需全部清除外运出园区。</w:t>
      </w:r>
    </w:p>
    <w:p w14:paraId="5FA66DE5">
      <w:pPr>
        <w:numPr>
          <w:ilvl w:val="0"/>
          <w:numId w:val="1"/>
        </w:num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b/>
          <w:bCs/>
          <w:color w:val="000000" w:themeColor="text1"/>
          <w:sz w:val="24"/>
          <w:lang w:bidi="ar"/>
          <w14:textFill>
            <w14:solidFill>
              <w14:schemeClr w14:val="tx1"/>
            </w14:solidFill>
          </w14:textFill>
        </w:rPr>
      </w:pPr>
      <w:r>
        <w:rPr>
          <w:rFonts w:hint="eastAsia" w:ascii="宋体" w:hAnsi="宋体" w:eastAsia="宋体" w:cs="宋体"/>
          <w:b/>
          <w:bCs/>
          <w:color w:val="000000" w:themeColor="text1"/>
          <w:sz w:val="24"/>
          <w:lang w:bidi="ar"/>
          <w14:textFill>
            <w14:solidFill>
              <w14:schemeClr w14:val="tx1"/>
            </w14:solidFill>
          </w14:textFill>
        </w:rPr>
        <w:t>服务需求一览表及主要指标参数要求：</w:t>
      </w:r>
    </w:p>
    <w:p w14:paraId="0ED2DBA3">
      <w:pPr>
        <w:pBdr>
          <w:top w:val="none" w:color="000000" w:sz="0" w:space="0"/>
          <w:left w:val="none" w:color="000000" w:sz="0" w:space="0"/>
          <w:bottom w:val="none" w:color="000000" w:sz="0" w:space="0"/>
          <w:right w:val="none" w:color="000000" w:sz="0" w:space="0"/>
        </w:pBdr>
        <w:tabs>
          <w:tab w:val="left" w:pos="6511"/>
        </w:tabs>
        <w:spacing w:line="460" w:lineRule="atLeast"/>
        <w:ind w:left="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1、全面检查园区雨污水淤堵情况、损坏、老化程度等，解决内涝（含相关管道内部视频资料）并能够准确定位。</w:t>
      </w:r>
    </w:p>
    <w:p w14:paraId="4A40AFD7">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2、雨污水混接调查：范围包括检查井、收水井雨污水管道混接、错接；内容包括雨水管道接入污水管道、污水管道接入雨水管道、合流管道接入雨水管道、合流管道接入污水管道等。</w:t>
      </w:r>
    </w:p>
    <w:p w14:paraId="2EA6AAB7">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3、CCTV 检测(含满足检测所需降水等)：检测范围包括排水主管道（主管道、支管道、检查井、雨水篦子）。检测内容包括临时气囊封堵、降排水、清洗、CCTV检测、出具检测报告（含影像资料）及成果入库。</w:t>
      </w:r>
    </w:p>
    <w:p w14:paraId="6FF182E1">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4、Qv检测，需</w:t>
      </w:r>
      <w:r>
        <w:rPr>
          <w:rFonts w:ascii="宋体" w:hAnsi="宋体" w:eastAsia="宋体" w:cs="宋体"/>
          <w:color w:val="000000" w:themeColor="text1"/>
          <w:sz w:val="24"/>
          <w14:textFill>
            <w14:solidFill>
              <w14:schemeClr w14:val="tx1"/>
            </w14:solidFill>
          </w14:textFill>
        </w:rPr>
        <w:t xml:space="preserve">清晰识别管道内壁腐蚀、接口渗漏、异物穿入、支管暗接等情况，并能记录具体位置信息 </w:t>
      </w:r>
      <w:r>
        <w:rPr>
          <w:rFonts w:hint="eastAsia" w:ascii="宋体" w:hAnsi="宋体" w:eastAsia="宋体" w:cs="宋体"/>
          <w:color w:val="000000" w:themeColor="text1"/>
          <w:sz w:val="24"/>
          <w14:textFill>
            <w14:solidFill>
              <w14:schemeClr w14:val="tx1"/>
            </w14:solidFill>
          </w14:textFill>
        </w:rPr>
        <w:t>，</w:t>
      </w:r>
      <w:r>
        <w:rPr>
          <w:rFonts w:ascii="Times New Roman" w:hAnsi="Times New Roman" w:eastAsia="宋体" w:cs="Times New Roman"/>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应急排查</w:t>
      </w:r>
      <w:r>
        <w:rPr>
          <w:rFonts w:ascii="Times New Roman" w:hAnsi="Times New Roman" w:eastAsia="宋体" w:cs="Times New Roman"/>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出现局部堵塞、渗漏等紧急情况</w:t>
      </w:r>
      <w:r>
        <w:rPr>
          <w:rFonts w:hint="eastAsia" w:ascii="宋体" w:hAnsi="宋体" w:eastAsia="宋体" w:cs="宋体"/>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快速定位问题点位。</w:t>
      </w:r>
      <w:r>
        <w:rPr>
          <w:rFonts w:ascii="Times New Roman" w:hAnsi="Times New Roman" w:eastAsia="宋体" w:cs="Times New Roman"/>
          <w:color w:val="000000" w:themeColor="text1"/>
          <w:sz w:val="24"/>
          <w14:textFill>
            <w14:solidFill>
              <w14:schemeClr w14:val="tx1"/>
            </w14:solidFill>
          </w14:textFill>
        </w:rPr>
        <w:t>‌‌</w:t>
      </w:r>
    </w:p>
    <w:p w14:paraId="25C723E8">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r>
        <w:rPr>
          <w:rFonts w:hint="eastAsia" w:ascii="宋体" w:hAnsi="Times New Roman" w:eastAsia="宋体" w:cs="宋体"/>
          <w:color w:val="000000" w:themeColor="text1"/>
          <w:sz w:val="24"/>
          <w14:textFill>
            <w14:solidFill>
              <w14:schemeClr w14:val="tx1"/>
            </w14:solidFill>
          </w14:textFill>
        </w:rPr>
        <w:t>有毒有害气体检测设备能有效检测出空气中各类有害气体浓度，为环境保护及人员保护提供数据支持。</w:t>
      </w:r>
    </w:p>
    <w:p w14:paraId="4AEFFFA1">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6、管道清淤：检查井、管道内的淤积量需满足 CCTV 检测标准。清淤范围包括管道及检查井；清淤内容包括临时封堵、渡水（雨污水管网存在满管水现象）、降排水、通风、清淤、淤泥外运、安全围护等，确保能够实施 CCTV 检测。清理出的淤泥需全部清除外运出园区。</w:t>
      </w:r>
    </w:p>
    <w:p w14:paraId="742E9276">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7、待检查排水管网路段交通导行（包括警示牌、警示灯、反光锥等警示设施围护和人员及车辆疏导）。</w:t>
      </w:r>
    </w:p>
    <w:p w14:paraId="39B5A3F1">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8、在检测过程中对需要修复的损坏管道提出有依据的科学合理且经济性的修复方案。</w:t>
      </w:r>
    </w:p>
    <w:p w14:paraId="085F1DC2">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9、后续服务要求：若后续甲方需整改管网，在施工过程中，可提供一些技术指导。</w:t>
      </w:r>
    </w:p>
    <w:p w14:paraId="440560B6">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10、成果资料：</w:t>
      </w:r>
    </w:p>
    <w:p w14:paraId="1D5BF9AA">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（1）检测成果、数据成果、相关影像成果、相关文字成果和雨水管网整改报告等。</w:t>
      </w:r>
    </w:p>
    <w:p w14:paraId="6C85B689">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（2）雨污水混接调查相关报告；</w:t>
      </w:r>
    </w:p>
    <w:p w14:paraId="60B8A66B">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成交供应商需要配备作业班组，并应建立相应的检测、清淤工作流程，确定相应的责任人，所报的项目负责人、技术负责人、各专业负责工程师、检测人员及资料分析人员服务期内须在岗，未经采购人同意不得更换，由此造成的损失由成交供应商自行承担并赔偿可能给采购人造成的损失。</w:t>
      </w:r>
    </w:p>
    <w:p w14:paraId="26D5526E">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12、排水管网排查、检测、测绘，拟派项目负责人的通讯设备保持 24 小时畅通，采购人提前一天通知拟派项目负责人，项目负责人负责所有人员和设备能够准时到岗到位，确保工作按时开展。</w:t>
      </w:r>
    </w:p>
    <w:p w14:paraId="60C80D97">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13、应急的排水设施 CCTV 检测，拟派项目负责人的通讯设备保持 24 小时畅通，由其负责本项目所有应急人员及设备在接到指令后 1 个小时钟内赶赴指定现场，交通由成交供应商自行解决，相关费用包含在投标报价中。</w:t>
      </w:r>
    </w:p>
    <w:p w14:paraId="75BE4C91">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加强检测、清淤施工过程的安全文明施工管理，成交供应商在施工时应统一着反光服；在施工路段前后及四周设置醒目、整洁的安全警示标志和围挡设施；工地现场材料、机具放置整齐有序；无“脏、乱、差”现象；无明显噪声扰民现象。</w:t>
      </w:r>
    </w:p>
    <w:p w14:paraId="208C5A67">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15、成交供应商实施该项目检测、清淤时，应合理组织，避开交通高峰，部分车流、人流量较大的路段，应安排夜间施工，确保道路畅通。</w:t>
      </w:r>
    </w:p>
    <w:p w14:paraId="4374E17B">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16、在道路检测、清淤作业时，必须向交警部门进行申报或备案，办理相关手续，做好现场安全围护和交通疏导。</w:t>
      </w:r>
    </w:p>
    <w:p w14:paraId="75FB1122">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17、清出污泥要及时处置，不得堆放于路面或绿化带中，淤泥必须随清随运（袋装化），防止二次污染。</w:t>
      </w:r>
    </w:p>
    <w:p w14:paraId="3BCD434E">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18、淤泥堆放场地由成交供应商自行解决。淤泥外运及处置必须经县有关规定要求及相关环保要求，否则，由此造成的一切后果由成交供应商自行承担。</w:t>
      </w:r>
    </w:p>
    <w:p w14:paraId="4C9BEE36">
      <w:pPr>
        <w:pBdr>
          <w:top w:val="none" w:color="000000" w:sz="0" w:space="0"/>
          <w:left w:val="none" w:color="000000" w:sz="0" w:space="0"/>
          <w:bottom w:val="none" w:color="000000" w:sz="0" w:space="0"/>
          <w:right w:val="none" w:color="000000" w:sz="0" w:space="0"/>
        </w:pBdr>
        <w:tabs>
          <w:tab w:val="left" w:pos="6511"/>
        </w:tabs>
        <w:spacing w:line="460" w:lineRule="atLeast"/>
        <w:ind w:firstLine="42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19、成交供应商如在检测质量不符合要求、安全方面存在隐患的，未按采购人要求采取有力措施对有关问题进行整改的，或整改后无明显成效的，或成交供应商拒不执行通知及指令的，对成交供应商处完成该项工作合同价2倍的违约金的处罚，且采购人认为成交供应商无能力继续按招标文件履行合同的，有权单方终止合同，由此造成的一切损失由成交供应商承担。</w:t>
      </w:r>
    </w:p>
    <w:p w14:paraId="150E7685">
      <w:pPr>
        <w:pBdr>
          <w:top w:val="none" w:color="000000" w:sz="0" w:space="0"/>
          <w:left w:val="none" w:color="000000" w:sz="0" w:space="0"/>
          <w:bottom w:val="none" w:color="000000" w:sz="0" w:space="0"/>
          <w:right w:val="none" w:color="000000" w:sz="0" w:space="0"/>
        </w:pBdr>
        <w:tabs>
          <w:tab w:val="left" w:pos="6511"/>
        </w:tabs>
        <w:spacing w:line="460" w:lineRule="atLeast"/>
        <w:ind w:firstLine="422"/>
        <w:rPr>
          <w:color w:val="000000" w:themeColor="text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四</w:t>
      </w:r>
      <w:r>
        <w:rPr>
          <w:rFonts w:ascii="宋体" w:hAnsi="宋体" w:eastAsia="宋体" w:cs="宋体"/>
          <w:b/>
          <w:color w:val="000000" w:themeColor="text1"/>
          <w:sz w:val="24"/>
          <w14:textFill>
            <w14:solidFill>
              <w14:schemeClr w14:val="tx1"/>
            </w14:solidFill>
          </w14:textFill>
        </w:rPr>
        <w:t>、付款方式</w:t>
      </w:r>
    </w:p>
    <w:p w14:paraId="66E58B2E">
      <w:pPr>
        <w:pStyle w:val="34"/>
        <w:spacing w:before="145" w:beforeAutospacing="0" w:after="145"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4.1合同签订时，经采购人与中标人根据实际情况协商一致，在财政资金到位的前提下，可支付合同总价的30%作为项目启动预付款，供应商书面明确表示无需预付款或主动要求降低预付款比例的，由双方另行商定。</w:t>
      </w:r>
    </w:p>
    <w:p w14:paraId="0F194CC4">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4.2全部服务工作结束后</w:t>
      </w:r>
      <w:r>
        <w:rPr>
          <w:rFonts w:hint="eastAsia" w:ascii="宋体" w:hAnsi="宋体" w:eastAsia="宋体" w:cs="宋体"/>
        </w:rPr>
        <w:t>，支付至合同价款的70%。</w:t>
      </w:r>
    </w:p>
    <w:p w14:paraId="58A2A1A4">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4.3经招标人验收合格后，支付剩余的项目款，完成全部拨付。</w:t>
      </w:r>
    </w:p>
    <w:p w14:paraId="721FF162">
      <w:pPr>
        <w:pStyle w:val="34"/>
        <w:spacing w:before="145" w:beforeAutospacing="0" w:after="145" w:afterAutospacing="0" w:line="360" w:lineRule="auto"/>
        <w:ind w:firstLine="480"/>
        <w:jc w:val="both"/>
        <w:rPr>
          <w:rFonts w:hint="eastAsia" w:ascii="宋体" w:hAnsi="宋体" w:eastAsia="宋体" w:cs="宋体"/>
        </w:rPr>
      </w:pPr>
      <w:r>
        <w:rPr>
          <w:rFonts w:hint="eastAsia" w:ascii="宋体" w:hAnsi="宋体" w:eastAsia="宋体" w:cs="宋体"/>
        </w:rPr>
        <w:t>4.4按以上进度付款，无任何利息补偿。付款前，中标单位须开具税务部门认可的税务发票。</w:t>
      </w:r>
    </w:p>
    <w:p w14:paraId="786F6FDB">
      <w:pPr>
        <w:pBdr>
          <w:top w:val="none" w:color="000000" w:sz="0" w:space="0"/>
          <w:left w:val="none" w:color="000000" w:sz="0" w:space="0"/>
          <w:bottom w:val="none" w:color="000000" w:sz="0" w:space="0"/>
          <w:right w:val="none" w:color="000000" w:sz="0" w:space="0"/>
        </w:pBdr>
        <w:spacing w:line="460" w:lineRule="atLeast"/>
        <w:ind w:firstLine="420"/>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五、采购清单</w:t>
      </w:r>
    </w:p>
    <w:tbl>
      <w:tblPr>
        <w:tblStyle w:val="38"/>
        <w:tblW w:w="102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747"/>
        <w:gridCol w:w="5220"/>
        <w:gridCol w:w="1110"/>
        <w:gridCol w:w="1440"/>
      </w:tblGrid>
      <w:tr w14:paraId="6B863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696"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B2C1A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4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5CE8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22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32C63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7862D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单位</w:t>
            </w:r>
          </w:p>
        </w:tc>
        <w:tc>
          <w:tcPr>
            <w:tcW w:w="144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6B46A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0DE25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96"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A4A2DB">
            <w:pPr>
              <w:jc w:val="center"/>
              <w:rPr>
                <w:rFonts w:hint="eastAsia" w:ascii="宋体" w:hAnsi="宋体" w:eastAsia="宋体" w:cs="宋体"/>
                <w:b/>
                <w:bCs/>
                <w:i w:val="0"/>
                <w:iCs w:val="0"/>
                <w:color w:val="000000"/>
                <w:sz w:val="24"/>
                <w:szCs w:val="24"/>
                <w:u w:val="none"/>
              </w:rPr>
            </w:pPr>
          </w:p>
        </w:tc>
        <w:tc>
          <w:tcPr>
            <w:tcW w:w="174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02F2AD">
            <w:pPr>
              <w:jc w:val="center"/>
              <w:rPr>
                <w:rFonts w:hint="eastAsia" w:ascii="宋体" w:hAnsi="宋体" w:eastAsia="宋体" w:cs="宋体"/>
                <w:b/>
                <w:bCs/>
                <w:i w:val="0"/>
                <w:iCs w:val="0"/>
                <w:color w:val="000000"/>
                <w:sz w:val="24"/>
                <w:szCs w:val="24"/>
                <w:u w:val="none"/>
              </w:rPr>
            </w:pPr>
          </w:p>
        </w:tc>
        <w:tc>
          <w:tcPr>
            <w:tcW w:w="522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09277D">
            <w:pPr>
              <w:jc w:val="center"/>
              <w:rPr>
                <w:rFonts w:hint="eastAsia" w:ascii="宋体" w:hAnsi="宋体" w:eastAsia="宋体" w:cs="宋体"/>
                <w:b/>
                <w:bCs/>
                <w:i w:val="0"/>
                <w:iCs w:val="0"/>
                <w:color w:val="000000"/>
                <w:sz w:val="24"/>
                <w:szCs w:val="24"/>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A29BCD">
            <w:pPr>
              <w:jc w:val="center"/>
              <w:rPr>
                <w:rFonts w:hint="eastAsia" w:ascii="宋体" w:hAnsi="宋体" w:eastAsia="宋体" w:cs="宋体"/>
                <w:b/>
                <w:bCs/>
                <w:i w:val="0"/>
                <w:iCs w:val="0"/>
                <w:color w:val="000000"/>
                <w:sz w:val="24"/>
                <w:szCs w:val="24"/>
                <w:u w:val="none"/>
              </w:rPr>
            </w:pPr>
          </w:p>
        </w:tc>
        <w:tc>
          <w:tcPr>
            <w:tcW w:w="144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33818F">
            <w:pPr>
              <w:jc w:val="center"/>
              <w:rPr>
                <w:rFonts w:hint="eastAsia" w:ascii="宋体" w:hAnsi="宋体" w:eastAsia="宋体" w:cs="宋体"/>
                <w:b/>
                <w:bCs/>
                <w:i w:val="0"/>
                <w:iCs w:val="0"/>
                <w:color w:val="000000"/>
                <w:sz w:val="24"/>
                <w:szCs w:val="24"/>
                <w:u w:val="none"/>
              </w:rPr>
            </w:pPr>
          </w:p>
        </w:tc>
      </w:tr>
      <w:tr w14:paraId="79370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96"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6B923FF">
            <w:pPr>
              <w:jc w:val="center"/>
              <w:rPr>
                <w:rFonts w:hint="eastAsia" w:ascii="宋体" w:hAnsi="宋体" w:eastAsia="宋体" w:cs="宋体"/>
                <w:b/>
                <w:bCs/>
                <w:i w:val="0"/>
                <w:iCs w:val="0"/>
                <w:color w:val="000000"/>
                <w:sz w:val="24"/>
                <w:szCs w:val="24"/>
                <w:u w:val="none"/>
              </w:rPr>
            </w:pPr>
          </w:p>
        </w:tc>
        <w:tc>
          <w:tcPr>
            <w:tcW w:w="174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30ED83">
            <w:pPr>
              <w:jc w:val="center"/>
              <w:rPr>
                <w:rFonts w:hint="eastAsia" w:ascii="宋体" w:hAnsi="宋体" w:eastAsia="宋体" w:cs="宋体"/>
                <w:b/>
                <w:bCs/>
                <w:i w:val="0"/>
                <w:iCs w:val="0"/>
                <w:color w:val="000000"/>
                <w:sz w:val="24"/>
                <w:szCs w:val="24"/>
                <w:u w:val="none"/>
              </w:rPr>
            </w:pPr>
          </w:p>
        </w:tc>
        <w:tc>
          <w:tcPr>
            <w:tcW w:w="522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2DBD0B">
            <w:pPr>
              <w:jc w:val="center"/>
              <w:rPr>
                <w:rFonts w:hint="eastAsia" w:ascii="宋体" w:hAnsi="宋体" w:eastAsia="宋体" w:cs="宋体"/>
                <w:b/>
                <w:bCs/>
                <w:i w:val="0"/>
                <w:iCs w:val="0"/>
                <w:color w:val="000000"/>
                <w:sz w:val="24"/>
                <w:szCs w:val="24"/>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2551F8">
            <w:pPr>
              <w:jc w:val="center"/>
              <w:rPr>
                <w:rFonts w:hint="eastAsia" w:ascii="宋体" w:hAnsi="宋体" w:eastAsia="宋体" w:cs="宋体"/>
                <w:b/>
                <w:bCs/>
                <w:i w:val="0"/>
                <w:iCs w:val="0"/>
                <w:color w:val="000000"/>
                <w:sz w:val="24"/>
                <w:szCs w:val="24"/>
                <w:u w:val="none"/>
              </w:rPr>
            </w:pPr>
          </w:p>
        </w:tc>
        <w:tc>
          <w:tcPr>
            <w:tcW w:w="144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B044E4">
            <w:pPr>
              <w:jc w:val="center"/>
              <w:rPr>
                <w:rFonts w:hint="eastAsia" w:ascii="宋体" w:hAnsi="宋体" w:eastAsia="宋体" w:cs="宋体"/>
                <w:b/>
                <w:bCs/>
                <w:i w:val="0"/>
                <w:iCs w:val="0"/>
                <w:color w:val="000000"/>
                <w:sz w:val="24"/>
                <w:szCs w:val="24"/>
                <w:u w:val="none"/>
              </w:rPr>
            </w:pPr>
          </w:p>
        </w:tc>
      </w:tr>
      <w:tr w14:paraId="05308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5"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7DAA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F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0FC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1、管道规格、等级:疏通DN1200雨水管道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 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6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0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700</w:t>
            </w:r>
          </w:p>
        </w:tc>
      </w:tr>
      <w:tr w14:paraId="0767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5"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C33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39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D3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1、管道规格、等级:疏通DN1000雨水管道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 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F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E3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w:t>
            </w:r>
          </w:p>
        </w:tc>
      </w:tr>
      <w:tr w14:paraId="0390C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B1B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F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76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1、管道规格、等级:疏通DN800雨水管道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 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A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3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9000</w:t>
            </w:r>
          </w:p>
        </w:tc>
      </w:tr>
      <w:tr w14:paraId="0446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159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B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A4E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1、管道规格、等级:疏通DN600雨水管道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 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6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7C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19800</w:t>
            </w:r>
          </w:p>
        </w:tc>
      </w:tr>
      <w:tr w14:paraId="6D059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4DE4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C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D9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1、管道规格、等级:疏通DN500雨水管道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67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9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r>
      <w:tr w14:paraId="5B2F6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5"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CC6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3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81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1、管道规格、等级:疏通DN400雨水管道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B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A1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2500</w:t>
            </w:r>
          </w:p>
        </w:tc>
      </w:tr>
      <w:tr w14:paraId="0A59A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5"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0D8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3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CF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1、管道规格、等级:疏通DN300雨水管道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5D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3C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r>
      <w:tr w14:paraId="7A65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2D9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D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疏通清淤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51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1、管道规格、等级:疏通DN200及以下污水管道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2、管道处理:高压疏通车疏通清淤后管道无明显淤泥杂物沉淀，淤泥量占管道面积85%以上，淤泥外运10KM以内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7F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D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r>
      <w:tr w14:paraId="73C9C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D5AD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76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管道沟槽抽水</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44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1、DN400、500雨水管道抽水</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9B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F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6500</w:t>
            </w:r>
          </w:p>
        </w:tc>
      </w:tr>
      <w:tr w14:paraId="36B3C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0FA2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C3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管道沟槽抽水</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1F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1、DN600、800、1000、1200雨水管道抽水</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6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0E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32500</w:t>
            </w:r>
          </w:p>
        </w:tc>
      </w:tr>
      <w:tr w14:paraId="406DF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3E6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7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清理检查井</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D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1、规格:内径1.5米污水井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2、淤泥平均深0.6米，污泥外运10km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0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9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r>
      <w:tr w14:paraId="0A6D6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1F6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02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清理雨水口</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E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1、规格:40*50cm雨水口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2、淤泥平均深0.6米，污泥外运10km以内</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7D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3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r>
      <w:tr w14:paraId="6F655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B3B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3B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气囊封堵、拆除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7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1、种类、规格:φ600气囊封堵及拆除</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E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60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r>
      <w:tr w14:paraId="7507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D15F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2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气囊封堵、拆除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B6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1、种类、规格:φ800气囊封堵及拆除</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F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01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r>
      <w:tr w14:paraId="0BB25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8D41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9F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气囊封堵、拆除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F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1、种类、规格:φ1000气囊封堵及拆除</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9D0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EB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61B42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08E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2D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气囊封堵、拆除</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D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1、种类、规格:φ1200气囊封堵及拆除</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B8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D6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988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A83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5D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DN200-DN300排水管道检测</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A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1、CCTV检测:形成管网CCTV检测报告及成像资料（提供管网结构性和功能性等检测报告、错混接和管网缺陷的管线调查报告）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D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86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8500</w:t>
            </w:r>
          </w:p>
        </w:tc>
      </w:tr>
      <w:tr w14:paraId="73611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483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4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DN400-DN600排水管道检测</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1E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1、CCTV检测:形成管网CCTV检测报告及成像资料（提供管网结构性和功能性等检测报告、错混接和管网缺陷的管线调查报告）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78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A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23800</w:t>
            </w:r>
          </w:p>
        </w:tc>
      </w:tr>
      <w:tr w14:paraId="3129B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7BF2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73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DN800-DN1200排水管道检测</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65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1、CCTV检测:形成管网CCTV检测报告及成像资料（提供管网结构性和功能性等检测报告、错混接和管网缺陷的管线调查报告）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B3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1F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12700</w:t>
            </w:r>
          </w:p>
        </w:tc>
      </w:tr>
      <w:tr w14:paraId="2337B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034C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43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管道测绘</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053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1、管道规格、等级:DN200、300、400、500、600、800、1000、1200管道测绘</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8C4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33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45000</w:t>
            </w:r>
          </w:p>
        </w:tc>
      </w:tr>
    </w:tbl>
    <w:p w14:paraId="447AEA81">
      <w:pPr>
        <w:rPr>
          <w:rFonts w:hint="eastAsia" w:ascii="宋体" w:hAnsi="宋体" w:eastAsia="宋体" w:cs="宋体"/>
          <w:sz w:val="24"/>
        </w:rPr>
      </w:pPr>
    </w:p>
    <w:p w14:paraId="7A0412DC">
      <w:pPr>
        <w:pBdr>
          <w:top w:val="none" w:color="000000" w:sz="0" w:space="0"/>
          <w:left w:val="none" w:color="000000" w:sz="0" w:space="0"/>
          <w:bottom w:val="none" w:color="000000" w:sz="0" w:space="0"/>
          <w:right w:val="none" w:color="000000" w:sz="0" w:space="0"/>
        </w:pBdr>
        <w:spacing w:line="460" w:lineRule="atLeast"/>
        <w:ind w:firstLine="420"/>
      </w:pPr>
      <w:bookmarkStart w:id="162" w:name="_Toc120614281"/>
      <w:r>
        <w:rPr>
          <w:rFonts w:hint="eastAsia" w:ascii="宋体" w:hAnsi="宋体" w:eastAsia="宋体" w:cs="宋体"/>
          <w:b/>
          <w:color w:val="000000"/>
          <w:sz w:val="24"/>
          <w:lang w:val="en-US" w:eastAsia="zh-CN"/>
        </w:rPr>
        <w:t>六</w:t>
      </w:r>
      <w:r>
        <w:rPr>
          <w:rFonts w:ascii="宋体" w:hAnsi="宋体" w:eastAsia="宋体" w:cs="宋体"/>
          <w:b/>
          <w:color w:val="000000"/>
          <w:sz w:val="24"/>
        </w:rPr>
        <w:t>、其他说明</w:t>
      </w:r>
    </w:p>
    <w:p w14:paraId="5A5A1E1C">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eastAsia="宋体" w:cs="宋体"/>
          <w:color w:val="000000"/>
          <w:sz w:val="24"/>
        </w:rPr>
        <w:t>1、本</w:t>
      </w:r>
      <w:r>
        <w:rPr>
          <w:rFonts w:hint="eastAsia" w:ascii="宋体" w:hAnsi="宋体" w:eastAsia="宋体" w:cs="宋体"/>
          <w:color w:val="000000"/>
          <w:sz w:val="24"/>
        </w:rPr>
        <w:t>项目</w:t>
      </w:r>
      <w:r>
        <w:rPr>
          <w:rFonts w:ascii="宋体" w:hAnsi="宋体" w:eastAsia="宋体" w:cs="宋体"/>
          <w:color w:val="000000"/>
          <w:sz w:val="24"/>
        </w:rPr>
        <w:t>施工必须符合国家相关规范要求，确保通过验收。</w:t>
      </w:r>
    </w:p>
    <w:p w14:paraId="5DA3DFAB">
      <w:pPr>
        <w:spacing w:line="480" w:lineRule="exact"/>
        <w:ind w:left="2" w:firstLine="475"/>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2</w:t>
      </w:r>
      <w:r>
        <w:rPr>
          <w:rFonts w:hint="eastAsia" w:ascii="宋体" w:hAnsi="宋体"/>
          <w:color w:val="000000"/>
          <w:sz w:val="24"/>
          <w:szCs w:val="20"/>
          <w:highlight w:val="none"/>
        </w:rPr>
        <w:t>、必须严格按照本次招标技术参数要求进行合理报价，如后期出现验收不合格情形视同虚假承诺谋取中标成交，将被列入不良行为记录名单；</w:t>
      </w:r>
    </w:p>
    <w:p w14:paraId="2F13D6F0">
      <w:pPr>
        <w:spacing w:line="480" w:lineRule="exact"/>
        <w:ind w:left="2" w:firstLine="475"/>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3</w:t>
      </w:r>
      <w:r>
        <w:rPr>
          <w:rFonts w:hint="eastAsia" w:ascii="宋体" w:hAnsi="宋体"/>
          <w:color w:val="000000"/>
          <w:sz w:val="24"/>
          <w:szCs w:val="20"/>
          <w:highlight w:val="none"/>
        </w:rPr>
        <w:t>、工作人员的人身安全一概由中标供应商负责，与招标人无关。因中标供应商人员在工作中造成了第三方的人或财产损害的，也一概由中标供应商自行承担；</w:t>
      </w:r>
    </w:p>
    <w:p w14:paraId="32E6B991">
      <w:pPr>
        <w:spacing w:line="480" w:lineRule="exact"/>
        <w:ind w:left="2" w:firstLine="475"/>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4</w:t>
      </w:r>
      <w:r>
        <w:rPr>
          <w:rFonts w:hint="eastAsia" w:ascii="宋体" w:hAnsi="宋体"/>
          <w:color w:val="000000"/>
          <w:sz w:val="24"/>
          <w:szCs w:val="20"/>
          <w:highlight w:val="none"/>
        </w:rPr>
        <w:t>、中标供应商自行承担运输、安装过程中的安全责任。</w:t>
      </w:r>
    </w:p>
    <w:p w14:paraId="529B7391">
      <w:pPr>
        <w:pStyle w:val="2"/>
        <w:rPr>
          <w:rFonts w:hint="eastAsia" w:ascii="黑体" w:eastAsia="黑体" w:cs="黑体"/>
          <w:sz w:val="44"/>
          <w:szCs w:val="44"/>
        </w:rPr>
      </w:pPr>
    </w:p>
    <w:p w14:paraId="0A2C624D">
      <w:pPr>
        <w:pStyle w:val="2"/>
        <w:rPr>
          <w:rFonts w:hint="eastAsia" w:ascii="黑体" w:eastAsia="黑体" w:cs="黑体"/>
          <w:sz w:val="44"/>
          <w:szCs w:val="44"/>
        </w:rPr>
      </w:pPr>
    </w:p>
    <w:p w14:paraId="04E81490">
      <w:pPr>
        <w:rPr>
          <w:rFonts w:hint="eastAsia" w:ascii="黑体" w:eastAsia="黑体" w:cs="黑体"/>
          <w:sz w:val="44"/>
          <w:szCs w:val="44"/>
        </w:rPr>
      </w:pPr>
    </w:p>
    <w:p w14:paraId="74F66840">
      <w:pPr>
        <w:rPr>
          <w:rFonts w:hint="eastAsia" w:ascii="黑体" w:eastAsia="黑体" w:cs="黑体"/>
          <w:sz w:val="44"/>
          <w:szCs w:val="44"/>
        </w:rPr>
      </w:pPr>
    </w:p>
    <w:p w14:paraId="0BF6B012">
      <w:pPr>
        <w:rPr>
          <w:rFonts w:hint="eastAsia" w:ascii="黑体" w:eastAsia="黑体" w:cs="黑体"/>
          <w:sz w:val="44"/>
          <w:szCs w:val="44"/>
        </w:rPr>
      </w:pPr>
    </w:p>
    <w:p w14:paraId="69461F6D"/>
    <w:p w14:paraId="42308013">
      <w:pPr>
        <w:pStyle w:val="2"/>
        <w:rPr>
          <w:rFonts w:hint="eastAsia"/>
        </w:rPr>
      </w:pPr>
      <w:r>
        <w:rPr>
          <w:rFonts w:hint="eastAsia" w:ascii="黑体" w:eastAsia="黑体" w:cs="黑体"/>
          <w:sz w:val="36"/>
          <w:szCs w:val="36"/>
        </w:rPr>
        <w:t>第五章  评审方法与评审标准</w:t>
      </w:r>
      <w:bookmarkEnd w:id="162"/>
    </w:p>
    <w:p w14:paraId="59AE2CD2">
      <w:pPr>
        <w:pStyle w:val="34"/>
        <w:spacing w:beforeAutospacing="0" w:afterAutospacing="0"/>
        <w:jc w:val="both"/>
      </w:pPr>
      <w:r>
        <w:t> </w:t>
      </w:r>
    </w:p>
    <w:p w14:paraId="09FA5EEA">
      <w:pPr>
        <w:spacing w:line="360" w:lineRule="auto"/>
        <w:ind w:firstLine="241"/>
        <w:rPr>
          <w:rFonts w:hint="eastAsia" w:ascii="宋体" w:hAnsi="宋体" w:eastAsia="宋体" w:cs="宋体"/>
          <w:b/>
          <w:bCs/>
          <w:sz w:val="24"/>
        </w:rPr>
      </w:pPr>
      <w:r>
        <w:rPr>
          <w:rFonts w:hint="eastAsia" w:ascii="宋体" w:hAnsi="宋体" w:eastAsia="宋体" w:cs="宋体"/>
          <w:b/>
          <w:bCs/>
          <w:sz w:val="24"/>
        </w:rPr>
        <w:t>一、定标原则</w:t>
      </w:r>
    </w:p>
    <w:p w14:paraId="6517FCB0">
      <w:pPr>
        <w:pStyle w:val="196"/>
        <w:ind w:firstLine="600"/>
        <w:rPr>
          <w:rFonts w:hint="eastAsia" w:ascii="宋体" w:hAnsi="宋体" w:eastAsia="宋体" w:cs="宋体"/>
        </w:rPr>
      </w:pPr>
      <w:r>
        <w:rPr>
          <w:rFonts w:hint="eastAsia" w:ascii="宋体" w:hAnsi="宋体" w:eastAsia="宋体" w:cs="宋体"/>
          <w:color w:val="333333"/>
          <w:shd w:val="clear" w:color="auto" w:fill="FFFFFF"/>
        </w:rPr>
        <w:t>本项目采用</w:t>
      </w:r>
      <w:r>
        <w:rPr>
          <w:rFonts w:hint="eastAsia" w:ascii="宋体" w:hAnsi="宋体" w:eastAsia="宋体" w:cs="宋体"/>
          <w:color w:val="333333"/>
          <w:u w:val="single"/>
          <w:shd w:val="clear" w:color="auto" w:fill="FFFFFF"/>
        </w:rPr>
        <w:t>综合评分法</w:t>
      </w:r>
      <w:r>
        <w:rPr>
          <w:rFonts w:hint="eastAsia" w:ascii="宋体" w:hAnsi="宋体" w:eastAsia="宋体" w:cs="宋体"/>
          <w:color w:val="333333"/>
          <w:shd w:val="clear" w:color="auto" w:fill="FFFFFF"/>
        </w:rPr>
        <w:t>，按照评审得分由高到低顺序推荐3名以上成交候选供应商，并编写评审报告。符合《政府采购竞争性磋商采购方式管理暂行办法》</w:t>
      </w:r>
      <w:r>
        <w:rPr>
          <w:rFonts w:hint="eastAsia" w:ascii="宋体" w:hAnsi="宋体" w:eastAsia="宋体" w:cs="宋体"/>
        </w:rPr>
        <w:t>第二十一条第三款情形的，可以推荐2家成交候选供应商。评审得分相同的，按照最后报价由低到高的顺序推荐。评审得分且最后报价相同的，按照技术指标优劣顺序推荐。</w:t>
      </w:r>
    </w:p>
    <w:p w14:paraId="6445E94A">
      <w:pPr>
        <w:pStyle w:val="34"/>
        <w:spacing w:before="120" w:beforeAutospacing="0" w:after="120" w:afterAutospacing="0" w:line="360" w:lineRule="auto"/>
        <w:ind w:firstLine="441"/>
        <w:rPr>
          <w:rFonts w:hint="eastAsia" w:ascii="宋体" w:hAnsi="宋体" w:eastAsia="宋体" w:cs="宋体"/>
        </w:rPr>
      </w:pPr>
      <w:r>
        <w:rPr>
          <w:rFonts w:hint="eastAsia" w:ascii="宋体" w:hAnsi="宋体" w:eastAsia="宋体" w:cs="宋体"/>
          <w:b/>
        </w:rPr>
        <w:t>二、政府采购政策功能落实</w:t>
      </w:r>
    </w:p>
    <w:p w14:paraId="6913B7AA">
      <w:pPr>
        <w:spacing w:before="120" w:after="120" w:line="360" w:lineRule="auto"/>
        <w:ind w:firstLine="441"/>
        <w:jc w:val="left"/>
        <w:rPr>
          <w:rFonts w:hint="eastAsia" w:ascii="宋体" w:hAnsi="宋体"/>
          <w:b/>
          <w:sz w:val="24"/>
        </w:rPr>
      </w:pPr>
      <w:r>
        <w:rPr>
          <w:rFonts w:hint="eastAsia" w:ascii="宋体" w:hAnsi="宋体" w:eastAsia="宋体" w:cs="宋体"/>
          <w:sz w:val="24"/>
        </w:rPr>
        <w:t>1、</w:t>
      </w:r>
      <w:r>
        <w:rPr>
          <w:rFonts w:hint="eastAsia" w:ascii="宋体" w:hAnsi="宋体"/>
          <w:b/>
          <w:sz w:val="24"/>
        </w:rPr>
        <w:t>政府采购政策功能落实</w:t>
      </w:r>
    </w:p>
    <w:p w14:paraId="3479D14C">
      <w:pPr>
        <w:spacing w:before="120" w:after="120" w:line="0" w:lineRule="atLeast"/>
        <w:ind w:firstLine="480"/>
        <w:jc w:val="left"/>
        <w:rPr>
          <w:rFonts w:hint="eastAsia" w:ascii="宋体" w:hAnsi="宋体"/>
          <w:sz w:val="24"/>
        </w:rPr>
      </w:pPr>
      <w:r>
        <w:rPr>
          <w:rFonts w:hint="eastAsia" w:ascii="宋体" w:hAnsi="宋体"/>
          <w:sz w:val="24"/>
        </w:rPr>
        <w:t>1、小微型企业价格扣除</w:t>
      </w:r>
    </w:p>
    <w:p w14:paraId="405F1099">
      <w:pPr>
        <w:spacing w:before="120" w:after="120" w:line="0" w:lineRule="atLeast"/>
        <w:ind w:firstLine="360"/>
        <w:jc w:val="left"/>
        <w:rPr>
          <w:rFonts w:hint="eastAsia" w:ascii="宋体" w:hAnsi="宋体"/>
          <w:sz w:val="24"/>
        </w:rPr>
      </w:pPr>
      <w:r>
        <w:rPr>
          <w:rFonts w:hint="eastAsia" w:ascii="宋体" w:hAnsi="宋体"/>
          <w:sz w:val="24"/>
        </w:rPr>
        <w:t>（1）本项目对小型和微型企业产品给</w:t>
      </w:r>
      <w:r>
        <w:rPr>
          <w:rFonts w:hint="eastAsia" w:ascii="宋体" w:hAnsi="宋体"/>
          <w:color w:val="000000" w:themeColor="text1"/>
          <w:sz w:val="24"/>
          <w14:textFill>
            <w14:solidFill>
              <w14:schemeClr w14:val="tx1"/>
            </w14:solidFill>
          </w14:textFill>
        </w:rPr>
        <w:t>予</w:t>
      </w:r>
      <w:r>
        <w:rPr>
          <w:rFonts w:hint="eastAsia" w:ascii="宋体" w:hAnsi="宋体" w:eastAsia="宋体"/>
          <w:color w:val="000000" w:themeColor="text1"/>
          <w:sz w:val="24"/>
          <w:u w:val="single"/>
          <w14:textFill>
            <w14:solidFill>
              <w14:schemeClr w14:val="tx1"/>
            </w14:solidFill>
          </w14:textFill>
        </w:rPr>
        <w:t>20</w:t>
      </w:r>
      <w:r>
        <w:rPr>
          <w:rFonts w:hint="eastAsia" w:ascii="宋体" w:hAnsi="宋体"/>
          <w:color w:val="000000" w:themeColor="text1"/>
          <w:sz w:val="24"/>
          <w:u w:val="single"/>
          <w14:textFill>
            <w14:solidFill>
              <w14:schemeClr w14:val="tx1"/>
            </w14:solidFill>
          </w14:textFill>
        </w:rPr>
        <w:t>%</w:t>
      </w:r>
      <w:r>
        <w:rPr>
          <w:rFonts w:hint="eastAsia" w:ascii="宋体" w:hAnsi="宋体"/>
          <w:color w:val="000000" w:themeColor="text1"/>
          <w:sz w:val="24"/>
          <w14:textFill>
            <w14:solidFill>
              <w14:schemeClr w14:val="tx1"/>
            </w14:solidFill>
          </w14:textFill>
        </w:rPr>
        <w:t>的</w:t>
      </w:r>
      <w:r>
        <w:rPr>
          <w:rFonts w:hint="eastAsia" w:ascii="宋体" w:hAnsi="宋体"/>
          <w:sz w:val="24"/>
        </w:rPr>
        <w:t>扣除价格，用扣除后的价格参与评审。</w:t>
      </w:r>
    </w:p>
    <w:p w14:paraId="1A0C9C12">
      <w:pPr>
        <w:spacing w:before="120" w:after="120" w:line="0" w:lineRule="atLeast"/>
        <w:ind w:firstLine="360"/>
        <w:jc w:val="left"/>
        <w:rPr>
          <w:rFonts w:hint="eastAsia" w:ascii="宋体" w:hAnsi="宋体"/>
          <w:sz w:val="24"/>
        </w:rPr>
      </w:pPr>
      <w:r>
        <w:rPr>
          <w:rFonts w:hint="eastAsia" w:ascii="宋体" w:hAnsi="宋体"/>
          <w:sz w:val="24"/>
        </w:rPr>
        <w:t>（2）供应商需按照采购文件的要求提供相应的《小微企业声明函》。</w:t>
      </w:r>
    </w:p>
    <w:p w14:paraId="70CC13E3">
      <w:pPr>
        <w:spacing w:before="120" w:after="120" w:line="0" w:lineRule="atLeast"/>
        <w:ind w:firstLine="360"/>
        <w:jc w:val="left"/>
        <w:rPr>
          <w:rFonts w:hint="eastAsia" w:ascii="宋体" w:hAnsi="宋体"/>
          <w:sz w:val="24"/>
        </w:rPr>
      </w:pPr>
      <w:r>
        <w:rPr>
          <w:rFonts w:hint="eastAsia" w:ascii="宋体" w:hAnsi="宋体"/>
          <w:sz w:val="24"/>
        </w:rPr>
        <w:t>（3）企业标准请参照《关于印发中小企业划型标准规定的通知》（工信部联企业[2011]300号）文件规定自行填写。</w:t>
      </w:r>
    </w:p>
    <w:p w14:paraId="6023D1E4">
      <w:pPr>
        <w:spacing w:before="120" w:after="120" w:line="0" w:lineRule="atLeast"/>
        <w:ind w:firstLine="480"/>
        <w:jc w:val="left"/>
        <w:rPr>
          <w:rFonts w:hint="eastAsia" w:ascii="宋体" w:hAnsi="宋体"/>
          <w:sz w:val="24"/>
        </w:rPr>
      </w:pPr>
      <w:r>
        <w:rPr>
          <w:rFonts w:hint="eastAsia" w:ascii="宋体" w:hAnsi="宋体"/>
          <w:sz w:val="24"/>
        </w:rPr>
        <w:t>2、残疾人福利单位价格扣除</w:t>
      </w:r>
    </w:p>
    <w:p w14:paraId="5937FD5B">
      <w:pPr>
        <w:spacing w:before="120" w:after="120" w:line="0" w:lineRule="atLeast"/>
        <w:ind w:left="120" w:firstLine="360"/>
        <w:jc w:val="left"/>
        <w:rPr>
          <w:rFonts w:hint="eastAsia" w:ascii="宋体" w:hAnsi="宋体"/>
          <w:sz w:val="24"/>
        </w:rPr>
      </w:pPr>
      <w:r>
        <w:rPr>
          <w:rFonts w:hint="eastAsia" w:ascii="宋体" w:hAnsi="宋体"/>
          <w:sz w:val="24"/>
        </w:rPr>
        <w:t>（1）本项目对残疾人福利性单位视同小型、微型企业，给予</w:t>
      </w:r>
      <w:r>
        <w:rPr>
          <w:rFonts w:ascii="宋体" w:hAnsi="宋体"/>
          <w:sz w:val="24"/>
          <w:u w:val="single"/>
        </w:rPr>
        <w:t>2</w:t>
      </w:r>
      <w:r>
        <w:rPr>
          <w:rFonts w:hint="eastAsia" w:ascii="宋体" w:hAnsi="宋体"/>
          <w:sz w:val="24"/>
          <w:u w:val="single"/>
        </w:rPr>
        <w:t>0%</w:t>
      </w:r>
      <w:r>
        <w:rPr>
          <w:rFonts w:hint="eastAsia" w:ascii="宋体" w:hAnsi="宋体"/>
          <w:sz w:val="24"/>
        </w:rPr>
        <w:t>的价格扣除，用扣除后的价格参与评审。</w:t>
      </w:r>
    </w:p>
    <w:p w14:paraId="53FF6A9E">
      <w:pPr>
        <w:spacing w:before="120" w:after="120" w:line="0" w:lineRule="atLeast"/>
        <w:ind w:left="120" w:firstLine="360"/>
        <w:jc w:val="left"/>
        <w:rPr>
          <w:rFonts w:hint="eastAsia" w:ascii="宋体" w:hAnsi="宋体"/>
          <w:sz w:val="24"/>
        </w:rPr>
      </w:pPr>
      <w:r>
        <w:rPr>
          <w:rFonts w:hint="eastAsia" w:ascii="宋体" w:hAnsi="宋体"/>
          <w:sz w:val="24"/>
        </w:rPr>
        <w:t>（2）残疾人福利单位需按照采购文件的要求提供《残疾人福利性单位声明函》。</w:t>
      </w:r>
    </w:p>
    <w:p w14:paraId="08AA1215">
      <w:pPr>
        <w:spacing w:before="120" w:after="120" w:line="0" w:lineRule="atLeast"/>
        <w:ind w:left="120" w:firstLine="360"/>
        <w:jc w:val="left"/>
        <w:rPr>
          <w:rFonts w:hint="eastAsia" w:ascii="宋体" w:hAnsi="宋体"/>
          <w:sz w:val="24"/>
        </w:rPr>
      </w:pPr>
      <w:r>
        <w:rPr>
          <w:rFonts w:hint="eastAsia" w:ascii="宋体" w:hAnsi="宋体"/>
          <w:sz w:val="24"/>
        </w:rPr>
        <w:t>（3）残疾人福利单位标准请参照《关于促进残疾人就业政府采购政策的通知》（财库〔2017〕141号）。</w:t>
      </w:r>
    </w:p>
    <w:p w14:paraId="7F846B91">
      <w:pPr>
        <w:spacing w:before="120" w:after="120" w:line="0" w:lineRule="atLeast"/>
        <w:ind w:firstLine="480"/>
        <w:jc w:val="left"/>
        <w:rPr>
          <w:rFonts w:hint="eastAsia" w:ascii="宋体" w:hAnsi="宋体"/>
          <w:sz w:val="24"/>
        </w:rPr>
      </w:pPr>
      <w:r>
        <w:rPr>
          <w:rFonts w:hint="eastAsia" w:ascii="宋体" w:hAnsi="宋体"/>
          <w:sz w:val="24"/>
        </w:rPr>
        <w:t>3、监狱和戒毒企业价格扣除</w:t>
      </w:r>
    </w:p>
    <w:p w14:paraId="161FA5DF">
      <w:pPr>
        <w:spacing w:before="120" w:after="120" w:line="0" w:lineRule="atLeast"/>
        <w:ind w:firstLine="480"/>
        <w:jc w:val="left"/>
        <w:rPr>
          <w:rFonts w:hint="eastAsia" w:ascii="宋体" w:hAnsi="宋体"/>
          <w:sz w:val="24"/>
        </w:rPr>
      </w:pPr>
      <w:r>
        <w:rPr>
          <w:rFonts w:hint="eastAsia" w:ascii="宋体" w:hAnsi="宋体"/>
          <w:sz w:val="24"/>
        </w:rPr>
        <w:t>（1）本项目对监狱和戒毒企业（简称监狱企业）视同小型、微型企业，给予</w:t>
      </w:r>
      <w:r>
        <w:rPr>
          <w:rFonts w:ascii="宋体" w:hAnsi="宋体"/>
          <w:sz w:val="24"/>
          <w:u w:val="single"/>
        </w:rPr>
        <w:t>2</w:t>
      </w:r>
      <w:r>
        <w:rPr>
          <w:rFonts w:hint="eastAsia" w:ascii="宋体" w:hAnsi="宋体"/>
          <w:sz w:val="24"/>
          <w:u w:val="single"/>
        </w:rPr>
        <w:t>0%</w:t>
      </w:r>
      <w:r>
        <w:rPr>
          <w:rFonts w:hint="eastAsia" w:ascii="宋体" w:hAnsi="宋体"/>
          <w:sz w:val="24"/>
        </w:rPr>
        <w:t>的价格扣除，用扣除后的价格参与评审。</w:t>
      </w:r>
    </w:p>
    <w:p w14:paraId="572B09CB">
      <w:pPr>
        <w:spacing w:before="120" w:after="120" w:line="0" w:lineRule="atLeast"/>
        <w:ind w:firstLine="480"/>
        <w:jc w:val="left"/>
        <w:rPr>
          <w:rFonts w:hint="eastAsia"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14:paraId="292389EA">
      <w:pPr>
        <w:spacing w:before="120" w:after="120" w:line="0" w:lineRule="atLeast"/>
        <w:ind w:firstLine="480"/>
        <w:jc w:val="left"/>
        <w:rPr>
          <w:rFonts w:hint="eastAsia" w:ascii="宋体" w:hAnsi="宋体"/>
          <w:sz w:val="24"/>
        </w:rPr>
      </w:pPr>
      <w:r>
        <w:rPr>
          <w:rFonts w:hint="eastAsia" w:ascii="宋体" w:hAnsi="宋体"/>
          <w:sz w:val="24"/>
        </w:rPr>
        <w:t>（3）监狱企业标准请参照《关于政府采购支持监狱企业发展有关问题的通知》（</w:t>
      </w:r>
      <w:r>
        <w:rPr>
          <w:rFonts w:ascii="宋体" w:hAnsi="宋体"/>
          <w:sz w:val="24"/>
        </w:rPr>
        <w:t>财库[2014]68号</w:t>
      </w:r>
      <w:r>
        <w:rPr>
          <w:rFonts w:hint="eastAsia" w:ascii="宋体" w:hAnsi="宋体"/>
          <w:sz w:val="24"/>
        </w:rPr>
        <w:t>）。</w:t>
      </w:r>
    </w:p>
    <w:p w14:paraId="536E8F54">
      <w:pPr>
        <w:spacing w:before="120" w:after="120" w:line="400" w:lineRule="exact"/>
        <w:ind w:firstLine="480"/>
        <w:jc w:val="left"/>
        <w:rPr>
          <w:rFonts w:hint="eastAsia" w:ascii="宋体" w:hAnsi="宋体" w:eastAsia="宋体" w:cs="宋体"/>
          <w:sz w:val="24"/>
        </w:rPr>
      </w:pPr>
      <w:r>
        <w:rPr>
          <w:rFonts w:hint="eastAsia" w:ascii="宋体" w:hAnsi="宋体"/>
          <w:sz w:val="24"/>
        </w:rPr>
        <w:t>4、残疾人福利单位、监狱企业属于小型、微型企业的，不重复享受政策。</w:t>
      </w:r>
    </w:p>
    <w:p w14:paraId="537D61A1">
      <w:pPr>
        <w:ind w:firstLine="480"/>
        <w:rPr>
          <w:rFonts w:hint="eastAsia"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14:paraId="0C174EB5">
      <w:pPr>
        <w:ind w:firstLine="480"/>
        <w:rPr>
          <w:rFonts w:hint="eastAsia" w:ascii="宋体" w:hAnsi="宋体" w:eastAsia="宋体" w:cs="宋体"/>
          <w:sz w:val="24"/>
        </w:rPr>
      </w:pPr>
      <w:r>
        <w:rPr>
          <w:rFonts w:hint="eastAsia" w:ascii="宋体" w:hAnsi="宋体" w:eastAsia="宋体" w:cs="宋体"/>
          <w:sz w:val="24"/>
        </w:rPr>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75333AD6">
      <w:pPr>
        <w:ind w:firstLine="480"/>
        <w:rPr>
          <w:rFonts w:hint="eastAsia" w:ascii="宋体" w:hAnsi="宋体" w:eastAsia="宋体" w:cs="宋体"/>
          <w:sz w:val="24"/>
        </w:rPr>
      </w:pPr>
      <w:r>
        <w:rPr>
          <w:rFonts w:hint="eastAsia" w:ascii="宋体" w:hAnsi="宋体" w:eastAsia="宋体" w:cs="宋体"/>
          <w:sz w:val="24"/>
        </w:rPr>
        <w:t>6、供应商对于投标产品的商品包装、快递包装应按照“财办库〔2020〕123号《关于印发《商品包装政府采购需求标准（试行）》、《快递包装政府采购需求标准（试行）》的通知》”执行。</w:t>
      </w:r>
    </w:p>
    <w:p w14:paraId="49650FB7">
      <w:pPr>
        <w:ind w:firstLine="480"/>
        <w:rPr>
          <w:rFonts w:hint="eastAsia"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4518AF94">
      <w:r>
        <w:rPr>
          <w:rFonts w:hint="eastAsia" w:ascii="宋体" w:hAnsi="宋体" w:eastAsia="宋体" w:cs="宋体"/>
          <w:b/>
          <w:sz w:val="24"/>
        </w:rPr>
        <w:t>三、评审标准</w:t>
      </w:r>
    </w:p>
    <w:p w14:paraId="5F14A146"/>
    <w:p w14:paraId="357BD279"/>
    <w:tbl>
      <w:tblPr>
        <w:tblStyle w:val="38"/>
        <w:tblW w:w="10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069"/>
        <w:gridCol w:w="7743"/>
      </w:tblGrid>
      <w:tr w14:paraId="20E0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365" w:type="dxa"/>
            <w:vAlign w:val="center"/>
          </w:tcPr>
          <w:p w14:paraId="6A462FD7">
            <w:pPr>
              <w:widowControl/>
              <w:spacing w:line="360" w:lineRule="auto"/>
              <w:jc w:val="center"/>
              <w:rPr>
                <w:rFonts w:hint="eastAsia" w:ascii="宋体" w:hAnsi="宋体" w:cs="宋体"/>
                <w:szCs w:val="21"/>
              </w:rPr>
            </w:pPr>
            <w:r>
              <w:rPr>
                <w:rFonts w:hint="eastAsia" w:ascii="宋体" w:hAnsi="宋体" w:cs="宋体"/>
                <w:b/>
                <w:bCs/>
                <w:szCs w:val="21"/>
                <w:lang w:bidi="ar"/>
              </w:rPr>
              <w:t>分项</w:t>
            </w:r>
          </w:p>
        </w:tc>
        <w:tc>
          <w:tcPr>
            <w:tcW w:w="1069" w:type="dxa"/>
            <w:vAlign w:val="center"/>
          </w:tcPr>
          <w:p w14:paraId="21A63AAD">
            <w:pPr>
              <w:widowControl/>
              <w:spacing w:line="360" w:lineRule="auto"/>
              <w:jc w:val="center"/>
              <w:rPr>
                <w:rFonts w:hint="eastAsia" w:ascii="宋体" w:hAnsi="宋体" w:cs="宋体"/>
                <w:szCs w:val="21"/>
              </w:rPr>
            </w:pPr>
            <w:r>
              <w:rPr>
                <w:rFonts w:hint="eastAsia" w:ascii="宋体" w:hAnsi="宋体" w:cs="宋体"/>
                <w:b/>
                <w:bCs/>
                <w:szCs w:val="21"/>
                <w:lang w:bidi="ar"/>
              </w:rPr>
              <w:t>分值</w:t>
            </w:r>
          </w:p>
        </w:tc>
        <w:tc>
          <w:tcPr>
            <w:tcW w:w="7743" w:type="dxa"/>
            <w:vAlign w:val="center"/>
          </w:tcPr>
          <w:p w14:paraId="0125C416">
            <w:pPr>
              <w:widowControl/>
              <w:spacing w:line="360" w:lineRule="auto"/>
              <w:jc w:val="center"/>
              <w:rPr>
                <w:rFonts w:hint="eastAsia" w:ascii="宋体" w:hAnsi="宋体" w:cs="宋体"/>
                <w:szCs w:val="21"/>
              </w:rPr>
            </w:pPr>
            <w:r>
              <w:rPr>
                <w:rFonts w:hint="eastAsia" w:ascii="宋体" w:hAnsi="宋体" w:cs="宋体"/>
                <w:b/>
                <w:bCs/>
                <w:szCs w:val="21"/>
                <w:lang w:bidi="ar"/>
              </w:rPr>
              <w:t>评分标准</w:t>
            </w:r>
          </w:p>
        </w:tc>
      </w:tr>
      <w:tr w14:paraId="4129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1365" w:type="dxa"/>
            <w:vAlign w:val="center"/>
          </w:tcPr>
          <w:p w14:paraId="5331DF21">
            <w:pPr>
              <w:widowControl/>
              <w:spacing w:line="360" w:lineRule="auto"/>
              <w:jc w:val="center"/>
              <w:rPr>
                <w:rFonts w:hint="eastAsia" w:ascii="宋体" w:hAnsi="宋体" w:cs="宋体"/>
                <w:sz w:val="24"/>
                <w:lang w:bidi="ar"/>
              </w:rPr>
            </w:pPr>
            <w:r>
              <w:rPr>
                <w:rFonts w:hint="eastAsia" w:ascii="宋体" w:hAnsi="宋体" w:cs="宋体"/>
                <w:sz w:val="24"/>
                <w:lang w:bidi="ar"/>
              </w:rPr>
              <w:t>投标报价</w:t>
            </w:r>
          </w:p>
        </w:tc>
        <w:tc>
          <w:tcPr>
            <w:tcW w:w="1069" w:type="dxa"/>
            <w:vAlign w:val="center"/>
          </w:tcPr>
          <w:p w14:paraId="3B49DAC7">
            <w:pPr>
              <w:widowControl/>
              <w:spacing w:line="360" w:lineRule="auto"/>
              <w:jc w:val="center"/>
              <w:rPr>
                <w:rFonts w:hint="eastAsia" w:ascii="宋体" w:hAnsi="宋体" w:cs="宋体"/>
                <w:sz w:val="24"/>
                <w:lang w:bidi="ar"/>
              </w:rPr>
            </w:pPr>
            <w:r>
              <w:rPr>
                <w:rFonts w:hint="eastAsia" w:ascii="宋体" w:hAnsi="宋体" w:cs="宋体"/>
                <w:sz w:val="24"/>
                <w:lang w:bidi="ar"/>
              </w:rPr>
              <w:t>10分</w:t>
            </w:r>
          </w:p>
        </w:tc>
        <w:tc>
          <w:tcPr>
            <w:tcW w:w="7743" w:type="dxa"/>
            <w:vAlign w:val="center"/>
          </w:tcPr>
          <w:p w14:paraId="1B5AE81A">
            <w:pPr>
              <w:wordWrap w:val="0"/>
              <w:topLinePunct/>
              <w:spacing w:line="320" w:lineRule="exact"/>
              <w:rPr>
                <w:rFonts w:hint="eastAsia" w:ascii="宋体" w:hAnsi="宋体" w:eastAsia="宋体" w:cs="宋体"/>
                <w:sz w:val="24"/>
              </w:rPr>
            </w:pPr>
            <w:r>
              <w:rPr>
                <w:rFonts w:hint="eastAsia" w:ascii="宋体" w:hAnsi="宋体" w:eastAsia="宋体" w:cs="宋体"/>
                <w:sz w:val="24"/>
              </w:rPr>
              <w:t>评标基准价：</w:t>
            </w:r>
            <w:r>
              <w:rPr>
                <w:rFonts w:hint="eastAsia" w:ascii="宋体" w:hAnsi="宋体" w:eastAsia="宋体" w:cs="宋体"/>
                <w:sz w:val="24"/>
                <w:lang w:val="en-US" w:eastAsia="zh-CN"/>
              </w:rPr>
              <w:t>采用低价优先算法，</w:t>
            </w:r>
            <w:r>
              <w:rPr>
                <w:rFonts w:hint="eastAsia" w:ascii="宋体" w:hAnsi="宋体" w:eastAsia="宋体" w:cs="宋体"/>
                <w:sz w:val="24"/>
              </w:rPr>
              <w:t>满足招标文件要求且投标价格最低的投标报价为评标基准价，其价格分为10分。</w:t>
            </w:r>
          </w:p>
          <w:p w14:paraId="0986DED4">
            <w:pPr>
              <w:wordWrap w:val="0"/>
              <w:topLinePunct/>
              <w:spacing w:line="320" w:lineRule="exact"/>
              <w:rPr>
                <w:rFonts w:hint="eastAsia" w:ascii="宋体" w:hAnsi="宋体" w:eastAsia="宋体" w:cs="宋体"/>
                <w:sz w:val="24"/>
              </w:rPr>
            </w:pPr>
            <w:r>
              <w:rPr>
                <w:rFonts w:hint="eastAsia" w:ascii="宋体" w:hAnsi="宋体" w:eastAsia="宋体" w:cs="宋体"/>
                <w:sz w:val="24"/>
              </w:rPr>
              <w:t>其他投标人的价格分统一按照下列公式计算（小数点后保留两位）：</w:t>
            </w:r>
          </w:p>
          <w:p w14:paraId="161F1308">
            <w:pPr>
              <w:wordWrap w:val="0"/>
              <w:topLinePunct/>
              <w:spacing w:line="320" w:lineRule="exact"/>
              <w:rPr>
                <w:rFonts w:hint="eastAsia" w:ascii="宋体" w:hAnsi="宋体" w:eastAsia="宋体" w:cs="宋体"/>
                <w:b/>
                <w:bCs/>
                <w:sz w:val="24"/>
              </w:rPr>
            </w:pPr>
            <w:r>
              <w:rPr>
                <w:rFonts w:hint="eastAsia" w:ascii="宋体" w:hAnsi="宋体" w:eastAsia="宋体" w:cs="宋体"/>
                <w:sz w:val="24"/>
              </w:rPr>
              <w:t>投标报价得分=(评标基准价／投标报价)×10（保留两位小数）</w:t>
            </w:r>
          </w:p>
        </w:tc>
      </w:tr>
      <w:tr w14:paraId="1DB0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jc w:val="center"/>
        </w:trPr>
        <w:tc>
          <w:tcPr>
            <w:tcW w:w="1365" w:type="dxa"/>
            <w:vAlign w:val="center"/>
          </w:tcPr>
          <w:p w14:paraId="7BB33A87">
            <w:pPr>
              <w:widowControl/>
              <w:spacing w:line="400" w:lineRule="exact"/>
              <w:jc w:val="center"/>
              <w:rPr>
                <w:rFonts w:hint="eastAsia" w:ascii="宋体" w:hAnsi="宋体" w:cs="宋体"/>
                <w:sz w:val="24"/>
              </w:rPr>
            </w:pPr>
            <w:r>
              <w:rPr>
                <w:rFonts w:hint="eastAsia" w:ascii="宋体" w:hAnsi="宋体" w:cs="宋体"/>
                <w:sz w:val="24"/>
              </w:rPr>
              <w:t>服务方案</w:t>
            </w:r>
          </w:p>
          <w:p w14:paraId="25D9550A">
            <w:pPr>
              <w:pStyle w:val="45"/>
              <w:rPr>
                <w:rFonts w:eastAsia="宋体"/>
              </w:rPr>
            </w:pPr>
          </w:p>
        </w:tc>
        <w:tc>
          <w:tcPr>
            <w:tcW w:w="1069" w:type="dxa"/>
            <w:vAlign w:val="center"/>
          </w:tcPr>
          <w:p w14:paraId="1DA02E30">
            <w:pPr>
              <w:widowControl/>
              <w:spacing w:line="400" w:lineRule="exact"/>
              <w:jc w:val="center"/>
              <w:rPr>
                <w:rFonts w:hint="eastAsia" w:ascii="宋体" w:hAnsi="宋体" w:cs="宋体"/>
                <w:bCs/>
                <w:sz w:val="24"/>
              </w:rPr>
            </w:pPr>
            <w:r>
              <w:rPr>
                <w:rFonts w:hint="eastAsia" w:ascii="宋体" w:hAnsi="宋体" w:cs="宋体"/>
                <w:bCs/>
                <w:sz w:val="24"/>
              </w:rPr>
              <w:t>68分</w:t>
            </w:r>
          </w:p>
          <w:p w14:paraId="25189AD7">
            <w:pPr>
              <w:widowControl/>
              <w:spacing w:line="400" w:lineRule="exact"/>
              <w:jc w:val="center"/>
              <w:rPr>
                <w:rFonts w:hint="eastAsia" w:ascii="宋体" w:hAnsi="宋体" w:cs="宋体"/>
                <w:sz w:val="24"/>
              </w:rPr>
            </w:pPr>
          </w:p>
        </w:tc>
        <w:tc>
          <w:tcPr>
            <w:tcW w:w="7743" w:type="dxa"/>
            <w:vAlign w:val="center"/>
          </w:tcPr>
          <w:p w14:paraId="3BF8F4CF">
            <w:pPr>
              <w:wordWrap w:val="0"/>
              <w:topLinePunct/>
              <w:spacing w:line="320" w:lineRule="exact"/>
              <w:rPr>
                <w:rFonts w:hint="eastAsia" w:ascii="宋体" w:hAnsi="宋体" w:cs="宋体"/>
                <w:sz w:val="24"/>
              </w:rPr>
            </w:pPr>
            <w:r>
              <w:rPr>
                <w:rFonts w:hint="eastAsia" w:ascii="宋体" w:hAnsi="宋体" w:cs="宋体"/>
                <w:sz w:val="24"/>
              </w:rPr>
              <w:t>1、对项目的了解：对项目背景、现场实际情况、重点难点分析及解决应对措施进行综合比较打分。</w:t>
            </w:r>
          </w:p>
          <w:p w14:paraId="58D486B5">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6C40C1F7">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方案内容全面，切合实际，可操作性强，完全满足项目需求的得12分；</w:t>
            </w:r>
          </w:p>
          <w:p w14:paraId="0B5E165F">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w:t>
            </w:r>
            <w:r>
              <w:rPr>
                <w:rFonts w:hint="eastAsia" w:ascii="宋体" w:hAnsi="宋体" w:eastAsia="宋体" w:cs="Times New Roman"/>
                <w:sz w:val="24"/>
                <w:lang w:val="en-US" w:eastAsia="zh-CN"/>
              </w:rPr>
              <w:t>3</w:t>
            </w:r>
            <w:r>
              <w:rPr>
                <w:rFonts w:hint="eastAsia" w:ascii="宋体" w:hAnsi="宋体" w:eastAsia="宋体" w:cs="Times New Roman"/>
                <w:sz w:val="24"/>
              </w:rPr>
              <w:t>分；</w:t>
            </w:r>
          </w:p>
          <w:p w14:paraId="338CF4E2">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419B48AF">
            <w:pPr>
              <w:wordWrap w:val="0"/>
              <w:topLinePunct/>
              <w:spacing w:line="320" w:lineRule="exact"/>
            </w:pPr>
            <w:r>
              <w:rPr>
                <w:rFonts w:hint="eastAsia" w:ascii="宋体" w:hAnsi="宋体" w:eastAsia="宋体" w:cs="Times New Roman"/>
                <w:sz w:val="24"/>
              </w:rPr>
              <w:t>未提供方案不得分。</w:t>
            </w:r>
          </w:p>
          <w:p w14:paraId="7D403F75">
            <w:pPr>
              <w:widowControl/>
              <w:spacing w:line="400" w:lineRule="exact"/>
              <w:rPr>
                <w:rFonts w:hint="eastAsia" w:ascii="宋体" w:hAnsi="宋体" w:cs="宋体"/>
                <w:color w:val="000000"/>
                <w:sz w:val="24"/>
              </w:rPr>
            </w:pPr>
            <w:r>
              <w:rPr>
                <w:rFonts w:hint="eastAsia" w:ascii="宋体" w:hAnsi="宋体" w:cs="宋体"/>
                <w:color w:val="000000"/>
                <w:sz w:val="24"/>
              </w:rPr>
              <w:t>2、技术方案：根据招标需求和项目特点制定技术服务方案，根据供应商提供的技术服务方案进行综合比较打分。</w:t>
            </w:r>
          </w:p>
          <w:p w14:paraId="24CF5C33">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4210CB32">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方案内容全面，切合实际，可操作性强，完全满足项目需求的得12分；</w:t>
            </w:r>
          </w:p>
          <w:p w14:paraId="19501F9F">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w:t>
            </w:r>
            <w:r>
              <w:rPr>
                <w:rFonts w:hint="eastAsia" w:ascii="宋体" w:hAnsi="宋体" w:eastAsia="宋体" w:cs="Times New Roman"/>
                <w:sz w:val="24"/>
                <w:lang w:val="en-US" w:eastAsia="zh-CN"/>
              </w:rPr>
              <w:t>3</w:t>
            </w:r>
            <w:r>
              <w:rPr>
                <w:rFonts w:hint="eastAsia" w:ascii="宋体" w:hAnsi="宋体" w:eastAsia="宋体" w:cs="Times New Roman"/>
                <w:sz w:val="24"/>
              </w:rPr>
              <w:t>分；</w:t>
            </w:r>
          </w:p>
          <w:p w14:paraId="31D9E42A">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0F12EB17">
            <w:pPr>
              <w:pStyle w:val="45"/>
            </w:pPr>
            <w:r>
              <w:rPr>
                <w:rFonts w:hint="eastAsia" w:hAnsi="宋体" w:eastAsia="宋体" w:cs="Times New Roman"/>
                <w:color w:val="auto"/>
              </w:rPr>
              <w:t>未提供方案不得分。</w:t>
            </w:r>
          </w:p>
          <w:p w14:paraId="63D17DF0">
            <w:pPr>
              <w:wordWrap w:val="0"/>
              <w:topLinePunct/>
              <w:spacing w:line="320" w:lineRule="exact"/>
              <w:rPr>
                <w:rFonts w:hint="eastAsia" w:ascii="宋体" w:hAnsi="宋体" w:cs="宋体"/>
                <w:color w:val="000000"/>
                <w:sz w:val="24"/>
              </w:rPr>
            </w:pPr>
            <w:r>
              <w:rPr>
                <w:rFonts w:hint="eastAsia" w:ascii="宋体" w:hAnsi="宋体" w:cs="宋体"/>
                <w:color w:val="000000"/>
                <w:sz w:val="24"/>
              </w:rPr>
              <w:t>3、质量</w:t>
            </w:r>
            <w:r>
              <w:rPr>
                <w:rFonts w:hint="eastAsia" w:ascii="宋体" w:hAnsi="宋体" w:eastAsia="宋体" w:cs="宋体"/>
                <w:color w:val="000000"/>
                <w:sz w:val="24"/>
              </w:rPr>
              <w:t>、安全、环保保障措施</w:t>
            </w:r>
            <w:r>
              <w:rPr>
                <w:rFonts w:hint="eastAsia" w:ascii="宋体" w:hAnsi="宋体" w:cs="宋体"/>
                <w:color w:val="000000"/>
                <w:sz w:val="24"/>
              </w:rPr>
              <w:t>：根据供应商提供项目质量</w:t>
            </w:r>
            <w:r>
              <w:rPr>
                <w:rFonts w:hint="eastAsia" w:ascii="宋体" w:hAnsi="宋体" w:eastAsia="宋体" w:cs="宋体"/>
                <w:color w:val="000000"/>
                <w:sz w:val="24"/>
              </w:rPr>
              <w:t>、安全、环保</w:t>
            </w:r>
            <w:r>
              <w:rPr>
                <w:rFonts w:hint="eastAsia" w:ascii="宋体" w:hAnsi="宋体" w:cs="宋体"/>
                <w:color w:val="000000"/>
                <w:sz w:val="24"/>
              </w:rPr>
              <w:t>保障措施的可行性、合理性，以及提供详细的各项质量</w:t>
            </w:r>
            <w:r>
              <w:rPr>
                <w:rFonts w:hint="eastAsia" w:ascii="宋体" w:hAnsi="宋体" w:eastAsia="宋体" w:cs="宋体"/>
                <w:color w:val="000000"/>
                <w:sz w:val="24"/>
              </w:rPr>
              <w:t>、安全、环保</w:t>
            </w:r>
            <w:r>
              <w:rPr>
                <w:rFonts w:hint="eastAsia" w:ascii="宋体" w:hAnsi="宋体" w:cs="宋体"/>
                <w:color w:val="000000"/>
                <w:sz w:val="24"/>
              </w:rPr>
              <w:t>保障措施进行综合比较打分。</w:t>
            </w:r>
          </w:p>
          <w:p w14:paraId="76D93CF2">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07040B2D">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方案内容全面，切合实际，可操作性强，完全满足项目需求的得16分；</w:t>
            </w:r>
          </w:p>
          <w:p w14:paraId="412D692E">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w:t>
            </w:r>
            <w:r>
              <w:rPr>
                <w:rFonts w:hint="eastAsia" w:ascii="宋体" w:hAnsi="宋体" w:eastAsia="宋体" w:cs="Times New Roman"/>
                <w:sz w:val="24"/>
                <w:lang w:val="en-US" w:eastAsia="zh-CN"/>
              </w:rPr>
              <w:t>4</w:t>
            </w:r>
            <w:r>
              <w:rPr>
                <w:rFonts w:hint="eastAsia" w:ascii="宋体" w:hAnsi="宋体" w:eastAsia="宋体" w:cs="Times New Roman"/>
                <w:sz w:val="24"/>
              </w:rPr>
              <w:t>分；</w:t>
            </w:r>
          </w:p>
          <w:p w14:paraId="0628ED85">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6B2CB8B1">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未提供方案不得分。</w:t>
            </w:r>
          </w:p>
          <w:p w14:paraId="2DB6530A">
            <w:pPr>
              <w:wordWrap w:val="0"/>
              <w:topLinePunct/>
              <w:spacing w:line="320" w:lineRule="exact"/>
              <w:rPr>
                <w:rFonts w:hint="eastAsia" w:ascii="宋体" w:hAnsi="宋体" w:cs="宋体"/>
                <w:color w:val="000000"/>
                <w:sz w:val="24"/>
              </w:rPr>
            </w:pPr>
            <w:r>
              <w:rPr>
                <w:rFonts w:hint="eastAsia" w:ascii="宋体" w:hAnsi="宋体" w:cs="宋体"/>
                <w:color w:val="000000"/>
                <w:sz w:val="24"/>
              </w:rPr>
              <w:t>4、</w:t>
            </w:r>
            <w:r>
              <w:rPr>
                <w:rFonts w:hint="eastAsia" w:ascii="宋体" w:hAnsi="宋体" w:eastAsia="宋体" w:cs="宋体"/>
                <w:color w:val="000000"/>
                <w:sz w:val="24"/>
              </w:rPr>
              <w:t>进度</w:t>
            </w:r>
            <w:r>
              <w:rPr>
                <w:rFonts w:hint="eastAsia" w:ascii="宋体" w:hAnsi="宋体" w:cs="宋体"/>
                <w:color w:val="000000"/>
                <w:sz w:val="24"/>
              </w:rPr>
              <w:t>控制：根据供应商提供项目</w:t>
            </w:r>
            <w:r>
              <w:rPr>
                <w:rFonts w:hint="eastAsia" w:ascii="宋体" w:hAnsi="宋体" w:eastAsia="宋体" w:cs="宋体"/>
                <w:color w:val="000000"/>
                <w:sz w:val="24"/>
              </w:rPr>
              <w:t>实施进度</w:t>
            </w:r>
            <w:r>
              <w:rPr>
                <w:rFonts w:hint="eastAsia" w:ascii="宋体" w:hAnsi="宋体" w:cs="宋体"/>
                <w:color w:val="000000"/>
                <w:sz w:val="24"/>
              </w:rPr>
              <w:t>控制措施的可行性、合理性，以及提供详细的</w:t>
            </w:r>
            <w:r>
              <w:rPr>
                <w:rFonts w:hint="eastAsia" w:ascii="宋体" w:hAnsi="宋体" w:eastAsia="宋体" w:cs="宋体"/>
                <w:color w:val="000000"/>
                <w:sz w:val="24"/>
              </w:rPr>
              <w:t>实施进度</w:t>
            </w:r>
            <w:r>
              <w:rPr>
                <w:rFonts w:hint="eastAsia" w:ascii="宋体" w:hAnsi="宋体" w:cs="宋体"/>
                <w:color w:val="000000"/>
                <w:sz w:val="24"/>
              </w:rPr>
              <w:t>控制措施进行综合比较打分。</w:t>
            </w:r>
          </w:p>
          <w:p w14:paraId="469C8079">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7CF973A0">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方案内容全面，切合实际，可操作性强，完全满足项目需求的得12分；</w:t>
            </w:r>
          </w:p>
          <w:p w14:paraId="08D5C0E2">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w:t>
            </w:r>
            <w:r>
              <w:rPr>
                <w:rFonts w:hint="eastAsia" w:ascii="宋体" w:hAnsi="宋体" w:eastAsia="宋体" w:cs="Times New Roman"/>
                <w:sz w:val="24"/>
                <w:lang w:val="en-US" w:eastAsia="zh-CN"/>
              </w:rPr>
              <w:t>3</w:t>
            </w:r>
            <w:bookmarkStart w:id="178" w:name="_GoBack"/>
            <w:bookmarkEnd w:id="178"/>
            <w:r>
              <w:rPr>
                <w:rFonts w:hint="eastAsia" w:ascii="宋体" w:hAnsi="宋体" w:eastAsia="宋体" w:cs="Times New Roman"/>
                <w:sz w:val="24"/>
              </w:rPr>
              <w:t>分；</w:t>
            </w:r>
          </w:p>
          <w:p w14:paraId="0B55460B">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616CC05A">
            <w:pPr>
              <w:widowControl/>
              <w:spacing w:line="400" w:lineRule="exact"/>
              <w:rPr>
                <w:rFonts w:hint="eastAsia" w:ascii="宋体" w:hAnsi="宋体" w:cs="宋体"/>
                <w:color w:val="000000"/>
                <w:sz w:val="24"/>
              </w:rPr>
            </w:pPr>
            <w:r>
              <w:rPr>
                <w:rFonts w:hint="eastAsia" w:ascii="宋体" w:hAnsi="宋体" w:eastAsia="宋体" w:cs="Times New Roman"/>
                <w:sz w:val="24"/>
              </w:rPr>
              <w:t>未提供方案不得分。</w:t>
            </w:r>
          </w:p>
          <w:p w14:paraId="241C2AEB">
            <w:pPr>
              <w:wordWrap w:val="0"/>
              <w:topLinePunct/>
              <w:spacing w:line="320" w:lineRule="exact"/>
              <w:rPr>
                <w:rFonts w:hint="eastAsia" w:ascii="宋体" w:hAnsi="宋体" w:cs="宋体"/>
                <w:color w:val="000000"/>
                <w:sz w:val="24"/>
              </w:rPr>
            </w:pPr>
            <w:r>
              <w:rPr>
                <w:rFonts w:hint="eastAsia" w:ascii="宋体" w:hAnsi="宋体" w:cs="宋体"/>
                <w:color w:val="000000"/>
                <w:sz w:val="24"/>
              </w:rPr>
              <w:t>5、管理制度：根据</w:t>
            </w:r>
            <w:r>
              <w:rPr>
                <w:rFonts w:hint="eastAsia" w:ascii="宋体" w:hAnsi="宋体" w:eastAsia="宋体" w:cs="宋体"/>
                <w:color w:val="000000"/>
                <w:sz w:val="24"/>
              </w:rPr>
              <w:t>本</w:t>
            </w:r>
            <w:r>
              <w:rPr>
                <w:rFonts w:hint="eastAsia" w:ascii="宋体" w:hAnsi="宋体" w:cs="宋体"/>
                <w:color w:val="000000"/>
                <w:sz w:val="24"/>
              </w:rPr>
              <w:t>项目特点制定人员、设备</w:t>
            </w:r>
            <w:r>
              <w:rPr>
                <w:rFonts w:hint="eastAsia" w:ascii="宋体" w:hAnsi="宋体" w:eastAsia="宋体" w:cs="宋体"/>
                <w:color w:val="000000"/>
                <w:sz w:val="24"/>
              </w:rPr>
              <w:t>等</w:t>
            </w:r>
            <w:r>
              <w:rPr>
                <w:rFonts w:hint="eastAsia" w:ascii="宋体" w:hAnsi="宋体" w:cs="宋体"/>
                <w:color w:val="000000"/>
                <w:sz w:val="24"/>
              </w:rPr>
              <w:t>管理制度，</w:t>
            </w:r>
            <w:r>
              <w:rPr>
                <w:rFonts w:hint="eastAsia" w:ascii="宋体" w:hAnsi="宋体" w:eastAsia="宋体" w:cs="宋体"/>
                <w:color w:val="000000"/>
                <w:sz w:val="24"/>
              </w:rPr>
              <w:t>对</w:t>
            </w:r>
            <w:r>
              <w:rPr>
                <w:rFonts w:hint="eastAsia" w:ascii="宋体" w:hAnsi="宋体" w:cs="宋体"/>
                <w:color w:val="000000"/>
                <w:sz w:val="24"/>
              </w:rPr>
              <w:t>制度详细完整，可操作性进行综合比较打分。</w:t>
            </w:r>
          </w:p>
          <w:p w14:paraId="67A73443">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148CE5B4">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方案内容全面，切合实际，可操作性强，完全满足项目需求的得8分；</w:t>
            </w:r>
          </w:p>
          <w:p w14:paraId="7C54EB6D">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每有一项内容缺失、完整性、针对性、可操作性一般的扣2分；</w:t>
            </w:r>
          </w:p>
          <w:p w14:paraId="60D8A7E9">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72AE8476">
            <w:pPr>
              <w:pStyle w:val="45"/>
            </w:pPr>
            <w:r>
              <w:rPr>
                <w:rFonts w:hint="eastAsia" w:hAnsi="宋体" w:eastAsia="宋体" w:cs="Times New Roman"/>
                <w:color w:val="auto"/>
              </w:rPr>
              <w:t>未提供方案不得分。</w:t>
            </w:r>
          </w:p>
          <w:p w14:paraId="2C1C9582">
            <w:pPr>
              <w:wordWrap w:val="0"/>
              <w:topLinePunct/>
              <w:spacing w:line="320" w:lineRule="exact"/>
              <w:rPr>
                <w:rFonts w:hint="eastAsia" w:ascii="宋体" w:hAnsi="宋体" w:cs="宋体"/>
                <w:color w:val="000000"/>
                <w:sz w:val="24"/>
              </w:rPr>
            </w:pPr>
            <w:r>
              <w:rPr>
                <w:rFonts w:hint="eastAsia" w:ascii="宋体" w:hAnsi="宋体" w:cs="宋体"/>
                <w:color w:val="000000"/>
                <w:sz w:val="24"/>
              </w:rPr>
              <w:t>6、应急预案：供应商根据服务过程中遇到的各种情况制定应急预案，根据预案进行综合比较打分。</w:t>
            </w:r>
          </w:p>
          <w:p w14:paraId="5FA072C4">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由评委根据投标人提供方案的完整性、针对性、可操作性等情况进行综合评分：</w:t>
            </w:r>
          </w:p>
          <w:p w14:paraId="295FC18A">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方案内容全面，切合实际，可操作性强，完全满足项目需求的得8分；</w:t>
            </w:r>
          </w:p>
          <w:p w14:paraId="59909A08">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每有一项内容缺失、完整性、针对性、可操作性一般的扣2分；</w:t>
            </w:r>
          </w:p>
          <w:p w14:paraId="1B720903">
            <w:pPr>
              <w:wordWrap w:val="0"/>
              <w:topLinePunct/>
              <w:spacing w:line="320" w:lineRule="exact"/>
              <w:rPr>
                <w:rFonts w:hint="eastAsia" w:ascii="宋体" w:hAnsi="宋体" w:eastAsia="宋体" w:cs="Times New Roman"/>
                <w:sz w:val="24"/>
              </w:rPr>
            </w:pPr>
            <w:r>
              <w:rPr>
                <w:rFonts w:hint="eastAsia" w:ascii="宋体" w:hAnsi="宋体" w:eastAsia="宋体" w:cs="Times New Roman"/>
                <w:sz w:val="24"/>
              </w:rPr>
              <w:t>每有一处内容存在缺陷或不满足要求的扣1分，扣完为止；</w:t>
            </w:r>
          </w:p>
          <w:p w14:paraId="00D08558">
            <w:pPr>
              <w:widowControl/>
              <w:spacing w:line="400" w:lineRule="exact"/>
              <w:rPr>
                <w:rFonts w:hint="eastAsia" w:ascii="宋体" w:hAnsi="宋体" w:eastAsia="宋体" w:cs="Times New Roman"/>
                <w:sz w:val="24"/>
              </w:rPr>
            </w:pPr>
            <w:r>
              <w:rPr>
                <w:rFonts w:hint="eastAsia" w:ascii="宋体" w:hAnsi="宋体" w:eastAsia="宋体" w:cs="Times New Roman"/>
                <w:sz w:val="24"/>
              </w:rPr>
              <w:t>未提供方案不得分。</w:t>
            </w:r>
          </w:p>
          <w:p w14:paraId="5A983EDC">
            <w:pPr>
              <w:pStyle w:val="45"/>
            </w:pPr>
            <w:r>
              <w:rPr>
                <w:rFonts w:hint="eastAsia" w:hAnsi="宋体" w:eastAsia="宋体" w:cs="Times New Roman"/>
                <w:color w:val="auto"/>
              </w:rPr>
              <w:t>注：缺陷或不满足指：内容不全面、与实际需求不符、内容不清晰或交叉混乱、套用其他项目方案、有规范性或常识性错误、存在无关的事项、凭空编造、存在不可能实现的夸大情形等任意一种情形。</w:t>
            </w:r>
          </w:p>
        </w:tc>
      </w:tr>
      <w:tr w14:paraId="7152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7" w:hRule="atLeast"/>
          <w:jc w:val="center"/>
        </w:trPr>
        <w:tc>
          <w:tcPr>
            <w:tcW w:w="1365" w:type="dxa"/>
            <w:vAlign w:val="center"/>
          </w:tcPr>
          <w:p w14:paraId="277D8DA7">
            <w:pPr>
              <w:pStyle w:val="36"/>
              <w:spacing w:line="360" w:lineRule="auto"/>
              <w:ind w:firstLine="210"/>
              <w:jc w:val="center"/>
              <w:rPr>
                <w:rFonts w:hint="eastAsia" w:ascii="宋体" w:hAnsi="宋体" w:cs="宋体"/>
              </w:rPr>
            </w:pPr>
            <w:r>
              <w:rPr>
                <w:rFonts w:ascii="宋体" w:cs="宋体"/>
              </w:rPr>
              <w:t>拟投入设备</w:t>
            </w:r>
            <w:r>
              <w:rPr>
                <w:rFonts w:hint="eastAsia" w:ascii="宋体" w:cs="宋体"/>
              </w:rPr>
              <w:t>仪器</w:t>
            </w:r>
          </w:p>
        </w:tc>
        <w:tc>
          <w:tcPr>
            <w:tcW w:w="1069" w:type="dxa"/>
            <w:vAlign w:val="center"/>
          </w:tcPr>
          <w:p w14:paraId="16AFFFA9">
            <w:pPr>
              <w:widowControl/>
              <w:spacing w:line="360" w:lineRule="auto"/>
              <w:jc w:val="center"/>
              <w:rPr>
                <w:rFonts w:hint="eastAsia" w:ascii="宋体" w:hAnsi="宋体" w:eastAsia="宋体" w:cs="宋体"/>
                <w:sz w:val="24"/>
                <w:lang w:bidi="ar"/>
              </w:rPr>
            </w:pPr>
            <w:r>
              <w:rPr>
                <w:rFonts w:hint="eastAsia" w:ascii="宋体" w:hAnsi="宋体" w:cs="宋体"/>
                <w:sz w:val="24"/>
                <w:lang w:bidi="ar"/>
              </w:rPr>
              <w:t>10分</w:t>
            </w:r>
          </w:p>
        </w:tc>
        <w:tc>
          <w:tcPr>
            <w:tcW w:w="7743" w:type="dxa"/>
            <w:vAlign w:val="center"/>
          </w:tcPr>
          <w:p w14:paraId="78EFAE83">
            <w:pPr>
              <w:widowControl/>
              <w:spacing w:line="360" w:lineRule="auto"/>
              <w:jc w:val="left"/>
              <w:rPr>
                <w:rFonts w:ascii="宋体" w:hAnsi="Times New Roman" w:eastAsia="宋体" w:cs="宋体"/>
                <w:color w:val="000000"/>
                <w:sz w:val="24"/>
              </w:rPr>
            </w:pPr>
            <w:r>
              <w:rPr>
                <w:rFonts w:hint="eastAsia" w:ascii="宋体" w:hAnsi="Times New Roman" w:eastAsia="宋体" w:cs="宋体"/>
                <w:color w:val="000000"/>
                <w:sz w:val="24"/>
              </w:rPr>
              <w:t xml:space="preserve">1、具有清洗吸污车2.5分;         </w:t>
            </w:r>
          </w:p>
          <w:p w14:paraId="1E06D9AB">
            <w:pPr>
              <w:widowControl/>
              <w:spacing w:line="360" w:lineRule="auto"/>
              <w:jc w:val="left"/>
              <w:rPr>
                <w:rFonts w:ascii="宋体" w:hAnsi="Times New Roman" w:eastAsia="宋体" w:cs="宋体"/>
                <w:color w:val="000000"/>
                <w:sz w:val="24"/>
              </w:rPr>
            </w:pPr>
            <w:r>
              <w:rPr>
                <w:rFonts w:hint="eastAsia" w:ascii="宋体" w:hAnsi="Times New Roman" w:eastAsia="宋体" w:cs="宋体"/>
                <w:color w:val="000000"/>
                <w:sz w:val="24"/>
              </w:rPr>
              <w:t>2、具有“CCTV”视频检测设备，2.5分;</w:t>
            </w:r>
          </w:p>
          <w:p w14:paraId="07D93530">
            <w:pPr>
              <w:widowControl/>
              <w:spacing w:line="360" w:lineRule="auto"/>
              <w:jc w:val="left"/>
              <w:rPr>
                <w:rFonts w:ascii="宋体" w:hAnsi="Times New Roman" w:eastAsia="宋体" w:cs="宋体"/>
                <w:color w:val="000000"/>
                <w:sz w:val="24"/>
              </w:rPr>
            </w:pPr>
            <w:r>
              <w:rPr>
                <w:rFonts w:hint="eastAsia" w:ascii="宋体" w:hAnsi="Times New Roman" w:eastAsia="宋体" w:cs="宋体"/>
                <w:color w:val="000000"/>
                <w:sz w:val="24"/>
              </w:rPr>
              <w:t>3、具有“QV”检测设备，2.5分;</w:t>
            </w:r>
          </w:p>
          <w:p w14:paraId="32DA3187">
            <w:pPr>
              <w:widowControl/>
              <w:spacing w:line="360" w:lineRule="auto"/>
              <w:jc w:val="left"/>
              <w:rPr>
                <w:rFonts w:ascii="宋体" w:hAnsi="Times New Roman" w:eastAsia="宋体" w:cs="宋体"/>
                <w:color w:val="000000"/>
                <w:sz w:val="24"/>
              </w:rPr>
            </w:pPr>
            <w:r>
              <w:rPr>
                <w:rFonts w:hint="eastAsia" w:ascii="宋体" w:hAnsi="Times New Roman" w:eastAsia="宋体" w:cs="宋体"/>
                <w:color w:val="000000"/>
                <w:sz w:val="24"/>
              </w:rPr>
              <w:t>4、具有有毒有害气体检测设备，2.5分;</w:t>
            </w:r>
          </w:p>
          <w:p w14:paraId="77AADFA2">
            <w:pPr>
              <w:widowControl/>
              <w:spacing w:line="360" w:lineRule="auto"/>
              <w:jc w:val="left"/>
              <w:rPr>
                <w:rFonts w:hint="eastAsia" w:ascii="宋体" w:hAnsi="宋体" w:cs="宋体"/>
                <w:sz w:val="24"/>
              </w:rPr>
            </w:pPr>
            <w:r>
              <w:rPr>
                <w:rFonts w:hint="eastAsia" w:ascii="宋体" w:hAnsi="Times New Roman" w:eastAsia="宋体" w:cs="宋体"/>
                <w:color w:val="000000"/>
                <w:sz w:val="24"/>
              </w:rPr>
              <w:t>注</w:t>
            </w:r>
            <w:r>
              <w:rPr>
                <w:rFonts w:hint="eastAsia" w:ascii="宋体" w:hAnsi="Times New Roman" w:eastAsia="宋体" w:cs="宋体"/>
                <w:color w:val="000000" w:themeColor="text1"/>
                <w:sz w:val="24"/>
                <w14:textFill>
                  <w14:solidFill>
                    <w14:schemeClr w14:val="tx1"/>
                  </w14:solidFill>
                </w14:textFill>
              </w:rPr>
              <w:t>：所有设备仪器</w:t>
            </w:r>
            <w:r>
              <w:rPr>
                <w:rFonts w:hint="eastAsia" w:ascii="宋体" w:cs="宋体"/>
                <w:color w:val="000000" w:themeColor="text1"/>
                <w:sz w:val="24"/>
                <w14:textFill>
                  <w14:solidFill>
                    <w14:schemeClr w14:val="tx1"/>
                  </w14:solidFill>
                </w14:textFill>
              </w:rPr>
              <w:t>需</w:t>
            </w:r>
            <w:r>
              <w:rPr>
                <w:rFonts w:hint="eastAsia" w:ascii="宋体" w:hAnsi="Times New Roman" w:eastAsia="宋体" w:cs="宋体"/>
                <w:color w:val="000000" w:themeColor="text1"/>
                <w:sz w:val="24"/>
                <w14:textFill>
                  <w14:solidFill>
                    <w14:schemeClr w14:val="tx1"/>
                  </w14:solidFill>
                </w14:textFill>
              </w:rPr>
              <w:t>提供购置发票（发票日期不得晚于</w:t>
            </w:r>
            <w:r>
              <w:rPr>
                <w:rFonts w:hint="eastAsia" w:ascii="宋体" w:cs="宋体"/>
                <w:color w:val="000000" w:themeColor="text1"/>
                <w:sz w:val="24"/>
                <w14:textFill>
                  <w14:solidFill>
                    <w14:schemeClr w14:val="tx1"/>
                  </w14:solidFill>
                </w14:textFill>
              </w:rPr>
              <w:t>磋商</w:t>
            </w:r>
            <w:r>
              <w:rPr>
                <w:rFonts w:hint="eastAsia" w:ascii="宋体" w:hAnsi="Times New Roman" w:eastAsia="宋体" w:cs="宋体"/>
                <w:color w:val="000000" w:themeColor="text1"/>
                <w:sz w:val="24"/>
                <w14:textFill>
                  <w14:solidFill>
                    <w14:schemeClr w14:val="tx1"/>
                  </w14:solidFill>
                </w14:textFill>
              </w:rPr>
              <w:t>公告发出日期）</w:t>
            </w:r>
            <w:r>
              <w:rPr>
                <w:rFonts w:hint="eastAsia" w:ascii="宋体" w:cs="宋体"/>
                <w:color w:val="000000" w:themeColor="text1"/>
                <w:sz w:val="24"/>
                <w14:textFill>
                  <w14:solidFill>
                    <w14:schemeClr w14:val="tx1"/>
                  </w14:solidFill>
                </w14:textFill>
              </w:rPr>
              <w:t>原件彩色扫描件</w:t>
            </w:r>
            <w:r>
              <w:rPr>
                <w:rFonts w:hint="eastAsia" w:ascii="宋体" w:hAnsi="Times New Roman" w:eastAsia="宋体" w:cs="宋体"/>
                <w:color w:val="000000" w:themeColor="text1"/>
                <w:sz w:val="24"/>
                <w14:textFill>
                  <w14:solidFill>
                    <w14:schemeClr w14:val="tx1"/>
                  </w14:solidFill>
                </w14:textFill>
              </w:rPr>
              <w:t>。投标人自有车辆还需提供行驶证、产权证等证明材料</w:t>
            </w:r>
            <w:r>
              <w:rPr>
                <w:rFonts w:hint="eastAsia" w:ascii="宋体" w:cs="宋体"/>
                <w:color w:val="000000" w:themeColor="text1"/>
                <w:sz w:val="24"/>
                <w14:textFill>
                  <w14:solidFill>
                    <w14:schemeClr w14:val="tx1"/>
                  </w14:solidFill>
                </w14:textFill>
              </w:rPr>
              <w:t>原件扫描件</w:t>
            </w:r>
            <w:r>
              <w:rPr>
                <w:rFonts w:hint="eastAsia" w:ascii="宋体" w:hAnsi="Times New Roman" w:eastAsia="宋体" w:cs="宋体"/>
                <w:color w:val="000000" w:themeColor="text1"/>
                <w:sz w:val="24"/>
                <w14:textFill>
                  <w14:solidFill>
                    <w14:schemeClr w14:val="tx1"/>
                  </w14:solidFill>
                </w14:textFill>
              </w:rPr>
              <w:t>，</w:t>
            </w:r>
            <w:r>
              <w:rPr>
                <w:rFonts w:hint="eastAsia" w:ascii="宋体" w:cs="宋体"/>
                <w:color w:val="000000" w:themeColor="text1"/>
                <w:sz w:val="24"/>
                <w14:textFill>
                  <w14:solidFill>
                    <w14:schemeClr w14:val="tx1"/>
                  </w14:solidFill>
                </w14:textFill>
              </w:rPr>
              <w:t>如不是自有车辆则需要提供对应的租赁</w:t>
            </w:r>
            <w:r>
              <w:rPr>
                <w:rFonts w:hint="eastAsia" w:ascii="宋体" w:cs="宋体"/>
                <w:color w:val="000000"/>
                <w:sz w:val="24"/>
              </w:rPr>
              <w:t>合同。</w:t>
            </w:r>
            <w:r>
              <w:rPr>
                <w:rFonts w:hint="eastAsia" w:ascii="宋体" w:hAnsi="Times New Roman" w:eastAsia="宋体" w:cs="宋体"/>
                <w:color w:val="000000"/>
                <w:sz w:val="24"/>
              </w:rPr>
              <w:t>否则不得分。</w:t>
            </w:r>
          </w:p>
        </w:tc>
      </w:tr>
      <w:tr w14:paraId="2A98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jc w:val="center"/>
        </w:trPr>
        <w:tc>
          <w:tcPr>
            <w:tcW w:w="1365" w:type="dxa"/>
            <w:vAlign w:val="center"/>
          </w:tcPr>
          <w:p w14:paraId="79215899">
            <w:pPr>
              <w:pStyle w:val="36"/>
              <w:spacing w:line="360" w:lineRule="auto"/>
              <w:ind w:firstLine="210"/>
              <w:jc w:val="center"/>
              <w:rPr>
                <w:rFonts w:hint="eastAsia" w:ascii="宋体" w:hAnsi="宋体" w:cs="宋体"/>
              </w:rPr>
            </w:pPr>
            <w:r>
              <w:rPr>
                <w:rFonts w:hint="eastAsia" w:ascii="宋体" w:hAnsi="宋体" w:cs="宋体"/>
              </w:rPr>
              <w:t>业绩</w:t>
            </w:r>
          </w:p>
        </w:tc>
        <w:tc>
          <w:tcPr>
            <w:tcW w:w="1069" w:type="dxa"/>
            <w:vAlign w:val="center"/>
          </w:tcPr>
          <w:p w14:paraId="0F50CF02">
            <w:pPr>
              <w:widowControl/>
              <w:spacing w:line="360" w:lineRule="auto"/>
              <w:jc w:val="center"/>
              <w:rPr>
                <w:rFonts w:hint="eastAsia" w:ascii="宋体" w:hAnsi="宋体" w:eastAsia="宋体" w:cs="宋体"/>
                <w:sz w:val="24"/>
                <w:lang w:bidi="ar"/>
              </w:rPr>
            </w:pPr>
            <w:r>
              <w:rPr>
                <w:rFonts w:hint="eastAsia" w:ascii="宋体" w:hAnsi="宋体" w:cs="宋体"/>
                <w:sz w:val="24"/>
                <w:lang w:bidi="ar"/>
              </w:rPr>
              <w:t>10分</w:t>
            </w:r>
          </w:p>
        </w:tc>
        <w:tc>
          <w:tcPr>
            <w:tcW w:w="7743" w:type="dxa"/>
            <w:vAlign w:val="center"/>
          </w:tcPr>
          <w:p w14:paraId="2A224915">
            <w:pPr>
              <w:widowControl/>
              <w:spacing w:line="380" w:lineRule="exact"/>
              <w:ind w:firstLine="240" w:firstLineChars="100"/>
              <w:jc w:val="left"/>
              <w:rPr>
                <w:rFonts w:ascii="宋体" w:hAnsi="Times New Roman" w:eastAsia="宋体" w:cs="宋体"/>
                <w:color w:val="000000"/>
                <w:sz w:val="24"/>
              </w:rPr>
            </w:pPr>
            <w:r>
              <w:rPr>
                <w:rFonts w:hint="eastAsia" w:ascii="宋体" w:hAnsi="Times New Roman" w:eastAsia="宋体" w:cs="宋体"/>
                <w:color w:val="000000"/>
                <w:sz w:val="24"/>
              </w:rPr>
              <w:t>投标人自2023年1月1日以来（以合同签订时间为准）承接过与本项目类似的业绩，每提供一个得5分，本项最高得10分。</w:t>
            </w:r>
          </w:p>
          <w:p w14:paraId="005A7DCE">
            <w:pPr>
              <w:widowControl/>
              <w:spacing w:line="380" w:lineRule="exact"/>
              <w:ind w:firstLine="240" w:firstLineChars="100"/>
              <w:jc w:val="left"/>
              <w:rPr>
                <w:rFonts w:hint="eastAsia" w:ascii="宋体" w:hAnsi="宋体" w:cs="宋体"/>
                <w:sz w:val="24"/>
              </w:rPr>
            </w:pPr>
            <w:r>
              <w:rPr>
                <w:rFonts w:hint="eastAsia" w:ascii="宋体" w:hAnsi="Times New Roman" w:eastAsia="宋体" w:cs="宋体"/>
                <w:color w:val="000000"/>
                <w:sz w:val="24"/>
              </w:rPr>
              <w:t>投标时须提供中标通知书、合同、竣工验收证明的相关材料和至少一次的进度款发</w:t>
            </w:r>
            <w:r>
              <w:rPr>
                <w:rFonts w:hint="eastAsia" w:ascii="宋体" w:hAnsi="Times New Roman" w:eastAsia="宋体" w:cs="宋体"/>
                <w:color w:val="000000" w:themeColor="text1"/>
                <w:sz w:val="24"/>
                <w14:textFill>
                  <w14:solidFill>
                    <w14:schemeClr w14:val="tx1"/>
                  </w14:solidFill>
                </w14:textFill>
              </w:rPr>
              <w:t>票证明材料的原件扫描件，</w:t>
            </w:r>
            <w:r>
              <w:rPr>
                <w:rFonts w:hint="eastAsia" w:ascii="宋体" w:hAnsi="Times New Roman" w:eastAsia="宋体" w:cs="宋体"/>
                <w:color w:val="000000"/>
                <w:sz w:val="24"/>
              </w:rPr>
              <w:t>提供不全或未提供的不得分。</w:t>
            </w:r>
          </w:p>
        </w:tc>
      </w:tr>
      <w:tr w14:paraId="61A8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1365" w:type="dxa"/>
            <w:vAlign w:val="center"/>
          </w:tcPr>
          <w:p w14:paraId="47C056D3">
            <w:pPr>
              <w:pStyle w:val="36"/>
              <w:spacing w:line="360" w:lineRule="auto"/>
              <w:ind w:firstLine="0"/>
              <w:rPr>
                <w:rFonts w:hint="eastAsia" w:ascii="宋体" w:hAnsi="宋体" w:cs="宋体"/>
              </w:rPr>
            </w:pPr>
            <w:r>
              <w:rPr>
                <w:rFonts w:hint="eastAsia" w:ascii="宋体" w:hAnsi="宋体" w:eastAsia="宋体" w:cs="宋体"/>
              </w:rPr>
              <w:t>服务承诺</w:t>
            </w:r>
          </w:p>
        </w:tc>
        <w:tc>
          <w:tcPr>
            <w:tcW w:w="1069" w:type="dxa"/>
            <w:vAlign w:val="center"/>
          </w:tcPr>
          <w:p w14:paraId="38CFBE49">
            <w:pPr>
              <w:widowControl/>
              <w:spacing w:line="360" w:lineRule="auto"/>
              <w:jc w:val="center"/>
              <w:rPr>
                <w:rFonts w:hint="eastAsia" w:ascii="宋体" w:hAnsi="宋体" w:eastAsia="宋体" w:cs="宋体"/>
                <w:sz w:val="24"/>
                <w:lang w:bidi="ar"/>
              </w:rPr>
            </w:pPr>
            <w:r>
              <w:rPr>
                <w:rFonts w:hint="eastAsia" w:ascii="宋体" w:hAnsi="宋体" w:cs="宋体"/>
                <w:sz w:val="24"/>
              </w:rPr>
              <w:t>2分</w:t>
            </w:r>
          </w:p>
        </w:tc>
        <w:tc>
          <w:tcPr>
            <w:tcW w:w="7743" w:type="dxa"/>
            <w:vAlign w:val="center"/>
          </w:tcPr>
          <w:p w14:paraId="14C3C400">
            <w:pPr>
              <w:spacing w:line="348" w:lineRule="auto"/>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投标人提供书面承诺书，承诺在中标后按时保质保量完成服务内容。如未提供承诺保证不得分。</w:t>
            </w:r>
          </w:p>
          <w:p w14:paraId="3542E06F">
            <w:pPr>
              <w:widowControl/>
              <w:spacing w:line="360" w:lineRule="auto"/>
              <w:jc w:val="left"/>
              <w:rPr>
                <w:rFonts w:hint="eastAsia" w:ascii="宋体" w:hAnsi="宋体" w:eastAsia="宋体" w:cs="宋体"/>
                <w:sz w:val="24"/>
              </w:rPr>
            </w:pPr>
            <w:r>
              <w:rPr>
                <w:rFonts w:hint="eastAsia" w:ascii="宋体" w:hAnsi="宋体" w:eastAsia="宋体" w:cs="宋体"/>
                <w:sz w:val="24"/>
              </w:rPr>
              <w:t>备注:须提供完整内容的承诺书加盖投标人公章，否则不得分。本项最高得2分。</w:t>
            </w:r>
          </w:p>
        </w:tc>
      </w:tr>
    </w:tbl>
    <w:p w14:paraId="246C7BF1">
      <w:pPr>
        <w:spacing w:line="348" w:lineRule="auto"/>
        <w:rPr>
          <w:rFonts w:hint="eastAsia" w:ascii="宋体" w:hAnsi="宋体" w:eastAsia="宋体" w:cs="宋体"/>
          <w:b/>
          <w:bCs/>
          <w:sz w:val="24"/>
        </w:rPr>
      </w:pPr>
    </w:p>
    <w:p w14:paraId="70DB9DEC">
      <w:pPr>
        <w:spacing w:line="348" w:lineRule="auto"/>
        <w:rPr>
          <w:rFonts w:hint="eastAsia" w:ascii="宋体" w:hAnsi="宋体" w:eastAsia="宋体" w:cs="宋体"/>
          <w:sz w:val="24"/>
        </w:rPr>
      </w:pPr>
      <w:r>
        <w:rPr>
          <w:rFonts w:hint="eastAsia" w:ascii="宋体" w:hAnsi="宋体" w:eastAsia="宋体" w:cs="宋体"/>
          <w:b/>
          <w:bCs/>
          <w:sz w:val="24"/>
        </w:rPr>
        <w:t>备注</w:t>
      </w:r>
      <w:r>
        <w:rPr>
          <w:rFonts w:hint="eastAsia" w:ascii="宋体" w:hAnsi="宋体" w:eastAsia="宋体" w:cs="宋体"/>
          <w:sz w:val="24"/>
        </w:rPr>
        <w:t>：</w:t>
      </w:r>
    </w:p>
    <w:p w14:paraId="34464A9D">
      <w:pPr>
        <w:spacing w:line="348" w:lineRule="auto"/>
        <w:rPr>
          <w:rFonts w:hint="eastAsia" w:ascii="宋体" w:hAnsi="宋体" w:eastAsia="宋体" w:cs="宋体"/>
          <w:sz w:val="24"/>
        </w:rPr>
      </w:pPr>
      <w:r>
        <w:rPr>
          <w:rFonts w:hint="eastAsia" w:ascii="宋体" w:hAnsi="宋体" w:eastAsia="宋体" w:cs="宋体"/>
          <w:sz w:val="24"/>
        </w:rPr>
        <w:t>1、评分标准中要求提供的证明材料均以原件扫描加盖所要求的公章在响应文件中反映，相关证明材料须按要求完整提供且不得涂改。</w:t>
      </w:r>
    </w:p>
    <w:p w14:paraId="07A947D3">
      <w:pPr>
        <w:spacing w:line="348" w:lineRule="auto"/>
        <w:rPr>
          <w:rFonts w:hint="eastAsia" w:ascii="宋体" w:hAnsi="宋体" w:eastAsia="宋体" w:cs="宋体"/>
          <w:sz w:val="24"/>
        </w:rPr>
      </w:pPr>
      <w:r>
        <w:rPr>
          <w:rFonts w:hint="eastAsia" w:ascii="宋体" w:hAnsi="宋体" w:eastAsia="宋体" w:cs="宋体"/>
          <w:sz w:val="24"/>
        </w:rPr>
        <w:t>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04351484">
      <w:pPr>
        <w:spacing w:line="348" w:lineRule="auto"/>
        <w:rPr>
          <w:rFonts w:hint="eastAsia" w:ascii="宋体" w:hAnsi="宋体" w:eastAsia="宋体" w:cs="宋体"/>
          <w:sz w:val="24"/>
        </w:rPr>
      </w:pPr>
      <w:r>
        <w:rPr>
          <w:rFonts w:hint="eastAsia" w:ascii="宋体" w:hAnsi="宋体" w:eastAsia="宋体" w:cs="宋体"/>
          <w:sz w:val="24"/>
        </w:rPr>
        <w:t>3、评分中涉及的证书/检测报告等文件应在有效期内。</w:t>
      </w:r>
    </w:p>
    <w:p w14:paraId="0360BB89">
      <w:pPr>
        <w:spacing w:line="348" w:lineRule="auto"/>
        <w:rPr>
          <w:rFonts w:hint="eastAsia" w:ascii="宋体" w:hAnsi="宋体" w:eastAsia="宋体" w:cs="宋体"/>
          <w:sz w:val="24"/>
        </w:rPr>
      </w:pPr>
      <w:r>
        <w:rPr>
          <w:rFonts w:hint="eastAsia" w:ascii="宋体" w:hAnsi="宋体" w:eastAsia="宋体" w:cs="宋体"/>
          <w:sz w:val="24"/>
        </w:rPr>
        <w:t>4、如发现有通过提供虚假证明文件获得分值，将取消中标资格，并提请监督机构按照政府采购相关法规处理。</w:t>
      </w:r>
    </w:p>
    <w:p w14:paraId="3107375C">
      <w:pPr>
        <w:pStyle w:val="34"/>
        <w:spacing w:beforeAutospacing="0" w:afterAutospacing="0"/>
        <w:jc w:val="center"/>
        <w:rPr>
          <w:rFonts w:hint="eastAsia" w:ascii="宋体" w:hAnsi="宋体" w:eastAsia="宋体" w:cs="宋体"/>
          <w:b/>
          <w:sz w:val="72"/>
          <w:szCs w:val="72"/>
        </w:rPr>
      </w:pPr>
      <w:r>
        <w:t> </w:t>
      </w:r>
    </w:p>
    <w:p w14:paraId="7CE38DEC">
      <w:pPr>
        <w:pStyle w:val="34"/>
        <w:spacing w:beforeAutospacing="0" w:afterAutospacing="0"/>
        <w:jc w:val="center"/>
        <w:rPr>
          <w:rFonts w:hint="eastAsia" w:ascii="宋体" w:hAnsi="宋体" w:eastAsia="宋体" w:cs="宋体"/>
          <w:b/>
          <w:sz w:val="72"/>
          <w:szCs w:val="72"/>
        </w:rPr>
      </w:pPr>
    </w:p>
    <w:p w14:paraId="40C89E34">
      <w:pPr>
        <w:pStyle w:val="34"/>
        <w:spacing w:beforeAutospacing="0" w:afterAutospacing="0"/>
        <w:jc w:val="center"/>
        <w:rPr>
          <w:rFonts w:hint="eastAsia" w:ascii="宋体" w:hAnsi="宋体" w:eastAsia="宋体" w:cs="宋体"/>
          <w:b/>
          <w:sz w:val="72"/>
          <w:szCs w:val="72"/>
        </w:rPr>
      </w:pPr>
      <w:r>
        <w:rPr>
          <w:rFonts w:hint="eastAsia" w:ascii="宋体" w:hAnsi="宋体" w:eastAsia="宋体" w:cs="宋体"/>
          <w:b/>
          <w:sz w:val="72"/>
          <w:szCs w:val="72"/>
        </w:rPr>
        <w:t xml:space="preserve">第六章  响应文件格式 </w:t>
      </w:r>
    </w:p>
    <w:p w14:paraId="6B6A1A50">
      <w:pPr>
        <w:pStyle w:val="34"/>
        <w:spacing w:beforeAutospacing="0" w:afterAutospacing="0"/>
        <w:jc w:val="center"/>
        <w:rPr>
          <w:rFonts w:hint="eastAsia" w:ascii="宋体" w:hAnsi="宋体" w:eastAsia="宋体" w:cs="宋体"/>
          <w:b/>
          <w:sz w:val="72"/>
          <w:szCs w:val="72"/>
        </w:rPr>
      </w:pPr>
      <w:bookmarkStart w:id="163" w:name="_Toc120614282"/>
      <w:bookmarkEnd w:id="163"/>
      <w:bookmarkStart w:id="164" w:name="_Toc49090576"/>
      <w:bookmarkEnd w:id="164"/>
      <w:bookmarkStart w:id="165" w:name="_Hlt26955039"/>
      <w:bookmarkStart w:id="166" w:name="_Hlt26671244"/>
      <w:bookmarkStart w:id="167" w:name="_Toc26554094"/>
    </w:p>
    <w:p w14:paraId="60805EB4">
      <w:pPr>
        <w:pStyle w:val="34"/>
        <w:spacing w:beforeAutospacing="0" w:afterAutospacing="0"/>
        <w:jc w:val="center"/>
        <w:rPr>
          <w:rFonts w:hint="eastAsia" w:ascii="宋体" w:hAnsi="宋体" w:eastAsia="宋体" w:cs="宋体"/>
          <w:b/>
          <w:sz w:val="72"/>
          <w:szCs w:val="72"/>
        </w:rPr>
      </w:pPr>
    </w:p>
    <w:p w14:paraId="37BE121B">
      <w:pPr>
        <w:pStyle w:val="34"/>
        <w:spacing w:beforeAutospacing="0" w:afterAutospacing="0"/>
        <w:jc w:val="center"/>
        <w:rPr>
          <w:rFonts w:hint="eastAsia" w:ascii="宋体" w:hAnsi="宋体" w:eastAsia="宋体" w:cs="宋体"/>
          <w:b/>
          <w:sz w:val="72"/>
          <w:szCs w:val="72"/>
        </w:rPr>
      </w:pPr>
    </w:p>
    <w:p w14:paraId="11C9732C">
      <w:pPr>
        <w:pStyle w:val="34"/>
        <w:spacing w:beforeAutospacing="0" w:afterAutospacing="0"/>
        <w:jc w:val="center"/>
      </w:pPr>
      <w:r>
        <w:rPr>
          <w:rFonts w:hint="eastAsia" w:ascii="宋体" w:hAnsi="宋体" w:eastAsia="宋体" w:cs="宋体"/>
          <w:b/>
          <w:sz w:val="72"/>
          <w:szCs w:val="72"/>
        </w:rPr>
        <w:t>响  应  文  件</w:t>
      </w:r>
    </w:p>
    <w:p w14:paraId="78541EE5">
      <w:pPr>
        <w:pStyle w:val="34"/>
        <w:spacing w:beforeAutospacing="0" w:afterAutospacing="0"/>
        <w:jc w:val="center"/>
      </w:pPr>
      <w:r>
        <w:t> </w:t>
      </w:r>
    </w:p>
    <w:p w14:paraId="4E323512">
      <w:pPr>
        <w:pStyle w:val="34"/>
        <w:spacing w:beforeAutospacing="0" w:afterAutospacing="0"/>
        <w:jc w:val="center"/>
      </w:pPr>
      <w:r>
        <w:t> </w:t>
      </w:r>
    </w:p>
    <w:p w14:paraId="772AD35F">
      <w:pPr>
        <w:pStyle w:val="34"/>
        <w:spacing w:beforeAutospacing="0" w:afterAutospacing="0"/>
        <w:jc w:val="center"/>
      </w:pPr>
      <w:r>
        <w:t> </w:t>
      </w:r>
    </w:p>
    <w:p w14:paraId="40FBC990">
      <w:pPr>
        <w:pStyle w:val="34"/>
        <w:spacing w:beforeAutospacing="0" w:afterAutospacing="0"/>
        <w:jc w:val="center"/>
      </w:pPr>
      <w:r>
        <w:t> </w:t>
      </w:r>
    </w:p>
    <w:p w14:paraId="16708271">
      <w:pPr>
        <w:pStyle w:val="34"/>
        <w:spacing w:beforeAutospacing="0" w:afterAutospacing="0" w:line="348" w:lineRule="auto"/>
        <w:ind w:firstLine="1084"/>
        <w:jc w:val="both"/>
        <w:rPr>
          <w:rFonts w:hint="eastAsia" w:ascii="宋体" w:hAnsi="宋体" w:eastAsia="宋体" w:cs="宋体"/>
          <w:b/>
          <w:sz w:val="36"/>
          <w:szCs w:val="36"/>
        </w:rPr>
      </w:pPr>
    </w:p>
    <w:p w14:paraId="7548D674">
      <w:pPr>
        <w:pStyle w:val="34"/>
        <w:spacing w:beforeAutospacing="0" w:afterAutospacing="0" w:line="348" w:lineRule="auto"/>
        <w:ind w:firstLine="1084"/>
        <w:jc w:val="both"/>
        <w:rPr>
          <w:rFonts w:hint="eastAsia" w:ascii="宋体" w:hAnsi="宋体" w:eastAsia="宋体" w:cs="宋体"/>
          <w:b/>
          <w:sz w:val="36"/>
          <w:szCs w:val="36"/>
        </w:rPr>
      </w:pPr>
    </w:p>
    <w:p w14:paraId="06582332">
      <w:pPr>
        <w:pStyle w:val="34"/>
        <w:spacing w:beforeAutospacing="0" w:afterAutospacing="0" w:line="348" w:lineRule="auto"/>
        <w:ind w:firstLine="1084"/>
        <w:jc w:val="both"/>
      </w:pPr>
      <w:r>
        <w:rPr>
          <w:rFonts w:hint="eastAsia" w:ascii="宋体" w:hAnsi="宋体" w:eastAsia="宋体" w:cs="宋体"/>
          <w:b/>
          <w:sz w:val="36"/>
          <w:szCs w:val="36"/>
        </w:rPr>
        <w:t>项目名 称：</w:t>
      </w:r>
      <w:r>
        <w:rPr>
          <w:rFonts w:hint="eastAsia" w:ascii="宋体" w:hAnsi="宋体" w:eastAsia="宋体" w:cs="宋体"/>
          <w:b/>
          <w:sz w:val="36"/>
          <w:szCs w:val="36"/>
          <w:u w:val="single"/>
        </w:rPr>
        <w:t>             </w:t>
      </w:r>
    </w:p>
    <w:p w14:paraId="7E4ADCCC">
      <w:pPr>
        <w:pStyle w:val="34"/>
        <w:spacing w:beforeAutospacing="0" w:afterAutospacing="0" w:line="348" w:lineRule="auto"/>
        <w:ind w:firstLine="1084"/>
        <w:jc w:val="both"/>
      </w:pPr>
      <w:r>
        <w:rPr>
          <w:rFonts w:hint="eastAsia" w:ascii="宋体" w:hAnsi="宋体" w:eastAsia="宋体" w:cs="宋体"/>
          <w:b/>
          <w:sz w:val="36"/>
          <w:szCs w:val="36"/>
        </w:rPr>
        <w:t>项目编 号：</w:t>
      </w:r>
      <w:r>
        <w:rPr>
          <w:rFonts w:hint="eastAsia" w:ascii="宋体" w:hAnsi="宋体" w:eastAsia="宋体" w:cs="宋体"/>
          <w:b/>
          <w:sz w:val="36"/>
          <w:szCs w:val="36"/>
          <w:u w:val="single"/>
        </w:rPr>
        <w:t>             </w:t>
      </w:r>
    </w:p>
    <w:p w14:paraId="190581B0">
      <w:pPr>
        <w:pStyle w:val="34"/>
        <w:spacing w:beforeAutospacing="0" w:afterAutospacing="0" w:line="348" w:lineRule="auto"/>
        <w:jc w:val="both"/>
        <w:rPr>
          <w:rFonts w:eastAsia="宋体"/>
        </w:rPr>
      </w:pPr>
      <w:r>
        <w:rPr>
          <w:rFonts w:hint="eastAsia" w:ascii="宋体" w:hAnsi="宋体" w:eastAsia="宋体" w:cs="宋体"/>
          <w:b/>
          <w:sz w:val="36"/>
          <w:szCs w:val="36"/>
        </w:rPr>
        <w:t>   供应商名称 ：</w:t>
      </w:r>
      <w:r>
        <w:rPr>
          <w:rFonts w:hint="eastAsia" w:ascii="宋体" w:hAnsi="宋体" w:eastAsia="宋体" w:cs="宋体"/>
          <w:b/>
          <w:sz w:val="36"/>
          <w:szCs w:val="36"/>
          <w:u w:val="single"/>
        </w:rPr>
        <w:t xml:space="preserve">（加盖CA电子公章）    </w:t>
      </w:r>
    </w:p>
    <w:p w14:paraId="034CEEEB">
      <w:pPr>
        <w:pStyle w:val="34"/>
        <w:spacing w:beforeAutospacing="0" w:afterAutospacing="0" w:line="348" w:lineRule="auto"/>
        <w:jc w:val="both"/>
        <w:rPr>
          <w:rFonts w:eastAsia="宋体"/>
        </w:rPr>
      </w:pPr>
      <w:r>
        <w:rPr>
          <w:rFonts w:hint="eastAsia" w:ascii="宋体" w:hAnsi="宋体" w:eastAsia="宋体" w:cs="宋体"/>
          <w:b/>
          <w:sz w:val="36"/>
          <w:szCs w:val="36"/>
        </w:rPr>
        <w:t>   日   期 ：</w:t>
      </w:r>
      <w:r>
        <w:rPr>
          <w:rFonts w:hint="eastAsia" w:ascii="宋体" w:hAnsi="宋体" w:eastAsia="宋体" w:cs="宋体"/>
          <w:b/>
          <w:sz w:val="36"/>
          <w:szCs w:val="36"/>
          <w:u w:val="single"/>
        </w:rPr>
        <w:t>           </w:t>
      </w:r>
    </w:p>
    <w:p w14:paraId="397666C4">
      <w:pPr>
        <w:pStyle w:val="34"/>
        <w:spacing w:beforeAutospacing="0" w:afterAutospacing="0" w:line="0" w:lineRule="atLeast"/>
        <w:jc w:val="both"/>
        <w:rPr>
          <w:rFonts w:hint="eastAsia" w:ascii="宋体" w:hAnsi="宋体" w:eastAsia="宋体" w:cs="宋体"/>
          <w:b/>
          <w:sz w:val="32"/>
          <w:szCs w:val="32"/>
        </w:rPr>
      </w:pPr>
    </w:p>
    <w:p w14:paraId="0E514C4B">
      <w:pPr>
        <w:pStyle w:val="34"/>
        <w:spacing w:beforeAutospacing="0" w:afterAutospacing="0" w:line="0" w:lineRule="atLeast"/>
        <w:jc w:val="center"/>
        <w:rPr>
          <w:rFonts w:hint="eastAsia" w:ascii="宋体" w:hAnsi="宋体" w:eastAsia="宋体" w:cs="宋体"/>
          <w:b/>
          <w:sz w:val="32"/>
          <w:szCs w:val="32"/>
        </w:rPr>
      </w:pPr>
    </w:p>
    <w:p w14:paraId="5FE8909E">
      <w:pPr>
        <w:pStyle w:val="34"/>
        <w:spacing w:beforeAutospacing="0" w:afterAutospacing="0" w:line="0" w:lineRule="atLeast"/>
        <w:jc w:val="center"/>
        <w:rPr>
          <w:rFonts w:hint="eastAsia" w:ascii="宋体" w:hAnsi="宋体" w:eastAsia="宋体" w:cs="宋体"/>
          <w:b/>
          <w:sz w:val="32"/>
          <w:szCs w:val="32"/>
        </w:rPr>
      </w:pPr>
    </w:p>
    <w:p w14:paraId="7800E027">
      <w:pPr>
        <w:pStyle w:val="34"/>
        <w:spacing w:beforeAutospacing="0" w:afterAutospacing="0" w:line="0" w:lineRule="atLeast"/>
        <w:jc w:val="center"/>
        <w:rPr>
          <w:rFonts w:hint="eastAsia" w:ascii="宋体" w:hAnsi="宋体" w:eastAsia="宋体" w:cs="宋体"/>
          <w:b/>
          <w:sz w:val="32"/>
          <w:szCs w:val="32"/>
        </w:rPr>
      </w:pPr>
    </w:p>
    <w:p w14:paraId="54A42171">
      <w:pPr>
        <w:pStyle w:val="34"/>
        <w:spacing w:beforeAutospacing="0" w:afterAutospacing="0" w:line="0" w:lineRule="atLeast"/>
        <w:jc w:val="center"/>
        <w:rPr>
          <w:rFonts w:hint="eastAsia" w:ascii="宋体" w:hAnsi="宋体" w:eastAsia="宋体" w:cs="宋体"/>
          <w:b/>
          <w:sz w:val="32"/>
          <w:szCs w:val="32"/>
        </w:rPr>
      </w:pPr>
    </w:p>
    <w:p w14:paraId="37A3CDD5">
      <w:pPr>
        <w:pStyle w:val="34"/>
        <w:spacing w:beforeAutospacing="0" w:afterAutospacing="0" w:line="0" w:lineRule="atLeast"/>
        <w:jc w:val="both"/>
        <w:rPr>
          <w:rFonts w:hint="eastAsia" w:ascii="宋体" w:hAnsi="宋体" w:eastAsia="宋体" w:cs="宋体"/>
          <w:b/>
          <w:sz w:val="32"/>
          <w:szCs w:val="32"/>
        </w:rPr>
      </w:pPr>
    </w:p>
    <w:p w14:paraId="221C3FCB">
      <w:pPr>
        <w:pStyle w:val="34"/>
        <w:spacing w:beforeAutospacing="0" w:afterAutospacing="0" w:line="0" w:lineRule="atLeast"/>
        <w:jc w:val="center"/>
        <w:rPr>
          <w:rFonts w:hint="eastAsia" w:ascii="宋体" w:hAnsi="宋体" w:eastAsia="宋体" w:cs="宋体"/>
          <w:b/>
          <w:sz w:val="32"/>
          <w:szCs w:val="32"/>
        </w:rPr>
      </w:pPr>
      <w:r>
        <w:rPr>
          <w:rFonts w:hint="eastAsia" w:ascii="宋体" w:hAnsi="宋体" w:eastAsia="宋体" w:cs="宋体"/>
          <w:b/>
          <w:sz w:val="32"/>
          <w:szCs w:val="32"/>
        </w:rPr>
        <w:t>响应文件目录</w:t>
      </w:r>
    </w:p>
    <w:p w14:paraId="30C8194D">
      <w:pPr>
        <w:pStyle w:val="34"/>
        <w:spacing w:beforeAutospacing="0" w:afterAutospacing="0" w:line="0" w:lineRule="atLeast"/>
        <w:jc w:val="center"/>
        <w:rPr>
          <w:rFonts w:hint="eastAsia" w:ascii="宋体" w:hAnsi="宋体" w:eastAsia="宋体" w:cs="宋体"/>
          <w:i/>
          <w:iCs/>
        </w:rPr>
      </w:pPr>
      <w:r>
        <w:rPr>
          <w:rFonts w:hint="eastAsia" w:ascii="宋体" w:hAnsi="宋体" w:eastAsia="宋体" w:cs="宋体"/>
          <w:i/>
          <w:iCs/>
        </w:rPr>
        <w:t>（此目录仅供参考，投标供应商可以按系统需上传材料要求编辑目录上传）</w:t>
      </w:r>
    </w:p>
    <w:p w14:paraId="077F6E8D">
      <w:pPr>
        <w:pStyle w:val="34"/>
        <w:spacing w:beforeAutospacing="0" w:afterAutospacing="0" w:line="0" w:lineRule="atLeast"/>
        <w:jc w:val="center"/>
      </w:pPr>
      <w:r>
        <w:t> </w:t>
      </w:r>
    </w:p>
    <w:p w14:paraId="3EC0C6F4">
      <w:pPr>
        <w:pStyle w:val="34"/>
        <w:spacing w:beforeAutospacing="0" w:afterAutospacing="0"/>
        <w:ind w:left="480"/>
        <w:jc w:val="both"/>
        <w:rPr>
          <w:rFonts w:hint="eastAsia" w:asciiTheme="minorEastAsia" w:hAnsiTheme="minorEastAsia" w:cstheme="minorEastAsia"/>
          <w:iCs/>
        </w:rPr>
      </w:pPr>
      <w:r>
        <w:rPr>
          <w:rFonts w:hint="eastAsia" w:asciiTheme="minorEastAsia" w:hAnsiTheme="minorEastAsia" w:cstheme="minorEastAsia"/>
          <w:iCs/>
        </w:rPr>
        <w:t>一、法人或者其他组织的营业执照等证明文件，自然人的身份证明</w:t>
      </w:r>
    </w:p>
    <w:p w14:paraId="049D4D2B">
      <w:pPr>
        <w:pStyle w:val="34"/>
        <w:spacing w:beforeAutospacing="0" w:afterAutospacing="0"/>
        <w:ind w:left="480"/>
        <w:jc w:val="both"/>
        <w:rPr>
          <w:rFonts w:hint="eastAsia" w:asciiTheme="minorEastAsia" w:hAnsiTheme="minorEastAsia" w:cstheme="minorEastAsia"/>
          <w:iCs/>
        </w:rPr>
      </w:pPr>
      <w:r>
        <w:rPr>
          <w:rFonts w:hint="eastAsia" w:asciiTheme="minorEastAsia" w:hAnsiTheme="minorEastAsia" w:cstheme="minorEastAsia"/>
          <w:iCs/>
        </w:rPr>
        <w:t>二、上一年度的财务状况报告（至少提供资产负债表、利润表、现金流量表，磋商供应商成立不满一年无需提供）</w:t>
      </w:r>
    </w:p>
    <w:p w14:paraId="21A62BE3">
      <w:pPr>
        <w:pStyle w:val="34"/>
        <w:spacing w:beforeAutospacing="0" w:afterAutospacing="0"/>
        <w:ind w:left="480"/>
        <w:jc w:val="both"/>
        <w:rPr>
          <w:rFonts w:hint="eastAsia" w:asciiTheme="minorEastAsia" w:hAnsiTheme="minorEastAsia" w:cstheme="minorEastAsia"/>
          <w:iCs/>
        </w:rPr>
      </w:pPr>
      <w:r>
        <w:rPr>
          <w:rFonts w:hint="eastAsia" w:asciiTheme="minorEastAsia" w:hAnsiTheme="minorEastAsia" w:cstheme="minorEastAsia"/>
          <w:iCs/>
        </w:rPr>
        <w:t>三、具备履行合同所必需的设备和专业技术能力的书面声明</w:t>
      </w:r>
    </w:p>
    <w:p w14:paraId="7EEE5EF4">
      <w:pPr>
        <w:pStyle w:val="34"/>
        <w:spacing w:beforeAutospacing="0" w:afterAutospacing="0"/>
        <w:ind w:left="480"/>
        <w:jc w:val="both"/>
        <w:rPr>
          <w:rFonts w:hint="eastAsia" w:asciiTheme="minorEastAsia" w:hAnsiTheme="minorEastAsia" w:cstheme="minorEastAsia"/>
          <w:iCs/>
        </w:rPr>
      </w:pPr>
      <w:r>
        <w:rPr>
          <w:rFonts w:hint="eastAsia" w:asciiTheme="minorEastAsia" w:hAnsiTheme="minorEastAsia" w:cstheme="minorEastAsia"/>
          <w:iCs/>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19BDBF63">
      <w:pPr>
        <w:pStyle w:val="34"/>
        <w:spacing w:beforeAutospacing="0" w:afterAutospacing="0" w:line="0" w:lineRule="atLeast"/>
        <w:ind w:firstLine="480"/>
        <w:jc w:val="both"/>
        <w:rPr>
          <w:rFonts w:hint="eastAsia" w:asciiTheme="minorEastAsia" w:hAnsiTheme="minorEastAsia" w:cstheme="minorEastAsia"/>
          <w:iCs/>
        </w:rPr>
      </w:pPr>
      <w:r>
        <w:rPr>
          <w:rFonts w:hint="eastAsia" w:asciiTheme="minorEastAsia" w:hAnsiTheme="minorEastAsia" w:cstheme="minorEastAsia"/>
          <w:iCs/>
        </w:rPr>
        <w:t>五、参加政府采购活动前 3 年内在经营活动中没有重大违法记录的书面声明</w:t>
      </w:r>
    </w:p>
    <w:p w14:paraId="1F63FF7A">
      <w:pPr>
        <w:pStyle w:val="34"/>
        <w:spacing w:beforeAutospacing="0" w:afterAutospacing="0" w:line="0" w:lineRule="atLeast"/>
        <w:ind w:firstLine="480"/>
        <w:jc w:val="both"/>
        <w:rPr>
          <w:rFonts w:hint="eastAsia" w:asciiTheme="minorEastAsia" w:hAnsiTheme="minorEastAsia" w:cstheme="minorEastAsia"/>
          <w:iCs/>
          <w:color w:val="000000" w:themeColor="text1"/>
          <w14:textFill>
            <w14:solidFill>
              <w14:schemeClr w14:val="tx1"/>
            </w14:solidFill>
          </w14:textFill>
        </w:rPr>
      </w:pPr>
      <w:r>
        <w:rPr>
          <w:rFonts w:hint="eastAsia" w:asciiTheme="minorEastAsia" w:hAnsiTheme="minorEastAsia" w:cstheme="minorEastAsia"/>
          <w:iCs/>
        </w:rPr>
        <w:t>六、特定资格要求的证明</w:t>
      </w:r>
      <w:r>
        <w:rPr>
          <w:rFonts w:hint="eastAsia" w:asciiTheme="minorEastAsia" w:hAnsiTheme="minorEastAsia" w:cstheme="minorEastAsia"/>
          <w:iCs/>
          <w:color w:val="000000" w:themeColor="text1"/>
          <w14:textFill>
            <w14:solidFill>
              <w14:schemeClr w14:val="tx1"/>
            </w14:solidFill>
          </w14:textFill>
        </w:rPr>
        <w:t>文件（如果本项目设置特定资格要求，则需要提供）</w:t>
      </w:r>
    </w:p>
    <w:p w14:paraId="7035B3CA">
      <w:pPr>
        <w:pageBreakBefore w:val="0"/>
        <w:kinsoku/>
        <w:wordWrap/>
        <w:overflowPunct/>
        <w:topLinePunct w:val="0"/>
        <w:autoSpaceDE/>
        <w:autoSpaceDN/>
        <w:bidi w:val="0"/>
        <w:adjustRightInd/>
        <w:snapToGrid/>
        <w:spacing w:line="312" w:lineRule="auto"/>
        <w:ind w:firstLine="720" w:firstLineChars="300"/>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项目负责人须为投标人本单位的职工，</w:t>
      </w:r>
      <w:r>
        <w:rPr>
          <w:rFonts w:hint="eastAsia" w:ascii="宋体" w:hAnsi="宋体"/>
          <w:color w:val="000000" w:themeColor="text1"/>
          <w:sz w:val="24"/>
          <w:lang w:val="en-US" w:eastAsia="zh-CN"/>
          <w14:textFill>
            <w14:solidFill>
              <w14:schemeClr w14:val="tx1"/>
            </w14:solidFill>
          </w14:textFill>
        </w:rPr>
        <w:t>提供</w:t>
      </w:r>
      <w:r>
        <w:rPr>
          <w:rFonts w:hint="eastAsia" w:ascii="宋体" w:hAnsi="宋体"/>
          <w:color w:val="000000" w:themeColor="text1"/>
          <w:sz w:val="24"/>
          <w14:textFill>
            <w14:solidFill>
              <w14:schemeClr w14:val="tx1"/>
            </w14:solidFill>
          </w14:textFill>
        </w:rPr>
        <w:t>建设行政主管部门核发的市政工程二级及以上建造师注册证书和建筑施工企业项目负责人安全生产考核合格证（B类）。</w:t>
      </w:r>
    </w:p>
    <w:p w14:paraId="7D2B9A3E">
      <w:pPr>
        <w:pageBreakBefore w:val="0"/>
        <w:kinsoku/>
        <w:wordWrap/>
        <w:overflowPunct/>
        <w:topLinePunct w:val="0"/>
        <w:autoSpaceDE/>
        <w:autoSpaceDN/>
        <w:bidi w:val="0"/>
        <w:adjustRightInd/>
        <w:snapToGrid/>
        <w:spacing w:line="312" w:lineRule="auto"/>
        <w:ind w:firstLine="720" w:firstLineChars="300"/>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提供项目负责人从2026年06月开始至投标截止之日当月至少1个月在本单位缴纳养老保险证明。</w:t>
      </w:r>
    </w:p>
    <w:p w14:paraId="5A4C9BDF">
      <w:pPr>
        <w:pStyle w:val="34"/>
        <w:spacing w:beforeAutospacing="0" w:afterAutospacing="0"/>
        <w:ind w:left="480"/>
        <w:jc w:val="both"/>
        <w:rPr>
          <w:rFonts w:hint="eastAsia" w:asciiTheme="minorEastAsia" w:hAnsiTheme="minorEastAsia" w:cstheme="minorEastAsia"/>
          <w:iCs/>
          <w:color w:val="000000" w:themeColor="text1"/>
          <w14:textFill>
            <w14:solidFill>
              <w14:schemeClr w14:val="tx1"/>
            </w14:solidFill>
          </w14:textFill>
        </w:rPr>
      </w:pPr>
      <w:r>
        <w:rPr>
          <w:rFonts w:hint="eastAsia" w:asciiTheme="minorEastAsia" w:hAnsiTheme="minorEastAsia" w:cstheme="minorEastAsia"/>
          <w:iCs/>
          <w:color w:val="000000" w:themeColor="text1"/>
          <w14:textFill>
            <w14:solidFill>
              <w14:schemeClr w14:val="tx1"/>
            </w14:solidFill>
          </w14:textFill>
        </w:rPr>
        <w:t>七、法人授权书</w:t>
      </w:r>
    </w:p>
    <w:p w14:paraId="4804AED3">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八、磋商响应函</w:t>
      </w:r>
    </w:p>
    <w:p w14:paraId="76B3B54F">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九、中小企业声明函</w:t>
      </w:r>
    </w:p>
    <w:p w14:paraId="673F7DAD">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十、残疾人福利性单位声明函</w:t>
      </w:r>
    </w:p>
    <w:p w14:paraId="09C537EF">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十一、符合性检查响应对照表</w:t>
      </w:r>
    </w:p>
    <w:p w14:paraId="6DFF7662">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十二、技术要求响应及偏离表</w:t>
      </w:r>
    </w:p>
    <w:p w14:paraId="7C6D6E08">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十三、开标一览表</w:t>
      </w:r>
    </w:p>
    <w:p w14:paraId="37FB353E">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w:t>
      </w:r>
      <w:r>
        <w:rPr>
          <w:rFonts w:hint="eastAsia" w:asciiTheme="minorEastAsia" w:hAnsiTheme="minorEastAsia" w:cstheme="minorEastAsia"/>
          <w:iCs/>
          <w:color w:val="000000"/>
          <w:lang w:val="en-US" w:eastAsia="zh-CN"/>
        </w:rPr>
        <w:t>四</w:t>
      </w:r>
      <w:r>
        <w:rPr>
          <w:rFonts w:hint="eastAsia" w:asciiTheme="minorEastAsia" w:hAnsiTheme="minorEastAsia" w:cstheme="minorEastAsia"/>
          <w:iCs/>
          <w:color w:val="000000"/>
        </w:rPr>
        <w:t>、投标分项报价表</w:t>
      </w:r>
    </w:p>
    <w:p w14:paraId="0D23206C">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w:t>
      </w:r>
      <w:r>
        <w:rPr>
          <w:rFonts w:hint="eastAsia" w:asciiTheme="minorEastAsia" w:hAnsiTheme="minorEastAsia" w:cstheme="minorEastAsia"/>
          <w:iCs/>
          <w:color w:val="000000"/>
          <w:lang w:val="en-US" w:eastAsia="zh-CN"/>
        </w:rPr>
        <w:t>五</w:t>
      </w:r>
      <w:r>
        <w:rPr>
          <w:rFonts w:hint="eastAsia" w:asciiTheme="minorEastAsia" w:hAnsiTheme="minorEastAsia" w:cstheme="minorEastAsia"/>
          <w:iCs/>
          <w:color w:val="000000"/>
        </w:rPr>
        <w:t>、评分细则中相关材料等</w:t>
      </w:r>
    </w:p>
    <w:p w14:paraId="179F77EC">
      <w:pPr>
        <w:pStyle w:val="34"/>
        <w:spacing w:beforeAutospacing="0" w:afterAutospacing="0"/>
        <w:ind w:left="480"/>
        <w:jc w:val="both"/>
        <w:rPr>
          <w:rFonts w:hint="eastAsia" w:asciiTheme="minorEastAsia" w:hAnsiTheme="minorEastAsia" w:cstheme="minorEastAsia"/>
          <w:iCs/>
          <w:color w:val="000000"/>
        </w:rPr>
      </w:pPr>
      <w:r>
        <w:rPr>
          <w:rFonts w:hint="eastAsia" w:asciiTheme="minorEastAsia" w:hAnsiTheme="minorEastAsia" w:cstheme="minorEastAsia"/>
          <w:iCs/>
          <w:color w:val="000000"/>
        </w:rPr>
        <w:t>十</w:t>
      </w:r>
      <w:r>
        <w:rPr>
          <w:rFonts w:hint="eastAsia" w:asciiTheme="minorEastAsia" w:hAnsiTheme="minorEastAsia" w:cstheme="minorEastAsia"/>
          <w:iCs/>
          <w:color w:val="000000"/>
          <w:lang w:val="en-US" w:eastAsia="zh-CN"/>
        </w:rPr>
        <w:t>六</w:t>
      </w:r>
      <w:r>
        <w:rPr>
          <w:rFonts w:hint="eastAsia" w:asciiTheme="minorEastAsia" w:hAnsiTheme="minorEastAsia" w:cstheme="minorEastAsia"/>
          <w:iCs/>
          <w:color w:val="000000"/>
        </w:rPr>
        <w:t>、盐城市政府采购事前信用承诺书</w:t>
      </w:r>
    </w:p>
    <w:p w14:paraId="5BC86469">
      <w:pPr>
        <w:pStyle w:val="34"/>
        <w:spacing w:beforeAutospacing="0" w:afterAutospacing="0" w:line="0" w:lineRule="atLeast"/>
        <w:ind w:firstLine="480"/>
        <w:jc w:val="both"/>
      </w:pPr>
    </w:p>
    <w:p w14:paraId="31C0FB85">
      <w:pPr>
        <w:pStyle w:val="34"/>
        <w:spacing w:beforeAutospacing="0" w:afterAutospacing="0" w:line="0" w:lineRule="atLeast"/>
        <w:ind w:firstLine="480"/>
        <w:jc w:val="both"/>
      </w:pPr>
      <w:r>
        <w:t> </w:t>
      </w:r>
    </w:p>
    <w:p w14:paraId="537DDBF5">
      <w:pPr>
        <w:pStyle w:val="34"/>
        <w:spacing w:beforeAutospacing="0" w:afterAutospacing="0" w:line="0" w:lineRule="atLeast"/>
        <w:ind w:firstLine="480"/>
        <w:jc w:val="both"/>
      </w:pPr>
      <w:r>
        <w:t> </w:t>
      </w:r>
    </w:p>
    <w:p w14:paraId="1E6C1A27">
      <w:pPr>
        <w:pStyle w:val="34"/>
        <w:spacing w:beforeAutospacing="0" w:afterAutospacing="0" w:line="0" w:lineRule="atLeast"/>
        <w:ind w:firstLine="480"/>
        <w:jc w:val="both"/>
      </w:pPr>
      <w:r>
        <w:t> </w:t>
      </w:r>
    </w:p>
    <w:p w14:paraId="3433FCF8">
      <w:pPr>
        <w:pStyle w:val="34"/>
        <w:spacing w:beforeAutospacing="0" w:afterAutospacing="0" w:line="0" w:lineRule="atLeast"/>
        <w:ind w:firstLine="480"/>
        <w:jc w:val="both"/>
      </w:pPr>
      <w:r>
        <w:t> </w:t>
      </w:r>
    </w:p>
    <w:p w14:paraId="497C95C7">
      <w:pPr>
        <w:pStyle w:val="34"/>
        <w:spacing w:beforeAutospacing="0" w:afterAutospacing="0" w:line="0" w:lineRule="atLeast"/>
        <w:ind w:firstLine="480"/>
        <w:jc w:val="both"/>
      </w:pPr>
    </w:p>
    <w:p w14:paraId="4B8ACB69">
      <w:pPr>
        <w:pStyle w:val="34"/>
        <w:spacing w:beforeAutospacing="0" w:afterAutospacing="0" w:line="0" w:lineRule="atLeast"/>
        <w:ind w:firstLine="480"/>
        <w:jc w:val="both"/>
      </w:pPr>
    </w:p>
    <w:p w14:paraId="26AA4600">
      <w:pPr>
        <w:pStyle w:val="34"/>
        <w:spacing w:beforeAutospacing="0" w:afterAutospacing="0" w:line="0" w:lineRule="atLeast"/>
        <w:ind w:firstLine="480"/>
        <w:jc w:val="both"/>
      </w:pPr>
    </w:p>
    <w:p w14:paraId="6D4C3315">
      <w:pPr>
        <w:pStyle w:val="34"/>
        <w:spacing w:beforeAutospacing="0" w:afterAutospacing="0" w:line="0" w:lineRule="atLeast"/>
        <w:ind w:firstLine="480"/>
        <w:jc w:val="both"/>
      </w:pPr>
    </w:p>
    <w:p w14:paraId="1F50989A">
      <w:pPr>
        <w:pStyle w:val="34"/>
        <w:spacing w:beforeAutospacing="0" w:afterAutospacing="0" w:line="0" w:lineRule="atLeast"/>
        <w:ind w:firstLine="480"/>
        <w:jc w:val="both"/>
      </w:pPr>
    </w:p>
    <w:p w14:paraId="71FB1C0A">
      <w:pPr>
        <w:pStyle w:val="34"/>
        <w:spacing w:beforeAutospacing="0" w:afterAutospacing="0" w:line="0" w:lineRule="atLeast"/>
        <w:ind w:firstLine="480"/>
        <w:jc w:val="both"/>
      </w:pPr>
    </w:p>
    <w:p w14:paraId="496FB281">
      <w:pPr>
        <w:pStyle w:val="34"/>
        <w:spacing w:beforeAutospacing="0" w:afterAutospacing="0" w:line="0" w:lineRule="atLeast"/>
        <w:ind w:firstLine="480"/>
        <w:jc w:val="both"/>
      </w:pPr>
    </w:p>
    <w:p w14:paraId="5D1FD6E7">
      <w:pPr>
        <w:pStyle w:val="34"/>
        <w:spacing w:beforeAutospacing="0" w:afterAutospacing="0" w:line="0" w:lineRule="atLeast"/>
        <w:ind w:firstLine="480"/>
        <w:jc w:val="both"/>
      </w:pPr>
    </w:p>
    <w:p w14:paraId="2984462B">
      <w:pPr>
        <w:pStyle w:val="34"/>
        <w:spacing w:beforeAutospacing="0" w:afterAutospacing="0" w:line="0" w:lineRule="atLeast"/>
        <w:ind w:firstLine="480"/>
        <w:jc w:val="both"/>
      </w:pPr>
      <w:r>
        <w:t> </w:t>
      </w:r>
    </w:p>
    <w:p w14:paraId="5284A8D3">
      <w:pPr>
        <w:pStyle w:val="34"/>
        <w:spacing w:beforeAutospacing="0" w:afterAutospacing="0" w:line="0" w:lineRule="atLeast"/>
        <w:ind w:firstLine="480"/>
        <w:jc w:val="both"/>
      </w:pPr>
      <w:r>
        <w:t> </w:t>
      </w:r>
    </w:p>
    <w:p w14:paraId="464D9240">
      <w:pPr>
        <w:pStyle w:val="34"/>
        <w:spacing w:beforeAutospacing="0" w:afterAutospacing="0" w:line="0" w:lineRule="atLeast"/>
        <w:ind w:firstLine="480"/>
        <w:jc w:val="both"/>
      </w:pPr>
      <w:r>
        <w:t> </w:t>
      </w:r>
    </w:p>
    <w:p w14:paraId="28F074CC">
      <w:pPr>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p>
    <w:p w14:paraId="2BBD7DE4">
      <w:pPr>
        <w:pStyle w:val="34"/>
        <w:spacing w:beforeAutospacing="0" w:afterAutospacing="0"/>
        <w:jc w:val="both"/>
      </w:pPr>
      <w:r>
        <w:rPr>
          <w:rFonts w:hint="eastAsia" w:ascii="黑体" w:hAnsi="宋体" w:eastAsia="黑体" w:cs="黑体"/>
          <w:i/>
          <w:sz w:val="32"/>
          <w:szCs w:val="32"/>
          <w:u w:val="single"/>
        </w:rPr>
        <w:t>一、法人或者其他组织的营业执照等证明文件，自然人的身份证明</w:t>
      </w:r>
    </w:p>
    <w:p w14:paraId="1F936E1E">
      <w:pPr>
        <w:pStyle w:val="34"/>
        <w:spacing w:beforeAutospacing="0" w:afterAutospacing="0" w:line="0" w:lineRule="atLeast"/>
        <w:ind w:firstLine="480"/>
        <w:jc w:val="both"/>
      </w:pPr>
      <w:r>
        <w:t> </w:t>
      </w:r>
    </w:p>
    <w:p w14:paraId="75F44A04">
      <w:pPr>
        <w:pStyle w:val="34"/>
        <w:spacing w:beforeAutospacing="0" w:afterAutospacing="0"/>
        <w:jc w:val="both"/>
        <w:rPr>
          <w:rFonts w:eastAsia="黑体"/>
        </w:rPr>
      </w:pPr>
      <w:r>
        <w:rPr>
          <w:rFonts w:hint="eastAsia" w:ascii="黑体" w:hAnsi="宋体" w:eastAsia="黑体" w:cs="黑体"/>
          <w:i/>
          <w:sz w:val="32"/>
          <w:szCs w:val="32"/>
          <w:u w:val="single"/>
        </w:rPr>
        <w:t>二、上一年度的财务状况报告</w:t>
      </w:r>
    </w:p>
    <w:p w14:paraId="37C8627B">
      <w:pPr>
        <w:tabs>
          <w:tab w:val="left" w:pos="1331"/>
        </w:tabs>
        <w:ind w:firstLine="480"/>
        <w:jc w:val="left"/>
        <w:rPr>
          <w:rFonts w:hint="eastAsia" w:ascii="宋体" w:hAnsi="宋体" w:eastAsia="宋体" w:cs="宋体"/>
          <w:iCs/>
          <w:color w:val="000000"/>
          <w:sz w:val="24"/>
        </w:rPr>
      </w:pPr>
      <w:r>
        <w:rPr>
          <w:rFonts w:hint="eastAsia" w:ascii="宋体" w:hAnsi="宋体" w:eastAsia="宋体" w:cs="宋体"/>
          <w:iCs/>
          <w:color w:val="000000"/>
          <w:sz w:val="24"/>
        </w:rPr>
        <w:t>（至少提供资产负债表、利润表、现金流量表，投标人成立不满一年无需提供）</w:t>
      </w:r>
    </w:p>
    <w:p w14:paraId="1D76D93C">
      <w:pPr>
        <w:pStyle w:val="34"/>
        <w:spacing w:beforeAutospacing="0" w:afterAutospacing="0" w:line="0" w:lineRule="atLeast"/>
        <w:ind w:firstLine="480"/>
        <w:jc w:val="both"/>
        <w:rPr>
          <w:rFonts w:eastAsia="宋体"/>
        </w:rPr>
      </w:pPr>
    </w:p>
    <w:p w14:paraId="73789063">
      <w:pPr>
        <w:pStyle w:val="34"/>
        <w:spacing w:beforeAutospacing="0" w:afterAutospacing="0"/>
        <w:jc w:val="both"/>
      </w:pPr>
      <w:r>
        <w:t> </w:t>
      </w:r>
    </w:p>
    <w:p w14:paraId="73480BA4">
      <w:pPr>
        <w:pStyle w:val="34"/>
        <w:spacing w:beforeAutospacing="0" w:afterAutospacing="0"/>
        <w:jc w:val="both"/>
      </w:pPr>
      <w:r>
        <w:rPr>
          <w:rFonts w:hint="eastAsia" w:ascii="黑体" w:hAnsi="宋体" w:eastAsia="黑体" w:cs="黑体"/>
          <w:i/>
          <w:sz w:val="32"/>
          <w:szCs w:val="32"/>
          <w:u w:val="single"/>
        </w:rPr>
        <w:t>三、具备履行合同所必需的设备和专业技术能力的书面声明</w:t>
      </w:r>
    </w:p>
    <w:p w14:paraId="2DF37F27">
      <w:pPr>
        <w:pStyle w:val="34"/>
        <w:spacing w:beforeAutospacing="0" w:afterAutospacing="0" w:line="0" w:lineRule="atLeast"/>
        <w:ind w:firstLine="492"/>
        <w:jc w:val="both"/>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7161B649">
      <w:pPr>
        <w:pStyle w:val="34"/>
        <w:spacing w:beforeAutospacing="0" w:afterAutospacing="0" w:line="0" w:lineRule="atLeast"/>
        <w:ind w:firstLine="492"/>
        <w:jc w:val="both"/>
      </w:pPr>
      <w:r>
        <w:rPr>
          <w:rFonts w:hint="eastAsia" w:ascii="宋体" w:hAnsi="宋体" w:eastAsia="宋体" w:cs="宋体"/>
        </w:rPr>
        <w:t>主要设备有：</w:t>
      </w:r>
      <w:r>
        <w:rPr>
          <w:rFonts w:hint="eastAsia" w:ascii="宋体" w:hAnsi="宋体" w:eastAsia="宋体" w:cs="宋体"/>
          <w:u w:val="single"/>
        </w:rPr>
        <w:t xml:space="preserve">  </w:t>
      </w:r>
      <w:r>
        <w:rPr>
          <w:rFonts w:hint="eastAsia" w:ascii="宋体" w:hAnsi="宋体" w:eastAsia="宋体" w:cs="宋体"/>
        </w:rPr>
        <w:t>。</w:t>
      </w:r>
    </w:p>
    <w:p w14:paraId="4C9AF46C">
      <w:pPr>
        <w:pStyle w:val="34"/>
        <w:spacing w:beforeAutospacing="0" w:afterAutospacing="0"/>
        <w:jc w:val="both"/>
        <w:rPr>
          <w:rFonts w:hint="eastAsia"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r>
        <w:rPr>
          <w:rFonts w:hint="eastAsia" w:ascii="宋体" w:hAnsi="宋体" w:eastAsia="宋体" w:cs="宋体"/>
        </w:rPr>
        <w:t>。</w:t>
      </w:r>
    </w:p>
    <w:p w14:paraId="6F9FAE45">
      <w:pPr>
        <w:pStyle w:val="34"/>
        <w:spacing w:beforeAutospacing="0" w:afterAutospacing="0"/>
        <w:jc w:val="both"/>
        <w:rPr>
          <w:rFonts w:hint="eastAsia" w:ascii="黑体" w:hAnsi="宋体" w:eastAsia="黑体" w:cs="黑体"/>
          <w:i/>
          <w:sz w:val="32"/>
          <w:szCs w:val="32"/>
          <w:u w:val="single"/>
        </w:rPr>
      </w:pPr>
    </w:p>
    <w:p w14:paraId="5BED8181">
      <w:pPr>
        <w:pStyle w:val="34"/>
        <w:spacing w:beforeAutospacing="0" w:afterAutospacing="0"/>
        <w:jc w:val="both"/>
      </w:pPr>
      <w:r>
        <w:rPr>
          <w:rFonts w:hint="eastAsia" w:ascii="黑体" w:hAnsi="宋体" w:eastAsia="黑体" w:cs="黑体"/>
          <w:i/>
          <w:sz w:val="32"/>
          <w:szCs w:val="32"/>
          <w:u w:val="single"/>
        </w:rPr>
        <w:t>四、依法缴纳税收和社会保障资金的相关材料</w:t>
      </w:r>
    </w:p>
    <w:p w14:paraId="418E1631">
      <w:pPr>
        <w:pStyle w:val="34"/>
        <w:spacing w:beforeAutospacing="0" w:afterAutospacing="0"/>
        <w:ind w:firstLine="480"/>
        <w:jc w:val="both"/>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02F637F6">
      <w:pPr>
        <w:pStyle w:val="34"/>
        <w:spacing w:beforeAutospacing="0" w:afterAutospacing="0" w:line="0" w:lineRule="atLeast"/>
        <w:jc w:val="both"/>
      </w:pPr>
      <w:r>
        <w:rPr>
          <w:rFonts w:hint="eastAsia" w:ascii="宋体" w:hAnsi="宋体" w:eastAsia="宋体" w:cs="宋体"/>
        </w:rPr>
        <w:t xml:space="preserve">                                     </w:t>
      </w:r>
    </w:p>
    <w:p w14:paraId="3ACD89E5">
      <w:pPr>
        <w:pStyle w:val="34"/>
        <w:spacing w:beforeAutospacing="0" w:afterAutospacing="0"/>
        <w:jc w:val="both"/>
      </w:pPr>
      <w:r>
        <w:t> </w:t>
      </w:r>
    </w:p>
    <w:p w14:paraId="7A2FF281">
      <w:pPr>
        <w:pStyle w:val="34"/>
        <w:spacing w:beforeAutospacing="0" w:afterAutospacing="0"/>
        <w:jc w:val="both"/>
      </w:pPr>
      <w:r>
        <w:rPr>
          <w:rFonts w:hint="eastAsia" w:ascii="黑体" w:hAnsi="宋体" w:eastAsia="黑体" w:cs="黑体"/>
          <w:i/>
          <w:sz w:val="32"/>
          <w:szCs w:val="32"/>
          <w:u w:val="single"/>
        </w:rPr>
        <w:t>五、参加政府采购活动前 3 年内在经营活动中没有重大违法记录的书面声明</w:t>
      </w:r>
    </w:p>
    <w:p w14:paraId="1C772751">
      <w:pPr>
        <w:pStyle w:val="34"/>
        <w:spacing w:beforeAutospacing="0" w:afterAutospacing="0" w:line="0" w:lineRule="atLeast"/>
        <w:jc w:val="center"/>
      </w:pPr>
      <w:r>
        <w:rPr>
          <w:rFonts w:hint="eastAsia" w:ascii="宋体" w:hAnsi="宋体" w:eastAsia="宋体" w:cs="宋体"/>
          <w:b/>
          <w:sz w:val="44"/>
          <w:szCs w:val="44"/>
        </w:rPr>
        <w:t>声  明</w:t>
      </w:r>
    </w:p>
    <w:p w14:paraId="222C09FF">
      <w:pPr>
        <w:pStyle w:val="34"/>
        <w:spacing w:beforeAutospacing="0" w:afterAutospacing="0" w:line="0" w:lineRule="atLeast"/>
        <w:jc w:val="both"/>
      </w:pPr>
      <w:r>
        <w:rPr>
          <w:rFonts w:hint="eastAsia" w:ascii="宋体" w:hAnsi="宋体" w:eastAsia="宋体" w:cs="宋体"/>
          <w:b/>
        </w:rPr>
        <w:t xml:space="preserve">    </w:t>
      </w:r>
      <w:r>
        <w:rPr>
          <w:rFonts w:hint="eastAsia" w:ascii="宋体" w:hAnsi="宋体" w:eastAsia="宋体" w:cs="宋体"/>
        </w:rPr>
        <w:t>我单位郑重声明：参加本次政府采购活动前 3 年内，我单位在经营活动中没有因违法经营受到刑事处罚或者责令停产停业、吊销许可证或者执照、较大数额罚款等行政处罚。</w:t>
      </w:r>
    </w:p>
    <w:p w14:paraId="0E883EA0">
      <w:pPr>
        <w:pStyle w:val="34"/>
        <w:spacing w:beforeAutospacing="0" w:afterAutospacing="0"/>
        <w:jc w:val="both"/>
      </w:pPr>
      <w:r>
        <w:t> </w:t>
      </w:r>
    </w:p>
    <w:p w14:paraId="1BD74270">
      <w:pPr>
        <w:pStyle w:val="34"/>
        <w:spacing w:beforeAutospacing="0" w:afterAutospacing="0"/>
        <w:jc w:val="both"/>
      </w:pPr>
      <w:r>
        <w:rPr>
          <w:rFonts w:hint="eastAsia" w:ascii="黑体" w:hAnsi="宋体" w:eastAsia="黑体" w:cs="黑体"/>
          <w:i/>
          <w:sz w:val="32"/>
          <w:szCs w:val="32"/>
          <w:u w:val="single"/>
        </w:rPr>
        <w:t>六、特定资格要求的证明文件</w:t>
      </w:r>
    </w:p>
    <w:p w14:paraId="2C1C9303">
      <w:pPr>
        <w:pStyle w:val="34"/>
        <w:spacing w:beforeAutospacing="0" w:afterAutospacing="0" w:line="0" w:lineRule="atLeast"/>
        <w:jc w:val="both"/>
      </w:pPr>
      <w:r>
        <w:rPr>
          <w:rFonts w:hint="eastAsia" w:ascii="宋体" w:hAnsi="宋体" w:eastAsia="宋体" w:cs="宋体"/>
        </w:rPr>
        <w:t>   如果本项目申请人的特定资格要求中要求提供的，必须提供。</w:t>
      </w:r>
    </w:p>
    <w:p w14:paraId="5F40A923">
      <w:pPr>
        <w:pStyle w:val="34"/>
        <w:spacing w:beforeAutospacing="0" w:afterAutospacing="0"/>
        <w:jc w:val="center"/>
        <w:rPr>
          <w:rFonts w:hint="eastAsia" w:ascii="黑体" w:hAnsi="宋体" w:eastAsia="黑体" w:cs="黑体"/>
          <w:i/>
          <w:sz w:val="32"/>
          <w:szCs w:val="32"/>
          <w:u w:val="single"/>
        </w:rPr>
      </w:pPr>
      <w:bookmarkStart w:id="168" w:name="_Toc120614284"/>
    </w:p>
    <w:p w14:paraId="4EA595C1">
      <w:pPr>
        <w:pStyle w:val="34"/>
        <w:spacing w:beforeAutospacing="0" w:afterAutospacing="0"/>
        <w:jc w:val="center"/>
        <w:rPr>
          <w:rFonts w:hint="eastAsia" w:ascii="黑体" w:hAnsi="宋体" w:eastAsia="黑体" w:cs="黑体"/>
          <w:i/>
          <w:sz w:val="32"/>
          <w:szCs w:val="32"/>
          <w:u w:val="single"/>
        </w:rPr>
      </w:pPr>
    </w:p>
    <w:p w14:paraId="416EF87C">
      <w:pPr>
        <w:pStyle w:val="34"/>
        <w:spacing w:beforeAutospacing="0" w:afterAutospacing="0"/>
        <w:jc w:val="center"/>
      </w:pPr>
      <w:r>
        <w:rPr>
          <w:rFonts w:hint="eastAsia" w:ascii="黑体" w:hAnsi="宋体" w:eastAsia="黑体" w:cs="黑体"/>
          <w:i/>
          <w:sz w:val="32"/>
          <w:szCs w:val="32"/>
          <w:u w:val="single"/>
        </w:rPr>
        <w:t>七、法人授权书</w:t>
      </w:r>
    </w:p>
    <w:p w14:paraId="593F920D">
      <w:pPr>
        <w:pStyle w:val="34"/>
        <w:tabs>
          <w:tab w:val="left" w:pos="360"/>
        </w:tabs>
        <w:spacing w:beforeAutospacing="0" w:afterAutospacing="0"/>
        <w:ind w:firstLine="480"/>
        <w:jc w:val="both"/>
      </w:pPr>
      <w:r>
        <w:rPr>
          <w:rFonts w:ascii="Times New Roman" w:hAnsi="Times New Roman"/>
        </w:rPr>
        <w:t>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76D2D0DD">
      <w:pPr>
        <w:pStyle w:val="34"/>
        <w:tabs>
          <w:tab w:val="left" w:pos="360"/>
        </w:tabs>
        <w:spacing w:beforeAutospacing="0" w:afterAutospacing="0"/>
        <w:ind w:firstLine="480"/>
        <w:jc w:val="both"/>
      </w:pPr>
      <w:r>
        <w:rPr>
          <w:rFonts w:ascii="Times New Roman" w:hAnsi="Times New Roman"/>
        </w:rPr>
        <w:t>本授权书于______年____月____日起生效，特此声明。</w:t>
      </w:r>
    </w:p>
    <w:p w14:paraId="10A3ADD1">
      <w:pPr>
        <w:pStyle w:val="34"/>
        <w:tabs>
          <w:tab w:val="left" w:pos="360"/>
        </w:tabs>
        <w:spacing w:beforeAutospacing="0" w:afterAutospacing="0"/>
        <w:jc w:val="both"/>
      </w:pPr>
      <w:r>
        <w:rPr>
          <w:rFonts w:ascii="Times New Roman" w:hAnsi="Times New Roman"/>
        </w:rPr>
        <w:t>          被授权人身份证号码：</w:t>
      </w:r>
      <w:r>
        <w:rPr>
          <w:rFonts w:ascii="Times New Roman" w:hAnsi="Times New Roman"/>
          <w:u w:val="single"/>
        </w:rPr>
        <w:t xml:space="preserve">                              </w:t>
      </w:r>
    </w:p>
    <w:p w14:paraId="724FE465">
      <w:pPr>
        <w:pStyle w:val="34"/>
        <w:tabs>
          <w:tab w:val="left" w:pos="360"/>
        </w:tabs>
        <w:spacing w:beforeAutospacing="0" w:afterAutospacing="0"/>
        <w:jc w:val="both"/>
      </w:pPr>
      <w:r>
        <w:rPr>
          <w:rFonts w:ascii="Times New Roman" w:hAnsi="Times New Roman"/>
        </w:rPr>
        <w:t>          被授权人联系电话：（手机）</w:t>
      </w:r>
      <w:r>
        <w:rPr>
          <w:rFonts w:ascii="Times New Roman" w:hAnsi="Times New Roman"/>
          <w:u w:val="single"/>
        </w:rPr>
        <w:t xml:space="preserve">                          </w:t>
      </w:r>
    </w:p>
    <w:p w14:paraId="7DF9DCBE">
      <w:pPr>
        <w:pStyle w:val="34"/>
        <w:tabs>
          <w:tab w:val="left" w:pos="360"/>
        </w:tabs>
        <w:spacing w:beforeAutospacing="0" w:afterAutospacing="0"/>
        <w:ind w:firstLine="1200"/>
        <w:jc w:val="both"/>
      </w:pPr>
      <w:r>
        <w:rPr>
          <w:rFonts w:ascii="Times New Roman" w:hAnsi="Times New Roman"/>
        </w:rPr>
        <w:t>授权单位名称：</w:t>
      </w:r>
      <w:r>
        <w:rPr>
          <w:rFonts w:ascii="Times New Roman" w:hAnsi="Times New Roman"/>
          <w:u w:val="single"/>
        </w:rPr>
        <w:t>（加盖CA电子公章）</w:t>
      </w:r>
    </w:p>
    <w:p w14:paraId="75964E25">
      <w:pPr>
        <w:pStyle w:val="34"/>
        <w:tabs>
          <w:tab w:val="left" w:pos="360"/>
        </w:tabs>
        <w:spacing w:beforeAutospacing="0" w:afterAutospacing="0"/>
        <w:ind w:firstLine="480"/>
        <w:jc w:val="both"/>
      </w:pPr>
      <w:r>
        <w:rPr>
          <w:rFonts w:ascii="Times New Roman" w:hAnsi="Times New Roman"/>
        </w:rPr>
        <w:t>      单位地址：</w:t>
      </w:r>
      <w:r>
        <w:rPr>
          <w:rFonts w:ascii="Times New Roman" w:hAnsi="Times New Roman"/>
          <w:u w:val="single"/>
        </w:rPr>
        <w:t xml:space="preserve">                                         </w:t>
      </w:r>
    </w:p>
    <w:p w14:paraId="2240DBA7">
      <w:pPr>
        <w:pStyle w:val="34"/>
        <w:tabs>
          <w:tab w:val="left" w:pos="360"/>
        </w:tabs>
        <w:spacing w:beforeAutospacing="0" w:afterAutospacing="0"/>
        <w:ind w:firstLine="480"/>
        <w:jc w:val="both"/>
      </w:pPr>
      <w:r>
        <w:rPr>
          <w:rFonts w:ascii="Times New Roman" w:hAnsi="Times New Roman"/>
        </w:rPr>
        <w:t>      日期：</w:t>
      </w:r>
      <w:bookmarkStart w:id="169" w:name="_Hlt26671380"/>
      <w:bookmarkStart w:id="170" w:name="_Hlt26955070"/>
      <w:bookmarkStart w:id="171" w:name="_格式3__银行出具的资信证明"/>
      <w:r>
        <w:rPr>
          <w:rFonts w:ascii="Times New Roman" w:hAnsi="Times New Roman"/>
          <w:u w:val="single"/>
        </w:rPr>
        <w:t xml:space="preserve">                                         </w:t>
      </w:r>
    </w:p>
    <w:p w14:paraId="2D375309">
      <w:pPr>
        <w:pStyle w:val="34"/>
        <w:tabs>
          <w:tab w:val="left" w:pos="360"/>
        </w:tabs>
        <w:spacing w:beforeAutospacing="0" w:afterAutospacing="0"/>
        <w:ind w:firstLine="480"/>
        <w:jc w:val="both"/>
      </w:pPr>
      <w:r>
        <w:t> </w:t>
      </w:r>
    </w:p>
    <w:p w14:paraId="3E79510B">
      <w:pPr>
        <w:pStyle w:val="34"/>
        <w:tabs>
          <w:tab w:val="left" w:pos="360"/>
        </w:tabs>
        <w:spacing w:beforeAutospacing="0" w:afterAutospacing="0"/>
        <w:ind w:firstLine="480"/>
        <w:jc w:val="both"/>
      </w:pPr>
      <w:r>
        <w:t> </w:t>
      </w:r>
    </w:p>
    <w:p w14:paraId="4F26E57E">
      <w:pPr>
        <w:pStyle w:val="34"/>
        <w:spacing w:beforeAutospacing="0" w:afterAutospacing="0"/>
        <w:ind w:firstLine="420"/>
        <w:jc w:val="both"/>
      </w:pPr>
      <w:r>
        <w:t> </w:t>
      </w:r>
    </w:p>
    <w:p w14:paraId="223EEC17">
      <w:pPr>
        <w:pStyle w:val="34"/>
        <w:spacing w:beforeAutospacing="0" w:afterAutospacing="0"/>
        <w:jc w:val="both"/>
      </w:pPr>
      <w:r>
        <w:t> </w:t>
      </w:r>
      <w:r>
        <w:rPr>
          <w:rFonts w:hint="eastAsia" w:eastAsia="宋体"/>
        </w:rPr>
        <w:t xml:space="preserve">                         </w:t>
      </w:r>
      <w:r>
        <w:rPr>
          <w:rFonts w:hint="eastAsia" w:ascii="宋体" w:hAnsi="宋体" w:eastAsia="宋体" w:cs="宋体"/>
          <w:b/>
        </w:rPr>
        <w:t> </w:t>
      </w:r>
      <w:r>
        <w:rPr>
          <w:rFonts w:hint="eastAsia" w:ascii="黑体" w:hAnsi="宋体" w:eastAsia="黑体" w:cs="黑体"/>
          <w:b/>
          <w:i/>
          <w:sz w:val="32"/>
          <w:szCs w:val="32"/>
          <w:u w:val="single"/>
        </w:rPr>
        <w:t>八、磋商响应函</w:t>
      </w:r>
    </w:p>
    <w:p w14:paraId="62F3F59C">
      <w:pPr>
        <w:pStyle w:val="34"/>
        <w:spacing w:beforeAutospacing="0" w:afterAutospacing="0" w:line="0" w:lineRule="atLeast"/>
      </w:pPr>
      <w:r>
        <w:rPr>
          <w:rFonts w:hint="eastAsia" w:ascii="宋体" w:hAnsi="宋体" w:eastAsia="宋体" w:cs="宋体"/>
        </w:rPr>
        <w:t>致：</w:t>
      </w:r>
    </w:p>
    <w:p w14:paraId="442257E9">
      <w:pPr>
        <w:pStyle w:val="34"/>
        <w:spacing w:beforeAutospacing="0" w:afterAutospacing="0" w:line="0" w:lineRule="atLeast"/>
        <w:ind w:firstLine="480"/>
      </w:pPr>
      <w:r>
        <w:rPr>
          <w:rFonts w:hint="eastAsia" w:ascii="宋体" w:hAnsi="宋体" w:eastAsia="宋体" w:cs="宋体"/>
        </w:rPr>
        <w:t>根据贵方的JSZC-</w:t>
      </w:r>
      <w:r>
        <w:rPr>
          <w:rFonts w:hint="eastAsia" w:ascii="宋体" w:hAnsi="宋体" w:eastAsia="宋体" w:cs="宋体"/>
          <w:b/>
          <w:sz w:val="36"/>
          <w:szCs w:val="36"/>
          <w:u w:val="single"/>
        </w:rPr>
        <w:t xml:space="preserve">    </w:t>
      </w:r>
      <w:r>
        <w:rPr>
          <w:rFonts w:hint="eastAsia" w:ascii="宋体" w:hAnsi="宋体" w:eastAsia="宋体" w:cs="宋体"/>
        </w:rPr>
        <w:t>号磋商文件，正式授权下述签字人______(姓名)代表我方______________（供应商的名称），全权处理本次项目磋商的有关事宜。</w:t>
      </w:r>
    </w:p>
    <w:p w14:paraId="7493513F">
      <w:pPr>
        <w:pStyle w:val="34"/>
        <w:spacing w:beforeAutospacing="0" w:afterAutospacing="0" w:line="0" w:lineRule="atLeast"/>
        <w:ind w:firstLine="480"/>
      </w:pPr>
      <w:r>
        <w:rPr>
          <w:rFonts w:hint="eastAsia" w:ascii="宋体" w:hAnsi="宋体" w:eastAsia="宋体" w:cs="宋体"/>
        </w:rPr>
        <w:t>据此函，__________签字人兹宣布同意如下：</w:t>
      </w:r>
    </w:p>
    <w:p w14:paraId="52A0C24A">
      <w:pPr>
        <w:pStyle w:val="34"/>
        <w:spacing w:beforeAutospacing="0" w:afterAutospacing="0" w:line="0" w:lineRule="atLeast"/>
        <w:ind w:firstLine="480"/>
      </w:pPr>
      <w:r>
        <w:rPr>
          <w:rFonts w:hint="eastAsia" w:ascii="宋体" w:hAnsi="宋体" w:eastAsia="宋体" w:cs="宋体"/>
        </w:rPr>
        <w:t>1.按磋商文件规定的各项要求，向买方提供所需货物、服务（包含与货物相关的服务及与服务相关的货物）。</w:t>
      </w:r>
    </w:p>
    <w:p w14:paraId="7C4A7A01">
      <w:pPr>
        <w:pStyle w:val="34"/>
        <w:spacing w:beforeAutospacing="0" w:afterAutospacing="0" w:line="0" w:lineRule="atLeast"/>
        <w:ind w:firstLine="480"/>
      </w:pPr>
      <w:r>
        <w:rPr>
          <w:rFonts w:hint="eastAsia" w:ascii="宋体" w:hAnsi="宋体" w:eastAsia="宋体" w:cs="宋体"/>
        </w:rPr>
        <w:t>2.我们完全理解贵方不一定将合同授予最低报价的供应商。</w:t>
      </w:r>
    </w:p>
    <w:p w14:paraId="5037727F">
      <w:pPr>
        <w:pStyle w:val="34"/>
        <w:spacing w:beforeAutospacing="0" w:afterAutospacing="0" w:line="0" w:lineRule="atLeast"/>
        <w:ind w:firstLine="480"/>
      </w:pPr>
      <w:r>
        <w:rPr>
          <w:rFonts w:hint="eastAsia" w:ascii="宋体" w:hAnsi="宋体" w:eastAsia="宋体" w:cs="宋体"/>
        </w:rPr>
        <w:t>3.我们已详细审核全部磋商文件及其有效补充文件，我们知道必须放弃提出含糊不清或误解问题的权利。</w:t>
      </w:r>
    </w:p>
    <w:p w14:paraId="7A304EF8">
      <w:pPr>
        <w:pStyle w:val="34"/>
        <w:spacing w:beforeAutospacing="0" w:afterAutospacing="0" w:line="0" w:lineRule="atLeast"/>
        <w:ind w:firstLine="480"/>
      </w:pPr>
      <w:r>
        <w:rPr>
          <w:rFonts w:hint="eastAsia" w:ascii="宋体" w:hAnsi="宋体" w:eastAsia="宋体" w:cs="宋体"/>
        </w:rPr>
        <w:t>4.我们同意从规定的开标日期起遵循本响应文件，并在规定的磋商有效期期满之前均具有约束力。</w:t>
      </w:r>
    </w:p>
    <w:p w14:paraId="2A528252">
      <w:pPr>
        <w:pStyle w:val="34"/>
        <w:spacing w:beforeAutospacing="0" w:afterAutospacing="0" w:line="0" w:lineRule="atLeast"/>
        <w:ind w:firstLine="480"/>
      </w:pPr>
      <w:r>
        <w:rPr>
          <w:rFonts w:hint="eastAsia" w:ascii="宋体" w:hAnsi="宋体" w:eastAsia="宋体" w:cs="宋体"/>
        </w:rPr>
        <w:t>5.同意向贵方提供贵方可能另外要求的与磋商有关的任何证据或资料，并保证我方已提供和将要提供的文件是真实的、准确的。</w:t>
      </w:r>
    </w:p>
    <w:p w14:paraId="3A5E51F1">
      <w:pPr>
        <w:pStyle w:val="34"/>
        <w:spacing w:beforeAutospacing="0" w:afterAutospacing="0" w:line="0" w:lineRule="atLeast"/>
        <w:ind w:firstLine="480"/>
      </w:pPr>
      <w:r>
        <w:rPr>
          <w:rFonts w:hint="eastAsia" w:ascii="宋体" w:hAnsi="宋体" w:eastAsia="宋体" w:cs="宋体"/>
        </w:rPr>
        <w:t>6.一旦我方成交,我方将根据磋商文件的规定，严格履行合同的责任和义务,并保证在磋商文件规定的时间完成项目，交付买方验收、使用。</w:t>
      </w:r>
    </w:p>
    <w:p w14:paraId="4F7A4F56">
      <w:pPr>
        <w:pStyle w:val="34"/>
        <w:spacing w:beforeAutospacing="0" w:afterAutospacing="0" w:line="0" w:lineRule="atLeast"/>
        <w:ind w:left="425"/>
      </w:pPr>
      <w:r>
        <w:rPr>
          <w:rFonts w:hint="eastAsia" w:ascii="宋体" w:hAnsi="宋体" w:eastAsia="宋体" w:cs="宋体"/>
        </w:rPr>
        <w:t>7.我方与本磋商有关的正式通讯地址为：</w:t>
      </w:r>
    </w:p>
    <w:p w14:paraId="22426658">
      <w:pPr>
        <w:pStyle w:val="34"/>
        <w:spacing w:beforeAutospacing="0" w:afterAutospacing="0" w:line="0" w:lineRule="atLeast"/>
        <w:ind w:left="420" w:firstLine="480"/>
      </w:pPr>
      <w:r>
        <w:rPr>
          <w:rFonts w:hint="eastAsia" w:ascii="宋体" w:hAnsi="宋体" w:eastAsia="宋体" w:cs="宋体"/>
        </w:rPr>
        <w:t>地          址：</w:t>
      </w:r>
    </w:p>
    <w:p w14:paraId="685CF81C">
      <w:pPr>
        <w:pStyle w:val="34"/>
        <w:spacing w:beforeAutospacing="0" w:afterAutospacing="0" w:line="0" w:lineRule="atLeast"/>
        <w:ind w:left="420" w:firstLine="480"/>
      </w:pPr>
      <w:r>
        <w:rPr>
          <w:rFonts w:hint="eastAsia" w:ascii="宋体" w:hAnsi="宋体" w:eastAsia="宋体" w:cs="宋体"/>
        </w:rPr>
        <w:t>邮          编：</w:t>
      </w:r>
    </w:p>
    <w:p w14:paraId="51A74893">
      <w:pPr>
        <w:pStyle w:val="34"/>
        <w:spacing w:beforeAutospacing="0" w:afterAutospacing="0" w:line="0" w:lineRule="atLeast"/>
        <w:ind w:left="420" w:firstLine="480"/>
      </w:pPr>
      <w:r>
        <w:rPr>
          <w:rFonts w:hint="eastAsia" w:ascii="宋体" w:hAnsi="宋体" w:eastAsia="宋体" w:cs="宋体"/>
        </w:rPr>
        <w:t>电          话：</w:t>
      </w:r>
    </w:p>
    <w:p w14:paraId="199819A7">
      <w:pPr>
        <w:pStyle w:val="34"/>
        <w:spacing w:beforeAutospacing="0" w:afterAutospacing="0" w:line="0" w:lineRule="atLeast"/>
        <w:ind w:left="420" w:firstLine="480"/>
      </w:pPr>
      <w:r>
        <w:rPr>
          <w:rFonts w:hint="eastAsia" w:ascii="宋体" w:hAnsi="宋体" w:eastAsia="宋体" w:cs="宋体"/>
        </w:rPr>
        <w:t>传          真：</w:t>
      </w:r>
    </w:p>
    <w:p w14:paraId="7B1CE4DF">
      <w:pPr>
        <w:pStyle w:val="34"/>
        <w:spacing w:beforeAutospacing="0" w:afterAutospacing="0" w:line="0" w:lineRule="atLeast"/>
        <w:ind w:left="420" w:firstLine="480"/>
      </w:pPr>
      <w:r>
        <w:rPr>
          <w:rFonts w:hint="eastAsia" w:ascii="宋体" w:hAnsi="宋体" w:eastAsia="宋体" w:cs="宋体"/>
        </w:rPr>
        <w:t>供应商开户行：</w:t>
      </w:r>
    </w:p>
    <w:p w14:paraId="1E852A9C">
      <w:pPr>
        <w:pStyle w:val="34"/>
        <w:spacing w:beforeAutospacing="0" w:afterAutospacing="0" w:line="0" w:lineRule="atLeast"/>
        <w:ind w:left="420" w:firstLine="480"/>
      </w:pPr>
      <w:r>
        <w:rPr>
          <w:rFonts w:hint="eastAsia" w:ascii="宋体" w:hAnsi="宋体" w:eastAsia="宋体" w:cs="宋体"/>
        </w:rPr>
        <w:t xml:space="preserve">账          号： </w:t>
      </w:r>
    </w:p>
    <w:p w14:paraId="75C07637">
      <w:pPr>
        <w:pStyle w:val="34"/>
        <w:spacing w:beforeAutospacing="0" w:afterAutospacing="0" w:line="0" w:lineRule="atLeast"/>
        <w:ind w:left="420" w:firstLine="480"/>
      </w:pPr>
      <w:r>
        <w:rPr>
          <w:rFonts w:hint="eastAsia" w:ascii="宋体" w:hAnsi="宋体" w:eastAsia="宋体" w:cs="宋体"/>
        </w:rPr>
        <w:t>日           期：________年____月____日</w:t>
      </w:r>
    </w:p>
    <w:p w14:paraId="73840A1F">
      <w:pPr>
        <w:pStyle w:val="34"/>
        <w:spacing w:beforeAutospacing="0" w:afterAutospacing="0" w:line="0" w:lineRule="atLeast"/>
        <w:ind w:firstLine="240"/>
        <w:jc w:val="center"/>
      </w:pPr>
      <w:r>
        <w:t> </w:t>
      </w:r>
    </w:p>
    <w:p w14:paraId="2B854811">
      <w:pPr>
        <w:pStyle w:val="34"/>
        <w:spacing w:beforeAutospacing="0" w:afterAutospacing="0" w:line="0" w:lineRule="atLeast"/>
        <w:ind w:firstLine="240"/>
        <w:jc w:val="center"/>
      </w:pPr>
    </w:p>
    <w:p w14:paraId="332A70F2">
      <w:pPr>
        <w:pStyle w:val="34"/>
        <w:spacing w:beforeAutospacing="0" w:afterAutospacing="0" w:line="0" w:lineRule="atLeast"/>
        <w:ind w:firstLine="240"/>
        <w:jc w:val="center"/>
      </w:pPr>
    </w:p>
    <w:p w14:paraId="7E3BB34D">
      <w:pPr>
        <w:pStyle w:val="34"/>
        <w:spacing w:beforeAutospacing="0" w:afterAutospacing="0" w:line="0" w:lineRule="atLeast"/>
        <w:ind w:firstLine="240"/>
        <w:jc w:val="center"/>
      </w:pPr>
    </w:p>
    <w:p w14:paraId="535A8470">
      <w:pPr>
        <w:pStyle w:val="34"/>
        <w:spacing w:beforeAutospacing="0" w:afterAutospacing="0" w:line="0" w:lineRule="atLeast"/>
        <w:ind w:firstLine="240"/>
        <w:jc w:val="center"/>
      </w:pPr>
    </w:p>
    <w:p w14:paraId="52979314">
      <w:pPr>
        <w:pStyle w:val="34"/>
        <w:spacing w:beforeAutospacing="0" w:afterAutospacing="0" w:line="0" w:lineRule="atLeast"/>
        <w:ind w:firstLine="240"/>
        <w:jc w:val="center"/>
      </w:pPr>
    </w:p>
    <w:p w14:paraId="1BF250AB">
      <w:pPr>
        <w:pStyle w:val="34"/>
        <w:spacing w:beforeAutospacing="0" w:afterAutospacing="0" w:line="0" w:lineRule="atLeast"/>
        <w:ind w:firstLine="240"/>
        <w:jc w:val="center"/>
      </w:pPr>
    </w:p>
    <w:p w14:paraId="3A0D60E6">
      <w:pPr>
        <w:pStyle w:val="34"/>
        <w:spacing w:beforeAutospacing="0" w:afterAutospacing="0" w:line="0" w:lineRule="atLeast"/>
        <w:ind w:firstLine="240"/>
        <w:jc w:val="center"/>
      </w:pPr>
    </w:p>
    <w:p w14:paraId="2E4B3AE9">
      <w:pPr>
        <w:pStyle w:val="34"/>
        <w:spacing w:beforeAutospacing="0" w:afterAutospacing="0" w:line="0" w:lineRule="atLeast"/>
        <w:ind w:firstLine="240"/>
        <w:jc w:val="center"/>
      </w:pPr>
    </w:p>
    <w:p w14:paraId="171FD0F1">
      <w:pPr>
        <w:pStyle w:val="34"/>
        <w:spacing w:beforeAutospacing="0" w:afterAutospacing="0" w:line="0" w:lineRule="atLeast"/>
        <w:ind w:firstLine="240"/>
        <w:jc w:val="center"/>
      </w:pPr>
    </w:p>
    <w:p w14:paraId="3A9F6E4A">
      <w:pPr>
        <w:pStyle w:val="34"/>
        <w:spacing w:beforeAutospacing="0" w:afterAutospacing="0" w:line="0" w:lineRule="atLeast"/>
        <w:ind w:firstLine="240"/>
        <w:jc w:val="center"/>
      </w:pPr>
    </w:p>
    <w:p w14:paraId="1156E454">
      <w:pPr>
        <w:pStyle w:val="34"/>
        <w:spacing w:beforeAutospacing="0" w:afterAutospacing="0" w:line="0" w:lineRule="atLeast"/>
        <w:ind w:firstLine="240"/>
        <w:jc w:val="center"/>
      </w:pPr>
    </w:p>
    <w:p w14:paraId="4D821D04">
      <w:pPr>
        <w:pStyle w:val="34"/>
        <w:spacing w:beforeAutospacing="0" w:afterAutospacing="0" w:line="0" w:lineRule="atLeast"/>
        <w:ind w:firstLine="240"/>
        <w:jc w:val="center"/>
      </w:pPr>
    </w:p>
    <w:p w14:paraId="13A00CA1">
      <w:pPr>
        <w:pStyle w:val="34"/>
        <w:spacing w:beforeAutospacing="0" w:afterAutospacing="0" w:line="0" w:lineRule="atLeast"/>
        <w:ind w:firstLine="240"/>
        <w:jc w:val="center"/>
      </w:pPr>
    </w:p>
    <w:p w14:paraId="7E113EB9">
      <w:pPr>
        <w:pStyle w:val="34"/>
        <w:spacing w:beforeAutospacing="0" w:afterAutospacing="0" w:line="0" w:lineRule="atLeast"/>
        <w:ind w:firstLine="240"/>
        <w:jc w:val="center"/>
      </w:pPr>
      <w:r>
        <w:t> </w:t>
      </w:r>
    </w:p>
    <w:p w14:paraId="76A02EEC">
      <w:pPr>
        <w:pStyle w:val="34"/>
        <w:spacing w:beforeAutospacing="0" w:afterAutospacing="0" w:line="0" w:lineRule="atLeast"/>
        <w:ind w:firstLine="240"/>
        <w:jc w:val="center"/>
      </w:pPr>
      <w:r>
        <w:t> </w:t>
      </w:r>
    </w:p>
    <w:p w14:paraId="7A350D57">
      <w:pPr>
        <w:pStyle w:val="34"/>
        <w:spacing w:beforeAutospacing="0" w:afterAutospacing="0" w:line="0" w:lineRule="atLeast"/>
        <w:ind w:firstLine="240"/>
        <w:jc w:val="center"/>
      </w:pPr>
      <w:r>
        <w:t> </w:t>
      </w:r>
    </w:p>
    <w:p w14:paraId="604DBB50">
      <w:pPr>
        <w:pStyle w:val="34"/>
        <w:spacing w:beforeAutospacing="0" w:afterAutospacing="0" w:line="0" w:lineRule="atLeast"/>
        <w:ind w:firstLine="240"/>
        <w:jc w:val="center"/>
      </w:pPr>
      <w:r>
        <w:t> </w:t>
      </w:r>
    </w:p>
    <w:p w14:paraId="2117DDE1">
      <w:pPr>
        <w:pStyle w:val="34"/>
        <w:spacing w:beforeAutospacing="0" w:afterAutospacing="0" w:line="0" w:lineRule="atLeast"/>
        <w:jc w:val="center"/>
      </w:pPr>
      <w:r>
        <w:t> </w:t>
      </w:r>
    </w:p>
    <w:p w14:paraId="2BA7D735">
      <w:pPr>
        <w:pStyle w:val="34"/>
        <w:spacing w:beforeAutospacing="0" w:afterAutospacing="0" w:line="0" w:lineRule="atLeast"/>
        <w:jc w:val="center"/>
      </w:pPr>
      <w:r>
        <w:t> </w:t>
      </w:r>
      <w:r>
        <w:rPr>
          <w:rFonts w:hint="eastAsia" w:ascii="黑体" w:hAnsi="宋体" w:eastAsia="黑体" w:cs="黑体"/>
          <w:b/>
          <w:sz w:val="32"/>
          <w:szCs w:val="32"/>
        </w:rPr>
        <w:t>九、中小企业声明函（服务）（分包号：**）</w:t>
      </w:r>
    </w:p>
    <w:p w14:paraId="60F7D741">
      <w:pPr>
        <w:pStyle w:val="34"/>
        <w:spacing w:beforeAutospacing="0" w:afterAutospacing="0" w:line="460" w:lineRule="exact"/>
        <w:ind w:firstLine="480"/>
        <w:jc w:val="both"/>
      </w:pPr>
      <w:r>
        <w:rPr>
          <w:rFonts w:hint="eastAsia"/>
        </w:rPr>
        <w:t>本公司（联合体）郑重声明，根据《政府采购促进中小企业发展管理办法》（财库﹝2020﹞46 号）的规定，本公司（联合体）参加</w:t>
      </w:r>
      <w:r>
        <w:rPr>
          <w:rFonts w:hint="eastAsia"/>
          <w:u w:val="single"/>
        </w:rPr>
        <w:t>盐城宝融项目管理有限公司</w:t>
      </w:r>
      <w:r>
        <w:rPr>
          <w:rFonts w:hint="eastAsia"/>
        </w:rPr>
        <w:t>组织的</w:t>
      </w:r>
      <w:r>
        <w:rPr>
          <w:rFonts w:hint="eastAsia"/>
          <w:u w:val="single"/>
        </w:rPr>
        <w:t xml:space="preserve"> 江苏射阳港经济开发区管理委员会 </w:t>
      </w:r>
      <w:r>
        <w:rPr>
          <w:rFonts w:hint="eastAsia"/>
        </w:rPr>
        <w:t>采购编号为</w:t>
      </w:r>
      <w:r>
        <w:rPr>
          <w:rFonts w:hint="eastAsia"/>
          <w:u w:val="single"/>
        </w:rPr>
        <w:t xml:space="preserve">          </w:t>
      </w:r>
      <w:r>
        <w:rPr>
          <w:rFonts w:hint="eastAsia"/>
        </w:rPr>
        <w:t>的</w:t>
      </w:r>
      <w:r>
        <w:rPr>
          <w:rFonts w:hint="eastAsia"/>
          <w:i/>
          <w:iCs/>
          <w:u w:val="single"/>
        </w:rPr>
        <w:t xml:space="preserve">    （项目名称）</w:t>
      </w:r>
      <w:r>
        <w:rPr>
          <w:rFonts w:hint="eastAsia"/>
        </w:rPr>
        <w:t>的采购活动，</w:t>
      </w:r>
      <w:r>
        <w:rPr>
          <w:rFonts w:hint="eastAsia" w:ascii="宋体" w:hAnsi="宋体" w:eastAsia="宋体" w:cs="宋体"/>
          <w:color w:val="000000"/>
        </w:rPr>
        <w:t>工程全部由符合政策的</w:t>
      </w:r>
      <w:r>
        <w:rPr>
          <w:rFonts w:hint="eastAsia" w:cs="宋体"/>
          <w:color w:val="000000"/>
        </w:rPr>
        <w:t>中</w:t>
      </w:r>
      <w:r>
        <w:rPr>
          <w:rFonts w:hint="eastAsia" w:ascii="宋体" w:hAnsi="宋体" w:eastAsia="宋体" w:cs="宋体"/>
          <w:color w:val="000000"/>
        </w:rPr>
        <w:t>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rPr>
        <w:t>中</w:t>
      </w:r>
      <w:r>
        <w:rPr>
          <w:rFonts w:hint="eastAsia" w:ascii="宋体" w:hAnsi="宋体" w:eastAsia="宋体" w:cs="宋体"/>
          <w:color w:val="000000"/>
        </w:rPr>
        <w:t>小企业、签订分包意向协议的</w:t>
      </w:r>
      <w:r>
        <w:rPr>
          <w:rFonts w:hint="eastAsia" w:cs="宋体"/>
          <w:color w:val="000000"/>
        </w:rPr>
        <w:t>中</w:t>
      </w:r>
      <w:r>
        <w:rPr>
          <w:rFonts w:hint="eastAsia" w:ascii="宋体" w:hAnsi="宋体" w:eastAsia="宋体" w:cs="宋体"/>
          <w:color w:val="000000"/>
        </w:rPr>
        <w:t>小企业）的具体情况如下：</w:t>
      </w:r>
    </w:p>
    <w:p w14:paraId="1F09D200">
      <w:pPr>
        <w:pStyle w:val="34"/>
        <w:spacing w:beforeAutospacing="0" w:afterAutospacing="0" w:line="460" w:lineRule="exact"/>
        <w:ind w:firstLine="48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rPr>
        <w:t>（</w:t>
      </w:r>
      <w:r>
        <w:rPr>
          <w:rFonts w:hint="eastAsia"/>
          <w:i/>
          <w:iCs/>
          <w:u w:val="single"/>
        </w:rPr>
        <w:t>中型企业、小型企业、微型企业</w:t>
      </w:r>
      <w:r>
        <w:rPr>
          <w:rFonts w:hint="eastAsia"/>
        </w:rPr>
        <w:t>）</w:t>
      </w:r>
      <w:r>
        <w:rPr>
          <w:rFonts w:hint="eastAsia" w:ascii="宋体" w:hAnsi="宋体" w:eastAsia="宋体" w:cs="宋体"/>
          <w:color w:val="000000"/>
        </w:rPr>
        <w:t>；</w:t>
      </w:r>
    </w:p>
    <w:p w14:paraId="56CA075D">
      <w:pPr>
        <w:pStyle w:val="34"/>
        <w:spacing w:beforeAutospacing="0" w:afterAutospacing="0" w:line="460" w:lineRule="exact"/>
        <w:ind w:firstLine="48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rPr>
        <w:t>（</w:t>
      </w:r>
      <w:r>
        <w:rPr>
          <w:rFonts w:hint="eastAsia"/>
          <w:i/>
          <w:iCs/>
          <w:u w:val="single"/>
        </w:rPr>
        <w:t>中型企业、小型企业、微型企业</w:t>
      </w:r>
      <w:r>
        <w:rPr>
          <w:rFonts w:hint="eastAsia"/>
        </w:rPr>
        <w:t>）</w:t>
      </w:r>
      <w:r>
        <w:rPr>
          <w:rFonts w:hint="eastAsia" w:ascii="宋体" w:hAnsi="宋体" w:eastAsia="宋体" w:cs="宋体"/>
          <w:color w:val="000000"/>
        </w:rPr>
        <w:t>；</w:t>
      </w:r>
    </w:p>
    <w:p w14:paraId="1F8971EC">
      <w:pPr>
        <w:pStyle w:val="34"/>
        <w:spacing w:beforeAutospacing="0" w:afterAutospacing="0" w:line="460" w:lineRule="exact"/>
        <w:ind w:firstLine="360"/>
        <w:jc w:val="both"/>
      </w:pPr>
      <w:r>
        <w:rPr>
          <w:rFonts w:hint="eastAsia" w:ascii="宋体" w:hAnsi="宋体" w:eastAsia="宋体" w:cs="宋体"/>
          <w:color w:val="000000"/>
        </w:rPr>
        <w:t>……</w:t>
      </w:r>
    </w:p>
    <w:p w14:paraId="76E43D3A">
      <w:pPr>
        <w:pStyle w:val="34"/>
        <w:spacing w:beforeAutospacing="0" w:afterAutospacing="0" w:line="460" w:lineRule="exact"/>
        <w:ind w:firstLine="48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2D0DD9C0">
      <w:pPr>
        <w:pStyle w:val="34"/>
        <w:spacing w:beforeAutospacing="0" w:afterAutospacing="0" w:line="460" w:lineRule="exact"/>
        <w:ind w:firstLine="480"/>
        <w:jc w:val="both"/>
      </w:pPr>
      <w:r>
        <w:rPr>
          <w:rFonts w:hint="eastAsia" w:ascii="宋体" w:hAnsi="宋体" w:eastAsia="宋体" w:cs="宋体"/>
          <w:color w:val="000000"/>
        </w:rPr>
        <w:t>本企业对上述声明内容的真实性负责。如有虚假，将依法承担相应责任</w:t>
      </w:r>
    </w:p>
    <w:p w14:paraId="07676203">
      <w:pPr>
        <w:pStyle w:val="34"/>
        <w:spacing w:beforeAutospacing="0" w:afterAutospacing="0" w:line="460" w:lineRule="exact"/>
        <w:ind w:right="720"/>
        <w:jc w:val="both"/>
      </w:pPr>
      <w:r>
        <w:t> </w:t>
      </w:r>
    </w:p>
    <w:p w14:paraId="2427B69A">
      <w:pPr>
        <w:pStyle w:val="34"/>
        <w:spacing w:beforeAutospacing="0" w:afterAutospacing="0" w:line="460" w:lineRule="exact"/>
        <w:ind w:right="180" w:firstLine="360"/>
        <w:jc w:val="right"/>
      </w:pPr>
      <w:r>
        <w:rPr>
          <w:rFonts w:hint="eastAsia" w:ascii="宋体" w:hAnsi="宋体" w:eastAsia="宋体" w:cs="宋体"/>
          <w:color w:val="000000"/>
        </w:rPr>
        <w:t>企业名称（加盖CA电子公章）：</w:t>
      </w:r>
    </w:p>
    <w:p w14:paraId="2294FD8D">
      <w:pPr>
        <w:pStyle w:val="34"/>
        <w:spacing w:beforeAutospacing="0" w:afterAutospacing="0" w:line="460" w:lineRule="exact"/>
        <w:ind w:right="480" w:firstLine="5400"/>
        <w:jc w:val="both"/>
      </w:pPr>
      <w:r>
        <w:rPr>
          <w:rFonts w:hint="eastAsia" w:ascii="宋体" w:hAnsi="宋体" w:eastAsia="宋体" w:cs="宋体"/>
          <w:color w:val="000000"/>
        </w:rPr>
        <w:t>日  期：</w:t>
      </w:r>
    </w:p>
    <w:p w14:paraId="48CFC843">
      <w:pPr>
        <w:pStyle w:val="34"/>
        <w:spacing w:beforeAutospacing="0" w:afterAutospacing="0" w:line="460" w:lineRule="exac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66429B76">
      <w:pPr>
        <w:pStyle w:val="34"/>
        <w:spacing w:beforeAutospacing="0" w:afterAutospacing="0" w:line="0" w:lineRule="atLeast"/>
        <w:ind w:firstLine="480"/>
        <w:jc w:val="both"/>
      </w:pPr>
      <w:r>
        <w:rPr>
          <w:rFonts w:hint="eastAsia" w:ascii="宋体" w:hAnsi="宋体" w:eastAsia="宋体" w:cs="宋体"/>
          <w:color w:val="000000"/>
        </w:rPr>
        <w:t>备注2：供应商如不提供此声明函，</w:t>
      </w:r>
      <w:r>
        <w:rPr>
          <w:rFonts w:hint="eastAsia" w:ascii="宋体" w:hAnsi="宋体" w:eastAsia="宋体" w:cs="宋体"/>
        </w:rPr>
        <w:t>则资格审查不通过</w:t>
      </w:r>
      <w:r>
        <w:rPr>
          <w:rFonts w:hint="eastAsia" w:ascii="宋体" w:hAnsi="宋体" w:eastAsia="宋体" w:cs="宋体"/>
          <w:color w:val="000000"/>
        </w:rPr>
        <w:t>。</w:t>
      </w:r>
    </w:p>
    <w:p w14:paraId="2452F801">
      <w:pPr>
        <w:pStyle w:val="34"/>
        <w:spacing w:beforeAutospacing="0" w:afterAutospacing="0" w:line="0" w:lineRule="atLeast"/>
        <w:jc w:val="both"/>
        <w:rPr>
          <w:rFonts w:hint="eastAsia" w:ascii="黑体" w:hAnsi="宋体" w:eastAsia="黑体" w:cs="黑体"/>
          <w:b/>
          <w:sz w:val="32"/>
          <w:szCs w:val="32"/>
        </w:rPr>
      </w:pPr>
      <w:r>
        <w:rPr>
          <w:rFonts w:hint="eastAsia" w:ascii="黑体" w:hAnsi="宋体" w:eastAsia="黑体" w:cs="黑体"/>
          <w:b/>
          <w:sz w:val="32"/>
          <w:szCs w:val="32"/>
        </w:rPr>
        <w:br w:type="page" w:clear="all"/>
      </w:r>
      <w:r>
        <w:rPr>
          <w:rFonts w:hint="eastAsia" w:ascii="黑体" w:hAnsi="宋体" w:eastAsia="黑体" w:cs="黑体"/>
          <w:b/>
          <w:sz w:val="32"/>
          <w:szCs w:val="32"/>
        </w:rPr>
        <w:t> </w:t>
      </w:r>
    </w:p>
    <w:p w14:paraId="1E00F4B0">
      <w:pPr>
        <w:pStyle w:val="34"/>
        <w:spacing w:beforeAutospacing="0" w:afterAutospacing="0" w:line="0" w:lineRule="atLeast"/>
        <w:jc w:val="center"/>
      </w:pPr>
      <w:r>
        <w:rPr>
          <w:rFonts w:hint="eastAsia" w:ascii="黑体" w:hAnsi="宋体" w:eastAsia="黑体" w:cs="黑体"/>
          <w:b/>
          <w:sz w:val="32"/>
          <w:szCs w:val="32"/>
        </w:rPr>
        <w:t>十、残疾人福利性单位声明函（分包号：**）</w:t>
      </w:r>
    </w:p>
    <w:p w14:paraId="25B7D1DD">
      <w:pPr>
        <w:pStyle w:val="34"/>
        <w:spacing w:beforeAutospacing="0" w:afterAutospacing="0" w:line="0" w:lineRule="atLeast"/>
        <w:ind w:firstLine="480"/>
        <w:jc w:val="both"/>
        <w:rPr>
          <w:rFonts w:hint="eastAsia" w:ascii="宋体" w:hAnsi="宋体" w:eastAsia="宋体" w:cs="宋体"/>
        </w:rPr>
      </w:pPr>
    </w:p>
    <w:p w14:paraId="17FAE188">
      <w:pPr>
        <w:pStyle w:val="34"/>
        <w:spacing w:beforeAutospacing="0" w:afterAutospacing="0" w:line="0" w:lineRule="atLeast"/>
        <w:ind w:firstLine="480"/>
        <w:jc w:val="both"/>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hint="eastAsia"/>
          <w:u w:val="single"/>
        </w:rPr>
        <w:t>江苏射阳港经济开发区管理委员会</w:t>
      </w:r>
      <w:r>
        <w:rPr>
          <w:rFonts w:hint="eastAsia" w:ascii="宋体" w:hAnsi="宋体" w:eastAsia="宋体" w:cs="宋体"/>
        </w:rPr>
        <w:t>单位的磋商文件编号为______的</w:t>
      </w:r>
      <w:r>
        <w:rPr>
          <w:rFonts w:hint="eastAsia" w:ascii="宋体" w:hAnsi="宋体" w:eastAsia="宋体" w:cs="宋体"/>
          <w:u w:val="single"/>
        </w:rPr>
        <w:t xml:space="preserve">       </w:t>
      </w:r>
      <w:r>
        <w:rPr>
          <w:rFonts w:hint="eastAsia" w:ascii="宋体" w:hAnsi="宋体" w:eastAsia="宋体" w:cs="宋体"/>
        </w:rPr>
        <w:t>项目（分包号：**）采购活动工程由本单位承接，或者由其他残疾人福利性单位承接。</w:t>
      </w:r>
    </w:p>
    <w:p w14:paraId="0EAAD482">
      <w:pPr>
        <w:pStyle w:val="34"/>
        <w:spacing w:beforeAutospacing="0" w:afterAutospacing="0" w:line="0" w:lineRule="atLeast"/>
        <w:ind w:firstLine="480"/>
        <w:jc w:val="both"/>
      </w:pPr>
      <w:r>
        <w:rPr>
          <w:rFonts w:hint="eastAsia" w:ascii="宋体" w:hAnsi="宋体" w:eastAsia="宋体" w:cs="宋体"/>
        </w:rPr>
        <w:t>本单位对上述声明的真实性负责。如有虚假，将依法承担相应责任。</w:t>
      </w:r>
    </w:p>
    <w:p w14:paraId="4AA7383F">
      <w:pPr>
        <w:pStyle w:val="34"/>
        <w:spacing w:beforeAutospacing="0" w:afterAutospacing="0" w:line="0" w:lineRule="atLeast"/>
        <w:ind w:firstLine="480"/>
        <w:jc w:val="both"/>
      </w:pPr>
      <w:r>
        <w:t> </w:t>
      </w:r>
    </w:p>
    <w:p w14:paraId="0C25AB7F">
      <w:pPr>
        <w:pStyle w:val="34"/>
        <w:spacing w:beforeAutospacing="0" w:afterAutospacing="0" w:line="0" w:lineRule="atLeast"/>
        <w:ind w:firstLine="480"/>
        <w:jc w:val="both"/>
      </w:pPr>
      <w:r>
        <w:rPr>
          <w:rFonts w:hint="eastAsia" w:ascii="宋体" w:hAnsi="宋体" w:eastAsia="宋体" w:cs="宋体"/>
        </w:rPr>
        <w:t>（备注：1、供应商如不提供此声明函，则资格审查不通过）。2、成交供应商为残疾人福利单位的，此声明函将随成交结果同时公告，接受社会监督）</w:t>
      </w:r>
    </w:p>
    <w:p w14:paraId="1C30DC1D">
      <w:pPr>
        <w:pStyle w:val="34"/>
        <w:spacing w:beforeAutospacing="0" w:afterAutospacing="0" w:line="0" w:lineRule="atLeast"/>
        <w:ind w:firstLine="624"/>
        <w:jc w:val="both"/>
      </w:pPr>
      <w:r>
        <w:t> </w:t>
      </w:r>
    </w:p>
    <w:p w14:paraId="19790820">
      <w:pPr>
        <w:pStyle w:val="34"/>
        <w:tabs>
          <w:tab w:val="left" w:pos="4864"/>
        </w:tabs>
        <w:spacing w:beforeAutospacing="0" w:afterAutospacing="0" w:line="0" w:lineRule="atLeast"/>
        <w:ind w:right="1560" w:firstLine="624"/>
        <w:jc w:val="center"/>
        <w:rPr>
          <w:rFonts w:hint="eastAsia" w:ascii="宋体" w:hAnsi="宋体" w:eastAsia="宋体" w:cs="宋体"/>
        </w:rPr>
      </w:pPr>
      <w:r>
        <w:rPr>
          <w:rFonts w:ascii="仿宋_GB2312" w:eastAsia="仿宋_GB2312" w:cs="仿宋_GB2312"/>
          <w:sz w:val="30"/>
          <w:szCs w:val="30"/>
        </w:rPr>
        <w:t xml:space="preserve">             </w:t>
      </w:r>
      <w:r>
        <w:rPr>
          <w:rFonts w:hint="eastAsia" w:ascii="宋体" w:hAnsi="宋体" w:eastAsia="宋体" w:cs="宋体"/>
        </w:rPr>
        <w:t>       </w:t>
      </w:r>
    </w:p>
    <w:p w14:paraId="533960F5">
      <w:pPr>
        <w:pStyle w:val="34"/>
        <w:tabs>
          <w:tab w:val="left" w:pos="4864"/>
        </w:tabs>
        <w:spacing w:beforeAutospacing="0" w:afterAutospacing="0" w:line="0" w:lineRule="atLeast"/>
        <w:ind w:right="1560" w:firstLine="624"/>
        <w:jc w:val="center"/>
        <w:rPr>
          <w:rFonts w:hint="eastAsia" w:ascii="宋体" w:hAnsi="宋体" w:eastAsia="宋体" w:cs="宋体"/>
        </w:rPr>
      </w:pPr>
    </w:p>
    <w:p w14:paraId="5B496CB8">
      <w:pPr>
        <w:pStyle w:val="34"/>
        <w:tabs>
          <w:tab w:val="left" w:pos="4864"/>
        </w:tabs>
        <w:spacing w:beforeAutospacing="0" w:afterAutospacing="0" w:line="0" w:lineRule="atLeast"/>
        <w:ind w:right="1560" w:firstLine="624"/>
        <w:jc w:val="center"/>
      </w:pPr>
      <w:r>
        <w:rPr>
          <w:rFonts w:hint="eastAsia" w:ascii="宋体" w:hAnsi="宋体" w:eastAsia="宋体" w:cs="宋体"/>
        </w:rPr>
        <w:t>供应商全称（加盖CA电子公章）：</w:t>
      </w:r>
    </w:p>
    <w:p w14:paraId="2ADCC741">
      <w:pPr>
        <w:pStyle w:val="34"/>
        <w:tabs>
          <w:tab w:val="left" w:pos="4864"/>
        </w:tabs>
        <w:spacing w:beforeAutospacing="0" w:afterAutospacing="0" w:line="0" w:lineRule="atLeast"/>
        <w:ind w:right="1560" w:firstLine="480"/>
        <w:jc w:val="center"/>
      </w:pPr>
      <w:r>
        <w:rPr>
          <w:rFonts w:hint="eastAsia" w:ascii="宋体" w:hAnsi="宋体" w:eastAsia="宋体" w:cs="宋体"/>
        </w:rPr>
        <w:t>        日  期：</w:t>
      </w:r>
    </w:p>
    <w:p w14:paraId="72D4DE7A">
      <w:pPr>
        <w:pStyle w:val="34"/>
        <w:spacing w:beforeAutospacing="0" w:afterAutospacing="0" w:line="0" w:lineRule="atLeast"/>
        <w:jc w:val="center"/>
      </w:pPr>
      <w:r>
        <w:t> </w:t>
      </w:r>
    </w:p>
    <w:p w14:paraId="6B67F4AA">
      <w:pPr>
        <w:pStyle w:val="34"/>
        <w:spacing w:beforeAutospacing="0" w:afterAutospacing="0" w:line="0" w:lineRule="atLeast"/>
        <w:jc w:val="center"/>
      </w:pPr>
      <w:r>
        <w:t> </w:t>
      </w:r>
    </w:p>
    <w:p w14:paraId="0E2211D3">
      <w:pPr>
        <w:pStyle w:val="34"/>
        <w:spacing w:beforeAutospacing="0" w:afterAutospacing="0" w:line="0" w:lineRule="atLeast"/>
        <w:jc w:val="center"/>
      </w:pPr>
      <w:r>
        <w:t> </w:t>
      </w:r>
    </w:p>
    <w:p w14:paraId="4C128D10">
      <w:pPr>
        <w:pStyle w:val="34"/>
        <w:spacing w:beforeAutospacing="0" w:afterAutospacing="0" w:line="0" w:lineRule="atLeast"/>
        <w:jc w:val="center"/>
      </w:pPr>
      <w:r>
        <w:t> </w:t>
      </w:r>
    </w:p>
    <w:p w14:paraId="7EBA8E9A">
      <w:pPr>
        <w:pStyle w:val="34"/>
        <w:spacing w:beforeAutospacing="0" w:afterAutospacing="0" w:line="0" w:lineRule="atLeast"/>
        <w:jc w:val="center"/>
      </w:pPr>
      <w:r>
        <w:t> </w:t>
      </w:r>
    </w:p>
    <w:p w14:paraId="55FDAA72">
      <w:pPr>
        <w:pStyle w:val="34"/>
        <w:spacing w:beforeAutospacing="0" w:afterAutospacing="0" w:line="0" w:lineRule="atLeast"/>
        <w:jc w:val="center"/>
      </w:pPr>
      <w:r>
        <w:t> </w:t>
      </w:r>
    </w:p>
    <w:p w14:paraId="7F80C508">
      <w:pPr>
        <w:pStyle w:val="34"/>
        <w:spacing w:beforeAutospacing="0" w:afterAutospacing="0" w:line="0" w:lineRule="atLeast"/>
        <w:jc w:val="center"/>
      </w:pPr>
      <w:r>
        <w:t> </w:t>
      </w:r>
    </w:p>
    <w:p w14:paraId="0A13BA26">
      <w:pPr>
        <w:pStyle w:val="34"/>
        <w:spacing w:beforeAutospacing="0" w:afterAutospacing="0" w:line="0" w:lineRule="atLeast"/>
        <w:jc w:val="center"/>
      </w:pPr>
      <w:r>
        <w:t> </w:t>
      </w:r>
    </w:p>
    <w:p w14:paraId="31D8E932">
      <w:pPr>
        <w:pStyle w:val="34"/>
        <w:spacing w:beforeAutospacing="0" w:afterAutospacing="0" w:line="0" w:lineRule="atLeast"/>
        <w:jc w:val="center"/>
      </w:pPr>
      <w:r>
        <w:t> </w:t>
      </w:r>
    </w:p>
    <w:p w14:paraId="6976EF24">
      <w:pPr>
        <w:pStyle w:val="34"/>
        <w:spacing w:beforeAutospacing="0" w:afterAutospacing="0" w:line="0" w:lineRule="atLeast"/>
        <w:jc w:val="center"/>
      </w:pPr>
    </w:p>
    <w:p w14:paraId="12C118F7">
      <w:pPr>
        <w:rPr>
          <w:rFonts w:hint="eastAsia" w:ascii="黑体" w:hAnsi="宋体" w:eastAsia="黑体" w:cs="黑体"/>
          <w:b/>
          <w:bCs/>
          <w:sz w:val="32"/>
          <w:szCs w:val="32"/>
        </w:rPr>
      </w:pPr>
      <w:r>
        <w:rPr>
          <w:rFonts w:hint="eastAsia" w:ascii="黑体" w:hAnsi="黑体" w:eastAsia="黑体" w:cs="黑体"/>
          <w:b/>
          <w:color w:val="FF0000"/>
          <w:sz w:val="32"/>
          <w:szCs w:val="32"/>
        </w:rPr>
        <w:br w:type="page" w:clear="all"/>
      </w:r>
    </w:p>
    <w:p w14:paraId="14E769E4">
      <w:pPr>
        <w:pStyle w:val="34"/>
        <w:spacing w:beforeAutospacing="0" w:afterAutospacing="0" w:line="0" w:lineRule="atLeast"/>
        <w:jc w:val="center"/>
      </w:pPr>
      <w:r>
        <w:rPr>
          <w:rFonts w:ascii="黑体" w:hAnsi="宋体" w:eastAsia="黑体" w:cs="黑体"/>
          <w:b/>
          <w:bCs/>
          <w:sz w:val="32"/>
          <w:szCs w:val="32"/>
        </w:rPr>
        <w:t>十一、 </w:t>
      </w:r>
      <w:r>
        <w:rPr>
          <w:rFonts w:hint="eastAsia" w:ascii="黑体" w:hAnsi="宋体" w:eastAsia="黑体" w:cs="黑体"/>
          <w:b/>
          <w:color w:val="000000"/>
          <w:sz w:val="32"/>
          <w:szCs w:val="32"/>
        </w:rPr>
        <w:t>符合性检查响应对照表</w:t>
      </w:r>
    </w:p>
    <w:tbl>
      <w:tblPr>
        <w:tblStyle w:val="38"/>
        <w:tblW w:w="9399" w:type="dxa"/>
        <w:tblCellSpacing w:w="0" w:type="dxa"/>
        <w:tblInd w:w="10" w:type="dxa"/>
        <w:tblLayout w:type="fixed"/>
        <w:tblCellMar>
          <w:top w:w="0" w:type="dxa"/>
          <w:left w:w="108" w:type="dxa"/>
          <w:bottom w:w="0" w:type="dxa"/>
          <w:right w:w="108" w:type="dxa"/>
        </w:tblCellMar>
      </w:tblPr>
      <w:tblGrid>
        <w:gridCol w:w="538"/>
        <w:gridCol w:w="3026"/>
        <w:gridCol w:w="3030"/>
        <w:gridCol w:w="1230"/>
        <w:gridCol w:w="1575"/>
      </w:tblGrid>
      <w:tr w14:paraId="42679216">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CD5FF1D">
            <w:pPr>
              <w:pStyle w:val="34"/>
              <w:spacing w:beforeAutospacing="0" w:afterAutospacing="0"/>
              <w:jc w:val="center"/>
            </w:pPr>
            <w:r>
              <w:rPr>
                <w:rFonts w:hint="eastAsia" w:ascii="宋体" w:hAnsi="宋体" w:eastAsia="宋体" w:cs="宋体"/>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8A8A041">
            <w:pPr>
              <w:pStyle w:val="34"/>
              <w:spacing w:beforeAutospacing="0" w:afterAutospacing="0"/>
              <w:jc w:val="center"/>
            </w:pPr>
            <w:r>
              <w:rPr>
                <w:rFonts w:hint="eastAsia" w:ascii="宋体" w:hAnsi="宋体" w:eastAsia="宋体" w:cs="宋体"/>
              </w:rPr>
              <w:t>磋商文件要求</w:t>
            </w:r>
          </w:p>
        </w:tc>
        <w:tc>
          <w:tcPr>
            <w:tcW w:w="3030" w:type="dxa"/>
            <w:tcBorders>
              <w:top w:val="single" w:color="000000" w:sz="4" w:space="0"/>
              <w:left w:val="single" w:color="000000" w:sz="4" w:space="0"/>
              <w:bottom w:val="single" w:color="000000" w:sz="4" w:space="0"/>
              <w:right w:val="single" w:color="000000" w:sz="4" w:space="0"/>
            </w:tcBorders>
            <w:vAlign w:val="center"/>
          </w:tcPr>
          <w:p w14:paraId="4818913D">
            <w:pPr>
              <w:pStyle w:val="34"/>
              <w:spacing w:beforeAutospacing="0" w:afterAutospacing="0"/>
              <w:jc w:val="center"/>
            </w:pPr>
            <w:r>
              <w:rPr>
                <w:rFonts w:hint="eastAsia" w:ascii="宋体" w:hAnsi="宋体" w:eastAsia="宋体" w:cs="宋体"/>
              </w:rPr>
              <w:t>响应情况</w:t>
            </w:r>
          </w:p>
        </w:tc>
        <w:tc>
          <w:tcPr>
            <w:tcW w:w="1230" w:type="dxa"/>
            <w:tcBorders>
              <w:top w:val="single" w:color="000000" w:sz="4" w:space="0"/>
              <w:left w:val="single" w:color="000000" w:sz="4" w:space="0"/>
              <w:bottom w:val="single" w:color="000000" w:sz="4" w:space="0"/>
              <w:right w:val="single" w:color="000000" w:sz="4" w:space="0"/>
            </w:tcBorders>
            <w:vAlign w:val="center"/>
          </w:tcPr>
          <w:p w14:paraId="7188B0C4">
            <w:pPr>
              <w:pStyle w:val="34"/>
              <w:spacing w:beforeAutospacing="0" w:afterAutospacing="0"/>
              <w:jc w:val="center"/>
            </w:pPr>
            <w:r>
              <w:rPr>
                <w:rFonts w:hint="eastAsia" w:ascii="宋体" w:hAnsi="宋体" w:eastAsia="宋体" w:cs="宋体"/>
              </w:rPr>
              <w:t>超出、符合或偏离</w:t>
            </w:r>
          </w:p>
        </w:tc>
        <w:tc>
          <w:tcPr>
            <w:tcW w:w="1575" w:type="dxa"/>
            <w:tcBorders>
              <w:top w:val="single" w:color="000000" w:sz="4" w:space="0"/>
              <w:left w:val="single" w:color="000000" w:sz="4" w:space="0"/>
              <w:bottom w:val="single" w:color="000000" w:sz="4" w:space="0"/>
              <w:right w:val="single" w:color="000000" w:sz="4" w:space="0"/>
            </w:tcBorders>
            <w:vAlign w:val="center"/>
          </w:tcPr>
          <w:p w14:paraId="23F246B7">
            <w:pPr>
              <w:pStyle w:val="34"/>
              <w:spacing w:beforeAutospacing="0" w:afterAutospacing="0"/>
              <w:jc w:val="center"/>
            </w:pPr>
            <w:r>
              <w:rPr>
                <w:rFonts w:hint="eastAsia" w:ascii="宋体" w:hAnsi="宋体" w:eastAsia="宋体" w:cs="宋体"/>
              </w:rPr>
              <w:t>证明</w:t>
            </w:r>
          </w:p>
          <w:p w14:paraId="208FA988">
            <w:pPr>
              <w:pStyle w:val="34"/>
              <w:spacing w:beforeAutospacing="0" w:afterAutospacing="0"/>
              <w:jc w:val="center"/>
            </w:pPr>
            <w:r>
              <w:rPr>
                <w:rFonts w:hint="eastAsia" w:ascii="宋体" w:hAnsi="宋体" w:eastAsia="宋体" w:cs="宋体"/>
              </w:rPr>
              <w:t>材料</w:t>
            </w:r>
          </w:p>
        </w:tc>
      </w:tr>
      <w:tr w14:paraId="708E013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A5C1B01">
            <w:pPr>
              <w:pStyle w:val="34"/>
              <w:spacing w:beforeAutospacing="0" w:afterAutospacing="0"/>
              <w:jc w:val="center"/>
            </w:pPr>
            <w:r>
              <w:t> </w:t>
            </w:r>
            <w:r>
              <w:rPr>
                <w:rFonts w:hint="eastAsia"/>
              </w:rPr>
              <w:t>1</w:t>
            </w:r>
          </w:p>
        </w:tc>
        <w:tc>
          <w:tcPr>
            <w:tcW w:w="3026" w:type="dxa"/>
            <w:tcBorders>
              <w:top w:val="single" w:color="000000" w:sz="4" w:space="0"/>
              <w:left w:val="single" w:color="000000" w:sz="4" w:space="0"/>
              <w:bottom w:val="single" w:color="000000" w:sz="4" w:space="0"/>
              <w:right w:val="single" w:color="000000" w:sz="4" w:space="0"/>
            </w:tcBorders>
            <w:vAlign w:val="center"/>
          </w:tcPr>
          <w:p w14:paraId="5A84B401">
            <w:pPr>
              <w:pStyle w:val="34"/>
              <w:spacing w:beforeAutospacing="0" w:afterAutospacing="0"/>
              <w:jc w:val="center"/>
            </w:pPr>
            <w:r>
              <w:t> </w:t>
            </w:r>
            <w:r>
              <w:rPr>
                <w:rFonts w:hint="eastAsia"/>
              </w:rPr>
              <w:t>报价符合磋商文件</w:t>
            </w:r>
            <w:r>
              <w:rPr>
                <w:rFonts w:hint="eastAsia"/>
                <w:color w:val="000000" w:themeColor="text1"/>
                <w14:textFill>
                  <w14:solidFill>
                    <w14:schemeClr w14:val="tx1"/>
                  </w14:solidFill>
                </w14:textFill>
              </w:rPr>
              <w:t>要求，</w:t>
            </w:r>
            <w:r>
              <w:rPr>
                <w:rFonts w:hint="eastAsia"/>
              </w:rPr>
              <w:t>不超过最高限价</w:t>
            </w:r>
          </w:p>
        </w:tc>
        <w:tc>
          <w:tcPr>
            <w:tcW w:w="3030" w:type="dxa"/>
            <w:tcBorders>
              <w:top w:val="single" w:color="000000" w:sz="4" w:space="0"/>
              <w:left w:val="single" w:color="000000" w:sz="4" w:space="0"/>
              <w:bottom w:val="single" w:color="000000" w:sz="4" w:space="0"/>
              <w:right w:val="single" w:color="000000" w:sz="4" w:space="0"/>
            </w:tcBorders>
            <w:vAlign w:val="center"/>
          </w:tcPr>
          <w:p w14:paraId="2FFA5E82">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33087A64">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674C2E02">
            <w:pPr>
              <w:pStyle w:val="34"/>
              <w:spacing w:beforeAutospacing="0" w:afterAutospacing="0"/>
              <w:jc w:val="center"/>
            </w:pPr>
            <w:r>
              <w:t> </w:t>
            </w:r>
          </w:p>
        </w:tc>
      </w:tr>
      <w:tr w14:paraId="0E0919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2D1191C">
            <w:pPr>
              <w:pStyle w:val="34"/>
              <w:spacing w:beforeAutospacing="0" w:afterAutospacing="0"/>
              <w:jc w:val="center"/>
            </w:pPr>
            <w:r>
              <w:t> </w:t>
            </w:r>
            <w:r>
              <w:rPr>
                <w:rFonts w:hint="eastAsia"/>
              </w:rPr>
              <w:t>2</w:t>
            </w:r>
          </w:p>
        </w:tc>
        <w:tc>
          <w:tcPr>
            <w:tcW w:w="3026" w:type="dxa"/>
            <w:tcBorders>
              <w:top w:val="single" w:color="000000" w:sz="4" w:space="0"/>
              <w:left w:val="single" w:color="000000" w:sz="4" w:space="0"/>
              <w:bottom w:val="single" w:color="000000" w:sz="4" w:space="0"/>
              <w:right w:val="single" w:color="000000" w:sz="4" w:space="0"/>
            </w:tcBorders>
            <w:vAlign w:val="center"/>
          </w:tcPr>
          <w:p w14:paraId="7ABD0C54">
            <w:pPr>
              <w:pStyle w:val="34"/>
              <w:spacing w:beforeAutospacing="0" w:afterAutospacing="0"/>
              <w:jc w:val="center"/>
            </w:pPr>
            <w:r>
              <w:rPr>
                <w:rFonts w:hint="eastAsia"/>
              </w:rPr>
              <w:t>合同履行期</w:t>
            </w:r>
            <w:r>
              <w:rPr>
                <w:rFonts w:hint="eastAsia"/>
                <w:color w:val="000000" w:themeColor="text1"/>
                <w14:textFill>
                  <w14:solidFill>
                    <w14:schemeClr w14:val="tx1"/>
                  </w14:solidFill>
                </w14:textFill>
              </w:rPr>
              <w:t>限：90日历天</w:t>
            </w:r>
          </w:p>
        </w:tc>
        <w:tc>
          <w:tcPr>
            <w:tcW w:w="3030" w:type="dxa"/>
            <w:tcBorders>
              <w:top w:val="single" w:color="000000" w:sz="4" w:space="0"/>
              <w:left w:val="single" w:color="000000" w:sz="4" w:space="0"/>
              <w:bottom w:val="single" w:color="000000" w:sz="4" w:space="0"/>
              <w:right w:val="single" w:color="000000" w:sz="4" w:space="0"/>
            </w:tcBorders>
            <w:vAlign w:val="center"/>
          </w:tcPr>
          <w:p w14:paraId="418EE575">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2205858F">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48E18070">
            <w:pPr>
              <w:pStyle w:val="34"/>
              <w:spacing w:beforeAutospacing="0" w:afterAutospacing="0"/>
              <w:jc w:val="center"/>
            </w:pPr>
            <w:r>
              <w:t> </w:t>
            </w:r>
          </w:p>
        </w:tc>
      </w:tr>
      <w:tr w14:paraId="66B183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E143703">
            <w:pPr>
              <w:pStyle w:val="34"/>
              <w:spacing w:beforeAutospacing="0" w:afterAutospacing="0"/>
              <w:jc w:val="center"/>
            </w:pPr>
            <w:r>
              <w:t> </w:t>
            </w:r>
            <w:r>
              <w:rPr>
                <w:rFonts w:hint="eastAsia"/>
              </w:rPr>
              <w:t>3</w:t>
            </w:r>
          </w:p>
        </w:tc>
        <w:tc>
          <w:tcPr>
            <w:tcW w:w="3026" w:type="dxa"/>
            <w:tcBorders>
              <w:top w:val="single" w:color="000000" w:sz="4" w:space="0"/>
              <w:left w:val="single" w:color="000000" w:sz="4" w:space="0"/>
              <w:bottom w:val="single" w:color="000000" w:sz="4" w:space="0"/>
              <w:right w:val="single" w:color="000000" w:sz="4" w:space="0"/>
            </w:tcBorders>
            <w:vAlign w:val="center"/>
          </w:tcPr>
          <w:p w14:paraId="388F35A6">
            <w:pPr>
              <w:pStyle w:val="34"/>
              <w:spacing w:beforeAutospacing="0" w:afterAutospacing="0"/>
              <w:jc w:val="center"/>
            </w:pPr>
            <w:r>
              <w:t> </w:t>
            </w:r>
            <w:r>
              <w:rPr>
                <w:rFonts w:hint="eastAsia"/>
              </w:rPr>
              <w:t>质量标准符合磋商文件</w:t>
            </w:r>
          </w:p>
        </w:tc>
        <w:tc>
          <w:tcPr>
            <w:tcW w:w="3030" w:type="dxa"/>
            <w:tcBorders>
              <w:top w:val="single" w:color="000000" w:sz="4" w:space="0"/>
              <w:left w:val="single" w:color="000000" w:sz="4" w:space="0"/>
              <w:bottom w:val="single" w:color="000000" w:sz="4" w:space="0"/>
              <w:right w:val="single" w:color="000000" w:sz="4" w:space="0"/>
            </w:tcBorders>
            <w:vAlign w:val="center"/>
          </w:tcPr>
          <w:p w14:paraId="6909E6B0">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3BE3CF6B">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2D9921C6">
            <w:pPr>
              <w:pStyle w:val="34"/>
              <w:spacing w:beforeAutospacing="0" w:afterAutospacing="0"/>
              <w:jc w:val="center"/>
            </w:pPr>
            <w:r>
              <w:t> </w:t>
            </w:r>
          </w:p>
        </w:tc>
      </w:tr>
      <w:tr w14:paraId="0B0DDF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3208F2B">
            <w:pPr>
              <w:pStyle w:val="3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32148CD">
            <w:pPr>
              <w:pStyle w:val="34"/>
              <w:spacing w:beforeAutospacing="0" w:afterAutospacing="0"/>
              <w:jc w:val="center"/>
            </w:pPr>
            <w:r>
              <w:t> </w:t>
            </w:r>
          </w:p>
        </w:tc>
        <w:tc>
          <w:tcPr>
            <w:tcW w:w="3030" w:type="dxa"/>
            <w:tcBorders>
              <w:top w:val="single" w:color="000000" w:sz="4" w:space="0"/>
              <w:left w:val="single" w:color="000000" w:sz="4" w:space="0"/>
              <w:bottom w:val="single" w:color="000000" w:sz="4" w:space="0"/>
              <w:right w:val="single" w:color="000000" w:sz="4" w:space="0"/>
            </w:tcBorders>
            <w:vAlign w:val="center"/>
          </w:tcPr>
          <w:p w14:paraId="3EF2B4B1">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000ACA70">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3904DFE3">
            <w:pPr>
              <w:pStyle w:val="34"/>
              <w:spacing w:beforeAutospacing="0" w:afterAutospacing="0"/>
              <w:jc w:val="center"/>
            </w:pPr>
            <w:r>
              <w:t> </w:t>
            </w:r>
          </w:p>
        </w:tc>
      </w:tr>
      <w:tr w14:paraId="0E0456E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E558EF9">
            <w:pPr>
              <w:pStyle w:val="3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35ABF8D">
            <w:pPr>
              <w:pStyle w:val="34"/>
              <w:spacing w:beforeAutospacing="0" w:afterAutospacing="0"/>
              <w:jc w:val="center"/>
            </w:pPr>
            <w:r>
              <w:t> </w:t>
            </w:r>
          </w:p>
        </w:tc>
        <w:tc>
          <w:tcPr>
            <w:tcW w:w="3030" w:type="dxa"/>
            <w:tcBorders>
              <w:top w:val="single" w:color="000000" w:sz="4" w:space="0"/>
              <w:left w:val="single" w:color="000000" w:sz="4" w:space="0"/>
              <w:bottom w:val="single" w:color="000000" w:sz="4" w:space="0"/>
              <w:right w:val="single" w:color="000000" w:sz="4" w:space="0"/>
            </w:tcBorders>
            <w:vAlign w:val="center"/>
          </w:tcPr>
          <w:p w14:paraId="6B733692">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3E0181A4">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5AD73B21">
            <w:pPr>
              <w:pStyle w:val="34"/>
              <w:spacing w:beforeAutospacing="0" w:afterAutospacing="0"/>
              <w:jc w:val="center"/>
            </w:pPr>
            <w:r>
              <w:t> </w:t>
            </w:r>
          </w:p>
        </w:tc>
      </w:tr>
      <w:tr w14:paraId="459280D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7879830">
            <w:pPr>
              <w:pStyle w:val="3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7E65E54">
            <w:pPr>
              <w:pStyle w:val="34"/>
              <w:spacing w:beforeAutospacing="0" w:afterAutospacing="0"/>
              <w:jc w:val="center"/>
            </w:pPr>
            <w:r>
              <w:t> </w:t>
            </w:r>
          </w:p>
        </w:tc>
        <w:tc>
          <w:tcPr>
            <w:tcW w:w="3030" w:type="dxa"/>
            <w:tcBorders>
              <w:top w:val="single" w:color="000000" w:sz="4" w:space="0"/>
              <w:left w:val="single" w:color="000000" w:sz="4" w:space="0"/>
              <w:bottom w:val="single" w:color="000000" w:sz="4" w:space="0"/>
              <w:right w:val="single" w:color="000000" w:sz="4" w:space="0"/>
            </w:tcBorders>
            <w:vAlign w:val="center"/>
          </w:tcPr>
          <w:p w14:paraId="2BBD7DC8">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1F8F1D27">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505E1D2F">
            <w:pPr>
              <w:pStyle w:val="34"/>
              <w:spacing w:beforeAutospacing="0" w:afterAutospacing="0"/>
              <w:jc w:val="center"/>
            </w:pPr>
            <w:r>
              <w:t> </w:t>
            </w:r>
          </w:p>
        </w:tc>
      </w:tr>
      <w:tr w14:paraId="2681CB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066BAF6">
            <w:pPr>
              <w:pStyle w:val="3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01F41F1">
            <w:pPr>
              <w:pStyle w:val="34"/>
              <w:spacing w:beforeAutospacing="0" w:afterAutospacing="0"/>
              <w:jc w:val="center"/>
            </w:pPr>
            <w:r>
              <w:t> </w:t>
            </w:r>
          </w:p>
        </w:tc>
        <w:tc>
          <w:tcPr>
            <w:tcW w:w="3030" w:type="dxa"/>
            <w:tcBorders>
              <w:top w:val="single" w:color="000000" w:sz="4" w:space="0"/>
              <w:left w:val="single" w:color="000000" w:sz="4" w:space="0"/>
              <w:bottom w:val="single" w:color="000000" w:sz="4" w:space="0"/>
              <w:right w:val="single" w:color="000000" w:sz="4" w:space="0"/>
            </w:tcBorders>
            <w:vAlign w:val="center"/>
          </w:tcPr>
          <w:p w14:paraId="6A317478">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064E0919">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7ABFADF7">
            <w:pPr>
              <w:pStyle w:val="34"/>
              <w:spacing w:beforeAutospacing="0" w:afterAutospacing="0"/>
              <w:jc w:val="center"/>
            </w:pPr>
            <w:r>
              <w:t> </w:t>
            </w:r>
          </w:p>
        </w:tc>
      </w:tr>
      <w:tr w14:paraId="4CC56CC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C5C4D4B">
            <w:pPr>
              <w:pStyle w:val="34"/>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C0E2F2E">
            <w:pPr>
              <w:pStyle w:val="34"/>
              <w:spacing w:beforeAutospacing="0" w:afterAutospacing="0"/>
              <w:jc w:val="center"/>
            </w:pPr>
            <w:r>
              <w:rPr>
                <w:rFonts w:hint="eastAsia" w:ascii="宋体" w:hAnsi="宋体" w:eastAsia="宋体" w:cs="宋体"/>
              </w:rPr>
              <w:t>……</w:t>
            </w:r>
          </w:p>
        </w:tc>
        <w:tc>
          <w:tcPr>
            <w:tcW w:w="3030" w:type="dxa"/>
            <w:tcBorders>
              <w:top w:val="single" w:color="000000" w:sz="4" w:space="0"/>
              <w:left w:val="single" w:color="000000" w:sz="4" w:space="0"/>
              <w:bottom w:val="single" w:color="000000" w:sz="4" w:space="0"/>
              <w:right w:val="single" w:color="000000" w:sz="4" w:space="0"/>
            </w:tcBorders>
            <w:vAlign w:val="center"/>
          </w:tcPr>
          <w:p w14:paraId="2734D7FF">
            <w:pPr>
              <w:pStyle w:val="34"/>
              <w:spacing w:beforeAutospacing="0" w:afterAutospacing="0"/>
              <w:jc w:val="center"/>
            </w:pPr>
            <w:r>
              <w:t> </w:t>
            </w:r>
          </w:p>
        </w:tc>
        <w:tc>
          <w:tcPr>
            <w:tcW w:w="1230" w:type="dxa"/>
            <w:tcBorders>
              <w:top w:val="single" w:color="000000" w:sz="4" w:space="0"/>
              <w:left w:val="single" w:color="000000" w:sz="4" w:space="0"/>
              <w:bottom w:val="single" w:color="000000" w:sz="4" w:space="0"/>
              <w:right w:val="single" w:color="000000" w:sz="4" w:space="0"/>
            </w:tcBorders>
            <w:vAlign w:val="center"/>
          </w:tcPr>
          <w:p w14:paraId="314F14C6">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41DCC02E">
            <w:pPr>
              <w:pStyle w:val="34"/>
              <w:spacing w:beforeAutospacing="0" w:afterAutospacing="0"/>
              <w:jc w:val="center"/>
            </w:pPr>
            <w:r>
              <w:t> </w:t>
            </w:r>
          </w:p>
        </w:tc>
      </w:tr>
    </w:tbl>
    <w:p w14:paraId="4CEB778B">
      <w:pPr>
        <w:rPr>
          <w:rFonts w:hint="eastAsia" w:ascii="宋体" w:hAnsi="宋体" w:eastAsia="宋体" w:cs="宋体"/>
          <w:b/>
          <w:bCs/>
          <w:color w:val="FF0000"/>
          <w:sz w:val="24"/>
        </w:rPr>
      </w:pPr>
      <w:r>
        <w:rPr>
          <w:rFonts w:hint="eastAsia" w:ascii="宋体" w:hAnsi="宋体" w:eastAsia="宋体" w:cs="宋体"/>
        </w:rPr>
        <w:t>注： 行数不够，可自行添加。</w:t>
      </w:r>
    </w:p>
    <w:p w14:paraId="0055FA7F">
      <w:pPr>
        <w:spacing w:line="241" w:lineRule="auto"/>
        <w:rPr>
          <w:rFonts w:ascii="Arial"/>
        </w:rPr>
      </w:pPr>
    </w:p>
    <w:p w14:paraId="7D779C4C">
      <w:pPr>
        <w:spacing w:line="241" w:lineRule="auto"/>
        <w:rPr>
          <w:rFonts w:ascii="Arial"/>
        </w:rPr>
      </w:pPr>
    </w:p>
    <w:p w14:paraId="70B3F85C">
      <w:pPr>
        <w:pStyle w:val="34"/>
        <w:spacing w:beforeAutospacing="0" w:afterAutospacing="0" w:line="0" w:lineRule="atLeast"/>
        <w:jc w:val="center"/>
      </w:pPr>
      <w:r>
        <w:t> </w:t>
      </w:r>
    </w:p>
    <w:p w14:paraId="434BC71A">
      <w:pPr>
        <w:pStyle w:val="34"/>
        <w:spacing w:beforeAutospacing="0" w:afterAutospacing="0" w:line="0" w:lineRule="atLeast"/>
        <w:jc w:val="center"/>
      </w:pPr>
    </w:p>
    <w:p w14:paraId="4D21F6A7">
      <w:pPr>
        <w:pStyle w:val="34"/>
        <w:spacing w:beforeAutospacing="0" w:afterAutospacing="0" w:line="0" w:lineRule="atLeast"/>
        <w:jc w:val="center"/>
      </w:pPr>
    </w:p>
    <w:p w14:paraId="2B004614">
      <w:pPr>
        <w:pStyle w:val="34"/>
        <w:spacing w:beforeAutospacing="0" w:afterAutospacing="0" w:line="0" w:lineRule="atLeast"/>
        <w:jc w:val="center"/>
      </w:pPr>
    </w:p>
    <w:p w14:paraId="448D25D6">
      <w:pPr>
        <w:pStyle w:val="34"/>
        <w:spacing w:beforeAutospacing="0" w:afterAutospacing="0" w:line="0" w:lineRule="atLeast"/>
        <w:jc w:val="center"/>
      </w:pPr>
    </w:p>
    <w:p w14:paraId="75F161E6">
      <w:pPr>
        <w:pStyle w:val="34"/>
        <w:spacing w:beforeAutospacing="0" w:afterAutospacing="0" w:line="0" w:lineRule="atLeast"/>
        <w:jc w:val="center"/>
      </w:pPr>
    </w:p>
    <w:p w14:paraId="4845A89E">
      <w:pPr>
        <w:pStyle w:val="34"/>
        <w:spacing w:beforeAutospacing="0" w:afterAutospacing="0" w:line="0" w:lineRule="atLeast"/>
        <w:jc w:val="center"/>
      </w:pPr>
    </w:p>
    <w:p w14:paraId="33629D2D">
      <w:pPr>
        <w:pStyle w:val="34"/>
        <w:spacing w:beforeAutospacing="0" w:afterAutospacing="0" w:line="0" w:lineRule="atLeast"/>
        <w:jc w:val="center"/>
      </w:pPr>
    </w:p>
    <w:p w14:paraId="693490C6">
      <w:pPr>
        <w:pStyle w:val="34"/>
        <w:spacing w:beforeAutospacing="0" w:afterAutospacing="0" w:line="0" w:lineRule="atLeast"/>
        <w:jc w:val="center"/>
      </w:pPr>
    </w:p>
    <w:p w14:paraId="20A2FC6F">
      <w:pPr>
        <w:pStyle w:val="34"/>
        <w:spacing w:beforeAutospacing="0" w:afterAutospacing="0" w:line="0" w:lineRule="atLeast"/>
        <w:jc w:val="center"/>
      </w:pPr>
      <w:r>
        <w:t> </w:t>
      </w:r>
    </w:p>
    <w:p w14:paraId="27BAF582">
      <w:pPr>
        <w:pStyle w:val="34"/>
        <w:spacing w:beforeAutospacing="0" w:afterAutospacing="0" w:line="0" w:lineRule="atLeast"/>
        <w:jc w:val="center"/>
      </w:pPr>
      <w:r>
        <w:t> </w:t>
      </w:r>
    </w:p>
    <w:p w14:paraId="4A694522">
      <w:pPr>
        <w:rPr>
          <w:rFonts w:ascii="宋体"/>
          <w:b/>
          <w:sz w:val="32"/>
          <w:szCs w:val="32"/>
        </w:rPr>
      </w:pPr>
      <w:r>
        <w:rPr>
          <w:rFonts w:hint="eastAsia" w:ascii="黑体" w:hAnsi="宋体" w:eastAsia="黑体" w:cs="黑体"/>
          <w:b/>
          <w:sz w:val="32"/>
          <w:szCs w:val="32"/>
        </w:rPr>
        <w:br w:type="page" w:clear="all"/>
      </w:r>
    </w:p>
    <w:p w14:paraId="438DF913">
      <w:pPr>
        <w:jc w:val="center"/>
        <w:rPr>
          <w:rFonts w:hint="eastAsia" w:ascii="黑体" w:hAnsi="宋体" w:eastAsia="黑体" w:cs="黑体"/>
          <w:b/>
          <w:sz w:val="32"/>
          <w:szCs w:val="32"/>
        </w:rPr>
      </w:pPr>
    </w:p>
    <w:p w14:paraId="389931EF">
      <w:pPr>
        <w:pStyle w:val="34"/>
        <w:spacing w:beforeAutospacing="0" w:afterAutospacing="0"/>
        <w:jc w:val="center"/>
      </w:pPr>
      <w:r>
        <w:rPr>
          <w:rFonts w:hint="eastAsia" w:ascii="黑体" w:hAnsi="宋体" w:eastAsia="黑体" w:cs="黑体"/>
          <w:b/>
          <w:sz w:val="32"/>
          <w:szCs w:val="32"/>
        </w:rPr>
        <w:t>十二、技术要求响应及偏离表</w:t>
      </w:r>
    </w:p>
    <w:tbl>
      <w:tblPr>
        <w:tblStyle w:val="38"/>
        <w:tblW w:w="9090" w:type="dxa"/>
        <w:tblCellSpacing w:w="0" w:type="dxa"/>
        <w:tblInd w:w="386" w:type="dxa"/>
        <w:tblLayout w:type="fixed"/>
        <w:tblCellMar>
          <w:top w:w="0" w:type="dxa"/>
          <w:left w:w="108" w:type="dxa"/>
          <w:bottom w:w="0" w:type="dxa"/>
          <w:right w:w="108" w:type="dxa"/>
        </w:tblCellMar>
      </w:tblPr>
      <w:tblGrid>
        <w:gridCol w:w="840"/>
        <w:gridCol w:w="2348"/>
        <w:gridCol w:w="3022"/>
        <w:gridCol w:w="1575"/>
        <w:gridCol w:w="1305"/>
      </w:tblGrid>
      <w:tr w14:paraId="728A67D4">
        <w:tblPrEx>
          <w:tblCellMar>
            <w:top w:w="0" w:type="dxa"/>
            <w:left w:w="108" w:type="dxa"/>
            <w:bottom w:w="0" w:type="dxa"/>
            <w:right w:w="108" w:type="dxa"/>
          </w:tblCellMar>
        </w:tblPrEx>
        <w:trPr>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681D641B">
            <w:pPr>
              <w:pStyle w:val="34"/>
              <w:spacing w:beforeAutospacing="0" w:afterAutospacing="0"/>
              <w:jc w:val="center"/>
            </w:pPr>
            <w:r>
              <w:rPr>
                <w:rFonts w:hint="eastAsia" w:ascii="宋体" w:hAnsi="宋体" w:eastAsia="宋体" w:cs="宋体"/>
              </w:rPr>
              <w:t>序号</w:t>
            </w:r>
          </w:p>
        </w:tc>
        <w:tc>
          <w:tcPr>
            <w:tcW w:w="2348" w:type="dxa"/>
            <w:tcBorders>
              <w:top w:val="single" w:color="000000" w:sz="4" w:space="0"/>
              <w:left w:val="single" w:color="000000" w:sz="4" w:space="0"/>
              <w:bottom w:val="single" w:color="000000" w:sz="4" w:space="0"/>
              <w:right w:val="single" w:color="000000" w:sz="4" w:space="0"/>
            </w:tcBorders>
            <w:vAlign w:val="center"/>
          </w:tcPr>
          <w:p w14:paraId="4A96482F">
            <w:pPr>
              <w:pStyle w:val="34"/>
              <w:spacing w:beforeAutospacing="0" w:afterAutospacing="0"/>
              <w:jc w:val="center"/>
            </w:pPr>
            <w:r>
              <w:rPr>
                <w:rFonts w:hint="eastAsia" w:ascii="宋体" w:hAnsi="宋体" w:eastAsia="宋体" w:cs="宋体"/>
              </w:rPr>
              <w:t>磋商文件要求</w:t>
            </w:r>
          </w:p>
        </w:tc>
        <w:tc>
          <w:tcPr>
            <w:tcW w:w="3022" w:type="dxa"/>
            <w:tcBorders>
              <w:top w:val="single" w:color="000000" w:sz="4" w:space="0"/>
              <w:left w:val="single" w:color="000000" w:sz="4" w:space="0"/>
              <w:bottom w:val="single" w:color="000000" w:sz="4" w:space="0"/>
              <w:right w:val="single" w:color="000000" w:sz="4" w:space="0"/>
            </w:tcBorders>
            <w:vAlign w:val="center"/>
          </w:tcPr>
          <w:p w14:paraId="025C0DE4">
            <w:pPr>
              <w:pStyle w:val="34"/>
              <w:spacing w:beforeAutospacing="0" w:afterAutospacing="0"/>
              <w:jc w:val="center"/>
            </w:pPr>
            <w:r>
              <w:rPr>
                <w:rFonts w:hint="eastAsia" w:ascii="宋体" w:hAnsi="宋体" w:eastAsia="宋体" w:cs="宋体"/>
              </w:rPr>
              <w:t>响应情况</w:t>
            </w:r>
          </w:p>
        </w:tc>
        <w:tc>
          <w:tcPr>
            <w:tcW w:w="1575" w:type="dxa"/>
            <w:tcBorders>
              <w:top w:val="single" w:color="000000" w:sz="4" w:space="0"/>
              <w:left w:val="single" w:color="000000" w:sz="4" w:space="0"/>
              <w:bottom w:val="single" w:color="000000" w:sz="4" w:space="0"/>
              <w:right w:val="single" w:color="000000" w:sz="4" w:space="0"/>
            </w:tcBorders>
            <w:vAlign w:val="center"/>
          </w:tcPr>
          <w:p w14:paraId="208D9D00">
            <w:pPr>
              <w:pStyle w:val="34"/>
              <w:spacing w:beforeAutospacing="0" w:afterAutospacing="0"/>
              <w:jc w:val="center"/>
            </w:pPr>
            <w:r>
              <w:rPr>
                <w:rFonts w:hint="eastAsia" w:ascii="宋体" w:hAnsi="宋体" w:eastAsia="宋体" w:cs="宋体"/>
              </w:rPr>
              <w:t>超出、符合或偏离</w:t>
            </w:r>
          </w:p>
        </w:tc>
        <w:tc>
          <w:tcPr>
            <w:tcW w:w="1305" w:type="dxa"/>
            <w:tcBorders>
              <w:top w:val="single" w:color="000000" w:sz="4" w:space="0"/>
              <w:left w:val="single" w:color="000000" w:sz="4" w:space="0"/>
              <w:bottom w:val="single" w:color="000000" w:sz="4" w:space="0"/>
              <w:right w:val="single" w:color="000000" w:sz="4" w:space="0"/>
            </w:tcBorders>
            <w:vAlign w:val="center"/>
          </w:tcPr>
          <w:p w14:paraId="73CCD32E">
            <w:pPr>
              <w:pStyle w:val="34"/>
              <w:spacing w:beforeAutospacing="0" w:afterAutospacing="0"/>
              <w:jc w:val="center"/>
            </w:pPr>
            <w:r>
              <w:rPr>
                <w:rFonts w:hint="eastAsia" w:ascii="宋体" w:hAnsi="宋体" w:eastAsia="宋体" w:cs="宋体"/>
              </w:rPr>
              <w:t>证明</w:t>
            </w:r>
          </w:p>
          <w:p w14:paraId="13CE75D0">
            <w:pPr>
              <w:pStyle w:val="34"/>
              <w:spacing w:beforeAutospacing="0" w:afterAutospacing="0"/>
              <w:jc w:val="center"/>
            </w:pPr>
            <w:r>
              <w:rPr>
                <w:rFonts w:hint="eastAsia" w:ascii="宋体" w:hAnsi="宋体" w:eastAsia="宋体" w:cs="宋体"/>
              </w:rPr>
              <w:t>材料</w:t>
            </w:r>
          </w:p>
        </w:tc>
      </w:tr>
      <w:tr w14:paraId="34404806">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42BE23DB">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13725B82">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252D40A0">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54150F05">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46EE04F0">
            <w:pPr>
              <w:pStyle w:val="34"/>
              <w:spacing w:beforeAutospacing="0" w:afterAutospacing="0"/>
              <w:jc w:val="center"/>
            </w:pPr>
            <w:r>
              <w:t> </w:t>
            </w:r>
          </w:p>
        </w:tc>
      </w:tr>
      <w:tr w14:paraId="2A107C42">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2117EA0B">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2D7A75FF">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4E0D94D9">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7A14212B">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714974BD">
            <w:pPr>
              <w:pStyle w:val="34"/>
              <w:spacing w:beforeAutospacing="0" w:afterAutospacing="0"/>
              <w:jc w:val="center"/>
            </w:pPr>
            <w:r>
              <w:t> </w:t>
            </w:r>
          </w:p>
        </w:tc>
      </w:tr>
      <w:tr w14:paraId="6B0F81ED">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557BC4B8">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0836B165">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35402E68">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7A4126E4">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307DF43C">
            <w:pPr>
              <w:pStyle w:val="34"/>
              <w:spacing w:beforeAutospacing="0" w:afterAutospacing="0"/>
              <w:jc w:val="center"/>
            </w:pPr>
            <w:r>
              <w:t> </w:t>
            </w:r>
          </w:p>
        </w:tc>
      </w:tr>
      <w:tr w14:paraId="21171AA9">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4CF86306">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6FFBB5D1">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267B0E8F">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59EA52B3">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0D737333">
            <w:pPr>
              <w:pStyle w:val="34"/>
              <w:spacing w:beforeAutospacing="0" w:afterAutospacing="0"/>
              <w:jc w:val="center"/>
            </w:pPr>
            <w:r>
              <w:t> </w:t>
            </w:r>
          </w:p>
        </w:tc>
      </w:tr>
      <w:tr w14:paraId="35175663">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0E66828A">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0DAAA401">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666272DB">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69DD3A1C">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670B3C5B">
            <w:pPr>
              <w:pStyle w:val="34"/>
              <w:spacing w:beforeAutospacing="0" w:afterAutospacing="0"/>
              <w:jc w:val="center"/>
            </w:pPr>
            <w:r>
              <w:t> </w:t>
            </w:r>
          </w:p>
        </w:tc>
      </w:tr>
      <w:tr w14:paraId="78692281">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5B59D9F2">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210B0BC8">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3FCFBC97">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1F82CAE5">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77AE6517">
            <w:pPr>
              <w:pStyle w:val="34"/>
              <w:spacing w:beforeAutospacing="0" w:afterAutospacing="0"/>
              <w:jc w:val="center"/>
            </w:pPr>
            <w:r>
              <w:t> </w:t>
            </w:r>
          </w:p>
        </w:tc>
      </w:tr>
      <w:tr w14:paraId="5F779999">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745DB881">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4A7C20A1">
            <w:pPr>
              <w:pStyle w:val="34"/>
              <w:spacing w:beforeAutospacing="0" w:afterAutospacing="0"/>
              <w:jc w:val="center"/>
            </w:pPr>
            <w:r>
              <w:t> </w:t>
            </w:r>
          </w:p>
        </w:tc>
        <w:tc>
          <w:tcPr>
            <w:tcW w:w="3022" w:type="dxa"/>
            <w:tcBorders>
              <w:top w:val="single" w:color="000000" w:sz="4" w:space="0"/>
              <w:left w:val="single" w:color="000000" w:sz="4" w:space="0"/>
              <w:bottom w:val="single" w:color="000000" w:sz="4" w:space="0"/>
              <w:right w:val="single" w:color="000000" w:sz="4" w:space="0"/>
            </w:tcBorders>
            <w:vAlign w:val="center"/>
          </w:tcPr>
          <w:p w14:paraId="16FC8C65">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71A2B23D">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099CCD2B">
            <w:pPr>
              <w:pStyle w:val="34"/>
              <w:spacing w:beforeAutospacing="0" w:afterAutospacing="0"/>
              <w:jc w:val="center"/>
            </w:pPr>
            <w:r>
              <w:t> </w:t>
            </w:r>
          </w:p>
        </w:tc>
      </w:tr>
      <w:tr w14:paraId="6515BF6B">
        <w:tblPrEx>
          <w:tblCellMar>
            <w:top w:w="0" w:type="dxa"/>
            <w:left w:w="108" w:type="dxa"/>
            <w:bottom w:w="0" w:type="dxa"/>
            <w:right w:w="108" w:type="dxa"/>
          </w:tblCellMar>
        </w:tblPrEx>
        <w:trPr>
          <w:trHeight w:val="640" w:hRule="atLeast"/>
          <w:tblCellSpacing w:w="0" w:type="dxa"/>
        </w:trPr>
        <w:tc>
          <w:tcPr>
            <w:tcW w:w="840" w:type="dxa"/>
            <w:tcBorders>
              <w:top w:val="single" w:color="000000" w:sz="4" w:space="0"/>
              <w:left w:val="single" w:color="000000" w:sz="4" w:space="0"/>
              <w:bottom w:val="single" w:color="000000" w:sz="4" w:space="0"/>
              <w:right w:val="single" w:color="000000" w:sz="4" w:space="0"/>
            </w:tcBorders>
            <w:vAlign w:val="center"/>
          </w:tcPr>
          <w:p w14:paraId="0A4C7E84">
            <w:pPr>
              <w:pStyle w:val="34"/>
              <w:spacing w:beforeAutospacing="0" w:afterAutospacing="0"/>
              <w:jc w:val="center"/>
            </w:pPr>
            <w:r>
              <w:t> </w:t>
            </w:r>
          </w:p>
        </w:tc>
        <w:tc>
          <w:tcPr>
            <w:tcW w:w="2348" w:type="dxa"/>
            <w:tcBorders>
              <w:top w:val="single" w:color="000000" w:sz="4" w:space="0"/>
              <w:left w:val="single" w:color="000000" w:sz="4" w:space="0"/>
              <w:bottom w:val="single" w:color="000000" w:sz="4" w:space="0"/>
              <w:right w:val="single" w:color="000000" w:sz="4" w:space="0"/>
            </w:tcBorders>
            <w:vAlign w:val="center"/>
          </w:tcPr>
          <w:p w14:paraId="339E5210">
            <w:pPr>
              <w:pStyle w:val="34"/>
              <w:spacing w:beforeAutospacing="0" w:afterAutospacing="0"/>
              <w:jc w:val="center"/>
            </w:pPr>
            <w:r>
              <w:rPr>
                <w:rFonts w:hint="eastAsia" w:ascii="宋体" w:hAnsi="宋体" w:eastAsia="宋体" w:cs="宋体"/>
              </w:rPr>
              <w:t>……</w:t>
            </w:r>
          </w:p>
        </w:tc>
        <w:tc>
          <w:tcPr>
            <w:tcW w:w="3022" w:type="dxa"/>
            <w:tcBorders>
              <w:top w:val="single" w:color="000000" w:sz="4" w:space="0"/>
              <w:left w:val="single" w:color="000000" w:sz="4" w:space="0"/>
              <w:bottom w:val="single" w:color="000000" w:sz="4" w:space="0"/>
              <w:right w:val="single" w:color="000000" w:sz="4" w:space="0"/>
            </w:tcBorders>
            <w:vAlign w:val="center"/>
          </w:tcPr>
          <w:p w14:paraId="5BBF0DEC">
            <w:pPr>
              <w:pStyle w:val="34"/>
              <w:spacing w:beforeAutospacing="0" w:afterAutospacing="0"/>
              <w:jc w:val="center"/>
            </w:pPr>
            <w:r>
              <w:t> </w:t>
            </w:r>
          </w:p>
        </w:tc>
        <w:tc>
          <w:tcPr>
            <w:tcW w:w="1575" w:type="dxa"/>
            <w:tcBorders>
              <w:top w:val="single" w:color="000000" w:sz="4" w:space="0"/>
              <w:left w:val="single" w:color="000000" w:sz="4" w:space="0"/>
              <w:bottom w:val="single" w:color="000000" w:sz="4" w:space="0"/>
              <w:right w:val="single" w:color="000000" w:sz="4" w:space="0"/>
            </w:tcBorders>
            <w:vAlign w:val="center"/>
          </w:tcPr>
          <w:p w14:paraId="4B85F5F8">
            <w:pPr>
              <w:pStyle w:val="34"/>
              <w:spacing w:beforeAutospacing="0" w:afterAutospacing="0"/>
              <w:jc w:val="center"/>
            </w:pPr>
            <w:r>
              <w:t> </w:t>
            </w:r>
          </w:p>
        </w:tc>
        <w:tc>
          <w:tcPr>
            <w:tcW w:w="1305" w:type="dxa"/>
            <w:tcBorders>
              <w:top w:val="single" w:color="000000" w:sz="4" w:space="0"/>
              <w:left w:val="single" w:color="000000" w:sz="4" w:space="0"/>
              <w:bottom w:val="single" w:color="000000" w:sz="4" w:space="0"/>
              <w:right w:val="single" w:color="000000" w:sz="4" w:space="0"/>
            </w:tcBorders>
            <w:vAlign w:val="center"/>
          </w:tcPr>
          <w:p w14:paraId="6D39FFC3">
            <w:pPr>
              <w:pStyle w:val="34"/>
              <w:spacing w:beforeAutospacing="0" w:afterAutospacing="0"/>
              <w:jc w:val="center"/>
            </w:pPr>
            <w:r>
              <w:t> </w:t>
            </w:r>
          </w:p>
        </w:tc>
      </w:tr>
    </w:tbl>
    <w:p w14:paraId="0E5D5526">
      <w:pPr>
        <w:pStyle w:val="34"/>
        <w:spacing w:beforeAutospacing="0" w:afterAutospacing="0"/>
        <w:jc w:val="both"/>
        <w:rPr>
          <w:b/>
          <w:bCs/>
          <w:color w:val="FF0000"/>
        </w:rPr>
      </w:pPr>
      <w:r>
        <w:rPr>
          <w:rFonts w:hint="eastAsia" w:ascii="宋体" w:hAnsi="宋体" w:eastAsia="宋体" w:cs="宋体"/>
        </w:rPr>
        <w:t>注： 行数不够，可自行添加。</w:t>
      </w:r>
    </w:p>
    <w:p w14:paraId="2D984E26">
      <w:pPr>
        <w:pStyle w:val="34"/>
        <w:spacing w:beforeAutospacing="0" w:afterAutospacing="0"/>
        <w:jc w:val="both"/>
        <w:rPr>
          <w:b/>
          <w:bCs/>
          <w:color w:val="FF0000"/>
        </w:rPr>
      </w:pPr>
      <w:r>
        <w:rPr>
          <w:b/>
          <w:bCs/>
          <w:color w:val="FF0000"/>
        </w:rPr>
        <w:t> </w:t>
      </w:r>
    </w:p>
    <w:p w14:paraId="46FADC40">
      <w:pPr>
        <w:pStyle w:val="34"/>
        <w:spacing w:beforeAutospacing="0" w:afterAutospacing="0"/>
        <w:jc w:val="both"/>
        <w:rPr>
          <w:b/>
          <w:bCs/>
          <w:color w:val="FF0000"/>
        </w:rPr>
      </w:pPr>
      <w:r>
        <w:rPr>
          <w:b/>
          <w:bCs/>
          <w:color w:val="FF0000"/>
        </w:rPr>
        <w:t> </w:t>
      </w:r>
    </w:p>
    <w:p w14:paraId="20E051ED">
      <w:pPr>
        <w:pStyle w:val="34"/>
        <w:spacing w:beforeAutospacing="0" w:afterAutospacing="0"/>
        <w:jc w:val="both"/>
      </w:pPr>
      <w:r>
        <w:t> </w:t>
      </w:r>
    </w:p>
    <w:p w14:paraId="58B3C04C">
      <w:pPr>
        <w:pStyle w:val="34"/>
        <w:spacing w:beforeAutospacing="0" w:afterAutospacing="0"/>
        <w:jc w:val="both"/>
      </w:pPr>
    </w:p>
    <w:p w14:paraId="02E4FD3A">
      <w:pPr>
        <w:pStyle w:val="34"/>
        <w:spacing w:beforeAutospacing="0" w:afterAutospacing="0"/>
        <w:jc w:val="both"/>
      </w:pPr>
      <w:r>
        <w:t> </w:t>
      </w:r>
    </w:p>
    <w:p w14:paraId="25D356D7">
      <w:pPr>
        <w:rPr>
          <w:rFonts w:hint="eastAsia" w:ascii="黑体" w:hAnsi="宋体" w:eastAsia="黑体" w:cs="黑体"/>
          <w:b/>
          <w:sz w:val="32"/>
          <w:szCs w:val="32"/>
        </w:rPr>
      </w:pPr>
      <w:r>
        <w:rPr>
          <w:rFonts w:hint="eastAsia" w:ascii="黑体" w:hAnsi="宋体" w:eastAsia="黑体" w:cs="黑体"/>
          <w:b/>
          <w:sz w:val="32"/>
          <w:szCs w:val="32"/>
        </w:rPr>
        <w:br w:type="page" w:clear="all"/>
      </w:r>
    </w:p>
    <w:p w14:paraId="37B7357F">
      <w:pPr>
        <w:ind w:firstLine="3213" w:firstLineChars="1000"/>
      </w:pPr>
      <w:bookmarkStart w:id="172" w:name="_Hlt26671374"/>
      <w:bookmarkStart w:id="173" w:name="_Hlt26609389"/>
      <w:bookmarkStart w:id="174" w:name="_Hlt26955054"/>
      <w:bookmarkStart w:id="175" w:name="_格式2__法定代表人授权书"/>
      <w:bookmarkStart w:id="176" w:name="_Toc462564146"/>
      <w:bookmarkStart w:id="177" w:name="_Hlt26955066"/>
      <w:r>
        <w:rPr>
          <w:rFonts w:hint="eastAsia" w:ascii="黑体" w:hAnsi="宋体" w:eastAsia="黑体" w:cs="黑体"/>
          <w:b/>
          <w:i/>
          <w:sz w:val="32"/>
          <w:szCs w:val="32"/>
          <w:u w:val="single"/>
        </w:rPr>
        <w:t>十三、开标一览表</w:t>
      </w:r>
    </w:p>
    <w:p w14:paraId="0A8C2D3F">
      <w:pPr>
        <w:pStyle w:val="34"/>
        <w:spacing w:beforeAutospacing="0" w:afterAutospacing="0"/>
        <w:ind w:firstLine="480"/>
        <w:jc w:val="both"/>
      </w:pPr>
      <w:r>
        <w:rPr>
          <w:rFonts w:hint="eastAsia" w:ascii="宋体" w:hAnsi="宋体" w:eastAsia="宋体" w:cs="宋体"/>
        </w:rPr>
        <w:t>投标人全称（加盖CA电子签章）：</w:t>
      </w:r>
    </w:p>
    <w:p w14:paraId="3EB070C6">
      <w:pPr>
        <w:pStyle w:val="34"/>
        <w:spacing w:beforeAutospacing="0" w:afterAutospacing="0"/>
        <w:ind w:firstLine="480"/>
        <w:jc w:val="both"/>
      </w:pPr>
      <w:r>
        <w:rPr>
          <w:rFonts w:hint="eastAsia" w:ascii="宋体" w:hAnsi="宋体" w:eastAsia="宋体" w:cs="宋体"/>
        </w:rPr>
        <w:t>项目名称：</w:t>
      </w:r>
    </w:p>
    <w:p w14:paraId="11E34030">
      <w:pPr>
        <w:pStyle w:val="34"/>
        <w:spacing w:beforeAutospacing="0" w:afterAutospacing="0"/>
        <w:ind w:firstLine="480"/>
        <w:jc w:val="both"/>
        <w:rPr>
          <w:rFonts w:hint="eastAsia" w:ascii="宋体" w:hAnsi="宋体" w:eastAsia="宋体" w:cs="宋体"/>
        </w:rPr>
      </w:pPr>
      <w:r>
        <w:rPr>
          <w:rFonts w:hint="eastAsia" w:ascii="宋体" w:hAnsi="宋体" w:eastAsia="宋体" w:cs="宋体"/>
        </w:rPr>
        <w:t>项目编号：</w:t>
      </w:r>
    </w:p>
    <w:p w14:paraId="56222643">
      <w:pPr>
        <w:pStyle w:val="34"/>
        <w:spacing w:beforeAutospacing="0" w:afterAutospacing="0"/>
        <w:ind w:firstLine="480"/>
        <w:jc w:val="both"/>
      </w:pPr>
      <w:r>
        <w:rPr>
          <w:rFonts w:hint="eastAsia" w:ascii="宋体" w:hAnsi="宋体" w:eastAsia="宋体" w:cs="宋体"/>
        </w:rPr>
        <w:t>分包号：</w:t>
      </w:r>
    </w:p>
    <w:tbl>
      <w:tblPr>
        <w:tblStyle w:val="38"/>
        <w:tblW w:w="8835" w:type="dxa"/>
        <w:tblCellSpacing w:w="0" w:type="dxa"/>
        <w:tblInd w:w="544" w:type="dxa"/>
        <w:tblLayout w:type="fixed"/>
        <w:tblCellMar>
          <w:top w:w="0" w:type="dxa"/>
          <w:left w:w="108" w:type="dxa"/>
          <w:bottom w:w="0" w:type="dxa"/>
          <w:right w:w="108" w:type="dxa"/>
        </w:tblCellMar>
      </w:tblPr>
      <w:tblGrid>
        <w:gridCol w:w="8835"/>
      </w:tblGrid>
      <w:tr w14:paraId="096DBCA3">
        <w:tblPrEx>
          <w:tblCellMar>
            <w:top w:w="0" w:type="dxa"/>
            <w:left w:w="108" w:type="dxa"/>
            <w:bottom w:w="0" w:type="dxa"/>
            <w:right w:w="108" w:type="dxa"/>
          </w:tblCellMar>
        </w:tblPrEx>
        <w:trPr>
          <w:trHeight w:val="725" w:hRule="atLeast"/>
          <w:tblCellSpacing w:w="0" w:type="dxa"/>
        </w:trPr>
        <w:tc>
          <w:tcPr>
            <w:tcW w:w="8835" w:type="dxa"/>
            <w:tcBorders>
              <w:top w:val="single" w:color="000000" w:sz="4" w:space="0"/>
              <w:left w:val="single" w:color="000000" w:sz="4" w:space="0"/>
              <w:bottom w:val="single" w:color="000000" w:sz="4" w:space="0"/>
              <w:right w:val="single" w:color="000000" w:sz="4" w:space="0"/>
            </w:tcBorders>
            <w:vAlign w:val="center"/>
          </w:tcPr>
          <w:p w14:paraId="7722B459">
            <w:pPr>
              <w:pStyle w:val="34"/>
              <w:spacing w:beforeAutospacing="0" w:afterAutospacing="0"/>
              <w:jc w:val="center"/>
            </w:pPr>
            <w:r>
              <w:rPr>
                <w:rFonts w:hint="eastAsia" w:ascii="宋体" w:hAnsi="宋体" w:eastAsia="宋体" w:cs="宋体"/>
              </w:rPr>
              <w:t>投标总报价</w:t>
            </w:r>
          </w:p>
        </w:tc>
      </w:tr>
      <w:tr w14:paraId="28A09C40">
        <w:tblPrEx>
          <w:tblCellMar>
            <w:top w:w="0" w:type="dxa"/>
            <w:left w:w="108" w:type="dxa"/>
            <w:bottom w:w="0" w:type="dxa"/>
            <w:right w:w="108" w:type="dxa"/>
          </w:tblCellMar>
        </w:tblPrEx>
        <w:trPr>
          <w:trHeight w:val="612" w:hRule="atLeast"/>
          <w:tblCellSpacing w:w="0" w:type="dxa"/>
        </w:trPr>
        <w:tc>
          <w:tcPr>
            <w:tcW w:w="8835" w:type="dxa"/>
            <w:tcBorders>
              <w:top w:val="single" w:color="000000" w:sz="4" w:space="0"/>
              <w:left w:val="single" w:color="000000" w:sz="4" w:space="0"/>
              <w:bottom w:val="single" w:color="000000" w:sz="4" w:space="0"/>
              <w:right w:val="single" w:color="000000" w:sz="4" w:space="0"/>
            </w:tcBorders>
            <w:vAlign w:val="center"/>
          </w:tcPr>
          <w:p w14:paraId="51EA67E5">
            <w:pPr>
              <w:pStyle w:val="34"/>
              <w:spacing w:beforeAutospacing="0" w:afterAutospacing="0" w:line="0" w:lineRule="atLeast"/>
              <w:rPr>
                <w:rFonts w:hint="eastAsia" w:ascii="宋体" w:hAnsi="宋体" w:eastAsia="宋体" w:cs="宋体"/>
              </w:rPr>
            </w:pPr>
            <w:r>
              <w:rPr>
                <w:rFonts w:hint="eastAsia" w:ascii="宋体" w:hAnsi="宋体" w:eastAsia="宋体" w:cs="宋体"/>
              </w:rPr>
              <w:t>大写：</w:t>
            </w:r>
          </w:p>
        </w:tc>
      </w:tr>
      <w:tr w14:paraId="237A9615">
        <w:tblPrEx>
          <w:tblCellMar>
            <w:top w:w="0" w:type="dxa"/>
            <w:left w:w="108" w:type="dxa"/>
            <w:bottom w:w="0" w:type="dxa"/>
            <w:right w:w="108" w:type="dxa"/>
          </w:tblCellMar>
        </w:tblPrEx>
        <w:trPr>
          <w:trHeight w:val="612" w:hRule="atLeast"/>
          <w:tblCellSpacing w:w="0" w:type="dxa"/>
        </w:trPr>
        <w:tc>
          <w:tcPr>
            <w:tcW w:w="8835" w:type="dxa"/>
            <w:tcBorders>
              <w:top w:val="single" w:color="000000" w:sz="4" w:space="0"/>
              <w:left w:val="single" w:color="000000" w:sz="4" w:space="0"/>
              <w:bottom w:val="single" w:color="000000" w:sz="4" w:space="0"/>
              <w:right w:val="single" w:color="000000" w:sz="4" w:space="0"/>
            </w:tcBorders>
            <w:vAlign w:val="center"/>
          </w:tcPr>
          <w:p w14:paraId="349717D8">
            <w:pPr>
              <w:pStyle w:val="34"/>
              <w:spacing w:beforeAutospacing="0" w:afterAutospacing="0" w:line="0" w:lineRule="atLeast"/>
            </w:pPr>
            <w:r>
              <w:rPr>
                <w:rFonts w:hint="eastAsia" w:ascii="宋体" w:hAnsi="宋体" w:eastAsia="宋体" w:cs="宋体"/>
              </w:rPr>
              <w:t>小写：                   （人民币：元）</w:t>
            </w:r>
          </w:p>
        </w:tc>
      </w:tr>
    </w:tbl>
    <w:p w14:paraId="30DC6A96">
      <w:pPr>
        <w:pStyle w:val="34"/>
        <w:spacing w:beforeAutospacing="0" w:afterAutospacing="0"/>
        <w:jc w:val="both"/>
      </w:pPr>
      <w:r>
        <w:t> </w:t>
      </w:r>
    </w:p>
    <w:p w14:paraId="12F1D6DC">
      <w:pPr>
        <w:pStyle w:val="34"/>
        <w:spacing w:beforeAutospacing="0" w:afterAutospacing="0"/>
        <w:ind w:firstLine="480"/>
        <w:jc w:val="both"/>
        <w:rPr>
          <w:rFonts w:hint="eastAsia" w:ascii="宋体" w:hAnsi="宋体" w:eastAsia="宋体" w:cs="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62CC6BA5">
      <w:pPr>
        <w:pStyle w:val="34"/>
        <w:spacing w:beforeAutospacing="0" w:afterAutospacing="0"/>
        <w:ind w:firstLine="480"/>
        <w:jc w:val="both"/>
        <w:rPr>
          <w:rFonts w:hint="eastAsia" w:ascii="宋体" w:hAnsi="宋体" w:eastAsia="宋体" w:cs="宋体"/>
        </w:rPr>
      </w:pPr>
    </w:p>
    <w:p w14:paraId="574A7BD8">
      <w:pPr>
        <w:pStyle w:val="34"/>
        <w:spacing w:beforeAutospacing="0" w:afterAutospacing="0"/>
        <w:ind w:firstLine="480"/>
        <w:jc w:val="both"/>
        <w:rPr>
          <w:rFonts w:hint="eastAsia" w:ascii="宋体" w:hAnsi="宋体" w:eastAsia="宋体" w:cs="宋体"/>
          <w:color w:val="000000" w:themeColor="text1"/>
          <w14:textFill>
            <w14:solidFill>
              <w14:schemeClr w14:val="tx1"/>
            </w14:solidFill>
          </w14:textFill>
        </w:rPr>
      </w:pPr>
    </w:p>
    <w:p w14:paraId="5F7E04AE">
      <w:pPr>
        <w:pStyle w:val="34"/>
        <w:spacing w:beforeAutospacing="0" w:afterAutospacing="0"/>
        <w:ind w:firstLine="480"/>
        <w:jc w:val="both"/>
        <w:rPr>
          <w:rFonts w:hint="eastAsia" w:ascii="宋体" w:hAnsi="宋体" w:eastAsia="宋体" w:cs="宋体"/>
          <w:color w:val="000000" w:themeColor="text1"/>
          <w14:textFill>
            <w14:solidFill>
              <w14:schemeClr w14:val="tx1"/>
            </w14:solidFill>
          </w14:textFill>
        </w:rPr>
      </w:pPr>
    </w:p>
    <w:p w14:paraId="008660AE">
      <w:pPr>
        <w:pStyle w:val="34"/>
        <w:spacing w:beforeAutospacing="0" w:afterAutospacing="0"/>
        <w:ind w:firstLine="480"/>
        <w:jc w:val="both"/>
        <w:rPr>
          <w:rFonts w:hint="eastAsia" w:ascii="宋体" w:hAnsi="宋体" w:eastAsia="宋体" w:cs="宋体"/>
          <w:color w:val="000000" w:themeColor="text1"/>
          <w14:textFill>
            <w14:solidFill>
              <w14:schemeClr w14:val="tx1"/>
            </w14:solidFill>
          </w14:textFill>
        </w:rPr>
      </w:pPr>
      <w:r>
        <w:rPr>
          <w:rFonts w:hAnsi="宋体"/>
          <w:color w:val="000000" w:themeColor="text1"/>
          <w14:textFill>
            <w14:solidFill>
              <w14:schemeClr w14:val="tx1"/>
            </w14:solidFill>
          </w14:textFill>
        </w:rPr>
        <w:t>注：此文件表格仅供参考，投标人必须按系统生成的开标一览表中规定格式完整、清晰、正确填写。</w:t>
      </w:r>
    </w:p>
    <w:p w14:paraId="3E37A20B">
      <w:pPr>
        <w:rPr>
          <w:rFonts w:hint="eastAsia" w:ascii="黑体" w:hAnsi="宋体" w:eastAsia="黑体" w:cs="黑体"/>
          <w:b/>
          <w:sz w:val="32"/>
          <w:szCs w:val="32"/>
        </w:rPr>
      </w:pPr>
      <w:r>
        <w:rPr>
          <w:rFonts w:hint="eastAsia" w:ascii="黑体" w:hAnsi="宋体" w:eastAsia="黑体" w:cs="黑体"/>
          <w:b/>
          <w:sz w:val="32"/>
          <w:szCs w:val="32"/>
        </w:rPr>
        <w:br w:type="page" w:clear="all"/>
      </w:r>
    </w:p>
    <w:p w14:paraId="554A0B0B">
      <w:pPr>
        <w:rPr>
          <w:rFonts w:hint="eastAsia" w:ascii="黑体" w:hAnsi="宋体" w:eastAsia="黑体" w:cs="黑体"/>
          <w:b/>
          <w:sz w:val="32"/>
          <w:szCs w:val="32"/>
        </w:rPr>
      </w:pPr>
      <w:r>
        <w:rPr>
          <w:color w:val="auto"/>
          <w:highlight w:val="none"/>
        </w:rPr>
        <w:t> </w:t>
      </w:r>
      <w:r>
        <w:rPr>
          <w:rFonts w:hint="eastAsia"/>
          <w:color w:val="auto"/>
          <w:highlight w:val="none"/>
          <w:lang w:val="en-US" w:eastAsia="zh-CN"/>
        </w:rPr>
        <w:t xml:space="preserve">                           </w:t>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、投标分项报价表</w:t>
      </w:r>
    </w:p>
    <w:tbl>
      <w:tblPr>
        <w:tblStyle w:val="38"/>
        <w:tblW w:w="96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110"/>
        <w:gridCol w:w="3052"/>
        <w:gridCol w:w="690"/>
        <w:gridCol w:w="930"/>
        <w:gridCol w:w="1268"/>
        <w:gridCol w:w="1590"/>
        <w:gridCol w:w="339"/>
      </w:tblGrid>
      <w:tr w14:paraId="78F87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9675" w:type="dxa"/>
            <w:gridSpan w:val="8"/>
            <w:tcBorders>
              <w:top w:val="nil"/>
              <w:left w:val="nil"/>
              <w:bottom w:val="nil"/>
              <w:right w:val="nil"/>
            </w:tcBorders>
            <w:shd w:val="clear" w:color="auto" w:fill="auto"/>
            <w:vAlign w:val="center"/>
          </w:tcPr>
          <w:p w14:paraId="43A99339">
            <w:pPr>
              <w:pStyle w:val="34"/>
              <w:spacing w:before="120" w:beforeAutospacing="0" w:after="120" w:afterAutospacing="0" w:line="360" w:lineRule="auto"/>
              <w:ind w:firstLine="1687" w:firstLineChars="600"/>
              <w:rPr>
                <w:rFonts w:hint="eastAsia" w:ascii="宋体" w:hAnsi="宋体" w:eastAsia="宋体" w:cs="宋体"/>
                <w:b/>
                <w:bCs/>
                <w:i w:val="0"/>
                <w:iCs w:val="0"/>
                <w:color w:val="000000"/>
                <w:sz w:val="36"/>
                <w:szCs w:val="36"/>
                <w:u w:val="none"/>
              </w:rPr>
            </w:pPr>
            <w:r>
              <w:rPr>
                <w:rFonts w:hint="eastAsia" w:ascii="Arial" w:hAnsi="Arial" w:cs="Arial"/>
                <w:b/>
                <w:sz w:val="28"/>
                <w:szCs w:val="28"/>
              </w:rPr>
              <w:t>射阳港经济开发区园区道路市政管网清淤项目</w:t>
            </w:r>
          </w:p>
        </w:tc>
      </w:tr>
      <w:tr w14:paraId="166B1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338" w:hRule="atLeast"/>
        </w:trPr>
        <w:tc>
          <w:tcPr>
            <w:tcW w:w="696"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E00AD20">
            <w:pPr>
              <w:keepNext w:val="0"/>
              <w:keepLines w:val="0"/>
              <w:widowControl/>
              <w:suppressLineNumbers w:val="0"/>
              <w:jc w:val="center"/>
              <w:textAlignment w:val="center"/>
              <w:rPr>
                <w:rFonts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序号</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B21D51">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项目名称</w:t>
            </w:r>
          </w:p>
        </w:tc>
        <w:tc>
          <w:tcPr>
            <w:tcW w:w="305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935DE55">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项目特征描述</w:t>
            </w:r>
          </w:p>
        </w:tc>
        <w:tc>
          <w:tcPr>
            <w:tcW w:w="69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0A27523">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计量</w:t>
            </w:r>
            <w:r>
              <w:rPr>
                <w:rFonts w:hint="eastAsia" w:ascii="黑体" w:hAnsi="宋体" w:eastAsia="黑体" w:cs="黑体"/>
                <w:b/>
                <w:bCs/>
                <w:i w:val="0"/>
                <w:iCs w:val="0"/>
                <w:color w:val="000000"/>
                <w:kern w:val="0"/>
                <w:sz w:val="22"/>
                <w:szCs w:val="22"/>
                <w:u w:val="none"/>
                <w:lang w:val="en-US" w:eastAsia="zh-CN" w:bidi="ar"/>
              </w:rPr>
              <w:br w:type="textWrapping"/>
            </w:r>
            <w:r>
              <w:rPr>
                <w:rFonts w:hint="eastAsia" w:ascii="黑体" w:hAnsi="宋体" w:eastAsia="黑体" w:cs="黑体"/>
                <w:b/>
                <w:bCs/>
                <w:i w:val="0"/>
                <w:iCs w:val="0"/>
                <w:color w:val="000000"/>
                <w:kern w:val="0"/>
                <w:sz w:val="22"/>
                <w:szCs w:val="22"/>
                <w:u w:val="none"/>
                <w:lang w:val="en-US" w:eastAsia="zh-CN" w:bidi="ar"/>
              </w:rPr>
              <w:t>单位</w:t>
            </w:r>
          </w:p>
        </w:tc>
        <w:tc>
          <w:tcPr>
            <w:tcW w:w="93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1176AE">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数量</w:t>
            </w:r>
          </w:p>
        </w:tc>
        <w:tc>
          <w:tcPr>
            <w:tcW w:w="1268" w:type="dxa"/>
            <w:vMerge w:val="restart"/>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54A38A83">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单价（元）</w:t>
            </w:r>
          </w:p>
        </w:tc>
        <w:tc>
          <w:tcPr>
            <w:tcW w:w="1590" w:type="dxa"/>
            <w:vMerge w:val="restart"/>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BC02D9A">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合价（元）</w:t>
            </w:r>
          </w:p>
        </w:tc>
      </w:tr>
      <w:tr w14:paraId="32491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353" w:hRule="atLeast"/>
        </w:trPr>
        <w:tc>
          <w:tcPr>
            <w:tcW w:w="696"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0FB7B53">
            <w:pPr>
              <w:jc w:val="center"/>
              <w:rPr>
                <w:rFonts w:hint="eastAsia" w:ascii="黑体" w:hAnsi="宋体" w:eastAsia="黑体" w:cs="黑体"/>
                <w:b/>
                <w:bCs/>
                <w:i w:val="0"/>
                <w:iCs w:val="0"/>
                <w:color w:val="000000"/>
                <w:sz w:val="22"/>
                <w:szCs w:val="22"/>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7E8701">
            <w:pPr>
              <w:jc w:val="center"/>
              <w:rPr>
                <w:rFonts w:hint="eastAsia" w:ascii="黑体" w:hAnsi="宋体" w:eastAsia="黑体" w:cs="黑体"/>
                <w:b/>
                <w:bCs/>
                <w:i w:val="0"/>
                <w:iCs w:val="0"/>
                <w:color w:val="000000"/>
                <w:sz w:val="22"/>
                <w:szCs w:val="22"/>
                <w:u w:val="none"/>
              </w:rPr>
            </w:pPr>
          </w:p>
        </w:tc>
        <w:tc>
          <w:tcPr>
            <w:tcW w:w="305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1CCF364">
            <w:pPr>
              <w:jc w:val="center"/>
              <w:rPr>
                <w:rFonts w:hint="eastAsia" w:ascii="黑体" w:hAnsi="宋体" w:eastAsia="黑体" w:cs="黑体"/>
                <w:b/>
                <w:bCs/>
                <w:i w:val="0"/>
                <w:iCs w:val="0"/>
                <w:color w:val="000000"/>
                <w:sz w:val="22"/>
                <w:szCs w:val="22"/>
                <w:u w:val="none"/>
              </w:rPr>
            </w:pPr>
          </w:p>
        </w:tc>
        <w:tc>
          <w:tcPr>
            <w:tcW w:w="69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368EE51">
            <w:pPr>
              <w:jc w:val="center"/>
              <w:rPr>
                <w:rFonts w:hint="eastAsia" w:ascii="黑体" w:hAnsi="宋体" w:eastAsia="黑体" w:cs="黑体"/>
                <w:b/>
                <w:bCs/>
                <w:i w:val="0"/>
                <w:iCs w:val="0"/>
                <w:color w:val="000000"/>
                <w:sz w:val="22"/>
                <w:szCs w:val="22"/>
                <w:u w:val="none"/>
              </w:rPr>
            </w:pPr>
          </w:p>
        </w:tc>
        <w:tc>
          <w:tcPr>
            <w:tcW w:w="93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EA6B41">
            <w:pPr>
              <w:jc w:val="center"/>
              <w:rPr>
                <w:rFonts w:hint="eastAsia" w:ascii="黑体" w:hAnsi="宋体" w:eastAsia="黑体" w:cs="黑体"/>
                <w:b/>
                <w:bCs/>
                <w:i w:val="0"/>
                <w:iCs w:val="0"/>
                <w:color w:val="000000"/>
                <w:sz w:val="22"/>
                <w:szCs w:val="22"/>
                <w:u w:val="none"/>
              </w:rPr>
            </w:pPr>
          </w:p>
        </w:tc>
        <w:tc>
          <w:tcPr>
            <w:tcW w:w="1268" w:type="dxa"/>
            <w:vMerge w:val="continue"/>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0855AA0F">
            <w:pPr>
              <w:jc w:val="center"/>
              <w:rPr>
                <w:rFonts w:hint="eastAsia" w:ascii="黑体" w:hAnsi="宋体" w:eastAsia="黑体" w:cs="黑体"/>
                <w:b/>
                <w:bCs/>
                <w:i w:val="0"/>
                <w:iCs w:val="0"/>
                <w:color w:val="000000"/>
                <w:sz w:val="22"/>
                <w:szCs w:val="22"/>
                <w:u w:val="none"/>
              </w:rPr>
            </w:pPr>
          </w:p>
        </w:tc>
        <w:tc>
          <w:tcPr>
            <w:tcW w:w="1590" w:type="dxa"/>
            <w:vMerge w:val="continue"/>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3F12E81">
            <w:pPr>
              <w:jc w:val="center"/>
              <w:rPr>
                <w:rFonts w:hint="eastAsia" w:ascii="黑体" w:hAnsi="宋体" w:eastAsia="黑体" w:cs="黑体"/>
                <w:b/>
                <w:bCs/>
                <w:i w:val="0"/>
                <w:iCs w:val="0"/>
                <w:color w:val="000000"/>
                <w:sz w:val="22"/>
                <w:szCs w:val="22"/>
                <w:u w:val="none"/>
              </w:rPr>
            </w:pPr>
          </w:p>
        </w:tc>
      </w:tr>
      <w:tr w14:paraId="3348A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40" w:hRule="atLeast"/>
        </w:trPr>
        <w:tc>
          <w:tcPr>
            <w:tcW w:w="696"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245B3B7">
            <w:pPr>
              <w:jc w:val="center"/>
              <w:rPr>
                <w:rFonts w:hint="eastAsia" w:ascii="黑体" w:hAnsi="宋体" w:eastAsia="黑体" w:cs="黑体"/>
                <w:b/>
                <w:bCs/>
                <w:i w:val="0"/>
                <w:iCs w:val="0"/>
                <w:color w:val="000000"/>
                <w:sz w:val="22"/>
                <w:szCs w:val="22"/>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00B9B9">
            <w:pPr>
              <w:jc w:val="center"/>
              <w:rPr>
                <w:rFonts w:hint="eastAsia" w:ascii="黑体" w:hAnsi="宋体" w:eastAsia="黑体" w:cs="黑体"/>
                <w:b/>
                <w:bCs/>
                <w:i w:val="0"/>
                <w:iCs w:val="0"/>
                <w:color w:val="000000"/>
                <w:sz w:val="22"/>
                <w:szCs w:val="22"/>
                <w:u w:val="none"/>
              </w:rPr>
            </w:pPr>
          </w:p>
        </w:tc>
        <w:tc>
          <w:tcPr>
            <w:tcW w:w="305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975BA0">
            <w:pPr>
              <w:jc w:val="center"/>
              <w:rPr>
                <w:rFonts w:hint="eastAsia" w:ascii="黑体" w:hAnsi="宋体" w:eastAsia="黑体" w:cs="黑体"/>
                <w:b/>
                <w:bCs/>
                <w:i w:val="0"/>
                <w:iCs w:val="0"/>
                <w:color w:val="000000"/>
                <w:sz w:val="22"/>
                <w:szCs w:val="22"/>
                <w:u w:val="none"/>
              </w:rPr>
            </w:pPr>
          </w:p>
        </w:tc>
        <w:tc>
          <w:tcPr>
            <w:tcW w:w="69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4DB2EF">
            <w:pPr>
              <w:jc w:val="center"/>
              <w:rPr>
                <w:rFonts w:hint="eastAsia" w:ascii="黑体" w:hAnsi="宋体" w:eastAsia="黑体" w:cs="黑体"/>
                <w:b/>
                <w:bCs/>
                <w:i w:val="0"/>
                <w:iCs w:val="0"/>
                <w:color w:val="000000"/>
                <w:sz w:val="22"/>
                <w:szCs w:val="22"/>
                <w:u w:val="none"/>
              </w:rPr>
            </w:pPr>
          </w:p>
        </w:tc>
        <w:tc>
          <w:tcPr>
            <w:tcW w:w="93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9F23C4">
            <w:pPr>
              <w:jc w:val="center"/>
              <w:rPr>
                <w:rFonts w:hint="eastAsia" w:ascii="黑体" w:hAnsi="宋体" w:eastAsia="黑体" w:cs="黑体"/>
                <w:b/>
                <w:bCs/>
                <w:i w:val="0"/>
                <w:iCs w:val="0"/>
                <w:color w:val="000000"/>
                <w:sz w:val="22"/>
                <w:szCs w:val="22"/>
                <w:u w:val="none"/>
              </w:rPr>
            </w:pPr>
          </w:p>
        </w:tc>
        <w:tc>
          <w:tcPr>
            <w:tcW w:w="1268" w:type="dxa"/>
            <w:vMerge w:val="continue"/>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6F295C0F">
            <w:pPr>
              <w:jc w:val="center"/>
              <w:rPr>
                <w:rFonts w:hint="eastAsia" w:ascii="黑体" w:hAnsi="宋体" w:eastAsia="黑体" w:cs="黑体"/>
                <w:b/>
                <w:bCs/>
                <w:i w:val="0"/>
                <w:iCs w:val="0"/>
                <w:color w:val="000000"/>
                <w:sz w:val="22"/>
                <w:szCs w:val="22"/>
                <w:u w:val="none"/>
              </w:rPr>
            </w:pPr>
          </w:p>
        </w:tc>
        <w:tc>
          <w:tcPr>
            <w:tcW w:w="1590" w:type="dxa"/>
            <w:vMerge w:val="continue"/>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51F1F31">
            <w:pPr>
              <w:jc w:val="center"/>
              <w:rPr>
                <w:rFonts w:hint="eastAsia" w:ascii="黑体" w:hAnsi="宋体" w:eastAsia="黑体" w:cs="黑体"/>
                <w:b/>
                <w:bCs/>
                <w:i w:val="0"/>
                <w:iCs w:val="0"/>
                <w:color w:val="000000"/>
                <w:sz w:val="22"/>
                <w:szCs w:val="22"/>
                <w:u w:val="none"/>
              </w:rPr>
            </w:pPr>
          </w:p>
        </w:tc>
      </w:tr>
      <w:tr w14:paraId="44C88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7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BB0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6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DA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1、管道规格、等级:疏通DN1200雨水管道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 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0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2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A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6F5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1DAF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7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CE5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1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D7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1、管道规格、等级:疏通DN1000雨水管道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 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9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FB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1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F35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96C7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8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C2C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E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23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1、管道规格、等级:疏通DN800雨水管道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 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AA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E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0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BBC3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EACA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8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F49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C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44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1、管道规格、等级:疏通DN600雨水管道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 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99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6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7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748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5FBA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9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24F1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849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3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1、管道规格、等级:疏通DN500雨水管道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6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05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39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202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DFC7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8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AB7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50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1C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1、管道规格、等级:疏通DN400雨水管道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28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D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70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14D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89BD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8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C5F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5C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1E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1、管道规格、等级:疏通DN300雨水管道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B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CB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19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F1A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16B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7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71AD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C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疏通清淤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1E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1、管道规格、等级:疏通DN200及以下污水管道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2、管道处理:高压疏通车疏通清淤后管道无明显淤泥杂物沉淀，淤泥量占管道面积85%以上，淤泥外运10KM以内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F7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C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0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0898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9A57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6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F6A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D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管道沟槽抽水</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F6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1、DN400、500雨水管道抽水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52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0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1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934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C8A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6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679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F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管道沟槽抽水</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E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1、DN600、800、1000、1200雨水管道抽水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68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1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8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A609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40F6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8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1C6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9AB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清理检查井</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0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1、规格:内径1.5米污水井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2、淤泥平均深0.6米，污泥外运10km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CE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7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67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AB6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B90A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8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7C04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B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清理雨水口</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8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1、规格:40*50cm雨水口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2、淤泥平均深0.6米，污泥外运10km以内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2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45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A9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AF8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1F9F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76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6737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CC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气囊封堵、拆除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F8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1、种类、规格:φ600气囊封堵及拆除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F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6F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24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D3F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EE5F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6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8F0D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4F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气囊封堵、拆除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A1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1、种类、规格:φ800气囊封堵及拆除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D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62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6A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E48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D893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72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BCBD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4A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气囊封堵、拆除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0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1、种类、规格:φ1000气囊封堵及拆除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F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0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1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CC3E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26C2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7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4FA9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D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气囊封堵、拆除</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68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1、种类、规格:φ1200气囊封堵及拆除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0B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8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CA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C524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486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5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096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1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DN200-DN300排水管道检测</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5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1、CCTV检测:形成管网CCTV检测报告及成像资料（提供管网结构性和功能性等检测报告、错混接和管网缺陷的管线调查报告）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D8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86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83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B31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413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34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435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45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DN400-DN600排水管道检测</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E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1、CCTV检测:形成管网CCTV检测报告及成像资料（提供管网结构性和功能性等检测报告、错混接和管网缺陷的管线调查报告）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E3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5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3A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FCB7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87E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30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7768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16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DN800-DN1200排水管道检测</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EB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1、CCTV检测:形成管网CCTV检测报告及成像资料（提供管网结构性和功能性等检测报告、错混接和管网缺陷的管线调查报告）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7C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97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11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8AE9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4F0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1030" w:hRule="atLeast"/>
        </w:trPr>
        <w:tc>
          <w:tcPr>
            <w:tcW w:w="69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4ADD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E1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管道测绘</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8C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1、管道规格、等级:DN200、300、400、500、600、800、1000、1200管道测绘</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4E6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80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45000</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F4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7FC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40B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39" w:type="dxa"/>
          <w:trHeight w:val="620" w:hRule="atLeast"/>
        </w:trPr>
        <w:tc>
          <w:tcPr>
            <w:tcW w:w="7746" w:type="dxa"/>
            <w:gridSpan w:val="6"/>
            <w:tcBorders>
              <w:top w:val="single" w:color="000000" w:sz="4" w:space="0"/>
              <w:left w:val="single" w:color="000000" w:sz="8" w:space="0"/>
              <w:bottom w:val="single" w:color="000000" w:sz="4" w:space="0"/>
              <w:right w:val="single" w:color="000000" w:sz="4" w:space="0"/>
            </w:tcBorders>
            <w:shd w:val="clear" w:color="auto" w:fill="auto"/>
            <w:vAlign w:val="center"/>
          </w:tcPr>
          <w:p w14:paraId="6F7E15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15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E751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125F16DB">
      <w:pPr>
        <w:rPr>
          <w:rFonts w:hint="eastAsia" w:ascii="宋体" w:hAnsi="宋体" w:eastAsia="宋体" w:cs="宋体"/>
          <w:sz w:val="30"/>
          <w:szCs w:val="30"/>
          <w:lang w:val="en-US" w:eastAsia="zh-CN"/>
        </w:rPr>
      </w:pPr>
    </w:p>
    <w:p w14:paraId="7BAC07DB">
      <w:pPr>
        <w:widowControl/>
        <w:spacing w:line="500" w:lineRule="exact"/>
        <w:jc w:val="left"/>
        <w:rPr>
          <w:rFonts w:hint="eastAsia" w:ascii="宋体" w:hAnsi="宋体"/>
          <w:color w:val="000000"/>
          <w:sz w:val="24"/>
          <w:highlight w:val="none"/>
        </w:rPr>
      </w:pPr>
      <w:r>
        <w:rPr>
          <w:rFonts w:hint="eastAsia" w:ascii="宋体" w:hAnsi="宋体"/>
          <w:b/>
          <w:bCs/>
          <w:color w:val="000000"/>
          <w:sz w:val="24"/>
          <w:highlight w:val="none"/>
        </w:rPr>
        <w:t>注：</w:t>
      </w:r>
      <w:r>
        <w:rPr>
          <w:rFonts w:hint="eastAsia" w:ascii="宋体" w:hAnsi="宋体"/>
          <w:color w:val="000000"/>
          <w:sz w:val="24"/>
          <w:highlight w:val="none"/>
        </w:rPr>
        <w:t>1、投标报价应是招标范围内全部工作内容的价格体现，报价明细表中的报价应包括检测人员、清淤、运输、管理、安装、检测、排查、招标代理费、保险、利润、税金、政策性文件规定及合同包含的所有风险、责任等各项应有费用；</w:t>
      </w:r>
    </w:p>
    <w:p w14:paraId="7B0EC70C">
      <w:pPr>
        <w:widowControl/>
        <w:spacing w:line="500" w:lineRule="exact"/>
        <w:ind w:firstLine="240" w:firstLineChars="100"/>
        <w:jc w:val="left"/>
        <w:rPr>
          <w:rFonts w:hint="eastAsia" w:ascii="宋体" w:hAnsi="宋体"/>
          <w:color w:val="000000"/>
          <w:sz w:val="24"/>
          <w:highlight w:val="none"/>
        </w:rPr>
      </w:pPr>
      <w:r>
        <w:rPr>
          <w:rFonts w:hint="eastAsia" w:ascii="宋体" w:hAnsi="宋体"/>
          <w:color w:val="000000"/>
          <w:sz w:val="24"/>
          <w:highlight w:val="none"/>
        </w:rPr>
        <w:t>2、本项目最高限价为</w:t>
      </w:r>
      <w:r>
        <w:rPr>
          <w:rFonts w:hint="eastAsia" w:ascii="宋体" w:hAnsi="宋体"/>
          <w:color w:val="000000"/>
          <w:sz w:val="24"/>
          <w:highlight w:val="none"/>
          <w:lang w:val="en-US" w:eastAsia="zh-CN"/>
        </w:rPr>
        <w:t>380</w:t>
      </w:r>
      <w:r>
        <w:rPr>
          <w:rFonts w:hint="eastAsia" w:ascii="宋体" w:hAnsi="宋体"/>
          <w:color w:val="000000"/>
          <w:sz w:val="24"/>
          <w:highlight w:val="none"/>
          <w:lang w:eastAsia="zh-CN"/>
        </w:rPr>
        <w:t>万元</w:t>
      </w:r>
      <w:r>
        <w:rPr>
          <w:rFonts w:hint="eastAsia" w:ascii="宋体" w:hAnsi="宋体"/>
          <w:color w:val="000000"/>
          <w:sz w:val="24"/>
          <w:highlight w:val="none"/>
        </w:rPr>
        <w:t>，高于最高限价的作无效标论处。</w:t>
      </w:r>
    </w:p>
    <w:p w14:paraId="1C10F9C7">
      <w:pPr>
        <w:widowControl/>
        <w:spacing w:line="500" w:lineRule="exact"/>
        <w:ind w:firstLine="480"/>
        <w:jc w:val="left"/>
        <w:rPr>
          <w:rFonts w:hint="eastAsia" w:ascii="宋体" w:hAnsi="宋体"/>
          <w:color w:val="000000"/>
          <w:sz w:val="24"/>
          <w:highlight w:val="none"/>
        </w:rPr>
      </w:pPr>
    </w:p>
    <w:p w14:paraId="162517CE">
      <w:pPr>
        <w:pStyle w:val="34"/>
        <w:tabs>
          <w:tab w:val="left" w:pos="4864"/>
        </w:tabs>
        <w:spacing w:beforeAutospacing="0" w:afterAutospacing="0" w:line="0" w:lineRule="atLeast"/>
        <w:ind w:right="1560" w:firstLine="624"/>
        <w:jc w:val="center"/>
        <w:rPr>
          <w:rFonts w:hint="eastAsia" w:ascii="宋体" w:hAnsi="宋体" w:eastAsia="宋体" w:cs="宋体"/>
        </w:rPr>
      </w:pPr>
    </w:p>
    <w:p w14:paraId="50BBA651">
      <w:pPr>
        <w:pStyle w:val="34"/>
        <w:tabs>
          <w:tab w:val="left" w:pos="4864"/>
        </w:tabs>
        <w:spacing w:beforeAutospacing="0" w:afterAutospacing="0" w:line="0" w:lineRule="atLeast"/>
        <w:ind w:right="1560" w:firstLine="624"/>
        <w:jc w:val="center"/>
      </w:pPr>
      <w:r>
        <w:rPr>
          <w:rFonts w:hint="eastAsia" w:ascii="宋体" w:hAnsi="宋体" w:eastAsia="宋体" w:cs="宋体"/>
          <w:lang w:val="en-US" w:eastAsia="zh-CN"/>
        </w:rPr>
        <w:t xml:space="preserve">                                  </w:t>
      </w:r>
      <w:r>
        <w:rPr>
          <w:rFonts w:hint="eastAsia" w:ascii="宋体" w:hAnsi="宋体" w:eastAsia="宋体" w:cs="宋体"/>
        </w:rPr>
        <w:t>供应商全称（加盖CA电子公章）：</w:t>
      </w:r>
    </w:p>
    <w:p w14:paraId="0B4B7396">
      <w:pPr>
        <w:pStyle w:val="34"/>
        <w:tabs>
          <w:tab w:val="left" w:pos="4864"/>
        </w:tabs>
        <w:spacing w:beforeAutospacing="0" w:afterAutospacing="0" w:line="0" w:lineRule="atLeast"/>
        <w:ind w:right="1560" w:firstLine="480"/>
        <w:jc w:val="center"/>
        <w:rPr>
          <w:rFonts w:hint="eastAsia" w:ascii="宋体" w:hAnsi="宋体" w:eastAsia="宋体" w:cs="宋体"/>
        </w:rPr>
      </w:pPr>
      <w:r>
        <w:rPr>
          <w:rFonts w:hint="eastAsia" w:ascii="宋体" w:hAnsi="宋体" w:eastAsia="宋体" w:cs="宋体"/>
        </w:rPr>
        <w:t>       </w:t>
      </w:r>
    </w:p>
    <w:p w14:paraId="381E28DA">
      <w:pPr>
        <w:pStyle w:val="34"/>
        <w:tabs>
          <w:tab w:val="left" w:pos="4864"/>
        </w:tabs>
        <w:spacing w:beforeAutospacing="0" w:afterAutospacing="0" w:line="0" w:lineRule="atLeast"/>
        <w:ind w:right="1560" w:firstLine="480"/>
        <w:jc w:val="center"/>
      </w:pPr>
      <w:r>
        <w:rPr>
          <w:rFonts w:hint="eastAsia" w:ascii="宋体" w:hAnsi="宋体" w:eastAsia="宋体" w:cs="宋体"/>
          <w:lang w:val="en-US" w:eastAsia="zh-CN"/>
        </w:rPr>
        <w:t xml:space="preserve">                                            </w:t>
      </w:r>
      <w:r>
        <w:rPr>
          <w:rFonts w:hint="eastAsia" w:ascii="宋体" w:hAnsi="宋体" w:eastAsia="宋体" w:cs="宋体"/>
        </w:rPr>
        <w:t xml:space="preserve"> 日  期：</w:t>
      </w:r>
    </w:p>
    <w:p w14:paraId="442ADEC0">
      <w:pPr>
        <w:rPr>
          <w:rFonts w:hint="eastAsia" w:ascii="黑体" w:hAnsi="宋体" w:eastAsia="黑体" w:cs="黑体"/>
          <w:b/>
          <w:sz w:val="32"/>
          <w:szCs w:val="32"/>
        </w:rPr>
      </w:pPr>
    </w:p>
    <w:p w14:paraId="6D013146">
      <w:pPr>
        <w:rPr>
          <w:rFonts w:hint="eastAsia" w:ascii="黑体" w:hAnsi="宋体" w:eastAsia="黑体" w:cs="黑体"/>
          <w:b/>
          <w:sz w:val="32"/>
          <w:szCs w:val="32"/>
        </w:rPr>
      </w:pPr>
    </w:p>
    <w:p w14:paraId="4FAF9122">
      <w:pPr>
        <w:pStyle w:val="4"/>
        <w:ind w:firstLine="216"/>
        <w:jc w:val="center"/>
        <w:rPr>
          <w:rFonts w:hint="eastAsia" w:ascii="黑体" w:hAnsi="宋体" w:eastAsia="黑体" w:cs="黑体"/>
          <w:b/>
          <w:sz w:val="32"/>
          <w:szCs w:val="32"/>
        </w:rPr>
      </w:pPr>
    </w:p>
    <w:p w14:paraId="4B1C738F">
      <w:pPr>
        <w:rPr>
          <w:rFonts w:hint="eastAsia" w:ascii="黑体" w:hAnsi="宋体" w:eastAsia="黑体" w:cs="黑体"/>
          <w:b/>
          <w:sz w:val="32"/>
          <w:szCs w:val="32"/>
        </w:rPr>
      </w:pPr>
    </w:p>
    <w:p w14:paraId="15937C23">
      <w:pPr>
        <w:rPr>
          <w:rFonts w:hint="eastAsia" w:ascii="黑体" w:hAnsi="宋体" w:eastAsia="黑体" w:cs="黑体"/>
          <w:b/>
          <w:sz w:val="32"/>
          <w:szCs w:val="32"/>
        </w:rPr>
      </w:pPr>
    </w:p>
    <w:p w14:paraId="64679F2D">
      <w:pPr>
        <w:rPr>
          <w:rFonts w:hint="eastAsia" w:ascii="黑体" w:hAnsi="宋体" w:eastAsia="黑体" w:cs="黑体"/>
          <w:b/>
          <w:sz w:val="32"/>
          <w:szCs w:val="32"/>
        </w:rPr>
      </w:pPr>
    </w:p>
    <w:p w14:paraId="200B70D2">
      <w:pPr>
        <w:rPr>
          <w:rFonts w:hint="eastAsia" w:ascii="黑体" w:hAnsi="宋体" w:eastAsia="黑体" w:cs="黑体"/>
          <w:b/>
          <w:sz w:val="32"/>
          <w:szCs w:val="32"/>
        </w:rPr>
      </w:pPr>
    </w:p>
    <w:p w14:paraId="41F0DA90">
      <w:pPr>
        <w:rPr>
          <w:rFonts w:hint="eastAsia" w:ascii="黑体" w:hAnsi="宋体" w:eastAsia="黑体" w:cs="黑体"/>
          <w:b/>
          <w:sz w:val="32"/>
          <w:szCs w:val="32"/>
        </w:rPr>
      </w:pPr>
    </w:p>
    <w:p w14:paraId="498DFC28">
      <w:pPr>
        <w:rPr>
          <w:rFonts w:hint="eastAsia" w:ascii="黑体" w:hAnsi="宋体" w:eastAsia="黑体" w:cs="黑体"/>
          <w:b/>
          <w:sz w:val="32"/>
          <w:szCs w:val="32"/>
        </w:rPr>
      </w:pPr>
    </w:p>
    <w:p w14:paraId="0A6B9BED">
      <w:pPr>
        <w:rPr>
          <w:rFonts w:hint="eastAsia" w:ascii="黑体" w:hAnsi="宋体" w:eastAsia="黑体" w:cs="黑体"/>
          <w:b/>
          <w:sz w:val="32"/>
          <w:szCs w:val="32"/>
        </w:rPr>
      </w:pPr>
    </w:p>
    <w:p w14:paraId="201E62FD">
      <w:pPr>
        <w:rPr>
          <w:rFonts w:hint="eastAsia" w:ascii="黑体" w:hAnsi="宋体" w:eastAsia="黑体" w:cs="黑体"/>
          <w:b/>
          <w:sz w:val="32"/>
          <w:szCs w:val="32"/>
        </w:rPr>
      </w:pPr>
    </w:p>
    <w:p w14:paraId="1F704FEA">
      <w:pPr>
        <w:rPr>
          <w:rFonts w:hint="eastAsia" w:ascii="黑体" w:hAnsi="宋体" w:eastAsia="黑体" w:cs="黑体"/>
          <w:b/>
          <w:sz w:val="32"/>
          <w:szCs w:val="32"/>
        </w:rPr>
      </w:pPr>
    </w:p>
    <w:p w14:paraId="14AD18D4">
      <w:pPr>
        <w:rPr>
          <w:rFonts w:hint="eastAsia" w:ascii="黑体" w:hAnsi="宋体" w:eastAsia="黑体" w:cs="黑体"/>
          <w:b/>
          <w:sz w:val="32"/>
          <w:szCs w:val="32"/>
        </w:rPr>
      </w:pPr>
    </w:p>
    <w:p w14:paraId="7E47B508">
      <w:pPr>
        <w:rPr>
          <w:rFonts w:hint="eastAsia" w:ascii="黑体" w:hAnsi="宋体" w:eastAsia="黑体" w:cs="黑体"/>
          <w:b/>
          <w:sz w:val="32"/>
          <w:szCs w:val="32"/>
        </w:rPr>
      </w:pPr>
    </w:p>
    <w:p w14:paraId="01D283B8">
      <w:pPr>
        <w:rPr>
          <w:rFonts w:hint="eastAsia" w:ascii="黑体" w:hAnsi="宋体" w:eastAsia="黑体" w:cs="黑体"/>
          <w:b/>
          <w:sz w:val="32"/>
          <w:szCs w:val="32"/>
        </w:rPr>
      </w:pPr>
    </w:p>
    <w:p w14:paraId="545123CA">
      <w:pPr>
        <w:rPr>
          <w:rFonts w:hint="eastAsia" w:ascii="黑体" w:hAnsi="宋体" w:eastAsia="黑体" w:cs="黑体"/>
          <w:b/>
          <w:sz w:val="32"/>
          <w:szCs w:val="32"/>
        </w:rPr>
      </w:pPr>
    </w:p>
    <w:p w14:paraId="775047A0">
      <w:pPr>
        <w:pStyle w:val="4"/>
        <w:ind w:firstLine="216"/>
        <w:jc w:val="center"/>
        <w:rPr>
          <w:rFonts w:hint="eastAsia" w:ascii="宋体" w:hAnsi="宋体" w:eastAsia="宋体" w:cs="宋体"/>
          <w:color w:val="000000"/>
          <w:sz w:val="24"/>
        </w:rPr>
      </w:pPr>
      <w:r>
        <w:rPr>
          <w:rFonts w:hint="eastAsia" w:ascii="黑体" w:hAnsi="宋体" w:eastAsia="黑体" w:cs="黑体"/>
          <w:b/>
          <w:sz w:val="32"/>
          <w:szCs w:val="32"/>
        </w:rPr>
        <w:t>十</w:t>
      </w:r>
      <w:r>
        <w:rPr>
          <w:rFonts w:hint="eastAsia" w:ascii="黑体" w:hAnsi="宋体" w:eastAsia="黑体" w:cs="黑体"/>
          <w:b/>
          <w:sz w:val="32"/>
          <w:szCs w:val="32"/>
          <w:lang w:val="en-US" w:eastAsia="zh-CN"/>
        </w:rPr>
        <w:t>五</w:t>
      </w:r>
      <w:r>
        <w:rPr>
          <w:rFonts w:hint="eastAsia" w:ascii="黑体" w:hAnsi="宋体" w:eastAsia="黑体" w:cs="黑体"/>
          <w:b/>
          <w:sz w:val="32"/>
          <w:szCs w:val="32"/>
        </w:rPr>
        <w:t>、评分细则中相关材料等</w:t>
      </w:r>
    </w:p>
    <w:p w14:paraId="5DD8C34E">
      <w:pPr>
        <w:pStyle w:val="34"/>
        <w:spacing w:beforeAutospacing="0" w:afterAutospacing="0"/>
        <w:jc w:val="center"/>
        <w:rPr>
          <w:rFonts w:hint="eastAsia" w:ascii="宋体" w:hAnsi="宋体" w:eastAsia="宋体" w:cs="宋体"/>
          <w:b/>
          <w:color w:val="000000"/>
          <w:sz w:val="32"/>
          <w:szCs w:val="32"/>
        </w:rPr>
      </w:pPr>
    </w:p>
    <w:p w14:paraId="5FC95CAD">
      <w:pPr>
        <w:tabs>
          <w:tab w:val="left" w:pos="2160"/>
        </w:tabs>
        <w:spacing w:line="360" w:lineRule="auto"/>
        <w:ind w:firstLine="960" w:firstLineChars="400"/>
        <w:rPr>
          <w:rFonts w:hint="eastAsia" w:ascii="宋体" w:hAnsi="宋体" w:eastAsia="宋体" w:cs="宋体"/>
          <w:iCs/>
          <w:color w:val="000000"/>
          <w:sz w:val="24"/>
        </w:rPr>
      </w:pPr>
      <w:r>
        <w:rPr>
          <w:rFonts w:hint="eastAsia" w:ascii="宋体" w:hAnsi="宋体" w:eastAsia="宋体" w:cs="宋体"/>
          <w:iCs/>
          <w:color w:val="000000"/>
          <w:sz w:val="24"/>
        </w:rPr>
        <w:t>1、评分细则中相关材料等</w:t>
      </w:r>
    </w:p>
    <w:p w14:paraId="4AF554C7">
      <w:pPr>
        <w:tabs>
          <w:tab w:val="left" w:pos="2160"/>
        </w:tabs>
        <w:spacing w:line="360" w:lineRule="auto"/>
        <w:ind w:firstLine="960" w:firstLineChars="400"/>
        <w:rPr>
          <w:rFonts w:hint="eastAsia" w:ascii="宋体" w:hAnsi="宋体" w:eastAsia="宋体" w:cs="宋体"/>
          <w:iCs/>
          <w:color w:val="000000"/>
          <w:sz w:val="24"/>
        </w:rPr>
      </w:pPr>
      <w:r>
        <w:rPr>
          <w:rFonts w:hint="eastAsia" w:ascii="宋体" w:hAnsi="宋体" w:eastAsia="宋体" w:cs="宋体"/>
          <w:iCs/>
          <w:color w:val="000000"/>
          <w:sz w:val="24"/>
        </w:rPr>
        <w:t>2、投标人认为须提供的其它材料。</w:t>
      </w:r>
    </w:p>
    <w:p w14:paraId="40C240C4">
      <w:pPr>
        <w:widowControl/>
        <w:spacing w:before="50" w:after="50"/>
        <w:ind w:firstLine="643" w:firstLineChars="200"/>
        <w:rPr>
          <w:rFonts w:hint="eastAsia" w:ascii="宋体" w:hAnsi="宋体" w:eastAsia="宋体" w:cs="宋体"/>
          <w:b/>
          <w:bCs/>
          <w:color w:val="000000"/>
          <w:sz w:val="32"/>
          <w:szCs w:val="32"/>
        </w:rPr>
      </w:pPr>
    </w:p>
    <w:p w14:paraId="773B7D4F">
      <w:pPr>
        <w:widowControl/>
        <w:spacing w:line="499" w:lineRule="atLeast"/>
        <w:ind w:firstLine="1600"/>
        <w:rPr>
          <w:rFonts w:hint="eastAsia" w:ascii="宋体" w:hAnsi="宋体" w:eastAsia="宋体" w:cs="宋体"/>
          <w:sz w:val="32"/>
          <w:szCs w:val="32"/>
        </w:rPr>
      </w:pPr>
    </w:p>
    <w:p w14:paraId="4043454C">
      <w:pPr>
        <w:widowControl/>
        <w:spacing w:line="499" w:lineRule="atLeast"/>
        <w:ind w:firstLine="1600"/>
        <w:rPr>
          <w:rFonts w:hint="eastAsia" w:ascii="宋体" w:hAnsi="宋体" w:eastAsia="宋体" w:cs="宋体"/>
          <w:sz w:val="32"/>
          <w:szCs w:val="32"/>
        </w:rPr>
      </w:pPr>
    </w:p>
    <w:p w14:paraId="6FC6495A">
      <w:pPr>
        <w:widowControl/>
        <w:spacing w:line="499" w:lineRule="atLeast"/>
        <w:ind w:firstLine="1600"/>
        <w:rPr>
          <w:rFonts w:hint="eastAsia" w:ascii="宋体" w:hAnsi="宋体" w:eastAsia="宋体" w:cs="宋体"/>
          <w:sz w:val="32"/>
          <w:szCs w:val="32"/>
        </w:rPr>
      </w:pPr>
    </w:p>
    <w:p w14:paraId="24F8EC3F">
      <w:pPr>
        <w:widowControl/>
        <w:spacing w:line="499" w:lineRule="atLeast"/>
        <w:ind w:firstLine="1600"/>
        <w:rPr>
          <w:rFonts w:hint="eastAsia" w:ascii="宋体" w:hAnsi="宋体" w:eastAsia="宋体" w:cs="宋体"/>
          <w:sz w:val="32"/>
          <w:szCs w:val="32"/>
        </w:rPr>
      </w:pPr>
    </w:p>
    <w:p w14:paraId="7C8BEBC0">
      <w:pPr>
        <w:widowControl/>
        <w:spacing w:line="499" w:lineRule="atLeast"/>
        <w:ind w:firstLine="1600"/>
        <w:rPr>
          <w:rFonts w:hint="eastAsia" w:ascii="宋体" w:hAnsi="宋体" w:eastAsia="宋体" w:cs="宋体"/>
          <w:sz w:val="32"/>
          <w:szCs w:val="32"/>
        </w:rPr>
      </w:pPr>
    </w:p>
    <w:p w14:paraId="1EE00DCD">
      <w:pPr>
        <w:widowControl/>
        <w:spacing w:line="499" w:lineRule="atLeast"/>
        <w:ind w:firstLine="1600"/>
        <w:rPr>
          <w:rFonts w:hint="eastAsia" w:ascii="宋体" w:hAnsi="宋体" w:eastAsia="宋体" w:cs="宋体"/>
          <w:sz w:val="32"/>
          <w:szCs w:val="32"/>
        </w:rPr>
      </w:pPr>
    </w:p>
    <w:p w14:paraId="147E3E6D">
      <w:pPr>
        <w:widowControl/>
        <w:spacing w:line="499" w:lineRule="atLeast"/>
        <w:ind w:firstLine="1600"/>
        <w:rPr>
          <w:rFonts w:hint="eastAsia" w:ascii="宋体" w:hAnsi="宋体" w:eastAsia="宋体" w:cs="宋体"/>
          <w:sz w:val="32"/>
          <w:szCs w:val="32"/>
        </w:rPr>
      </w:pPr>
    </w:p>
    <w:p w14:paraId="4A2DA3FA">
      <w:pPr>
        <w:widowControl/>
        <w:spacing w:line="499" w:lineRule="atLeast"/>
        <w:ind w:firstLine="1600"/>
        <w:rPr>
          <w:rFonts w:hint="eastAsia" w:ascii="宋体" w:hAnsi="宋体" w:eastAsia="宋体" w:cs="宋体"/>
          <w:sz w:val="32"/>
          <w:szCs w:val="32"/>
        </w:rPr>
      </w:pPr>
    </w:p>
    <w:p w14:paraId="53F8997E">
      <w:pPr>
        <w:widowControl/>
        <w:spacing w:line="499" w:lineRule="atLeast"/>
        <w:ind w:firstLine="1600"/>
        <w:rPr>
          <w:rFonts w:hint="eastAsia" w:ascii="宋体" w:hAnsi="宋体" w:eastAsia="宋体" w:cs="宋体"/>
          <w:sz w:val="32"/>
          <w:szCs w:val="32"/>
        </w:rPr>
      </w:pPr>
    </w:p>
    <w:p w14:paraId="0325514A">
      <w:pPr>
        <w:widowControl/>
        <w:spacing w:line="499" w:lineRule="atLeast"/>
        <w:ind w:firstLine="1600"/>
        <w:rPr>
          <w:rFonts w:hint="eastAsia" w:ascii="宋体" w:hAnsi="宋体" w:eastAsia="宋体" w:cs="宋体"/>
          <w:sz w:val="32"/>
          <w:szCs w:val="32"/>
        </w:rPr>
      </w:pPr>
    </w:p>
    <w:p w14:paraId="49AC478B">
      <w:pPr>
        <w:widowControl/>
        <w:spacing w:line="499" w:lineRule="atLeast"/>
        <w:ind w:firstLine="1600"/>
        <w:rPr>
          <w:rFonts w:hint="eastAsia" w:ascii="宋体" w:hAnsi="宋体" w:eastAsia="宋体" w:cs="宋体"/>
          <w:sz w:val="32"/>
          <w:szCs w:val="32"/>
        </w:rPr>
      </w:pPr>
    </w:p>
    <w:p w14:paraId="71417A29">
      <w:pPr>
        <w:widowControl/>
        <w:spacing w:line="499" w:lineRule="atLeast"/>
        <w:ind w:firstLine="1600"/>
        <w:rPr>
          <w:rFonts w:hint="eastAsia" w:ascii="宋体" w:hAnsi="宋体" w:eastAsia="宋体" w:cs="宋体"/>
          <w:sz w:val="32"/>
          <w:szCs w:val="32"/>
        </w:rPr>
      </w:pPr>
    </w:p>
    <w:p w14:paraId="77F85F7E">
      <w:pPr>
        <w:widowControl/>
        <w:spacing w:line="499" w:lineRule="atLeast"/>
        <w:ind w:firstLine="1600"/>
        <w:rPr>
          <w:rFonts w:hint="eastAsia" w:ascii="宋体" w:hAnsi="宋体" w:eastAsia="宋体" w:cs="宋体"/>
          <w:sz w:val="32"/>
          <w:szCs w:val="32"/>
        </w:rPr>
      </w:pPr>
    </w:p>
    <w:p w14:paraId="0E74547F">
      <w:pPr>
        <w:widowControl/>
        <w:spacing w:line="499" w:lineRule="atLeast"/>
        <w:ind w:firstLine="1600"/>
        <w:rPr>
          <w:rFonts w:hint="eastAsia" w:ascii="宋体" w:hAnsi="宋体" w:eastAsia="宋体" w:cs="宋体"/>
          <w:sz w:val="32"/>
          <w:szCs w:val="32"/>
        </w:rPr>
      </w:pPr>
    </w:p>
    <w:p w14:paraId="1FDA3905">
      <w:pPr>
        <w:widowControl/>
        <w:spacing w:line="499" w:lineRule="atLeast"/>
        <w:ind w:firstLine="1600"/>
        <w:rPr>
          <w:rFonts w:hint="eastAsia" w:ascii="宋体" w:hAnsi="宋体" w:eastAsia="宋体" w:cs="宋体"/>
          <w:sz w:val="32"/>
          <w:szCs w:val="32"/>
        </w:rPr>
      </w:pPr>
    </w:p>
    <w:p w14:paraId="11CA4717">
      <w:pPr>
        <w:widowControl/>
        <w:spacing w:line="499" w:lineRule="atLeast"/>
        <w:ind w:firstLine="1600"/>
        <w:rPr>
          <w:rFonts w:hint="eastAsia" w:ascii="宋体" w:hAnsi="宋体" w:eastAsia="宋体" w:cs="宋体"/>
          <w:sz w:val="32"/>
          <w:szCs w:val="32"/>
        </w:rPr>
      </w:pPr>
    </w:p>
    <w:p w14:paraId="181601C5">
      <w:pPr>
        <w:widowControl/>
        <w:spacing w:line="499" w:lineRule="atLeast"/>
        <w:ind w:firstLine="1600"/>
        <w:rPr>
          <w:rFonts w:hint="eastAsia" w:ascii="宋体" w:hAnsi="宋体" w:eastAsia="宋体" w:cs="宋体"/>
          <w:sz w:val="32"/>
          <w:szCs w:val="32"/>
        </w:rPr>
      </w:pPr>
    </w:p>
    <w:p w14:paraId="1F4E8FD3">
      <w:pPr>
        <w:widowControl/>
        <w:spacing w:line="499" w:lineRule="atLeast"/>
        <w:ind w:firstLine="1600"/>
        <w:rPr>
          <w:rFonts w:hint="eastAsia" w:ascii="宋体" w:hAnsi="宋体" w:eastAsia="宋体" w:cs="宋体"/>
          <w:sz w:val="32"/>
          <w:szCs w:val="32"/>
        </w:rPr>
      </w:pPr>
    </w:p>
    <w:p w14:paraId="23F06067">
      <w:pPr>
        <w:widowControl/>
        <w:spacing w:line="499" w:lineRule="atLeast"/>
        <w:ind w:firstLine="1600"/>
        <w:rPr>
          <w:rFonts w:hint="eastAsia" w:ascii="宋体" w:hAnsi="宋体" w:eastAsia="宋体" w:cs="宋体"/>
          <w:sz w:val="32"/>
          <w:szCs w:val="32"/>
        </w:rPr>
      </w:pPr>
    </w:p>
    <w:p w14:paraId="57AF2596">
      <w:pPr>
        <w:widowControl/>
        <w:spacing w:line="499" w:lineRule="atLeast"/>
        <w:ind w:firstLine="1600"/>
        <w:rPr>
          <w:rFonts w:hint="eastAsia" w:ascii="宋体" w:hAnsi="宋体" w:eastAsia="宋体" w:cs="宋体"/>
          <w:sz w:val="32"/>
          <w:szCs w:val="32"/>
        </w:rPr>
      </w:pPr>
    </w:p>
    <w:p w14:paraId="7541C0FC">
      <w:pPr>
        <w:widowControl/>
        <w:spacing w:line="499" w:lineRule="atLeast"/>
        <w:ind w:firstLine="1600"/>
        <w:rPr>
          <w:rFonts w:hint="eastAsia" w:ascii="宋体" w:hAnsi="宋体" w:eastAsia="宋体" w:cs="宋体"/>
          <w:sz w:val="32"/>
          <w:szCs w:val="32"/>
        </w:rPr>
      </w:pPr>
    </w:p>
    <w:p w14:paraId="7695670C">
      <w:pPr>
        <w:widowControl/>
        <w:spacing w:before="50" w:after="50"/>
        <w:rPr>
          <w:rFonts w:hint="eastAsia" w:ascii="黑体" w:hAnsi="宋体" w:eastAsia="黑体" w:cs="黑体"/>
          <w:b/>
          <w:sz w:val="32"/>
          <w:szCs w:val="32"/>
        </w:rPr>
      </w:pPr>
    </w:p>
    <w:p w14:paraId="5C9F3FF4">
      <w:pPr>
        <w:widowControl/>
        <w:spacing w:before="50" w:after="50"/>
        <w:jc w:val="center"/>
        <w:rPr>
          <w:rFonts w:hint="eastAsia" w:ascii="宋体" w:hAnsi="宋体" w:eastAsia="宋体" w:cs="宋体"/>
          <w:sz w:val="24"/>
        </w:rPr>
      </w:pPr>
      <w:r>
        <w:rPr>
          <w:rFonts w:hint="eastAsia" w:ascii="黑体" w:hAnsi="宋体" w:eastAsia="黑体" w:cs="黑体"/>
          <w:b/>
          <w:sz w:val="32"/>
          <w:szCs w:val="32"/>
        </w:rPr>
        <w:t>十</w:t>
      </w:r>
      <w:r>
        <w:rPr>
          <w:rFonts w:hint="eastAsia" w:ascii="黑体" w:hAnsi="宋体" w:eastAsia="黑体" w:cs="黑体"/>
          <w:b/>
          <w:sz w:val="32"/>
          <w:szCs w:val="32"/>
          <w:lang w:val="en-US" w:eastAsia="zh-CN"/>
        </w:rPr>
        <w:t>六</w:t>
      </w:r>
      <w:r>
        <w:rPr>
          <w:rFonts w:hint="eastAsia" w:ascii="黑体" w:hAnsi="宋体" w:eastAsia="黑体" w:cs="黑体"/>
          <w:b/>
          <w:sz w:val="32"/>
          <w:szCs w:val="32"/>
        </w:rPr>
        <w:t>、盐城市政府采购事前信用承诺书</w:t>
      </w:r>
    </w:p>
    <w:p w14:paraId="64655293">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1E1DB090">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40B5203">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15624CA">
      <w:pPr>
        <w:widowControl/>
        <w:spacing w:line="499" w:lineRule="atLeast"/>
        <w:jc w:val="left"/>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p>
    <w:p w14:paraId="10CE4236">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53CEC996">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F1873A2">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14:paraId="2818D629">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BDCA13C">
      <w:pPr>
        <w:widowControl/>
        <w:spacing w:line="499" w:lineRule="atLeast"/>
        <w:jc w:val="left"/>
        <w:rPr>
          <w:rFonts w:hint="eastAsia" w:ascii="宋体" w:hAnsi="宋体" w:eastAsia="宋体" w:cs="宋体"/>
          <w:sz w:val="24"/>
        </w:rPr>
      </w:pPr>
      <w:r>
        <w:rPr>
          <w:rFonts w:hint="eastAsia" w:ascii="宋体" w:hAnsi="宋体" w:eastAsia="宋体" w:cs="宋体"/>
          <w:sz w:val="24"/>
        </w:rPr>
        <w:t>   （八）本人已认真阅读了上述承诺，并向本单位员工作了宣传教育。</w:t>
      </w:r>
    </w:p>
    <w:p w14:paraId="3A22596F">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14:paraId="52CDBA9C">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14:paraId="397CD0DC">
      <w:pPr>
        <w:widowControl/>
        <w:spacing w:line="499" w:lineRule="atLeast"/>
        <w:jc w:val="center"/>
        <w:rPr>
          <w:rFonts w:hint="eastAsia" w:ascii="宋体" w:hAnsi="宋体" w:eastAsia="宋体" w:cs="宋体"/>
          <w:sz w:val="24"/>
        </w:rPr>
      </w:pPr>
      <w:r>
        <w:rPr>
          <w:rFonts w:hint="eastAsia" w:ascii="宋体" w:hAnsi="宋体" w:eastAsia="宋体" w:cs="宋体"/>
          <w:sz w:val="24"/>
        </w:rPr>
        <w:t>                      年月日</w:t>
      </w:r>
    </w:p>
    <w:p w14:paraId="046547C4">
      <w:pPr>
        <w:pStyle w:val="34"/>
        <w:spacing w:beforeAutospacing="0" w:afterAutospacing="0"/>
        <w:jc w:val="center"/>
      </w:pPr>
    </w:p>
    <w:p w14:paraId="3C7ED463"/>
    <w:p w14:paraId="68A6BDEB">
      <w:pPr>
        <w:pStyle w:val="34"/>
        <w:spacing w:beforeAutospacing="0" w:afterAutospacing="0"/>
        <w:jc w:val="center"/>
        <w:rPr>
          <w:rFonts w:hint="eastAsia" w:ascii="宋体" w:hAnsi="宋体" w:eastAsia="宋体" w:cs="宋体"/>
          <w:b/>
          <w:sz w:val="32"/>
          <w:szCs w:val="32"/>
        </w:rPr>
      </w:pPr>
    </w:p>
    <w:p w14:paraId="5FD0C60C">
      <w:pPr>
        <w:pStyle w:val="34"/>
        <w:spacing w:beforeAutospacing="0" w:afterAutospacing="0"/>
        <w:jc w:val="center"/>
        <w:rPr>
          <w:rFonts w:hint="eastAsia" w:ascii="宋体" w:hAnsi="宋体" w:eastAsia="宋体" w:cs="宋体"/>
          <w:b/>
          <w:sz w:val="32"/>
          <w:szCs w:val="32"/>
        </w:rPr>
      </w:pPr>
    </w:p>
    <w:p w14:paraId="674AA6DA">
      <w:pPr>
        <w:pStyle w:val="34"/>
        <w:spacing w:beforeAutospacing="0" w:afterAutospacing="0"/>
        <w:jc w:val="center"/>
        <w:rPr>
          <w:rFonts w:hint="eastAsia" w:ascii="宋体" w:hAnsi="宋体" w:eastAsia="宋体" w:cs="宋体"/>
          <w:b/>
          <w:sz w:val="32"/>
          <w:szCs w:val="32"/>
        </w:rPr>
      </w:pPr>
      <w:r>
        <w:rPr>
          <w:rFonts w:hint="eastAsia" w:ascii="宋体" w:hAnsi="宋体" w:eastAsia="宋体" w:cs="宋体"/>
          <w:b/>
          <w:sz w:val="32"/>
          <w:szCs w:val="32"/>
        </w:rPr>
        <w:t>质疑函范本</w:t>
      </w:r>
    </w:p>
    <w:p w14:paraId="35EFF9FF">
      <w:pPr>
        <w:pStyle w:val="34"/>
        <w:spacing w:before="290" w:beforeAutospacing="0" w:afterAutospacing="0" w:line="360" w:lineRule="auto"/>
        <w:jc w:val="both"/>
        <w:rPr>
          <w:rFonts w:hint="eastAsia" w:ascii="宋体" w:hAnsi="宋体" w:eastAsia="宋体" w:cs="宋体"/>
        </w:rPr>
      </w:pPr>
      <w:r>
        <w:rPr>
          <w:rFonts w:hint="eastAsia" w:ascii="宋体" w:hAnsi="宋体" w:eastAsia="宋体" w:cs="宋体"/>
        </w:rPr>
        <w:t>一、质疑供应商基本信息</w:t>
      </w:r>
    </w:p>
    <w:p w14:paraId="52568EB1">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5DACFB15">
      <w:pPr>
        <w:pStyle w:val="34"/>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50294C37">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B5DAFEC">
      <w:pPr>
        <w:pStyle w:val="34"/>
        <w:spacing w:beforeAutospacing="0" w:afterAutospacing="0" w:line="360" w:lineRule="auto"/>
        <w:jc w:val="both"/>
        <w:rPr>
          <w:rFonts w:hint="eastAsia"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432D7B0">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1D894472">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6138429">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5C1DBF5">
      <w:pPr>
        <w:pStyle w:val="34"/>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9200F49">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7DF72FB8">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二、质疑项目基本情况</w:t>
      </w:r>
    </w:p>
    <w:p w14:paraId="0EEE9BA2">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72D55E01">
      <w:pPr>
        <w:pStyle w:val="34"/>
        <w:spacing w:beforeAutospacing="0" w:afterAutospacing="0" w:line="360" w:lineRule="auto"/>
        <w:jc w:val="both"/>
        <w:rPr>
          <w:rFonts w:hint="eastAsia"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7E84497D">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4044DCD">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24298206">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磋商文件获取日期：</w:t>
      </w:r>
      <w:r>
        <w:rPr>
          <w:rFonts w:hint="eastAsia" w:ascii="宋体" w:hAnsi="宋体" w:eastAsia="宋体" w:cs="宋体"/>
          <w:u w:val="single"/>
        </w:rPr>
        <w:t xml:space="preserve">                             </w:t>
      </w:r>
    </w:p>
    <w:p w14:paraId="676DDDC5">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三、质疑事项具体内容</w:t>
      </w:r>
    </w:p>
    <w:p w14:paraId="7CE1B43E">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79CC9B04">
      <w:pPr>
        <w:pStyle w:val="34"/>
        <w:spacing w:beforeAutospacing="0" w:afterAutospacing="0" w:line="360" w:lineRule="auto"/>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3963E941">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48F845BE">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质疑事项2</w:t>
      </w:r>
    </w:p>
    <w:p w14:paraId="77986FC6">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w:t>
      </w:r>
    </w:p>
    <w:p w14:paraId="2E04F265">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四、与质疑事项相关的质疑请求</w:t>
      </w:r>
    </w:p>
    <w:p w14:paraId="0ED3E316">
      <w:pPr>
        <w:pStyle w:val="34"/>
        <w:spacing w:beforeAutospacing="0" w:afterAutospacing="0" w:line="360" w:lineRule="auto"/>
        <w:jc w:val="both"/>
        <w:rPr>
          <w:rFonts w:hint="eastAsia"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71BB8706">
      <w:pPr>
        <w:pStyle w:val="34"/>
        <w:spacing w:beforeAutospacing="0" w:afterAutospacing="0"/>
        <w:jc w:val="both"/>
        <w:rPr>
          <w:rFonts w:hint="eastAsia" w:ascii="宋体" w:hAnsi="宋体" w:eastAsia="宋体" w:cs="宋体"/>
        </w:rPr>
      </w:pPr>
      <w:r>
        <w:rPr>
          <w:rFonts w:hint="eastAsia" w:ascii="宋体" w:hAnsi="宋体" w:eastAsia="宋体" w:cs="宋体"/>
        </w:rPr>
        <w:t xml:space="preserve">签字(签章)：                 公章：               日期：    </w:t>
      </w:r>
    </w:p>
    <w:p w14:paraId="4237EEAF">
      <w:pPr>
        <w:pStyle w:val="34"/>
        <w:spacing w:beforeAutospacing="0" w:afterAutospacing="0" w:line="0" w:lineRule="atLeast"/>
        <w:jc w:val="both"/>
        <w:rPr>
          <w:rFonts w:hint="eastAsia" w:ascii="宋体" w:hAnsi="宋体" w:eastAsia="宋体" w:cs="宋体"/>
        </w:rPr>
      </w:pPr>
      <w:r>
        <w:rPr>
          <w:rFonts w:hint="eastAsia" w:ascii="宋体" w:hAnsi="宋体" w:eastAsia="宋体" w:cs="宋体"/>
          <w:b/>
        </w:rPr>
        <w:t>质疑函制作说明：</w:t>
      </w:r>
    </w:p>
    <w:p w14:paraId="76CC9300">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1.供应商提出质疑时，应提交质疑函和必要的证明材料。</w:t>
      </w:r>
    </w:p>
    <w:p w14:paraId="213068A1">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92AA541">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14:paraId="5412945D">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14:paraId="67D2A73F">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5.质疑函的质疑请求应与质疑事项相关。</w:t>
      </w:r>
    </w:p>
    <w:p w14:paraId="17671892">
      <w:pPr>
        <w:pStyle w:val="34"/>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6926561A">
      <w:pPr>
        <w:pStyle w:val="34"/>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7EC22511"/>
    <w:p w14:paraId="79150684">
      <w:pPr>
        <w:pStyle w:val="34"/>
        <w:spacing w:beforeAutospacing="0" w:afterAutospacing="0"/>
        <w:ind w:firstLine="420"/>
        <w:jc w:val="both"/>
      </w:pPr>
      <w:r>
        <w:t> </w:t>
      </w:r>
      <w:bookmarkEnd w:id="6"/>
      <w:bookmarkEnd w:id="41"/>
      <w:bookmarkEnd w:id="88"/>
      <w:bookmarkEnd w:id="89"/>
      <w:bookmarkEnd w:id="90"/>
      <w:bookmarkEnd w:id="91"/>
      <w:bookmarkEnd w:id="92"/>
      <w:bookmarkEnd w:id="93"/>
      <w:bookmarkEnd w:id="94"/>
      <w:bookmarkEnd w:id="95"/>
      <w:bookmarkEnd w:id="104"/>
      <w:bookmarkEnd w:id="105"/>
      <w:bookmarkEnd w:id="112"/>
      <w:bookmarkEnd w:id="158"/>
      <w:bookmarkEnd w:id="159"/>
      <w:bookmarkEnd w:id="165"/>
      <w:bookmarkEnd w:id="166"/>
      <w:bookmarkEnd w:id="167"/>
      <w:bookmarkEnd w:id="168"/>
      <w:bookmarkEnd w:id="169"/>
      <w:bookmarkEnd w:id="170"/>
      <w:bookmarkEnd w:id="171"/>
      <w:bookmarkEnd w:id="172"/>
      <w:bookmarkEnd w:id="173"/>
      <w:bookmarkEnd w:id="174"/>
      <w:bookmarkEnd w:id="175"/>
      <w:bookmarkEnd w:id="176"/>
      <w:bookmarkEnd w:id="177"/>
    </w:p>
    <w:p w14:paraId="36A7F435"/>
    <w:sectPr>
      <w:footerReference r:id="rId3"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574A61C-E2AD-4F29-A9DD-C223AA735AA2}"/>
  </w:font>
  <w:font w:name="黑体">
    <w:panose1 w:val="02010609060101010101"/>
    <w:charset w:val="86"/>
    <w:family w:val="auto"/>
    <w:pitch w:val="default"/>
    <w:sig w:usb0="800002BF" w:usb1="38CF7CFA" w:usb2="00000016" w:usb3="00000000" w:csb0="00040001" w:csb1="00000000"/>
    <w:embedRegular r:id="rId2" w:fontKey="{F7386AF1-1B1B-4EF4-9F7C-450E19A7E8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3F8DAC8-EA16-4B2A-AC45-DE2EA1C27982}"/>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embedRegular r:id="rId4" w:fontKey="{A243AD97-5773-47D3-ACB5-7E46FAB8C8D9}"/>
  </w:font>
  <w:font w:name="仿宋">
    <w:panose1 w:val="02010609060101010101"/>
    <w:charset w:val="86"/>
    <w:family w:val="modern"/>
    <w:pitch w:val="default"/>
    <w:sig w:usb0="800002BF" w:usb1="38CF7CFA" w:usb2="00000016" w:usb3="00000000" w:csb0="00040001" w:csb1="00000000"/>
    <w:embedRegular r:id="rId5" w:fontKey="{335CB12F-F653-425B-B2C0-6B74308535D6}"/>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embedRegular r:id="rId6" w:fontKey="{E6DFD605-CDA0-4CDD-8739-82D02577FB4A}"/>
  </w:font>
  <w:font w:name="KSOF7FC4CF2A">
    <w:panose1 w:val="020B0604020202020204"/>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F4BCC">
    <w:pPr>
      <w:pStyle w:val="2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0B25483">
                          <w:pPr>
                            <w:pStyle w:val="213"/>
                            <w:tabs>
                              <w:tab w:val="clear" w:pos="4153"/>
                              <w:tab w:val="clear" w:pos="8306"/>
                            </w:tabs>
                          </w:pPr>
                          <w:r>
                            <w:fldChar w:fldCharType="begin"/>
                          </w:r>
                          <w:r>
                            <w:instrText xml:space="preserve"> PAGE  \* MERGEFORMAT </w:instrText>
                          </w:r>
                          <w:r>
                            <w:fldChar w:fldCharType="separate"/>
                          </w:r>
                          <w:r>
                            <w:t>77</w:t>
                          </w:r>
                          <w:r>
                            <w:fldChar w:fldCharType="end"/>
                          </w:r>
                        </w:p>
                        <w:p w14:paraId="6460F443"/>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AX2E7dYBAAC1AwAADgAAAAAAAAABACAAAAAe&#10;AQAAZHJzL2Uyb0RvYy54bWxQSwUGAAAAAAYABgBZAQAAZgUAAAAA&#10;">
              <v:fill on="f" focussize="0,0"/>
              <v:stroke on="f"/>
              <v:imagedata o:title=""/>
              <o:lock v:ext="edit" aspectratio="f"/>
              <v:textbox inset="0mm,0mm,0mm,0mm" style="mso-fit-shape-to-text:t;">
                <w:txbxContent>
                  <w:p w14:paraId="50B25483">
                    <w:pPr>
                      <w:pStyle w:val="213"/>
                      <w:tabs>
                        <w:tab w:val="clear" w:pos="4153"/>
                        <w:tab w:val="clear" w:pos="8306"/>
                      </w:tabs>
                    </w:pPr>
                    <w:r>
                      <w:fldChar w:fldCharType="begin"/>
                    </w:r>
                    <w:r>
                      <w:instrText xml:space="preserve"> PAGE  \* MERGEFORMAT </w:instrText>
                    </w:r>
                    <w:r>
                      <w:fldChar w:fldCharType="separate"/>
                    </w:r>
                    <w:r>
                      <w:t>77</w:t>
                    </w:r>
                    <w:r>
                      <w:fldChar w:fldCharType="end"/>
                    </w:r>
                  </w:p>
                  <w:p w14:paraId="6460F443"/>
                </w:txbxContent>
              </v:textbox>
            </v:shape>
          </w:pict>
        </mc:Fallback>
      </mc:AlternateContent>
    </w:r>
  </w:p>
  <w:p w14:paraId="12ABB6B7"/>
  <w:p w14:paraId="608D49A5">
    <w:pPr>
      <w:pStyle w:val="2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1C2EF1"/>
    <w:multiLevelType w:val="singleLevel"/>
    <w:tmpl w:val="F61C2EF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4AE"/>
    <w:rsid w:val="002534AE"/>
    <w:rsid w:val="00267284"/>
    <w:rsid w:val="002E47F4"/>
    <w:rsid w:val="00422765"/>
    <w:rsid w:val="007908E9"/>
    <w:rsid w:val="00A60E97"/>
    <w:rsid w:val="00A756EA"/>
    <w:rsid w:val="00B7140B"/>
    <w:rsid w:val="00C06EBA"/>
    <w:rsid w:val="00CA37BF"/>
    <w:rsid w:val="00CB3141"/>
    <w:rsid w:val="0F921C55"/>
    <w:rsid w:val="183459BE"/>
    <w:rsid w:val="1F8F73DD"/>
    <w:rsid w:val="21C66054"/>
    <w:rsid w:val="252909C8"/>
    <w:rsid w:val="25AC730F"/>
    <w:rsid w:val="25D06CC9"/>
    <w:rsid w:val="28A041E9"/>
    <w:rsid w:val="35AD3FA9"/>
    <w:rsid w:val="35D95EFE"/>
    <w:rsid w:val="35EF127D"/>
    <w:rsid w:val="38D006B5"/>
    <w:rsid w:val="3A1B5FAC"/>
    <w:rsid w:val="435025F4"/>
    <w:rsid w:val="518B12BD"/>
    <w:rsid w:val="536A38C1"/>
    <w:rsid w:val="551C08F6"/>
    <w:rsid w:val="56233CD4"/>
    <w:rsid w:val="566C201F"/>
    <w:rsid w:val="5676616B"/>
    <w:rsid w:val="58B008E9"/>
    <w:rsid w:val="5F726331"/>
    <w:rsid w:val="5F8B0E8C"/>
    <w:rsid w:val="60BB1AC0"/>
    <w:rsid w:val="638B691D"/>
    <w:rsid w:val="66D93700"/>
    <w:rsid w:val="6AB93E8C"/>
    <w:rsid w:val="6D1F1A0D"/>
    <w:rsid w:val="6F536BC7"/>
    <w:rsid w:val="7CF8073D"/>
    <w:rsid w:val="7F590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202"/>
    <w:qFormat/>
    <w:uiPriority w:val="0"/>
    <w:pPr>
      <w:spacing w:beforeAutospacing="1" w:afterAutospacing="1"/>
      <w:jc w:val="center"/>
      <w:outlineLvl w:val="0"/>
    </w:pPr>
    <w:rPr>
      <w:rFonts w:ascii="宋体" w:hAnsi="宋体" w:eastAsia="宋体" w:cs="Times New Roman"/>
      <w:b/>
      <w:bCs/>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te Heading"/>
    <w:basedOn w:val="1"/>
    <w:next w:val="1"/>
    <w:qFormat/>
    <w:uiPriority w:val="0"/>
    <w:rPr>
      <w:rFonts w:ascii="Verdana" w:hAnsi="Verdana"/>
      <w:szCs w:val="20"/>
    </w:r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0"/>
    <w:pPr>
      <w:spacing w:after="120"/>
    </w:pPr>
  </w:style>
  <w:style w:type="paragraph" w:styleId="17">
    <w:name w:val="Body Text Indent"/>
    <w:basedOn w:val="1"/>
    <w:next w:val="1"/>
    <w:qFormat/>
    <w:uiPriority w:val="0"/>
    <w:pPr>
      <w:spacing w:line="360" w:lineRule="auto"/>
      <w:ind w:firstLine="600"/>
    </w:pPr>
    <w:rPr>
      <w:rFonts w:ascii="仿宋_GB2312" w:eastAsia="仿宋_GB2312"/>
      <w:sz w:val="30"/>
    </w:rPr>
  </w:style>
  <w:style w:type="paragraph" w:styleId="18">
    <w:name w:val="Block Text"/>
    <w:basedOn w:val="1"/>
    <w:qFormat/>
    <w:uiPriority w:val="0"/>
    <w:pPr>
      <w:spacing w:line="360" w:lineRule="auto"/>
      <w:ind w:left="630" w:right="-609" w:firstLine="420"/>
    </w:pPr>
    <w:rPr>
      <w:rFonts w:hint="eastAsia" w:ascii="仿宋_GB2312" w:eastAsia="仿宋_GB231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2"/>
    <w:semiHidden/>
    <w:unhideWhenUsed/>
    <w:qFormat/>
    <w:uiPriority w:val="99"/>
    <w:rPr>
      <w:sz w:val="20"/>
    </w:rPr>
  </w:style>
  <w:style w:type="paragraph" w:styleId="23">
    <w:name w:val="footer"/>
    <w:basedOn w:val="1"/>
    <w:link w:val="195"/>
    <w:qFormat/>
    <w:uiPriority w:val="0"/>
    <w:pPr>
      <w:tabs>
        <w:tab w:val="center" w:pos="4153"/>
        <w:tab w:val="right" w:pos="8306"/>
      </w:tabs>
      <w:jc w:val="left"/>
    </w:pPr>
    <w:rPr>
      <w:sz w:val="18"/>
      <w:szCs w:val="18"/>
    </w:rPr>
  </w:style>
  <w:style w:type="paragraph" w:styleId="24">
    <w:name w:val="envelope return"/>
    <w:basedOn w:val="1"/>
    <w:qFormat/>
    <w:uiPriority w:val="0"/>
    <w:rPr>
      <w:rFonts w:ascii="Arial" w:hAnsi="Arial"/>
    </w:rPr>
  </w:style>
  <w:style w:type="paragraph" w:styleId="25">
    <w:name w:val="header"/>
    <w:basedOn w:val="1"/>
    <w:link w:val="194"/>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8"/>
    <w:qFormat/>
    <w:uiPriority w:val="11"/>
    <w:pPr>
      <w:spacing w:before="200" w:after="200"/>
    </w:pPr>
    <w:rPr>
      <w:sz w:val="24"/>
    </w:rPr>
  </w:style>
  <w:style w:type="paragraph" w:styleId="29">
    <w:name w:val="footnote text"/>
    <w:basedOn w:val="1"/>
    <w:link w:val="19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1"/>
    <w:qFormat/>
    <w:uiPriority w:val="0"/>
    <w:pPr>
      <w:ind w:firstLine="420"/>
    </w:pPr>
    <w:rPr>
      <w:sz w:val="24"/>
    </w:rPr>
  </w:style>
  <w:style w:type="paragraph" w:styleId="37">
    <w:name w:val="Body Text First Indent 2"/>
    <w:basedOn w:val="17"/>
    <w:next w:val="1"/>
    <w:qFormat/>
    <w:uiPriority w:val="0"/>
    <w:pPr>
      <w:spacing w:before="50" w:after="120"/>
      <w:ind w:left="420" w:firstLine="420"/>
    </w:pPr>
    <w:rPr>
      <w:rFonts w:ascii="Calibri" w:eastAsia="宋体"/>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footnote reference"/>
    <w:basedOn w:val="40"/>
    <w:unhideWhenUsed/>
    <w:qFormat/>
    <w:uiPriority w:val="99"/>
    <w:rPr>
      <w:vertAlign w:val="superscript"/>
    </w:rPr>
  </w:style>
  <w:style w:type="paragraph" w:customStyle="1" w:styleId="45">
    <w:name w:val="Default"/>
    <w:basedOn w:val="1"/>
    <w:semiHidden/>
    <w:qFormat/>
    <w:uiPriority w:val="0"/>
    <w:pPr>
      <w:jc w:val="left"/>
    </w:pPr>
    <w:rPr>
      <w:rFonts w:ascii="宋体" w:hAnsi="Calibri" w:cs="宋体"/>
      <w:color w:val="000000"/>
      <w:sz w:val="24"/>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标题 3 字符"/>
    <w:basedOn w:val="40"/>
    <w:link w:val="4"/>
    <w:qFormat/>
    <w:uiPriority w:val="9"/>
    <w:rPr>
      <w:rFonts w:ascii="Arial" w:hAnsi="Arial" w:eastAsia="Arial" w:cs="Arial"/>
      <w:sz w:val="30"/>
      <w:szCs w:val="30"/>
    </w:rPr>
  </w:style>
  <w:style w:type="character" w:customStyle="1" w:styleId="49">
    <w:name w:val="标题 4 字符"/>
    <w:basedOn w:val="40"/>
    <w:link w:val="5"/>
    <w:qFormat/>
    <w:uiPriority w:val="9"/>
    <w:rPr>
      <w:rFonts w:ascii="Arial" w:hAnsi="Arial" w:eastAsia="Arial" w:cs="Arial"/>
      <w:b/>
      <w:bCs/>
      <w:sz w:val="26"/>
      <w:szCs w:val="26"/>
    </w:rPr>
  </w:style>
  <w:style w:type="character" w:customStyle="1" w:styleId="50">
    <w:name w:val="标题 5 字符"/>
    <w:basedOn w:val="40"/>
    <w:link w:val="6"/>
    <w:qFormat/>
    <w:uiPriority w:val="9"/>
    <w:rPr>
      <w:rFonts w:ascii="Arial" w:hAnsi="Arial" w:eastAsia="Arial" w:cs="Arial"/>
      <w:b/>
      <w:bCs/>
      <w:sz w:val="24"/>
      <w:szCs w:val="24"/>
    </w:rPr>
  </w:style>
  <w:style w:type="character" w:customStyle="1" w:styleId="51">
    <w:name w:val="标题 6 字符"/>
    <w:basedOn w:val="40"/>
    <w:link w:val="7"/>
    <w:qFormat/>
    <w:uiPriority w:val="9"/>
    <w:rPr>
      <w:rFonts w:ascii="Arial" w:hAnsi="Arial" w:eastAsia="Arial" w:cs="Arial"/>
      <w:b/>
      <w:bCs/>
      <w:sz w:val="22"/>
      <w:szCs w:val="22"/>
    </w:rPr>
  </w:style>
  <w:style w:type="character" w:customStyle="1" w:styleId="52">
    <w:name w:val="标题 7 字符"/>
    <w:basedOn w:val="40"/>
    <w:link w:val="8"/>
    <w:qFormat/>
    <w:uiPriority w:val="9"/>
    <w:rPr>
      <w:rFonts w:ascii="Arial" w:hAnsi="Arial" w:eastAsia="Arial" w:cs="Arial"/>
      <w:b/>
      <w:bCs/>
      <w:i/>
      <w:iCs/>
      <w:sz w:val="22"/>
      <w:szCs w:val="22"/>
    </w:rPr>
  </w:style>
  <w:style w:type="character" w:customStyle="1" w:styleId="53">
    <w:name w:val="标题 8 字符"/>
    <w:basedOn w:val="40"/>
    <w:link w:val="9"/>
    <w:qFormat/>
    <w:uiPriority w:val="9"/>
    <w:rPr>
      <w:rFonts w:ascii="Arial" w:hAnsi="Arial" w:eastAsia="Arial" w:cs="Arial"/>
      <w:i/>
      <w:iCs/>
      <w:sz w:val="22"/>
      <w:szCs w:val="22"/>
    </w:rPr>
  </w:style>
  <w:style w:type="character" w:customStyle="1" w:styleId="54">
    <w:name w:val="标题 9 字符"/>
    <w:basedOn w:val="40"/>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字符"/>
    <w:basedOn w:val="40"/>
    <w:link w:val="35"/>
    <w:qFormat/>
    <w:uiPriority w:val="10"/>
    <w:rPr>
      <w:sz w:val="48"/>
      <w:szCs w:val="48"/>
    </w:rPr>
  </w:style>
  <w:style w:type="character" w:customStyle="1" w:styleId="58">
    <w:name w:val="副标题 字符"/>
    <w:basedOn w:val="40"/>
    <w:link w:val="28"/>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Header Char"/>
    <w:basedOn w:val="40"/>
    <w:qFormat/>
    <w:uiPriority w:val="99"/>
  </w:style>
  <w:style w:type="character" w:customStyle="1" w:styleId="64">
    <w:name w:val="Footer Char"/>
    <w:basedOn w:val="40"/>
    <w:qFormat/>
    <w:uiPriority w:val="99"/>
  </w:style>
  <w:style w:type="character" w:customStyle="1" w:styleId="65">
    <w:name w:val="Caption Char"/>
    <w:qFormat/>
    <w:uiPriority w:val="99"/>
  </w:style>
  <w:style w:type="table" w:customStyle="1" w:styleId="66">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7">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1">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清单表 1 浅色1"/>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清单表 6 彩色1"/>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3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清单表 7 彩色1"/>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3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脚注文本 字符"/>
    <w:link w:val="29"/>
    <w:qFormat/>
    <w:uiPriority w:val="99"/>
    <w:rPr>
      <w:sz w:val="18"/>
    </w:rPr>
  </w:style>
  <w:style w:type="character" w:customStyle="1" w:styleId="192">
    <w:name w:val="尾注文本 字符"/>
    <w:link w:val="22"/>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character" w:customStyle="1" w:styleId="194">
    <w:name w:val="页眉 字符"/>
    <w:basedOn w:val="40"/>
    <w:link w:val="25"/>
    <w:qFormat/>
    <w:uiPriority w:val="0"/>
    <w:rPr>
      <w:rFonts w:asciiTheme="minorHAnsi" w:hAnsiTheme="minorHAnsi" w:eastAsiaTheme="minorEastAsia" w:cstheme="minorBidi"/>
      <w:sz w:val="18"/>
      <w:szCs w:val="18"/>
    </w:rPr>
  </w:style>
  <w:style w:type="character" w:customStyle="1" w:styleId="195">
    <w:name w:val="页脚 字符"/>
    <w:basedOn w:val="40"/>
    <w:link w:val="23"/>
    <w:qFormat/>
    <w:uiPriority w:val="0"/>
    <w:rPr>
      <w:rFonts w:asciiTheme="minorHAnsi" w:hAnsiTheme="minorHAnsi" w:eastAsiaTheme="minorEastAsia" w:cstheme="minorBidi"/>
      <w:sz w:val="18"/>
      <w:szCs w:val="18"/>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7">
    <w:name w:val="正文首行缩进 21"/>
    <w:basedOn w:val="198"/>
    <w:qFormat/>
    <w:uiPriority w:val="0"/>
    <w:pPr>
      <w:ind w:firstLine="420"/>
    </w:pPr>
  </w:style>
  <w:style w:type="paragraph" w:customStyle="1" w:styleId="198">
    <w:name w:val="正文文本缩进1"/>
    <w:basedOn w:val="1"/>
    <w:qFormat/>
    <w:uiPriority w:val="0"/>
    <w:pPr>
      <w:spacing w:after="120"/>
      <w:ind w:left="420"/>
    </w:pPr>
  </w:style>
  <w:style w:type="paragraph" w:customStyle="1" w:styleId="199">
    <w:name w:val="段"/>
    <w:next w:val="200"/>
    <w:qFormat/>
    <w:uiPriority w:val="99"/>
    <w:pPr>
      <w:widowControl w:val="0"/>
      <w:ind w:firstLine="200"/>
      <w:jc w:val="both"/>
    </w:pPr>
    <w:rPr>
      <w:rFonts w:ascii="宋体" w:hAnsi="宋体" w:eastAsia="宋体" w:cs="宋体"/>
      <w:color w:val="000000"/>
      <w:sz w:val="21"/>
      <w:szCs w:val="21"/>
      <w:lang w:val="en-US" w:eastAsia="zh-CN" w:bidi="ar-SA"/>
    </w:rPr>
  </w:style>
  <w:style w:type="paragraph" w:customStyle="1" w:styleId="200">
    <w:name w:val="正文 A"/>
    <w:next w:val="199"/>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sz w:val="21"/>
      <w:szCs w:val="21"/>
      <w:lang w:val="en-US" w:eastAsia="zh-CN" w:bidi="ar-SA"/>
    </w:rPr>
  </w:style>
  <w:style w:type="character" w:customStyle="1" w:styleId="201">
    <w:name w:val="NormalCharacter"/>
    <w:semiHidden/>
    <w:qFormat/>
    <w:uiPriority w:val="0"/>
  </w:style>
  <w:style w:type="character" w:customStyle="1" w:styleId="202">
    <w:name w:val="标题 1 字符"/>
    <w:link w:val="2"/>
    <w:qFormat/>
    <w:uiPriority w:val="0"/>
    <w:rPr>
      <w:rFonts w:ascii="宋体" w:hAnsi="宋体" w:eastAsia="宋体" w:cs="宋体"/>
      <w:b/>
      <w:bCs/>
      <w:sz w:val="48"/>
      <w:szCs w:val="48"/>
      <w:lang w:bidi="ar"/>
    </w:rPr>
  </w:style>
  <w:style w:type="paragraph" w:customStyle="1" w:styleId="203">
    <w:name w:val="标题 111"/>
    <w:basedOn w:val="1"/>
    <w:next w:val="1"/>
    <w:qFormat/>
    <w:uiPriority w:val="0"/>
    <w:pPr>
      <w:keepNext/>
      <w:keepLines/>
      <w:spacing w:before="340" w:after="330" w:line="576" w:lineRule="auto"/>
      <w:outlineLvl w:val="0"/>
    </w:pPr>
    <w:rPr>
      <w:b/>
      <w:bCs/>
      <w:sz w:val="44"/>
      <w:szCs w:val="44"/>
    </w:rPr>
  </w:style>
  <w:style w:type="paragraph" w:customStyle="1" w:styleId="204">
    <w:name w:val="_Style 111"/>
    <w:basedOn w:val="203"/>
    <w:next w:val="1"/>
    <w:qFormat/>
    <w:uiPriority w:val="0"/>
    <w:pPr>
      <w:spacing w:line="578" w:lineRule="auto"/>
      <w:outlineLvl w:val="9"/>
    </w:pPr>
  </w:style>
  <w:style w:type="paragraph" w:customStyle="1" w:styleId="205">
    <w:name w:val="正文文本1"/>
    <w:basedOn w:val="1"/>
    <w:qFormat/>
    <w:uiPriority w:val="0"/>
    <w:rPr>
      <w:rFonts w:ascii="楷体_GB2312" w:hAnsi="Arial" w:eastAsia="楷体_GB2312"/>
      <w:sz w:val="28"/>
      <w:szCs w:val="20"/>
    </w:rPr>
  </w:style>
  <w:style w:type="paragraph" w:customStyle="1" w:styleId="206">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207">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208">
    <w:name w:val="正文文本缩进11"/>
    <w:basedOn w:val="1"/>
    <w:next w:val="209"/>
    <w:qFormat/>
    <w:uiPriority w:val="0"/>
    <w:pPr>
      <w:spacing w:before="240" w:line="360" w:lineRule="auto"/>
      <w:ind w:firstLine="552"/>
    </w:pPr>
    <w:rPr>
      <w:rFonts w:ascii="宋体" w:hAnsi="宋体"/>
      <w:szCs w:val="20"/>
    </w:rPr>
  </w:style>
  <w:style w:type="paragraph" w:customStyle="1" w:styleId="209">
    <w:name w:val="寄信人地址11"/>
    <w:basedOn w:val="1"/>
    <w:qFormat/>
    <w:uiPriority w:val="0"/>
    <w:pPr>
      <w:widowControl/>
      <w:jc w:val="left"/>
    </w:pPr>
    <w:rPr>
      <w:rFonts w:ascii="@宋体" w:hAnsi="@宋体" w:eastAsia="等线"/>
      <w:sz w:val="22"/>
      <w:szCs w:val="20"/>
    </w:rPr>
  </w:style>
  <w:style w:type="paragraph" w:customStyle="1" w:styleId="210">
    <w:name w:val="标题 51"/>
    <w:basedOn w:val="1"/>
    <w:next w:val="1"/>
    <w:qFormat/>
    <w:uiPriority w:val="0"/>
    <w:pPr>
      <w:keepNext/>
      <w:keepLines/>
      <w:spacing w:before="280" w:after="290" w:line="372" w:lineRule="auto"/>
      <w:outlineLvl w:val="4"/>
    </w:pPr>
    <w:rPr>
      <w:rFonts w:ascii="Calibri" w:hAnsi="Calibri"/>
      <w:b/>
      <w:bCs/>
      <w:sz w:val="28"/>
      <w:szCs w:val="28"/>
    </w:rPr>
  </w:style>
  <w:style w:type="paragraph" w:customStyle="1" w:styleId="211">
    <w:name w:val="Blockquote"/>
    <w:basedOn w:val="1"/>
    <w:qFormat/>
    <w:uiPriority w:val="0"/>
    <w:pPr>
      <w:spacing w:before="100" w:after="100"/>
      <w:ind w:left="360" w:right="360"/>
      <w:jc w:val="left"/>
    </w:pPr>
    <w:rPr>
      <w:sz w:val="24"/>
      <w:szCs w:val="20"/>
    </w:rPr>
  </w:style>
  <w:style w:type="paragraph" w:customStyle="1" w:styleId="212">
    <w:name w:val="正文文本缩进 21"/>
    <w:basedOn w:val="1"/>
    <w:qFormat/>
    <w:uiPriority w:val="0"/>
    <w:pPr>
      <w:spacing w:after="120" w:line="480" w:lineRule="auto"/>
      <w:ind w:left="420"/>
    </w:pPr>
    <w:rPr>
      <w:rFonts w:ascii="Calibri" w:hAnsi="Calibri"/>
    </w:rPr>
  </w:style>
  <w:style w:type="paragraph" w:customStyle="1" w:styleId="213">
    <w:name w:val="页脚11"/>
    <w:basedOn w:val="1"/>
    <w:qFormat/>
    <w:uiPriority w:val="99"/>
    <w:pPr>
      <w:tabs>
        <w:tab w:val="center" w:pos="4153"/>
        <w:tab w:val="right" w:pos="8306"/>
      </w:tabs>
      <w:jc w:val="left"/>
    </w:pPr>
    <w:rPr>
      <w:sz w:val="18"/>
    </w:rPr>
  </w:style>
  <w:style w:type="paragraph" w:customStyle="1" w:styleId="214">
    <w:name w:val="正文首行缩进11"/>
    <w:basedOn w:val="215"/>
    <w:next w:val="1"/>
    <w:qFormat/>
    <w:uiPriority w:val="0"/>
    <w:pPr>
      <w:spacing w:line="360" w:lineRule="auto"/>
      <w:ind w:firstLine="200"/>
    </w:pPr>
    <w:rPr>
      <w:rFonts w:ascii="仿宋_GB2312" w:eastAsia="仿宋_GB2312"/>
      <w:sz w:val="30"/>
      <w:szCs w:val="30"/>
    </w:rPr>
  </w:style>
  <w:style w:type="paragraph" w:customStyle="1" w:styleId="215">
    <w:name w:val="正文文本113"/>
    <w:basedOn w:val="1"/>
    <w:next w:val="216"/>
    <w:qFormat/>
    <w:uiPriority w:val="0"/>
    <w:pPr>
      <w:spacing w:after="120"/>
    </w:pPr>
    <w:rPr>
      <w:sz w:val="28"/>
    </w:rPr>
  </w:style>
  <w:style w:type="paragraph" w:customStyle="1" w:styleId="216">
    <w:name w:val="一级条标题"/>
    <w:basedOn w:val="217"/>
    <w:next w:val="19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18">
    <w:name w:val="列出段落"/>
    <w:basedOn w:val="1"/>
    <w:qFormat/>
    <w:uiPriority w:val="0"/>
    <w:pPr>
      <w:ind w:firstLine="42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50</Pages>
  <Words>1058</Words>
  <Characters>1152</Characters>
  <Lines>690</Lines>
  <Paragraphs>711</Paragraphs>
  <TotalTime>81</TotalTime>
  <ScaleCrop>false</ScaleCrop>
  <LinksUpToDate>false</LinksUpToDate>
  <CharactersWithSpaces>1223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传祺装饰.吴昌平</cp:lastModifiedBy>
  <cp:lastPrinted>2026-09-07T07:01:00Z</cp:lastPrinted>
  <dcterms:modified xsi:type="dcterms:W3CDTF">2026-09-23T08:08:30Z</dcterms:modified>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AF4A05F9788F4B5989971760B2CCE97E_13</vt:lpwstr>
  </property>
  <property fmtid="{D5CDD505-2E9C-101B-9397-08002B2CF9AE}" pid="4" name="KSOTemplateDocerSaveRecord">
    <vt:lpwstr>eyJoZGlkIjoiYWMwZmEzOWZjMTYwZGQwZjI4YmY4ZGE1ZGI5NjA2ZTkiLCJ1c2VySWQiOiIzMDk2MTIwOTEifQ==</vt:lpwstr>
  </property>
</Properties>
</file>