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2"/>
        <w:ind w:firstLine="0"/>
        <w:tabs>
          <w:tab w:val="left" w:pos="7642"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 </w:t>
      </w:r>
      <w:r>
        <w:rPr>
          <w:rFonts w:hint="eastAsia" w:ascii="宋体" w:hAnsi="宋体" w:cs="宋体"/>
          <w:b/>
          <w:color w:val="auto"/>
          <w:sz w:val="52"/>
          <w:szCs w:val="52"/>
          <w:highlight w:val="none"/>
        </w:rPr>
        <w:tab/>
      </w:r>
      <w:r/>
    </w:p>
    <w:p>
      <w:pPr>
        <w:pStyle w:val="1062"/>
        <w:ind w:firstLine="0"/>
        <w:jc w:val="center"/>
        <w:rPr>
          <w:rFonts w:ascii="宋体" w:hAnsi="宋体" w:cs="宋体"/>
          <w:b/>
          <w:color w:val="auto"/>
          <w:sz w:val="52"/>
          <w:szCs w:val="52"/>
          <w:highlight w:val="none"/>
        </w:rPr>
      </w:pPr>
      <w:r>
        <w:rPr>
          <w:rFonts w:ascii="宋体" w:hAnsi="宋体" w:cs="宋体"/>
          <w:b/>
          <w:color w:val="auto"/>
          <w:sz w:val="52"/>
          <w:szCs w:val="52"/>
          <w:highlight w:val="none"/>
        </w:rPr>
      </w:r>
      <w:r/>
    </w:p>
    <w:p>
      <w:pPr>
        <w:pStyle w:val="1062"/>
        <w:ind w:firstLine="0"/>
        <w:jc w:val="center"/>
        <w:rPr>
          <w:rFonts w:hint="eastAsia" w:ascii="宋体" w:hAnsi="宋体" w:cs="宋体" w:eastAsiaTheme="minorEastAsia"/>
          <w:b/>
          <w:bCs/>
          <w:color w:val="auto"/>
          <w:sz w:val="84"/>
          <w:highlight w:val="none"/>
          <w:lang w:val="en-US" w:eastAsia="zh-CN"/>
        </w:rPr>
      </w:pPr>
      <w:r>
        <w:rPr>
          <w:rFonts w:hint="eastAsia" w:ascii="宋体" w:hAnsi="宋体" w:cs="宋体"/>
          <w:b/>
          <w:bCs/>
          <w:color w:val="auto"/>
          <w:sz w:val="84"/>
          <w:highlight w:val="none"/>
        </w:rPr>
        <w:t xml:space="preserve"> 竞争性磋商文件</w:t>
      </w:r>
      <w:r/>
    </w:p>
    <w:p>
      <w:pPr>
        <w:pStyle w:val="1062"/>
        <w:ind w:firstLine="0"/>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62"/>
        <w:ind w:firstLine="0"/>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62"/>
        <w:ind w:firstLine="0"/>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062"/>
        <w:ind w:firstLine="0"/>
        <w:jc w:val="center"/>
        <w:rPr>
          <w:rFonts w:hint="eastAsia" w:ascii="宋体" w:hAnsi="宋体" w:cs="宋体" w:eastAsiaTheme="minorEastAsia"/>
          <w:b/>
          <w:bCs/>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b/>
          <w:bCs/>
          <w:color w:val="auto"/>
          <w:sz w:val="32"/>
          <w:highlight w:val="none"/>
          <w:lang w:eastAsia="zh-CN"/>
        </w:rPr>
        <w:t xml:space="preserve">阜宁革命烈士纪念馆重新布展项目</w:t>
      </w:r>
      <w:r/>
    </w:p>
    <w:p>
      <w:pPr>
        <w:pStyle w:val="1062"/>
        <w:ind w:firstLine="0"/>
        <w:jc w:val="center"/>
        <w:rPr>
          <w:rFonts w:hint="eastAsia" w:ascii="宋体" w:hAnsi="宋体" w:cs="宋体" w:eastAsiaTheme="minorEastAsia"/>
          <w:b/>
          <w:bCs/>
          <w:color w:val="auto"/>
          <w:sz w:val="32"/>
          <w:highlight w:val="none"/>
          <w:lang w:eastAsia="zh-CN"/>
        </w:rPr>
      </w:pPr>
      <w:r>
        <w:rPr>
          <w:rFonts w:hint="eastAsia" w:ascii="宋体" w:hAnsi="宋体" w:cs="宋体"/>
          <w:b/>
          <w:bCs/>
          <w:color w:val="auto"/>
          <w:sz w:val="32"/>
          <w:highlight w:val="none"/>
        </w:rPr>
        <w:t xml:space="preserve">项目编号：</w:t>
      </w:r>
      <w:r>
        <w:rPr>
          <w:rFonts w:hint="eastAsia" w:ascii="宋体" w:hAnsi="宋体" w:cs="宋体"/>
          <w:b/>
          <w:bCs/>
          <w:color w:val="auto"/>
          <w:sz w:val="32"/>
          <w:highlight w:val="none"/>
          <w:lang w:eastAsia="zh-CN"/>
        </w:rPr>
        <w:t xml:space="preserve">JSZC-320923-ZGGC-C2026-0007</w:t>
      </w:r>
      <w:r/>
    </w:p>
    <w:p>
      <w:pPr>
        <w:pStyle w:val="1062"/>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062"/>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062"/>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062"/>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062"/>
        <w:ind w:firstLine="0"/>
        <w:jc w:val="center"/>
        <w:rPr>
          <w:rFonts w:ascii="宋体" w:hAnsi="宋体" w:cs="宋体"/>
          <w:b/>
          <w:bCs/>
          <w:color w:val="auto"/>
          <w:sz w:val="32"/>
          <w:highlight w:val="none"/>
        </w:rPr>
      </w:pPr>
      <w:r>
        <w:rPr>
          <w:rFonts w:ascii="宋体" w:hAnsi="宋体" w:cs="宋体"/>
          <w:b/>
          <w:bCs/>
          <w:color w:val="auto"/>
          <w:sz w:val="32"/>
          <w:highlight w:val="none"/>
        </w:rPr>
      </w:r>
      <w:r/>
    </w:p>
    <w:p>
      <w:pPr>
        <w:pStyle w:val="1062"/>
        <w:ind w:firstLine="0"/>
        <w:jc w:val="center"/>
        <w:rPr>
          <w:rFonts w:hint="eastAsia" w:ascii="宋体" w:hAnsi="宋体" w:cs="宋体" w:eastAsiaTheme="minorEastAsia"/>
          <w:b/>
          <w:bCs/>
          <w:color w:val="auto"/>
          <w:sz w:val="32"/>
          <w:highlight w:val="none"/>
          <w:lang w:eastAsia="zh-CN"/>
        </w:rPr>
      </w:pPr>
      <w:r>
        <w:rPr>
          <w:rFonts w:hint="eastAsia" w:ascii="宋体" w:hAnsi="宋体" w:cs="宋体"/>
          <w:b/>
          <w:bCs/>
          <w:color w:val="auto"/>
          <w:sz w:val="32"/>
          <w:highlight w:val="none"/>
          <w:lang w:eastAsia="zh-CN"/>
        </w:rPr>
        <w:t xml:space="preserve">阜宁县烈士陵园管理所</w:t>
      </w:r>
      <w:r/>
    </w:p>
    <w:p>
      <w:pPr>
        <w:pStyle w:val="1062"/>
        <w:ind w:firstLine="0"/>
        <w:jc w:val="center"/>
        <w:rPr>
          <w:rFonts w:hint="default" w:ascii="宋体" w:hAnsi="宋体" w:cs="宋体" w:eastAsiaTheme="minorEastAsia"/>
          <w:b/>
          <w:bCs/>
          <w:color w:val="auto"/>
          <w:sz w:val="32"/>
          <w:highlight w:val="none"/>
          <w:lang w:val="en-US" w:eastAsia="zh-CN"/>
        </w:rPr>
      </w:pPr>
      <w:r>
        <w:rPr>
          <w:rFonts w:hint="eastAsia" w:ascii="宋体" w:hAnsi="宋体" w:cs="宋体"/>
          <w:b/>
          <w:bCs/>
          <w:color w:val="auto"/>
          <w:sz w:val="32"/>
          <w:highlight w:val="none"/>
        </w:rPr>
        <w:t xml:space="preserve">202</w:t>
      </w:r>
      <w:r>
        <w:rPr>
          <w:rFonts w:hint="eastAsia" w:ascii="宋体" w:hAnsi="宋体" w:eastAsia="宋体" w:cs="宋体"/>
          <w:b/>
          <w:bCs/>
          <w:color w:val="auto"/>
          <w:sz w:val="32"/>
          <w:highlight w:val="none"/>
        </w:rPr>
        <w:t xml:space="preserve">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9</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24日</w:t>
      </w:r>
      <w:r/>
    </w:p>
    <w:p>
      <w:pPr>
        <w:jc w:val="left"/>
        <w:widowControl/>
        <w:rPr>
          <w:b/>
          <w:bCs/>
          <w:color w:val="auto"/>
          <w:sz w:val="44"/>
          <w:szCs w:val="44"/>
          <w:highlight w:val="none"/>
        </w:rPr>
      </w:pPr>
      <w:r>
        <w:rPr>
          <w:b/>
          <w:bCs/>
          <w:color w:val="auto"/>
          <w:sz w:val="44"/>
          <w:szCs w:val="44"/>
          <w:highlight w:val="none"/>
        </w:rPr>
        <w:br w:type="page" w:clear="all"/>
      </w:r>
      <w:r/>
    </w:p>
    <w:p>
      <w:pPr>
        <w:pStyle w:val="1012"/>
        <w:jc w:val="center"/>
        <w:rPr>
          <w:b/>
          <w:bCs/>
          <w:color w:val="auto"/>
          <w:sz w:val="44"/>
          <w:szCs w:val="44"/>
          <w:highlight w:val="none"/>
          <w:lang w:val="zh-CN"/>
        </w:rPr>
      </w:pPr>
      <w:r>
        <w:rPr>
          <w:b/>
          <w:bCs/>
          <w:color w:val="auto"/>
          <w:sz w:val="44"/>
          <w:szCs w:val="44"/>
          <w:highlight w:val="none"/>
          <w:lang w:val="zh-CN"/>
        </w:rPr>
        <w:t xml:space="preserve">目</w:t>
      </w:r>
      <w:r>
        <w:rPr>
          <w:rFonts w:hint="eastAsia"/>
          <w:b/>
          <w:bCs/>
          <w:color w:val="auto"/>
          <w:sz w:val="44"/>
          <w:szCs w:val="44"/>
          <w:highlight w:val="none"/>
          <w:lang w:val="en-US" w:eastAsia="zh-CN"/>
        </w:rPr>
        <w:t xml:space="preserve">  </w:t>
      </w:r>
      <w:r>
        <w:rPr>
          <w:b/>
          <w:bCs/>
          <w:color w:val="auto"/>
          <w:sz w:val="44"/>
          <w:szCs w:val="44"/>
          <w:highlight w:val="none"/>
          <w:lang w:val="zh-CN"/>
        </w:rPr>
        <w:t xml:space="preserve">录</w:t>
      </w:r>
      <w:r/>
    </w:p>
    <w:p>
      <w:pPr>
        <w:pStyle w:val="1012"/>
        <w:jc w:val="center"/>
        <w:rPr>
          <w:b/>
          <w:bCs/>
          <w:color w:val="auto"/>
          <w:sz w:val="44"/>
          <w:szCs w:val="44"/>
          <w:highlight w:val="none"/>
        </w:rPr>
      </w:pPr>
      <w:r>
        <w:rPr>
          <w:b/>
          <w:bCs/>
          <w:color w:val="auto"/>
          <w:sz w:val="44"/>
          <w:szCs w:val="44"/>
          <w:highlight w:val="none"/>
        </w:rPr>
      </w:r>
      <w:r/>
    </w:p>
    <w:p>
      <w:pPr>
        <w:pStyle w:val="781"/>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fldChar w:fldCharType="begin"/>
      </w:r>
      <w:r>
        <w:rPr>
          <w:rFonts w:ascii="宋体" w:hAnsi="宋体"/>
          <w:color w:val="auto"/>
          <w:sz w:val="28"/>
          <w:szCs w:val="28"/>
          <w:highlight w:val="none"/>
        </w:rPr>
        <w:instrText xml:space="preserve"> TOC \o "1-3" \u </w:instrText>
      </w:r>
      <w:r>
        <w:rPr>
          <w:rFonts w:ascii="宋体" w:hAnsi="宋体"/>
          <w:color w:val="auto"/>
          <w:sz w:val="28"/>
          <w:szCs w:val="28"/>
          <w:highlight w:val="none"/>
        </w:rPr>
        <w:fldChar w:fldCharType="separate"/>
      </w:r>
      <w:r>
        <w:rPr>
          <w:rFonts w:ascii="宋体" w:hAnsi="宋体"/>
          <w:color w:val="auto"/>
          <w:sz w:val="28"/>
          <w:szCs w:val="28"/>
          <w:highlight w:val="none"/>
        </w:rPr>
        <w:t xml:space="preserve">第一章 </w:t>
      </w:r>
      <w:r>
        <w:rPr>
          <w:rFonts w:hint="eastAsia" w:ascii="宋体" w:hAnsi="宋体"/>
          <w:color w:val="auto"/>
          <w:sz w:val="28"/>
          <w:szCs w:val="28"/>
          <w:highlight w:val="none"/>
        </w:rPr>
        <w:t xml:space="preserve"> </w:t>
      </w:r>
      <w:r>
        <w:rPr>
          <w:rFonts w:ascii="宋体" w:hAnsi="宋体"/>
          <w:color w:val="auto"/>
          <w:sz w:val="28"/>
          <w:szCs w:val="28"/>
          <w:highlight w:val="none"/>
        </w:rPr>
        <w:t xml:space="preserve">竞争性磋商采购公告</w:t>
      </w:r>
      <w:r>
        <w:rPr>
          <w:rFonts w:ascii="宋体" w:hAnsi="宋体"/>
          <w:color w:val="auto"/>
          <w:sz w:val="28"/>
          <w:szCs w:val="28"/>
          <w:highlight w:val="none"/>
        </w:rPr>
        <w:tab/>
      </w:r>
      <w:r/>
    </w:p>
    <w:p>
      <w:pPr>
        <w:pStyle w:val="781"/>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第二章  磋商须知</w:t>
      </w:r>
      <w:r>
        <w:rPr>
          <w:rFonts w:ascii="宋体" w:hAnsi="宋体"/>
          <w:color w:val="auto"/>
          <w:sz w:val="28"/>
          <w:szCs w:val="28"/>
          <w:highlight w:val="none"/>
        </w:rPr>
        <w:tab/>
      </w:r>
      <w:r/>
    </w:p>
    <w:p>
      <w:pPr>
        <w:pStyle w:val="781"/>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第三章  合同条款及格式</w:t>
      </w:r>
      <w:r>
        <w:rPr>
          <w:rFonts w:ascii="宋体" w:hAnsi="宋体"/>
          <w:color w:val="auto"/>
          <w:sz w:val="28"/>
          <w:szCs w:val="28"/>
          <w:highlight w:val="none"/>
        </w:rPr>
        <w:tab/>
      </w:r>
      <w:r/>
    </w:p>
    <w:p>
      <w:pPr>
        <w:pStyle w:val="781"/>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第四章  </w:t>
      </w:r>
      <w:r>
        <w:rPr>
          <w:rFonts w:hint="eastAsia" w:ascii="宋体" w:hAnsi="宋体"/>
          <w:color w:val="auto"/>
          <w:sz w:val="28"/>
          <w:szCs w:val="28"/>
          <w:highlight w:val="none"/>
        </w:rPr>
        <w:t xml:space="preserve">采购需求</w:t>
      </w:r>
      <w:r>
        <w:rPr>
          <w:rFonts w:ascii="宋体" w:hAnsi="宋体"/>
          <w:color w:val="auto"/>
          <w:sz w:val="28"/>
          <w:szCs w:val="28"/>
          <w:highlight w:val="none"/>
        </w:rPr>
        <w:tab/>
      </w:r>
      <w:r/>
    </w:p>
    <w:p>
      <w:pPr>
        <w:pStyle w:val="781"/>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第五章 </w:t>
      </w:r>
      <w:r>
        <w:rPr>
          <w:rFonts w:hint="eastAsia" w:ascii="宋体" w:hAnsi="宋体"/>
          <w:color w:val="auto"/>
          <w:sz w:val="28"/>
          <w:szCs w:val="28"/>
          <w:highlight w:val="none"/>
        </w:rPr>
        <w:t xml:space="preserve"> </w:t>
      </w:r>
      <w:r>
        <w:rPr>
          <w:rFonts w:ascii="宋体" w:hAnsi="宋体"/>
          <w:color w:val="auto"/>
          <w:sz w:val="28"/>
          <w:szCs w:val="28"/>
          <w:highlight w:val="none"/>
        </w:rPr>
        <w:t xml:space="preserve">定标原则和评审标准</w:t>
      </w:r>
      <w:r>
        <w:rPr>
          <w:rFonts w:ascii="宋体" w:hAnsi="宋体"/>
          <w:color w:val="auto"/>
          <w:sz w:val="28"/>
          <w:szCs w:val="28"/>
          <w:highlight w:val="none"/>
        </w:rPr>
        <w:tab/>
      </w:r>
      <w:r/>
    </w:p>
    <w:p>
      <w:pPr>
        <w:pStyle w:val="781"/>
        <w:tabs>
          <w:tab w:val="right" w:pos="8948" w:leader="dot"/>
        </w:tabs>
        <w:rPr>
          <w:rFonts w:ascii="宋体" w:hAnsi="宋体" w:cstheme="minorBidi"/>
          <w:color w:val="auto"/>
          <w:sz w:val="28"/>
          <w:szCs w:val="28"/>
          <w:highlight w:val="none"/>
          <w14:ligatures w14:val="standardContextual"/>
        </w:rPr>
      </w:pPr>
      <w:r>
        <w:rPr>
          <w:rFonts w:ascii="宋体" w:hAnsi="宋体"/>
          <w:color w:val="auto"/>
          <w:sz w:val="28"/>
          <w:szCs w:val="28"/>
          <w:highlight w:val="none"/>
        </w:rPr>
        <w:t xml:space="preserve">第六章  竞争性磋商响应文件格式</w:t>
      </w:r>
      <w:r>
        <w:rPr>
          <w:rFonts w:ascii="宋体" w:hAnsi="宋体"/>
          <w:color w:val="auto"/>
          <w:sz w:val="28"/>
          <w:szCs w:val="28"/>
          <w:highlight w:val="none"/>
        </w:rPr>
        <w:tab/>
      </w:r>
      <w:r/>
    </w:p>
    <w:p>
      <w:pPr>
        <w:rPr>
          <w:b/>
          <w:bCs/>
          <w:color w:val="auto"/>
          <w:highlight w:val="none"/>
          <w:lang w:val="zh-CN"/>
        </w:rPr>
        <w:sectPr>
          <w:footerReference w:type="default" r:id="rId10"/>
          <w:footerReference w:type="first" r:id="rId11"/>
          <w:footnotePr/>
          <w:endnotePr/>
          <w:type w:val="nextPage"/>
          <w:pgSz w:w="11906" w:h="16838" w:orient="portrait"/>
          <w:pgMar w:top="1474" w:right="1474" w:bottom="1474" w:left="1474" w:header="851" w:footer="907" w:gutter="0"/>
          <w:pgNumType w:start="1"/>
          <w:cols w:num="1" w:sep="0" w:space="720" w:equalWidth="1"/>
          <w:docGrid w:linePitch="360"/>
          <w:titlePg/>
        </w:sectPr>
      </w:pPr>
      <w:r>
        <w:rPr>
          <w:rFonts w:ascii="宋体" w:hAnsi="宋体"/>
          <w:color w:val="auto"/>
          <w:sz w:val="28"/>
          <w:szCs w:val="28"/>
          <w:highlight w:val="none"/>
        </w:rPr>
        <w:fldChar w:fldCharType="end"/>
      </w:r>
      <w:r/>
    </w:p>
    <w:p>
      <w:pPr>
        <w:pStyle w:val="795"/>
        <w:rPr>
          <w:color w:val="auto"/>
          <w:sz w:val="36"/>
          <w:szCs w:val="36"/>
          <w:highlight w:val="none"/>
        </w:rPr>
      </w:pPr>
      <w:r/>
      <w:bookmarkStart w:id="0" w:name="_Toc203032683"/>
      <w:r>
        <w:rPr>
          <w:rFonts w:hint="eastAsia"/>
          <w:color w:val="auto"/>
          <w:sz w:val="36"/>
          <w:szCs w:val="36"/>
          <w:highlight w:val="none"/>
        </w:rPr>
        <w:t xml:space="preserve">第一章 竞争性磋商采购公告</w:t>
      </w:r>
      <w:bookmarkEnd w:id="0"/>
      <w:r/>
      <w:r/>
    </w:p>
    <w:p>
      <w:pPr>
        <w:rPr>
          <w:rFonts w:ascii="宋体" w:hAnsi="宋体" w:cs="宋体"/>
          <w:color w:val="auto"/>
          <w:highlight w:val="none"/>
        </w:rPr>
      </w:pPr>
      <w:r/>
      <w:bookmarkStart w:id="1" w:name="_Toc61149549"/>
      <w:r/>
      <w:bookmarkStart w:id="2" w:name="_Toc14577347"/>
      <w:r/>
      <w:bookmarkStart w:id="3" w:name="_Toc513029209"/>
      <w:r/>
      <w:r/>
    </w:p>
    <w:p>
      <w:pPr>
        <w:ind w:firstLine="480"/>
        <w:spacing w:line="500" w:lineRule="exact"/>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0"/>
        </w:pBdr>
      </w:pPr>
      <w:r>
        <w:rPr>
          <w:rFonts w:hint="eastAsia" w:ascii="宋体" w:hAnsi="宋体" w:cs="宋体"/>
          <w:color w:val="auto"/>
          <w:sz w:val="24"/>
          <w:highlight w:val="none"/>
        </w:rPr>
        <w:t xml:space="preserve">项目概况</w:t>
      </w:r>
      <w:r/>
    </w:p>
    <w:p>
      <w:pPr>
        <w:ind w:firstLine="480"/>
        <w:jc w:val="left"/>
        <w:spacing w:line="500" w:lineRule="exact"/>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0"/>
        </w:pBdr>
      </w:pPr>
      <w:r>
        <w:rPr>
          <w:rFonts w:hint="eastAsia" w:ascii="宋体" w:hAnsi="宋体" w:cs="宋体"/>
          <w:color w:val="auto"/>
          <w:sz w:val="24"/>
          <w:highlight w:val="none"/>
          <w:u w:val="single"/>
          <w:lang w:eastAsia="zh-CN"/>
        </w:rPr>
        <w:t xml:space="preserve">阜宁革命烈士纪念馆重新布展项目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JSZC-320923-ZGGC-C2026-0007</w:t>
      </w:r>
      <w:r>
        <w:rPr>
          <w:rFonts w:hint="eastAsia" w:ascii="仿宋" w:hAnsi="仿宋" w:eastAsia="仿宋"/>
          <w:color w:val="auto"/>
          <w:sz w:val="24"/>
          <w:highlight w:val="none"/>
        </w:rPr>
        <w:t xml:space="preserve">） </w:t>
      </w:r>
      <w:r>
        <w:rPr>
          <w:rFonts w:hint="eastAsia" w:ascii="宋体" w:hAnsi="宋体"/>
          <w:color w:val="auto"/>
          <w:sz w:val="24"/>
          <w:highlight w:val="none"/>
        </w:rPr>
        <w:t xml:space="preserve">招标项目的潜在供应商应在“苏采云”系统内免费下载（供应商必须在苏采云系统中获取</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rPr>
        <w:t xml:space="preserve">，方能参与政府采购项目）； 获取</w:t>
      </w:r>
      <w:r>
        <w:rPr>
          <w:rFonts w:hint="eastAsia" w:ascii="宋体" w:hAnsi="宋体" w:cs="宋体"/>
          <w:color w:val="auto"/>
          <w:sz w:val="24"/>
          <w:highlight w:val="none"/>
          <w:lang w:val="en-US" w:eastAsia="zh-CN"/>
        </w:rPr>
        <w:t xml:space="preserve">磋商文件</w:t>
      </w:r>
      <w:r>
        <w:rPr>
          <w:rFonts w:hint="eastAsia" w:ascii="宋体" w:hAnsi="宋体"/>
          <w:color w:val="auto"/>
          <w:sz w:val="24"/>
          <w:highlight w:val="none"/>
        </w:rPr>
        <w:t xml:space="preserve">，并于</w:t>
      </w:r>
      <w:r>
        <w:rPr>
          <w:rFonts w:hint="eastAsia" w:ascii="宋体" w:hAnsi="宋体"/>
          <w:color w:val="auto"/>
          <w:sz w:val="24"/>
          <w:highlight w:val="none"/>
          <w:u w:val="single"/>
        </w:rPr>
        <w:t xml:space="preserve">2026</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15</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ascii="宋体" w:hAnsi="宋体"/>
          <w:color w:val="auto"/>
          <w:sz w:val="24"/>
          <w:highlight w:val="none"/>
          <w:u w:val="single"/>
          <w:lang w:val="en-US" w:eastAsia="zh-CN"/>
        </w:rPr>
        <w:t xml:space="preserve"> 09 </w:t>
      </w:r>
      <w:r>
        <w:rPr>
          <w:rFonts w:hint="eastAsia" w:ascii="宋体" w:hAnsi="宋体"/>
          <w:color w:val="auto"/>
          <w:sz w:val="24"/>
          <w:highlight w:val="none"/>
        </w:rPr>
        <w:t xml:space="preserve">点</w:t>
      </w:r>
      <w:r>
        <w:rPr>
          <w:rFonts w:hint="eastAsia" w:ascii="宋体" w:hAnsi="宋体"/>
          <w:color w:val="auto"/>
          <w:sz w:val="24"/>
          <w:highlight w:val="none"/>
          <w:u w:val="single"/>
        </w:rPr>
        <w:t xml:space="preserve">00</w:t>
      </w:r>
      <w:r>
        <w:rPr>
          <w:rFonts w:hint="eastAsia" w:ascii="宋体" w:hAnsi="宋体"/>
          <w:color w:val="auto"/>
          <w:sz w:val="24"/>
          <w:highlight w:val="none"/>
        </w:rPr>
        <w:t xml:space="preserve">分（北京时间）前递交</w:t>
      </w:r>
      <w:r>
        <w:rPr>
          <w:rFonts w:ascii="宋体" w:hAnsi="宋体" w:eastAsia="宋体" w:cs="宋体"/>
          <w:sz w:val="24"/>
          <w:szCs w:val="24"/>
        </w:rPr>
        <w:t xml:space="preserve">响应文件</w:t>
      </w:r>
      <w:r>
        <w:rPr>
          <w:rFonts w:hint="eastAsia" w:ascii="宋体" w:hAnsi="宋体"/>
          <w:color w:val="auto"/>
          <w:sz w:val="24"/>
          <w:highlight w:val="none"/>
        </w:rPr>
        <w:t xml:space="preserve">。</w:t>
      </w:r>
      <w:r/>
    </w:p>
    <w:p>
      <w:pPr>
        <w:pStyle w:val="748"/>
        <w:jc w:val="both"/>
        <w:spacing w:before="0" w:after="0" w:line="520" w:lineRule="exact"/>
        <w:rPr>
          <w:rFonts w:ascii="宋体" w:hAnsi="宋体" w:eastAsia="宋体" w:cs="宋体"/>
          <w:bCs/>
          <w:color w:val="auto"/>
          <w:sz w:val="24"/>
          <w:szCs w:val="24"/>
          <w:highlight w:val="none"/>
        </w:rPr>
      </w:pPr>
      <w:r/>
      <w:bookmarkStart w:id="4" w:name="_Toc28359012"/>
      <w:r/>
      <w:bookmarkStart w:id="5" w:name="_Toc28359089"/>
      <w:r/>
      <w:bookmarkStart w:id="6" w:name="_Toc166856186"/>
      <w:r/>
      <w:bookmarkStart w:id="7" w:name="_Toc203032684"/>
      <w:r/>
      <w:bookmarkStart w:id="8" w:name="_Toc35393629"/>
      <w:r/>
      <w:bookmarkStart w:id="9" w:name="_Toc35393798"/>
      <w:r>
        <w:rPr>
          <w:rFonts w:hint="eastAsia" w:ascii="宋体" w:hAnsi="宋体" w:eastAsia="宋体" w:cs="宋体"/>
          <w:bCs/>
          <w:color w:val="auto"/>
          <w:sz w:val="24"/>
          <w:szCs w:val="24"/>
          <w:highlight w:val="none"/>
        </w:rPr>
        <w:t xml:space="preserve">一、项目基本情况</w:t>
      </w:r>
      <w:bookmarkEnd w:id="4"/>
      <w:r/>
      <w:bookmarkEnd w:id="5"/>
      <w:r/>
      <w:bookmarkEnd w:id="6"/>
      <w:r/>
      <w:bookmarkEnd w:id="7"/>
      <w:r/>
      <w:bookmarkEnd w:id="8"/>
      <w:r/>
      <w:bookmarkEnd w:id="9"/>
      <w:r/>
      <w:r/>
    </w:p>
    <w:p>
      <w:pPr>
        <w:ind w:firstLine="480"/>
        <w:spacing w:line="520" w:lineRule="exact"/>
        <w:rPr>
          <w:rFonts w:hint="eastAsia" w:ascii="宋体" w:hAnsi="宋体" w:eastAsia="宋体" w:cs="宋体"/>
          <w:color w:val="auto"/>
          <w:sz w:val="24"/>
          <w:highlight w:val="none"/>
          <w:lang w:eastAsia="zh-CN"/>
        </w:rPr>
      </w:pPr>
      <w:r/>
      <w:bookmarkStart w:id="10" w:name="_Toc35393630"/>
      <w:r/>
      <w:bookmarkStart w:id="11" w:name="_Toc166856187"/>
      <w:r/>
      <w:bookmarkStart w:id="12" w:name="_Toc28359013"/>
      <w:r/>
      <w:bookmarkStart w:id="13" w:name="_Toc28359090"/>
      <w:r/>
      <w:bookmarkStart w:id="14" w:name="_Toc35393799"/>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JSZC-320923-ZGGC-C2026-0007</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阜宁革命烈士纪念馆重新布展项目</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4.预算金额：</w:t>
      </w:r>
      <w:r>
        <w:rPr>
          <w:rFonts w:hint="eastAsia" w:ascii="宋体" w:hAnsi="宋体" w:cs="宋体"/>
          <w:color w:val="auto"/>
          <w:sz w:val="24"/>
          <w:highlight w:val="none"/>
          <w:lang w:eastAsia="zh-CN"/>
        </w:rPr>
        <w:t xml:space="preserve">185.82万元</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5.最高限价：</w:t>
      </w:r>
      <w:r>
        <w:rPr>
          <w:rFonts w:hint="eastAsia" w:ascii="宋体" w:hAnsi="宋体" w:cs="宋体"/>
          <w:color w:val="auto"/>
          <w:sz w:val="24"/>
          <w:highlight w:val="none"/>
          <w:lang w:eastAsia="zh-CN"/>
        </w:rPr>
        <w:t xml:space="preserve">185万元</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6.采购需求：</w:t>
      </w:r>
      <w:r>
        <w:rPr>
          <w:rFonts w:hint="eastAsia" w:ascii="宋体" w:hAnsi="宋体" w:cs="宋体"/>
          <w:color w:val="auto"/>
          <w:sz w:val="24"/>
          <w:highlight w:val="none"/>
          <w:lang w:eastAsia="zh-CN"/>
        </w:rPr>
        <w:t xml:space="preserve">对阜宁革命烈士纪念馆重新布展项目实施深化设计、采购、布展一体化等服务</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工作范围</w:t>
      </w:r>
      <w:r>
        <w:rPr>
          <w:rFonts w:hint="eastAsia" w:ascii="宋体" w:hAnsi="宋体" w:cs="宋体"/>
          <w:color w:val="auto"/>
          <w:sz w:val="24"/>
          <w:highlight w:val="none"/>
        </w:rPr>
        <w:t xml:space="preserve">包含（但不限于）</w:t>
      </w:r>
      <w:r>
        <w:rPr>
          <w:rFonts w:hint="eastAsia" w:ascii="宋体" w:hAnsi="宋体" w:cs="宋体"/>
          <w:color w:val="auto"/>
          <w:sz w:val="24"/>
          <w:szCs w:val="24"/>
          <w:highlight w:val="none"/>
          <w:lang w:val="en-US" w:eastAsia="zh-CN" w:bidi="ar-SA"/>
        </w:rPr>
        <w:t xml:space="preserve">阜宁革命烈士陈列布展项目整体布展方案设计、布展制作、多媒体等设备的采购、安装及调试工作，以及多媒体数字内容的制作及软件集成、强弱电安装、消防应急照明、空调设备安装及调试工作等</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详细内容见本磋商文件第四章项目需求。采购资金为</w:t>
      </w:r>
      <w:r>
        <w:rPr>
          <w:rFonts w:hint="eastAsia" w:ascii="宋体" w:hAnsi="宋体" w:cs="宋体"/>
          <w:color w:val="auto"/>
          <w:sz w:val="24"/>
          <w:highlight w:val="none"/>
          <w:lang w:val="en-US" w:eastAsia="zh-CN"/>
        </w:rPr>
        <w:t xml:space="preserve">财政资金</w:t>
      </w:r>
      <w:r>
        <w:rPr>
          <w:rFonts w:hint="eastAsia" w:ascii="宋体" w:hAnsi="宋体" w:cs="宋体"/>
          <w:color w:val="auto"/>
          <w:sz w:val="24"/>
          <w:highlight w:val="none"/>
          <w:lang w:eastAsia="zh-CN"/>
        </w:rPr>
        <w:t xml:space="preserve">，资金来源已经落实。</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7.</w:t>
      </w:r>
      <w:r>
        <w:rPr>
          <w:rFonts w:hint="eastAsia" w:ascii="宋体" w:hAnsi="宋体" w:cs="宋体"/>
          <w:color w:val="auto"/>
          <w:sz w:val="24"/>
          <w:highlight w:val="none"/>
          <w:lang w:eastAsia="zh-CN"/>
        </w:rPr>
        <w:t xml:space="preserve">合同履行期限：本项目在合同签订后，中标人应在90日历天内完成设计、采购、布展等以及衍生服务工作，并交付采购人正常使用。</w:t>
      </w:r>
      <w:r/>
    </w:p>
    <w:p>
      <w:pPr>
        <w:ind w:firstLine="480"/>
        <w:spacing w:line="480" w:lineRule="exact"/>
        <w:rPr>
          <w:rFonts w:ascii="宋体" w:hAnsi="宋体" w:cs="宋体"/>
          <w:b/>
          <w:iCs/>
          <w:color w:val="auto"/>
          <w:sz w:val="24"/>
          <w:highlight w:val="none"/>
        </w:rPr>
      </w:pPr>
      <w:r>
        <w:rPr>
          <w:rFonts w:hint="eastAsia" w:ascii="宋体" w:hAnsi="宋体" w:cs="宋体"/>
          <w:color w:val="auto"/>
          <w:sz w:val="24"/>
          <w:highlight w:val="none"/>
        </w:rPr>
        <w:t xml:space="preserve">8.本项目</w:t>
      </w:r>
      <w:r>
        <w:rPr>
          <w:rFonts w:hint="eastAsia" w:ascii="宋体" w:hAnsi="宋体" w:cs="宋体"/>
          <w:color w:val="auto"/>
          <w:sz w:val="24"/>
          <w:highlight w:val="none"/>
          <w:lang w:val="en-US" w:eastAsia="zh-CN"/>
        </w:rPr>
        <w:t xml:space="preserve">不</w:t>
      </w:r>
      <w:r>
        <w:rPr>
          <w:rFonts w:hint="eastAsia" w:ascii="宋体" w:hAnsi="宋体" w:cs="宋体"/>
          <w:b w:val="0"/>
          <w:bCs w:val="0"/>
          <w:color w:val="auto"/>
          <w:sz w:val="24"/>
          <w:szCs w:val="24"/>
          <w:highlight w:val="none"/>
          <w:u w:val="none"/>
        </w:rPr>
        <w:t xml:space="preserve">接受联</w:t>
      </w:r>
      <w:r>
        <w:rPr>
          <w:rFonts w:hint="eastAsia" w:ascii="宋体" w:hAnsi="宋体" w:cs="宋体"/>
          <w:color w:val="auto"/>
          <w:sz w:val="24"/>
          <w:highlight w:val="none"/>
        </w:rPr>
        <w:t xml:space="preserve">合体投标。</w:t>
      </w:r>
      <w:r/>
    </w:p>
    <w:p>
      <w:pPr>
        <w:pStyle w:val="748"/>
        <w:jc w:val="both"/>
        <w:spacing w:before="0" w:after="0" w:line="520" w:lineRule="exact"/>
        <w:rPr>
          <w:rFonts w:ascii="宋体" w:hAnsi="宋体" w:eastAsia="宋体" w:cs="宋体"/>
          <w:bCs/>
          <w:color w:val="auto"/>
          <w:sz w:val="24"/>
          <w:szCs w:val="24"/>
          <w:highlight w:val="none"/>
        </w:rPr>
      </w:pPr>
      <w:r/>
      <w:bookmarkStart w:id="15" w:name="_Toc203032685"/>
      <w:r>
        <w:rPr>
          <w:rFonts w:hint="eastAsia" w:ascii="宋体" w:hAnsi="宋体" w:eastAsia="宋体" w:cs="宋体"/>
          <w:bCs/>
          <w:color w:val="auto"/>
          <w:sz w:val="24"/>
          <w:szCs w:val="24"/>
          <w:highlight w:val="none"/>
        </w:rPr>
        <w:t xml:space="preserve">二、申请人的资格要求：</w:t>
      </w:r>
      <w:bookmarkEnd w:id="10"/>
      <w:r/>
      <w:bookmarkEnd w:id="11"/>
      <w:r/>
      <w:bookmarkEnd w:id="12"/>
      <w:r/>
      <w:bookmarkEnd w:id="13"/>
      <w:r/>
      <w:bookmarkEnd w:id="14"/>
      <w:r/>
      <w:bookmarkEnd w:id="15"/>
      <w:r/>
      <w:r/>
    </w:p>
    <w:p>
      <w:pPr>
        <w:ind w:firstLine="480"/>
        <w:spacing w:line="520" w:lineRule="exact"/>
        <w:rPr>
          <w:rFonts w:ascii="宋体" w:hAnsi="宋体" w:cs="宋体"/>
          <w:color w:val="auto"/>
          <w:sz w:val="24"/>
          <w:highlight w:val="none"/>
        </w:rPr>
      </w:pPr>
      <w:r/>
      <w:bookmarkStart w:id="16" w:name="_Toc35393800"/>
      <w:r/>
      <w:bookmarkStart w:id="17" w:name="_Toc35393631"/>
      <w:r/>
      <w:bookmarkStart w:id="18" w:name="_Toc28359014"/>
      <w:r/>
      <w:bookmarkStart w:id="19" w:name="_Toc28359091"/>
      <w:r/>
      <w:bookmarkStart w:id="20" w:name="_Toc166856188"/>
      <w:r>
        <w:rPr>
          <w:rFonts w:hint="eastAsia" w:ascii="宋体" w:hAnsi="宋体" w:cs="宋体"/>
          <w:color w:val="auto"/>
          <w:sz w:val="24"/>
          <w:highlight w:val="none"/>
        </w:rPr>
        <w:t xml:space="preserve">（一）满足《中华人民共和国政府采购法》第二十二条规定：</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1.法人或者其他组织的营业执照等证明文件，自然人的身份证明</w:t>
      </w:r>
      <w:r>
        <w:rPr>
          <w:rFonts w:hint="eastAsia" w:ascii="宋体" w:hAnsi="宋体" w:cs="宋体"/>
          <w:color w:val="auto"/>
          <w:sz w:val="24"/>
          <w:highlight w:val="none"/>
          <w:lang w:eastAsia="zh-CN"/>
        </w:rPr>
        <w:t xml:space="preserve">；</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上一年度（2025年度）的财务状况报告（财务报告至少应当包括资产负债表、利润表，距投标截止之日止，成立不足一年的磋商供应商，可不提供财务报告）；</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3.依法缴纳税收和社会保障资金的相关材料（提供</w:t>
      </w:r>
      <w:r>
        <w:rPr>
          <w:rFonts w:ascii="宋体" w:hAnsi="宋体" w:eastAsia="宋体" w:cs="宋体"/>
          <w:sz w:val="24"/>
          <w:szCs w:val="24"/>
        </w:rPr>
        <w:t xml:space="preserve">响应文件</w:t>
      </w:r>
      <w:r>
        <w:rPr>
          <w:rFonts w:hint="eastAsia" w:ascii="宋体" w:hAnsi="宋体" w:cs="宋体"/>
          <w:color w:val="auto"/>
          <w:sz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cs="宋体"/>
          <w:color w:val="auto"/>
          <w:sz w:val="24"/>
          <w:highlight w:val="none"/>
          <w:lang w:eastAsia="zh-CN"/>
        </w:rPr>
        <w:t xml:space="preserve">；</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4.具备履行合同所必需的设备和专业技术能力的书面声明</w:t>
      </w:r>
      <w:r>
        <w:rPr>
          <w:rFonts w:hint="eastAsia" w:ascii="宋体" w:hAnsi="宋体" w:cs="宋体"/>
          <w:color w:val="auto"/>
          <w:sz w:val="24"/>
          <w:highlight w:val="none"/>
          <w:lang w:eastAsia="zh-CN"/>
        </w:rPr>
        <w:t xml:space="preserve">；</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5.参加政府采购活动前3年内在经营活动中没有重大违法记录的书面声明</w:t>
      </w:r>
      <w:r>
        <w:rPr>
          <w:rFonts w:hint="eastAsia" w:ascii="宋体" w:hAnsi="宋体" w:cs="宋体"/>
          <w:color w:val="auto"/>
          <w:sz w:val="24"/>
          <w:highlight w:val="none"/>
          <w:lang w:eastAsia="zh-CN"/>
        </w:rPr>
        <w:t xml:space="preserve">；</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6.法律、行政法规规定的其他条件</w:t>
      </w:r>
      <w:r>
        <w:rPr>
          <w:rFonts w:hint="eastAsia" w:ascii="宋体" w:hAnsi="宋体" w:cs="宋体"/>
          <w:color w:val="auto"/>
          <w:sz w:val="24"/>
          <w:highlight w:val="none"/>
          <w:lang w:eastAsia="zh-CN"/>
        </w:rPr>
        <w:t xml:space="preserve">；</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文件中无需提供证明材料）</w:t>
      </w:r>
      <w:r>
        <w:rPr>
          <w:rFonts w:hint="eastAsia" w:ascii="宋体" w:hAnsi="宋体" w:cs="宋体"/>
          <w:color w:val="auto"/>
          <w:sz w:val="24"/>
          <w:highlight w:val="none"/>
          <w:lang w:eastAsia="zh-CN"/>
        </w:rPr>
        <w:t xml:space="preserve">；</w:t>
      </w:r>
      <w:r/>
    </w:p>
    <w:p>
      <w:pPr>
        <w:ind w:firstLine="480"/>
        <w:jc w:val="left"/>
        <w:spacing w:line="480" w:lineRule="exact"/>
        <w:rPr>
          <w:rFonts w:ascii="宋体" w:hAnsi="宋体" w:cs="宋体"/>
          <w:color w:val="auto"/>
          <w:sz w:val="24"/>
          <w:highlight w:val="none"/>
        </w:rPr>
      </w:pPr>
      <w:r>
        <w:rPr>
          <w:rFonts w:hint="eastAsia" w:ascii="宋体" w:hAnsi="宋体" w:cs="宋体"/>
          <w:color w:val="auto"/>
          <w:sz w:val="24"/>
          <w:highlight w:val="none"/>
        </w:rPr>
        <w:t xml:space="preserve">8.单位负责人为同一人或者存在直接控股、管理关系的不同供应商，不得参加同一合同项下的政府采购活动。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p>
    <w:p>
      <w:pPr>
        <w:ind w:firstLine="480"/>
        <w:jc w:val="left"/>
        <w:spacing w:line="480" w:lineRule="exact"/>
        <w:rPr>
          <w:rFonts w:hint="eastAsia" w:ascii="宋体" w:hAnsi="宋体" w:eastAsia="宋体" w:cs="宋体"/>
          <w:color w:val="auto"/>
          <w:sz w:val="24"/>
          <w:highlight w:val="none"/>
          <w:lang w:eastAsia="zh-CN"/>
        </w:rPr>
      </w:pPr>
      <w:r>
        <w:rPr>
          <w:rFonts w:hint="eastAsia" w:ascii="宋体" w:hAnsi="宋体" w:cs="宋体"/>
          <w:b/>
          <w:bCs/>
          <w:color w:val="auto"/>
          <w:sz w:val="24"/>
          <w:highlight w:val="none"/>
          <w:u w:val="single"/>
          <w:lang w:eastAsia="zh-CN"/>
        </w:rPr>
        <w:t xml:space="preserve">本项目为专门面向中小企业采购的项目,供应商须为中小企业，不接受非中小型企业参与本项目投标。</w:t>
      </w:r>
      <w:r>
        <w:rPr>
          <w:rFonts w:hint="eastAsia" w:ascii="宋体" w:hAnsi="宋体" w:cs="宋体"/>
          <w:b w:val="0"/>
          <w:bCs w:val="0"/>
          <w:color w:val="auto"/>
          <w:sz w:val="24"/>
          <w:highlight w:val="none"/>
          <w:u w:val="single"/>
          <w:lang w:eastAsia="zh-CN"/>
        </w:rPr>
        <w:t xml:space="preserve">（具体中小企业划分标准详见《关于印发中小企业划型标准规定的通知》工信部联企业〔2011〕300号）文件。</w:t>
      </w:r>
      <w:r>
        <w:rPr>
          <w:rFonts w:hint="eastAsia" w:ascii="宋体" w:hAnsi="宋体" w:cs="宋体"/>
          <w:b/>
          <w:bCs/>
          <w:color w:val="auto"/>
          <w:sz w:val="24"/>
          <w:highlight w:val="none"/>
          <w:u w:val="single"/>
          <w:lang w:eastAsia="zh-CN"/>
        </w:rPr>
        <w:t xml:space="preserve">供应商投标时须提供《中小企业声明函》，否则按无效处理。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lang w:val="en-US" w:eastAsia="zh-CN" w:bidi="ar-SA"/>
        </w:rPr>
        <w:t xml:space="preserve">。</w:t>
      </w:r>
      <w:r/>
    </w:p>
    <w:p>
      <w:pPr>
        <w:pStyle w:val="748"/>
        <w:jc w:val="both"/>
        <w:spacing w:before="0" w:after="0" w:line="520" w:lineRule="exact"/>
        <w:rPr>
          <w:rFonts w:ascii="宋体" w:hAnsi="宋体" w:eastAsia="宋体" w:cs="宋体"/>
          <w:bCs/>
          <w:color w:val="auto"/>
          <w:sz w:val="24"/>
          <w:szCs w:val="24"/>
          <w:highlight w:val="none"/>
        </w:rPr>
      </w:pPr>
      <w:r/>
      <w:bookmarkStart w:id="21" w:name="_Toc203032686"/>
      <w:r>
        <w:rPr>
          <w:rFonts w:hint="eastAsia" w:ascii="宋体" w:hAnsi="宋体" w:eastAsia="宋体" w:cs="宋体"/>
          <w:bCs/>
          <w:color w:val="auto"/>
          <w:sz w:val="24"/>
          <w:szCs w:val="24"/>
          <w:highlight w:val="none"/>
        </w:rPr>
        <w:t xml:space="preserve">三、获取</w:t>
      </w:r>
      <w:bookmarkEnd w:id="16"/>
      <w:r/>
      <w:bookmarkEnd w:id="17"/>
      <w:r/>
      <w:bookmarkEnd w:id="18"/>
      <w:r/>
      <w:bookmarkEnd w:id="19"/>
      <w:r/>
      <w:bookmarkEnd w:id="20"/>
      <w:r/>
      <w:bookmarkEnd w:id="21"/>
      <w:r>
        <w:rPr>
          <w:rFonts w:hint="eastAsia" w:ascii="宋体" w:hAnsi="宋体" w:eastAsia="宋体" w:cs="宋体"/>
          <w:bCs/>
          <w:color w:val="auto"/>
          <w:sz w:val="24"/>
          <w:szCs w:val="24"/>
          <w:highlight w:val="none"/>
          <w:lang w:val="en-US" w:eastAsia="zh-CN"/>
        </w:rPr>
        <w:t xml:space="preserve">磋商文件</w:t>
      </w:r>
      <w:r/>
    </w:p>
    <w:p>
      <w:pPr>
        <w:ind w:firstLine="480"/>
        <w:spacing w:line="520" w:lineRule="exact"/>
        <w:rPr>
          <w:rFonts w:ascii="宋体" w:hAnsi="宋体" w:cs="宋体"/>
          <w:color w:val="auto"/>
          <w:sz w:val="24"/>
          <w:highlight w:val="none"/>
        </w:rPr>
      </w:pPr>
      <w:r/>
      <w:bookmarkStart w:id="22" w:name="_Toc35393632"/>
      <w:r/>
      <w:bookmarkStart w:id="23" w:name="_Toc28359092"/>
      <w:r/>
      <w:bookmarkStart w:id="24" w:name="_Toc166856189"/>
      <w:r/>
      <w:bookmarkStart w:id="25" w:name="_Toc35393801"/>
      <w:r/>
      <w:bookmarkStart w:id="26" w:name="_Toc28359015"/>
      <w:r>
        <w:rPr>
          <w:rFonts w:hint="eastAsia" w:ascii="宋体" w:hAnsi="宋体" w:cs="宋体"/>
          <w:color w:val="auto"/>
          <w:sz w:val="24"/>
          <w:highlight w:val="none"/>
        </w:rPr>
        <w:t xml:space="preserve">时间：自磋商文件公告发布之日起5个工作日；</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地点：“苏采云”系统内免费下载（供应商必须在苏采云系统中获取</w:t>
      </w:r>
      <w:r>
        <w:rPr>
          <w:rFonts w:hint="eastAsia" w:ascii="宋体" w:hAnsi="宋体" w:cs="宋体"/>
          <w:color w:val="auto"/>
          <w:sz w:val="24"/>
          <w:highlight w:val="none"/>
          <w:lang w:val="en-US" w:eastAsia="zh-CN"/>
        </w:rPr>
        <w:t xml:space="preserve">磋商文件</w:t>
      </w:r>
      <w:r>
        <w:rPr>
          <w:rFonts w:hint="eastAsia" w:ascii="宋体" w:hAnsi="宋体" w:cs="宋体"/>
          <w:color w:val="auto"/>
          <w:sz w:val="24"/>
          <w:highlight w:val="none"/>
        </w:rPr>
        <w:t xml:space="preserve">，方能参与政府采购项目）；</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方式：本项目采用网上注册登记方式；</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售价：0.00元。</w:t>
      </w:r>
      <w:r/>
    </w:p>
    <w:p>
      <w:pPr>
        <w:pStyle w:val="748"/>
        <w:jc w:val="both"/>
        <w:spacing w:before="0" w:after="0" w:line="520" w:lineRule="exact"/>
        <w:rPr>
          <w:rFonts w:ascii="宋体" w:hAnsi="宋体" w:eastAsia="宋体" w:cs="宋体"/>
          <w:bCs/>
          <w:color w:val="auto"/>
          <w:sz w:val="24"/>
          <w:szCs w:val="24"/>
          <w:highlight w:val="none"/>
        </w:rPr>
      </w:pPr>
      <w:r/>
      <w:bookmarkStart w:id="27" w:name="_Toc203032687"/>
      <w:r>
        <w:rPr>
          <w:rFonts w:hint="eastAsia" w:ascii="宋体" w:hAnsi="宋体" w:eastAsia="宋体" w:cs="宋体"/>
          <w:bCs/>
          <w:color w:val="auto"/>
          <w:sz w:val="24"/>
          <w:szCs w:val="24"/>
          <w:highlight w:val="none"/>
        </w:rPr>
        <w:t xml:space="preserve">四、</w:t>
      </w:r>
      <w:bookmarkEnd w:id="22"/>
      <w:r/>
      <w:bookmarkEnd w:id="23"/>
      <w:r/>
      <w:bookmarkEnd w:id="24"/>
      <w:r/>
      <w:bookmarkEnd w:id="25"/>
      <w:r/>
      <w:bookmarkEnd w:id="26"/>
      <w:r/>
      <w:bookmarkEnd w:id="27"/>
      <w:r>
        <w:rPr>
          <w:rFonts w:hint="eastAsia" w:ascii="宋体" w:hAnsi="宋体" w:eastAsia="宋体" w:cs="宋体"/>
          <w:bCs/>
          <w:color w:val="auto"/>
          <w:sz w:val="24"/>
          <w:szCs w:val="24"/>
          <w:highlight w:val="none"/>
        </w:rPr>
        <w:t xml:space="preserve">响应文件提交</w:t>
      </w:r>
      <w:r/>
    </w:p>
    <w:p>
      <w:pPr>
        <w:ind w:firstLine="480"/>
        <w:spacing w:line="520" w:lineRule="exact"/>
        <w:rPr>
          <w:rFonts w:ascii="宋体" w:hAnsi="宋体"/>
          <w:color w:val="auto"/>
          <w:sz w:val="24"/>
          <w:highlight w:val="none"/>
        </w:rPr>
      </w:pPr>
      <w:r/>
      <w:bookmarkStart w:id="28" w:name="_Toc35393633"/>
      <w:r/>
      <w:bookmarkStart w:id="29" w:name="_Toc28359016"/>
      <w:r/>
      <w:bookmarkStart w:id="30" w:name="_Toc166856190"/>
      <w:r/>
      <w:bookmarkStart w:id="31" w:name="_Toc28359093"/>
      <w:r/>
      <w:bookmarkStart w:id="32" w:name="_Toc35393802"/>
      <w:r/>
      <w:bookmarkStart w:id="33" w:name="_Toc28359094"/>
      <w:r/>
      <w:bookmarkStart w:id="34" w:name="_Toc35393634"/>
      <w:r/>
      <w:bookmarkStart w:id="35" w:name="_Toc28359017"/>
      <w:r/>
      <w:bookmarkStart w:id="36" w:name="_Toc35393803"/>
      <w:r>
        <w:rPr>
          <w:rFonts w:hint="eastAsia" w:ascii="宋体" w:hAnsi="宋体"/>
          <w:color w:val="auto"/>
          <w:sz w:val="24"/>
          <w:highlight w:val="none"/>
        </w:rPr>
        <w:t xml:space="preserve">截止时间：</w:t>
      </w:r>
      <w:r>
        <w:rPr>
          <w:rFonts w:hint="eastAsia" w:ascii="宋体" w:hAnsi="宋体"/>
          <w:color w:val="auto"/>
          <w:sz w:val="24"/>
          <w:highlight w:val="none"/>
          <w:lang w:eastAsia="zh-CN"/>
        </w:rPr>
        <w:t xml:space="preserve">2026年10月</w:t>
      </w:r>
      <w:r>
        <w:rPr>
          <w:rFonts w:hint="eastAsia" w:ascii="宋体" w:hAnsi="宋体"/>
          <w:color w:val="auto"/>
          <w:sz w:val="24"/>
          <w:highlight w:val="none"/>
          <w:lang w:val="en-US" w:eastAsia="zh-CN"/>
        </w:rPr>
        <w:t xml:space="preserve">15</w:t>
      </w:r>
      <w:r>
        <w:rPr>
          <w:rFonts w:hint="eastAsia" w:ascii="宋体" w:hAnsi="宋体"/>
          <w:color w:val="auto"/>
          <w:sz w:val="24"/>
          <w:highlight w:val="none"/>
          <w:lang w:eastAsia="zh-CN"/>
        </w:rPr>
        <w:t xml:space="preserve">日</w:t>
      </w:r>
      <w:r>
        <w:rPr>
          <w:rFonts w:hint="eastAsia" w:ascii="宋体" w:hAnsi="宋体"/>
          <w:color w:val="auto"/>
          <w:sz w:val="24"/>
          <w:highlight w:val="none"/>
          <w:lang w:val="en-US" w:eastAsia="zh-CN"/>
        </w:rPr>
        <w:t xml:space="preserve">09</w:t>
      </w:r>
      <w:r>
        <w:rPr>
          <w:rFonts w:hint="eastAsia" w:ascii="宋体" w:hAnsi="宋体"/>
          <w:color w:val="auto"/>
          <w:sz w:val="24"/>
          <w:highlight w:val="none"/>
          <w:lang w:eastAsia="zh-CN"/>
        </w:rPr>
        <w:t xml:space="preserve">时00分（</w:t>
      </w:r>
      <w:r>
        <w:rPr>
          <w:rFonts w:hint="eastAsia" w:ascii="宋体" w:hAnsi="宋体"/>
          <w:color w:val="auto"/>
          <w:sz w:val="24"/>
          <w:highlight w:val="none"/>
        </w:rPr>
        <w:t xml:space="preserve">北京时间）</w:t>
      </w:r>
      <w:r/>
    </w:p>
    <w:p>
      <w:pPr>
        <w:ind w:firstLine="480"/>
        <w:spacing w:line="520" w:lineRule="exact"/>
        <w:rPr>
          <w:rFonts w:ascii="宋体" w:hAnsi="宋体" w:cs="宋体"/>
          <w:color w:val="auto"/>
          <w:sz w:val="24"/>
          <w:highlight w:val="none"/>
        </w:rPr>
      </w:pPr>
      <w:r>
        <w:rPr>
          <w:rFonts w:hint="eastAsia" w:ascii="宋体" w:hAnsi="宋体"/>
          <w:color w:val="auto"/>
          <w:sz w:val="24"/>
          <w:highlight w:val="none"/>
        </w:rPr>
        <w:t xml:space="preserve">地点：“苏采云”政府采购交易系统网上开标大厅  </w:t>
      </w:r>
      <w:r>
        <w:rPr>
          <w:rFonts w:hint="eastAsia" w:ascii="宋体" w:hAnsi="宋体" w:cs="宋体"/>
          <w:color w:val="auto"/>
          <w:sz w:val="24"/>
          <w:highlight w:val="none"/>
        </w:rPr>
        <w:t xml:space="preserve"> </w:t>
      </w:r>
      <w:bookmarkEnd w:id="28"/>
      <w:r/>
      <w:bookmarkEnd w:id="29"/>
      <w:r/>
      <w:bookmarkEnd w:id="30"/>
      <w:r/>
      <w:bookmarkEnd w:id="31"/>
      <w:r/>
      <w:bookmarkEnd w:id="32"/>
      <w:r/>
      <w:r/>
    </w:p>
    <w:p>
      <w:pPr>
        <w:pStyle w:val="748"/>
        <w:jc w:val="both"/>
        <w:spacing w:before="0" w:after="0" w:line="520" w:lineRule="exact"/>
        <w:rPr>
          <w:rFonts w:ascii="宋体" w:hAnsi="宋体" w:eastAsia="宋体" w:cs="宋体"/>
          <w:bCs/>
          <w:color w:val="auto"/>
          <w:sz w:val="24"/>
          <w:szCs w:val="24"/>
          <w:highlight w:val="none"/>
        </w:rPr>
      </w:pPr>
      <w:r/>
      <w:bookmarkStart w:id="37" w:name="_Toc166856191"/>
      <w:r/>
      <w:bookmarkStart w:id="38" w:name="_Toc203032688"/>
      <w:r>
        <w:rPr>
          <w:rFonts w:hint="eastAsia" w:ascii="宋体" w:hAnsi="宋体" w:eastAsia="宋体" w:cs="宋体"/>
          <w:bCs/>
          <w:color w:val="auto"/>
          <w:sz w:val="24"/>
          <w:szCs w:val="24"/>
          <w:highlight w:val="none"/>
        </w:rPr>
        <w:t xml:space="preserve">五、开启</w:t>
      </w:r>
      <w:r/>
    </w:p>
    <w:p>
      <w:pPr>
        <w:pStyle w:val="748"/>
        <w:ind w:firstLine="480"/>
        <w:jc w:val="both"/>
        <w:spacing w:before="0" w:after="0"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时间：</w:t>
      </w:r>
      <w:r>
        <w:rPr>
          <w:rFonts w:hint="eastAsia" w:ascii="宋体" w:hAnsi="宋体" w:eastAsia="宋体"/>
          <w:b w:val="0"/>
          <w:color w:val="auto"/>
          <w:sz w:val="24"/>
          <w:szCs w:val="24"/>
          <w:highlight w:val="none"/>
          <w:lang w:eastAsia="zh-CN"/>
        </w:rPr>
        <w:t xml:space="preserve">2026年10月</w:t>
      </w:r>
      <w:r>
        <w:rPr>
          <w:rFonts w:hint="eastAsia" w:ascii="宋体" w:hAnsi="宋体" w:eastAsia="宋体"/>
          <w:b w:val="0"/>
          <w:color w:val="auto"/>
          <w:sz w:val="24"/>
          <w:szCs w:val="24"/>
          <w:highlight w:val="none"/>
          <w:lang w:val="en-US" w:eastAsia="zh-CN"/>
        </w:rPr>
        <w:t xml:space="preserve">15</w:t>
      </w:r>
      <w:r>
        <w:rPr>
          <w:rFonts w:hint="eastAsia" w:ascii="宋体" w:hAnsi="宋体" w:eastAsia="宋体"/>
          <w:b w:val="0"/>
          <w:color w:val="auto"/>
          <w:sz w:val="24"/>
          <w:szCs w:val="24"/>
          <w:highlight w:val="none"/>
          <w:lang w:eastAsia="zh-CN"/>
        </w:rPr>
        <w:t xml:space="preserve">日</w:t>
      </w:r>
      <w:r>
        <w:rPr>
          <w:rFonts w:hint="eastAsia" w:ascii="宋体" w:hAnsi="宋体" w:eastAsia="宋体"/>
          <w:b w:val="0"/>
          <w:color w:val="auto"/>
          <w:sz w:val="24"/>
          <w:szCs w:val="24"/>
          <w:highlight w:val="none"/>
          <w:lang w:val="en-US" w:eastAsia="zh-CN"/>
        </w:rPr>
        <w:t xml:space="preserve">09</w:t>
      </w:r>
      <w:r>
        <w:rPr>
          <w:rFonts w:hint="eastAsia" w:ascii="宋体" w:hAnsi="宋体" w:eastAsia="宋体"/>
          <w:b w:val="0"/>
          <w:color w:val="auto"/>
          <w:sz w:val="24"/>
          <w:szCs w:val="24"/>
          <w:highlight w:val="none"/>
          <w:lang w:eastAsia="zh-CN"/>
        </w:rPr>
        <w:t xml:space="preserve">时00分</w:t>
      </w:r>
      <w:r>
        <w:rPr>
          <w:rFonts w:hint="eastAsia" w:ascii="宋体" w:hAnsi="宋体" w:eastAsia="宋体"/>
          <w:b w:val="0"/>
          <w:color w:val="auto"/>
          <w:sz w:val="24"/>
          <w:szCs w:val="24"/>
          <w:highlight w:val="none"/>
        </w:rPr>
        <w:t xml:space="preserve">（北京时间）</w:t>
      </w:r>
      <w:r/>
    </w:p>
    <w:p>
      <w:pPr>
        <w:pStyle w:val="748"/>
        <w:ind w:firstLine="480"/>
        <w:jc w:val="both"/>
        <w:spacing w:before="0" w:after="0" w:line="520" w:lineRule="exact"/>
        <w:rPr>
          <w:rFonts w:ascii="宋体" w:hAnsi="宋体" w:cs="宋体"/>
          <w:b w:val="0"/>
          <w:color w:val="auto"/>
          <w:sz w:val="24"/>
          <w:highlight w:val="none"/>
        </w:rPr>
      </w:pPr>
      <w:r>
        <w:rPr>
          <w:rFonts w:hint="eastAsia" w:ascii="宋体" w:hAnsi="宋体" w:eastAsia="宋体"/>
          <w:b w:val="0"/>
          <w:color w:val="auto"/>
          <w:sz w:val="24"/>
          <w:szCs w:val="24"/>
          <w:highlight w:val="none"/>
        </w:rPr>
        <w:t xml:space="preserve">地点：“苏采云”政府采购交易系统网上开标大厅  </w:t>
      </w:r>
      <w:r/>
    </w:p>
    <w:p>
      <w:pPr>
        <w:pStyle w:val="748"/>
        <w:jc w:val="both"/>
        <w:spacing w:before="0" w:after="0" w:line="52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六、公告期限</w:t>
      </w:r>
      <w:bookmarkEnd w:id="33"/>
      <w:r/>
      <w:bookmarkEnd w:id="34"/>
      <w:r/>
      <w:bookmarkEnd w:id="35"/>
      <w:r/>
      <w:bookmarkEnd w:id="36"/>
      <w:r/>
      <w:bookmarkEnd w:id="37"/>
      <w:r/>
      <w:bookmarkEnd w:id="38"/>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pStyle w:val="748"/>
        <w:jc w:val="both"/>
        <w:spacing w:before="0" w:after="0" w:line="520" w:lineRule="exact"/>
        <w:rPr>
          <w:rFonts w:ascii="宋体" w:hAnsi="宋体" w:eastAsia="宋体" w:cs="宋体"/>
          <w:bCs/>
          <w:color w:val="auto"/>
          <w:sz w:val="24"/>
          <w:szCs w:val="24"/>
          <w:highlight w:val="none"/>
        </w:rPr>
      </w:pPr>
      <w:r/>
      <w:bookmarkStart w:id="39" w:name="_Toc35393635"/>
      <w:r/>
      <w:bookmarkStart w:id="40" w:name="_Toc35393804"/>
      <w:r/>
      <w:bookmarkStart w:id="41" w:name="_Toc166856192"/>
      <w:r/>
      <w:bookmarkStart w:id="42" w:name="_Toc203032689"/>
      <w:r>
        <w:rPr>
          <w:rFonts w:hint="eastAsia" w:ascii="宋体" w:hAnsi="宋体" w:eastAsia="宋体" w:cs="宋体"/>
          <w:bCs/>
          <w:color w:val="auto"/>
          <w:sz w:val="24"/>
          <w:szCs w:val="24"/>
          <w:highlight w:val="none"/>
        </w:rPr>
        <w:t xml:space="preserve">七、其他补充事宜</w:t>
      </w:r>
      <w:bookmarkEnd w:id="39"/>
      <w:r/>
      <w:bookmarkEnd w:id="40"/>
      <w:r/>
      <w:bookmarkEnd w:id="41"/>
      <w:r/>
      <w:bookmarkEnd w:id="42"/>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bookmarkStart w:id="43" w:name="_Toc35393805"/>
      <w:r/>
      <w:bookmarkStart w:id="44" w:name="_Toc35393636"/>
      <w:r/>
      <w:bookmarkStart w:id="45" w:name="_Toc203032690"/>
      <w:r/>
      <w:bookmarkStart w:id="46" w:name="_Toc28359095"/>
      <w:r/>
      <w:bookmarkStart w:id="47" w:name="_Toc166856193"/>
      <w:r/>
      <w:bookmarkStart w:id="48" w:name="_Toc28359018"/>
      <w:r>
        <w:rPr>
          <w:rFonts w:hint="eastAsia" w:ascii="宋体" w:hAnsi="宋体" w:cs="宋体"/>
          <w:color w:val="auto"/>
          <w:sz w:val="24"/>
          <w:highlight w:val="none"/>
          <w:shd w:val="clear" w:color="auto" w:fill="ffffff"/>
          <w:lang w:bidi="ar"/>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w:t>
      </w:r>
      <w:r>
        <w:rPr>
          <w:rFonts w:ascii="宋体" w:hAnsi="宋体" w:eastAsia="宋体" w:cs="宋体"/>
          <w:sz w:val="24"/>
          <w:szCs w:val="24"/>
        </w:rPr>
        <w:t xml:space="preserve">响应文</w:t>
      </w:r>
      <w:r>
        <w:rPr>
          <w:rFonts w:hint="eastAsia" w:ascii="宋体" w:hAnsi="宋体" w:cs="宋体"/>
          <w:color w:val="auto"/>
          <w:sz w:val="24"/>
          <w:highlight w:val="none"/>
          <w:shd w:val="clear" w:color="auto" w:fill="ffffff"/>
          <w:lang w:bidi="ar"/>
        </w:rPr>
        <w:t xml:space="preserve">件,《苏采云系统供应商操作手册》，手册下载地址：苏采云系统-右侧消息通知栏。</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2. 潜在供应商访问电子招标响应交易平台的网络地址和方法：    </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2.2潜在投标人访问“苏采云”系统方法：江苏省政府采购网首页-“苏采云”链接。 </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2.3 采购文件（后缀名为“.kedt”）、供应商操作手册及政府采购客户端工具可通过“苏采云”系统相应链接进行下载。 </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2.4采购代理机构将数据电文形式的采购文件加载至“苏采云”系统，供潜在供应商下载或者查阅。 </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2.5请潜在投标单位提前安装相应的控件（详见《“苏采云”系统供应商操作手册》）并使用谷歌浏览器登录“苏采云”系统参与不见面开评标。</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如潜在投标人未按上述要求操作，将自行承担所产生的风险。</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3.有关本次磋商的事项若存在变动或修改，敬请及时关注采购人在“中国政府采购网”、“江苏政府采购网”、“盐城市政府采购网”</w:t>
      </w:r>
      <w:r>
        <w:rPr>
          <w:rFonts w:hint="eastAsia" w:ascii="宋体" w:hAnsi="宋体" w:eastAsia="宋体" w:cs="宋体"/>
          <w:color w:val="auto"/>
          <w:sz w:val="24"/>
          <w:highlight w:val="none"/>
          <w:shd w:val="clear" w:color="auto" w:fill="ffffff"/>
          <w:lang w:eastAsia="zh-CN" w:bidi="ar"/>
        </w:rPr>
        <w:t xml:space="preserve">“</w:t>
      </w:r>
      <w:r>
        <w:rPr>
          <w:rFonts w:hint="eastAsia" w:ascii="宋体" w:hAnsi="宋体" w:eastAsia="宋体" w:cs="宋体"/>
          <w:color w:val="auto"/>
          <w:sz w:val="24"/>
          <w:highlight w:val="none"/>
          <w:shd w:val="clear" w:color="auto" w:fill="ffffff"/>
          <w:lang w:bidi="ar"/>
        </w:rPr>
        <w:fldChar w:fldCharType="begin"/>
      </w:r>
      <w:r>
        <w:rPr>
          <w:rFonts w:hint="eastAsia" w:ascii="宋体" w:hAnsi="宋体" w:eastAsia="宋体" w:cs="宋体"/>
          <w:color w:val="auto"/>
          <w:sz w:val="24"/>
          <w:highlight w:val="none"/>
          <w:shd w:val="clear" w:color="auto" w:fill="ffffff"/>
          <w:lang w:bidi="ar"/>
        </w:rPr>
        <w:instrText xml:space="preserve"> HYPERLINK "http://222.188.117.130:8002/home" </w:instrText>
      </w:r>
      <w:r>
        <w:rPr>
          <w:rFonts w:hint="eastAsia" w:ascii="宋体" w:hAnsi="宋体" w:eastAsia="宋体" w:cs="宋体"/>
          <w:color w:val="auto"/>
          <w:sz w:val="24"/>
          <w:highlight w:val="none"/>
          <w:shd w:val="clear" w:color="auto" w:fill="ffffff"/>
          <w:lang w:bidi="ar"/>
        </w:rPr>
        <w:fldChar w:fldCharType="separate"/>
      </w:r>
      <w:r>
        <w:rPr>
          <w:rFonts w:hint="eastAsia" w:ascii="宋体" w:hAnsi="宋体" w:eastAsia="宋体" w:cs="宋体"/>
          <w:color w:val="auto"/>
          <w:sz w:val="24"/>
          <w:highlight w:val="none"/>
          <w:shd w:val="clear" w:color="auto" w:fill="ffffff"/>
          <w:lang w:bidi="ar"/>
        </w:rPr>
        <w:t xml:space="preserve">阜宁县公共资源电子化综合交易平台</w:t>
      </w:r>
      <w:r>
        <w:rPr>
          <w:rFonts w:hint="eastAsia" w:ascii="宋体" w:hAnsi="宋体" w:eastAsia="宋体" w:cs="宋体"/>
          <w:color w:val="auto"/>
          <w:sz w:val="24"/>
          <w:highlight w:val="none"/>
          <w:shd w:val="clear" w:color="auto" w:fill="ffffff"/>
          <w:lang w:bidi="ar"/>
        </w:rPr>
        <w:fldChar w:fldCharType="end"/>
      </w:r>
      <w:r>
        <w:rPr>
          <w:rFonts w:hint="eastAsia" w:ascii="宋体" w:hAnsi="宋体" w:eastAsia="宋体" w:cs="宋体"/>
          <w:color w:val="auto"/>
          <w:sz w:val="24"/>
          <w:highlight w:val="none"/>
          <w:shd w:val="clear" w:color="auto" w:fill="ffffff"/>
          <w:lang w:val="en-US" w:eastAsia="zh-CN" w:bidi="ar"/>
        </w:rPr>
        <w:t xml:space="preserve">”</w:t>
      </w:r>
      <w:r>
        <w:rPr>
          <w:rFonts w:hint="eastAsia" w:ascii="宋体" w:hAnsi="宋体" w:cs="宋体"/>
          <w:color w:val="auto"/>
          <w:sz w:val="24"/>
          <w:highlight w:val="none"/>
          <w:shd w:val="clear" w:color="auto" w:fill="ffffff"/>
          <w:lang w:bidi="ar"/>
        </w:rPr>
        <w:t xml:space="preserve">发布的更正公告。</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4.供应商不得提供虚假材料谋取中标成交的或采取不正当手段诋毁、排挤其他供应商。</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5.供应商存在串通投标、以他人名义投标、弄虚作假等违法违规行为，或者无正当理由放弃投标、中标资格，造成项目招标失败的，不得参加该项目重新招标的投标。</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6.因供应商的系统环境、操作等原因导致项目参与、开评标过程中出现问题由供应商自行承担负责。</w:t>
      </w:r>
      <w:r/>
    </w:p>
    <w:p>
      <w:pPr>
        <w:ind w:firstLine="480"/>
        <w:spacing w:line="500" w:lineRule="atLeast"/>
        <w:shd w:val="clear" w:color="auto" w:fill="ffffff"/>
        <w:widowControl/>
        <w:rPr>
          <w:rFonts w:hint="eastAsia"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7.本次磋商不收取投标保证金。</w:t>
      </w:r>
      <w:r/>
    </w:p>
    <w:p>
      <w:pPr>
        <w:pStyle w:val="748"/>
        <w:jc w:val="both"/>
        <w:spacing w:before="0" w:after="0" w:line="52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八、凡对本次采购提出询问，请按以下方式联系。</w:t>
      </w:r>
      <w:bookmarkEnd w:id="43"/>
      <w:r/>
      <w:bookmarkEnd w:id="44"/>
      <w:r/>
      <w:bookmarkEnd w:id="45"/>
      <w:r/>
      <w:bookmarkEnd w:id="46"/>
      <w:r/>
      <w:bookmarkEnd w:id="47"/>
      <w:r/>
      <w:bookmarkEnd w:id="48"/>
      <w:r/>
      <w:r/>
    </w:p>
    <w:p>
      <w:pPr>
        <w:ind w:firstLine="480"/>
        <w:spacing w:line="520" w:lineRule="exact"/>
        <w:rPr>
          <w:rFonts w:ascii="宋体" w:hAnsi="宋体" w:cs="宋体"/>
          <w:color w:val="auto"/>
          <w:sz w:val="24"/>
          <w:highlight w:val="none"/>
        </w:rPr>
      </w:pPr>
      <w:r/>
      <w:bookmarkStart w:id="49" w:name="_Toc35393806"/>
      <w:r/>
      <w:bookmarkStart w:id="50" w:name="_Toc28359096"/>
      <w:r/>
      <w:bookmarkStart w:id="51" w:name="_Toc35393637"/>
      <w:r/>
      <w:bookmarkStart w:id="52" w:name="_Toc28359019"/>
      <w:r>
        <w:rPr>
          <w:rFonts w:hint="eastAsia" w:ascii="宋体" w:hAnsi="宋体" w:cs="宋体"/>
          <w:color w:val="auto"/>
          <w:sz w:val="24"/>
          <w:highlight w:val="none"/>
        </w:rPr>
        <w:t xml:space="preserve">1.采购人信息</w:t>
      </w:r>
      <w:bookmarkEnd w:id="49"/>
      <w:r/>
      <w:bookmarkEnd w:id="50"/>
      <w:r/>
      <w:bookmarkEnd w:id="51"/>
      <w:r/>
      <w:bookmarkEnd w:id="52"/>
      <w:r/>
      <w:bookmarkStart w:id="53" w:name="_Toc35393807"/>
      <w:r/>
      <w:bookmarkEnd w:id="53"/>
      <w:r/>
      <w:bookmarkStart w:id="54" w:name="_Toc28359020"/>
      <w:r/>
      <w:bookmarkEnd w:id="54"/>
      <w:r/>
      <w:bookmarkStart w:id="55" w:name="_Toc35393638"/>
      <w:r/>
      <w:bookmarkEnd w:id="55"/>
      <w:r/>
      <w:bookmarkStart w:id="56" w:name="_Toc28359097"/>
      <w:r/>
      <w:bookmarkEnd w:id="56"/>
      <w:r/>
      <w:r/>
    </w:p>
    <w:p>
      <w:pPr>
        <w:ind w:firstLine="480"/>
        <w:spacing w:line="520" w:lineRule="exact"/>
        <w:rPr>
          <w:rFonts w:hint="eastAsia" w:ascii="宋体" w:hAnsi="宋体" w:eastAsia="宋体" w:cs="宋体"/>
          <w:color w:val="auto"/>
          <w:sz w:val="24"/>
          <w:highlight w:val="none"/>
          <w:lang w:eastAsia="zh-CN"/>
        </w:rPr>
      </w:pPr>
      <w:r/>
      <w:bookmarkStart w:id="57" w:name="_Toc28359021"/>
      <w:r/>
      <w:bookmarkStart w:id="58" w:name="_Toc35393639"/>
      <w:r/>
      <w:bookmarkStart w:id="59" w:name="_Toc28359098"/>
      <w:r/>
      <w:bookmarkStart w:id="60" w:name="_Toc35393808"/>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阜宁县烈士陵园管理所</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    址：</w:t>
      </w:r>
      <w:r>
        <w:rPr>
          <w:rFonts w:hint="eastAsia" w:ascii="宋体" w:hAnsi="宋体" w:cs="宋体"/>
          <w:color w:val="auto"/>
          <w:sz w:val="24"/>
          <w:szCs w:val="20"/>
          <w:highlight w:val="none"/>
          <w:lang w:eastAsia="zh-CN"/>
        </w:rPr>
        <w:t xml:space="preserve">江苏省盐城市阜宁县阜城街道城河路 49 号</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联 系 人：</w:t>
      </w:r>
      <w:r>
        <w:rPr>
          <w:rFonts w:hint="eastAsia" w:ascii="宋体" w:hAnsi="宋体" w:cs="宋体"/>
          <w:color w:val="auto"/>
          <w:sz w:val="24"/>
          <w:highlight w:val="none"/>
          <w:lang w:val="en-US" w:eastAsia="zh-CN"/>
        </w:rPr>
        <w:t xml:space="preserve">郑所长</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15189353688</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2.采购代理机构信息</w:t>
      </w:r>
      <w:bookmarkEnd w:id="57"/>
      <w:r/>
      <w:bookmarkEnd w:id="58"/>
      <w:r/>
      <w:bookmarkEnd w:id="59"/>
      <w:r/>
      <w:bookmarkEnd w:id="60"/>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江苏至公工程项目管理有限公司</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    址：</w:t>
      </w:r>
      <w:r>
        <w:rPr>
          <w:rFonts w:hint="eastAsia" w:ascii="宋体" w:hAnsi="宋体" w:cs="宋体"/>
          <w:color w:val="auto"/>
          <w:sz w:val="24"/>
          <w:highlight w:val="none"/>
          <w:lang w:eastAsia="zh-CN"/>
        </w:rPr>
        <w:t xml:space="preserve">阜宁县宝丰国际商博城32#-201室</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 系 人：</w:t>
      </w:r>
      <w:r>
        <w:rPr>
          <w:rFonts w:hint="eastAsia" w:cs="宋体"/>
          <w:color w:val="auto"/>
          <w:sz w:val="24"/>
          <w:szCs w:val="20"/>
          <w:highlight w:val="none"/>
          <w:lang w:eastAsia="zh-CN"/>
        </w:rPr>
        <w:t xml:space="preserve">胡建萍</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19569462333</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联 系 人：</w:t>
      </w:r>
      <w:r>
        <w:rPr>
          <w:rFonts w:hint="eastAsia" w:cs="宋体"/>
          <w:color w:val="auto"/>
          <w:sz w:val="24"/>
          <w:szCs w:val="20"/>
          <w:highlight w:val="none"/>
          <w:lang w:eastAsia="zh-CN"/>
        </w:rPr>
        <w:t xml:space="preserve">胡建萍</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19569462333</w:t>
      </w:r>
      <w:r/>
    </w:p>
    <w:p>
      <w:pPr>
        <w:jc w:val="center"/>
        <w:widowControl/>
        <w:rPr>
          <w:color w:val="auto"/>
          <w:sz w:val="36"/>
          <w:szCs w:val="36"/>
          <w:highlight w:val="none"/>
        </w:rPr>
      </w:pPr>
      <w:r>
        <w:rPr>
          <w:color w:val="auto"/>
          <w:sz w:val="36"/>
          <w:szCs w:val="36"/>
          <w:highlight w:val="none"/>
        </w:rPr>
        <w:br w:type="page" w:clear="all"/>
      </w:r>
      <w:bookmarkStart w:id="61" w:name="_Toc203032691"/>
      <w:r>
        <w:rPr>
          <w:rFonts w:hint="eastAsia"/>
          <w:color w:val="auto"/>
          <w:sz w:val="36"/>
          <w:szCs w:val="36"/>
          <w:highlight w:val="none"/>
        </w:rPr>
        <w:t xml:space="preserve">第二章  磋商须知</w:t>
      </w:r>
      <w:bookmarkEnd w:id="1"/>
      <w:r/>
      <w:bookmarkEnd w:id="2"/>
      <w:r/>
      <w:bookmarkEnd w:id="3"/>
      <w:r/>
      <w:bookmarkEnd w:id="61"/>
      <w:r/>
      <w:r/>
    </w:p>
    <w:p>
      <w:pPr>
        <w:ind w:firstLine="2040"/>
        <w:spacing w:after="143" w:line="360" w:lineRule="auto"/>
        <w:rPr>
          <w:rFonts w:ascii="宋体" w:hAnsi="宋体"/>
          <w:b/>
          <w:bCs/>
          <w:color w:val="auto"/>
          <w:sz w:val="24"/>
          <w:highlight w:val="none"/>
        </w:rPr>
      </w:pPr>
      <w:r/>
      <w:bookmarkStart w:id="62" w:name="_Toc513029237"/>
      <w:r/>
      <w:bookmarkStart w:id="63" w:name="_Toc16938553"/>
      <w:r/>
      <w:bookmarkStart w:id="64" w:name="_Toc20823309"/>
      <w:r>
        <w:rPr>
          <w:rFonts w:hint="eastAsia" w:ascii="宋体" w:hAnsi="宋体"/>
          <w:bCs/>
          <w:color w:val="auto"/>
          <w:sz w:val="24"/>
          <w:highlight w:val="none"/>
        </w:rPr>
        <w:t xml:space="preserve">（参加竞争性磋商的供应商以下简称“磋商供应商”）</w:t>
      </w:r>
      <w:r/>
    </w:p>
    <w:p>
      <w:pPr>
        <w:ind w:firstLine="480"/>
        <w:spacing w:line="440" w:lineRule="exact"/>
        <w:rPr>
          <w:rFonts w:hint="eastAsia" w:ascii="宋体" w:hAnsi="宋体"/>
          <w:b/>
          <w:bCs w:val="0"/>
          <w:color w:val="auto"/>
          <w:sz w:val="24"/>
          <w:highlight w:val="none"/>
        </w:rPr>
      </w:pPr>
      <w:r/>
      <w:bookmarkStart w:id="65" w:name="_Toc14577351"/>
      <w:r/>
      <w:bookmarkStart w:id="66" w:name="_Toc61149553"/>
      <w:r/>
      <w:bookmarkStart w:id="67" w:name="_Toc513029213"/>
      <w:r/>
      <w:bookmarkStart w:id="68" w:name="_Toc462564072"/>
      <w:r>
        <w:rPr>
          <w:rFonts w:hint="eastAsia" w:ascii="宋体" w:hAnsi="宋体"/>
          <w:b/>
          <w:bCs w:val="0"/>
          <w:color w:val="auto"/>
          <w:sz w:val="24"/>
          <w:highlight w:val="none"/>
        </w:rPr>
        <w:t xml:space="preserve">一、总则</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1.采购方式</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1.1本次政府采购活动采取竞争性磋商(以下简称磋商)方式，本磋商文件仅适用于磋商公告中所述项目。</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2.合格的供应商</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2.1满足磋商公告中供应商资格要求的规定。</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2.2 满足本磋商文件实质性要求和条件的规定。</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3.适用法律</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3.1 本次磋商及由此产生的合同受中华人民共和国有关的法律法规制约和保护。</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4.磋商费用</w:t>
      </w:r>
      <w:r/>
    </w:p>
    <w:p>
      <w:pPr>
        <w:ind w:firstLine="480"/>
        <w:spacing w:line="440" w:lineRule="exact"/>
        <w:rPr>
          <w:rFonts w:hint="eastAsia" w:ascii="宋体" w:hAnsi="宋体"/>
          <w:b w:val="0"/>
          <w:bCs/>
          <w:color w:val="auto"/>
          <w:sz w:val="24"/>
          <w:highlight w:val="none"/>
        </w:rPr>
      </w:pPr>
      <w:r>
        <w:rPr>
          <w:rFonts w:hint="eastAsia" w:ascii="宋体" w:hAnsi="宋体"/>
          <w:b w:val="0"/>
          <w:bCs/>
          <w:color w:val="auto"/>
          <w:sz w:val="24"/>
          <w:highlight w:val="none"/>
        </w:rPr>
        <w:t xml:space="preserve">4.1供应商应自行承担所有与参加本次磋商有关的费用，无论磋商过程中的做法和结果如何，采购人及采购代理公司（以下简称“代理公司”）任何情况下均无义务和责任承担这些费用。</w:t>
      </w:r>
      <w:r/>
    </w:p>
    <w:p>
      <w:pPr>
        <w:ind w:firstLine="480"/>
        <w:spacing w:line="440" w:lineRule="exact"/>
        <w:rPr>
          <w:rFonts w:ascii="宋体" w:hAnsi="宋体" w:cs="宋体"/>
          <w:b/>
          <w:bCs/>
          <w:color w:val="auto"/>
          <w:sz w:val="24"/>
          <w:highlight w:val="none"/>
        </w:rPr>
      </w:pPr>
      <w:r>
        <w:rPr>
          <w:rFonts w:hint="eastAsia" w:ascii="宋体" w:hAnsi="宋体"/>
          <w:color w:val="auto"/>
          <w:sz w:val="24"/>
          <w:highlight w:val="none"/>
        </w:rPr>
        <w:t xml:space="preserve">4.2代理机构将根据委托代理合同和《政府采购代理机构管理暂行办法》【财库（2018）2号】第十五条规定，按采购项目成交价的</w:t>
      </w: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%向成交供应商收取招标代理费，由成交供应商在领取中标通知书时一次性支付。各供应商报价时需充分考虑该项费用，但不单列，自行分摊至投标报价中，结算时采购人不再另行增加任何费用给成交供应商。</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5.磋商文件的约束力</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5.1供应商一旦参加本项目采购活动，即被认为接受了本磋商文件的规定和约束。</w:t>
      </w:r>
      <w:r/>
    </w:p>
    <w:p>
      <w:pPr>
        <w:ind w:firstLine="482"/>
        <w:spacing w:line="440" w:lineRule="exact"/>
        <w:tabs>
          <w:tab w:val="left" w:pos="900" w:leader="none"/>
        </w:tabs>
        <w:rPr>
          <w:rFonts w:ascii="宋体" w:hAnsi="宋体"/>
          <w:b/>
          <w:color w:val="auto"/>
          <w:sz w:val="24"/>
          <w:highlight w:val="none"/>
        </w:rPr>
        <w:outlineLvl w:val="1"/>
      </w:pPr>
      <w:r/>
      <w:bookmarkStart w:id="69" w:name="_Toc203032693"/>
      <w:r>
        <w:rPr>
          <w:rFonts w:hint="eastAsia" w:ascii="宋体" w:hAnsi="宋体"/>
          <w:b/>
          <w:color w:val="auto"/>
          <w:sz w:val="24"/>
          <w:highlight w:val="none"/>
        </w:rPr>
        <w:t xml:space="preserve">二、磋商文件</w:t>
      </w:r>
      <w:bookmarkEnd w:id="65"/>
      <w:r/>
      <w:bookmarkEnd w:id="66"/>
      <w:r/>
      <w:bookmarkEnd w:id="67"/>
      <w:r/>
      <w:bookmarkEnd w:id="68"/>
      <w:r/>
      <w:bookmarkEnd w:id="69"/>
      <w:r/>
      <w:bookmarkStart w:id="70" w:name="_Toc513029223"/>
      <w:r/>
      <w:bookmarkEnd w:id="70"/>
      <w:r/>
      <w:bookmarkStart w:id="71" w:name="_Toc14577361"/>
      <w:r/>
      <w:bookmarkEnd w:id="71"/>
      <w:r/>
      <w:bookmarkStart w:id="72" w:name="_Toc61149561"/>
      <w:r/>
      <w:bookmarkEnd w:id="72"/>
      <w:r/>
      <w:r/>
    </w:p>
    <w:p>
      <w:pPr>
        <w:ind w:firstLine="480"/>
        <w:spacing w:line="440" w:lineRule="exact"/>
        <w:rPr>
          <w:rFonts w:ascii="宋体" w:hAnsi="宋体"/>
          <w:color w:val="auto"/>
          <w:sz w:val="24"/>
          <w:highlight w:val="none"/>
        </w:rPr>
      </w:pPr>
      <w:r/>
      <w:bookmarkStart w:id="73" w:name="_Toc20823282"/>
      <w:r/>
      <w:bookmarkStart w:id="74" w:name="_Toc513029210"/>
      <w:r/>
      <w:bookmarkStart w:id="75" w:name="_Toc16938526"/>
      <w:r/>
      <w:bookmarkStart w:id="76" w:name="_Toc513029214"/>
      <w:r/>
      <w:bookmarkStart w:id="77" w:name="_Toc16938529"/>
      <w:r/>
      <w:bookmarkStart w:id="78" w:name="_Toc513029215"/>
      <w:r/>
      <w:bookmarkStart w:id="79" w:name="_Toc462564073"/>
      <w:r/>
      <w:bookmarkStart w:id="80" w:name="_Toc20823285"/>
      <w:r/>
      <w:bookmarkStart w:id="81" w:name="_Toc14577353"/>
      <w:r/>
      <w:bookmarkStart w:id="82" w:name="_Toc120614216"/>
      <w:r/>
      <w:bookmarkStart w:id="83" w:name="_Toc14577352"/>
      <w:r/>
      <w:bookmarkStart w:id="84" w:name="_Toc61149554"/>
      <w:r/>
      <w:bookmarkStart w:id="85" w:name="_Toc462564074"/>
      <w:r/>
      <w:bookmarkStart w:id="86" w:name="_Toc61149555"/>
      <w:r>
        <w:rPr>
          <w:rFonts w:hint="eastAsia" w:ascii="宋体" w:hAnsi="宋体"/>
          <w:color w:val="auto"/>
          <w:sz w:val="24"/>
          <w:highlight w:val="none"/>
        </w:rPr>
        <w:t xml:space="preserve">6.磋商文件构成</w:t>
      </w:r>
      <w:bookmarkEnd w:id="73"/>
      <w:r/>
      <w:bookmarkEnd w:id="74"/>
      <w:r/>
      <w:bookmarkEnd w:id="75"/>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6.1磋商文件由以下部分组成：</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（1）磋商公告</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（3）合同文本</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（5）评审方法与评审标准</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（6）响应文件格式</w:t>
      </w:r>
      <w:bookmarkEnd w:id="76"/>
      <w:r/>
      <w:bookmarkEnd w:id="77"/>
      <w:r/>
      <w:bookmarkEnd w:id="78"/>
      <w:r/>
      <w:bookmarkEnd w:id="79"/>
      <w:r/>
      <w:bookmarkEnd w:id="80"/>
      <w:r/>
      <w:bookmarkEnd w:id="81"/>
      <w:r/>
      <w:bookmarkEnd w:id="82"/>
      <w:r/>
      <w:bookmarkEnd w:id="83"/>
      <w:r/>
      <w:bookmarkEnd w:id="84"/>
      <w:r/>
      <w:bookmarkEnd w:id="85"/>
      <w:r/>
      <w:bookmarkEnd w:id="86"/>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请仔细检查磋商文件是否齐全，如有缺漏请立即与代理公司联系解决。</w:t>
      </w:r>
      <w:r/>
    </w:p>
    <w:p>
      <w:pPr>
        <w:ind w:firstLine="48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93"/>
        <w:ind w:firstLine="560"/>
        <w:jc w:val="both"/>
        <w:keepLines/>
        <w:keepNext/>
        <w:pageBreakBefore w:val="0"/>
        <w:spacing w:beforeAutospacing="0" w:afterAutospacing="0" w:line="440" w:lineRule="exact"/>
        <w:rPr>
          <w:rFonts w:hint="eastAsia" w:eastAsia="宋体" w:cs="宋体"/>
          <w:color w:val="auto"/>
          <w:highlight w:val="none"/>
        </w:rPr>
      </w:pPr>
      <w:r/>
      <w:bookmarkStart w:id="87" w:name="_Toc513029211"/>
      <w:r/>
      <w:bookmarkStart w:id="88" w:name="_Toc16938527"/>
      <w:r/>
      <w:bookmarkStart w:id="89" w:name="_Toc462564070"/>
      <w:r/>
      <w:bookmarkStart w:id="90" w:name="_Toc20823283"/>
      <w:r>
        <w:rPr>
          <w:rFonts w:hint="eastAsia" w:eastAsia="宋体" w:cs="宋体"/>
          <w:color w:val="auto"/>
          <w:highlight w:val="none"/>
        </w:rPr>
        <w:t xml:space="preserve">7、磋商文件的澄清</w:t>
      </w:r>
      <w:bookmarkEnd w:id="87"/>
      <w:r/>
      <w:bookmarkEnd w:id="88"/>
      <w:r/>
      <w:bookmarkEnd w:id="89"/>
      <w:r/>
      <w:bookmarkEnd w:id="90"/>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7.1 任何要求对磋商文件进行澄清的供应商，应在磋商截止期5日前按磋商公告中的通讯地址，以书面形式通知采购人或代理公司。</w:t>
      </w:r>
      <w:r/>
    </w:p>
    <w:p>
      <w:pPr>
        <w:pStyle w:val="793"/>
        <w:ind w:firstLine="560"/>
        <w:jc w:val="both"/>
        <w:keepLines/>
        <w:keepNext/>
        <w:pageBreakBefore w:val="0"/>
        <w:spacing w:beforeAutospacing="0" w:afterAutospacing="0" w:line="440" w:lineRule="exact"/>
        <w:rPr>
          <w:rFonts w:hint="eastAsia" w:eastAsia="宋体" w:cs="宋体"/>
          <w:color w:val="auto"/>
          <w:highlight w:val="none"/>
        </w:rPr>
      </w:pPr>
      <w:r/>
      <w:bookmarkStart w:id="91" w:name="_Toc462564071"/>
      <w:r/>
      <w:bookmarkStart w:id="92" w:name="_Toc20823284"/>
      <w:r/>
      <w:bookmarkStart w:id="93" w:name="_Toc513029212"/>
      <w:r/>
      <w:bookmarkStart w:id="94" w:name="_Toc16938528"/>
      <w:r>
        <w:rPr>
          <w:rFonts w:hint="eastAsia" w:eastAsia="宋体" w:cs="宋体"/>
          <w:color w:val="auto"/>
          <w:highlight w:val="none"/>
        </w:rPr>
        <w:t xml:space="preserve">8、磋商文件的澄清和修改</w:t>
      </w:r>
      <w:bookmarkEnd w:id="91"/>
      <w:r/>
      <w:bookmarkEnd w:id="92"/>
      <w:r/>
      <w:bookmarkEnd w:id="93"/>
      <w:r/>
      <w:bookmarkEnd w:id="94"/>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8.1 在响应文件提交截止时间前，采购人可以对磋商文件进行澄清和修改,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"http://222.188.117.130:8002/home"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阜宁县公共资源电子化综合交易平台</w:t>
      </w:r>
      <w:r>
        <w:rPr>
          <w:rFonts w:hint="eastAsia" w:ascii="宋体" w:hAnsi="宋体" w:eastAsia="宋体" w:cs="宋体"/>
          <w:color w:val="auto"/>
          <w:highlight w:val="none"/>
        </w:rPr>
        <w:fldChar w:fldCharType="end"/>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上发布书面更正公告形式通知</w:t>
      </w:r>
      <w:r>
        <w:rPr>
          <w:rFonts w:hint="eastAsia" w:eastAsia="宋体" w:cs="宋体"/>
          <w:color w:val="auto"/>
          <w:highlight w:val="none"/>
        </w:rPr>
        <w:t xml:space="preserve">所有获取磋商文件的供应商,更正公告内容将作为磋商文件的组成部分，并对供应商具有约束力。不足5日的，采购人将顺延提交首次响应文件截止时间。</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8.2采购人可以视采购项目的具体情况，组织供应商进行现场考察或召开磋商前答疑会，但不单独或分别组织只有一个供应商参加的现场考察和答疑会。</w:t>
      </w:r>
      <w:r/>
    </w:p>
    <w:p>
      <w:pPr>
        <w:pStyle w:val="793"/>
        <w:ind w:firstLine="482"/>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b/>
          <w:color w:val="auto"/>
          <w:highlight w:val="none"/>
        </w:rPr>
        <w:t xml:space="preserve">三、响应文件的编制</w:t>
      </w:r>
      <w:r/>
    </w:p>
    <w:p>
      <w:pPr>
        <w:pStyle w:val="793"/>
        <w:ind w:firstLine="560"/>
        <w:jc w:val="both"/>
        <w:keepLines/>
        <w:keepNext/>
        <w:pageBreakBefore w:val="0"/>
        <w:spacing w:beforeAutospacing="0" w:afterAutospacing="0" w:line="440" w:lineRule="exact"/>
        <w:rPr>
          <w:rFonts w:hint="eastAsia" w:eastAsia="宋体" w:cs="宋体"/>
          <w:color w:val="auto"/>
          <w:highlight w:val="none"/>
        </w:rPr>
      </w:pPr>
      <w:r/>
      <w:bookmarkStart w:id="95" w:name="_Toc20823286"/>
      <w:r/>
      <w:bookmarkStart w:id="96" w:name="_Toc16938530"/>
      <w:r>
        <w:rPr>
          <w:rFonts w:hint="eastAsia" w:eastAsia="宋体" w:cs="宋体"/>
          <w:color w:val="auto"/>
          <w:highlight w:val="none"/>
        </w:rPr>
        <w:t xml:space="preserve">9、响应文件的语言及度量衡单位</w:t>
      </w:r>
      <w:bookmarkEnd w:id="95"/>
      <w:r/>
      <w:bookmarkEnd w:id="96"/>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9.1供应商提交的响应文件以及供应商与采购人（或代理公司）就有关磋商的所有来往通知、函件和文件均应使用</w:t>
      </w:r>
      <w:r>
        <w:rPr>
          <w:rFonts w:hint="eastAsia" w:eastAsia="宋体" w:cs="宋体"/>
          <w:b/>
          <w:color w:val="auto"/>
          <w:highlight w:val="none"/>
        </w:rPr>
        <w:t xml:space="preserve">简体中文</w:t>
      </w:r>
      <w:r>
        <w:rPr>
          <w:rFonts w:hint="eastAsia" w:eastAsia="宋体" w:cs="宋体"/>
          <w:color w:val="auto"/>
          <w:highlight w:val="none"/>
        </w:rPr>
        <w:t xml:space="preserve">。</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9.2 除技术性能另有规定外，响应文件所使用的度量衡单位，均须采用国家法定计量单位。</w:t>
      </w:r>
      <w:bookmarkStart w:id="97" w:name="_Toc16938531"/>
      <w:r/>
      <w:bookmarkStart w:id="98" w:name="_Toc20823287"/>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10、响应文件构成</w:t>
      </w:r>
      <w:bookmarkEnd w:id="97"/>
      <w:r/>
      <w:bookmarkEnd w:id="98"/>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10.1供应商编写的响应文件应包括资格证明文件、符合性证明文件、分项报价表、技术要求响应及偏离表、商务要求响应及偏离表、其他证明文件、磋商响应函等部分。</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bookmarkStart w:id="99" w:name="_Toc49090509"/>
      <w:r/>
      <w:bookmarkStart w:id="100" w:name="_Toc513029216"/>
      <w:r/>
      <w:bookmarkStart w:id="101" w:name="_Toc14577355"/>
      <w:r/>
      <w:bookmarkStart w:id="102" w:name="_Toc513029219"/>
      <w:r/>
      <w:bookmarkStart w:id="103" w:name="_Toc49090508"/>
      <w:r/>
      <w:bookmarkStart w:id="104" w:name="_Toc14577357"/>
      <w:r/>
      <w:bookmarkStart w:id="105" w:name="_Toc14577354"/>
      <w:r/>
      <w:bookmarkStart w:id="106" w:name="_Toc49090507"/>
      <w:r>
        <w:rPr>
          <w:rFonts w:hint="eastAsia" w:eastAsia="宋体" w:cs="宋体"/>
          <w:color w:val="auto"/>
          <w:highlight w:val="none"/>
        </w:rPr>
        <w:t xml:space="preserve">11、证明磋商响应标的符合磋商文件规定的文件</w:t>
      </w:r>
      <w:bookmarkEnd w:id="99"/>
      <w:r/>
      <w:bookmarkEnd w:id="100"/>
      <w:r/>
      <w:bookmarkEnd w:id="101"/>
      <w:r/>
      <w:bookmarkEnd w:id="102"/>
      <w:r/>
      <w:bookmarkEnd w:id="103"/>
      <w:r/>
      <w:bookmarkEnd w:id="104"/>
      <w:r/>
      <w:bookmarkEnd w:id="105"/>
      <w:r/>
      <w:bookmarkEnd w:id="106"/>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11.1供应商应按照磋商文件要求提交证明文件，证明其及磋商响应标的符合磋商文件规定。</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11.2磋商文件对证明文件无明确形式要求的，证明文件可以以文字资料、图纸和数据等形式提交。</w:t>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12、分项报价表</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12.1供应商应按照磋商文件规定格式填报分项报价表。</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12.2磋商货币。响应文件中的单价和总价无特殊规定的采用人民币报价，以元为单位标注。磋商文件中另有规定的按规定执行。</w:t>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13、技术要求响应及偏离表、商务要求响应及偏离表</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13.1供应商需对磋商文件中的技术要求与商务要求逐项作出响应或偏离，并说明原因。</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13.2供应商可在响应文件中提供认为需要的其他技术文件或说明。</w:t>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14、服务承诺、培训计划、人员安排及其他</w:t>
      </w:r>
      <w:r/>
    </w:p>
    <w:p>
      <w:pPr>
        <w:pStyle w:val="793"/>
        <w:ind w:firstLine="480"/>
        <w:jc w:val="both"/>
        <w:pageBreakBefore w:val="0"/>
        <w:spacing w:beforeAutospacing="0" w:afterAutospacing="0" w:line="440" w:lineRule="exact"/>
        <w:rPr>
          <w:rFonts w:hint="eastAsia" w:eastAsia="宋体" w:cs="宋体"/>
          <w:color w:val="auto"/>
          <w:highlight w:val="none"/>
        </w:rPr>
      </w:pPr>
      <w:r/>
      <w:bookmarkStart w:id="107" w:name="_Toc14577359"/>
      <w:r/>
      <w:bookmarkStart w:id="108" w:name="_Toc49090510"/>
      <w:r>
        <w:rPr>
          <w:rFonts w:hint="eastAsia" w:eastAsia="宋体" w:cs="宋体"/>
          <w:color w:val="auto"/>
          <w:highlight w:val="none"/>
        </w:rPr>
        <w:t xml:space="preserve">14.1供应商需根据磋商文件要求提供有关售后服务的管理制度，售后服务机构的分布情况，售后服务人员的数量、素质、技术水平及售后服务的反应能力等。</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14.2供应商需根据磋商文件要求提供培训计划。</w:t>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14.3供应商需根据磋商文件要求提供磋商响应标的的主要组成部分、功能设计、实现思路及关键技术等。</w:t>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15、磋商响应函</w:t>
      </w:r>
      <w:bookmarkEnd w:id="107"/>
      <w:r/>
      <w:bookmarkEnd w:id="108"/>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15.1供应商应按照磋商文件中提供的格式完整、正确填写磋商响应函。</w:t>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bookmarkStart w:id="109" w:name="_Toc49090511"/>
      <w:r/>
      <w:bookmarkStart w:id="110" w:name="_Toc14577360"/>
      <w:r>
        <w:rPr>
          <w:rFonts w:hint="eastAsia" w:eastAsia="宋体" w:cs="宋体"/>
          <w:color w:val="auto"/>
          <w:highlight w:val="none"/>
        </w:rPr>
        <w:t xml:space="preserve">16、磋商有效期</w:t>
      </w:r>
      <w:bookmarkEnd w:id="109"/>
      <w:r/>
      <w:bookmarkEnd w:id="110"/>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16.1磋商有效期为采购人规定的提交响应文件截止之日后</w:t>
      </w:r>
      <w:r>
        <w:rPr>
          <w:rFonts w:hint="eastAsia" w:eastAsia="宋体" w:cs="宋体"/>
          <w:b/>
          <w:color w:val="auto"/>
          <w:highlight w:val="none"/>
          <w:u w:val="single"/>
        </w:rPr>
        <w:t xml:space="preserve">九十（90）天</w:t>
      </w:r>
      <w:r>
        <w:rPr>
          <w:rFonts w:hint="eastAsia" w:eastAsia="宋体" w:cs="宋体"/>
          <w:color w:val="auto"/>
          <w:highlight w:val="none"/>
        </w:rPr>
        <w:t xml:space="preserve">。磋商有效期比规定短的将被视为非实质性响应磋商文件而予以拒绝。</w:t>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17、磋商有效期的延长</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1" w:name="_Toc20823296"/>
      <w:r/>
      <w:bookmarkStart w:id="112" w:name="_Toc16938540"/>
      <w:r/>
      <w:bookmarkStart w:id="113" w:name="_Toc120614217"/>
      <w:r/>
      <w:bookmarkStart w:id="114" w:name="_Toc513029224"/>
      <w:r/>
      <w:r/>
    </w:p>
    <w:p>
      <w:pPr>
        <w:pStyle w:val="793"/>
        <w:numPr>
          <w:ilvl w:val="0"/>
          <w:numId w:val="3"/>
        </w:numPr>
        <w:ind w:firstLine="480"/>
        <w:jc w:val="both"/>
        <w:pageBreakBefore w:val="0"/>
        <w:spacing w:beforeAutospacing="0" w:afterAutospacing="0" w:line="440" w:lineRule="exact"/>
        <w:rPr>
          <w:rFonts w:hint="eastAsia" w:eastAsia="宋体" w:cs="宋体"/>
          <w:b/>
          <w:color w:val="auto"/>
          <w:highlight w:val="none"/>
        </w:rPr>
      </w:pPr>
      <w:r>
        <w:rPr>
          <w:rFonts w:hint="eastAsia" w:eastAsia="宋体" w:cs="宋体"/>
          <w:b/>
          <w:color w:val="auto"/>
          <w:highlight w:val="none"/>
        </w:rPr>
        <w:t xml:space="preserve">响应文件的递交</w:t>
      </w:r>
      <w:bookmarkEnd w:id="111"/>
      <w:r/>
      <w:bookmarkEnd w:id="112"/>
      <w:r/>
      <w:bookmarkEnd w:id="113"/>
      <w:r/>
      <w:bookmarkEnd w:id="114"/>
      <w:r/>
      <w:bookmarkStart w:id="115" w:name="_Toc513029225"/>
      <w:r/>
      <w:bookmarkStart w:id="116" w:name="_Toc16938541"/>
      <w:r/>
      <w:bookmarkStart w:id="117" w:name="_Toc462564084"/>
      <w:r/>
      <w:bookmarkStart w:id="118" w:name="_Toc20823297"/>
      <w:r/>
      <w:r/>
    </w:p>
    <w:p>
      <w:pPr>
        <w:pStyle w:val="793"/>
        <w:ind w:firstLine="56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18、电子磋商</w:t>
      </w:r>
      <w:bookmarkEnd w:id="115"/>
      <w:r/>
      <w:bookmarkEnd w:id="116"/>
      <w:r/>
      <w:bookmarkEnd w:id="117"/>
      <w:r/>
      <w:bookmarkEnd w:id="118"/>
      <w:r>
        <w:rPr>
          <w:rFonts w:hint="eastAsia" w:eastAsia="宋体" w:cs="宋体"/>
          <w:color w:val="auto"/>
          <w:highlight w:val="none"/>
        </w:rPr>
        <w:t xml:space="preserve">响应文件的递交</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18.1供应商应当按照《操作手册》规定，在提交响应文件截止时间前制作并上传电子响应文件。</w:t>
      </w:r>
      <w:bookmarkStart w:id="119" w:name="_Toc20823298"/>
      <w:r/>
      <w:bookmarkEnd w:id="119"/>
      <w:r/>
      <w:bookmarkStart w:id="120" w:name="_Toc16938542"/>
      <w:r/>
      <w:bookmarkEnd w:id="120"/>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19、提交响应文件截止时间</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i/>
          <w:color w:val="auto"/>
          <w:highlight w:val="none"/>
          <w:u w:val="single"/>
        </w:rPr>
        <w:t xml:space="preserve">19.1供应商上传电子响应文件的时间不得迟于磋商公告中规定的提交响应文件截止时间。</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bookmarkStart w:id="121" w:name="_Toc20823299"/>
      <w:r/>
      <w:bookmarkStart w:id="122" w:name="_Toc16938543"/>
      <w:r/>
      <w:bookmarkStart w:id="123" w:name="_Toc513029227"/>
      <w:r>
        <w:rPr>
          <w:rFonts w:hint="eastAsia" w:eastAsia="宋体" w:cs="宋体"/>
          <w:color w:val="auto"/>
          <w:highlight w:val="none"/>
        </w:rPr>
        <w:t xml:space="preserve">20、响应文件</w:t>
      </w:r>
      <w:bookmarkEnd w:id="121"/>
      <w:r/>
      <w:bookmarkEnd w:id="122"/>
      <w:r/>
      <w:bookmarkEnd w:id="123"/>
      <w:r>
        <w:rPr>
          <w:rFonts w:hint="eastAsia" w:eastAsia="宋体" w:cs="宋体"/>
          <w:color w:val="auto"/>
          <w:highlight w:val="none"/>
        </w:rPr>
        <w:t xml:space="preserve">的拒收</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20.1 采购人拒绝接收在其规定的提交响应文件截止时间后上传的任何电子响应文件。</w:t>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bookmarkStart w:id="124" w:name="_Toc513029228"/>
      <w:r/>
      <w:bookmarkStart w:id="125" w:name="_Toc20823300"/>
      <w:r/>
      <w:bookmarkStart w:id="126" w:name="_Toc16938544"/>
      <w:r>
        <w:rPr>
          <w:rFonts w:hint="eastAsia" w:eastAsia="宋体" w:cs="宋体"/>
          <w:color w:val="auto"/>
          <w:highlight w:val="none"/>
        </w:rPr>
        <w:t xml:space="preserve">21、响应文件的撤回和修改</w:t>
      </w:r>
      <w:bookmarkEnd w:id="124"/>
      <w:r/>
      <w:bookmarkEnd w:id="125"/>
      <w:r/>
      <w:bookmarkEnd w:id="126"/>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21.1响应文件的撤回</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21.1.1 电子响应文件的撤回</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供应商可在提交响应文件截止时间前，撤回其电子响应文件，具体操作方法见《操作手册》。</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21.1.2供应商撤回电子响应文件，则认为其不再参与本项目磋商活动。</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21.2响应文件的修改</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供应商可在提交响应文件截止时间前，对其电子响应文件进行修改，具体操作方法见《操作手册》。</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21.3 在提交响应文件截止时间之后，供应商不得对其电子响应文件作任何修改。</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21.4 在提交响应文件截止时间至磋商文件中规定的磋商有效期满之间的这段时间内，供应商不得撤回其响应文件。</w:t>
      </w:r>
      <w:r/>
    </w:p>
    <w:p>
      <w:pPr>
        <w:pStyle w:val="793"/>
        <w:ind w:firstLine="482"/>
        <w:jc w:val="both"/>
        <w:keepLines/>
        <w:keepNext/>
        <w:pageBreakBefore w:val="0"/>
        <w:spacing w:beforeAutospacing="0" w:afterAutospacing="0" w:line="440" w:lineRule="exact"/>
        <w:rPr>
          <w:rFonts w:hint="eastAsia" w:eastAsia="宋体" w:cs="宋体"/>
          <w:color w:val="auto"/>
          <w:highlight w:val="none"/>
        </w:rPr>
      </w:pPr>
      <w:r/>
      <w:bookmarkStart w:id="127" w:name="_Toc513029229"/>
      <w:r/>
      <w:bookmarkStart w:id="128" w:name="_Toc16938545"/>
      <w:r/>
      <w:bookmarkStart w:id="129" w:name="_Toc120614218"/>
      <w:r/>
      <w:bookmarkStart w:id="130" w:name="_Toc20823301"/>
      <w:r>
        <w:rPr>
          <w:rFonts w:hint="eastAsia" w:eastAsia="宋体" w:cs="宋体"/>
          <w:b/>
          <w:color w:val="auto"/>
          <w:highlight w:val="none"/>
        </w:rPr>
        <w:t xml:space="preserve">五、响应文件的解密与评审</w:t>
      </w:r>
      <w:bookmarkEnd w:id="127"/>
      <w:r/>
      <w:bookmarkEnd w:id="128"/>
      <w:r/>
      <w:bookmarkEnd w:id="129"/>
      <w:r/>
      <w:bookmarkEnd w:id="130"/>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bookmarkStart w:id="131" w:name="_Toc16938546"/>
      <w:r/>
      <w:bookmarkStart w:id="132" w:name="_Toc20823302"/>
      <w:r/>
      <w:bookmarkStart w:id="133" w:name="_Toc513029230"/>
      <w:r>
        <w:rPr>
          <w:rFonts w:hint="eastAsia" w:eastAsia="宋体" w:cs="宋体"/>
          <w:color w:val="auto"/>
          <w:highlight w:val="none"/>
        </w:rPr>
        <w:t xml:space="preserve">22、</w:t>
      </w:r>
      <w:bookmarkEnd w:id="131"/>
      <w:r/>
      <w:bookmarkEnd w:id="132"/>
      <w:r/>
      <w:bookmarkEnd w:id="133"/>
      <w:r>
        <w:rPr>
          <w:rFonts w:hint="eastAsia" w:eastAsia="宋体" w:cs="宋体"/>
          <w:color w:val="auto"/>
          <w:highlight w:val="none"/>
        </w:rPr>
        <w:t xml:space="preserve">响应文件解密</w:t>
      </w:r>
      <w:r/>
    </w:p>
    <w:p>
      <w:pPr>
        <w:pStyle w:val="793"/>
        <w:ind w:firstLine="36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22.1供应商应当按照《操作手册》规定，在苏采云系统规定的时间内对磋商响应文件进行解密。</w:t>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bookmarkStart w:id="134" w:name="_Toc16938547"/>
      <w:r/>
      <w:bookmarkStart w:id="135" w:name="_Toc20823303"/>
      <w:r/>
      <w:bookmarkStart w:id="136" w:name="_Toc513029231"/>
      <w:r>
        <w:rPr>
          <w:rFonts w:hint="eastAsia" w:eastAsia="宋体" w:cs="宋体"/>
          <w:color w:val="auto"/>
          <w:highlight w:val="none"/>
        </w:rPr>
        <w:t xml:space="preserve">23、磋商小组</w:t>
      </w:r>
      <w:bookmarkEnd w:id="134"/>
      <w:r/>
      <w:bookmarkEnd w:id="135"/>
      <w:r/>
      <w:bookmarkEnd w:id="136"/>
      <w:r/>
      <w:r/>
    </w:p>
    <w:p>
      <w:pPr>
        <w:pStyle w:val="793"/>
        <w:jc w:val="both"/>
        <w:pageBreakBefore w:val="0"/>
        <w:spacing w:beforeAutospacing="0" w:afterAutospacing="0" w:line="440" w:lineRule="exact"/>
        <w:rPr>
          <w:rFonts w:hint="eastAsia" w:eastAsia="宋体" w:cs="宋体"/>
          <w:color w:val="auto"/>
          <w:highlight w:val="none"/>
        </w:rPr>
      </w:pPr>
      <w:r>
        <w:rPr>
          <w:rFonts w:hint="eastAsia" w:eastAsia="宋体" w:cs="宋体"/>
          <w:b/>
          <w:color w:val="auto"/>
          <w:highlight w:val="none"/>
        </w:rPr>
        <w:t xml:space="preserve">  </w:t>
      </w:r>
      <w:r>
        <w:rPr>
          <w:rFonts w:hint="eastAsia" w:eastAsia="宋体" w:cs="宋体"/>
          <w:color w:val="auto"/>
          <w:highlight w:val="none"/>
        </w:rPr>
        <w:t xml:space="preserve">23.1采购人将组织磋商小组对响应文件进行评审。磋商小组由采购人代表和有关技术、经济等方面的专家组成，且人员构成符合政府采购有关规定。</w:t>
      </w:r>
      <w:r/>
    </w:p>
    <w:p>
      <w:pPr>
        <w:pStyle w:val="793"/>
        <w:jc w:val="both"/>
        <w:pageBreakBefore w:val="0"/>
        <w:spacing w:beforeAutospacing="0" w:afterAutospacing="0" w:line="440" w:lineRule="exact"/>
        <w:rPr>
          <w:rFonts w:hint="eastAsia" w:eastAsia="宋体" w:cs="宋体"/>
          <w:color w:val="auto"/>
          <w:highlight w:val="none"/>
        </w:rPr>
      </w:pPr>
      <w:r>
        <w:rPr>
          <w:rFonts w:hint="eastAsia" w:eastAsia="宋体" w:cs="宋体"/>
          <w:b/>
          <w:color w:val="auto"/>
          <w:highlight w:val="none"/>
        </w:rPr>
        <w:t xml:space="preserve">  </w:t>
      </w:r>
      <w:r>
        <w:rPr>
          <w:rFonts w:hint="eastAsia" w:eastAsia="宋体" w:cs="宋体"/>
          <w:color w:val="auto"/>
          <w:highlight w:val="none"/>
        </w:rPr>
        <w:t xml:space="preserve">23.2磋商小组独立工作，负责评审所有响应文件并确定成交侯选人。</w:t>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24、评审过程的保密与公正</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24.1磋商小组、采购人和代理公司工作人员、相关监督人员等与评审工作有关的人员，对评审情况以及在评审过程中获悉的国家秘密、商业秘密负有保密责任。</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24.2在评审过程中，供应商不得以任何行为影响磋商评审过程，否则其响应文件将被作为无效响应文件。</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24.3在项目评审期间，采购人将设专门人员与供应商联系。</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24.4 采购人和磋商小组不向未成交的供应商解释未成交原因，也不公布评审过程中的相关细节。</w:t>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bookmarkStart w:id="137" w:name="_Toc513029232"/>
      <w:r/>
      <w:bookmarkStart w:id="138" w:name="_Toc16938548"/>
      <w:r/>
      <w:bookmarkStart w:id="139" w:name="_Toc20823304"/>
      <w:r>
        <w:rPr>
          <w:rFonts w:hint="eastAsia" w:eastAsia="宋体" w:cs="宋体"/>
          <w:color w:val="auto"/>
          <w:highlight w:val="none"/>
        </w:rPr>
        <w:t xml:space="preserve">25、评审过程中的的澄清</w:t>
      </w:r>
      <w:bookmarkEnd w:id="137"/>
      <w:r/>
      <w:bookmarkEnd w:id="138"/>
      <w:r/>
      <w:bookmarkEnd w:id="139"/>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磋商小组并非对每个供应商都作澄清要求。</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25.3 接到磋商小组澄清、说明和更正要求的供应商如未按规定做出澄清、说明和 更正，其风险由供应商自行承担。</w:t>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bookmarkStart w:id="140" w:name="_Toc20823305"/>
      <w:r/>
      <w:bookmarkStart w:id="141" w:name="_Toc513029233"/>
      <w:r/>
      <w:bookmarkStart w:id="142" w:name="_Toc16938549"/>
      <w:r>
        <w:rPr>
          <w:rFonts w:hint="eastAsia" w:eastAsia="宋体" w:cs="宋体"/>
          <w:color w:val="auto"/>
          <w:highlight w:val="none"/>
        </w:rPr>
        <w:t xml:space="preserve">26、对响应文件的审</w:t>
      </w:r>
      <w:bookmarkEnd w:id="140"/>
      <w:r/>
      <w:bookmarkEnd w:id="141"/>
      <w:r/>
      <w:bookmarkEnd w:id="142"/>
      <w:r>
        <w:rPr>
          <w:rFonts w:hint="eastAsia" w:eastAsia="宋体" w:cs="宋体"/>
          <w:color w:val="auto"/>
          <w:highlight w:val="none"/>
        </w:rPr>
        <w:t xml:space="preserve">查</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26.1响应文件审查分为资格审查和符合性审查。</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26.1.1 资格审查：由磋商小组依据法律法规和磋商文件的规定，对响应文件中的资格证明文件进行审查，以确定供应商是否具备参加磋商的资格。</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磋商小组在进行资格审查的同时，将在“信用中国”网站查询供应商的信用记录，以确定供应商是否具备磋商资格,查询结果留存并归档。</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26.3未实质性响应磋商文件的情形</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26.3.1供应商在苏采云系统规定的时间内未成功解密电子响应文件的。</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26.3.2供应商未按照磋商文件要求上传电子响应文件的。</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26.3.3同一供应商提交两个（含两个）以上不同的响应文件或者最后报价的。</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26.3.4供应商不具备磋商文件中规定资格要求的。</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26.3.5供应商的最后报价超过了采购预算。</w:t>
      </w:r>
      <w:r/>
    </w:p>
    <w:p>
      <w:pPr>
        <w:pStyle w:val="793"/>
        <w:ind w:firstLine="480"/>
        <w:jc w:val="both"/>
        <w:pageBreakBefore w:val="0"/>
        <w:spacing w:beforeAutospacing="0" w:afterAutospacing="0" w:line="440" w:lineRule="exact"/>
        <w:rPr>
          <w:rFonts w:hint="eastAsia" w:eastAsia="宋体" w:cs="宋体"/>
          <w:i/>
          <w:iCs/>
          <w:color w:val="auto"/>
          <w:highlight w:val="none"/>
          <w:u w:val="single"/>
        </w:rPr>
      </w:pPr>
      <w:r>
        <w:rPr>
          <w:rFonts w:hint="eastAsia" w:eastAsia="宋体" w:cs="宋体"/>
          <w:color w:val="auto"/>
          <w:highlight w:val="none"/>
        </w:rPr>
        <w:t xml:space="preserve">26.3.6不符合磋商文件中规定的实质性要求和条件的</w:t>
      </w:r>
      <w:r>
        <w:rPr>
          <w:rFonts w:hint="eastAsia" w:eastAsia="宋体" w:cs="宋体"/>
          <w:i/>
          <w:iCs/>
          <w:color w:val="auto"/>
          <w:highlight w:val="none"/>
          <w:u w:val="single"/>
        </w:rPr>
        <w:t xml:space="preserve">（本磋商文件中斜体且有下划线部分为实质性要求和条件）。</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26.3.8响应文件含有采购人不能接受的附加条件的。</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26.3.1</w:t>
      </w:r>
      <w:r>
        <w:rPr>
          <w:rFonts w:hint="eastAsia" w:asciiTheme="minorEastAsia" w:hAnsiTheme="minorEastAsia"/>
          <w:b/>
          <w:color w:val="auto"/>
          <w:sz w:val="24"/>
          <w:highlight w:val="none"/>
          <w:lang w:val="en-US" w:eastAsia="zh-CN"/>
        </w:rPr>
        <w:t xml:space="preserve">0</w:t>
      </w:r>
      <w:r>
        <w:rPr>
          <w:rFonts w:hint="eastAsia" w:asciiTheme="minorEastAsia" w:hAnsiTheme="minorEastAsia"/>
          <w:b/>
          <w:color w:val="auto"/>
          <w:sz w:val="24"/>
          <w:highlight w:val="none"/>
        </w:rPr>
        <w:t xml:space="preserve">供应商不能证明其报价合理性的，磋商小组应当将其作为无效响应处理。</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（一）评审过程中出现下列情形之一的，磋商小组应当启动异常低价响应审查程序：</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3.投标（响应）报价低于采购项目最高限价45%的，即投标（响应）报价＜采购项目最高限价×45%；</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4.评审委员会基于专业判断，认为供应商报价过低，有可能影响产品质量或者不能诚信履约的其他情形。</w:t>
      </w:r>
      <w:r/>
    </w:p>
    <w:p>
      <w:pPr>
        <w:ind w:firstLine="422"/>
        <w:pageBreakBefore w:val="0"/>
        <w:spacing w:line="440" w:lineRule="exact"/>
        <w:rPr>
          <w:rFonts w:hint="eastAsia" w:asciiTheme="minorEastAsia" w:hAnsiTheme="minorEastAsia"/>
          <w:b/>
          <w:color w:val="auto"/>
          <w:sz w:val="24"/>
          <w:highlight w:val="none"/>
          <w:u w:val="single"/>
        </w:rPr>
      </w:pPr>
      <w:r>
        <w:rPr>
          <w:rFonts w:hint="eastAsia" w:asciiTheme="minorEastAsia" w:hAnsiTheme="minorEastAsia"/>
          <w:b/>
          <w:color w:val="auto"/>
          <w:sz w:val="24"/>
          <w:highlight w:val="none"/>
          <w:u w:val="single"/>
        </w:rPr>
        <w:t xml:space="preserve">提醒：采购人可以结合具体项目实际情况，提高上述第1项至第3项中启动异常低价投标（响应）审查的数值标准，但是最高不得超过65%。</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相关法律法规对供应商报价有规定的，从其规定。</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pageBreakBefore w:val="0"/>
        <w:spacing w:line="44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pageBreakBefore w:val="0"/>
        <w:spacing w:line="44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26.3.11响应文件未按照磋商文件要求加盖CA电子公章的。</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26.4未实质性响应磋商文件的响应文件按无效响应处理。</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26.5如果响应文件实质上没有响应磋商文件的要求，磋商小组将予以拒绝，供应商不得通过修改或撤销不符合要求的偏离或保留而使其成为实质性响应的文件。</w:t>
      </w:r>
      <w:r/>
    </w:p>
    <w:p>
      <w:pPr>
        <w:pStyle w:val="793"/>
        <w:ind w:firstLine="480"/>
        <w:jc w:val="both"/>
        <w:pageBreakBefore w:val="0"/>
        <w:spacing w:beforeAutospacing="0" w:afterAutospacing="0" w:line="440" w:lineRule="exact"/>
        <w:rPr>
          <w:rFonts w:hint="eastAsia" w:eastAsia="宋体" w:cs="宋体"/>
          <w:color w:val="auto"/>
          <w:highlight w:val="none"/>
        </w:rPr>
      </w:pPr>
      <w:r/>
      <w:bookmarkStart w:id="143" w:name="_Toc16938550"/>
      <w:r/>
      <w:bookmarkStart w:id="144" w:name="_Toc513029234"/>
      <w:r/>
      <w:bookmarkStart w:id="145" w:name="_Toc20823306"/>
      <w:r>
        <w:rPr>
          <w:rFonts w:hint="eastAsia" w:eastAsia="宋体" w:cs="宋体"/>
          <w:color w:val="auto"/>
          <w:highlight w:val="none"/>
        </w:rPr>
        <w:t xml:space="preserve">26.6供应商在项目评审全过程中应保持通信畅通，并安排专人与采购中心及磋商小组联系。</w:t>
      </w:r>
      <w:bookmarkEnd w:id="143"/>
      <w:r/>
      <w:bookmarkEnd w:id="144"/>
      <w:r/>
      <w:bookmarkEnd w:id="145"/>
      <w:r/>
      <w:r/>
    </w:p>
    <w:p>
      <w:pPr>
        <w:pStyle w:val="793"/>
        <w:ind w:firstLine="42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27、磋商程序及评审方法和评审标准</w:t>
      </w:r>
      <w:r/>
    </w:p>
    <w:p>
      <w:pPr>
        <w:pStyle w:val="793"/>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27.1磋商程序</w:t>
      </w:r>
      <w:r/>
    </w:p>
    <w:p>
      <w:pPr>
        <w:pStyle w:val="793"/>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93"/>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93"/>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93"/>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93"/>
        <w:ind w:firstLine="480"/>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93"/>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93"/>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27.2 评审方法和评审标准</w:t>
      </w:r>
      <w:r/>
    </w:p>
    <w:p>
      <w:pPr>
        <w:pStyle w:val="793"/>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27.2.1评审方法。经磋商确定最终采购需求和提交最后报价的供应商后，由磋商小组采用综合评分法对提交最后报价的供应商的响应文件和最后报价进行综合评分。</w:t>
      </w:r>
      <w:r/>
    </w:p>
    <w:p>
      <w:pPr>
        <w:pStyle w:val="793"/>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93"/>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27.2.2评审标准</w:t>
      </w:r>
      <w:r/>
    </w:p>
    <w:p>
      <w:pPr>
        <w:pStyle w:val="793"/>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见本磋商文件第五章规定。</w:t>
      </w:r>
      <w:r/>
    </w:p>
    <w:p>
      <w:pPr>
        <w:pStyle w:val="793"/>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27.3采购活动终止的情况</w:t>
      </w:r>
      <w:r/>
    </w:p>
    <w:p>
      <w:pPr>
        <w:pStyle w:val="793"/>
        <w:ind w:firstLine="360"/>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出现下列情形之一的，本次竞争性磋商采购活动将被终止：</w:t>
      </w:r>
      <w:r/>
    </w:p>
    <w:p>
      <w:pPr>
        <w:pStyle w:val="793"/>
        <w:ind w:firstLine="360"/>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27.3.1因情况变化，不再符合规定的竞争性磋商采购方式适用情形的。</w:t>
      </w:r>
      <w:r/>
    </w:p>
    <w:p>
      <w:pPr>
        <w:pStyle w:val="793"/>
        <w:ind w:firstLine="360"/>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27.3.2出现影响采购公正的违法、违规行为的。</w:t>
      </w:r>
      <w:r/>
    </w:p>
    <w:p>
      <w:pPr>
        <w:pStyle w:val="793"/>
        <w:ind w:firstLine="360"/>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27.3.3除本磋商文件第二章第27.1.2条第三款规定的情形外，在采购过程中符合要求的供应商或者最后报价未超过采购预算的供应商不足3家的。</w:t>
      </w:r>
      <w:r/>
    </w:p>
    <w:p>
      <w:pPr>
        <w:pStyle w:val="793"/>
        <w:ind w:firstLine="360"/>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27.3.4在苏采云系统规定时间内成功解密电子响应文件的供应商不足3家的。</w:t>
      </w:r>
      <w:r/>
    </w:p>
    <w:p>
      <w:pPr>
        <w:pStyle w:val="793"/>
        <w:ind w:firstLine="482"/>
        <w:jc w:val="both"/>
        <w:keepLines/>
        <w:keepNext/>
        <w:pageBreakBefore w:val="0"/>
        <w:spacing w:beforeAutospacing="0" w:afterAutospacing="0" w:line="440" w:lineRule="exact"/>
        <w:rPr>
          <w:rFonts w:hint="eastAsia" w:eastAsia="宋体" w:cs="宋体"/>
          <w:color w:val="auto"/>
          <w:highlight w:val="none"/>
        </w:rPr>
      </w:pPr>
      <w:r/>
      <w:bookmarkStart w:id="146" w:name="_Toc120614219"/>
      <w:r/>
      <w:bookmarkStart w:id="147" w:name="_Toc20823307"/>
      <w:r/>
      <w:bookmarkStart w:id="148" w:name="_Toc16938551"/>
      <w:r/>
      <w:bookmarkStart w:id="149" w:name="_Toc513029235"/>
      <w:r>
        <w:rPr>
          <w:rFonts w:hint="eastAsia" w:eastAsia="宋体" w:cs="宋体"/>
          <w:b/>
          <w:color w:val="auto"/>
          <w:highlight w:val="none"/>
        </w:rPr>
        <w:t xml:space="preserve">六、</w:t>
      </w:r>
      <w:bookmarkEnd w:id="146"/>
      <w:r/>
      <w:bookmarkEnd w:id="147"/>
      <w:r/>
      <w:bookmarkEnd w:id="148"/>
      <w:r/>
      <w:bookmarkEnd w:id="149"/>
      <w:r>
        <w:rPr>
          <w:rFonts w:hint="eastAsia" w:eastAsia="宋体" w:cs="宋体"/>
          <w:b/>
          <w:color w:val="auto"/>
          <w:highlight w:val="none"/>
        </w:rPr>
        <w:t xml:space="preserve">成交</w:t>
      </w:r>
      <w:r/>
    </w:p>
    <w:p>
      <w:pPr>
        <w:pStyle w:val="793"/>
        <w:ind w:firstLine="600"/>
        <w:jc w:val="both"/>
        <w:keepLines/>
        <w:keepNext/>
        <w:pageBreakBefore w:val="0"/>
        <w:spacing w:beforeAutospacing="0" w:afterAutospacing="0" w:line="440" w:lineRule="exact"/>
        <w:rPr>
          <w:rFonts w:hint="eastAsia" w:eastAsia="宋体" w:cs="宋体"/>
          <w:color w:val="auto"/>
          <w:highlight w:val="none"/>
        </w:rPr>
      </w:pPr>
      <w:r/>
      <w:bookmarkStart w:id="150" w:name="_Toc20823310"/>
      <w:r/>
      <w:bookmarkStart w:id="151" w:name="_Toc16938554"/>
      <w:r/>
      <w:bookmarkStart w:id="152" w:name="_Toc513029238"/>
      <w:r>
        <w:rPr>
          <w:rFonts w:hint="eastAsia" w:eastAsia="宋体" w:cs="宋体"/>
          <w:color w:val="auto"/>
          <w:highlight w:val="none"/>
        </w:rPr>
        <w:t xml:space="preserve">28、</w:t>
      </w:r>
      <w:bookmarkEnd w:id="150"/>
      <w:r>
        <w:rPr>
          <w:rFonts w:hint="eastAsia" w:eastAsia="宋体" w:cs="宋体"/>
          <w:color w:val="auto"/>
          <w:highlight w:val="none"/>
        </w:rPr>
        <w:t xml:space="preserve">确定</w:t>
      </w:r>
      <w:bookmarkEnd w:id="151"/>
      <w:r/>
      <w:bookmarkEnd w:id="152"/>
      <w:r>
        <w:rPr>
          <w:rFonts w:hint="eastAsia" w:eastAsia="宋体" w:cs="宋体"/>
          <w:color w:val="auto"/>
          <w:highlight w:val="none"/>
        </w:rPr>
        <w:t xml:space="preserve">成交单位</w:t>
      </w:r>
      <w:r/>
    </w:p>
    <w:p>
      <w:pPr>
        <w:pStyle w:val="793"/>
        <w:ind w:firstLine="478"/>
        <w:jc w:val="both"/>
        <w:pageBreakBefore w:val="0"/>
        <w:spacing w:beforeAutospacing="0" w:afterAutospacing="0" w:line="440" w:lineRule="exact"/>
        <w:tabs>
          <w:tab w:val="left" w:pos="901" w:leader="none"/>
        </w:tabs>
        <w:rPr>
          <w:rFonts w:hint="eastAsia" w:eastAsia="宋体" w:cs="宋体"/>
          <w:color w:val="auto"/>
          <w:highlight w:val="none"/>
        </w:rPr>
      </w:pPr>
      <w:r>
        <w:rPr>
          <w:rFonts w:hint="eastAsia" w:eastAsia="宋体" w:cs="宋体"/>
          <w:color w:val="auto"/>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28.2采购人从评审报告提出的成交候选供应商中，按照排序由高到低的原则确定成交供应商。采购人确定成交供应商后，采购人将在“中国政府采购网”、“江苏政府采购网”、“盐城市政府采购网”“阜宁县公共资源电子化综合交易平台”发布成交结果公告，公告期限为1个工作日。</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28.3若有充分证据证明，成交供应商出现下列情况之一的，一经查实，将被取消成交资格：</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28.3.1提供虚假材料谋取成交的。</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28.3.2与评审专家、采购人、其他供应商或者代理公司工作人员恶意串通的。</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28.3.3向评审专家、采购人或代理公司工作人员行贿或者提供其他不正当利益的。</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28.3.4恶意竞争，最后报价明显低于其自身合理成本且又无法提供证明的。</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28.3.5不满足本磋商文件规定的实质性要求，但在评审过程中又未被磋商小组发现的。</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28.3.6成交后无正当理由拒不与采购人签订政府采购合同或者未按照磋商文件确定的事项签订政府采购合同的。</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28.3.7将政府采购合同转包的。</w:t>
      </w:r>
      <w:r/>
    </w:p>
    <w:p>
      <w:pPr>
        <w:pStyle w:val="793"/>
        <w:ind w:firstLine="600"/>
        <w:jc w:val="both"/>
        <w:keepLines/>
        <w:keepNext/>
        <w:pageBreakBefore w:val="0"/>
        <w:spacing w:beforeAutospacing="0" w:afterAutospacing="0" w:line="440" w:lineRule="exact"/>
        <w:rPr>
          <w:rFonts w:hint="eastAsia" w:eastAsia="宋体" w:cs="宋体"/>
          <w:color w:val="auto"/>
          <w:highlight w:val="none"/>
        </w:rPr>
      </w:pPr>
      <w:r/>
      <w:bookmarkStart w:id="153" w:name="_Toc200451960"/>
      <w:r>
        <w:rPr>
          <w:rFonts w:hint="eastAsia" w:eastAsia="宋体" w:cs="宋体"/>
          <w:color w:val="auto"/>
          <w:highlight w:val="none"/>
        </w:rPr>
        <w:t xml:space="preserve">29、质疑处理</w:t>
      </w:r>
      <w:bookmarkEnd w:id="153"/>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29.1 提出质疑的供应商应当是参与所质疑项目采购活动的供应商。潜在供应商依法获取其可质疑的</w:t>
      </w:r>
      <w:r>
        <w:rPr>
          <w:rFonts w:hint="eastAsia" w:ascii="宋体" w:hAnsi="宋体" w:cs="宋体"/>
          <w:color w:val="auto"/>
          <w:sz w:val="24"/>
          <w:highlight w:val="none"/>
          <w:lang w:val="en-US" w:eastAsia="zh-CN"/>
        </w:rPr>
        <w:t xml:space="preserve">磋商文件</w:t>
      </w:r>
      <w:r>
        <w:rPr>
          <w:rFonts w:hint="eastAsia" w:eastAsia="宋体" w:cs="宋体"/>
          <w:color w:val="auto"/>
          <w:highlight w:val="none"/>
        </w:rPr>
        <w:t xml:space="preserve">的，可以对</w:t>
      </w:r>
      <w:r>
        <w:rPr>
          <w:rFonts w:hint="eastAsia" w:ascii="宋体" w:hAnsi="宋体" w:cs="宋体"/>
          <w:color w:val="auto"/>
          <w:sz w:val="24"/>
          <w:highlight w:val="none"/>
          <w:lang w:val="en-US" w:eastAsia="zh-CN"/>
        </w:rPr>
        <w:t xml:space="preserve">磋商文件</w:t>
      </w:r>
      <w:r>
        <w:rPr>
          <w:rFonts w:hint="eastAsia" w:eastAsia="宋体" w:cs="宋体"/>
          <w:color w:val="auto"/>
          <w:highlight w:val="none"/>
        </w:rPr>
        <w:t xml:space="preserve">提出质疑。</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29.2供应商认为</w:t>
      </w:r>
      <w:r>
        <w:rPr>
          <w:rFonts w:hint="eastAsia" w:ascii="宋体" w:hAnsi="宋体" w:cs="宋体"/>
          <w:color w:val="auto"/>
          <w:sz w:val="24"/>
          <w:highlight w:val="none"/>
          <w:lang w:val="en-US" w:eastAsia="zh-CN"/>
        </w:rPr>
        <w:t xml:space="preserve">磋商文件</w:t>
      </w:r>
      <w:r>
        <w:rPr>
          <w:rFonts w:hint="eastAsia" w:eastAsia="宋体" w:cs="宋体"/>
          <w:color w:val="auto"/>
          <w:highlight w:val="none"/>
        </w:rPr>
        <w:t xml:space="preserve">、采购过程和采购结果使自己的权益受到损害的，可以在知道或应知其权益受到损害之日起七个工作日内，以书面形式根据下述29.4条款的规定向采购人或代理公司提出质疑。上述应知其权益受到损害之日，是指：</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29.2.1对可以质疑的</w:t>
      </w:r>
      <w:r>
        <w:rPr>
          <w:rFonts w:hint="eastAsia" w:ascii="宋体" w:hAnsi="宋体" w:cs="宋体"/>
          <w:color w:val="auto"/>
          <w:sz w:val="24"/>
          <w:highlight w:val="none"/>
          <w:lang w:val="en-US" w:eastAsia="zh-CN"/>
        </w:rPr>
        <w:t xml:space="preserve">磋商文件</w:t>
      </w:r>
      <w:r>
        <w:rPr>
          <w:rFonts w:hint="eastAsia" w:eastAsia="宋体" w:cs="宋体"/>
          <w:color w:val="auto"/>
          <w:highlight w:val="none"/>
        </w:rPr>
        <w:t xml:space="preserve">提出质疑的，为收到</w:t>
      </w:r>
      <w:r>
        <w:rPr>
          <w:rFonts w:hint="eastAsia" w:ascii="宋体" w:hAnsi="宋体" w:cs="宋体"/>
          <w:color w:val="auto"/>
          <w:sz w:val="24"/>
          <w:highlight w:val="none"/>
          <w:lang w:val="en-US" w:eastAsia="zh-CN"/>
        </w:rPr>
        <w:t xml:space="preserve">磋商文件</w:t>
      </w:r>
      <w:r>
        <w:rPr>
          <w:rFonts w:hint="eastAsia" w:eastAsia="宋体" w:cs="宋体"/>
          <w:color w:val="auto"/>
          <w:highlight w:val="none"/>
        </w:rPr>
        <w:t xml:space="preserve">之日或者</w:t>
      </w:r>
      <w:r>
        <w:rPr>
          <w:rFonts w:hint="eastAsia" w:ascii="宋体" w:hAnsi="宋体" w:cs="宋体"/>
          <w:color w:val="auto"/>
          <w:sz w:val="24"/>
          <w:highlight w:val="none"/>
          <w:lang w:val="en-US" w:eastAsia="zh-CN"/>
        </w:rPr>
        <w:t xml:space="preserve">磋商文件</w:t>
      </w:r>
      <w:r>
        <w:rPr>
          <w:rFonts w:hint="eastAsia" w:eastAsia="宋体" w:cs="宋体"/>
          <w:color w:val="auto"/>
          <w:highlight w:val="none"/>
        </w:rPr>
        <w:t xml:space="preserve">公告期限届满之日。</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29.2.2对采购过程提出质疑的，为各采购程序环节结束之日。</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29.2.3对成交结果提出质疑的，为成交结果公告期限届满之日。</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供应商应当在法定质疑期内一次性提出针对同一采购程序环节的质疑。供应商如在法定期限内对同一采购程序环节提出多次质疑的，采购人、代理公司将只对供应商第一次质疑作出答复。</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29.4 以下情形的质疑不予受理</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29.4.1 内容不符合《政府采购质疑和投诉办法》第十二条规定的质疑。</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29.4.2 超出政府采购法定期限的质疑。</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29.4.3 以传真、电子邮件等方式递交的非原件形式的质疑。</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29.4.4 未参加磋商活动的供应商或在磋商活动中自身权益未受到损害的供应商所提出的质疑。</w:t>
      </w:r>
      <w:r/>
    </w:p>
    <w:p>
      <w:pPr>
        <w:pStyle w:val="793"/>
        <w:ind w:firstLine="48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29.4.5供应商组成联合体参加磋商，联合体中任何一方或多方未按要求签字、盖章、加盖公章的质疑。</w:t>
      </w:r>
      <w:r/>
    </w:p>
    <w:p>
      <w:pPr>
        <w:pStyle w:val="793"/>
        <w:ind w:firstLine="468"/>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93"/>
        <w:ind w:firstLine="600"/>
        <w:jc w:val="both"/>
        <w:keepLines/>
        <w:keepNext/>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30、成交通知书</w:t>
      </w:r>
      <w:r/>
    </w:p>
    <w:p>
      <w:pPr>
        <w:pStyle w:val="793"/>
        <w:ind w:firstLine="60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93"/>
        <w:ind w:firstLine="600"/>
        <w:jc w:val="both"/>
        <w:pageBreakBefore w:val="0"/>
        <w:spacing w:beforeAutospacing="0" w:afterAutospacing="0" w:line="440" w:lineRule="exact"/>
        <w:rPr>
          <w:rFonts w:hint="eastAsia" w:eastAsia="宋体" w:cs="宋体"/>
          <w:color w:val="auto"/>
          <w:highlight w:val="none"/>
        </w:rPr>
      </w:pPr>
      <w:r>
        <w:rPr>
          <w:rFonts w:hint="eastAsia" w:eastAsia="宋体" w:cs="宋体"/>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44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七、授予合同</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30、签订合同</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30.l中标人应当在中标通知书发出之日起三十日内，按照</w:t>
      </w:r>
      <w:r>
        <w:rPr>
          <w:rFonts w:hint="eastAsia" w:ascii="宋体" w:hAnsi="宋体" w:cs="宋体"/>
          <w:color w:val="auto"/>
          <w:sz w:val="24"/>
          <w:highlight w:val="none"/>
          <w:lang w:val="en-US" w:eastAsia="zh-CN"/>
        </w:rPr>
        <w:t xml:space="preserve">磋商文件</w:t>
      </w:r>
      <w:r>
        <w:rPr>
          <w:rFonts w:hint="eastAsia" w:ascii="宋体" w:hAnsi="宋体" w:eastAsia="宋体" w:cs="宋体"/>
          <w:color w:val="auto"/>
          <w:sz w:val="24"/>
          <w:highlight w:val="none"/>
        </w:rPr>
        <w:t xml:space="preserve">确定的事项与采购人签订政府采购合同。</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w:t>
      </w:r>
      <w:r>
        <w:rPr>
          <w:rFonts w:hint="eastAsia" w:ascii="宋体" w:hAnsi="宋体" w:cs="宋体"/>
          <w:color w:val="auto"/>
          <w:sz w:val="24"/>
          <w:highlight w:val="none"/>
          <w:lang w:val="en-US" w:eastAsia="zh-CN"/>
        </w:rPr>
        <w:t xml:space="preserve">磋商文件</w:t>
      </w:r>
      <w:r>
        <w:rPr>
          <w:rFonts w:hint="eastAsia" w:ascii="宋体" w:hAnsi="宋体" w:eastAsia="宋体" w:cs="宋体"/>
          <w:color w:val="auto"/>
          <w:sz w:val="24"/>
          <w:highlight w:val="none"/>
        </w:rPr>
        <w:t xml:space="preserve">、中标人的</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文件及招标过程中有关澄清、承诺文件均应作为合同附件。</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30.3签订合同后，</w:t>
      </w:r>
      <w:r>
        <w:rPr>
          <w:rFonts w:hint="eastAsia" w:ascii="宋体" w:hAnsi="宋体" w:eastAsia="宋体" w:cs="宋体"/>
          <w:iCs/>
          <w:color w:val="auto"/>
          <w:sz w:val="24"/>
          <w:highlight w:val="none"/>
        </w:rPr>
        <w:t xml:space="preserve">中标人不得将合同标的进行转包和分包。</w:t>
      </w:r>
      <w:r>
        <w:rPr>
          <w:rFonts w:hint="eastAsia" w:ascii="宋体" w:hAnsi="宋体" w:eastAsia="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30.4供应商</w:t>
      </w:r>
      <w:r>
        <w:rPr>
          <w:rFonts w:ascii="宋体" w:hAnsi="宋体" w:eastAsia="宋体" w:cs="宋体"/>
          <w:color w:val="auto"/>
          <w:sz w:val="24"/>
          <w:highlight w:val="none"/>
        </w:rPr>
        <w:t xml:space="preserve">成交后无正当理由拒不与采购人签订政府采购合同</w:t>
      </w:r>
      <w:r>
        <w:rPr>
          <w:rFonts w:hint="eastAsia" w:ascii="宋体" w:hAnsi="宋体" w:eastAsia="宋体" w:cs="宋体"/>
          <w:color w:val="auto"/>
          <w:sz w:val="24"/>
          <w:highlight w:val="none"/>
        </w:rPr>
        <w:t xml:space="preserve">的，按《</w:t>
      </w:r>
      <w:r>
        <w:rPr>
          <w:rFonts w:ascii="宋体" w:hAnsi="宋体" w:eastAsia="宋体" w:cs="宋体"/>
          <w:color w:val="auto"/>
          <w:sz w:val="24"/>
          <w:highlight w:val="none"/>
        </w:rPr>
        <w:t xml:space="preserve">中华人民共和国政府采购法</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中华人民共和国政府采购法实施条例</w:t>
      </w:r>
      <w:r>
        <w:rPr>
          <w:rFonts w:hint="eastAsia" w:ascii="宋体" w:hAnsi="宋体" w:eastAsia="宋体" w:cs="宋体"/>
          <w:color w:val="auto"/>
          <w:sz w:val="24"/>
          <w:highlight w:val="none"/>
        </w:rPr>
        <w:t xml:space="preserve">》相关规定执行。</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31、服务（包含与服务相关的货物）的追加</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32、政府采购政策功能落实</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32.1政府采购线上合同信用融资政策</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pageBreakBefore w:val="0"/>
        <w:spacing w:line="44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32.2进口产品</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44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32.3中小企业、监狱企业及残疾人福利性单位</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32.3.1中小企业定义：</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w:t>
      </w:r>
      <w:r>
        <w:rPr>
          <w:rFonts w:hint="eastAsia" w:ascii="宋体" w:hAnsi="宋体" w:eastAsia="宋体" w:cs="宋体"/>
          <w:color w:val="auto"/>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32.3.2投标人提供的货物、工程或者服务符合下列情形的，享受中小企业扶持政策：</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32.3.2.1在货物采购项目中，货物由中小企业制造，即货物由中小企业生产且使用该中小企业商号或者注册商标；</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32.3.2.2在工程采购项目中，工程由中小企业承建，即工程施工单位为中小企业；</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32.3.2.3在服务采购项目中，服务由中小企业承接，即提供服务的人员为中小企业依照《中华人民共和国民法典》订立劳动合同的从业人员。</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32.3.3在货物采购项目中，投标人提供的货物既有中小企业制造货物，也有大型企业制造货物的，不享受中小企业扶持政策。</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32.3.6残疾人福利单位定义：享受政府采购支持政策的残疾人福利性单位应当同时满足以下条件：</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32.3.6.1安置的残疾人占本单位在职职工人数的比例不低于25%（含25%），并且安置的残疾人人数不少于10人（含10人）；</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32.3.6.2依法与安置的每位残疾人签订了一年以上（含一年）的劳动合同或服务协议；</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32.3.6.3为安置的每位残疾人按月足额缴纳了基本养老保险、基本医疗保险、失业保险、工伤保险和生育保险等社会保险费；</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32.3.7本项目是否专门面向中小企业预留采购份额见第一章《招标公告》。</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32.3.8采购标的对应的中小企业划分标准所属行业见第四章《采购需求》。</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32.3.9小微企业价格评审优惠的政策：见第五章《评标方法和评标标准》。</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32.4政府采购节能产品、环境标志产品</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32.4.1严格执行政府采购关于支持</w:t>
      </w:r>
      <w:r>
        <w:rPr>
          <w:rFonts w:hint="eastAsia" w:ascii="宋体" w:hAnsi="宋体" w:eastAsia="宋体" w:cs="宋体"/>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32.5绿色包装</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44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32.6政府采购创新产品</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采购人优先采购各级政府部门公开发布的有效期内的创新产品、创新服务、首台套、首购首用等《目录》的创新产品。</w:t>
      </w:r>
      <w:r/>
    </w:p>
    <w:p>
      <w:pPr>
        <w:ind w:firstLine="480"/>
        <w:pageBreakBefore w:val="0"/>
        <w:spacing w:line="44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32.7绿色数据中心政策</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80"/>
        <w:pageBreakBefore w:val="0"/>
        <w:spacing w:line="440" w:lineRule="exact"/>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32.8履约保证金政策</w:t>
      </w:r>
      <w:r/>
    </w:p>
    <w:p>
      <w:pPr>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确需收取履约保证金的，履约保证金的缴纳形式：</w:t>
      </w:r>
      <w:r/>
    </w:p>
    <w:p>
      <w:pPr>
        <w:ind w:firstLine="482"/>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如以履约保函（保险）形式缴纳履约保证金，供应商可通过政府采购电子履约保函（保险）平台（www.jsdzbh.com）在线申请履约保函（保险）。</w:t>
      </w:r>
      <w:r/>
    </w:p>
    <w:p>
      <w:pPr>
        <w:ind w:firstLine="482"/>
        <w:pageBreakBefore w:val="0"/>
        <w:spacing w:line="440" w:lineRule="exact"/>
        <w:rPr>
          <w:rFonts w:hint="eastAsia" w:ascii="宋体" w:hAnsi="宋体" w:eastAsia="宋体" w:cs="宋体"/>
          <w:color w:val="auto"/>
          <w:sz w:val="24"/>
          <w:highlight w:val="none"/>
        </w:rPr>
      </w:pPr>
      <w:r>
        <w:rPr>
          <w:rFonts w:ascii="宋体" w:hAnsi="宋体" w:eastAsia="宋体" w:cs="宋体"/>
          <w:color w:val="auto"/>
          <w:sz w:val="24"/>
          <w:highlight w:val="none"/>
        </w:rPr>
        <w:t xml:space="preserve">履约保证金金额不得超过合同金额的10%，采购人对第三方信用服务机构依据标准规范评定为 AA 级</w:t>
      </w:r>
      <w:r>
        <w:rPr>
          <w:rFonts w:hint="eastAsia" w:ascii="宋体" w:hAnsi="宋体" w:eastAsia="宋体" w:cs="宋体"/>
          <w:color w:val="auto"/>
          <w:sz w:val="24"/>
          <w:highlight w:val="none"/>
          <w:lang w:val="en-US" w:eastAsia="zh-CN"/>
        </w:rPr>
        <w:t xml:space="preserve">及以上</w:t>
      </w:r>
      <w:r>
        <w:rPr>
          <w:rFonts w:ascii="宋体" w:hAnsi="宋体" w:eastAsia="宋体" w:cs="宋体"/>
          <w:color w:val="auto"/>
          <w:sz w:val="24"/>
          <w:highlight w:val="none"/>
        </w:rPr>
        <w:t xml:space="preserve">的政府采购供应商降低履约保证金缴纳比例为5%，（需在签订采购合同前提供信用管理部门备案的第三方信用报告，且信用报告通过“信用盐城网”可查实）。</w:t>
      </w:r>
      <w:r/>
    </w:p>
    <w:p>
      <w:pPr>
        <w:ind w:firstLine="482"/>
        <w:pageBreakBefore w:val="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33. 预付款制度</w:t>
      </w:r>
      <w:r/>
    </w:p>
    <w:p>
      <w:pPr>
        <w:ind w:firstLine="482"/>
        <w:pageBreakBefore w:val="0"/>
        <w:spacing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本项目落实预付款制度，预付款比例为</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0%。在签订合同时，中标、成交供应商明确书面表示无需预付款或者主动要求降低预付款比例的，采购人可就预付款比例作相应调整</w:t>
      </w:r>
      <w:r>
        <w:rPr>
          <w:rFonts w:hint="eastAsia" w:ascii="宋体" w:hAnsi="宋体" w:eastAsia="宋体" w:cs="宋体"/>
          <w:color w:val="auto"/>
          <w:sz w:val="24"/>
          <w:highlight w:val="none"/>
          <w:lang w:val="zh-CN"/>
        </w:rPr>
        <w:t xml:space="preserve">。</w:t>
      </w:r>
      <w:r/>
    </w:p>
    <w:p>
      <w:pPr>
        <w:jc w:val="center"/>
        <w:keepLines w:val="0"/>
        <w:keepNext w:val="0"/>
        <w:pageBreakBefore w:val="0"/>
        <w:spacing w:line="500" w:lineRule="exact"/>
        <w:widowControl w:val="off"/>
        <w:rPr>
          <w:rFonts w:hint="eastAsia" w:ascii="黑体" w:hAnsi="宋体" w:eastAsia="黑体" w:cs="黑体"/>
          <w:sz w:val="44"/>
          <w:szCs w:val="44"/>
          <w:lang w:val="en-US" w:eastAsia="zh-CN" w:bidi="ar-SA"/>
        </w:rPr>
      </w:pPr>
      <w:r>
        <w:rPr>
          <w:color w:val="auto"/>
          <w:highlight w:val="none"/>
        </w:rPr>
        <w:br w:type="page" w:clear="all"/>
      </w:r>
      <w:bookmarkEnd w:id="62"/>
      <w:r/>
      <w:bookmarkEnd w:id="63"/>
      <w:r/>
      <w:bookmarkEnd w:id="64"/>
      <w:r/>
      <w:bookmarkStart w:id="154" w:name="_Toc203032699"/>
      <w:r>
        <w:rPr>
          <w:rFonts w:hint="eastAsia" w:ascii="黑体" w:hAnsi="宋体" w:eastAsia="黑体" w:cs="黑体"/>
          <w:color w:val="auto"/>
          <w:sz w:val="44"/>
          <w:szCs w:val="44"/>
          <w:highlight w:val="none"/>
        </w:rPr>
        <w:t xml:space="preserve">第三章  </w:t>
      </w:r>
      <w:bookmarkEnd w:id="154"/>
      <w:r/>
      <w:bookmarkStart w:id="155" w:name="_Toc61149622"/>
      <w:r/>
      <w:bookmarkStart w:id="156" w:name="_Toc23828480"/>
      <w:r/>
      <w:bookmarkStart w:id="157" w:name="_Toc26554097"/>
      <w:r>
        <w:rPr>
          <w:rFonts w:hint="eastAsia" w:ascii="黑体" w:hAnsi="宋体" w:eastAsia="黑体" w:cs="黑体"/>
          <w:sz w:val="44"/>
          <w:szCs w:val="44"/>
          <w:lang w:val="en-US" w:eastAsia="zh-CN" w:bidi="ar-SA"/>
        </w:rPr>
        <w:t xml:space="preserve"> 合同文本</w:t>
      </w:r>
      <w:r/>
    </w:p>
    <w:p>
      <w:pPr>
        <w:pStyle w:val="793"/>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rPr>
      </w:pPr>
      <w:r/>
      <w:bookmarkStart w:id="158" w:name="_Toc20823315"/>
      <w:r/>
      <w:bookmarkStart w:id="159" w:name="_Toc16938559"/>
      <w:r/>
      <w:bookmarkStart w:id="160" w:name="_Toc513029243"/>
      <w:r/>
      <w:r/>
    </w:p>
    <w:p>
      <w:pPr>
        <w:pStyle w:val="793"/>
        <w:ind w:firstLine="480"/>
        <w:jc w:val="both"/>
        <w:keepLines w:val="0"/>
        <w:keepNext w:val="0"/>
        <w:pageBreakBefore w:val="0"/>
        <w:spacing w:beforeAutospacing="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158"/>
      <w:r/>
      <w:bookmarkEnd w:id="159"/>
      <w:r/>
      <w:bookmarkEnd w:id="160"/>
      <w:r/>
      <w:r/>
    </w:p>
    <w:p>
      <w:pPr>
        <w:pStyle w:val="793"/>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备注：请项目经办人提醒采购人按照《政府采购需求管理办法》第二十三条的规定完善合同文本。磋商文件</w:t>
      </w:r>
      <w:r>
        <w:rPr>
          <w:rFonts w:hint="eastAsia" w:ascii="宋体" w:hAnsi="宋体" w:eastAsia="宋体" w:cs="宋体"/>
          <w:color w:val="000000"/>
          <w:sz w:val="24"/>
          <w:szCs w:val="24"/>
          <w:highlight w:val="none"/>
          <w:lang w:val="en-US" w:eastAsia="zh-CN"/>
        </w:rPr>
        <w:t xml:space="preserve">定稿后该备注删除。</w:t>
      </w:r>
      <w:r/>
    </w:p>
    <w:p>
      <w:pPr>
        <w:pStyle w:val="793"/>
        <w:jc w:val="center"/>
        <w:keepLines w:val="0"/>
        <w:keepNext w:val="0"/>
        <w:pageBreakBefore w:val="0"/>
        <w:spacing w:before="145" w:beforeAutospacing="0" w:after="145" w:afterAutospacing="0" w:line="500" w:lineRule="exact"/>
        <w:widowControl w:val="off"/>
        <w:rPr>
          <w:sz w:val="24"/>
          <w:szCs w:val="24"/>
          <w:highlight w:val="none"/>
        </w:rPr>
      </w:pPr>
      <w:r>
        <w:rPr>
          <w:sz w:val="24"/>
          <w:szCs w:val="24"/>
          <w:highlight w:val="none"/>
        </w:rPr>
        <w:t xml:space="preserve"> </w:t>
      </w:r>
      <w:r/>
    </w:p>
    <w:p>
      <w:pPr>
        <w:pStyle w:val="793"/>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793"/>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793"/>
        <w:ind w:firstLine="480"/>
        <w:jc w:val="both"/>
        <w:keepLines w:val="0"/>
        <w:keepNext w:val="0"/>
        <w:pageBreakBefore w:val="0"/>
        <w:spacing w:before="0" w:beforeAutospacing="0" w:after="0" w:afterAutospacing="0" w:line="520" w:lineRule="exact"/>
        <w:widowControl w:val="off"/>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甲方：（买方）</w:t>
      </w:r>
      <w:r>
        <w:rPr>
          <w:rFonts w:hint="eastAsia" w:ascii="宋体" w:hAnsi="宋体" w:cs="宋体"/>
          <w:color w:val="000000"/>
          <w:sz w:val="24"/>
          <w:szCs w:val="24"/>
          <w:highlight w:val="none"/>
          <w:u w:val="single"/>
          <w:lang w:val="en-US" w:eastAsia="zh-CN"/>
        </w:rPr>
        <w:t xml:space="preserve">           </w:t>
      </w:r>
      <w:r/>
    </w:p>
    <w:p>
      <w:pPr>
        <w:pStyle w:val="793"/>
        <w:ind w:firstLine="480"/>
        <w:jc w:val="both"/>
        <w:keepLines w:val="0"/>
        <w:keepNext w:val="0"/>
        <w:pageBreakBefore w:val="0"/>
        <w:spacing w:before="0" w:beforeAutospacing="0" w:after="0" w:afterAutospacing="0" w:line="520" w:lineRule="exact"/>
        <w:widowControl w:val="off"/>
        <w:rPr>
          <w:rFonts w:hint="default" w:eastAsia="宋体"/>
          <w:sz w:val="24"/>
          <w:szCs w:val="24"/>
          <w:highlight w:val="none"/>
          <w:u w:val="singl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cs="宋体"/>
          <w:color w:val="000000"/>
          <w:sz w:val="24"/>
          <w:szCs w:val="24"/>
          <w:highlight w:val="none"/>
          <w:u w:val="single"/>
          <w:lang w:val="en-US" w:eastAsia="zh-CN"/>
        </w:rPr>
        <w:t xml:space="preserve">           </w:t>
      </w:r>
      <w:r/>
    </w:p>
    <w:p>
      <w:pPr>
        <w:pStyle w:val="793"/>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甲、乙双方根据盐城市政府采购中心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pStyle w:val="793"/>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 标的名称：</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1.2标的质量：</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1.3 标的数量（规模）：</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1.4 履行时间（期限）：</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1.5 履行地点：</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1.6履行方式：</w:t>
      </w:r>
      <w:r/>
    </w:p>
    <w:p>
      <w:pPr>
        <w:pStyle w:val="793"/>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2.1本合同金额为人民币（大写）：____________________________________圆（_______________元）。</w:t>
      </w:r>
      <w:r/>
    </w:p>
    <w:p>
      <w:pPr>
        <w:pStyle w:val="793"/>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规定的时间向甲方提供服务（包含与服务相关的货物）的有关技术资料。</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3"/>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793"/>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793"/>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793"/>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793"/>
        <w:ind w:firstLine="480"/>
        <w:jc w:val="both"/>
        <w:keepLines w:val="0"/>
        <w:keepNext w:val="0"/>
        <w:pageBreakBefore w:val="0"/>
        <w:spacing w:before="0" w:beforeAutospacing="0" w:after="0" w:afterAutospacing="0" w:line="52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6.1乙方交纳人民币_________元作为本合同的履约保证金。</w:t>
      </w:r>
      <w:r/>
    </w:p>
    <w:p>
      <w:pPr>
        <w:pStyle w:val="793"/>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793"/>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793"/>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793"/>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793"/>
        <w:ind w:firstLine="480"/>
        <w:jc w:val="both"/>
        <w:keepLines w:val="0"/>
        <w:keepNext w:val="0"/>
        <w:pageBreakBefore w:val="0"/>
        <w:spacing w:before="0" w:beforeAutospacing="0" w:after="0" w:afterAutospacing="0" w:line="52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规定要求的；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52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93"/>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793"/>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793"/>
        <w:ind w:firstLine="482"/>
        <w:jc w:val="both"/>
        <w:keepLines w:val="0"/>
        <w:keepNext w:val="0"/>
        <w:pageBreakBefore w:val="0"/>
        <w:spacing w:before="0" w:beforeAutospacing="0" w:after="0" w:afterAutospacing="0" w:line="520" w:lineRule="exact"/>
        <w:widowControl w:val="off"/>
        <w:rPr>
          <w:rFonts w:hint="eastAsia" w:eastAsia="宋体"/>
          <w:sz w:val="24"/>
          <w:szCs w:val="24"/>
          <w:highlight w:val="none"/>
          <w:lang w:val="en-US" w:eastAsia="zh-CN"/>
        </w:rPr>
      </w:pPr>
      <w:r>
        <w:rPr>
          <w:rFonts w:hint="eastAsia" w:ascii="宋体" w:hAnsi="宋体" w:eastAsia="宋体" w:cs="宋体"/>
          <w:b/>
          <w:color w:val="000000"/>
          <w:sz w:val="24"/>
          <w:szCs w:val="24"/>
          <w:highlight w:val="none"/>
        </w:rPr>
        <w:t xml:space="preserve">八、合同款项支付</w:t>
      </w:r>
      <w:r>
        <w:rPr>
          <w:rFonts w:hint="eastAsia" w:ascii="宋体" w:hAnsi="宋体" w:cs="宋体"/>
          <w:b/>
          <w:color w:val="000000"/>
          <w:sz w:val="24"/>
          <w:szCs w:val="24"/>
          <w:highlight w:val="none"/>
          <w:lang w:val="en-US" w:eastAsia="zh-CN"/>
        </w:rPr>
        <w:t xml:space="preserve">安排</w:t>
      </w:r>
      <w:r/>
    </w:p>
    <w:p>
      <w:pPr>
        <w:ind w:firstLine="482"/>
        <w:pageBreakBefore w:val="0"/>
        <w:spacing w:line="440" w:lineRule="exact"/>
        <w:widowControl/>
        <w:rPr>
          <w:rFonts w:hint="eastAsia" w:ascii="宋体" w:hAnsi="宋体" w:eastAsia="宋体" w:cs="宋体"/>
          <w:b/>
          <w:bCs/>
          <w:color w:val="0000ff"/>
          <w:sz w:val="24"/>
          <w:highlight w:val="none"/>
        </w:rPr>
      </w:pPr>
      <w:r>
        <w:rPr>
          <w:rFonts w:hint="eastAsia" w:ascii="宋体" w:hAnsi="宋体" w:eastAsia="宋体" w:cs="宋体"/>
          <w:b/>
          <w:bCs/>
          <w:color w:val="0000ff"/>
          <w:sz w:val="24"/>
          <w:highlight w:val="none"/>
          <w:lang w:eastAsia="zh-CN"/>
        </w:rPr>
        <w:t xml:space="preserve">合同签订后7日内支付合同总价的30%作为预付款，成交供应商按照采购人要求进行服务，待项目验收合格后付至审计金额的50%，验收合格满一年后付至审计金额的80%，</w:t>
      </w:r>
      <w:r>
        <w:rPr>
          <w:rFonts w:hint="eastAsia" w:ascii="宋体" w:hAnsi="宋体" w:cs="宋体"/>
          <w:b/>
          <w:bCs/>
          <w:color w:val="0000ff"/>
          <w:sz w:val="24"/>
          <w:highlight w:val="none"/>
          <w:lang w:eastAsia="zh-CN"/>
        </w:rPr>
        <w:t xml:space="preserve">余款待验收合格满二年后一个月内按审计金额结清</w:t>
      </w:r>
      <w:r>
        <w:rPr>
          <w:rFonts w:hint="eastAsia" w:ascii="宋体" w:hAnsi="宋体" w:eastAsia="宋体" w:cs="宋体"/>
          <w:b/>
          <w:bCs/>
          <w:color w:val="0000ff"/>
          <w:sz w:val="24"/>
          <w:highlight w:val="none"/>
          <w:lang w:eastAsia="zh-CN"/>
        </w:rPr>
        <w:t xml:space="preserve">（结算时，成交供应商须提供税务发票，收到发票后10个工作日内支付）</w:t>
      </w:r>
      <w:r>
        <w:rPr>
          <w:rFonts w:hint="eastAsia" w:ascii="宋体" w:hAnsi="宋体" w:eastAsia="宋体" w:cs="宋体"/>
          <w:b/>
          <w:bCs/>
          <w:color w:val="0000ff"/>
          <w:sz w:val="24"/>
          <w:highlight w:val="none"/>
        </w:rPr>
        <w:t xml:space="preserve">。</w:t>
      </w:r>
      <w:r/>
    </w:p>
    <w:p>
      <w:pPr>
        <w:ind w:firstLine="482"/>
        <w:pageBreakBefore w:val="0"/>
        <w:spacing w:line="440" w:lineRule="exact"/>
        <w:widowControl/>
        <w:rPr>
          <w:rFonts w:hint="eastAsia" w:ascii="宋体" w:hAnsi="宋体" w:eastAsia="宋体" w:cs="宋体"/>
          <w:b/>
          <w:bCs/>
          <w:color w:val="0000ff"/>
          <w:sz w:val="24"/>
          <w:highlight w:val="none"/>
        </w:rPr>
      </w:pPr>
      <w:r>
        <w:rPr>
          <w:rFonts w:hint="eastAsia" w:ascii="宋体" w:hAnsi="宋体" w:eastAsia="宋体" w:cs="宋体"/>
          <w:b/>
          <w:bCs/>
          <w:color w:val="0000ff"/>
          <w:sz w:val="24"/>
          <w:highlight w:val="none"/>
        </w:rPr>
        <w:t xml:space="preserve"> 注：合同中付款方式采用预付款的，中标人如需支付预付款，中标人应向采购人出具预付款保函，中标人可以采用银行保函或保险公司保函，银行保函和保险公司保函受益人应为采购人。</w:t>
      </w:r>
      <w:r/>
    </w:p>
    <w:p>
      <w:pPr>
        <w:pStyle w:val="793"/>
        <w:ind w:firstLine="482"/>
        <w:jc w:val="both"/>
        <w:keepLines w:val="0"/>
        <w:keepNext w:val="0"/>
        <w:pageBreakBefore w:val="0"/>
        <w:spacing w:before="0" w:beforeAutospacing="0" w:after="0" w:afterAutospacing="0" w:line="520" w:lineRule="exact"/>
        <w:widowControl w:val="off"/>
        <w:rPr>
          <w:rFonts w:hint="eastAsia" w:ascii="宋体" w:hAnsi="宋体" w:eastAsia="宋体" w:cs="宋体"/>
          <w:b/>
          <w:bCs/>
          <w:color w:val="0000ff"/>
          <w:sz w:val="24"/>
          <w:highlight w:val="none"/>
        </w:rPr>
      </w:pPr>
      <w:r>
        <w:rPr>
          <w:rFonts w:hint="eastAsia" w:ascii="宋体" w:hAnsi="宋体" w:eastAsia="宋体" w:cs="宋体"/>
          <w:b/>
          <w:bCs/>
          <w:color w:val="0000ff"/>
          <w:sz w:val="24"/>
          <w:highlight w:val="none"/>
        </w:rPr>
        <w:t xml:space="preserve">中标人也可以放弃预付款，如放弃预付款的，中标人应向采购人出具放弃预付款的声明函。</w:t>
      </w:r>
      <w:r/>
    </w:p>
    <w:p>
      <w:pPr>
        <w:pStyle w:val="793"/>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793"/>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10.1甲方依法组织履约验收工作。</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10.3对于实际使用人和甲方分离的项目，甲方邀请实际使用人参与验收。</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10.4如有必要，甲方邀请参加本项目的其他供应商或第三方专业机构及专家参与验收，相关意见将作为验收书的参考资料。</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olor w:val="auto"/>
          <w:sz w:val="24"/>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民法典》。乙方在履约过程中有政府采购法律法规规定的违法违规情形的,甲方将及时报告本级财政部门。</w:t>
      </w:r>
      <w:r/>
    </w:p>
    <w:p>
      <w:pPr>
        <w:pStyle w:val="793"/>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11.1甲方无正当理由拒绝接受乙方提供服务的，甲方向乙方偿付拒绝接受服务合同价款总值</w:t>
      </w:r>
      <w:r>
        <w:rPr>
          <w:rFonts w:hint="eastAsia" w:hAnsi="宋体"/>
          <w:color w:val="000000"/>
          <w:sz w:val="24"/>
          <w:u w:val="single"/>
        </w:rPr>
        <w:t xml:space="preserve">百分之五</w:t>
      </w:r>
      <w:r>
        <w:rPr>
          <w:rFonts w:hint="eastAsia" w:ascii="宋体" w:hAnsi="宋体" w:eastAsia="宋体" w:cs="宋体"/>
          <w:color w:val="000000"/>
          <w:sz w:val="24"/>
          <w:szCs w:val="24"/>
          <w:highlight w:val="none"/>
        </w:rPr>
        <w:t xml:space="preserve">的违约金。</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11.2甲方无故逾期验收和办理合同款项支付手续的,甲方应按逾期付款总额</w:t>
      </w:r>
      <w:r>
        <w:rPr>
          <w:rFonts w:hint="eastAsia" w:hAnsi="宋体"/>
          <w:color w:val="000000"/>
          <w:sz w:val="24"/>
          <w:u w:val="single"/>
          <w:lang w:val="zh-CN"/>
        </w:rPr>
        <w:t xml:space="preserve">每日万分之五</w:t>
      </w:r>
      <w:r>
        <w:rPr>
          <w:rFonts w:hint="eastAsia" w:ascii="宋体" w:hAnsi="宋体" w:eastAsia="宋体" w:cs="宋体"/>
          <w:color w:val="000000"/>
          <w:sz w:val="24"/>
          <w:szCs w:val="24"/>
          <w:highlight w:val="none"/>
        </w:rPr>
        <w:t xml:space="preserve">每日向乙方支付违约金。</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11.3乙方逾期提供服务的，乙方应按逾期提供服务合同总额每日</w:t>
      </w:r>
      <w:r>
        <w:rPr>
          <w:rFonts w:hint="eastAsia" w:ascii="宋体" w:hAnsi="宋体" w:eastAsia="宋体" w:cs="宋体"/>
          <w:color w:val="000000"/>
          <w:sz w:val="24"/>
          <w:szCs w:val="24"/>
          <w:highlight w:val="none"/>
          <w:u w:val="single"/>
        </w:rPr>
        <w:t xml:space="preserve">千分之六</w:t>
      </w:r>
      <w:r>
        <w:rPr>
          <w:rFonts w:hint="eastAsia" w:ascii="宋体" w:hAnsi="宋体" w:eastAsia="宋体" w:cs="宋体"/>
          <w:color w:val="000000"/>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olor w:val="000000"/>
          <w:sz w:val="24"/>
          <w:u w:val="single"/>
        </w:rPr>
        <w:t xml:space="preserve">5%</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11.4乙方所提供服务的标准不符合合同规定及</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规定标准的，甲方有权拒绝接受服务，并可单方面解除合同。</w:t>
      </w:r>
      <w:r/>
    </w:p>
    <w:p>
      <w:pPr>
        <w:pStyle w:val="793"/>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十二、不可抗力事件处理</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 期相同。</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793"/>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十三、解决争议的方法</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p>
    <w:p>
      <w:pPr>
        <w:pStyle w:val="793"/>
        <w:ind w:firstLine="482"/>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b/>
          <w:color w:val="000000"/>
          <w:sz w:val="24"/>
          <w:szCs w:val="24"/>
          <w:highlight w:val="none"/>
        </w:rPr>
        <w:t xml:space="preserve">十四、合同生效及其</w:t>
      </w:r>
      <w:r>
        <w:rPr>
          <w:rFonts w:hint="eastAsia" w:ascii="宋体" w:hAnsi="宋体" w:eastAsia="宋体" w:cs="宋体"/>
          <w:b/>
          <w:color w:val="000000"/>
          <w:sz w:val="24"/>
          <w:szCs w:val="24"/>
          <w:highlight w:val="none"/>
          <w:lang w:eastAsia="zh-CN"/>
        </w:rPr>
        <w:t xml:space="preserve">他</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14.1合同经双方法定代表人或授权委托代表人签字并加盖单位公章后生效。</w:t>
      </w:r>
      <w:r/>
    </w:p>
    <w:p>
      <w:pPr>
        <w:pStyle w:val="793"/>
        <w:ind w:firstLine="48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14.2本合同未尽事宜，遵照《</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lang w:val="en-US" w:eastAsia="zh-CN"/>
        </w:rPr>
        <w:t xml:space="preserve">中华人民共和国</w:t>
      </w:r>
      <w:r>
        <w:rPr>
          <w:rFonts w:hint="eastAsia" w:ascii="宋体" w:hAnsi="宋体" w:eastAsia="宋体" w:cs="宋体"/>
          <w:color w:val="000000"/>
          <w:sz w:val="24"/>
          <w:szCs w:val="24"/>
          <w:highlight w:val="none"/>
        </w:rPr>
        <w:t xml:space="preserve">政府采购法》有关条文执行。</w:t>
      </w:r>
      <w:r/>
    </w:p>
    <w:p>
      <w:pPr>
        <w:pStyle w:val="793"/>
        <w:ind w:firstLine="480"/>
        <w:jc w:val="both"/>
        <w:keepLines w:val="0"/>
        <w:keepNext w:val="0"/>
        <w:pageBreakBefore w:val="0"/>
        <w:spacing w:before="0" w:beforeAutospacing="0" w:after="0" w:afterAutospacing="0" w:line="520" w:lineRule="exact"/>
        <w:widowControl w:val="off"/>
        <w:rPr>
          <w:sz w:val="24"/>
          <w:szCs w:val="24"/>
          <w:highlight w:val="none"/>
        </w:rPr>
      </w:pPr>
      <w:r>
        <w:rPr>
          <w:rFonts w:hint="eastAsia" w:ascii="宋体" w:hAnsi="宋体" w:eastAsia="宋体" w:cs="宋体"/>
          <w:color w:val="000000"/>
          <w:sz w:val="24"/>
          <w:szCs w:val="24"/>
          <w:highlight w:val="none"/>
        </w:rPr>
        <w:t xml:space="preserve">14.3 本合同正本一式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份，具有同等法律效力，甲方、乙方各执</w:t>
      </w:r>
      <w:r>
        <w:rPr>
          <w:rFonts w:hint="eastAsia" w:ascii="宋体" w:hAnsi="宋体" w:eastAsia="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存档贰份</w:t>
      </w:r>
      <w:r>
        <w:rPr>
          <w:rFonts w:hint="eastAsia" w:ascii="宋体" w:hAnsi="宋体" w:eastAsia="宋体" w:cs="宋体"/>
          <w:color w:val="000000"/>
          <w:sz w:val="24"/>
          <w:szCs w:val="24"/>
          <w:highlight w:val="none"/>
        </w:rPr>
        <w:t xml:space="preserve">。</w:t>
      </w:r>
      <w:r/>
    </w:p>
    <w:p>
      <w:pPr>
        <w:pStyle w:val="793"/>
        <w:ind w:firstLine="720"/>
        <w:jc w:val="both"/>
        <w:keepLines w:val="0"/>
        <w:keepNext w:val="0"/>
        <w:pageBreakBefore w:val="0"/>
        <w:spacing w:before="0" w:beforeAutospacing="0" w:after="0" w:afterAutospacing="0"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480" w:lineRule="auto"/>
        <w:rPr>
          <w:rFonts w:hint="eastAsia" w:ascii="宋体" w:hAnsi="宋体" w:cs="宋体"/>
          <w:sz w:val="24"/>
        </w:rPr>
      </w:pPr>
      <w:r/>
      <w:bookmarkStart w:id="161" w:name="_Toc203032703"/>
      <w:r>
        <w:rPr>
          <w:rFonts w:hint="eastAsia" w:ascii="宋体" w:hAnsi="宋体" w:cs="宋体"/>
          <w:sz w:val="24"/>
        </w:rPr>
        <w:t xml:space="preserve">甲方：              乙方： </w:t>
      </w:r>
      <w:r/>
    </w:p>
    <w:p>
      <w:pPr>
        <w:ind w:firstLine="480"/>
        <w:spacing w:line="480" w:lineRule="auto"/>
        <w:rPr>
          <w:rFonts w:hint="eastAsia" w:ascii="宋体" w:hAnsi="宋体" w:cs="宋体"/>
          <w:sz w:val="24"/>
        </w:rPr>
      </w:pPr>
      <w:r>
        <w:rPr>
          <w:rFonts w:hint="eastAsia" w:ascii="宋体" w:hAnsi="宋体" w:cs="宋体"/>
          <w:sz w:val="24"/>
        </w:rPr>
        <w:t xml:space="preserve">地址：               地址： </w:t>
      </w:r>
      <w:r/>
    </w:p>
    <w:p>
      <w:pPr>
        <w:ind w:firstLine="480"/>
        <w:spacing w:line="480" w:lineRule="auto"/>
        <w:rPr>
          <w:rFonts w:hint="eastAsia" w:ascii="宋体" w:hAnsi="宋体" w:cs="宋体"/>
          <w:sz w:val="24"/>
        </w:rPr>
      </w:pPr>
      <w:r>
        <w:rPr>
          <w:rFonts w:hint="eastAsia" w:ascii="宋体" w:hAnsi="宋体" w:cs="宋体"/>
          <w:sz w:val="24"/>
        </w:rPr>
        <w:t xml:space="preserve">法定代表人或授权代表：      法定代表人或授权代表：</w:t>
      </w:r>
      <w:r/>
    </w:p>
    <w:p>
      <w:pPr>
        <w:ind w:firstLine="480"/>
        <w:spacing w:line="480" w:lineRule="auto"/>
        <w:rPr>
          <w:rFonts w:hint="eastAsia" w:ascii="宋体" w:hAnsi="宋体" w:cs="宋体"/>
          <w:sz w:val="24"/>
        </w:rPr>
      </w:pPr>
      <w:r>
        <w:rPr>
          <w:rFonts w:hint="eastAsia" w:ascii="宋体" w:hAnsi="宋体" w:cs="宋体"/>
          <w:sz w:val="24"/>
        </w:rPr>
        <w:t xml:space="preserve">联系电话：               联系电话：       </w:t>
      </w:r>
      <w:r/>
    </w:p>
    <w:p>
      <w:pPr>
        <w:ind w:firstLine="480"/>
        <w:jc w:val="center"/>
        <w:spacing w:line="480" w:lineRule="auto"/>
        <w:rPr>
          <w:rFonts w:hint="eastAsia" w:ascii="宋体" w:hAnsi="宋体" w:cs="宋体"/>
          <w:sz w:val="24"/>
        </w:rPr>
      </w:pPr>
      <w:r>
        <w:rPr>
          <w:rFonts w:hint="eastAsia" w:ascii="宋体" w:hAnsi="宋体" w:cs="宋体"/>
          <w:sz w:val="24"/>
        </w:rPr>
      </w:r>
      <w:r/>
    </w:p>
    <w:p>
      <w:pPr>
        <w:ind w:firstLine="482"/>
        <w:pageBreakBefore w:val="0"/>
        <w:spacing w:line="440" w:lineRule="exact"/>
        <w:widowControl/>
        <w:rPr>
          <w:rFonts w:hint="eastAsia" w:ascii="宋体" w:hAnsi="宋体" w:eastAsia="宋体" w:cs="宋体"/>
          <w:color w:val="auto"/>
          <w:sz w:val="24"/>
          <w:highlight w:val="none"/>
        </w:rPr>
      </w:pPr>
      <w:r>
        <w:rPr>
          <w:rFonts w:hint="eastAsia" w:ascii="宋体" w:hAnsi="宋体" w:cs="宋体"/>
          <w:sz w:val="24"/>
        </w:rPr>
        <w:t xml:space="preserve">     签订日期：      年    月   日</w:t>
      </w:r>
      <w:r>
        <w:rPr>
          <w:rFonts w:hint="eastAsia" w:ascii="宋体" w:hAnsi="宋体" w:cs="宋体"/>
          <w:sz w:val="24"/>
        </w:rPr>
        <w:br w:type="page" w:clear="all"/>
      </w:r>
      <w:r/>
    </w:p>
    <w:p>
      <w:pPr>
        <w:pStyle w:val="795"/>
        <w:rPr>
          <w:color w:val="auto"/>
          <w:sz w:val="36"/>
          <w:szCs w:val="36"/>
          <w:highlight w:val="none"/>
        </w:rPr>
      </w:pPr>
      <w:r>
        <w:rPr>
          <w:rFonts w:hint="eastAsia"/>
          <w:color w:val="auto"/>
          <w:sz w:val="36"/>
          <w:szCs w:val="36"/>
          <w:highlight w:val="none"/>
        </w:rPr>
        <w:t xml:space="preserve">第四章  </w:t>
      </w:r>
      <w:bookmarkEnd w:id="161"/>
      <w:r>
        <w:rPr>
          <w:rFonts w:hint="eastAsia"/>
          <w:color w:val="auto"/>
          <w:sz w:val="36"/>
          <w:szCs w:val="36"/>
          <w:highlight w:val="none"/>
        </w:rPr>
        <w:t xml:space="preserve">采购需求</w:t>
      </w:r>
      <w:r/>
    </w:p>
    <w:p>
      <w:pPr>
        <w:ind w:firstLine="562"/>
        <w:spacing w:line="440" w:lineRule="exact"/>
        <w:rPr>
          <w:rFonts w:hint="eastAsia" w:eastAsia="宋体" w:cs="仿宋" w:asciiTheme="minorEastAsia" w:hAnsiTheme="minorEastAsia"/>
          <w:b/>
          <w:bCs/>
          <w:color w:val="auto"/>
          <w:sz w:val="28"/>
          <w:szCs w:val="28"/>
          <w:highlight w:val="none"/>
          <w:lang w:val="en-US" w:eastAsia="zh-CN" w:bidi="ar-SA"/>
        </w:rPr>
      </w:pPr>
      <w:r/>
      <w:bookmarkStart w:id="162" w:name="_Toc26554093"/>
      <w:r/>
      <w:bookmarkStart w:id="163" w:name="_Toc49090575"/>
      <w:r/>
      <w:r/>
    </w:p>
    <w:p>
      <w:pPr>
        <w:ind w:firstLine="562"/>
        <w:spacing w:line="360" w:lineRule="auto"/>
        <w:rPr>
          <w:rFonts w:hint="eastAsia" w:eastAsia="宋体" w:cs="仿宋" w:asciiTheme="minorEastAsia" w:hAnsiTheme="minorEastAsia"/>
          <w:b/>
          <w:bCs/>
          <w:color w:val="auto"/>
          <w:sz w:val="28"/>
          <w:szCs w:val="28"/>
          <w:highlight w:val="none"/>
          <w:lang w:val="en-US" w:eastAsia="zh-CN" w:bidi="ar-SA"/>
        </w:rPr>
      </w:pPr>
      <w:r>
        <w:rPr>
          <w:rFonts w:hint="eastAsia" w:eastAsia="宋体" w:cs="仿宋" w:asciiTheme="minorEastAsia" w:hAnsiTheme="minorEastAsia"/>
          <w:b/>
          <w:bCs/>
          <w:color w:val="auto"/>
          <w:sz w:val="28"/>
          <w:szCs w:val="28"/>
          <w:highlight w:val="none"/>
          <w:lang w:val="en-US" w:eastAsia="zh-CN" w:bidi="ar-SA"/>
        </w:rPr>
        <w:t xml:space="preserve">项目属性:</w:t>
      </w:r>
      <w:r>
        <w:rPr>
          <w:rFonts w:hint="eastAsia" w:cs="仿宋" w:asciiTheme="minorEastAsia" w:hAnsiTheme="minorEastAsia"/>
          <w:b/>
          <w:bCs/>
          <w:color w:val="auto"/>
          <w:sz w:val="28"/>
          <w:szCs w:val="28"/>
          <w:highlight w:val="none"/>
          <w:lang w:val="en-US" w:eastAsia="zh-CN" w:bidi="ar-SA"/>
        </w:rPr>
        <w:t xml:space="preserve">服务</w:t>
      </w:r>
      <w:r>
        <w:rPr>
          <w:rFonts w:hint="eastAsia" w:eastAsia="宋体" w:cs="仿宋" w:asciiTheme="minorEastAsia" w:hAnsiTheme="minorEastAsia"/>
          <w:b/>
          <w:bCs/>
          <w:color w:val="auto"/>
          <w:sz w:val="28"/>
          <w:szCs w:val="28"/>
          <w:highlight w:val="none"/>
          <w:lang w:val="en-US" w:eastAsia="zh-CN" w:bidi="ar-SA"/>
        </w:rPr>
        <w:t xml:space="preserve">类项目。</w:t>
      </w:r>
      <w:bookmarkEnd w:id="162"/>
      <w:r/>
      <w:bookmarkEnd w:id="163"/>
      <w:r/>
      <w:r/>
    </w:p>
    <w:p>
      <w:pPr>
        <w:ind w:firstLine="482"/>
        <w:spacing w:line="360" w:lineRule="auto"/>
        <w:rPr>
          <w:rFonts w:hint="default" w:eastAsia="宋体" w:cs="仿宋" w:asciiTheme="minorEastAsia" w:hAnsiTheme="minorEastAsia"/>
          <w:b/>
          <w:bCs/>
          <w:color w:val="auto"/>
          <w:sz w:val="24"/>
          <w:szCs w:val="24"/>
          <w:highlight w:val="none"/>
          <w:lang w:val="en-US" w:eastAsia="zh-CN" w:bidi="ar-SA"/>
        </w:rPr>
      </w:pPr>
      <w:r>
        <w:rPr>
          <w:rFonts w:hint="eastAsia" w:eastAsia="宋体" w:cs="仿宋" w:asciiTheme="minorEastAsia" w:hAnsiTheme="minorEastAsia"/>
          <w:b/>
          <w:bCs/>
          <w:color w:val="auto"/>
          <w:sz w:val="24"/>
          <w:szCs w:val="24"/>
          <w:highlight w:val="none"/>
          <w:lang w:val="en-US" w:eastAsia="zh-CN" w:bidi="ar-SA"/>
        </w:rPr>
        <w:t xml:space="preserve">一、 </w:t>
      </w:r>
      <w:r>
        <w:rPr>
          <w:rFonts w:hint="eastAsia" w:cs="仿宋" w:asciiTheme="minorEastAsia" w:hAnsiTheme="minorEastAsia"/>
          <w:b/>
          <w:bCs/>
          <w:color w:val="auto"/>
          <w:sz w:val="24"/>
          <w:szCs w:val="24"/>
          <w:highlight w:val="none"/>
          <w:lang w:val="en-US" w:eastAsia="zh-CN" w:bidi="ar-SA"/>
        </w:rPr>
        <w:t xml:space="preserve">项目基本情况</w:t>
      </w:r>
      <w:r/>
    </w:p>
    <w:p>
      <w:pPr>
        <w:contextualSpacing/>
        <w:ind w:firstLine="480"/>
        <w:spacing w:line="360" w:lineRule="auto"/>
        <w:rPr>
          <w:rFonts w:hint="default" w:ascii="Times New Roman" w:hAnsi="Times New Roman" w:eastAsia="宋体" w:cs="Times New Roman"/>
          <w:bCs/>
          <w:sz w:val="24"/>
          <w:szCs w:val="24"/>
          <w:highlight w:val="none"/>
          <w:lang w:val="en-US" w:eastAsia="zh-CN"/>
        </w:rPr>
      </w:pPr>
      <w:r>
        <w:rPr>
          <w:rFonts w:hint="default" w:ascii="Times New Roman" w:hAnsi="Times New Roman" w:eastAsia="宋体" w:cs="Times New Roman"/>
          <w:bCs/>
          <w:sz w:val="24"/>
          <w:szCs w:val="24"/>
          <w:highlight w:val="none"/>
          <w:lang w:val="en-US" w:eastAsia="zh-CN"/>
        </w:rPr>
        <w:t xml:space="preserve">1. </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阜宁革命烈士纪念馆重新布展项目</w:t>
      </w:r>
      <w:r>
        <w:rPr>
          <w:rFonts w:hint="eastAsia" w:ascii="Times New Roman" w:hAnsi="Times New Roman" w:eastAsia="宋体" w:cs="Times New Roman"/>
          <w:bCs/>
          <w:sz w:val="24"/>
          <w:szCs w:val="24"/>
          <w:highlight w:val="none"/>
          <w:lang w:val="en-US" w:eastAsia="zh-CN"/>
        </w:rPr>
        <w:t xml:space="preserve"> </w:t>
      </w:r>
      <w:r/>
    </w:p>
    <w:p>
      <w:pPr>
        <w:contextualSpacing/>
        <w:ind w:firstLine="480"/>
        <w:spacing w:line="360" w:lineRule="auto"/>
        <w:rPr>
          <w:rFonts w:hint="eastAsia"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lang w:val="en-US" w:eastAsia="zh-CN"/>
        </w:rPr>
        <w:t xml:space="preserve">2.</w:t>
      </w:r>
      <w:r>
        <w:rPr>
          <w:rFonts w:hint="eastAsia" w:ascii="宋体" w:hAnsi="宋体" w:cs="宋体"/>
          <w:color w:val="auto"/>
          <w:sz w:val="24"/>
          <w:highlight w:val="none"/>
        </w:rPr>
        <w:t xml:space="preserve">采购需求：</w:t>
      </w:r>
      <w:r>
        <w:rPr>
          <w:rFonts w:hint="eastAsia" w:ascii="Times New Roman" w:hAnsi="Times New Roman" w:eastAsia="宋体" w:cs="Times New Roman"/>
          <w:bCs/>
          <w:sz w:val="24"/>
          <w:szCs w:val="24"/>
          <w:highlight w:val="none"/>
          <w:lang w:val="en-US" w:eastAsia="zh-CN"/>
        </w:rPr>
        <w:t xml:space="preserve">本项目是阜宁革命烈士纪念馆重新布展项目，</w:t>
      </w:r>
      <w:r>
        <w:rPr>
          <w:rFonts w:hint="eastAsia" w:cs="Times New Roman"/>
          <w:bCs/>
          <w:sz w:val="24"/>
          <w:szCs w:val="24"/>
          <w:highlight w:val="none"/>
          <w:lang w:val="en-US" w:eastAsia="zh-CN"/>
        </w:rPr>
        <w:t xml:space="preserve">对阜宁革命烈士纪念馆重新布展项目实施深化设计、采购、布展一体化等服务</w:t>
      </w:r>
      <w:r>
        <w:rPr>
          <w:rFonts w:hint="eastAsia" w:ascii="Times New Roman" w:hAnsi="Times New Roman" w:eastAsia="宋体" w:cs="Times New Roman"/>
          <w:bCs/>
          <w:sz w:val="24"/>
          <w:szCs w:val="24"/>
          <w:highlight w:val="none"/>
          <w:lang w:val="en-US" w:eastAsia="zh-CN"/>
        </w:rPr>
        <w:t xml:space="preserve">，工作范围包含（但不限于）阜宁革命烈士陈列布展项目整体布展方案设计、布展制作、多媒体等设备的采购、安装及调试工作，以及多媒体数字内容的制作及软件集成、强弱电安装、消防应急照明、空调设备安装及调试工作等。</w:t>
      </w:r>
      <w:r>
        <w:rPr>
          <w:rFonts w:hint="eastAsia" w:ascii="Times New Roman" w:hAnsi="Times New Roman" w:eastAsia="宋体" w:cs="Times New Roman"/>
          <w:bCs/>
          <w:sz w:val="24"/>
          <w:szCs w:val="24"/>
          <w:highlight w:val="none"/>
        </w:rPr>
        <w:tab/>
      </w:r>
      <w:r/>
    </w:p>
    <w:p>
      <w:pPr>
        <w:contextualSpacing/>
        <w:ind w:firstLine="480"/>
        <w:spacing w:line="360" w:lineRule="auto"/>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3.</w:t>
      </w:r>
      <w:r>
        <w:rPr>
          <w:rFonts w:hint="eastAsia" w:ascii="Times New Roman" w:hAnsi="Times New Roman" w:eastAsia="宋体" w:cs="Times New Roman"/>
          <w:bCs/>
          <w:color w:val="auto"/>
          <w:sz w:val="24"/>
          <w:szCs w:val="24"/>
          <w:highlight w:val="none"/>
        </w:rPr>
        <w:t xml:space="preserve">项目规模：约</w:t>
      </w:r>
      <w:r>
        <w:rPr>
          <w:rFonts w:hint="eastAsia" w:ascii="Times New Roman" w:hAnsi="Times New Roman" w:eastAsia="宋体" w:cs="Times New Roman"/>
          <w:bCs/>
          <w:color w:val="auto"/>
          <w:sz w:val="24"/>
          <w:szCs w:val="24"/>
          <w:highlight w:val="none"/>
          <w:lang w:val="en-US" w:eastAsia="zh-CN"/>
        </w:rPr>
        <w:t xml:space="preserve">380</w:t>
      </w:r>
      <w:r>
        <w:rPr>
          <w:rFonts w:hint="eastAsia"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lang w:val="en-US" w:eastAsia="zh-CN"/>
        </w:rPr>
        <w:t xml:space="preserve">以现场实际情况为准。</w:t>
      </w:r>
      <w:r/>
    </w:p>
    <w:p>
      <w:pPr>
        <w:numPr>
          <w:ilvl w:val="0"/>
          <w:numId w:val="0"/>
        </w:numPr>
        <w:contextualSpacing/>
        <w:ind w:firstLine="480"/>
        <w:spacing w:line="360" w:lineRule="auto"/>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bidi="ar-SA"/>
        </w:rPr>
        <w:t xml:space="preserve">4</w:t>
      </w:r>
      <w:r>
        <w:rPr>
          <w:rFonts w:hint="default"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bCs/>
          <w:color w:val="auto"/>
          <w:sz w:val="24"/>
          <w:szCs w:val="24"/>
          <w:highlight w:val="none"/>
        </w:rPr>
        <w:t xml:space="preserve">详见平面图 </w:t>
      </w:r>
      <w:r/>
    </w:p>
    <w:p>
      <w:pPr>
        <w:ind w:firstLine="117"/>
        <w:jc w:val="center"/>
        <w:keepLines/>
        <w:keepNext/>
        <w:spacing w:line="360" w:lineRule="auto"/>
        <w:widowControl w:val="off"/>
        <w:rPr>
          <w:rFonts w:hint="eastAsia" w:ascii="Times New Roman" w:hAnsi="Times New Roman" w:eastAsia="宋体" w:cs="Times New Roman"/>
          <w:bCs/>
          <w:sz w:val="24"/>
          <w:szCs w:val="24"/>
          <w:highlight w:val="none"/>
        </w:rPr>
        <w:outlineLvl w:val="2"/>
      </w:pPr>
      <w:r>
        <w:rPr>
          <w:rFonts w:ascii="Times New Roman" w:hAnsi="黑体" w:eastAsia="黑体" w:cs="Times New Roman"/>
          <w:sz w:val="24"/>
          <w:szCs w:val="24"/>
          <w:highlight w:val="none"/>
          <w:lang w:val="en-US" w:eastAsia="zh-CN" w:bidi="ar-SA"/>
        </w:rPr>
        <mc:AlternateContent>
          <mc:Choice Requires="wpg">
            <w:drawing>
              <wp:inline xmlns:wp="http://schemas.openxmlformats.org/drawingml/2006/wordprocessingDrawing" distT="0" distB="0" distL="0" distR="0">
                <wp:extent cx="3526790" cy="3919220"/>
                <wp:effectExtent l="0" t="0" r="3810" b="5080"/>
                <wp:docPr id="2" name="图片 1" descr="9bec76c6ed3251b43b2a8560bb97c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bec76c6ed3251b43b2a8560bb97c480"/>
                        <pic:cNvPicPr>
                          <a:picLocks noChangeAspect="1"/>
                        </pic:cNvPicPr>
                        <pic:nvPr/>
                      </pic:nvPicPr>
                      <pic:blipFill>
                        <a:blip r:embed="rId15"/>
                        <a:srcRect l="761" t="7222" r="2301" b="8561"/>
                        <a:stretch/>
                      </pic:blipFill>
                      <pic:spPr bwMode="auto">
                        <a:xfrm>
                          <a:off x="0" y="0"/>
                          <a:ext cx="3526790" cy="3919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7.7pt;height:308.6pt;mso-wrap-distance-left:0.0pt;mso-wrap-distance-top:0.0pt;mso-wrap-distance-right:0.0pt;mso-wrap-distance-bottom:0.0pt;" stroked="false">
                <v:path textboxrect="0,0,0,0"/>
                <v:imagedata r:id="rId15" o:title=""/>
              </v:shape>
            </w:pict>
          </mc:Fallback>
        </mc:AlternateContent>
      </w:r>
      <w:r/>
    </w:p>
    <w:p>
      <w:pPr>
        <w:ind w:firstLine="4080"/>
        <w:spacing w:line="360" w:lineRule="auto"/>
        <w:rPr>
          <w:rFonts w:hint="default"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平面图</w:t>
      </w:r>
      <w:r/>
    </w:p>
    <w:p>
      <w:pPr>
        <w:contextualSpacing/>
        <w:ind w:firstLine="480"/>
        <w:spacing w:line="360" w:lineRule="auto"/>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供货安装地点：盐城</w:t>
      </w:r>
      <w:r>
        <w:rPr>
          <w:rFonts w:hint="eastAsia" w:ascii="Times New Roman" w:hAnsi="Times New Roman" w:eastAsia="宋体" w:cs="Times New Roman"/>
          <w:sz w:val="24"/>
          <w:szCs w:val="24"/>
          <w:highlight w:val="none"/>
          <w:lang w:val="en-US" w:eastAsia="zh-CN"/>
        </w:rPr>
        <w:t xml:space="preserve">市阜宁县</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阜宁县烈士陵园内</w:t>
      </w:r>
      <w:r>
        <w:rPr>
          <w:rFonts w:hint="eastAsia" w:ascii="Times New Roman" w:hAnsi="Times New Roman" w:eastAsia="宋体" w:cs="Times New Roman"/>
          <w:sz w:val="24"/>
          <w:szCs w:val="24"/>
          <w:highlight w:val="none"/>
        </w:rPr>
        <w:t xml:space="preserve">）</w:t>
      </w:r>
      <w:r/>
    </w:p>
    <w:p>
      <w:pPr>
        <w:contextualSpacing/>
        <w:ind w:firstLine="480"/>
        <w:spacing w:line="360" w:lineRule="auto"/>
        <w:rPr>
          <w:rFonts w:hint="eastAsia" w:ascii="Times New Roman" w:hAnsi="Times New Roman" w:eastAsia="宋体" w:cs="Times New Roman"/>
          <w:sz w:val="24"/>
          <w:szCs w:val="24"/>
          <w:highlight w:val="none"/>
          <w:lang w:eastAsia="zh-CN"/>
        </w:rPr>
      </w:pPr>
      <w:r>
        <w:rPr>
          <w:rFonts w:hint="eastAsia" w:cs="Times New Roman"/>
          <w:sz w:val="24"/>
          <w:szCs w:val="24"/>
          <w:highlight w:val="none"/>
          <w:lang w:val="en-US" w:eastAsia="zh-CN"/>
        </w:rPr>
        <w:t xml:space="preserve">6.</w:t>
      </w:r>
      <w:r>
        <w:rPr>
          <w:rFonts w:hint="eastAsia" w:eastAsia="宋体" w:cs="Times New Roman"/>
          <w:sz w:val="24"/>
          <w:szCs w:val="24"/>
          <w:highlight w:val="none"/>
          <w:lang w:eastAsia="zh-CN"/>
        </w:rPr>
        <w:t xml:space="preserve">合同履行期限：本项目在合同签订后，中标人应在90日历天内完成设计、采购、布展等以及衍生服务工作，并交付采购人正常使用。</w:t>
      </w:r>
      <w:r/>
    </w:p>
    <w:p>
      <w:pPr>
        <w:contextualSpacing/>
        <w:ind w:firstLine="480"/>
        <w:spacing w:line="360" w:lineRule="auto"/>
        <w:rPr>
          <w:rFonts w:hint="eastAsia" w:ascii="Times New Roman" w:hAnsi="Times New Roman" w:eastAsia="宋体" w:cs="Times New Roman"/>
          <w:sz w:val="24"/>
          <w:szCs w:val="24"/>
          <w:highlight w:val="none"/>
          <w:lang w:eastAsia="zh-CN"/>
        </w:rPr>
      </w:pPr>
      <w:r>
        <w:rPr>
          <w:rFonts w:hint="eastAsia" w:cs="Times New Roman"/>
          <w:sz w:val="24"/>
          <w:szCs w:val="24"/>
          <w:highlight w:val="none"/>
          <w:lang w:val="en-US" w:eastAsia="zh-CN"/>
        </w:rPr>
        <w:t xml:space="preserve">7.</w:t>
      </w:r>
      <w:r>
        <w:rPr>
          <w:rFonts w:hint="eastAsia" w:ascii="Times New Roman" w:hAnsi="Times New Roman" w:eastAsia="宋体" w:cs="Times New Roman"/>
          <w:sz w:val="24"/>
          <w:szCs w:val="24"/>
          <w:highlight w:val="none"/>
          <w:lang w:val="en-US" w:eastAsia="zh-CN"/>
        </w:rPr>
        <w:t xml:space="preserve">免费</w:t>
      </w:r>
      <w:r>
        <w:rPr>
          <w:rFonts w:hint="eastAsia" w:ascii="Times New Roman" w:hAnsi="Times New Roman" w:eastAsia="宋体" w:cs="Times New Roman"/>
          <w:sz w:val="24"/>
          <w:szCs w:val="24"/>
          <w:highlight w:val="none"/>
        </w:rPr>
        <w:t xml:space="preserve">质保期：2年</w:t>
      </w:r>
      <w:r>
        <w:rPr>
          <w:rFonts w:hint="eastAsia" w:eastAsia="宋体" w:cs="Times New Roman"/>
          <w:sz w:val="24"/>
          <w:szCs w:val="24"/>
          <w:highlight w:val="none"/>
          <w:lang w:eastAsia="zh-CN"/>
        </w:rPr>
        <w:t xml:space="preserve">。</w:t>
      </w:r>
      <w:r/>
    </w:p>
    <w:p>
      <w:pPr>
        <w:contextualSpacing/>
        <w:ind w:firstLine="482"/>
        <w:spacing w:line="360" w:lineRule="auto"/>
        <w:rPr>
          <w:rFonts w:hint="default" w:ascii="宋体" w:hAnsi="宋体" w:eastAsia="宋体" w:cs="Times New Roman"/>
          <w:b/>
          <w:sz w:val="24"/>
          <w:szCs w:val="24"/>
          <w:highlight w:val="none"/>
        </w:rPr>
      </w:pPr>
      <w:r>
        <w:rPr>
          <w:rFonts w:hint="eastAsia" w:ascii="宋体" w:hAnsi="宋体" w:cs="Times New Roman"/>
          <w:b/>
          <w:sz w:val="24"/>
          <w:szCs w:val="24"/>
          <w:highlight w:val="none"/>
          <w:lang w:val="en-US" w:eastAsia="zh-CN"/>
        </w:rPr>
        <w:t xml:space="preserve">二</w:t>
      </w:r>
      <w:r>
        <w:rPr>
          <w:rFonts w:hint="eastAsia" w:ascii="宋体" w:hAnsi="宋体" w:eastAsia="宋体" w:cs="Times New Roman"/>
          <w:b/>
          <w:sz w:val="24"/>
          <w:szCs w:val="24"/>
          <w:highlight w:val="none"/>
        </w:rPr>
        <w:t xml:space="preserve">.采购需求及</w:t>
      </w:r>
      <w:r>
        <w:rPr>
          <w:rFonts w:hint="eastAsia" w:ascii="宋体" w:hAnsi="宋体" w:cs="Times New Roman"/>
          <w:b/>
          <w:sz w:val="24"/>
          <w:szCs w:val="24"/>
          <w:highlight w:val="none"/>
          <w:lang w:val="en-US" w:eastAsia="zh-CN"/>
        </w:rPr>
        <w:t xml:space="preserve">技术</w:t>
      </w:r>
      <w:r>
        <w:rPr>
          <w:rFonts w:hint="eastAsia" w:ascii="宋体" w:hAnsi="宋体" w:eastAsia="宋体" w:cs="Times New Roman"/>
          <w:b/>
          <w:sz w:val="24"/>
          <w:szCs w:val="24"/>
          <w:highlight w:val="none"/>
        </w:rPr>
        <w:t xml:space="preserve">要求：</w:t>
      </w:r>
      <w:r/>
    </w:p>
    <w:p>
      <w:pPr>
        <w:contextualSpacing/>
        <w:ind w:firstLine="482"/>
        <w:spacing w:line="360" w:lineRule="auto"/>
        <w:rPr>
          <w:rFonts w:hint="default"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1.</w:t>
      </w:r>
      <w:r>
        <w:rPr>
          <w:rFonts w:hint="eastAsia" w:ascii="宋体" w:hAnsi="宋体" w:cs="Times New Roman"/>
          <w:b/>
          <w:sz w:val="24"/>
          <w:szCs w:val="24"/>
          <w:highlight w:val="none"/>
          <w:lang w:val="en-US" w:eastAsia="zh-CN"/>
        </w:rPr>
        <w:t xml:space="preserve">采购需求服务清单</w:t>
      </w:r>
      <w:r/>
    </w:p>
    <w:tbl>
      <w:tblPr>
        <w:tblStyle w:val="1162"/>
        <w:tblpPr w:horzAnchor="page" w:tblpX="1937" w:vertAnchor="text" w:tblpY="74" w:leftFromText="180" w:topFromText="0" w:rightFromText="180" w:bottomFromText="0"/>
        <w:tblW w:w="484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580"/>
        <w:gridCol w:w="4154"/>
      </w:tblGrid>
      <w:tr>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rPr>
                <w:rFonts w:hint="eastAsia"/>
              </w:rPr>
            </w:pPr>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3630" w:type="dxa"/>
            <w:vAlign w:val="center"/>
            <w:textDirection w:val="lrTb"/>
            <w:noWrap w:val="false"/>
          </w:tcPr>
          <w:p>
            <w:pPr>
              <w:jc w:val="center"/>
              <w:rPr>
                <w:rFonts w:hint="eastAsia"/>
                <w:lang w:eastAsia="zh-CN"/>
              </w:rPr>
            </w:pPr>
            <w:r>
              <w:rPr>
                <w:rFonts w:hint="eastAsia"/>
                <w:b/>
                <w:bCs/>
              </w:rPr>
              <w:t xml:space="preserve">项目名称</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rPr>
                <w:rFonts w:hint="eastAsia"/>
                <w:lang w:val="en-US" w:eastAsia="zh-CN"/>
              </w:rPr>
            </w:pPr>
            <w:r>
              <w:rPr>
                <w:rFonts w:hint="eastAsia"/>
                <w:b/>
                <w:bCs/>
                <w:lang w:val="en-US" w:eastAsia="zh-CN"/>
              </w:rPr>
              <w:t xml:space="preserve">内容</w:t>
            </w:r>
            <w:r/>
          </w:p>
        </w:tc>
      </w:tr>
      <w:tr>
        <w:trPr>
          <w:trHeight w:val="371"/>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rPr>
                <w:rFonts w:hint="eastAsia"/>
              </w:rPr>
            </w:pPr>
            <w:r>
              <w:rPr>
                <w:rFonts w:hint="eastAsia"/>
              </w:rPr>
              <w:t xml:space="preserve">（一）</w:t>
            </w:r>
            <w:r/>
          </w:p>
        </w:tc>
        <w:tc>
          <w:tcPr>
            <w:tcBorders>
              <w:top w:val="single" w:color="auto" w:sz="4" w:space="0"/>
              <w:left w:val="single" w:color="auto" w:sz="4" w:space="0"/>
              <w:right w:val="single" w:color="auto" w:sz="4" w:space="0"/>
            </w:tcBorders>
            <w:tcW w:w="3630" w:type="dxa"/>
            <w:vAlign w:val="center"/>
            <w:vMerge w:val="restart"/>
            <w:textDirection w:val="lrTb"/>
            <w:noWrap w:val="false"/>
          </w:tcPr>
          <w:p>
            <w:pPr>
              <w:jc w:val="center"/>
              <w:rPr>
                <w:rFonts w:hint="eastAsia" w:eastAsiaTheme="minorEastAsia"/>
                <w:lang w:eastAsia="zh-CN"/>
              </w:rPr>
            </w:pPr>
            <w:r>
              <w:rPr>
                <w:rFonts w:hint="eastAsia" w:ascii="Times New Roman" w:hAnsi="Times New Roman" w:eastAsia="宋体" w:cs="Times New Roman"/>
                <w:lang w:val="en-US" w:eastAsia="zh-CN"/>
              </w:rPr>
              <w:t xml:space="preserve">阜宁革命烈士纪念馆重新布展项目</w:t>
            </w:r>
            <w:r/>
          </w:p>
        </w:tc>
        <w:tc>
          <w:tcPr>
            <w:tcBorders>
              <w:top w:val="single" w:color="auto" w:sz="4" w:space="0"/>
              <w:left w:val="single" w:color="auto" w:sz="4" w:space="0"/>
              <w:right w:val="single" w:color="auto" w:sz="4" w:space="0"/>
            </w:tcBorders>
            <w:tcW w:w="4210" w:type="dxa"/>
            <w:vAlign w:val="center"/>
            <w:textDirection w:val="lrTb"/>
            <w:noWrap w:val="false"/>
          </w:tcPr>
          <w:p>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阜宁烈士</w:t>
            </w:r>
            <w:r>
              <w:rPr>
                <w:rFonts w:hint="eastAsia"/>
                <w:lang w:val="en-US" w:eastAsia="zh-CN"/>
              </w:rPr>
              <w:t xml:space="preserve">纪念馆-深化设计</w:t>
            </w:r>
            <w:r/>
          </w:p>
        </w:tc>
      </w:tr>
      <w:tr>
        <w:trPr>
          <w:trHeight w:val="371"/>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pPr>
            <w:r>
              <w:rPr>
                <w:rFonts w:hint="eastAsia"/>
              </w:rPr>
              <w:t xml:space="preserve">（</w:t>
            </w:r>
            <w:r>
              <w:rPr>
                <w:rFonts w:hint="eastAsia"/>
                <w:lang w:val="en-US" w:eastAsia="zh-CN"/>
              </w:rPr>
              <w:t xml:space="preserve">二</w:t>
            </w:r>
            <w:r>
              <w:rPr>
                <w:rFonts w:hint="eastAsia"/>
              </w:rPr>
              <w:t xml:space="preserve">）</w:t>
            </w:r>
            <w:r/>
          </w:p>
        </w:tc>
        <w:tc>
          <w:tcPr>
            <w:tcBorders>
              <w:left w:val="single" w:color="auto" w:sz="4" w:space="0"/>
              <w:right w:val="single" w:color="auto" w:sz="4" w:space="0"/>
            </w:tcBorders>
            <w:tcW w:w="3630" w:type="dxa"/>
            <w:vAlign w:val="center"/>
            <w:vMerge w:val="continue"/>
            <w:textDirection w:val="lrTb"/>
            <w:noWrap w:val="false"/>
          </w:tcPr>
          <w:p>
            <w:pPr>
              <w:jc w:val="center"/>
              <w:rPr>
                <w:rFonts w:hint="eastAsia" w:eastAsiaTheme="minorEastAsia"/>
                <w:lang w:eastAsia="zh-CN"/>
              </w:rPr>
            </w:pPr>
            <w:r>
              <w:rPr>
                <w:rFonts w:hint="eastAsia" w:eastAsiaTheme="minorEastAsia"/>
                <w:lang w:eastAsia="zh-CN"/>
              </w:rPr>
            </w:r>
            <w:r/>
          </w:p>
        </w:tc>
        <w:tc>
          <w:tcPr>
            <w:tcBorders>
              <w:top w:val="single" w:color="auto" w:sz="4" w:space="0"/>
              <w:left w:val="single" w:color="auto" w:sz="4" w:space="0"/>
              <w:right w:val="single" w:color="auto" w:sz="4" w:space="0"/>
            </w:tcBorders>
            <w:tcW w:w="4210" w:type="dxa"/>
            <w:vAlign w:val="center"/>
            <w:textDirection w:val="lrTb"/>
            <w:noWrap w:val="false"/>
          </w:tcPr>
          <w:p>
            <w:pPr>
              <w:jc w:val="center"/>
              <w:rPr>
                <w:rFonts w:hint="default"/>
                <w:lang w:val="en-US"/>
              </w:rPr>
            </w:pPr>
            <w:r>
              <w:rPr>
                <w:rFonts w:hint="eastAsia" w:ascii="Times New Roman" w:hAnsi="Times New Roman" w:eastAsia="宋体" w:cs="Times New Roman"/>
                <w:lang w:val="en-US" w:eastAsia="zh-CN"/>
              </w:rPr>
              <w:t xml:space="preserve">阜宁烈士</w:t>
            </w:r>
            <w:r>
              <w:rPr>
                <w:rFonts w:hint="eastAsia"/>
                <w:lang w:val="en-US" w:eastAsia="zh-CN"/>
              </w:rPr>
              <w:t xml:space="preserve">纪念馆-空调采购安装</w:t>
            </w:r>
            <w:r/>
          </w:p>
        </w:tc>
      </w:tr>
      <w:tr>
        <w:trPr>
          <w:trHeight w:val="32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rPr>
                <w:rFonts w:hint="eastAsia" w:eastAsia="宋体"/>
                <w:lang w:val="en-US" w:eastAsia="zh-CN"/>
              </w:rPr>
            </w:pPr>
            <w:r>
              <w:rPr>
                <w:rFonts w:hint="eastAsia"/>
              </w:rPr>
              <w:t xml:space="preserve">（</w:t>
            </w:r>
            <w:r>
              <w:rPr>
                <w:rFonts w:hint="eastAsia"/>
                <w:lang w:val="en-US" w:eastAsia="zh-CN"/>
              </w:rPr>
              <w:t xml:space="preserve">三</w:t>
            </w:r>
            <w:r>
              <w:rPr>
                <w:rFonts w:hint="eastAsia"/>
              </w:rPr>
              <w:t xml:space="preserve">）</w:t>
            </w:r>
            <w:r/>
          </w:p>
        </w:tc>
        <w:tc>
          <w:tcPr>
            <w:tcBorders>
              <w:left w:val="single" w:color="auto" w:sz="4" w:space="0"/>
              <w:right w:val="single" w:color="auto" w:sz="4" w:space="0"/>
            </w:tcBorders>
            <w:tcW w:w="3630" w:type="dxa"/>
            <w:vAlign w:val="center"/>
            <w:vMerge w:val="continue"/>
            <w:textDirection w:val="lrTb"/>
            <w:noWrap w:val="false"/>
          </w:tcPr>
          <w:p>
            <w:pPr>
              <w:rPr>
                <w:rFonts w:hint="eastAsia" w:ascii="宋体" w:hAnsi="宋体" w:cs="宋体"/>
                <w:sz w:val="28"/>
                <w:szCs w:val="28"/>
              </w:rPr>
            </w:pPr>
            <w:r>
              <w:rPr>
                <w:rFonts w:hint="eastAsia" w:ascii="宋体" w:hAnsi="宋体" w:cs="宋体"/>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lang w:val="en-US" w:eastAsia="zh-CN"/>
              </w:rPr>
              <w:t xml:space="preserve">阜宁烈士</w:t>
            </w:r>
            <w:r>
              <w:rPr>
                <w:rFonts w:hint="eastAsia"/>
                <w:lang w:val="en-US" w:eastAsia="zh-CN"/>
              </w:rPr>
              <w:t xml:space="preserve">纪念馆-艺术展陈</w:t>
            </w:r>
            <w:r/>
          </w:p>
        </w:tc>
      </w:tr>
      <w:tr>
        <w:trPr>
          <w:trHeight w:val="32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rPr>
                <w:rFonts w:hint="eastAsia" w:eastAsia="宋体"/>
                <w:lang w:val="en-US" w:eastAsia="zh-CN"/>
              </w:rPr>
            </w:pPr>
            <w:r>
              <w:rPr>
                <w:rFonts w:hint="eastAsia"/>
              </w:rPr>
              <w:t xml:space="preserve">（</w:t>
            </w:r>
            <w:r>
              <w:rPr>
                <w:rFonts w:hint="eastAsia"/>
                <w:lang w:val="en-US" w:eastAsia="zh-CN"/>
              </w:rPr>
              <w:t xml:space="preserve">四</w:t>
            </w:r>
            <w:r>
              <w:rPr>
                <w:rFonts w:hint="eastAsia"/>
              </w:rPr>
              <w:t xml:space="preserve">）</w:t>
            </w:r>
            <w:r/>
          </w:p>
        </w:tc>
        <w:tc>
          <w:tcPr>
            <w:tcBorders>
              <w:left w:val="single" w:color="auto" w:sz="4" w:space="0"/>
              <w:right w:val="single" w:color="auto" w:sz="4" w:space="0"/>
            </w:tcBorders>
            <w:tcW w:w="3630" w:type="dxa"/>
            <w:vAlign w:val="center"/>
            <w:vMerge w:val="continue"/>
            <w:textDirection w:val="lrTb"/>
            <w:noWrap w:val="false"/>
          </w:tcPr>
          <w:p>
            <w:pPr>
              <w:rPr>
                <w:rFonts w:hint="eastAsia" w:ascii="宋体" w:hAnsi="宋体" w:cs="宋体"/>
                <w:sz w:val="28"/>
                <w:szCs w:val="28"/>
              </w:rPr>
            </w:pPr>
            <w:r>
              <w:rPr>
                <w:rFonts w:hint="eastAsia" w:ascii="宋体" w:hAnsi="宋体" w:cs="宋体"/>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lang w:val="en-US" w:eastAsia="zh-CN"/>
              </w:rPr>
              <w:t xml:space="preserve">阜宁烈士</w:t>
            </w:r>
            <w:r>
              <w:rPr>
                <w:rFonts w:hint="eastAsia"/>
                <w:lang w:val="en-US" w:eastAsia="zh-CN"/>
              </w:rPr>
              <w:t xml:space="preserve">纪念馆-多媒体硬件</w:t>
            </w:r>
            <w:r/>
          </w:p>
        </w:tc>
      </w:tr>
      <w:tr>
        <w:trPr>
          <w:trHeight w:val="32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rPr>
                <w:rFonts w:hint="eastAsia" w:eastAsia="宋体"/>
                <w:lang w:val="en-US" w:eastAsia="zh-CN"/>
              </w:rPr>
            </w:pPr>
            <w:r>
              <w:rPr>
                <w:rFonts w:hint="eastAsia"/>
              </w:rPr>
              <w:t xml:space="preserve">（</w:t>
            </w:r>
            <w:r>
              <w:rPr>
                <w:rFonts w:hint="eastAsia"/>
                <w:lang w:val="en-US" w:eastAsia="zh-CN"/>
              </w:rPr>
              <w:t xml:space="preserve">五</w:t>
            </w:r>
            <w:r>
              <w:rPr>
                <w:rFonts w:hint="eastAsia"/>
              </w:rPr>
              <w:t xml:space="preserve">）</w:t>
            </w:r>
            <w:r/>
          </w:p>
        </w:tc>
        <w:tc>
          <w:tcPr>
            <w:tcBorders>
              <w:left w:val="single" w:color="auto" w:sz="4" w:space="0"/>
              <w:right w:val="single" w:color="auto" w:sz="4" w:space="0"/>
            </w:tcBorders>
            <w:tcW w:w="3630" w:type="dxa"/>
            <w:vAlign w:val="center"/>
            <w:vMerge w:val="continue"/>
            <w:textDirection w:val="lrTb"/>
            <w:noWrap w:val="false"/>
          </w:tcPr>
          <w:p>
            <w:pPr>
              <w:rPr>
                <w:rFonts w:hint="eastAsia" w:ascii="宋体" w:hAnsi="宋体" w:cs="宋体"/>
                <w:sz w:val="28"/>
                <w:szCs w:val="28"/>
              </w:rPr>
            </w:pPr>
            <w:r>
              <w:rPr>
                <w:rFonts w:hint="eastAsia" w:ascii="宋体" w:hAnsi="宋体" w:cs="宋体"/>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lang w:val="en-US" w:eastAsia="zh-CN"/>
              </w:rPr>
              <w:t xml:space="preserve">阜宁烈士</w:t>
            </w:r>
            <w:r>
              <w:rPr>
                <w:rFonts w:hint="eastAsia"/>
                <w:lang w:val="en-US" w:eastAsia="zh-CN"/>
              </w:rPr>
              <w:t xml:space="preserve">纪念馆-多媒体数字</w:t>
            </w:r>
            <w:r/>
          </w:p>
        </w:tc>
      </w:tr>
      <w:tr>
        <w:trPr>
          <w:trHeight w:val="32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rPr>
                <w:rFonts w:hint="eastAsia" w:eastAsia="宋体"/>
                <w:lang w:val="en-US" w:eastAsia="zh-CN"/>
              </w:rPr>
            </w:pPr>
            <w:r>
              <w:rPr>
                <w:rFonts w:hint="eastAsia"/>
              </w:rPr>
              <w:t xml:space="preserve">（</w:t>
            </w:r>
            <w:r>
              <w:rPr>
                <w:rFonts w:hint="eastAsia"/>
                <w:lang w:val="en-US" w:eastAsia="zh-CN"/>
              </w:rPr>
              <w:t xml:space="preserve">六</w:t>
            </w:r>
            <w:r>
              <w:rPr>
                <w:rFonts w:hint="eastAsia"/>
              </w:rPr>
              <w:t xml:space="preserve">）</w:t>
            </w:r>
            <w:r/>
          </w:p>
        </w:tc>
        <w:tc>
          <w:tcPr>
            <w:tcBorders>
              <w:left w:val="single" w:color="auto" w:sz="4" w:space="0"/>
              <w:bottom w:val="single" w:color="auto" w:sz="4" w:space="0"/>
              <w:right w:val="single" w:color="auto" w:sz="4" w:space="0"/>
            </w:tcBorders>
            <w:tcW w:w="3630" w:type="dxa"/>
            <w:vAlign w:val="center"/>
            <w:vMerge w:val="continue"/>
            <w:textDirection w:val="lrTb"/>
            <w:noWrap w:val="false"/>
          </w:tcPr>
          <w:p>
            <w:pPr>
              <w:rPr>
                <w:rFonts w:hint="eastAsia" w:ascii="宋体" w:hAnsi="宋体" w:cs="宋体"/>
                <w:sz w:val="28"/>
                <w:szCs w:val="28"/>
              </w:rPr>
            </w:pPr>
            <w:r>
              <w:rPr>
                <w:rFonts w:hint="eastAsia" w:ascii="宋体" w:hAnsi="宋体" w:cs="宋体"/>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lang w:val="en-US" w:eastAsia="zh-CN"/>
              </w:rPr>
              <w:t xml:space="preserve">阜宁烈士纪念馆-装饰、安装</w:t>
            </w:r>
            <w:r>
              <w:rPr>
                <w:rFonts w:hint="eastAsia"/>
                <w:lang w:val="en-US" w:eastAsia="zh-CN"/>
              </w:rPr>
              <w:t xml:space="preserve">、消防</w:t>
            </w:r>
            <w:r/>
          </w:p>
        </w:tc>
      </w:tr>
    </w:tbl>
    <w:p>
      <w:pPr>
        <w:contextualSpacing/>
        <w:ind w:firstLine="482"/>
        <w:spacing w:line="360" w:lineRule="auto"/>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r>
      <w:r/>
    </w:p>
    <w:p>
      <w:pPr>
        <w:contextualSpacing/>
        <w:ind w:firstLine="482"/>
        <w:spacing w:line="240" w:lineRule="auto"/>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2、</w:t>
      </w:r>
      <w:r>
        <w:rPr>
          <w:rFonts w:hint="eastAsia" w:ascii="宋体" w:hAnsi="宋体" w:cs="Times New Roman"/>
          <w:b/>
          <w:sz w:val="24"/>
          <w:szCs w:val="24"/>
          <w:highlight w:val="none"/>
          <w:lang w:val="en-US" w:eastAsia="zh-CN"/>
        </w:rPr>
        <w:t xml:space="preserve">技术</w:t>
      </w:r>
      <w:r>
        <w:rPr>
          <w:rFonts w:hint="eastAsia" w:ascii="宋体" w:hAnsi="宋体" w:eastAsia="宋体" w:cs="Times New Roman"/>
          <w:b/>
          <w:sz w:val="24"/>
          <w:szCs w:val="24"/>
          <w:highlight w:val="none"/>
          <w:lang w:val="en-US" w:eastAsia="zh-CN"/>
        </w:rPr>
        <w:t xml:space="preserve">要求</w:t>
      </w:r>
      <w:r/>
    </w:p>
    <w:p>
      <w:pPr>
        <w:numPr>
          <w:ilvl w:val="0"/>
          <w:numId w:val="0"/>
        </w:numPr>
        <w:jc w:val="center"/>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（一）、阜宁烈士纪念馆-深化设计</w:t>
      </w:r>
      <w:r/>
    </w:p>
    <w:tbl>
      <w:tblPr>
        <w:tblStyle w:val="798"/>
        <w:tblW w:w="0" w:type="auto"/>
        <w:tblInd w:w="2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7"/>
        <w:gridCol w:w="1293"/>
        <w:gridCol w:w="3303"/>
        <w:gridCol w:w="712"/>
        <w:gridCol w:w="824"/>
        <w:gridCol w:w="1896"/>
      </w:tblGrid>
      <w:tr>
        <w:trPr>
          <w:trHeight w:val="531"/>
        </w:trPr>
        <w:tc>
          <w:tcPr>
            <w:gridSpan w:val="6"/>
            <w:shd w:val="clear" w:color="auto" w:fill="daf2d1" w:themeFill="accent6" w:themeFillTint="32"/>
            <w:tcW w:w="92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SA"/>
              </w:rPr>
              <w:t xml:space="preserve">阜宁烈士纪念馆-深化设计</w:t>
            </w:r>
            <w:r/>
          </w:p>
        </w:tc>
      </w:tr>
      <w:tr>
        <w:trPr/>
        <w:tc>
          <w:tcPr>
            <w:shd w:val="clear" w:color="auto" w:fill="auto"/>
            <w:tcW w:w="5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W w:w="1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auto"/>
            <w:tcW w:w="35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W w:w="8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W w:w="20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c>
          <w:tcPr>
            <w:tcW w:w="573"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w:t>
            </w:r>
            <w:r/>
          </w:p>
        </w:tc>
        <w:tc>
          <w:tcPr>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Times New Roman" w:hAnsi="Times New Roman" w:eastAsia="宋体" w:cs="Times New Roman"/>
                <w:lang w:val="en-US" w:eastAsia="zh-CN"/>
              </w:rPr>
              <w:t xml:space="preserve">阜宁烈士纪念馆-深化设计</w:t>
            </w:r>
            <w:r/>
          </w:p>
        </w:tc>
        <w:tc>
          <w:tcPr>
            <w:tcW w:w="3571" w:type="dxa"/>
            <w:vAlign w:val="center"/>
            <w:textDirection w:val="lrTb"/>
            <w:noWrap w:val="false"/>
          </w:tcPr>
          <w:p>
            <w:pPr>
              <w:ind w:firstLine="420"/>
              <w:jc w:val="left"/>
              <w:keepLines w:val="0"/>
              <w:keepNext w:val="0"/>
              <w:widowControl/>
              <w:rPr>
                <w:rFonts w:hint="eastAsia" w:eastAsia="宋体"/>
                <w:vertAlign w:val="baseline"/>
                <w:lang w:val="en-US" w:eastAsia="zh-CN"/>
              </w:rPr>
              <w:suppressLineNumbers w:val="0"/>
            </w:pPr>
            <w:r>
              <w:rPr>
                <w:rFonts w:hint="eastAsia"/>
              </w:rPr>
              <w:t xml:space="preserve">设计及实施范围：包含但不限于：内容单元的功能区域空间落实、空间总体风格设计、展陈布置深化、布展总体规划、流线组织、展项方案设计电气（含照明）、立体展陈、专业布展灯具、多媒体声光电等进行策划、设计、施工。多媒体专业的设计、施工、制作、采购 、安装、调试、预验收和竣工验收、结/决算、质量保修等一揽子交钥匙</w:t>
            </w:r>
            <w:r>
              <w:rPr>
                <w:rFonts w:hint="eastAsia"/>
                <w:lang w:eastAsia="zh-CN"/>
              </w:rPr>
              <w:t xml:space="preserve">。</w:t>
            </w:r>
            <w:r/>
          </w:p>
        </w:tc>
        <w:tc>
          <w:tcPr>
            <w:tcW w:w="74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6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2057"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bl>
    <w:p>
      <w:pPr>
        <w:numPr>
          <w:ilvl w:val="0"/>
          <w:numId w:val="0"/>
        </w:numPr>
        <w:jc w:val="center"/>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（二）、阜宁烈士纪念馆-空调采购、安装</w:t>
      </w:r>
      <w:r/>
    </w:p>
    <w:tbl>
      <w:tblPr>
        <w:tblStyle w:val="798"/>
        <w:tblW w:w="0" w:type="auto"/>
        <w:tblInd w:w="2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283"/>
        <w:gridCol w:w="3341"/>
        <w:gridCol w:w="708"/>
        <w:gridCol w:w="820"/>
        <w:gridCol w:w="1877"/>
      </w:tblGrid>
      <w:tr>
        <w:trPr>
          <w:trHeight w:val="531"/>
        </w:trPr>
        <w:tc>
          <w:tcPr>
            <w:gridSpan w:val="6"/>
            <w:shd w:val="clear" w:color="auto" w:fill="daf2d1" w:themeFill="accent6" w:themeFillTint="32"/>
            <w:tcW w:w="92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SA"/>
              </w:rPr>
              <w:t xml:space="preserve">阜宁烈士纪念馆-空调采购、安装</w:t>
            </w:r>
            <w:r/>
          </w:p>
        </w:tc>
      </w:tr>
      <w:tr>
        <w:trPr/>
        <w:tc>
          <w:tcPr>
            <w:shd w:val="clear" w:color="auto" w:fill="auto"/>
            <w:tcW w:w="5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W w:w="13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auto"/>
            <w:tcW w:w="35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auto"/>
            <w:tcW w:w="7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W w:w="8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W w:w="20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c>
          <w:tcPr>
            <w:tcW w:w="573"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w:t>
            </w:r>
            <w:r/>
          </w:p>
        </w:tc>
        <w:tc>
          <w:tcPr>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tcW w:w="3571"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1、室内吸顶机，一拖一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2、含室内机及室外机安装</w:t>
            </w:r>
            <w:r/>
          </w:p>
        </w:tc>
        <w:tc>
          <w:tcPr>
            <w:tcW w:w="74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2057"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7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铜管</w:t>
            </w:r>
            <w:r/>
          </w:p>
        </w:tc>
        <w:tc>
          <w:tcPr>
            <w:tcW w:w="3571"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Ф9.5/Ф15，含15mmB1级保温</w:t>
            </w:r>
            <w:r/>
          </w:p>
        </w:tc>
        <w:tc>
          <w:tcPr>
            <w:tcW w:w="74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2057"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7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tcW w:w="3571"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DN25，含保温</w:t>
            </w:r>
            <w:r/>
          </w:p>
        </w:tc>
        <w:tc>
          <w:tcPr>
            <w:tcW w:w="74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2057"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7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信号线</w:t>
            </w:r>
            <w:r/>
          </w:p>
        </w:tc>
        <w:tc>
          <w:tcPr>
            <w:tcW w:w="3571"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RVVP2*0.75</w:t>
            </w:r>
            <w:r/>
          </w:p>
        </w:tc>
        <w:tc>
          <w:tcPr>
            <w:tcW w:w="74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2057"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7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tcW w:w="3571"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1、紧定式镀锌电线管(JDG管) 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2、明配</w:t>
            </w:r>
            <w:r/>
          </w:p>
        </w:tc>
        <w:tc>
          <w:tcPr>
            <w:tcW w:w="74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2057"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7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空调系统调试</w:t>
            </w:r>
            <w:r/>
          </w:p>
        </w:tc>
        <w:tc>
          <w:tcPr>
            <w:tcW w:w="3571"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空调新建系统设备及管路检查，单机及联合试运行，风量温度调试，工况检测调试及验收</w:t>
            </w:r>
            <w:r/>
          </w:p>
        </w:tc>
        <w:tc>
          <w:tcPr>
            <w:tcW w:w="74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2057"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bl>
    <w:p>
      <w:pPr>
        <w:numPr>
          <w:ilvl w:val="0"/>
          <w:numId w:val="0"/>
        </w:numPr>
        <w:jc w:val="both"/>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r>
      <w:r/>
    </w:p>
    <w:p>
      <w:pPr>
        <w:numPr>
          <w:ilvl w:val="0"/>
          <w:numId w:val="0"/>
        </w:numPr>
        <w:jc w:val="center"/>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（三）、阜宁烈士纪念馆-艺术展陈</w:t>
      </w:r>
      <w:r/>
    </w:p>
    <w:tbl>
      <w:tblPr>
        <w:tblStyle w:val="798"/>
        <w:tblW w:w="0" w:type="auto"/>
        <w:tblInd w:w="2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323"/>
        <w:gridCol w:w="3679"/>
        <w:gridCol w:w="727"/>
        <w:gridCol w:w="873"/>
        <w:gridCol w:w="2016"/>
      </w:tblGrid>
      <w:tr>
        <w:trPr>
          <w:trHeight w:val="531"/>
        </w:trPr>
        <w:tc>
          <w:tcPr>
            <w:gridSpan w:val="6"/>
            <w:shd w:val="clear" w:color="auto" w:fill="daf2d1" w:themeFill="accent6" w:themeFillTint="32"/>
            <w:tcW w:w="92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SA"/>
              </w:rPr>
              <w:t xml:space="preserve">阜宁烈士纪念馆-艺术展陈</w:t>
            </w:r>
            <w:r/>
          </w:p>
        </w:tc>
      </w:tr>
      <w:tr>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W w:w="13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auto"/>
            <w:tcW w:w="36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auto"/>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20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c>
          <w:tcPr>
            <w:tcW w:w="582" w:type="dxa"/>
            <w:vAlign w:val="center"/>
            <w:textDirection w:val="lrTb"/>
            <w:noWrap w:val="false"/>
          </w:tcPr>
          <w:p>
            <w:pPr>
              <w:jc w:val="center"/>
              <w:keepLines w:val="0"/>
              <w:keepNext w:val="0"/>
              <w:widowControl/>
              <w:rPr>
                <w:rFonts w:hint="default"/>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定制艺术烤漆地台</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1、定制艺术烤漆地台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3、基础骨架及基层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4、烤漆板面层，侧边烤漆包边，油漆三遍处理</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27.00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784860"/>
                      <wp:effectExtent l="0" t="0" r="7620" b="254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descr="IMG_256"/>
                              <pic:cNvPicPr>
                                <a:picLocks noChangeAspect="1"/>
                              </pic:cNvPicPr>
                              <pic:nvPr/>
                            </pic:nvPicPr>
                            <pic:blipFill>
                              <a:blip r:embed="rId16"/>
                              <a:stretch/>
                            </pic:blipFill>
                            <pic:spPr bwMode="auto">
                              <a:xfrm>
                                <a:off x="0" y="0"/>
                                <a:ext cx="1440180" cy="7848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4pt;height:61.8pt;mso-wrap-distance-left:0.0pt;mso-wrap-distance-top:0.0pt;mso-wrap-distance-right:0.0pt;mso-wrap-distance-bottom:0.0pt;" stroked="f" strokeweight="0.75pt">
                      <v:path textboxrect="0,0,0,0"/>
                      <v:imagedata r:id="rId16" o:title=""/>
                    </v:shape>
                  </w:pict>
                </mc:Fallback>
              </mc:AlternateContent>
            </w:r>
            <w:r/>
          </w:p>
        </w:tc>
      </w:tr>
      <w:tr>
        <w:trPr/>
        <w:tc>
          <w:tcPr>
            <w:tcW w:w="582"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定制卧碑艺术造型装置</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1、定制卧碑艺术造型装置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3、基础骨架及基层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4、定制卧碑艺术造型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5、定制艺术斜面字，固定安装</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5.70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751205"/>
                      <wp:effectExtent l="0" t="0" r="7620" b="10795"/>
                      <wp:docPr id="4"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descr="IMG_257"/>
                              <pic:cNvPicPr>
                                <a:picLocks noChangeAspect="1"/>
                              </pic:cNvPicPr>
                              <pic:nvPr/>
                            </pic:nvPicPr>
                            <pic:blipFill>
                              <a:blip r:embed="rId17"/>
                              <a:stretch/>
                            </pic:blipFill>
                            <pic:spPr bwMode="auto">
                              <a:xfrm>
                                <a:off x="0" y="0"/>
                                <a:ext cx="1440180" cy="7512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3.4pt;height:59.1pt;mso-wrap-distance-left:0.0pt;mso-wrap-distance-top:0.0pt;mso-wrap-distance-right:0.0pt;mso-wrap-distance-bottom:0.0pt;" stroked="f" strokeweight="0.75pt">
                      <v:path textboxrect="0,0,0,0"/>
                      <v:imagedata r:id="rId17" o:title=""/>
                    </v:shape>
                  </w:pict>
                </mc:Fallback>
              </mc:AlternateContent>
            </w:r>
            <w:r/>
          </w:p>
        </w:tc>
      </w:tr>
      <w:tr>
        <w:trPr/>
        <w:tc>
          <w:tcPr>
            <w:tcW w:w="582"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立体肌理艺术造面</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1、立体肌理艺术造面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3、工程量按外边矩形面积计算</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93.09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9165" cy="1386840"/>
                      <wp:effectExtent l="0" t="0" r="635" b="10160"/>
                      <wp:docPr id="5"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descr="IMG_258"/>
                              <pic:cNvPicPr>
                                <a:picLocks noChangeAspect="1"/>
                              </pic:cNvPicPr>
                              <pic:nvPr/>
                            </pic:nvPicPr>
                            <pic:blipFill>
                              <a:blip r:embed="rId18"/>
                              <a:stretch/>
                            </pic:blipFill>
                            <pic:spPr bwMode="auto">
                              <a:xfrm>
                                <a:off x="0" y="0"/>
                                <a:ext cx="939165" cy="13868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4.0pt;height:109.2pt;mso-wrap-distance-left:0.0pt;mso-wrap-distance-top:0.0pt;mso-wrap-distance-right:0.0pt;mso-wrap-distance-bottom:0.0pt;" stroked="f" strokeweight="0.75pt">
                      <v:path textboxrect="0,0,0,0"/>
                      <v:imagedata r:id="rId18" o:title=""/>
                    </v:shape>
                  </w:pict>
                </mc:Fallback>
              </mc:AlternateContent>
            </w:r>
            <w:r/>
          </w:p>
        </w:tc>
      </w:tr>
      <w:tr>
        <w:trPr/>
        <w:tc>
          <w:tcPr>
            <w:tcW w:w="582"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定制陈列展示柜</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1、定制陈列展示柜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3、基础骨架及基层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4、面层艺术处理，活动拼接安装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5、内置型材灯带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6、墙面叠级造型及部分硬包装饰</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20.55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1165860"/>
                      <wp:effectExtent l="0" t="0" r="7620" b="2540"/>
                      <wp:docPr id="6"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 descr="IMG_259"/>
                              <pic:cNvPicPr>
                                <a:picLocks noChangeAspect="1"/>
                              </pic:cNvPicPr>
                              <pic:nvPr/>
                            </pic:nvPicPr>
                            <pic:blipFill>
                              <a:blip r:embed="rId19"/>
                              <a:stretch/>
                            </pic:blipFill>
                            <pic:spPr bwMode="auto">
                              <a:xfrm>
                                <a:off x="0" y="0"/>
                                <a:ext cx="1440180" cy="11658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3.4pt;height:91.8pt;mso-wrap-distance-left:0.0pt;mso-wrap-distance-top:0.0pt;mso-wrap-distance-right:0.0pt;mso-wrap-distance-bottom:0.0pt;" stroked="f" strokeweight="0.75pt">
                      <v:path textboxrect="0,0,0,0"/>
                      <v:imagedata r:id="rId19" o:title=""/>
                    </v:shape>
                  </w:pict>
                </mc:Fallback>
              </mc:AlternateContent>
            </w:r>
            <w:r/>
          </w:p>
        </w:tc>
      </w:tr>
      <w:tr>
        <w:trPr/>
        <w:tc>
          <w:tcPr>
            <w:tcW w:w="582"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定制烤漆服务台</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1、定制烤漆服务台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3、骨架基础及基层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4、定制烤漆面层，雕刻、打磨、高品质烤漆工艺</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2.70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802005"/>
                      <wp:effectExtent l="0" t="0" r="7620" b="10795"/>
                      <wp:docPr id="7" name="图片 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6" descr="IMG_260"/>
                              <pic:cNvPicPr>
                                <a:picLocks noChangeAspect="1"/>
                              </pic:cNvPicPr>
                              <pic:nvPr/>
                            </pic:nvPicPr>
                            <pic:blipFill>
                              <a:blip r:embed="rId20"/>
                              <a:stretch/>
                            </pic:blipFill>
                            <pic:spPr bwMode="auto">
                              <a:xfrm>
                                <a:off x="0" y="0"/>
                                <a:ext cx="1440180" cy="8020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3.4pt;height:63.1pt;mso-wrap-distance-left:0.0pt;mso-wrap-distance-top:0.0pt;mso-wrap-distance-right:0.0pt;mso-wrap-distance-bottom:0.0pt;" stroked="f" strokeweight="0.75pt">
                      <v:path textboxrect="0,0,0,0"/>
                      <v:imagedata r:id="rId20" o:title=""/>
                    </v:shape>
                  </w:pict>
                </mc:Fallback>
              </mc:AlternateContent>
            </w:r>
            <w:r/>
          </w:p>
        </w:tc>
      </w:tr>
      <w:tr>
        <w:trPr/>
        <w:tc>
          <w:tcPr>
            <w:tcW w:w="582"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定制一级标装置</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1、一级标艺术装置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3、骨架基础及基层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4、金属边框，侧边打磨处理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5、面层艺术处理</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933450" cy="2000250"/>
                      <wp:effectExtent l="0" t="0" r="6350" b="6350"/>
                      <wp:docPr id="8" name="图片 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7" descr="IMG_261"/>
                              <pic:cNvPicPr>
                                <a:picLocks noChangeAspect="1"/>
                              </pic:cNvPicPr>
                              <pic:nvPr/>
                            </pic:nvPicPr>
                            <pic:blipFill>
                              <a:blip r:embed="rId21"/>
                              <a:stretch/>
                            </pic:blipFill>
                            <pic:spPr bwMode="auto">
                              <a:xfrm>
                                <a:off x="0" y="0"/>
                                <a:ext cx="933450" cy="2000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3.5pt;height:157.5pt;mso-wrap-distance-left:0.0pt;mso-wrap-distance-top:0.0pt;mso-wrap-distance-right:0.0pt;mso-wrap-distance-bottom:0.0pt;" stroked="f" strokeweight="0.75pt">
                      <v:path textboxrect="0,0,0,0"/>
                      <v:imagedata r:id="rId21" o:title=""/>
                    </v:shape>
                  </w:pict>
                </mc:Fallback>
              </mc:AlternateContent>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定制立体贺卡场景</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1、定制立体贺卡场景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3、金属烤漆边框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4、雕刻、打磨立体造型，叠级拼接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5、顶部灯光渲染</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918210"/>
                      <wp:effectExtent l="0" t="0" r="7620" b="8890"/>
                      <wp:docPr id="9" name="图片 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 descr="IMG_262"/>
                              <pic:cNvPicPr>
                                <a:picLocks noChangeAspect="1"/>
                              </pic:cNvPicPr>
                              <pic:nvPr/>
                            </pic:nvPicPr>
                            <pic:blipFill>
                              <a:blip r:embed="rId22"/>
                              <a:stretch/>
                            </pic:blipFill>
                            <pic:spPr bwMode="auto">
                              <a:xfrm>
                                <a:off x="0" y="0"/>
                                <a:ext cx="1440180" cy="91820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3.4pt;height:72.3pt;mso-wrap-distance-left:0.0pt;mso-wrap-distance-top:0.0pt;mso-wrap-distance-right:0.0pt;mso-wrap-distance-bottom:0.0pt;" stroked="f" strokeweight="0.75pt">
                      <v:path textboxrect="0,0,0,0"/>
                      <v:imagedata r:id="rId22" o:title=""/>
                    </v:shape>
                  </w:pict>
                </mc:Fallback>
              </mc:AlternateContent>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定制悬挑玻璃展柜</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1、定制悬挑玻璃展柜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3、骨架基础及基层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4、钢化玻璃，激光切割45°倒角，无痕拼接处理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5、手动液压开启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6、展柜积木</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989330"/>
                      <wp:effectExtent l="0" t="0" r="7620" b="1270"/>
                      <wp:docPr id="10" name="图片 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9" descr="IMG_263"/>
                              <pic:cNvPicPr>
                                <a:picLocks noChangeAspect="1"/>
                              </pic:cNvPicPr>
                              <pic:nvPr/>
                            </pic:nvPicPr>
                            <pic:blipFill>
                              <a:blip r:embed="rId23"/>
                              <a:stretch/>
                            </pic:blipFill>
                            <pic:spPr bwMode="auto">
                              <a:xfrm>
                                <a:off x="0" y="0"/>
                                <a:ext cx="1440180" cy="9893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3.4pt;height:77.9pt;mso-wrap-distance-left:0.0pt;mso-wrap-distance-top:0.0pt;mso-wrap-distance-right:0.0pt;mso-wrap-distance-bottom:0.0pt;" stroked="f" strokeweight="0.75pt">
                      <v:path textboxrect="0,0,0,0"/>
                      <v:imagedata r:id="rId23" o:title=""/>
                    </v:shape>
                  </w:pict>
                </mc:Fallback>
              </mc:AlternateContent>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孙小宝、陈阿金烈士专题故事展项</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1、孙小宝、陈阿金烈士专题故事展项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3、定制顶面发光装置，烤漆包边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4、定制烤漆地台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5、人物剪影道具、场景氛围布置、立体金属字制作安装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6、基础隔墙另计</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17.85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1391285"/>
                      <wp:effectExtent l="0" t="0" r="7620" b="5715"/>
                      <wp:docPr id="11" name="图片 1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0" descr="IMG_264"/>
                              <pic:cNvPicPr>
                                <a:picLocks noChangeAspect="1"/>
                              </pic:cNvPicPr>
                              <pic:nvPr/>
                            </pic:nvPicPr>
                            <pic:blipFill>
                              <a:blip r:embed="rId24"/>
                              <a:stretch/>
                            </pic:blipFill>
                            <pic:spPr bwMode="auto">
                              <a:xfrm>
                                <a:off x="0" y="0"/>
                                <a:ext cx="1440180" cy="139128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3.4pt;height:109.5pt;mso-wrap-distance-left:0.0pt;mso-wrap-distance-top:0.0pt;mso-wrap-distance-right:0.0pt;mso-wrap-distance-bottom:0.0pt;" stroked="f" strokeweight="0.75pt">
                      <v:path textboxrect="0,0,0,0"/>
                      <v:imagedata r:id="rId24" o:title=""/>
                    </v:shape>
                  </w:pict>
                </mc:Fallback>
              </mc:AlternateContent>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定制木质烤漆展台</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1、定制木质烤漆展台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3、骨架基础及基层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4、定制烤漆面层，雕刻、打磨、烤漆工艺</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3.45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690880"/>
                      <wp:effectExtent l="0" t="0" r="7620" b="7620"/>
                      <wp:docPr id="12" name="图片 1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1" descr="IMG_265"/>
                              <pic:cNvPicPr>
                                <a:picLocks noChangeAspect="1"/>
                              </pic:cNvPicPr>
                              <pic:nvPr/>
                            </pic:nvPicPr>
                            <pic:blipFill>
                              <a:blip r:embed="rId25"/>
                              <a:stretch/>
                            </pic:blipFill>
                            <pic:spPr bwMode="auto">
                              <a:xfrm>
                                <a:off x="0" y="0"/>
                                <a:ext cx="1440180" cy="6908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3.4pt;height:54.4pt;mso-wrap-distance-left:0.0pt;mso-wrap-distance-top:0.0pt;mso-wrap-distance-right:0.0pt;mso-wrap-distance-bottom:0.0pt;" stroked="f" strokeweight="0.75pt">
                      <v:path textboxrect="0,0,0,0"/>
                      <v:imagedata r:id="rId25" o:title=""/>
                    </v:shape>
                  </w:pict>
                </mc:Fallback>
              </mc:AlternateContent>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11</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定制烤漆地台</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1、定制烤漆地台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3、基础骨架及基层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4、烤漆板面层，侧边烤漆包边，油漆三遍处理</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5.38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666115"/>
                      <wp:effectExtent l="0" t="0" r="7620" b="6985"/>
                      <wp:docPr id="13" name="图片 1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2" descr="IMG_266"/>
                              <pic:cNvPicPr>
                                <a:picLocks noChangeAspect="1"/>
                              </pic:cNvPicPr>
                              <pic:nvPr/>
                            </pic:nvPicPr>
                            <pic:blipFill>
                              <a:blip r:embed="rId26"/>
                              <a:stretch/>
                            </pic:blipFill>
                            <pic:spPr bwMode="auto">
                              <a:xfrm>
                                <a:off x="0" y="0"/>
                                <a:ext cx="1440180" cy="66611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13.4pt;height:52.4pt;mso-wrap-distance-left:0.0pt;mso-wrap-distance-top:0.0pt;mso-wrap-distance-right:0.0pt;mso-wrap-distance-bottom:0.0pt;" stroked="f" strokeweight="0.75pt">
                      <v:path textboxrect="0,0,0,0"/>
                      <v:imagedata r:id="rId26" o:title=""/>
                    </v:shape>
                  </w:pict>
                </mc:Fallback>
              </mc:AlternateContent>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定制军火箱造型展示及氛围布置</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1、定制军火箱造型展示及氛围布置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3、尺寸：高450mm，宽600-800mm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4、基础骨架及基层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5、侧边白色烤漆造型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6、局部定制氛围道具布置</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601980"/>
                      <wp:effectExtent l="0" t="0" r="7620" b="7620"/>
                      <wp:docPr id="14" name="图片 3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IMG_267"/>
                              <pic:cNvPicPr>
                                <a:picLocks noChangeAspect="1"/>
                              </pic:cNvPicPr>
                              <pic:nvPr/>
                            </pic:nvPicPr>
                            <pic:blipFill>
                              <a:blip r:embed="rId27"/>
                              <a:stretch/>
                            </pic:blipFill>
                            <pic:spPr bwMode="auto">
                              <a:xfrm>
                                <a:off x="0" y="0"/>
                                <a:ext cx="1440180" cy="6019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13.4pt;height:47.4pt;mso-wrap-distance-left:0.0pt;mso-wrap-distance-top:0.0pt;mso-wrap-distance-right:0.0pt;mso-wrap-distance-bottom:0.0pt;" stroked="f" strokeweight="0.75pt">
                      <v:path textboxrect="0,0,0,0"/>
                      <v:imagedata r:id="rId27" o:title=""/>
                    </v:shape>
                  </w:pict>
                </mc:Fallback>
              </mc:AlternateContent>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13</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定制“全民抗日战争”大型场景还原</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1、定制“全民抗日战争”大型场景还原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3、墙面断垣残壁造景，面层做旧处理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4、地面氛围道具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5、多媒体硬件及内容另计</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48.30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923290"/>
                      <wp:effectExtent l="0" t="0" r="7620" b="3810"/>
                      <wp:docPr id="15" name="图片 3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IMG_268"/>
                              <pic:cNvPicPr>
                                <a:picLocks noChangeAspect="1"/>
                              </pic:cNvPicPr>
                              <pic:nvPr/>
                            </pic:nvPicPr>
                            <pic:blipFill>
                              <a:blip r:embed="rId28"/>
                              <a:stretch/>
                            </pic:blipFill>
                            <pic:spPr bwMode="auto">
                              <a:xfrm>
                                <a:off x="0" y="0"/>
                                <a:ext cx="1440180" cy="9232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3.4pt;height:72.7pt;mso-wrap-distance-left:0.0pt;mso-wrap-distance-top:0.0pt;mso-wrap-distance-right:0.0pt;mso-wrap-distance-bottom:0.0pt;" stroked="f" strokeweight="0.75pt">
                      <v:path textboxrect="0,0,0,0"/>
                      <v:imagedata r:id="rId28" o:title=""/>
                    </v:shape>
                  </w:pict>
                </mc:Fallback>
              </mc:AlternateContent>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14</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定制“抗美援朝、保家卫国”主题场景还原</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1、定制“抗美援朝、保家卫国”主题场景还原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3、定制艺术发光造型、墙面固定安装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4、定制烤漆地台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5、复古桌椅、枪支模型、军火箱模型等氛围道具布置</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19.32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733425"/>
                      <wp:effectExtent l="0" t="0" r="7620" b="3175"/>
                      <wp:docPr id="16" name="图片 1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5" descr="IMG_269"/>
                              <pic:cNvPicPr>
                                <a:picLocks noChangeAspect="1"/>
                              </pic:cNvPicPr>
                              <pic:nvPr/>
                            </pic:nvPicPr>
                            <pic:blipFill>
                              <a:blip r:embed="rId29"/>
                              <a:stretch/>
                            </pic:blipFill>
                            <pic:spPr bwMode="auto">
                              <a:xfrm>
                                <a:off x="0" y="0"/>
                                <a:ext cx="1440180" cy="73342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13.4pt;height:57.8pt;mso-wrap-distance-left:0.0pt;mso-wrap-distance-top:0.0pt;mso-wrap-distance-right:0.0pt;mso-wrap-distance-bottom:0.0pt;" stroked="f" strokeweight="0.75pt">
                      <v:path textboxrect="0,0,0,0"/>
                      <v:imagedata r:id="rId29" o:title=""/>
                    </v:shape>
                  </w:pict>
                </mc:Fallback>
              </mc:AlternateContent>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15</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定制书本造型装置</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1、定制书本造型装置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3、专用纸张制作，有质感不易破损</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1483360"/>
                      <wp:effectExtent l="0" t="0" r="7620" b="2540"/>
                      <wp:docPr id="17" name="图片 1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6" descr="IMG_270"/>
                              <pic:cNvPicPr>
                                <a:picLocks noChangeAspect="1"/>
                              </pic:cNvPicPr>
                              <pic:nvPr/>
                            </pic:nvPicPr>
                            <pic:blipFill>
                              <a:blip r:embed="rId30"/>
                              <a:stretch/>
                            </pic:blipFill>
                            <pic:spPr bwMode="auto">
                              <a:xfrm>
                                <a:off x="0" y="0"/>
                                <a:ext cx="1440180" cy="1483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13.4pt;height:116.8pt;mso-wrap-distance-left:0.0pt;mso-wrap-distance-top:0.0pt;mso-wrap-distance-right:0.0pt;mso-wrap-distance-bottom:0.0pt;" stroked="f" strokeweight="0.75pt">
                      <v:path textboxrect="0,0,0,0"/>
                      <v:imagedata r:id="rId30" o:title=""/>
                    </v:shape>
                  </w:pict>
                </mc:Fallback>
              </mc:AlternateContent>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16</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定制木质烤漆展台</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1、定制烤漆展台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3、基础骨架及基层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4、烤漆板面层，面板内侧开缝口，活动拼接安装，油漆三遍处理</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6.52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750570"/>
                      <wp:effectExtent l="0" t="0" r="7620" b="11430"/>
                      <wp:docPr id="18" name="图片 1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7" descr="IMG_271"/>
                              <pic:cNvPicPr>
                                <a:picLocks noChangeAspect="1"/>
                              </pic:cNvPicPr>
                              <pic:nvPr/>
                            </pic:nvPicPr>
                            <pic:blipFill>
                              <a:blip r:embed="rId31"/>
                              <a:stretch/>
                            </pic:blipFill>
                            <pic:spPr bwMode="auto">
                              <a:xfrm>
                                <a:off x="0" y="0"/>
                                <a:ext cx="1440180" cy="7505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13.4pt;height:59.1pt;mso-wrap-distance-left:0.0pt;mso-wrap-distance-top:0.0pt;mso-wrap-distance-right:0.0pt;mso-wrap-distance-bottom:0.0pt;" stroked="f" strokeweight="0.75pt">
                      <v:path textboxrect="0,0,0,0"/>
                      <v:imagedata r:id="rId31" o:title=""/>
                    </v:shape>
                  </w:pict>
                </mc:Fallback>
              </mc:AlternateContent>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17</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定制艺术星空顶</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1、定制艺术星空顶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3、星空顶专用装饰板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4、定制光纤灯人工排布安装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5、智能调光调色，沉浸式星空体验</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39.16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453390"/>
                      <wp:effectExtent l="0" t="0" r="7620" b="3810"/>
                      <wp:docPr id="19" name="图片 1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8" descr="IMG_272"/>
                              <pic:cNvPicPr>
                                <a:picLocks noChangeAspect="1"/>
                              </pic:cNvPicPr>
                              <pic:nvPr/>
                            </pic:nvPicPr>
                            <pic:blipFill>
                              <a:blip r:embed="rId32"/>
                              <a:stretch/>
                            </pic:blipFill>
                            <pic:spPr bwMode="auto">
                              <a:xfrm>
                                <a:off x="0" y="0"/>
                                <a:ext cx="1440180" cy="4533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13.4pt;height:35.7pt;mso-wrap-distance-left:0.0pt;mso-wrap-distance-top:0.0pt;mso-wrap-distance-right:0.0pt;mso-wrap-distance-bottom:0.0pt;" stroked="f" strokeweight="0.75pt">
                      <v:path textboxrect="0,0,0,0"/>
                      <v:imagedata r:id="rId32" o:title=""/>
                    </v:shape>
                  </w:pict>
                </mc:Fallback>
              </mc:AlternateContent>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18</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英烈英名展示纪念墙</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1、英烈英名展示纪念墙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3、定制骨架基础，阻燃板基层，面层艺术处理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4、定制烤漆展示台辅助造型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5、定制精雕主题标识，墙面固定安装</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38.17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2581275"/>
                      <wp:effectExtent l="0" t="0" r="7620" b="9525"/>
                      <wp:docPr id="20" name="图片 1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9" descr="IMG_273"/>
                              <pic:cNvPicPr>
                                <a:picLocks noChangeAspect="1"/>
                              </pic:cNvPicPr>
                              <pic:nvPr/>
                            </pic:nvPicPr>
                            <pic:blipFill>
                              <a:blip r:embed="rId33"/>
                              <a:stretch/>
                            </pic:blipFill>
                            <pic:spPr bwMode="auto">
                              <a:xfrm>
                                <a:off x="0" y="0"/>
                                <a:ext cx="1440180" cy="2581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13.4pt;height:203.2pt;mso-wrap-distance-left:0.0pt;mso-wrap-distance-top:0.0pt;mso-wrap-distance-right:0.0pt;mso-wrap-distance-bottom:0.0pt;" stroked="f" strokeweight="0.75pt">
                      <v:path textboxrect="0,0,0,0"/>
                      <v:imagedata r:id="rId33" o:title=""/>
                    </v:shape>
                  </w:pict>
                </mc:Fallback>
              </mc:AlternateContent>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19</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定制入户牌匾</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1、定制入户牌匾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3、木制牌匾，雕刻、打磨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4、油漆三遍处理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5、整体艺术上色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6、墙面固定件预埋</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2016"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440180" cy="727710"/>
                      <wp:effectExtent l="0" t="0" r="7620" b="8890"/>
                      <wp:docPr id="21" name="图片 20"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0" descr="IMG_274"/>
                              <pic:cNvPicPr>
                                <a:picLocks noChangeAspect="1"/>
                              </pic:cNvPicPr>
                              <pic:nvPr/>
                            </pic:nvPicPr>
                            <pic:blipFill>
                              <a:blip r:embed="rId34"/>
                              <a:stretch/>
                            </pic:blipFill>
                            <pic:spPr bwMode="auto">
                              <a:xfrm>
                                <a:off x="0" y="0"/>
                                <a:ext cx="1440180" cy="7277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3.4pt;height:57.3pt;mso-wrap-distance-left:0.0pt;mso-wrap-distance-top:0.0pt;mso-wrap-distance-right:0.0pt;mso-wrap-distance-bottom:0.0pt;" stroked="f" strokeweight="0.75pt">
                      <v:path textboxrect="0,0,0,0"/>
                      <v:imagedata r:id="rId34" o:title=""/>
                    </v:shape>
                  </w:pict>
                </mc:Fallback>
              </mc:AlternateContent>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展馆常规布展</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1、包括高密度艺术展板、不锈钢精品烤漆立体字、亚克力精品雕刻字、艺术画面、定制造型灯箱等制作安装</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380.00 </w:t>
            </w:r>
            <w:r/>
          </w:p>
        </w:tc>
        <w:tc>
          <w:tcPr>
            <w:tcW w:w="2016"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21</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展陈专业灯光系统</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1、按照展馆设计需求，利用光的艺术性和表现力，渲染展示的主题，包括重点照明、辅助照明、层次照明、立体照明等技术手段，保障展品和展面的展示效果而专业配置的光源及灯具产生的购置及安装费用</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380.00 </w:t>
            </w:r>
            <w:r/>
          </w:p>
        </w:tc>
        <w:tc>
          <w:tcPr>
            <w:tcW w:w="2016"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bl>
    <w:p>
      <w:pPr>
        <w:numPr>
          <w:ilvl w:val="0"/>
          <w:numId w:val="0"/>
        </w:numPr>
        <w:jc w:val="both"/>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r>
      <w:r/>
    </w:p>
    <w:p>
      <w:pPr>
        <w:numPr>
          <w:ilvl w:val="0"/>
          <w:numId w:val="0"/>
        </w:numPr>
        <w:jc w:val="center"/>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（四）阜宁烈士纪念馆-多媒体硬件</w:t>
      </w:r>
      <w:r/>
    </w:p>
    <w:tbl>
      <w:tblPr>
        <w:tblStyle w:val="798"/>
        <w:tblW w:w="9172" w:type="dxa"/>
        <w:tblInd w:w="2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1411"/>
        <w:gridCol w:w="3600"/>
        <w:gridCol w:w="700"/>
        <w:gridCol w:w="900"/>
        <w:gridCol w:w="1970"/>
      </w:tblGrid>
      <w:tr>
        <w:trPr>
          <w:trHeight w:val="531"/>
        </w:trPr>
        <w:tc>
          <w:tcPr>
            <w:gridSpan w:val="6"/>
            <w:shd w:val="clear" w:color="auto" w:fill="daf2d1" w:themeFill="accent6" w:themeFillTint="32"/>
            <w:tcW w:w="91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SA"/>
              </w:rPr>
              <w:t xml:space="preserve">阜宁烈士纪念馆-多媒体硬件</w:t>
            </w:r>
            <w:r/>
          </w:p>
        </w:tc>
      </w:tr>
      <w:tr>
        <w:trPr/>
        <w:tc>
          <w:tcPr>
            <w:shd w:val="clear" w:color="auto" w:fill="auto"/>
            <w:tcW w:w="5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W w:w="14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auto"/>
            <w:tcW w:w="36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19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c>
          <w:tcPr>
            <w:tcW w:w="5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LED成像显示设备（P2）</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像素结构:表贴三合一LED;像素间距（mm）:2;LED规格: SMD1515;显示分辨率（dots）:160×80:模组尺寸（mm）:320（L）×160（H）×12.5（T）;模组重量：407g；单板电流（A/Pcs）:7.5±0.1;模组功耗（W/Pcs）:≤37.5;像素密度（pixels/m2）: 250000;平整度（mm）: ≤0.2; 像素中心距相对偏差：1.5%；白平衡亮度：800-1400cd/㎡（可调）； 水平视角：170︒； 垂直视角：170︒； 对比度：</w:t>
            </w:r>
            <w:r>
              <w:rPr>
                <w:rFonts w:hint="eastAsia" w:ascii="宋体" w:hAnsi="宋体" w:eastAsia="宋体" w:cs="宋体"/>
                <w:i w:val="0"/>
                <w:iCs w:val="0"/>
                <w:color w:val="000000"/>
                <w:sz w:val="21"/>
                <w:szCs w:val="21"/>
                <w:u w:val="none"/>
                <w:lang w:val="en-US" w:eastAsia="zh-CN" w:bidi="ar"/>
              </w:rPr>
              <w:t xml:space="preserve">≥3000：1 亮度/色度；校正：支持；驱动方式：恒流驱动；换帧频率：60Hz； 刷新频率：P2≥3840Hz；灰度等级：14Bit；亮度为20%时信号处理深度达到14bit，亮度为40%时信号处理深度达到16bit；像素失控点：1/100000,无连续失控点；亮度调节范围：自动/手动：1-100%，亮度可随环境亮度的变化自动调节；色温：2000K-18000K可调； 节能功能：黑屏模式下节能43%；LED使用寿命：100000H；防护等级：符合IP5X；维护方式：前维护/后维护；工程量按外边矩形面积计算。</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9.50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LED视频二合一处理器</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信号处理器背景LED与墙面LED需点对点；支持EDID配置管理：无需外接电脑，直接在设备上更改EDID，自定义输入分辨率；可通过LCD面板查看当前设备图层数量、接入信号状态、拼接方式、屏幕参数、输出分辨率、帧率等信息。可对整屏输出画面进行亮度、对比度调节。</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 专用钢结构</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定制显示屏安装框架结构及装饰</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9.50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高性能图形工作站</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Intel I5-12600KF，主板 ：Z790，内存：金仕顿16G，硬盘：致态500G,显卡：M4000，长城电源：650W电源</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同轴喇叭，同磁钢双回路技术，高音和低音声音同步，无时间差，声音清晰，声场分布均匀；涂层网罩提供卓越的防风雨性能；推进式音箱接线端子，便于安装；</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功放</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音量四分区调节，两路话筒插口；支持安卓手机蓝牙APP操作；采用蓝牙4.2芯片；支持USB接口；支持语音提示音；支持遥控器功能</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物理感应互动装置</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定制化研发支持物理手动控制模块，二次研发</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restart"/>
            <w:textDirection w:val="lrTb"/>
            <w:noWrap w:val="false"/>
          </w:tcPr>
          <w:p>
            <w:pPr>
              <w:jc w:val="center"/>
              <w:keepLines w:val="0"/>
              <w:keepNext w:val="0"/>
              <w:widowControl/>
              <w:rPr>
                <w:rFonts w:hint="default"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红外智能触控交互设备（55寸）</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尺寸：55inch；分辨率:1920*1080；显示面积:1213.1(H)*683.2(V)MM ；显示比例:16:9；亮度:350cd/C㎡对比度:1400：1；可视角度:178°(V)/178°(H) （典型）；使用寿命:60000(hrs)；机身尺寸:1268.6*739.4**102.7MM（长*宽*厚度）；外壳材料:铝型材、钣金、钢化玻璃；主机配置：CPU I5； 内存：8G；硬盘：128G；操作：Windows10 ；触摸技术：红外触摸；书写方式：手指、触摸笔；理论点击次数：6亿次以上</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互动查询软件许可证</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单屏许可证，操作标准功能包包含：滑页展示、转场动态特效、视频播放、海报、LOGO重点展示。对触控模块每个收发单位进行毫秒级光线轮播查询、数据反馈、实现准确的前端程序与硬件操作的定位交互。</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显示终端安装支架</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材质：SPCC 强化钢板；工艺：锻压；颜色：黑色；表面处理：喷塑喷漆；上下左右连续可调。</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红外智能触控交互设备（86寸）</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尺寸：86inch；分辨率:3840×2160；显示面积:1911 (H) x 1072(V)；显示比例:16:9；亮度:450cd/C㎡；对比度:5000：1；采样率：≥60Hz；响应速度：点击：8ms 连续：3ms定位精度：≤±2mm；可视角度:178°(V)/178°(H) （典型）；使用寿命:60000(hrs)；外壳材料:铝型材、钣金、钢化玻璃;主机配置：CPU I5； 内存：8G；硬盘：128G；操作：Windows10;红外触摸；书写方式：手指、触摸笔；理论点击次数：6亿次以上</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互动查询软件许可证</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单屏许可证，操作标准功能包包含：滑页展示、转场动态特效、视频播放、海报、LOGO重点展示。对触控模块每个收发单位进行毫秒级光线轮播查询、数据反馈、实现准确的前端程序与硬件操作的定位交互。</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显示终端安装支架</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材质：SPCC 强化钢板；工艺：锻压；颜色：黑色；表面处理：喷塑喷漆；上下左右连续可调。</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LED成像显示设备（P2）</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像素结构:表贴三合一LED;像素间距（mm）:2;LED规格: SMD1515;显示分辨率（dots）:160×80:模组尺寸（mm）:320（L）×160（H）×12.5（T）;模组重量：407g；单板电流（A/Pcs）:7.5±0.1;模组功耗（W/Pcs）:≤37.5;像素密度（pixels/m2）: 250000;平整度（mm）: ≤0.2; 像素中心距相对偏差：1.5%；白平衡亮度：800-1400cd/㎡（可调）； 水平视角：170︒； 垂直视角：170︒； 对比度：</w:t>
            </w:r>
            <w:r>
              <w:rPr>
                <w:rFonts w:hint="eastAsia" w:ascii="宋体" w:hAnsi="宋体" w:eastAsia="宋体" w:cs="宋体"/>
                <w:i w:val="0"/>
                <w:iCs w:val="0"/>
                <w:color w:val="000000"/>
                <w:sz w:val="21"/>
                <w:szCs w:val="21"/>
                <w:u w:val="none"/>
                <w:lang w:val="en-US" w:eastAsia="zh-CN" w:bidi="ar"/>
              </w:rPr>
              <w:t xml:space="preserve">≥3000：1 亮度/色度；校正：支持；驱动方式：恒流驱动；换帧频率：60Hz； 刷新频率：P2≥3840Hz；灰度等级：14Bit；亮度为20%时信号处理深度达到14bit，亮度为40%时信号处理深度达到16bit；像素失控点：1/100000,无连续失控点；亮度调节范围：自动/手动：1-100%，亮度可随环境亮度的变化自动调节；色温：2000K-18000K可调； 节能功能：黑屏模式下节能43%；LED使用寿命：100000H；防护等级：符合IP5X；维护方式：前维护/后维护；工程量按外边矩形面积计算。</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LED视频二合一处理器</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信号处理器背景LED与墙面LED需点对点；支持EDID配置管理：无需外接电脑，直接在设备上更改EDID，自定义输入分辨率；可通过LCD面板查看当前设备图层数量、接入信号状态、拼接方式、屏幕参数、输出分辨率、帧率等信息。可对整屏输出画面进行亮度、对比度调节。</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 专用钢结构</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定制显示屏安装框架结构及装饰</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高性能图形工作站</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Intel I5-12600KF，主板 ：Z790，内存：金仕顿16G，硬盘：致态500G,显卡：M4000，长城电源：650W电源</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同轴喇叭，同磁钢双回路技术，高音和低音声音同步，无时间差，声音清晰，声场分布均匀；涂层网罩提供卓越的防风雨性能；推进式音箱接线端子，便于安装；</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功放</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音量四分区调节，两路话筒插口；支持安卓手机蓝牙APP操作；采用蓝牙4.2芯片；支持USB接口；支持语音提示音；支持遥控器功能</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定制造型触控装置</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根据屏幕尺寸定制造型装置，触控交互操作，设备集成结构及安装辅件;二次研发</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弱电综合布线系统</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基础弱电的主材、人工、安装、辅料等内容；弱电工程配线 、连接件 、辅材、施工等。</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定制机柜（600*800*2000mm）</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600*800*2000mm、10A排插2个、散热风扇2组</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交换机（12口）</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12口千兆交换机</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定制开发设备开关机模组</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实现多媒体设备开关机接口的外置、扩展，方便展厅进行开关机管理；</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970"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bl>
    <w:p>
      <w:pPr>
        <w:pStyle w:val="808"/>
        <w:numPr>
          <w:ilvl w:val="0"/>
          <w:numId w:val="0"/>
        </w:numPr>
        <w:rPr>
          <w:rFonts w:hint="default"/>
          <w:lang w:val="en-US" w:eastAsia="zh-CN"/>
        </w:rPr>
      </w:pPr>
      <w:r>
        <w:rPr>
          <w:rFonts w:hint="default"/>
          <w:lang w:val="en-US" w:eastAsia="zh-CN"/>
        </w:rPr>
      </w:r>
      <w:r/>
    </w:p>
    <w:p>
      <w:pPr>
        <w:numPr>
          <w:ilvl w:val="0"/>
          <w:numId w:val="0"/>
        </w:numPr>
        <w:jc w:val="center"/>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（五）、阜宁烈士纪念馆-多媒体数字</w:t>
      </w:r>
      <w:r/>
    </w:p>
    <w:tbl>
      <w:tblPr>
        <w:tblStyle w:val="798"/>
        <w:tblW w:w="9161" w:type="dxa"/>
        <w:tblInd w:w="2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1282"/>
        <w:gridCol w:w="3284"/>
        <w:gridCol w:w="623"/>
        <w:gridCol w:w="965"/>
        <w:gridCol w:w="2408"/>
      </w:tblGrid>
      <w:tr>
        <w:trPr>
          <w:trHeight w:val="531"/>
        </w:trPr>
        <w:tc>
          <w:tcPr>
            <w:gridSpan w:val="6"/>
            <w:shd w:val="clear" w:color="auto" w:fill="daf2d1" w:themeFill="accent6" w:themeFillTint="32"/>
            <w:tcW w:w="91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SA"/>
              </w:rPr>
              <w:t xml:space="preserve">阜宁烈士纪念馆-多媒体数字</w:t>
            </w:r>
            <w:r/>
          </w:p>
        </w:tc>
      </w:tr>
      <w:tr>
        <w:trPr/>
        <w:tc>
          <w:tcPr>
            <w:shd w:val="clear" w:color="auto" w:fill="auto"/>
            <w:tcW w:w="5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W w:w="12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auto"/>
            <w:tcW w:w="32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auto"/>
            <w:tcW w:w="6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W w:w="9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W w:w="24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c>
          <w:tcPr>
            <w:tcW w:w="599" w:type="dxa"/>
            <w:vAlign w:val="center"/>
            <w:vMerge w:val="restart"/>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w:t>
            </w:r>
            <w:r/>
          </w:p>
        </w:tc>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LED影片播放程序</w:t>
            </w:r>
            <w:r/>
          </w:p>
        </w:tc>
        <w:tc>
          <w:tcPr>
            <w:tcW w:w="32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1.超高清大屏播放器：通过超高清图形编码、动态同步显示技术，实现LED的长屏或异性屏的超高分辨率影片播放程序。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2.全屏视频播放功能：在无人操作或手动选择播放时，播放适应全屏的视频。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3.后台数据更新程序：在线维护所有后台数据，包括内容的增加、修改、删除等。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4.中控点播与切换功能：后台中控点播视频和切换图片。</w:t>
            </w:r>
            <w:r/>
          </w:p>
        </w:tc>
        <w:tc>
          <w:tcPr>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2408"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99" w:type="dxa"/>
            <w:vAlign w:val="center"/>
            <w:vMerge w:val="continue"/>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大型综合影片</w:t>
            </w:r>
            <w:r/>
          </w:p>
        </w:tc>
        <w:tc>
          <w:tcPr>
            <w:tcW w:w="32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1、通过混合三维建模渲染、绘画创作、特效动画、影视拍摄与合成技术与一体方式制作影片</w:t>
            </w:r>
            <w:r/>
          </w:p>
        </w:tc>
        <w:tc>
          <w:tcPr>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秒</w:t>
            </w:r>
            <w:r/>
          </w:p>
        </w:tc>
        <w:tc>
          <w:tcPr>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120.00 </w:t>
            </w:r>
            <w:r/>
          </w:p>
        </w:tc>
        <w:tc>
          <w:tcPr>
            <w:tcW w:w="2408"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99"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触控查询程序</w:t>
            </w:r>
            <w:r/>
          </w:p>
        </w:tc>
        <w:tc>
          <w:tcPr>
            <w:tcW w:w="32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1.触控互动功能：通过点击或手势切换页面、进行图文信息展示。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2.动态图片展示：无人操作或手动选择时，显示适应全屏的动态图片。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3.动态文本展示：显示详细文字介绍。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4.界面切换特效：画面切换时会有各种动态特效展示。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5.全屏待机图片播放：待机时显示适应全屏的海报。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6.全屏视频播放功能：在无人操作或手动选择播放时，播放适应全屏的视频。</w:t>
            </w:r>
            <w:r/>
          </w:p>
        </w:tc>
        <w:tc>
          <w:tcPr>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2408"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99"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触控查询程序</w:t>
            </w:r>
            <w:r/>
          </w:p>
        </w:tc>
        <w:tc>
          <w:tcPr>
            <w:tcW w:w="32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1.触控互动功能：通过点击或手势切换页面、进行图文信息展示。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2.动态图片展示：无人操作或手动选择时，显示适应全屏的动态图片。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3.动态文本展示：显示详细文字介绍。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4.界面切换特效：画面切换时会有各种动态特效展示。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5.全屏待机图片播放：待机时显示适应全屏的海报。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6.全屏视频播放功能：在无人操作或手动选择播放时，播放适应全屏的视频。</w:t>
            </w:r>
            <w:r/>
          </w:p>
        </w:tc>
        <w:tc>
          <w:tcPr>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2408"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99"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多屏互动程序</w:t>
            </w:r>
            <w:r/>
          </w:p>
        </w:tc>
        <w:tc>
          <w:tcPr>
            <w:tcW w:w="32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1.大屏动态图片展示：无人操作或手动选择时，显示适应全屏的动态图片。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2.大屏动态文本展示：无人操作或手动选择时，显示相应动态文本。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3.大屏视频播放功能：在无人操作或手动选择播放时，播放适应全屏的视频。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4.全屏动态海报：无人操作或手动选择时，显示适应全屏的动态海报。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5.界面切换特效：画面切换时会有各种动态特效展示。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6.触控互动功能：通过点击与手势切换页面、进行图文信息展示。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7.多屏联动展示功能：通过联动通讯，实现分离的双屏联动展示的互动程序。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8.后台数据更新程序：在线维护所有后台数据，包括内容的增加、修改、删除等。</w:t>
            </w:r>
            <w:r/>
          </w:p>
        </w:tc>
        <w:tc>
          <w:tcPr>
            <w:tcW w:w="6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2408"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bl>
    <w:p>
      <w:pPr>
        <w:jc w:val="center"/>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r>
      <w:r/>
    </w:p>
    <w:p>
      <w:pPr>
        <w:jc w:val="center"/>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（六）、阜宁烈士纪念馆-装饰、安装、消防</w:t>
      </w:r>
      <w:r/>
    </w:p>
    <w:tbl>
      <w:tblPr>
        <w:tblStyle w:val="798"/>
        <w:tblW w:w="9173" w:type="dxa"/>
        <w:tblInd w:w="2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4"/>
        <w:gridCol w:w="1401"/>
        <w:gridCol w:w="3591"/>
        <w:gridCol w:w="765"/>
        <w:gridCol w:w="853"/>
        <w:gridCol w:w="1999"/>
      </w:tblGrid>
      <w:tr>
        <w:trPr>
          <w:trHeight w:val="531"/>
        </w:trPr>
        <w:tc>
          <w:tcPr>
            <w:gridSpan w:val="6"/>
            <w:shd w:val="clear" w:color="auto" w:fill="daf2d1" w:themeFill="accent6" w:themeFillTint="32"/>
            <w:tcW w:w="9173" w:type="dxa"/>
            <w:vAlign w:val="center"/>
            <w:textDirection w:val="lrTb"/>
            <w:noWrap w:val="false"/>
          </w:tcPr>
          <w:p>
            <w:pPr>
              <w:jc w:val="center"/>
              <w:spacing w:line="240" w:lineRule="auto"/>
              <w:rPr>
                <w:rFonts w:hint="eastAsia" w:ascii="宋体" w:hAnsi="宋体" w:eastAsia="宋体" w:cs="宋体"/>
                <w:b/>
                <w:bCs/>
                <w:i w:val="0"/>
                <w:iCs w:val="0"/>
                <w:color w:val="000000"/>
                <w:sz w:val="20"/>
                <w:szCs w:val="20"/>
                <w:u w:val="none"/>
                <w:lang w:val="en-US" w:eastAsia="zh-CN" w:bidi="ar-SA"/>
              </w:rPr>
            </w:pPr>
            <w:r>
              <w:rPr>
                <w:rFonts w:hint="eastAsia" w:ascii="宋体" w:hAnsi="宋体" w:eastAsia="宋体" w:cs="宋体"/>
                <w:b/>
                <w:bCs/>
                <w:i w:val="0"/>
                <w:iCs w:val="0"/>
                <w:color w:val="000000"/>
                <w:sz w:val="24"/>
                <w:szCs w:val="24"/>
                <w:u w:val="none"/>
                <w:lang w:val="en-US" w:eastAsia="zh-CN" w:bidi="ar-SA"/>
              </w:rPr>
              <w:t xml:space="preserve">阜宁烈士纪念馆-装饰</w:t>
            </w:r>
            <w:r/>
          </w:p>
        </w:tc>
      </w:tr>
      <w:tr>
        <w:trPr/>
        <w:tc>
          <w:tcPr>
            <w:shd w:val="clear" w:color="auto" w:fill="auto"/>
            <w:tcW w:w="5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W w:w="14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auto"/>
            <w:tcW w:w="35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W w:w="8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W w:w="19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w:t>
            </w:r>
            <w:r/>
          </w:p>
        </w:tc>
        <w:tc>
          <w:tcPr>
            <w:tcW w:w="1401"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展馆拆除工程</w:t>
            </w:r>
            <w:r/>
          </w:p>
        </w:tc>
        <w:tc>
          <w:tcPr>
            <w:tcW w:w="3591"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拆除本装修工程图纸涉及的原有楼地面（含结合层）、门槛处凿除、各类隔墙及墙面饰面、天棚吊顶（含龙骨、吊筋及预埋铁件）及天棚粉刷、原有安装管线、、灯具、开关、插座等图纸范围内要求拆除的所有内容，可重新利用材料现场集中堆放，不可利用材料及垃圾袋装下料集中堆放外运处理；</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地胶地面</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1、2mm厚自流平找平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2、2mm厚地胶</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326.7</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防静电活动地板</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1、600*600钢制防静电地板，专用钢制骨架，可调节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2、成品L型铝型材压条</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14.69</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轻钢龙骨隔墙</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75系列轻钢龙骨隔墙</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535.73</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钢骨架隔墙</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镀锌钢架，焊接处刷防锈漆，后置埋板，各类连接件，螺栓等所有主辅材制作、安装、防锈等所有工作内容</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0.48</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墙面阻燃板基层</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1、单面单层12mm厚阻燃板基层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2、展开面积计算</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77.52</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墙面石膏板面层</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1、单面单层12mm厚纸面石膏板面层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2、墙面板缝贴自粘胶带、板面钉眼封点防锈漆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3、展开面积计算</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563.09</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墙面无机涂料</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1、满刮腻子、刷无机涂料各三遍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2、展开面积计算</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208.61</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墙面基膜</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满刮腻子三遍，批刷基膜</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510.04</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金属踢脚线</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成品金属踢脚线</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97.23</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default"/>
                <w:vertAlign w:val="baseline"/>
                <w:lang w:val="en-US" w:eastAsia="zh-CN"/>
              </w:rPr>
              <w:suppressLineNumbers w:val="0"/>
            </w:pPr>
            <w:r>
              <w:rPr>
                <w:rFonts w:hint="eastAsia"/>
                <w:vertAlign w:val="baseline"/>
                <w:lang w:val="en-US" w:eastAsia="zh-CN"/>
              </w:rPr>
              <w:t xml:space="preserve">11</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墙面凸出造型基层</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木龙骨基层，防火涂料三遍</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77.52</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12</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石膏板吊顶</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1、Φ8镀锌全丝杆吊筋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2、50系列轻钢龙骨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3、双层9.5mm厚纸面石膏板面层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4、墙面板缝贴自粘胶带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5、板面钉眼封点防锈漆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6、满刮腻子、刷白色无机涂料各三遍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7、投影面积计算 局部复杂吊顶</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92.2</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13</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铝方通吊顶</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1、Φ8镀锌全丝杆吊筋 H=750mm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2、铝方通专用龙骨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3、铝方通吊顶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4、投影面积计算</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193.14</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14</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原顶喷漆</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1、原顶喷漆，综合考虑梁面、局部墙面及管道面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2、投影面积计算</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193.14</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15</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矿棉板吊顶</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1、Φ8镀锌全丝杆吊筋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2、50系列热镀锌轻钢龙骨@600*600简单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3、600*600mm矿棉板吊顶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4、投影面积计算</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14.69</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16</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回光灯槽</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1、单面单层9mm厚阻燃板基层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2、9.5mm厚纸面石膏板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3、墙面板缝贴自粘胶带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4、板面钉眼封点防锈漆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5、满刮腻子、刷白色无机涂料各三遍</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27.79</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17</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灯带（槽）</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顶面型材灯带</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27.35</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18</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暗门</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新建单开暗门制作安装，含不锈钢铰链3只，暗门锁1只等五金配件，面层材质同墙面，材质另计</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19</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屏幕包边</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1.2mm厚黑钛金不锈钢屏幕包边，展开宽80mm，折边均采用背切工艺</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30.34</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20</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窗户贴膜</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窗户贴膜</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61.56</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21</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综合脚手架</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室内装修脚手架，吊顶高5m以下</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tcW w:w="1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rHeight w:val="448"/>
        </w:trPr>
        <w:tc>
          <w:tcPr>
            <w:gridSpan w:val="6"/>
            <w:shd w:val="clear" w:color="auto" w:fill="daf2d1" w:themeFill="accent6" w:themeFillTint="32"/>
            <w:tcW w:w="9173" w:type="dxa"/>
            <w:vAlign w:val="center"/>
            <w:textDirection w:val="lrTb"/>
            <w:noWrap w:val="false"/>
          </w:tcPr>
          <w:p>
            <w:pPr>
              <w:pStyle w:val="808"/>
              <w:jc w:val="center"/>
              <w:rPr>
                <w:rFonts w:hint="default"/>
                <w:vertAlign w:val="baseline"/>
                <w:lang w:val="en-US" w:eastAsia="zh-CN"/>
              </w:rPr>
            </w:pPr>
            <w:r>
              <w:rPr>
                <w:rFonts w:hint="eastAsia" w:ascii="宋体" w:hAnsi="宋体" w:eastAsia="宋体" w:cs="宋体"/>
                <w:b/>
                <w:bCs/>
                <w:i w:val="0"/>
                <w:iCs w:val="0"/>
                <w:color w:val="000000"/>
                <w:sz w:val="24"/>
                <w:szCs w:val="24"/>
                <w:u w:val="none"/>
                <w:lang w:val="en-US" w:eastAsia="zh-CN" w:bidi="ar-SA"/>
              </w:rPr>
              <w:t xml:space="preserve">阜宁烈士纪念馆-安装</w:t>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照明配电箱AL，端子板接线，嵌墙暗装</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落地式配电柜AP，明装；10#槽钢基础制作安装</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3</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配紧定式镀锌电线管 JDG20*1.6mm</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412.71</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4</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配紧定式镀锌电线管 JDG32*1.6mm</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38.39</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5</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焊接钢管SC32，明配</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157.86</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6</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焊接钢管SC50，明配</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30.75</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7</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管内穿线 照明线路 WDZ-BYJ-2.5mm2以内 铜芯</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1136.87</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8</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电力电缆WDZ-YJY-4*6+PE6</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179.7</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9</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电力电缆WDZ-YJY-4*6+E6</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47.3</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10</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电力电缆WDZB-YJY-4*50+E25</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33.01</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11</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照明开关</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单联单控开关暗装</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12</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照明开关</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双联单控开关暗装</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13</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照明开关</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三联单控开关暗装</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14</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单相二、三级暗插座</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15</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嵌入式筒灯</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16</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格栅射灯</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17</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600*600LED平板灯</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18</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接线盒</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86型镀锌接线盒</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rHeight w:val="354"/>
        </w:trPr>
        <w:tc>
          <w:tcPr>
            <w:gridSpan w:val="6"/>
            <w:shd w:val="clear" w:color="auto" w:fill="daf2d1" w:themeFill="accent6" w:themeFillTint="32"/>
            <w:tcW w:w="9173" w:type="dxa"/>
            <w:vAlign w:val="center"/>
            <w:textDirection w:val="lrTb"/>
            <w:noWrap w:val="false"/>
          </w:tcPr>
          <w:p>
            <w:pPr>
              <w:jc w:val="center"/>
              <w:spacing w:line="240" w:lineRule="auto"/>
              <w:rPr>
                <w:rFonts w:hint="default" w:ascii="Times New Roman" w:hAnsi="Times New Roman" w:eastAsia="宋体" w:cs="Times New Roman"/>
                <w:vertAlign w:val="baseline"/>
                <w:lang w:val="en-US" w:eastAsia="zh-CN"/>
              </w:rPr>
            </w:pPr>
            <w:r>
              <w:rPr>
                <w:rFonts w:hint="eastAsia" w:ascii="宋体" w:hAnsi="宋体" w:eastAsia="宋体" w:cs="宋体"/>
                <w:b/>
                <w:bCs/>
                <w:i w:val="0"/>
                <w:iCs w:val="0"/>
                <w:color w:val="000000"/>
                <w:sz w:val="24"/>
                <w:szCs w:val="24"/>
                <w:u w:val="none"/>
                <w:lang w:val="en-US" w:eastAsia="zh-CN" w:bidi="ar-SA"/>
              </w:rPr>
              <w:t xml:space="preserve">阜宁烈士纪念馆-消防</w:t>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1、紧定式镀锌电线管(JDG管) 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2、明配</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181.2</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电线敷设NH-BV2*1.5</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384</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金属软管20</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普通灯具</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1、消防应急照明灯具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2、集中型吸顶安装</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1、疏散（出口）标志灯(自带蓄电池)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2、集中型壁装</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应急照明系统调试</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应急照明系统调试</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水喷淋钢管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2、热镀锌钢管DN25，螺纹连接(含管件)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3、试压及水冲洗</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44.8</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水喷淋钢管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2、热镀锌钢管DN32，螺纹连接(含管件)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3、试压及水冲洗</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室内消火栓</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2、1000*700*240，DN65含箱门、轻便水龙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3、试压及水冲洗</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水灭火控制装置调试</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水灭火系统装置调试</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管线及水管穿墙打洞</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管线及水管穿墙打洞</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室外裸露管道保温</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室外裸露管道保温</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bl>
    <w:p>
      <w:pPr>
        <w:ind w:left="559"/>
        <w:rPr>
          <w:rFonts w:hint="eastAsia" w:ascii="仿宋" w:hAnsi="仿宋" w:eastAsia="仿宋" w:cs="仿宋"/>
          <w:color w:val="0000ff"/>
          <w:sz w:val="28"/>
          <w:szCs w:val="28"/>
        </w:rPr>
      </w:pPr>
      <w:r>
        <w:rPr>
          <w:rFonts w:hint="eastAsia" w:ascii="仿宋" w:hAnsi="仿宋" w:eastAsia="仿宋" w:cs="仿宋"/>
          <w:b/>
          <w:bCs/>
          <w:color w:val="0000ff"/>
          <w:sz w:val="28"/>
          <w:szCs w:val="28"/>
        </w:rPr>
        <w:t xml:space="preserve">注：</w:t>
      </w:r>
      <w:r/>
    </w:p>
    <w:p>
      <w:pPr>
        <w:numPr>
          <w:ilvl w:val="0"/>
          <w:numId w:val="0"/>
        </w:numPr>
        <w:ind w:firstLine="560"/>
        <w:jc w:val="left"/>
        <w:spacing w:line="360" w:lineRule="auto"/>
        <w:rPr>
          <w:rFonts w:hint="eastAsia" w:ascii="仿宋" w:hAnsi="仿宋" w:eastAsia="仿宋" w:cs="仿宋"/>
          <w:color w:val="0000ff"/>
          <w:sz w:val="28"/>
          <w:szCs w:val="28"/>
        </w:rPr>
      </w:pPr>
      <w:r>
        <w:rPr>
          <w:rFonts w:hint="eastAsia" w:ascii="仿宋" w:hAnsi="仿宋" w:eastAsia="仿宋" w:cs="仿宋"/>
          <w:color w:val="0000ff"/>
          <w:sz w:val="28"/>
          <w:szCs w:val="28"/>
          <w:lang w:val="en-US" w:eastAsia="zh-CN" w:bidi="ar-SA"/>
        </w:rPr>
        <w:t xml:space="preserve">1、</w:t>
      </w:r>
      <w:r>
        <w:rPr>
          <w:rFonts w:hint="eastAsia" w:ascii="仿宋" w:hAnsi="仿宋" w:eastAsia="仿宋" w:cs="仿宋"/>
          <w:color w:val="0000ff"/>
          <w:sz w:val="28"/>
          <w:szCs w:val="28"/>
        </w:rPr>
        <w:t xml:space="preserve">本项目清单</w:t>
      </w:r>
      <w:r>
        <w:rPr>
          <w:rFonts w:hint="eastAsia" w:ascii="仿宋" w:hAnsi="仿宋" w:eastAsia="仿宋" w:cs="仿宋"/>
          <w:color w:val="0000ff"/>
          <w:sz w:val="28"/>
          <w:szCs w:val="28"/>
          <w:lang w:val="en-US" w:eastAsia="zh-CN"/>
        </w:rPr>
        <w:t xml:space="preserve">报</w:t>
      </w:r>
      <w:r>
        <w:rPr>
          <w:rFonts w:hint="eastAsia" w:ascii="仿宋" w:hAnsi="仿宋" w:eastAsia="仿宋" w:cs="仿宋"/>
          <w:color w:val="0000ff"/>
          <w:sz w:val="28"/>
          <w:szCs w:val="28"/>
        </w:rPr>
        <w:t xml:space="preserve">价包含设计、采购、布展及一切衍生服务等全部费用。</w:t>
      </w:r>
      <w:r/>
    </w:p>
    <w:p>
      <w:pPr>
        <w:numPr>
          <w:ilvl w:val="0"/>
          <w:numId w:val="0"/>
        </w:numPr>
        <w:ind w:firstLine="560"/>
        <w:jc w:val="left"/>
        <w:spacing w:line="360" w:lineRule="auto"/>
        <w:rPr>
          <w:rFonts w:hint="eastAsia" w:ascii="仿宋" w:hAnsi="仿宋" w:eastAsia="仿宋" w:cs="仿宋"/>
          <w:color w:val="0000ff"/>
          <w:sz w:val="28"/>
          <w:szCs w:val="28"/>
          <w:lang w:val="en-US" w:eastAsia="zh-CN" w:bidi="ar-SA"/>
        </w:rPr>
      </w:pPr>
      <w:r>
        <w:rPr>
          <w:rFonts w:hint="eastAsia" w:ascii="仿宋" w:hAnsi="仿宋" w:eastAsia="仿宋" w:cs="仿宋"/>
          <w:color w:val="0000ff"/>
          <w:sz w:val="28"/>
          <w:szCs w:val="28"/>
          <w:lang w:val="en-US" w:eastAsia="zh-CN" w:bidi="ar-SA"/>
        </w:rPr>
        <w:t xml:space="preserve">2、本项目涉及到需要拆除的部分，包含拆除费用以及拆除损坏部位的恢复（费用包含在报价中，采购人不再另行支付费用）。</w:t>
      </w:r>
      <w:r/>
    </w:p>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p>
      <w:pPr>
        <w:numPr>
          <w:ilvl w:val="0"/>
          <w:numId w:val="4"/>
        </w:numPr>
        <w:contextualSpacing/>
        <w:ind w:firstLine="482"/>
        <w:spacing w:line="360" w:lineRule="auto"/>
        <w:rPr>
          <w:rFonts w:hint="eastAsia" w:ascii="宋体" w:hAnsi="宋体" w:cs="Times New Roman"/>
          <w:b/>
          <w:sz w:val="24"/>
          <w:szCs w:val="24"/>
          <w:highlight w:val="none"/>
          <w:lang w:val="en-US" w:eastAsia="zh-CN"/>
        </w:rPr>
      </w:pPr>
      <w:r>
        <w:rPr>
          <w:rFonts w:hint="eastAsia" w:ascii="宋体" w:hAnsi="宋体" w:cs="Times New Roman"/>
          <w:b/>
          <w:sz w:val="24"/>
          <w:szCs w:val="24"/>
          <w:highlight w:val="none"/>
          <w:lang w:val="en-US" w:eastAsia="zh-CN"/>
        </w:rPr>
        <w:t xml:space="preserve">项目实施要求</w:t>
      </w:r>
      <w:r/>
    </w:p>
    <w:p>
      <w:pPr>
        <w:contextualSpacing/>
        <w:ind w:firstLine="482"/>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1.项目组织与人员</w:t>
      </w:r>
      <w:r/>
    </w:p>
    <w:p>
      <w:pPr>
        <w:pStyle w:val="793"/>
        <w:ind w:firstLine="480"/>
        <w:jc w:val="both"/>
        <w:spacing w:beforeAutospacing="0" w:afterAutospacing="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1.1为能够保证项目的顺利实施及能够充分体现投标人的业务能力，需对此项目成立专业项目实施团队，项目组人员需具有项目管理经验、艺术创意设计、剪辑、和视觉传达、美术、绘画专业。</w:t>
      </w:r>
      <w:r/>
    </w:p>
    <w:p>
      <w:pPr>
        <w:pStyle w:val="793"/>
        <w:ind w:firstLine="480"/>
        <w:jc w:val="both"/>
        <w:spacing w:beforeAutospacing="0" w:afterAutospacing="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1.2为保障本项目建设过程中，沟通和协调的便利，投标人必须指定一名项目负责人，项目负责人能够具有高级及以上工程师职称，项目建设过程中一旦出现重大问题，项目负责人应及时赶到现场。</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bidi="ar-SA"/>
        </w:rPr>
        <w:t xml:space="preserve">1.3项目实施过程中，中标人更换项目负责人和其他技术人员，需将变更及其工作影响、替换人资历等情况以书面材料报告采购人和监理单位审核，经同意后方可更换，否则采购人有权中止合同执行。因中标人员变更原因所造成的任何项目质量</w:t>
      </w:r>
      <w:r>
        <w:rPr>
          <w:rFonts w:hint="eastAsia" w:ascii="宋体" w:hAnsi="宋体" w:eastAsia="宋体" w:cs="宋体"/>
          <w:color w:val="auto"/>
          <w:sz w:val="24"/>
          <w:szCs w:val="24"/>
          <w:highlight w:val="none"/>
          <w:lang w:val="en-US" w:eastAsia="zh-CN"/>
        </w:rPr>
        <w:t xml:space="preserve">、进度滞后的后果，由中标人承担一切责任。</w:t>
      </w:r>
      <w:r/>
    </w:p>
    <w:p>
      <w:pPr>
        <w:numPr>
          <w:ilvl w:val="0"/>
          <w:numId w:val="0"/>
        </w:numPr>
        <w:contextualSpacing/>
        <w:ind w:firstLine="482"/>
        <w:spacing w:line="360" w:lineRule="auto"/>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2.企业资质</w:t>
      </w:r>
      <w:r/>
    </w:p>
    <w:p>
      <w:pPr>
        <w:numPr>
          <w:ilvl w:val="0"/>
          <w:numId w:val="0"/>
        </w:num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具有完善的质量管理体系认证、环境管理体系认证、职业健康安全管理体系认证、中国展览陈列工程设计与施工一体化资质、电子与智能化工程专业承包二级及以上资质。如组织结构、职责分工、资源管理、环境目标和计划、制定和实施人员职业健康安全方针和目标、安全工程规划、设计、实施和运维方面等。</w:t>
      </w:r>
      <w:r/>
    </w:p>
    <w:p>
      <w:pPr>
        <w:numPr>
          <w:ilvl w:val="0"/>
          <w:numId w:val="5"/>
        </w:numPr>
        <w:contextualSpacing/>
        <w:ind w:firstLine="482"/>
        <w:spacing w:line="360" w:lineRule="auto"/>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履约能力要求：</w:t>
      </w:r>
      <w:r/>
    </w:p>
    <w:p>
      <w:pPr>
        <w:pStyle w:val="793"/>
        <w:ind w:firstLine="480"/>
        <w:jc w:val="both"/>
        <w:spacing w:beforeAutospacing="0" w:afterAutospacing="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投标人提供自2023年10月01日以来承接过（以合同签订时间为准）设计+施工一体化类似项目业绩，合同中必须体现合同名称、签订双方名称、签订时间、主要服务内容、双方盖章页。</w:t>
      </w:r>
      <w:r/>
    </w:p>
    <w:p>
      <w:pPr>
        <w:numPr>
          <w:ilvl w:val="0"/>
          <w:numId w:val="0"/>
        </w:numPr>
        <w:contextualSpacing/>
        <w:ind w:firstLine="482"/>
        <w:spacing w:line="360" w:lineRule="auto"/>
        <w:rPr>
          <w:rFonts w:hint="default" w:ascii="宋体" w:hAnsi="宋体" w:eastAsia="宋体" w:cs="Times New Roman"/>
          <w:b/>
          <w:sz w:val="24"/>
          <w:szCs w:val="24"/>
          <w:highlight w:val="none"/>
        </w:rPr>
      </w:pPr>
      <w:r>
        <w:rPr>
          <w:rFonts w:hint="eastAsia" w:ascii="宋体" w:hAnsi="宋体" w:cs="Times New Roman"/>
          <w:b/>
          <w:sz w:val="24"/>
          <w:szCs w:val="24"/>
          <w:highlight w:val="none"/>
          <w:lang w:val="en-US" w:eastAsia="zh-CN"/>
        </w:rPr>
        <w:t xml:space="preserve">4</w:t>
      </w:r>
      <w:r>
        <w:rPr>
          <w:rFonts w:hint="eastAsia" w:ascii="宋体" w:hAnsi="宋体" w:eastAsia="宋体" w:cs="Times New Roman"/>
          <w:b/>
          <w:sz w:val="24"/>
          <w:szCs w:val="24"/>
          <w:highlight w:val="none"/>
          <w:lang w:val="en-US" w:eastAsia="zh-CN"/>
        </w:rPr>
        <w:t xml:space="preserve">.</w:t>
      </w:r>
      <w:r>
        <w:rPr>
          <w:rFonts w:hint="eastAsia" w:ascii="宋体" w:hAnsi="宋体" w:eastAsia="宋体" w:cs="Times New Roman"/>
          <w:b/>
          <w:sz w:val="24"/>
          <w:szCs w:val="24"/>
          <w:highlight w:val="none"/>
        </w:rPr>
        <w:t xml:space="preserve">设计</w:t>
      </w:r>
      <w:r>
        <w:rPr>
          <w:rFonts w:hint="default" w:ascii="宋体" w:hAnsi="宋体" w:eastAsia="宋体" w:cs="Times New Roman"/>
          <w:b/>
          <w:sz w:val="24"/>
          <w:szCs w:val="24"/>
          <w:highlight w:val="none"/>
        </w:rPr>
        <w:t xml:space="preserve">要求</w:t>
      </w:r>
      <w:r/>
    </w:p>
    <w:p>
      <w:pPr>
        <w:ind w:firstLine="490"/>
        <w:jc w:val="left"/>
        <w:spacing w:line="360" w:lineRule="auto"/>
        <w:widowControl w:val="off"/>
        <w:rPr>
          <w:rFonts w:ascii="宋体" w:hAnsi="宋体" w:eastAsia="宋体" w:cs="宋体"/>
          <w:b/>
          <w:bCs/>
          <w:color w:val="auto"/>
          <w:spacing w:val="2"/>
          <w:sz w:val="24"/>
          <w:szCs w:val="24"/>
          <w:highlight w:val="none"/>
          <w:lang w:val="en-US" w:eastAsia="zh-CN" w:bidi="ar-SA"/>
        </w:rPr>
      </w:pPr>
      <w:r>
        <w:rPr>
          <w:rFonts w:hint="eastAsia" w:ascii="宋体" w:hAnsi="宋体" w:cs="宋体"/>
          <w:b/>
          <w:bCs/>
          <w:color w:val="auto"/>
          <w:spacing w:val="2"/>
          <w:sz w:val="24"/>
          <w:szCs w:val="24"/>
          <w:highlight w:val="none"/>
          <w:lang w:val="en-US" w:eastAsia="zh-CN" w:bidi="ar-SA"/>
        </w:rPr>
        <w:t xml:space="preserve">4</w:t>
      </w:r>
      <w:r>
        <w:rPr>
          <w:rFonts w:hint="eastAsia" w:ascii="宋体" w:hAnsi="宋体" w:eastAsia="宋体" w:cs="宋体"/>
          <w:b/>
          <w:bCs/>
          <w:color w:val="auto"/>
          <w:spacing w:val="2"/>
          <w:sz w:val="24"/>
          <w:szCs w:val="24"/>
          <w:highlight w:val="none"/>
          <w:lang w:val="en-US" w:eastAsia="zh-CN" w:bidi="ar-SA"/>
        </w:rPr>
        <w:t xml:space="preserve">.1</w:t>
      </w:r>
      <w:r>
        <w:rPr>
          <w:rFonts w:hint="eastAsia" w:ascii="宋体" w:hAnsi="宋体" w:eastAsia="宋体" w:cs="宋体"/>
          <w:b/>
          <w:bCs/>
          <w:color w:val="auto"/>
          <w:sz w:val="24"/>
          <w:szCs w:val="24"/>
          <w:highlight w:val="none"/>
          <w:lang w:val="en-US" w:eastAsia="zh-CN" w:bidi="ar-SA"/>
        </w:rPr>
        <w:t xml:space="preserve">建设目标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.1.1指导思想：</w:t>
      </w:r>
      <w:r/>
    </w:p>
    <w:p>
      <w:pPr>
        <w:numPr>
          <w:ilvl w:val="0"/>
          <w:numId w:val="0"/>
        </w:num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2023年12月，习近平总书记在盐城参观新四军纪念馆时强调“新四军的历史充分说明，民心向背决定着历史的选择，江山就是人民、人民就是江山。”“这是开展革命传统教育、爱国主义教育的生动教材”。党的十八大以来，习近平总书记以多种方式缅怀英雄先烈，讴歌民族英雄，激励全党全国各族人民传承英烈精神，为强国建设、民族复兴伟业而不懈奋斗；激励地方政府用好红色资源，把红色传统发扬好、把红色基因传承好。</w:t>
      </w:r>
      <w:r/>
    </w:p>
    <w:p>
      <w:pPr>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阜宁革命烈士纪念馆展示的不仅是阜宁大地波</w:t>
      </w:r>
      <w:r>
        <w:rPr>
          <w:rFonts w:hint="eastAsia" w:ascii="Times New Roman" w:hAnsi="Times New Roman" w:eastAsia="宋体" w:cs="Times New Roman"/>
          <w:sz w:val="24"/>
          <w:szCs w:val="24"/>
          <w:highlight w:val="none"/>
          <w:lang w:val="en-US" w:eastAsia="zh-CN" w:bidi="ar-SA"/>
        </w:rPr>
        <w:t xml:space="preserve">澜壮阔的革命斗争历程，更承载着厚重的家国情怀与不朽的英烈精神。该馆作为阜宁地域红色文化最具代表性的核心载体，也是盐阜地区极具影响力的红色教育阵地、特色文化品牌和红色精神展示窗口。场馆始终以弘扬爱国主义精神、传承红色基因为核心主旨，通过系统展陈本地革命先烈及在本地战斗过的革命先烈的英勇事迹与崇高风骨，全方位、多角度回望革命峥嵘岁月，教育引导广大公众铭记历史、缅怀先烈，树立正确的历史观、民族观与价值观，让跨越时空的英烈精神落地生根、代代相传，使之成为滋养阜宁儿女、激励广大群众砥砺前行、奋进新时代的强大精神动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.1.2展馆定位：</w:t>
      </w:r>
      <w:r/>
    </w:p>
    <w:p>
      <w:pPr>
        <w:ind w:firstLine="480"/>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本次阜宁革命烈士纪念馆设计布展项目，应全面、系统呈现阜宁本地英烈及在阜宁大地上战斗过的革命先烈的英雄事迹与崇高精神，应保证历史逻辑清晰、史料翔实丰富、故事生动感人，实现对那段荡气回肠革命历史的真实再现与复原。同时，力求满足纪念馆承载 "教育与纪念"" 文化交流 ""现代化展示"功能，将项目建成推动地方红色文化发展的品牌项目，成为革命传统教育、爱国主义教育的鲜活教材和生动载体。阜宁广大干部群众，将铭记红色历史，传承红色基因，以奋斗者的姿态和改革创新精神，建设美好家园，把强国建设和民族复兴的伟业不断推向前进。</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.1.3展示内容：</w:t>
      </w:r>
      <w:r/>
    </w:p>
    <w:p>
      <w:pPr>
        <w:numPr>
          <w:ilvl w:val="0"/>
          <w:numId w:val="0"/>
        </w:numPr>
        <w:ind w:firstLine="480"/>
        <w:jc w:val="both"/>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本展以阜宁革命烈士的英雄事迹与革命斗争历史为主要内容，重点突出抗战时期阜宁作为抗日根据地中心区域，新四军将士浴血奋战、红色政权扎根壮大、军民同心筑起抗日堡垒的 "大阜宁" 峥嵘岁月，全面展示从新民主主义革命时期到中国特色社会主义新时代，一代代英雄儿女前仆后继、无私奉献的壮阔历程与崇高精神，生动彰显阜宁儿女听党指挥、不怕牺牲、军民同心、矢志奋斗的红色品格，激励广大观众铭记历史、缅怀先烈、传承红色基因，从英烈事迹中汲取奋进力量，在新时代新征程上赓续荣光、勇毅前行。</w:t>
      </w:r>
      <w:r/>
    </w:p>
    <w:p>
      <w:pPr>
        <w:numPr>
          <w:ilvl w:val="0"/>
          <w:numId w:val="0"/>
        </w:num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展示内容建议（但不限于）以下方面，可在此基础上提出富有创意的思路。</w:t>
      </w:r>
      <w:r/>
    </w:p>
    <w:p>
      <w:pPr>
        <w:numPr>
          <w:ilvl w:val="0"/>
          <w:numId w:val="0"/>
        </w:num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建议</w:t>
      </w:r>
      <w:r>
        <w:rPr>
          <w:rFonts w:hint="eastAsia" w:ascii="Times New Roman" w:hAnsi="Times New Roman" w:eastAsia="宋体" w:cs="Times New Roman"/>
          <w:bCs/>
          <w:sz w:val="24"/>
          <w:szCs w:val="24"/>
          <w:highlight w:val="none"/>
          <w:lang w:val="en-US" w:eastAsia="zh-CN" w:bidi="ar-SA"/>
        </w:rPr>
        <w:t xml:space="preserve">阜宁革命烈士纪念馆</w:t>
      </w:r>
      <w:r>
        <w:rPr>
          <w:rFonts w:hint="eastAsia" w:ascii="宋体" w:hAnsi="宋体" w:eastAsia="宋体" w:cs="宋体"/>
          <w:sz w:val="24"/>
          <w:szCs w:val="24"/>
          <w:highlight w:val="none"/>
          <w:lang w:val="en-US" w:eastAsia="zh-CN" w:bidi="ar-SA"/>
        </w:rPr>
        <w:t xml:space="preserve">展示内容如下：</w:t>
      </w:r>
      <w:r/>
    </w:p>
    <w:p>
      <w:pPr>
        <w:numPr>
          <w:ilvl w:val="0"/>
          <w:numId w:val="0"/>
        </w:num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第一部分追求真理献身革命：主要展示建党初期、大革命和土地革命时期的阜宁烈士，全民族抗日战争时期的阜宁烈士及解放战争时期阜宁英烈。</w:t>
      </w:r>
      <w:r/>
    </w:p>
    <w:p>
      <w:pPr>
        <w:numPr>
          <w:ilvl w:val="0"/>
          <w:numId w:val="0"/>
        </w:numPr>
        <w:ind w:firstLine="480"/>
        <w:jc w:val="both"/>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第二部分改天换地碧血丹心：主要展示社会主义革命和建设时期牺牲的阜宁英烈。</w:t>
      </w:r>
      <w:r/>
    </w:p>
    <w:p>
      <w:pPr>
        <w:numPr>
          <w:ilvl w:val="0"/>
          <w:numId w:val="0"/>
        </w:numPr>
        <w:ind w:firstLine="480"/>
        <w:jc w:val="both"/>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第三部分改革开放铭记功勋：主要展示改革开放和社会主义现代化建设新时期牺牲的阜宁英烈。</w:t>
      </w:r>
      <w:r/>
    </w:p>
    <w:p>
      <w:pPr>
        <w:numPr>
          <w:ilvl w:val="0"/>
          <w:numId w:val="0"/>
        </w:numPr>
        <w:ind w:firstLine="480"/>
        <w:jc w:val="both"/>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第四部分崭新时代慰烈前行：主要展示中国特色社会主义新时代阜宁红色文化纪念场馆和阵地的建设情况，以及对阜宁烈士的缅怀。</w:t>
      </w:r>
      <w:r/>
    </w:p>
    <w:p>
      <w:pPr>
        <w:ind w:firstLine="480"/>
        <w:pageBreakBefore w:val="0"/>
        <w:spacing w:line="360" w:lineRule="auto"/>
        <w:widowControl w:val="off"/>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建议</w:t>
      </w:r>
      <w:r>
        <w:rPr>
          <w:rFonts w:hint="eastAsia" w:ascii="宋体" w:hAnsi="宋体" w:eastAsia="宋体" w:cs="宋体"/>
          <w:sz w:val="24"/>
          <w:szCs w:val="24"/>
          <w:highlight w:val="none"/>
          <w:lang w:val="en-US" w:eastAsia="zh-CN"/>
        </w:rPr>
        <w:t xml:space="preserve">展厅</w:t>
      </w:r>
      <w:r>
        <w:rPr>
          <w:rFonts w:hint="eastAsia" w:ascii="宋体" w:hAnsi="宋体" w:eastAsia="宋体" w:cs="Times New Roman"/>
          <w:b w:val="0"/>
          <w:bCs w:val="0"/>
          <w:sz w:val="24"/>
          <w:szCs w:val="24"/>
          <w:highlight w:val="none"/>
          <w:lang w:val="en-US" w:eastAsia="zh-CN" w:bidi="ar-SA"/>
        </w:rPr>
        <w:t xml:space="preserve">包含以下功能：</w:t>
      </w:r>
      <w:r/>
    </w:p>
    <w:p>
      <w:pPr>
        <w:contextualSpacing/>
        <w:ind w:firstLine="482"/>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根据实际情况，设置接待空间及文创展示售卖区等功能空间。</w:t>
      </w:r>
      <w:r/>
    </w:p>
    <w:p>
      <w:pPr>
        <w:contextualSpacing/>
        <w:ind w:firstLine="482"/>
        <w:spacing w:line="360" w:lineRule="auto"/>
        <w:rPr>
          <w:rFonts w:hint="default" w:ascii="宋体" w:hAnsi="宋体" w:eastAsia="宋体" w:cs="宋体"/>
          <w:b/>
          <w:bCs/>
          <w:sz w:val="24"/>
          <w:szCs w:val="24"/>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设计需求</w:t>
      </w:r>
      <w:r/>
    </w:p>
    <w:p>
      <w:pPr>
        <w:ind w:firstLine="482"/>
        <w:keepLines w:val="0"/>
        <w:keepNext w:val="0"/>
        <w:pageBreakBefore w:val="0"/>
        <w:spacing w:line="432" w:lineRule="auto"/>
        <w:widowControl w:val="off"/>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展厅装饰安装部分</w:t>
      </w:r>
      <w:r/>
    </w:p>
    <w:p>
      <w:pPr>
        <w:ind w:firstLine="482"/>
        <w:keepLines w:val="0"/>
        <w:keepNext w:val="0"/>
        <w:pageBreakBefore w:val="0"/>
        <w:spacing w:line="432" w:lineRule="auto"/>
        <w:widowControl w:val="off"/>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现场原展馆需拆除</w:t>
      </w:r>
      <w:r>
        <w:rPr>
          <w:rFonts w:hint="default" w:ascii="Times New Roman" w:hAnsi="Times New Roman" w:eastAsia="宋体" w:cs="Times New Roman"/>
          <w:sz w:val="24"/>
          <w:szCs w:val="24"/>
          <w:lang w:val="en-US" w:eastAsia="zh-CN"/>
        </w:rPr>
        <w:t xml:space="preserve">；</w:t>
      </w:r>
      <w:r/>
    </w:p>
    <w:p>
      <w:pPr>
        <w:ind w:firstLine="482"/>
        <w:keepLines w:val="0"/>
        <w:keepNext w:val="0"/>
        <w:pageBreakBefore w:val="0"/>
        <w:spacing w:line="432"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地面主要采用地胶地面，面积</w:t>
      </w:r>
      <w:r>
        <w:rPr>
          <w:rFonts w:hint="eastAsia" w:ascii="Times New Roman" w:hAnsi="Times New Roman" w:eastAsia="宋体" w:cs="Times New Roman"/>
          <w:sz w:val="24"/>
          <w:szCs w:val="24"/>
          <w:lang w:val="en-US" w:eastAsia="zh-CN"/>
        </w:rPr>
        <w:t xml:space="preserve">约320</w:t>
      </w:r>
      <w:r>
        <w:rPr>
          <w:rFonts w:hint="default" w:ascii="Times New Roman" w:hAnsi="Times New Roman" w:eastAsia="宋体" w:cs="Times New Roman"/>
          <w:sz w:val="24"/>
          <w:szCs w:val="24"/>
          <w:lang w:val="en-US" w:eastAsia="zh-CN"/>
        </w:rPr>
        <w:t xml:space="preserve">㎡；</w:t>
      </w:r>
      <w:r/>
    </w:p>
    <w:p>
      <w:pPr>
        <w:ind w:firstLine="482"/>
        <w:keepLines w:val="0"/>
        <w:keepNext w:val="0"/>
        <w:pageBreakBefore w:val="0"/>
        <w:spacing w:line="432" w:lineRule="auto"/>
        <w:widowControl w:val="off"/>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墙面主要采用</w:t>
      </w:r>
      <w:r>
        <w:rPr>
          <w:rFonts w:hint="eastAsia" w:ascii="Times New Roman" w:hAnsi="Times New Roman" w:eastAsia="宋体" w:cs="Times New Roman"/>
          <w:sz w:val="24"/>
          <w:szCs w:val="24"/>
          <w:lang w:val="en-US" w:eastAsia="zh-CN"/>
        </w:rPr>
        <w:t xml:space="preserve">轻钢龙骨墙面</w:t>
      </w:r>
      <w:r>
        <w:rPr>
          <w:rFonts w:hint="default" w:ascii="Times New Roman" w:hAnsi="Times New Roman" w:eastAsia="宋体" w:cs="Times New Roman"/>
          <w:sz w:val="24"/>
          <w:szCs w:val="24"/>
          <w:lang w:val="en-US" w:eastAsia="zh-CN"/>
        </w:rPr>
        <w:t xml:space="preserve">，面积</w:t>
      </w:r>
      <w:r>
        <w:rPr>
          <w:rFonts w:hint="eastAsia" w:ascii="Times New Roman" w:hAnsi="Times New Roman" w:eastAsia="宋体" w:cs="Times New Roman"/>
          <w:sz w:val="24"/>
          <w:szCs w:val="24"/>
          <w:lang w:val="en-US" w:eastAsia="zh-CN"/>
        </w:rPr>
        <w:t xml:space="preserve">约530</w:t>
      </w:r>
      <w:r>
        <w:rPr>
          <w:rFonts w:hint="default" w:ascii="Times New Roman" w:hAnsi="Times New Roman" w:eastAsia="宋体" w:cs="Times New Roman"/>
          <w:sz w:val="24"/>
          <w:szCs w:val="24"/>
          <w:lang w:val="en-US" w:eastAsia="zh-CN"/>
        </w:rPr>
        <w:t xml:space="preserve">㎡；</w:t>
      </w:r>
      <w:r/>
    </w:p>
    <w:p>
      <w:pPr>
        <w:ind w:firstLine="482"/>
        <w:keepLines w:val="0"/>
        <w:keepNext w:val="0"/>
        <w:pageBreakBefore w:val="0"/>
        <w:spacing w:line="432" w:lineRule="auto"/>
        <w:widowControl w:val="off"/>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顶面主要采用石膏板吊顶、铝方通吊顶,其中石膏板吊顶</w:t>
      </w:r>
      <w:r>
        <w:rPr>
          <w:rFonts w:hint="eastAsia" w:ascii="Times New Roman" w:hAnsi="Times New Roman" w:eastAsia="宋体" w:cs="Times New Roman"/>
          <w:sz w:val="24"/>
          <w:szCs w:val="24"/>
          <w:lang w:val="en-US" w:eastAsia="zh-CN"/>
        </w:rPr>
        <w:t xml:space="preserve">约90</w:t>
      </w:r>
      <w:r>
        <w:rPr>
          <w:rFonts w:hint="default" w:ascii="Times New Roman" w:hAnsi="Times New Roman" w:eastAsia="宋体" w:cs="Times New Roman"/>
          <w:sz w:val="24"/>
          <w:szCs w:val="24"/>
          <w:lang w:val="en-US" w:eastAsia="zh-CN"/>
        </w:rPr>
        <w:t xml:space="preserve">㎡，铝方通吊顶</w:t>
      </w:r>
      <w:r>
        <w:rPr>
          <w:rFonts w:hint="eastAsia" w:ascii="Times New Roman" w:hAnsi="Times New Roman" w:eastAsia="宋体" w:cs="Times New Roman"/>
          <w:sz w:val="24"/>
          <w:szCs w:val="24"/>
          <w:lang w:val="en-US" w:eastAsia="zh-CN"/>
        </w:rPr>
        <w:t xml:space="preserve">约190</w:t>
      </w:r>
      <w:r>
        <w:rPr>
          <w:rFonts w:hint="default"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lang w:val="en-US" w:eastAsia="zh-CN"/>
        </w:rPr>
        <w:t xml:space="preserve">；</w:t>
      </w:r>
      <w:r/>
    </w:p>
    <w:p>
      <w:pPr>
        <w:ind w:firstLine="482"/>
        <w:keepLines w:val="0"/>
        <w:keepNext w:val="0"/>
        <w:pageBreakBefore w:val="0"/>
        <w:spacing w:line="432" w:lineRule="auto"/>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按照展馆需求，强弱电管线改造、布置基础照明灯具、开关、插座改造安装（部分管线、灯具、开关、插座利旧）；含进户主电缆。</w:t>
      </w:r>
      <w:r/>
    </w:p>
    <w:p>
      <w:pPr>
        <w:ind w:firstLine="482"/>
        <w:keepLines w:val="0"/>
        <w:keepNext w:val="0"/>
        <w:pageBreakBefore w:val="0"/>
        <w:spacing w:line="432" w:lineRule="auto"/>
        <w:widowControl w:val="off"/>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展厅艺术布展要求</w:t>
      </w:r>
      <w:r/>
    </w:p>
    <w:p>
      <w:pPr>
        <w:ind w:firstLine="482"/>
        <w:keepLines w:val="0"/>
        <w:keepNext w:val="0"/>
        <w:pageBreakBefore w:val="0"/>
        <w:spacing w:line="432" w:lineRule="auto"/>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按照展厅需求，布置美工展陈，包括艺术展板、不锈钢精品烤漆立体字、亚克力精品雕刻字、艺术画面等制作安装。</w:t>
      </w:r>
      <w:r/>
    </w:p>
    <w:p>
      <w:pPr>
        <w:ind w:firstLine="482"/>
        <w:keepLines w:val="0"/>
        <w:keepNext w:val="0"/>
        <w:pageBreakBefore w:val="0"/>
        <w:spacing w:line="432" w:lineRule="auto"/>
        <w:widowControl w:val="off"/>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设置3个</w:t>
      </w:r>
      <w:r>
        <w:rPr>
          <w:rFonts w:hint="default" w:ascii="Times New Roman" w:hAnsi="Times New Roman" w:eastAsia="宋体" w:cs="Times New Roman"/>
          <w:sz w:val="24"/>
          <w:szCs w:val="24"/>
        </w:rPr>
        <w:t xml:space="preserve">一级标艺术装置；</w:t>
      </w:r>
      <w:r>
        <w:rPr>
          <w:rFonts w:hint="eastAsia" w:ascii="Times New Roman" w:hAnsi="Times New Roman" w:eastAsia="宋体" w:cs="Times New Roman"/>
          <w:sz w:val="24"/>
          <w:szCs w:val="24"/>
          <w:lang w:val="en-US" w:eastAsia="zh-CN"/>
        </w:rPr>
        <w:t xml:space="preserve">定制艺术烤漆地台约22</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定制陈列展示柜约18</w:t>
      </w:r>
      <w:r>
        <w:rPr>
          <w:rFonts w:hint="default"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；定制服务台</w:t>
      </w:r>
      <w:r>
        <w:rPr>
          <w:rFonts w:hint="eastAsia" w:ascii="Times New Roman" w:hAnsi="Times New Roman" w:eastAsia="宋体" w:cs="Times New Roman"/>
          <w:sz w:val="24"/>
          <w:szCs w:val="24"/>
          <w:lang w:val="en-US" w:eastAsia="zh-CN"/>
        </w:rPr>
        <w:t xml:space="preserve">约2m；布置1处立体贺卡场景；定制木质烤漆展台约7m；定制悬挑展柜约2.5m；设置1处烈士专题故事展项；定制“全民抗日战争”大型场景还原约40㎡；设置定制军火箱造型展示及氛围布置；设置英烈英名展示纪念墙约32㎡；设置1处书本造型装置；设置定制艺术星空顶约35㎡；设置入户牌匾；包括但不限于以上</w:t>
      </w:r>
      <w:r>
        <w:rPr>
          <w:rFonts w:hint="default" w:ascii="Times New Roman" w:hAnsi="Times New Roman" w:eastAsia="宋体" w:cs="Times New Roman"/>
          <w:sz w:val="24"/>
          <w:szCs w:val="24"/>
        </w:rPr>
        <w:t xml:space="preserve">展厅艺术布展</w:t>
      </w:r>
      <w:r>
        <w:rPr>
          <w:rFonts w:hint="eastAsia" w:ascii="Times New Roman" w:hAnsi="Times New Roman" w:eastAsia="宋体" w:cs="Times New Roman"/>
          <w:sz w:val="24"/>
          <w:szCs w:val="24"/>
          <w:lang w:val="en-US" w:eastAsia="zh-CN"/>
        </w:rPr>
        <w:t xml:space="preserve">形式。</w:t>
      </w:r>
      <w:r/>
    </w:p>
    <w:p>
      <w:pPr>
        <w:ind w:firstLine="482"/>
        <w:keepLines w:val="0"/>
        <w:keepNext w:val="0"/>
        <w:pageBreakBefore w:val="0"/>
        <w:spacing w:line="432" w:lineRule="auto"/>
        <w:widowControl w:val="off"/>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美陈专业灯光系统部分</w:t>
      </w:r>
      <w:r/>
    </w:p>
    <w:p>
      <w:pPr>
        <w:ind w:firstLine="482"/>
        <w:keepLines w:val="0"/>
        <w:keepNext w:val="0"/>
        <w:pageBreakBefore w:val="0"/>
        <w:spacing w:line="432"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展厅内展品的照明应根据展品的类别确定，严格控制紫外辐射、红外辐射、照度、年曝光量，所有灯具为 LED 灯具。工作过程中无频闪现象，可以进行高清摄像、拍照。 </w:t>
      </w:r>
      <w:r/>
    </w:p>
    <w:p>
      <w:pPr>
        <w:ind w:firstLine="482"/>
        <w:keepLines w:val="0"/>
        <w:keepNext w:val="0"/>
        <w:pageBreakBefore w:val="0"/>
        <w:spacing w:line="432" w:lineRule="auto"/>
        <w:widowControl w:val="off"/>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按照展厅实际需求及设计方案要求布置空调、消防。</w:t>
      </w:r>
      <w:r/>
    </w:p>
    <w:p>
      <w:pPr>
        <w:ind w:firstLine="482"/>
        <w:keepLines w:val="0"/>
        <w:keepNext w:val="0"/>
        <w:pageBreakBefore w:val="0"/>
        <w:spacing w:line="432" w:lineRule="auto"/>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展陈所用设备及智能产品需选用质量达标、技术成熟、性能稳定、品牌信誉良好的产品，满足操作简便、维护高效的实际应用需求，机房设备等确保整个展馆各项功能使用的全部内容。</w:t>
      </w:r>
      <w:r/>
    </w:p>
    <w:p>
      <w:pPr>
        <w:ind w:firstLine="482"/>
        <w:keepLines w:val="0"/>
        <w:keepNext w:val="0"/>
        <w:pageBreakBefore w:val="0"/>
        <w:spacing w:line="432" w:lineRule="auto"/>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整馆LED大屏约2处，总面积约18㎡；像</w:t>
      </w:r>
      <w:r>
        <w:rPr>
          <w:rFonts w:hint="eastAsia" w:ascii="Times New Roman" w:hAnsi="Times New Roman" w:eastAsia="宋体" w:cs="Times New Roman"/>
          <w:sz w:val="24"/>
          <w:szCs w:val="24"/>
          <w:lang w:val="en-US" w:eastAsia="zh-CN"/>
        </w:rPr>
        <w:t xml:space="preserve">素中心距相对偏差：1.5%；白平衡亮度：800-1400cd/㎡（可调）；水平视角：170°；垂直视角：170°；对比度：≥3000：1 亮度/色度校正：支持；驱动方式：恒流驱动；换帧频率：60Hz；刷新频率：P2≥3840Hz，P2.5≥1920Hz，P3≥1920Hz；灰度等级：14Bit，像素失控点：1/100000,无连续失控点；亮度调节范围：自动/手动：1-100%，亮度可随环境亮度的变化自动调节；色温：2000K-18000K可调；节能功能：黑屏模式下节能43%；LED使用寿命：100000H。</w:t>
      </w:r>
      <w:r/>
    </w:p>
    <w:p>
      <w:pPr>
        <w:ind w:firstLine="482"/>
        <w:keepLines w:val="0"/>
        <w:keepNext w:val="0"/>
        <w:pageBreakBefore w:val="0"/>
        <w:spacing w:line="432" w:lineRule="auto"/>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整馆约2台智能触控交互设备，分辨率支持1920* 1080；显示比例:16:9；可视角度:178°(V)/178°(H)；外壳材料:铝型材、钣金、钢化玻璃；主机配置：CPU I5；内存：8G；硬盘：128G；使用寿命:60000(hrs)。</w:t>
      </w:r>
      <w:r/>
    </w:p>
    <w:p>
      <w:pPr>
        <w:ind w:firstLine="482"/>
        <w:keepLines w:val="0"/>
        <w:keepNext w:val="0"/>
        <w:pageBreakBefore w:val="0"/>
        <w:spacing w:before="181" w:line="360" w:lineRule="auto"/>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（6）、展厅多媒体内容要求</w:t>
      </w:r>
      <w:r/>
    </w:p>
    <w:p>
      <w:pPr>
        <w:ind w:firstLine="482"/>
        <w:keepLines w:val="0"/>
        <w:keepNext w:val="0"/>
        <w:pageBreakBefore w:val="0"/>
        <w:spacing w:line="432" w:lineRule="auto"/>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展馆智能化多媒体内容制作需选用高清素材、成熟技术、稳定算法，确保画面流畅无卡顿、交互响应精准无延迟，满足多终端播放、多场景适配的实际应用需求。</w:t>
      </w:r>
      <w:r/>
    </w:p>
    <w:p>
      <w:pPr>
        <w:ind w:firstLine="482"/>
        <w:keepLines w:val="0"/>
        <w:keepNext w:val="0"/>
        <w:pageBreakBefore w:val="0"/>
        <w:spacing w:line="432" w:lineRule="auto"/>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整馆自主研发LED影片播放程序，其中通过混合三维建模渲染、绘画创作、特效动画、影视拍摄与合成技术与一体方式制作大型综合影片1部，约100秒。</w:t>
      </w:r>
      <w:r/>
    </w:p>
    <w:p>
      <w:pPr>
        <w:ind w:firstLine="482"/>
        <w:keepLines w:val="0"/>
        <w:keepNext w:val="0"/>
        <w:pageBreakBefore w:val="0"/>
        <w:spacing w:line="432" w:lineRule="auto"/>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整馆定制触控查询程序，通过点击或手势切换屏幕页面、进行图文信息展示、动态文本展示，整馆约2套定制化查询程序。</w:t>
      </w:r>
      <w:r/>
    </w:p>
    <w:p>
      <w:pPr>
        <w:ind w:firstLine="482"/>
        <w:keepLines w:val="0"/>
        <w:keepNext w:val="0"/>
        <w:pageBreakBefore w:val="0"/>
        <w:spacing w:line="432" w:lineRule="auto"/>
        <w:widowControl w:val="off"/>
        <w:rPr>
          <w:highlight w:val="none"/>
        </w:rPr>
      </w:pPr>
      <w:r>
        <w:rPr>
          <w:rFonts w:hint="eastAsia" w:ascii="Times New Roman" w:hAnsi="Times New Roman" w:eastAsia="宋体" w:cs="Times New Roman"/>
          <w:sz w:val="24"/>
          <w:szCs w:val="24"/>
          <w:lang w:val="en-US" w:eastAsia="zh-CN"/>
        </w:rPr>
        <w:t xml:space="preserve">整馆定制多屏互动程序，通过联动通讯，实现分离的双屏联动展示的互动程序，整馆不约1套定制化查询程序。</w:t>
      </w:r>
      <w:r/>
    </w:p>
    <w:p>
      <w:pPr>
        <w:contextualSpacing/>
        <w:ind w:firstLine="482"/>
        <w:spacing w:line="360" w:lineRule="auto"/>
        <w:rPr>
          <w:rFonts w:hint="default" w:ascii="宋体" w:hAnsi="宋体" w:eastAsia="宋体" w:cs="宋体"/>
          <w:b/>
          <w:bCs/>
          <w:sz w:val="24"/>
          <w:szCs w:val="24"/>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 设计依据 </w:t>
      </w:r>
      <w:r/>
    </w:p>
    <w:p>
      <w:pPr>
        <w:contextualSpacing/>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1.建设部《建筑工程设计文件编制深度规定》(2016年版）；</w:t>
      </w:r>
      <w:r/>
    </w:p>
    <w:p>
      <w:pPr>
        <w:contextualSpacing/>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2.国家有关的规范、标准（包括但不限于以下标准规范）；</w:t>
      </w:r>
      <w:r/>
    </w:p>
    <w:p>
      <w:pPr>
        <w:contextualSpacing/>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3.中华人民共和国工程建设标准强制性条文（房屋建筑部分）； </w:t>
      </w:r>
      <w:r/>
    </w:p>
    <w:p>
      <w:pPr>
        <w:contextualSpacing/>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4.博物馆照明设计规范；</w:t>
      </w:r>
      <w:r/>
    </w:p>
    <w:p>
      <w:pPr>
        <w:contextualSpacing/>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5.建筑内部设计防火规范；</w:t>
      </w:r>
      <w:r/>
    </w:p>
    <w:p>
      <w:pPr>
        <w:contextualSpacing/>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6.建筑装修工程质量验收规范；</w:t>
      </w:r>
      <w:r/>
    </w:p>
    <w:p>
      <w:pPr>
        <w:contextualSpacing/>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7.GB/T 10001.1-2006 标志用公共信息图形符号：通用符号；</w:t>
      </w:r>
      <w:r/>
    </w:p>
    <w:p>
      <w:pPr>
        <w:contextualSpacing/>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8.GB/T 10001.2-2006 标志用公共信息图形符号：旅游休闲符号 ；</w:t>
      </w:r>
      <w:r/>
    </w:p>
    <w:p>
      <w:pPr>
        <w:contextualSpacing/>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9.《博物馆和文物保护单位安全防范系统要求》(GBT16571-2012) ；</w:t>
      </w:r>
      <w:r/>
    </w:p>
    <w:p>
      <w:pPr>
        <w:contextualSpacing/>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10.《文物系统博物馆风险等级和安全防护级别的规定》(GA27-2002) (13)GB/T28181-2011；</w:t>
      </w:r>
      <w:r/>
    </w:p>
    <w:p>
      <w:pPr>
        <w:contextualSpacing/>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11.没有国家标准的，按照江苏省标准及规范执行；</w:t>
      </w:r>
      <w:r/>
    </w:p>
    <w:p>
      <w:pPr>
        <w:contextualSpacing/>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12.其他：现行法律法规及规范要求 。</w:t>
      </w:r>
      <w:r/>
    </w:p>
    <w:p>
      <w:pPr>
        <w:contextualSpacing/>
        <w:ind w:firstLine="482"/>
        <w:spacing w:line="360" w:lineRule="auto"/>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5</w:t>
      </w:r>
      <w:r>
        <w:rPr>
          <w:rFonts w:hint="default" w:ascii="宋体" w:hAnsi="宋体" w:eastAsia="宋体" w:cs="宋体"/>
          <w:b/>
          <w:bCs/>
          <w:color w:val="auto"/>
          <w:sz w:val="24"/>
          <w:szCs w:val="24"/>
        </w:rPr>
        <w:t xml:space="preserve">.</w:t>
      </w:r>
      <w:r>
        <w:rPr>
          <w:rFonts w:hint="eastAsia" w:ascii="宋体" w:hAnsi="宋体" w:eastAsia="宋体" w:cs="宋体"/>
          <w:b/>
          <w:bCs/>
          <w:color w:val="auto"/>
          <w:sz w:val="24"/>
          <w:szCs w:val="24"/>
        </w:rPr>
        <w:t xml:space="preserve">投标方案具体要求</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该项目设计</w:t>
      </w:r>
      <w:r>
        <w:rPr>
          <w:rFonts w:hint="eastAsia" w:ascii="宋体" w:hAnsi="宋体" w:eastAsia="宋体" w:cs="Times New Roman"/>
          <w:sz w:val="24"/>
          <w:szCs w:val="24"/>
          <w:lang w:val="en-US" w:eastAsia="zh-Hans"/>
        </w:rPr>
        <w:t xml:space="preserve">方案</w:t>
      </w:r>
      <w:r>
        <w:rPr>
          <w:rFonts w:hint="eastAsia" w:ascii="宋体" w:hAnsi="宋体" w:eastAsia="宋体" w:cs="Times New Roman"/>
          <w:sz w:val="24"/>
          <w:szCs w:val="24"/>
        </w:rPr>
        <w:t xml:space="preserve">包含但不限于:内容梳理</w:t>
      </w:r>
      <w:r>
        <w:rPr>
          <w:rFonts w:hint="default" w:ascii="宋体" w:hAnsi="宋体" w:eastAsia="宋体" w:cs="Times New Roman"/>
          <w:sz w:val="24"/>
          <w:szCs w:val="24"/>
        </w:rPr>
        <w:t xml:space="preserve">、</w:t>
      </w:r>
      <w:r>
        <w:rPr>
          <w:rFonts w:hint="eastAsia" w:ascii="宋体" w:hAnsi="宋体" w:eastAsia="宋体" w:cs="Times New Roman"/>
          <w:sz w:val="24"/>
          <w:szCs w:val="24"/>
        </w:rPr>
        <w:t xml:space="preserve">展陈设计、展陈布置深化、布展总体规划、流线组织、内容单元的功能区域空间落实、空间总体风格设计、展项方案设计等。项目设计中需将图文、实物、现代多媒体交互手段等有机融合，合理进行功能分区，考虑不同人群的参观需要，强化观众的参与和体验感，有针对性地提供不同层次的参观体验内容。</w:t>
      </w:r>
      <w:r/>
    </w:p>
    <w:p>
      <w:pPr>
        <w:ind w:firstLine="420"/>
        <w:spacing w:line="360" w:lineRule="auto"/>
        <w:rPr>
          <w:rFonts w:hint="default" w:ascii="宋体" w:hAnsi="宋体" w:eastAsia="宋体" w:cs="Times New Roman"/>
          <w:b/>
          <w:sz w:val="24"/>
          <w:szCs w:val="24"/>
          <w:lang w:val="en-US"/>
        </w:rPr>
      </w:pPr>
      <w:r>
        <w:rPr>
          <w:rFonts w:hint="eastAsia" w:ascii="宋体" w:hAnsi="宋体" w:eastAsia="宋体" w:cs="Times New Roman"/>
          <w:sz w:val="24"/>
          <w:szCs w:val="24"/>
        </w:rPr>
        <w:t xml:space="preserve">设计需达到展览馆布展项目初步设计规范要求，并能按初步设计进行施工（制作）图设计，提交设计成果文件的内容深度必须符合国家有关规范要求及本文件的有关规定。</w:t>
      </w:r>
      <w:r/>
    </w:p>
    <w:p>
      <w:pPr>
        <w:numPr>
          <w:ilvl w:val="0"/>
          <w:numId w:val="0"/>
        </w:num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Hans"/>
        </w:rPr>
        <w:t xml:space="preserve">方案</w:t>
      </w:r>
      <w:r>
        <w:rPr>
          <w:rFonts w:hint="eastAsia" w:ascii="宋体" w:hAnsi="宋体" w:eastAsia="宋体" w:cs="Times New Roman"/>
          <w:sz w:val="24"/>
          <w:szCs w:val="24"/>
        </w:rPr>
        <w:t xml:space="preserve">包括</w:t>
      </w:r>
      <w:r>
        <w:rPr>
          <w:rFonts w:hint="eastAsia" w:ascii="宋体" w:hAnsi="宋体" w:eastAsia="宋体" w:cs="Times New Roman"/>
          <w:sz w:val="24"/>
          <w:szCs w:val="24"/>
          <w:lang w:val="en-US" w:eastAsia="zh-Hans"/>
        </w:rPr>
        <w:t xml:space="preserve">但</w:t>
      </w:r>
      <w:r>
        <w:rPr>
          <w:rFonts w:hint="eastAsia" w:ascii="宋体" w:hAnsi="宋体" w:eastAsia="宋体" w:cs="Times New Roman"/>
          <w:sz w:val="24"/>
          <w:szCs w:val="24"/>
        </w:rPr>
        <w:t xml:space="preserve">不限于以下内容：</w:t>
      </w:r>
      <w:r/>
    </w:p>
    <w:p>
      <w:pPr>
        <w:numPr>
          <w:ilvl w:val="0"/>
          <w:numId w:val="6"/>
        </w:numPr>
        <w:ind w:left="420"/>
        <w:jc w:val="both"/>
        <w:spacing w:before="161" w:line="24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项目理解</w:t>
      </w:r>
      <w:r/>
    </w:p>
    <w:p>
      <w:pPr>
        <w:numPr>
          <w:ilvl w:val="0"/>
          <w:numId w:val="6"/>
        </w:numPr>
        <w:ind w:left="420"/>
        <w:jc w:val="both"/>
        <w:spacing w:before="161" w:line="24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效果图</w:t>
      </w:r>
      <w:r/>
    </w:p>
    <w:p>
      <w:pPr>
        <w:numPr>
          <w:ilvl w:val="0"/>
          <w:numId w:val="6"/>
        </w:numPr>
        <w:ind w:left="420"/>
        <w:jc w:val="both"/>
        <w:spacing w:before="161" w:line="24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多媒体技术运用</w:t>
      </w:r>
      <w:r/>
    </w:p>
    <w:p>
      <w:pPr>
        <w:numPr>
          <w:ilvl w:val="0"/>
          <w:numId w:val="6"/>
        </w:numPr>
        <w:ind w:left="420"/>
        <w:jc w:val="both"/>
        <w:spacing w:before="161" w:line="240" w:lineRule="auto"/>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内容凝练与主题深化</w:t>
      </w:r>
      <w:r/>
    </w:p>
    <w:p>
      <w:pPr>
        <w:numPr>
          <w:ilvl w:val="0"/>
          <w:numId w:val="6"/>
        </w:numPr>
        <w:ind w:left="420"/>
        <w:jc w:val="both"/>
        <w:spacing w:before="161" w:line="240" w:lineRule="auto"/>
        <w:widowControl w:val="off"/>
        <w:rPr>
          <w:rFonts w:hint="default" w:ascii="Times New Roman" w:hAnsi="Times New Roman" w:eastAsia="宋体" w:cs="Times New Roman"/>
          <w:sz w:val="24"/>
          <w:szCs w:val="24"/>
          <w:highlight w:val="none"/>
          <w:lang w:val="zh-CN" w:eastAsia="zh-CN" w:bidi="ar-SA"/>
        </w:rPr>
      </w:pPr>
      <w:r>
        <w:rPr>
          <w:rFonts w:hint="eastAsia" w:ascii="Times New Roman" w:hAnsi="Times New Roman" w:eastAsia="宋体" w:cs="Times New Roman"/>
          <w:sz w:val="24"/>
          <w:szCs w:val="24"/>
          <w:highlight w:val="none"/>
          <w:lang w:val="en-US" w:eastAsia="zh-CN" w:bidi="ar-SA"/>
        </w:rPr>
        <w:t xml:space="preserve">展示形式</w:t>
      </w:r>
      <w:r/>
    </w:p>
    <w:p>
      <w:pPr>
        <w:numPr>
          <w:ilvl w:val="0"/>
          <w:numId w:val="6"/>
        </w:numPr>
        <w:ind w:left="420"/>
        <w:jc w:val="both"/>
        <w:spacing w:before="161" w:line="240" w:lineRule="auto"/>
        <w:widowControl w:val="off"/>
        <w:rPr>
          <w:rFonts w:hint="default" w:ascii="Times New Roman" w:hAnsi="Times New Roman" w:eastAsia="宋体" w:cs="Times New Roman"/>
          <w:sz w:val="24"/>
          <w:szCs w:val="24"/>
          <w:highlight w:val="none"/>
          <w:lang w:val="zh-CN" w:eastAsia="zh-CN" w:bidi="ar-SA"/>
        </w:rPr>
      </w:pPr>
      <w:r>
        <w:rPr>
          <w:rFonts w:hint="eastAsia" w:ascii="Times New Roman" w:hAnsi="Times New Roman" w:eastAsia="宋体" w:cs="Times New Roman"/>
          <w:sz w:val="24"/>
          <w:szCs w:val="24"/>
          <w:highlight w:val="none"/>
          <w:lang w:val="en-US" w:eastAsia="zh-CN" w:bidi="ar-SA"/>
        </w:rPr>
        <w:t xml:space="preserve">实施图纸</w:t>
      </w:r>
      <w:r/>
    </w:p>
    <w:p>
      <w:pPr>
        <w:numPr>
          <w:ilvl w:val="0"/>
          <w:numId w:val="6"/>
        </w:numPr>
        <w:ind w:left="420"/>
        <w:jc w:val="both"/>
        <w:spacing w:before="161" w:line="24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平面布局</w:t>
      </w:r>
      <w:r/>
    </w:p>
    <w:p>
      <w:pPr>
        <w:contextualSpacing/>
        <w:ind w:firstLine="482"/>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确保工期的技术措施</w:t>
      </w:r>
      <w:r/>
    </w:p>
    <w:p>
      <w:pPr>
        <w:contextualSpacing/>
        <w:ind w:firstLine="482"/>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 xml:space="preserve">6</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施工依据</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标准及规范必须达到以下现行版的中华人民共和国有关法规的要求，如下列标准及规范要求与标书要求有出入则以较严格者为准。</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《中华人民共和国工程建设标准强制性条文（房屋建筑部分）》</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《建筑工程设计文件编制深度规定》</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《建筑照明设计规范》（GB50034-2004）</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《建筑内部装修设计防火规范》（GB50222）</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《建筑装修工程质量验收规范》（GB50210）</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《展览建筑建筑设计规范》（JGJ218-2010）</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国家、地方其它有关规定。</w:t>
      </w:r>
      <w:r/>
    </w:p>
    <w:p>
      <w:pPr>
        <w:contextualSpacing/>
        <w:ind w:firstLine="480"/>
        <w:spacing w:line="360" w:lineRule="auto"/>
        <w:rPr>
          <w:rFonts w:hint="default" w:ascii="宋体" w:hAnsi="宋体" w:eastAsia="宋体" w:cs="宋体"/>
          <w:color w:val="0000ff"/>
          <w:sz w:val="24"/>
          <w:szCs w:val="24"/>
        </w:rPr>
      </w:pPr>
      <w:r>
        <w:rPr>
          <w:rFonts w:hint="eastAsia" w:ascii="宋体" w:hAnsi="宋体" w:eastAsia="宋体" w:cs="Times New Roman"/>
          <w:sz w:val="24"/>
          <w:szCs w:val="24"/>
        </w:rPr>
        <w:t xml:space="preserve">若设计人使用的标准在本标书的规定外，则应明确说明用于替代的标准或使用规范，并提供所使用的标准，该标准必须是国际公认的同等或更高级的标准。</w:t>
      </w:r>
      <w:r/>
    </w:p>
    <w:p>
      <w:pPr>
        <w:contextualSpacing/>
        <w:ind w:firstLine="482"/>
        <w:spacing w:line="360" w:lineRule="auto"/>
        <w:rPr>
          <w:rFonts w:hint="default" w:ascii="宋体" w:hAnsi="宋体" w:eastAsia="宋体" w:cs="宋体"/>
          <w:b/>
          <w:bCs/>
          <w:sz w:val="24"/>
          <w:szCs w:val="24"/>
        </w:rPr>
      </w:pPr>
      <w:r>
        <w:rPr>
          <w:rFonts w:hint="eastAsia" w:ascii="宋体" w:hAnsi="宋体" w:cs="宋体"/>
          <w:b/>
          <w:bCs/>
          <w:sz w:val="24"/>
          <w:szCs w:val="24"/>
          <w:lang w:val="en-US" w:eastAsia="zh-CN"/>
        </w:rPr>
        <w:t xml:space="preserve">7</w:t>
      </w:r>
      <w:r>
        <w:rPr>
          <w:rFonts w:hint="eastAsia" w:ascii="宋体" w:hAnsi="宋体" w:eastAsia="宋体" w:cs="宋体"/>
          <w:b/>
          <w:bCs/>
          <w:sz w:val="24"/>
          <w:szCs w:val="24"/>
        </w:rPr>
        <w:t xml:space="preserve">.多媒体主要材料规格参数</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1、稳定性：应选择成熟的产品和集成方案,设备对供电、通信和气候等外部条件应有良好的适应性；</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2、实用性:以满足展厅展示的基本需求为主，综合考虑经济、维护和管理等因素，将技术的先进性与实用性相结合；</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3、开放性:设备选用要符合国家有关政策和规定，技术上要与通用的国际标准、国家标准及行业规范相一致，并通过有关部门的检测认证，以便不同厂商的设备和资源能在平台上互联互通</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4、可扩展性：考虑到技术的快速发展和今后需求的不断提高，系统应有可扩展、可升级的能力。 </w:t>
      </w:r>
      <w:r/>
    </w:p>
    <w:p>
      <w:pPr>
        <w:ind w:right="21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5、安全性：所有设备和线路必须符合国家有关安全标准，有防漏电、防雷击、接地等环境保障措施，建立必要的管理制度，保障网络信息和设备的安全，有防病毒、防不良信息等功能。</w:t>
      </w:r>
      <w:r/>
    </w:p>
    <w:p>
      <w:pPr>
        <w:contextualSpacing/>
        <w:ind w:firstLine="482"/>
        <w:keepLines w:val="0"/>
        <w:keepNext w:val="0"/>
        <w:pageBreakBefore w:val="0"/>
        <w:spacing w:line="360" w:lineRule="auto"/>
        <w:widowControl w:val="off"/>
        <w:rPr>
          <w:rFonts w:hint="default" w:ascii="宋体" w:hAnsi="宋体" w:eastAsia="宋体" w:cs="宋体"/>
          <w:b/>
          <w:bCs/>
          <w:sz w:val="24"/>
          <w:szCs w:val="24"/>
        </w:rPr>
      </w:pP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.主要材料规格参数品牌表</w:t>
      </w:r>
      <w:r/>
    </w:p>
    <w:p>
      <w:pPr>
        <w:ind w:right="210" w:firstLine="480"/>
        <w:jc w:val="left"/>
        <w:spacing w:line="360" w:lineRule="auto"/>
        <w:rPr>
          <w:rFonts w:hint="default" w:ascii="宋体" w:hAnsi="宋体" w:eastAsia="宋体" w:cs="宋体"/>
          <w:sz w:val="24"/>
          <w:szCs w:val="24"/>
          <w:lang w:val="zh-CN"/>
        </w:rPr>
      </w:pPr>
      <w:r>
        <w:rPr>
          <w:rFonts w:hint="eastAsia" w:ascii="宋体" w:hAnsi="宋体" w:eastAsia="宋体" w:cs="宋体"/>
          <w:sz w:val="24"/>
          <w:szCs w:val="24"/>
          <w:lang w:val="zh-CN"/>
        </w:rPr>
        <w:t xml:space="preserve">项目施工开始后，凡有进场材料设备需先报送样品，经监理单位和建设单位认可后方可组织材料进场，进场的材料设备必须和样品一致并报监理单位和建设单位验收，且符合我国现行相关国家标准和规范，经验收合格的产品方可使用。凡需提供检测报告的材料要提供检有效的第三方测报告。</w:t>
      </w:r>
      <w:r/>
    </w:p>
    <w:p>
      <w:pPr>
        <w:ind w:firstLine="482"/>
        <w:spacing w:line="360" w:lineRule="auto"/>
        <w:rPr>
          <w:rFonts w:hint="default" w:ascii="Times New Roman" w:hAnsi="Times New Roman" w:eastAsia="宋体" w:cs="Times New Roman"/>
          <w:b/>
          <w:sz w:val="24"/>
          <w:szCs w:val="24"/>
          <w:lang w:val="zh-CN" w:bidi="zh-CN"/>
        </w:rPr>
      </w:pPr>
      <w:r>
        <w:rPr>
          <w:rFonts w:hint="eastAsia" w:cs="Times New Roman"/>
          <w:b/>
          <w:sz w:val="24"/>
          <w:szCs w:val="24"/>
          <w:lang w:val="en-US" w:bidi="zh-CN"/>
        </w:rPr>
        <w:t xml:space="preserve">采购人主要材料</w:t>
      </w:r>
      <w:r>
        <w:rPr>
          <w:rFonts w:hint="eastAsia" w:ascii="Times New Roman" w:hAnsi="Times New Roman" w:eastAsia="宋体" w:cs="Times New Roman"/>
          <w:b/>
          <w:sz w:val="24"/>
          <w:szCs w:val="24"/>
          <w:lang w:val="zh-CN" w:bidi="zh-CN"/>
        </w:rPr>
        <w:t xml:space="preserve">品牌</w:t>
      </w:r>
      <w:r>
        <w:rPr>
          <w:rFonts w:hint="eastAsia" w:cs="Times New Roman"/>
          <w:b/>
          <w:sz w:val="24"/>
          <w:szCs w:val="24"/>
          <w:lang w:val="en-US" w:bidi="zh-CN"/>
        </w:rPr>
        <w:t xml:space="preserve">要求</w:t>
      </w:r>
      <w:r>
        <w:rPr>
          <w:rFonts w:hint="eastAsia" w:ascii="Times New Roman" w:hAnsi="Times New Roman" w:eastAsia="宋体" w:cs="Times New Roman"/>
          <w:b/>
          <w:sz w:val="24"/>
          <w:szCs w:val="24"/>
          <w:lang w:val="zh-CN" w:bidi="zh-CN"/>
        </w:rPr>
        <w:t xml:space="preserve">如下表，</w:t>
      </w:r>
      <w:r>
        <w:rPr>
          <w:rFonts w:hint="eastAsia" w:ascii="Times New Roman" w:hAnsi="Times New Roman" w:eastAsia="宋体" w:cs="Times New Roman"/>
          <w:b/>
          <w:sz w:val="24"/>
          <w:szCs w:val="24"/>
        </w:rPr>
        <w:t xml:space="preserve">其他未推荐品牌的材料（辅料）须采用</w:t>
      </w:r>
      <w:r>
        <w:rPr>
          <w:rFonts w:hint="eastAsia" w:ascii="Times New Roman" w:hAnsi="Times New Roman" w:eastAsia="宋体" w:cs="Times New Roman"/>
          <w:b/>
          <w:sz w:val="24"/>
          <w:szCs w:val="24"/>
          <w:lang w:val="en-US" w:eastAsia="zh-CN"/>
        </w:rPr>
        <w:t xml:space="preserve">合格</w:t>
      </w:r>
      <w:r>
        <w:rPr>
          <w:rFonts w:hint="eastAsia" w:ascii="Times New Roman" w:hAnsi="Times New Roman" w:eastAsia="宋体" w:cs="Times New Roman"/>
          <w:b/>
          <w:sz w:val="24"/>
          <w:szCs w:val="24"/>
        </w:rPr>
        <w:t xml:space="preserve">及以上产品</w:t>
      </w:r>
      <w:r>
        <w:rPr>
          <w:rFonts w:hint="eastAsia" w:ascii="Times New Roman" w:hAnsi="Times New Roman" w:eastAsia="宋体" w:cs="Times New Roman"/>
          <w:b/>
          <w:sz w:val="24"/>
          <w:szCs w:val="24"/>
          <w:lang w:val="zh-CN" w:bidi="zh-CN"/>
        </w:rPr>
        <w:t xml:space="preserve">：</w:t>
      </w:r>
      <w:r/>
    </w:p>
    <w:tbl>
      <w:tblPr>
        <w:tblStyle w:val="75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4"/>
        <w:gridCol w:w="3109"/>
        <w:gridCol w:w="4756"/>
      </w:tblGrid>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W w:w="268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推荐品牌</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26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芳茂山</w:t>
            </w:r>
            <w:r>
              <w:rPr>
                <w:rFonts w:hint="eastAsia" w:ascii="宋体" w:hAnsi="宋体" w:eastAsia="宋体" w:cs="宋体"/>
                <w:i w:val="0"/>
                <w:iCs w:val="0"/>
                <w:color w:val="000000"/>
                <w:sz w:val="21"/>
                <w:szCs w:val="21"/>
                <w:u w:val="none"/>
                <w:lang w:val="en-US" w:eastAsia="zh-CN" w:bidi="ar"/>
              </w:rPr>
              <w:t xml:space="preserve">、泰山、龙牌</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乳胶漆</w:t>
            </w:r>
            <w:r/>
          </w:p>
        </w:tc>
        <w:tc>
          <w:tcPr>
            <w:shd w:val="clear" w:color="auto" w:fill="auto"/>
            <w:tcBorders>
              <w:top w:val="single" w:color="000000" w:sz="4" w:space="0"/>
              <w:left w:val="single" w:color="000000" w:sz="4" w:space="0"/>
              <w:bottom w:val="single" w:color="000000" w:sz="4" w:space="0"/>
              <w:right w:val="single" w:color="000000" w:sz="4" w:space="0"/>
            </w:tcBorders>
            <w:tcW w:w="26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立邦、多乐士、三棵树</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阻燃板</w:t>
            </w:r>
            <w:r/>
          </w:p>
        </w:tc>
        <w:tc>
          <w:tcPr>
            <w:shd w:val="clear" w:color="auto" w:fill="auto"/>
            <w:tcBorders>
              <w:top w:val="single" w:color="000000" w:sz="4" w:space="0"/>
              <w:left w:val="single" w:color="000000" w:sz="4" w:space="0"/>
              <w:bottom w:val="single" w:color="000000" w:sz="4" w:space="0"/>
              <w:right w:val="single" w:color="000000" w:sz="4" w:space="0"/>
            </w:tcBorders>
            <w:tcW w:w="26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翔泽、圣景、新天樾</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石膏板</w:t>
            </w:r>
            <w:r/>
          </w:p>
        </w:tc>
        <w:tc>
          <w:tcPr>
            <w:shd w:val="clear" w:color="auto" w:fill="auto"/>
            <w:tcBorders>
              <w:top w:val="single" w:color="000000" w:sz="4" w:space="0"/>
              <w:left w:val="single" w:color="000000" w:sz="4" w:space="0"/>
              <w:bottom w:val="single" w:color="000000" w:sz="4" w:space="0"/>
              <w:right w:val="single" w:color="000000" w:sz="4" w:space="0"/>
            </w:tcBorders>
            <w:tcW w:w="26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泰山、龙牌、可耐福</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26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鑫恒大、科诺博、美龙格</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6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江南、上上、远东</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开关/插座</w:t>
            </w:r>
            <w:r/>
          </w:p>
        </w:tc>
        <w:tc>
          <w:tcPr>
            <w:shd w:val="clear" w:color="auto" w:fill="auto"/>
            <w:tcBorders>
              <w:top w:val="single" w:color="000000" w:sz="4" w:space="0"/>
              <w:left w:val="single" w:color="000000" w:sz="4" w:space="0"/>
              <w:bottom w:val="single" w:color="000000" w:sz="4" w:space="0"/>
              <w:right w:val="single" w:color="000000" w:sz="4" w:space="0"/>
            </w:tcBorders>
            <w:tcW w:w="26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正泰、施耐德、西门子</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常规灯具</w:t>
            </w:r>
            <w:r/>
          </w:p>
        </w:tc>
        <w:tc>
          <w:tcPr>
            <w:shd w:val="clear" w:color="auto" w:fill="auto"/>
            <w:tcBorders>
              <w:top w:val="single" w:color="000000" w:sz="4" w:space="0"/>
              <w:left w:val="single" w:color="000000" w:sz="4" w:space="0"/>
              <w:bottom w:val="single" w:color="000000" w:sz="4" w:space="0"/>
              <w:right w:val="single" w:color="000000" w:sz="4" w:space="0"/>
            </w:tcBorders>
            <w:tcW w:w="26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雷士、欧普、三雄极光</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电箱元器件</w:t>
            </w:r>
            <w:r/>
          </w:p>
        </w:tc>
        <w:tc>
          <w:tcPr>
            <w:shd w:val="clear" w:color="auto" w:fill="auto"/>
            <w:tcBorders>
              <w:top w:val="single" w:color="000000" w:sz="4" w:space="0"/>
              <w:left w:val="single" w:color="000000" w:sz="4" w:space="0"/>
              <w:bottom w:val="single" w:color="000000" w:sz="4" w:space="0"/>
              <w:right w:val="single" w:color="000000" w:sz="4" w:space="0"/>
            </w:tcBorders>
            <w:tcW w:w="26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正泰、施耐德、西门子</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展厅专业射灯</w:t>
            </w:r>
            <w:r/>
          </w:p>
        </w:tc>
        <w:tc>
          <w:tcPr>
            <w:shd w:val="clear" w:color="auto" w:fill="auto"/>
            <w:tcBorders>
              <w:top w:val="single" w:color="000000" w:sz="4" w:space="0"/>
              <w:left w:val="single" w:color="000000" w:sz="4" w:space="0"/>
              <w:bottom w:val="single" w:color="000000" w:sz="4" w:space="0"/>
              <w:right w:val="single" w:color="000000" w:sz="4" w:space="0"/>
            </w:tcBorders>
            <w:tcW w:w="26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美洛华、艺美、超想</w:t>
            </w:r>
            <w:r/>
          </w:p>
        </w:tc>
      </w:tr>
      <w:tr>
        <w:trPr>
          <w:trHeight w:val="700"/>
        </w:trPr>
        <w:tc>
          <w:tcPr>
            <w:shd w:val="clear" w:color="auto" w:fill="auto"/>
            <w:tcBorders>
              <w:top w:val="single" w:color="000000" w:sz="4" w:space="0"/>
              <w:left w:val="single" w:color="000000" w:sz="4" w:space="0"/>
              <w:bottom w:val="single" w:color="auto" w:sz="4" w:space="0"/>
              <w:right w:val="single" w:color="000000"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26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海信、TCL、奥克斯</w:t>
            </w:r>
            <w:r/>
          </w:p>
        </w:tc>
      </w:tr>
      <w:tr>
        <w:trPr>
          <w:trHeight w:val="700"/>
        </w:trPr>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auto" w:sz="4" w:space="0"/>
              <w:bottom w:val="single" w:color="auto" w:sz="4" w:space="0"/>
              <w:right w:val="single" w:color="000000" w:sz="4" w:space="0"/>
            </w:tcBorders>
            <w:tcW w:w="17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LED成像显示设备</w:t>
            </w:r>
            <w:r/>
          </w:p>
        </w:tc>
        <w:tc>
          <w:tcPr>
            <w:shd w:val="clear" w:color="auto" w:fill="auto"/>
            <w:tcBorders>
              <w:top w:val="single" w:color="000000" w:sz="4" w:space="0"/>
              <w:left w:val="single" w:color="000000" w:sz="4" w:space="0"/>
              <w:bottom w:val="single" w:color="auto" w:sz="4" w:space="0"/>
              <w:right w:val="single" w:color="000000" w:sz="4" w:space="0"/>
            </w:tcBorders>
            <w:tcW w:w="26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高科光电、海澜光电、光影大师</w:t>
            </w:r>
            <w:r/>
          </w:p>
        </w:tc>
      </w:tr>
      <w:tr>
        <w:trPr>
          <w:trHeight w:val="700"/>
        </w:trPr>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智能触控交互设备</w:t>
            </w:r>
            <w:r/>
          </w:p>
        </w:tc>
        <w:tc>
          <w:tcPr>
            <w:shd w:val="clear" w:color="auto" w:fill="auto"/>
            <w:tcBorders>
              <w:top w:val="single" w:color="auto" w:sz="4" w:space="0"/>
              <w:left w:val="single" w:color="auto" w:sz="4" w:space="0"/>
              <w:bottom w:val="single" w:color="auto" w:sz="4" w:space="0"/>
              <w:right w:val="single" w:color="auto" w:sz="4" w:space="0"/>
            </w:tcBorders>
            <w:tcW w:w="268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佳腾科技、加视数字、普圣科技</w:t>
            </w:r>
            <w:r/>
          </w:p>
        </w:tc>
      </w:tr>
      <w:tr>
        <w:trPr>
          <w:trHeight w:val="567" w:hRule="exact"/>
        </w:trPr>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轻钢龙骨</w:t>
            </w:r>
            <w:r/>
          </w:p>
        </w:tc>
        <w:tc>
          <w:tcPr>
            <w:shd w:val="clear" w:color="auto" w:fill="auto"/>
            <w:tcBorders>
              <w:top w:val="single" w:color="auto" w:sz="4" w:space="0"/>
              <w:left w:val="single" w:color="auto" w:sz="4" w:space="0"/>
              <w:bottom w:val="single" w:color="auto" w:sz="4" w:space="0"/>
              <w:right w:val="single" w:color="auto" w:sz="4" w:space="0"/>
            </w:tcBorders>
            <w:tcW w:w="2686" w:type="pct"/>
            <w:vAlign w:val="center"/>
            <w:textDirection w:val="lrTb"/>
            <w:noWrap w:val="false"/>
          </w:tcPr>
          <w:p>
            <w:pPr>
              <w:jc w:val="center"/>
              <w:keepLines w:val="0"/>
              <w:keepNext w:val="0"/>
              <w:spacing w:line="240" w:lineRule="auto"/>
              <w:widowControl/>
              <w:rPr>
                <w:rFonts w:hint="default"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芳茂山、尚蔻、泰山</w:t>
            </w:r>
            <w:r/>
          </w:p>
        </w:tc>
      </w:tr>
      <w:tr>
        <w:trP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center"/>
              <w:spacing w:line="240" w:lineRule="auto"/>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乳胶漆</w:t>
            </w:r>
            <w:r/>
          </w:p>
        </w:tc>
        <w:tc>
          <w:tcPr>
            <w:shd w:val="clear" w:color="auto" w:fill="auto"/>
            <w:tcBorders>
              <w:top w:val="single" w:color="auto" w:sz="4" w:space="0"/>
              <w:left w:val="single" w:color="auto" w:sz="4" w:space="0"/>
              <w:bottom w:val="single" w:color="auto" w:sz="4" w:space="0"/>
              <w:right w:val="single" w:color="auto" w:sz="4" w:space="0"/>
            </w:tcBorders>
            <w:tcW w:w="2686" w:type="pct"/>
            <w:vAlign w:val="center"/>
            <w:textDirection w:val="lrTb"/>
            <w:noWrap w:val="false"/>
          </w:tcPr>
          <w:p>
            <w:pPr>
              <w:jc w:val="center"/>
              <w:keepLines w:val="0"/>
              <w:keepNext w:val="0"/>
              <w:spacing w:line="240" w:lineRule="auto"/>
              <w:widowControl/>
              <w:rPr>
                <w:rFonts w:hint="default"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立邦、多乐士、三棵树</w:t>
            </w:r>
            <w:r/>
          </w:p>
        </w:tc>
      </w:tr>
      <w:tr>
        <w:trP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阻燃板</w:t>
            </w:r>
            <w:r/>
          </w:p>
        </w:tc>
        <w:tc>
          <w:tcPr>
            <w:shd w:val="clear" w:color="auto" w:fill="auto"/>
            <w:tcBorders>
              <w:top w:val="single" w:color="auto" w:sz="4" w:space="0"/>
              <w:left w:val="single" w:color="auto" w:sz="4" w:space="0"/>
              <w:bottom w:val="single" w:color="auto" w:sz="4" w:space="0"/>
              <w:right w:val="single" w:color="auto" w:sz="4" w:space="0"/>
            </w:tcBorders>
            <w:tcW w:w="2686" w:type="pct"/>
            <w:vAlign w:val="center"/>
            <w:textDirection w:val="lrTb"/>
            <w:noWrap w:val="false"/>
          </w:tcPr>
          <w:p>
            <w:pPr>
              <w:jc w:val="center"/>
              <w:keepLines w:val="0"/>
              <w:keepNext w:val="0"/>
              <w:spacing w:line="240" w:lineRule="auto"/>
              <w:widowControl/>
              <w:rPr>
                <w:rFonts w:hint="default"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圣景、康顺、名杉</w:t>
            </w:r>
            <w:r/>
          </w:p>
        </w:tc>
      </w:tr>
      <w:tr>
        <w:trP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石膏板</w:t>
            </w:r>
            <w:r/>
          </w:p>
        </w:tc>
        <w:tc>
          <w:tcPr>
            <w:shd w:val="clear" w:color="auto" w:fill="auto"/>
            <w:tcBorders>
              <w:top w:val="single" w:color="auto" w:sz="4" w:space="0"/>
              <w:left w:val="single" w:color="auto" w:sz="4" w:space="0"/>
              <w:bottom w:val="single" w:color="auto" w:sz="4" w:space="0"/>
              <w:right w:val="single" w:color="auto" w:sz="4" w:space="0"/>
            </w:tcBorders>
            <w:tcW w:w="2686" w:type="pct"/>
            <w:vAlign w:val="center"/>
            <w:textDirection w:val="lrTb"/>
            <w:noWrap w:val="false"/>
          </w:tcPr>
          <w:p>
            <w:pPr>
              <w:jc w:val="center"/>
              <w:keepLines w:val="0"/>
              <w:keepNext w:val="0"/>
              <w:spacing w:line="240" w:lineRule="auto"/>
              <w:widowControl/>
              <w:rPr>
                <w:rFonts w:hint="default"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泰山、龙牌、可耐福</w:t>
            </w:r>
            <w:r/>
          </w:p>
        </w:tc>
      </w:tr>
      <w:tr>
        <w:trP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地胶</w:t>
            </w:r>
            <w:r/>
          </w:p>
        </w:tc>
        <w:tc>
          <w:tcPr>
            <w:shd w:val="clear" w:color="auto" w:fill="auto"/>
            <w:tcBorders>
              <w:top w:val="single" w:color="auto" w:sz="4" w:space="0"/>
              <w:left w:val="single" w:color="auto" w:sz="4" w:space="0"/>
              <w:bottom w:val="single" w:color="auto" w:sz="4" w:space="0"/>
              <w:right w:val="single" w:color="auto" w:sz="4" w:space="0"/>
            </w:tcBorders>
            <w:tcW w:w="2686" w:type="pct"/>
            <w:vAlign w:val="center"/>
            <w:textDirection w:val="lrTb"/>
            <w:noWrap w:val="false"/>
          </w:tcPr>
          <w:p>
            <w:pPr>
              <w:jc w:val="center"/>
              <w:keepLines w:val="0"/>
              <w:keepNext w:val="0"/>
              <w:spacing w:line="240" w:lineRule="auto"/>
              <w:widowControl/>
              <w:rPr>
                <w:rFonts w:hint="default"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欧晨、美龙格、龙利</w:t>
            </w:r>
            <w:r/>
          </w:p>
        </w:tc>
      </w:tr>
      <w:tr>
        <w:trP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line="240" w:lineRule="auto"/>
              <w:widowControl/>
              <w:rPr>
                <w:rFonts w:hint="default" w:ascii="宋体" w:hAnsi="宋体" w:eastAsia="宋体" w:cs="宋体"/>
                <w:color w:val="000000"/>
                <w:sz w:val="21"/>
                <w:szCs w:val="21"/>
                <w:highlight w:val="yellow"/>
              </w:rPr>
            </w:pPr>
            <w:r>
              <w:rPr>
                <w:rFonts w:hint="eastAsia" w:ascii="宋体" w:hAnsi="宋体" w:eastAsia="宋体" w:cs="宋体"/>
                <w:color w:val="000000"/>
                <w:sz w:val="21"/>
                <w:szCs w:val="21"/>
              </w:rPr>
              <w:t xml:space="preserve">地砖/墙砖</w:t>
            </w:r>
            <w:r/>
          </w:p>
        </w:tc>
        <w:tc>
          <w:tcPr>
            <w:shd w:val="clear" w:color="auto" w:fill="auto"/>
            <w:tcBorders>
              <w:top w:val="single" w:color="auto" w:sz="4" w:space="0"/>
              <w:left w:val="single" w:color="auto" w:sz="4" w:space="0"/>
              <w:bottom w:val="single" w:color="auto" w:sz="4" w:space="0"/>
              <w:right w:val="single" w:color="auto" w:sz="4" w:space="0"/>
            </w:tcBorders>
            <w:tcW w:w="2686" w:type="pct"/>
            <w:vAlign w:val="center"/>
            <w:textDirection w:val="lrTb"/>
            <w:noWrap w:val="false"/>
          </w:tcPr>
          <w:p>
            <w:pPr>
              <w:jc w:val="center"/>
              <w:keepLines w:val="0"/>
              <w:keepNext w:val="0"/>
              <w:spacing w:line="240" w:lineRule="auto"/>
              <w:widowControl/>
              <w:rPr>
                <w:rFonts w:hint="default"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协进、冠珠、新中源</w:t>
            </w:r>
            <w:r/>
          </w:p>
        </w:tc>
      </w:tr>
      <w:tr>
        <w:trP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电线、电缆</w:t>
            </w:r>
            <w:r/>
          </w:p>
        </w:tc>
        <w:tc>
          <w:tcPr>
            <w:shd w:val="clear" w:color="auto" w:fill="auto"/>
            <w:tcBorders>
              <w:top w:val="single" w:color="auto" w:sz="4" w:space="0"/>
              <w:left w:val="single" w:color="auto" w:sz="4" w:space="0"/>
              <w:bottom w:val="single" w:color="auto" w:sz="4" w:space="0"/>
              <w:right w:val="single" w:color="auto" w:sz="4" w:space="0"/>
            </w:tcBorders>
            <w:tcW w:w="2686" w:type="pct"/>
            <w:vAlign w:val="center"/>
            <w:textDirection w:val="lrTb"/>
            <w:noWrap w:val="false"/>
          </w:tcPr>
          <w:p>
            <w:pPr>
              <w:jc w:val="center"/>
              <w:keepLines w:val="0"/>
              <w:keepNext w:val="0"/>
              <w:spacing w:line="240" w:lineRule="auto"/>
              <w:widowControl/>
              <w:rPr>
                <w:rFonts w:hint="default"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江南、上上、鑫牛</w:t>
            </w:r>
            <w:r/>
          </w:p>
        </w:tc>
      </w:tr>
      <w:tr>
        <w:trP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开关/插座</w:t>
            </w:r>
            <w:r/>
          </w:p>
        </w:tc>
        <w:tc>
          <w:tcPr>
            <w:shd w:val="clear" w:color="auto" w:fill="auto"/>
            <w:tcBorders>
              <w:top w:val="single" w:color="auto" w:sz="4" w:space="0"/>
              <w:left w:val="single" w:color="auto" w:sz="4" w:space="0"/>
              <w:bottom w:val="single" w:color="auto" w:sz="4" w:space="0"/>
              <w:right w:val="single" w:color="auto" w:sz="4" w:space="0"/>
            </w:tcBorders>
            <w:tcW w:w="2686" w:type="pct"/>
            <w:vAlign w:val="center"/>
            <w:textDirection w:val="lrTb"/>
            <w:noWrap w:val="false"/>
          </w:tcPr>
          <w:p>
            <w:pPr>
              <w:jc w:val="center"/>
              <w:keepLines w:val="0"/>
              <w:keepNext w:val="0"/>
              <w:spacing w:line="240" w:lineRule="auto"/>
              <w:widowControl/>
              <w:rPr>
                <w:rFonts w:hint="default"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雷士、松下、罗格朗</w:t>
            </w:r>
            <w:r/>
          </w:p>
        </w:tc>
      </w:tr>
      <w:tr>
        <w:trP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常规灯具</w:t>
            </w:r>
            <w:r/>
          </w:p>
        </w:tc>
        <w:tc>
          <w:tcPr>
            <w:shd w:val="clear" w:color="auto" w:fill="auto"/>
            <w:tcBorders>
              <w:top w:val="single" w:color="auto" w:sz="4" w:space="0"/>
              <w:left w:val="single" w:color="auto" w:sz="4" w:space="0"/>
              <w:bottom w:val="single" w:color="auto" w:sz="4" w:space="0"/>
              <w:right w:val="single" w:color="auto" w:sz="4" w:space="0"/>
            </w:tcBorders>
            <w:tcW w:w="2686" w:type="pct"/>
            <w:vAlign w:val="center"/>
            <w:textDirection w:val="lrTb"/>
            <w:noWrap w:val="false"/>
          </w:tcPr>
          <w:p>
            <w:pPr>
              <w:jc w:val="center"/>
              <w:keepLines w:val="0"/>
              <w:keepNext w:val="0"/>
              <w:spacing w:line="240" w:lineRule="auto"/>
              <w:widowControl/>
              <w:rPr>
                <w:rFonts w:hint="default"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雷士、欧普、飞利浦</w:t>
            </w:r>
            <w:r/>
          </w:p>
        </w:tc>
      </w:tr>
      <w:tr>
        <w:trP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bCs/>
                <w:sz w:val="21"/>
                <w:szCs w:val="21"/>
              </w:rPr>
              <w:t xml:space="preserve">电箱元器件</w:t>
            </w:r>
            <w:r/>
          </w:p>
        </w:tc>
        <w:tc>
          <w:tcPr>
            <w:shd w:val="clear" w:color="auto" w:fill="auto"/>
            <w:tcBorders>
              <w:top w:val="single" w:color="auto" w:sz="4" w:space="0"/>
              <w:left w:val="single" w:color="auto" w:sz="4" w:space="0"/>
              <w:bottom w:val="single" w:color="auto" w:sz="4" w:space="0"/>
              <w:right w:val="single" w:color="auto" w:sz="4" w:space="0"/>
            </w:tcBorders>
            <w:tcW w:w="2686" w:type="pct"/>
            <w:vAlign w:val="center"/>
            <w:textDirection w:val="lrTb"/>
            <w:noWrap w:val="false"/>
          </w:tcPr>
          <w:p>
            <w:pPr>
              <w:jc w:val="center"/>
              <w:keepLines w:val="0"/>
              <w:keepNext w:val="0"/>
              <w:spacing w:line="240" w:lineRule="auto"/>
              <w:widowControl/>
              <w:rPr>
                <w:rFonts w:hint="default"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正泰、良信、上海人民</w:t>
            </w:r>
            <w:r/>
          </w:p>
        </w:tc>
      </w:tr>
      <w:tr>
        <w:trP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line="240" w:lineRule="auto"/>
              <w:widowControl/>
              <w:rPr>
                <w:rFonts w:hint="default" w:ascii="宋体" w:hAnsi="宋体" w:eastAsia="宋体" w:cs="宋体"/>
                <w:bCs/>
                <w:sz w:val="21"/>
                <w:szCs w:val="21"/>
              </w:rPr>
            </w:pPr>
            <w:r>
              <w:rPr>
                <w:rFonts w:hint="eastAsia" w:ascii="宋体" w:hAnsi="宋体" w:eastAsia="宋体" w:cs="宋体"/>
                <w:bCs/>
                <w:sz w:val="21"/>
                <w:szCs w:val="21"/>
              </w:rPr>
              <w:t xml:space="preserve">展厅专业射灯</w:t>
            </w:r>
            <w:r/>
          </w:p>
        </w:tc>
        <w:tc>
          <w:tcPr>
            <w:shd w:val="clear" w:color="auto" w:fill="auto"/>
            <w:tcBorders>
              <w:top w:val="single" w:color="auto" w:sz="4" w:space="0"/>
              <w:left w:val="single" w:color="auto" w:sz="4" w:space="0"/>
              <w:bottom w:val="single" w:color="auto" w:sz="4" w:space="0"/>
              <w:right w:val="single" w:color="auto" w:sz="4" w:space="0"/>
            </w:tcBorders>
            <w:tcW w:w="2686" w:type="pct"/>
            <w:vAlign w:val="center"/>
            <w:textDirection w:val="lrTb"/>
            <w:noWrap w:val="false"/>
          </w:tcPr>
          <w:p>
            <w:pPr>
              <w:jc w:val="center"/>
              <w:keepLines w:val="0"/>
              <w:keepNext w:val="0"/>
              <w:spacing w:line="240" w:lineRule="auto"/>
              <w:widowControl/>
              <w:rPr>
                <w:rFonts w:hint="default" w:ascii="宋体" w:hAnsi="宋体" w:eastAsia="宋体" w:cs="宋体"/>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美洛华、艺美、超想</w:t>
            </w:r>
            <w:r/>
          </w:p>
        </w:tc>
      </w:tr>
      <w:tr>
        <w:trPr>
          <w:trHeight w:val="567" w:hRule="exact"/>
        </w:trPr>
        <w:tc>
          <w:tcPr>
            <w:shd w:val="clear" w:color="auto" w:fill="auto"/>
            <w:tcBorders>
              <w:top w:val="single" w:color="auto" w:sz="4" w:space="0"/>
              <w:left w:val="single" w:color="auto" w:sz="4" w:space="0"/>
              <w:bottom w:val="single" w:color="auto" w:sz="4" w:space="0"/>
              <w:right w:val="single" w:color="auto" w:sz="4" w:space="0"/>
            </w:tcBorders>
            <w:tcW w:w="1082" w:type="dxa"/>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756" w:type="pct"/>
            <w:vAlign w:val="center"/>
            <w:textDirection w:val="lrTb"/>
            <w:noWrap w:val="false"/>
          </w:tcPr>
          <w:p>
            <w:pPr>
              <w:jc w:val="center"/>
              <w:spacing w:line="240" w:lineRule="auto"/>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空调</w:t>
            </w:r>
            <w:r/>
          </w:p>
        </w:tc>
        <w:tc>
          <w:tcPr>
            <w:shd w:val="clear" w:color="auto" w:fill="auto"/>
            <w:tcBorders>
              <w:top w:val="single" w:color="auto" w:sz="4" w:space="0"/>
              <w:left w:val="single" w:color="auto" w:sz="4" w:space="0"/>
              <w:bottom w:val="single" w:color="auto" w:sz="4" w:space="0"/>
              <w:right w:val="single" w:color="auto" w:sz="4" w:space="0"/>
            </w:tcBorders>
            <w:tcW w:w="2686" w:type="pct"/>
            <w:vAlign w:val="center"/>
            <w:textDirection w:val="lrTb"/>
            <w:noWrap w:val="false"/>
          </w:tcPr>
          <w:p>
            <w:pPr>
              <w:jc w:val="center"/>
              <w:keepLines w:val="0"/>
              <w:keepNext w:val="0"/>
              <w:spacing w:line="240" w:lineRule="auto"/>
              <w:widowControl/>
              <w:rPr>
                <w:rFonts w:hint="default"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格力、海尔、美的</w:t>
            </w:r>
            <w:r/>
          </w:p>
        </w:tc>
      </w:tr>
    </w:tbl>
    <w:p>
      <w:pPr>
        <w:ind w:firstLine="480"/>
        <w:spacing w:line="360" w:lineRule="auto"/>
        <w:rPr>
          <w:rFonts w:hint="default" w:ascii="宋体" w:hAnsi="宋体" w:eastAsia="宋体" w:cs="宋体"/>
          <w:b/>
          <w:sz w:val="24"/>
          <w:szCs w:val="24"/>
        </w:rPr>
      </w:pPr>
      <w:r>
        <w:rPr>
          <w:rFonts w:hint="eastAsia" w:ascii="宋体" w:hAnsi="宋体" w:eastAsia="宋体" w:cs="宋体"/>
          <w:sz w:val="24"/>
          <w:szCs w:val="24"/>
        </w:rPr>
        <w:t xml:space="preserve">注：①</w:t>
      </w:r>
      <w:r>
        <w:rPr>
          <w:rFonts w:hint="default" w:ascii="宋体" w:hAnsi="宋体" w:eastAsia="宋体" w:cs="宋体"/>
          <w:b/>
          <w:sz w:val="24"/>
          <w:szCs w:val="24"/>
        </w:rPr>
        <w:t xml:space="preserve">投标人投标时</w:t>
      </w:r>
      <w:r>
        <w:rPr>
          <w:rFonts w:hint="eastAsia" w:ascii="宋体" w:hAnsi="宋体" w:eastAsia="宋体" w:cs="宋体"/>
          <w:b/>
          <w:sz w:val="24"/>
          <w:szCs w:val="24"/>
        </w:rPr>
        <w:t xml:space="preserve">可</w:t>
      </w:r>
      <w:r>
        <w:rPr>
          <w:rFonts w:hint="default" w:ascii="宋体" w:hAnsi="宋体" w:eastAsia="宋体" w:cs="宋体"/>
          <w:b/>
          <w:sz w:val="24"/>
          <w:szCs w:val="24"/>
        </w:rPr>
        <w:t xml:space="preserve">无需选择某一具体品牌，</w:t>
      </w:r>
      <w:r>
        <w:rPr>
          <w:rFonts w:hint="eastAsia" w:ascii="宋体" w:hAnsi="宋体" w:eastAsia="宋体" w:cs="宋体"/>
          <w:b/>
          <w:sz w:val="24"/>
          <w:szCs w:val="24"/>
        </w:rPr>
        <w:t xml:space="preserve">但投标时需承诺使用招标人提供的品牌，</w:t>
      </w:r>
      <w:r>
        <w:rPr>
          <w:rFonts w:hint="default" w:ascii="宋体" w:hAnsi="宋体" w:eastAsia="宋体" w:cs="宋体"/>
          <w:b/>
          <w:sz w:val="24"/>
          <w:szCs w:val="24"/>
        </w:rPr>
        <w:t xml:space="preserve">供货时必须选择其中一种进行供货。</w:t>
      </w:r>
      <w:r>
        <w:rPr>
          <w:rFonts w:hint="default" w:ascii="宋体" w:hAnsi="宋体" w:eastAsia="宋体" w:cs="宋体"/>
          <w:sz w:val="24"/>
          <w:szCs w:val="24"/>
        </w:rPr>
        <w:t xml:space="preserve">如投标人采用推荐品牌以外的其他产品供货的，质量和性能等技术指标必须优于或者相当于推荐品牌，且必须在投标答疑截止时间前向招标人提出，经招标人认可后以答疑文件的形式发出后方可。一旦中标，除发现涉嫌品牌报备、品牌垄断，价格明显高于周边地区市场价，或本地无法供货</w:t>
      </w:r>
      <w:r>
        <w:rPr>
          <w:rFonts w:hint="eastAsia" w:ascii="宋体" w:hAnsi="宋体" w:eastAsia="宋体" w:cs="宋体"/>
          <w:sz w:val="24"/>
          <w:szCs w:val="24"/>
        </w:rPr>
        <w:t xml:space="preserve">，或</w:t>
      </w:r>
      <w:r>
        <w:rPr>
          <w:rFonts w:hint="default" w:ascii="宋体" w:hAnsi="宋体" w:eastAsia="宋体" w:cs="宋体"/>
          <w:sz w:val="24"/>
          <w:szCs w:val="24"/>
        </w:rPr>
        <w:t xml:space="preserve">参考品牌材料设备的供货无法满足本项目工期的要求，提出相关证据经招标人确认外，中标人不得以任何理由更换推荐品牌。</w:t>
      </w:r>
      <w:r>
        <w:rPr>
          <w:rFonts w:hint="eastAsia" w:ascii="宋体" w:hAnsi="宋体" w:eastAsia="宋体" w:cs="宋体"/>
          <w:b/>
          <w:sz w:val="24"/>
          <w:szCs w:val="24"/>
        </w:rPr>
        <w:t xml:space="preserve">投标人未按招标人要求的品牌或招标人答疑后的品牌投标，评标时按无效响应文件处理。</w:t>
      </w:r>
      <w:r/>
    </w:p>
    <w:p>
      <w:pPr>
        <w:ind w:firstLine="480"/>
        <w:spacing w:line="360" w:lineRule="auto"/>
        <w:rPr>
          <w:rFonts w:hint="default" w:ascii="宋体" w:hAnsi="宋体" w:eastAsia="宋体" w:cs="宋体"/>
          <w:b/>
          <w:sz w:val="24"/>
          <w:szCs w:val="24"/>
        </w:rPr>
      </w:pPr>
      <w:r>
        <w:rPr>
          <w:rFonts w:hint="eastAsia" w:ascii="宋体" w:hAnsi="宋体" w:eastAsia="宋体" w:cs="宋体"/>
          <w:sz w:val="24"/>
          <w:szCs w:val="24"/>
        </w:rPr>
        <w:t xml:space="preserve">如符合变更要求，</w:t>
      </w:r>
      <w:r>
        <w:rPr>
          <w:rFonts w:hint="eastAsia" w:ascii="Times New Roman" w:hAnsi="Times New Roman" w:eastAsia="宋体" w:cs="Times New Roman"/>
          <w:sz w:val="24"/>
          <w:szCs w:val="24"/>
        </w:rPr>
        <w:t xml:space="preserve">承包人可提出变更材料设备品牌，但须为</w:t>
      </w:r>
      <w:r>
        <w:rPr>
          <w:rFonts w:hint="eastAsia" w:ascii="宋体" w:hAnsi="宋体" w:eastAsia="宋体" w:cs="宋体"/>
          <w:color w:val="000000"/>
          <w:sz w:val="24"/>
          <w:szCs w:val="24"/>
          <w:highlight w:val="none"/>
          <w:lang w:val="en-US" w:eastAsia="zh-CN"/>
        </w:rPr>
        <w:t xml:space="preserve">磋商文件</w:t>
      </w:r>
      <w:r>
        <w:rPr>
          <w:rFonts w:hint="eastAsia" w:ascii="Times New Roman" w:hAnsi="Times New Roman" w:eastAsia="宋体" w:cs="Times New Roman"/>
          <w:sz w:val="24"/>
          <w:szCs w:val="24"/>
        </w:rPr>
        <w:t xml:space="preserve">参考品牌同档次及以上档次的品牌；发包人有权提出品牌变更，承包人应无条件配合发包人进行品牌变更。未定品牌的材料需按中等及以上档次的品牌选定。发包方有权推荐使用设备品牌。</w:t>
      </w:r>
      <w:r/>
    </w:p>
    <w:p>
      <w:pPr>
        <w:ind w:firstLine="480"/>
        <w:spacing w:line="360" w:lineRule="auto"/>
        <w:rPr>
          <w:rFonts w:hint="default" w:ascii="宋体" w:hAnsi="宋体" w:eastAsia="宋体" w:cs="Adobe 仿宋 Std R"/>
          <w:sz w:val="24"/>
          <w:szCs w:val="24"/>
        </w:rPr>
      </w:pPr>
      <w:r>
        <w:rPr>
          <w:rFonts w:hint="eastAsia" w:ascii="黑体" w:hAnsi="黑体" w:eastAsia="黑体" w:cs="黑体"/>
          <w:sz w:val="24"/>
          <w:szCs w:val="24"/>
        </w:rPr>
        <w:t xml:space="preserve">②</w:t>
      </w:r>
      <w:r>
        <w:rPr>
          <w:rFonts w:hint="default" w:ascii="宋体" w:hAnsi="宋体" w:eastAsia="宋体" w:cs="宋体"/>
          <w:sz w:val="24"/>
          <w:szCs w:val="24"/>
        </w:rPr>
        <w:t xml:space="preserve">招标人或设计单位有</w:t>
      </w:r>
      <w:r>
        <w:rPr>
          <w:rFonts w:hint="eastAsia" w:ascii="宋体" w:hAnsi="宋体" w:eastAsia="宋体" w:cs="宋体"/>
          <w:sz w:val="24"/>
          <w:szCs w:val="24"/>
        </w:rPr>
        <w:t xml:space="preserve">权在</w:t>
      </w:r>
      <w:r>
        <w:rPr>
          <w:rFonts w:hint="default" w:ascii="宋体" w:hAnsi="宋体" w:eastAsia="宋体" w:cs="宋体"/>
          <w:sz w:val="24"/>
          <w:szCs w:val="24"/>
        </w:rPr>
        <w:t xml:space="preserve">颜色</w:t>
      </w:r>
      <w:r>
        <w:rPr>
          <w:rFonts w:hint="eastAsia" w:ascii="宋体" w:hAnsi="宋体" w:eastAsia="宋体" w:cs="宋体"/>
          <w:sz w:val="24"/>
          <w:szCs w:val="24"/>
        </w:rPr>
        <w:t xml:space="preserve">等方面做出适当调整，</w:t>
      </w:r>
      <w:r>
        <w:rPr>
          <w:rFonts w:hint="default" w:ascii="宋体" w:hAnsi="宋体" w:eastAsia="宋体" w:cs="宋体"/>
          <w:sz w:val="24"/>
          <w:szCs w:val="24"/>
        </w:rPr>
        <w:t xml:space="preserve">中标人应无条件服从，材料价格在结算时不作调整。</w:t>
      </w:r>
      <w:r/>
    </w:p>
    <w:p>
      <w:pPr>
        <w:ind w:firstLine="480"/>
        <w:spacing w:line="360" w:lineRule="auto"/>
        <w:rPr>
          <w:rFonts w:hint="default" w:ascii="宋体" w:hAnsi="宋体" w:eastAsia="宋体" w:cs="宋体"/>
          <w:sz w:val="24"/>
          <w:szCs w:val="24"/>
        </w:rPr>
      </w:pPr>
      <w:r>
        <w:rPr>
          <w:rFonts w:hint="eastAsia" w:ascii="黑体" w:hAnsi="黑体" w:eastAsia="黑体" w:cs="黑体"/>
          <w:sz w:val="24"/>
          <w:szCs w:val="24"/>
        </w:rPr>
        <w:t xml:space="preserve">③</w:t>
      </w:r>
      <w:r>
        <w:rPr>
          <w:rFonts w:hint="default" w:ascii="宋体" w:hAnsi="宋体" w:eastAsia="宋体" w:cs="宋体"/>
          <w:sz w:val="24"/>
          <w:szCs w:val="24"/>
        </w:rPr>
        <w:t xml:space="preserve">工程施工时材料进场前须提供样品送招标人、工程监理确认，在得到招标人、工程监理的书面确认后方可将材料组织进场施工；</w:t>
      </w:r>
      <w:r>
        <w:rPr>
          <w:rFonts w:hint="eastAsia" w:ascii="宋体" w:hAnsi="宋体" w:eastAsia="宋体" w:cs="宋体"/>
          <w:sz w:val="24"/>
          <w:szCs w:val="24"/>
        </w:rPr>
        <w:t xml:space="preserve">未经监理单位、招标人书面同意自行采购所发生的损失由中标人自行承担（如设备和材料已进场的，须无条件清出现场；如已用于施工的，须无条件拆除），且工期不因此顺延。如在施工时投标人因种种原因而无法购买的，招标人有权直接采购</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sz w:val="24"/>
          <w:szCs w:val="24"/>
        </w:rPr>
        <w:t xml:space="preserve">中推荐的品牌，采购费用由承包人承担支付，如承包人拒绝支付或不能及时支付的，招标人将在竣工结算中直接扣除。</w:t>
      </w:r>
      <w:r/>
    </w:p>
    <w:p>
      <w:pPr>
        <w:ind w:firstLine="480"/>
        <w:spacing w:line="360" w:lineRule="auto"/>
        <w:rPr>
          <w:rFonts w:hint="default" w:ascii="Times New Roman" w:hAnsi="Times New Roman" w:eastAsia="宋体" w:cs="Times New Roman"/>
          <w:sz w:val="24"/>
          <w:szCs w:val="24"/>
        </w:rPr>
      </w:pPr>
      <w:r>
        <w:rPr>
          <w:rFonts w:hint="eastAsia" w:ascii="宋体" w:hAnsi="宋体" w:eastAsia="宋体" w:cs="宋体"/>
          <w:sz w:val="24"/>
          <w:szCs w:val="24"/>
        </w:rPr>
        <w:t xml:space="preserve">④</w:t>
      </w:r>
      <w:r>
        <w:rPr>
          <w:rFonts w:hint="eastAsia" w:ascii="Times New Roman" w:hAnsi="Times New Roman" w:eastAsia="宋体" w:cs="Times New Roman"/>
          <w:sz w:val="24"/>
          <w:szCs w:val="24"/>
        </w:rPr>
        <w:t xml:space="preserve">本项目所供货物（设备）必须为原厂原品牌产品，禁止贴牌，一经发现清退已进场和施工所有产品、按合同约定进行处罚，并承担相应的法律责任。</w:t>
      </w:r>
      <w:r/>
    </w:p>
    <w:p>
      <w:pPr>
        <w:contextualSpacing/>
        <w:ind w:firstLine="482"/>
        <w:spacing w:line="360" w:lineRule="auto"/>
        <w:rPr>
          <w:rFonts w:hint="default" w:ascii="宋体" w:hAnsi="宋体" w:eastAsia="宋体" w:cs="宋体"/>
          <w:b/>
          <w:bCs/>
          <w:sz w:val="24"/>
          <w:szCs w:val="24"/>
        </w:rPr>
      </w:pPr>
      <w:r>
        <w:rPr>
          <w:rFonts w:hint="eastAsia" w:ascii="宋体" w:hAnsi="宋体" w:cs="宋体"/>
          <w:b/>
          <w:bCs/>
          <w:sz w:val="24"/>
          <w:szCs w:val="24"/>
          <w:lang w:val="en-US" w:eastAsia="zh-CN"/>
        </w:rPr>
        <w:t xml:space="preserve">9</w:t>
      </w:r>
      <w:r>
        <w:rPr>
          <w:rFonts w:hint="eastAsia" w:ascii="宋体" w:hAnsi="宋体" w:eastAsia="宋体" w:cs="宋体"/>
          <w:b/>
          <w:bCs/>
          <w:sz w:val="24"/>
          <w:szCs w:val="24"/>
        </w:rPr>
        <w:t xml:space="preserve">.质量要求</w:t>
      </w:r>
      <w:r/>
    </w:p>
    <w:p>
      <w:pPr>
        <w:ind w:firstLine="480"/>
        <w:spacing w:line="360" w:lineRule="auto"/>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1、设计按国家及省市现行规范文件和有关甲方要求执行；施工满足国家现行“合格”标准。项目确保按规范和标准验收，且达国家合格标准。</w:t>
      </w:r>
      <w:r/>
    </w:p>
    <w:p>
      <w:pPr>
        <w:ind w:firstLine="480"/>
        <w:spacing w:line="360" w:lineRule="auto"/>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2、工程质量应达到</w:t>
      </w:r>
      <w:r>
        <w:rPr>
          <w:rFonts w:hint="eastAsia" w:ascii="Times New Roman" w:hAnsi="Times New Roman" w:eastAsia="宋体" w:cs="Times New Roman"/>
          <w:sz w:val="24"/>
          <w:szCs w:val="24"/>
        </w:rPr>
        <w:t xml:space="preserve">质量检验评定标准的合格条件，质量标准须达到投标时承诺质量标准。乙方应认真按照现行有效的标准、规范和设计的要求以及甲方、监理工程师发出的指令要求组织施工单位施工，同时应符合国家的相关质量验收管理规定。除政府部门依照法律法规进行的监督检查以外，甲方或其代表以及甲方委托的质量检测部门还可在工程施工期间对本项目建设随时进行监督检查，乙方必须配合做好相关工作。甲方及甲方委托的质量检查部门有权配派代表对本项目的建设过程实施跟踪，并参加定期的进度、质量会议，遇有问题书面向乙方提出。签署监督、检查等以不影响工程施工为前提。</w:t>
      </w:r>
      <w:r/>
    </w:p>
    <w:p>
      <w:pPr>
        <w:ind w:firstLine="480"/>
        <w:spacing w:line="360" w:lineRule="auto"/>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3、所有报价的硬件、软件部分产品，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p>
    <w:p>
      <w:pPr>
        <w:ind w:firstLine="480"/>
        <w:spacing w:line="360" w:lineRule="auto"/>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4、投标单位必须承诺</w:t>
      </w:r>
      <w:r>
        <w:rPr>
          <w:rFonts w:hint="eastAsia" w:ascii="宋体" w:hAnsi="宋体" w:eastAsia="宋体" w:cs="宋体"/>
          <w:color w:val="000000"/>
          <w:sz w:val="24"/>
          <w:szCs w:val="24"/>
          <w:highlight w:val="none"/>
          <w:lang w:val="en-US" w:eastAsia="zh-CN"/>
        </w:rPr>
        <w:t xml:space="preserve">磋商文件</w:t>
      </w:r>
      <w:r>
        <w:rPr>
          <w:rFonts w:hint="eastAsia" w:ascii="Times New Roman" w:hAnsi="Times New Roman" w:eastAsia="宋体" w:cs="Times New Roman"/>
          <w:sz w:val="24"/>
          <w:szCs w:val="24"/>
        </w:rPr>
        <w:t xml:space="preserve">中提出的全部技术规格与要求，如果以其中某些条款不响应时，应在文件中逐条列出，未列出的视同响应。</w:t>
      </w:r>
      <w:r/>
    </w:p>
    <w:p>
      <w:pPr>
        <w:ind w:firstLine="480"/>
        <w:spacing w:line="360" w:lineRule="auto"/>
        <w:rPr>
          <w:rFonts w:hint="default" w:ascii="宋体" w:hAnsi="宋体" w:eastAsia="宋体" w:cs="Calibri"/>
          <w:sz w:val="24"/>
          <w:szCs w:val="24"/>
        </w:rPr>
      </w:pPr>
      <w:r>
        <w:rPr>
          <w:rFonts w:hint="eastAsia" w:ascii="Times New Roman" w:hAnsi="Times New Roman" w:eastAsia="宋体" w:cs="Times New Roman"/>
          <w:sz w:val="24"/>
          <w:szCs w:val="24"/>
        </w:rPr>
        <w:t xml:space="preserve">5、</w:t>
      </w:r>
      <w:r>
        <w:rPr>
          <w:rFonts w:hint="eastAsia" w:ascii="宋体" w:hAnsi="宋体" w:eastAsia="宋体" w:cs="Calibri"/>
          <w:sz w:val="24"/>
          <w:szCs w:val="24"/>
        </w:rPr>
        <w:t xml:space="preserve">验收合格后中标人须向招标人提供相关技术培训。</w:t>
      </w:r>
      <w:r/>
    </w:p>
    <w:p>
      <w:pPr>
        <w:contextualSpacing/>
        <w:ind w:firstLine="482"/>
        <w:spacing w:line="360" w:lineRule="auto"/>
        <w:rPr>
          <w:rFonts w:hint="default" w:ascii="宋体" w:hAnsi="宋体" w:eastAsia="宋体" w:cs="宋体"/>
          <w:b/>
          <w:bCs/>
          <w:sz w:val="24"/>
          <w:szCs w:val="24"/>
        </w:rPr>
      </w:pPr>
      <w:r>
        <w:rPr>
          <w:rFonts w:hint="eastAsia" w:ascii="宋体" w:hAnsi="宋体" w:cs="宋体"/>
          <w:b/>
          <w:bCs/>
          <w:sz w:val="24"/>
          <w:szCs w:val="24"/>
          <w:lang w:val="en-US" w:eastAsia="zh-CN"/>
        </w:rPr>
        <w:t xml:space="preserve">10</w:t>
      </w:r>
      <w:r>
        <w:rPr>
          <w:rFonts w:hint="eastAsia" w:ascii="宋体" w:hAnsi="宋体" w:eastAsia="宋体" w:cs="宋体"/>
          <w:b/>
          <w:bCs/>
          <w:sz w:val="24"/>
          <w:szCs w:val="24"/>
        </w:rPr>
        <w:t xml:space="preserve">.售后服务要求</w:t>
      </w:r>
      <w:r/>
    </w:p>
    <w:p>
      <w:pPr>
        <w:ind w:firstLine="420"/>
        <w:spacing w:line="360" w:lineRule="auto"/>
        <w:widowControl/>
        <w:rPr>
          <w:rFonts w:hint="default" w:ascii="Calibri" w:hAnsi="Calibri" w:eastAsia="宋体" w:cs="Calibri"/>
          <w:sz w:val="24"/>
          <w:szCs w:val="24"/>
        </w:rPr>
      </w:pPr>
      <w:r>
        <w:rPr>
          <w:rFonts w:hint="eastAsia" w:ascii="宋体" w:hAnsi="宋体" w:eastAsia="宋体" w:cs="Calibri"/>
          <w:sz w:val="24"/>
          <w:szCs w:val="24"/>
        </w:rPr>
        <w:t xml:space="preserve">1.在规定的质量保证期内，中标人应对由于设计制作、工艺或材料的缺陷而发生的任何不足或故障负责。质保期内免费负责修理或更换有缺陷的零部件或整机并相应延长此保修期，否则，招标人可采取必要的补救措施，但风险和费用将由中标人承担；质保期满后提供有偿服务，</w:t>
      </w:r>
      <w:r>
        <w:rPr>
          <w:rFonts w:ascii="宋体" w:hAnsi="宋体" w:eastAsia="宋体" w:cs="宋体"/>
          <w:sz w:val="24"/>
          <w:szCs w:val="24"/>
        </w:rPr>
        <w:t xml:space="preserve">响应文件</w:t>
      </w:r>
      <w:r>
        <w:rPr>
          <w:rFonts w:hint="eastAsia" w:ascii="宋体" w:hAnsi="宋体" w:eastAsia="宋体" w:cs="Calibri"/>
          <w:sz w:val="24"/>
          <w:szCs w:val="24"/>
        </w:rPr>
        <w:t xml:space="preserve">中提供质保期内和质保期满后的质保服务措施方案。质保期过后如招标人要求需提供上门维修服务，终身维修并标明保修期后的具体维修维护事宜；中标人应在</w:t>
      </w:r>
      <w:r>
        <w:rPr>
          <w:rFonts w:ascii="宋体" w:hAnsi="宋体" w:eastAsia="宋体" w:cs="宋体"/>
          <w:sz w:val="24"/>
          <w:szCs w:val="24"/>
        </w:rPr>
        <w:t xml:space="preserve">响应文件</w:t>
      </w:r>
      <w:r>
        <w:rPr>
          <w:rFonts w:hint="eastAsia" w:ascii="宋体" w:hAnsi="宋体" w:eastAsia="宋体" w:cs="Calibri"/>
          <w:sz w:val="24"/>
          <w:szCs w:val="24"/>
        </w:rPr>
        <w:t xml:space="preserve">中提供详细具体的售后服务保证条款及承诺。</w:t>
      </w:r>
      <w:r/>
    </w:p>
    <w:p>
      <w:pPr>
        <w:ind w:firstLine="420"/>
        <w:spacing w:line="360" w:lineRule="auto"/>
        <w:widowControl/>
        <w:rPr>
          <w:rFonts w:hint="default" w:ascii="Calibri" w:hAnsi="Calibri" w:eastAsia="宋体" w:cs="Calibri"/>
          <w:sz w:val="24"/>
          <w:szCs w:val="24"/>
        </w:rPr>
      </w:pPr>
      <w:r>
        <w:rPr>
          <w:rFonts w:hint="eastAsia" w:ascii="宋体" w:hAnsi="宋体" w:eastAsia="宋体" w:cs="Calibri"/>
          <w:sz w:val="24"/>
          <w:szCs w:val="24"/>
        </w:rPr>
        <w:t xml:space="preserve">2、免费保修期内需提供7×24小时响应服务，确保2小时内响应，3小时内到达现场，24小时内提供解决方案，如遇重大活动，需提供现场技术支持和服务。</w:t>
      </w:r>
      <w:r/>
    </w:p>
    <w:p>
      <w:pPr>
        <w:ind w:firstLine="420"/>
        <w:spacing w:line="360" w:lineRule="auto"/>
        <w:widowControl/>
        <w:rPr>
          <w:rFonts w:hint="default" w:ascii="Calibri" w:hAnsi="Calibri" w:eastAsia="宋体" w:cs="Calibri"/>
          <w:sz w:val="24"/>
          <w:szCs w:val="24"/>
        </w:rPr>
      </w:pPr>
      <w:r>
        <w:rPr>
          <w:rFonts w:hint="eastAsia" w:ascii="宋体" w:hAnsi="宋体" w:eastAsia="宋体" w:cs="Calibri"/>
          <w:sz w:val="24"/>
          <w:szCs w:val="24"/>
        </w:rPr>
        <w:t xml:space="preserve">3、中标人需至少为招标人提供一周以上时间无偿的现场培训，保证招标人的操作人员可以熟练操作。</w:t>
      </w:r>
      <w:r/>
    </w:p>
    <w:p>
      <w:pPr>
        <w:ind w:firstLine="482"/>
        <w:spacing w:line="360" w:lineRule="auto"/>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rPr>
        <w:t xml:space="preserve">四、知识产权</w:t>
      </w:r>
      <w:r/>
    </w:p>
    <w:p>
      <w:pPr>
        <w:ind w:firstLine="480"/>
        <w:spacing w:line="360" w:lineRule="auto"/>
        <w:rPr>
          <w:rFonts w:hint="eastAsia" w:ascii="Times New Roman" w:hAnsi="Times New Roman" w:eastAsia="宋体" w:cs="Times New Roman"/>
          <w:szCs w:val="21"/>
        </w:rPr>
      </w:pPr>
      <w:r>
        <w:rPr>
          <w:rFonts w:hint="eastAsia" w:ascii="Times New Roman" w:hAnsi="Times New Roman" w:eastAsia="宋体" w:cs="Times New Roman"/>
          <w:sz w:val="24"/>
          <w:szCs w:val="24"/>
        </w:rPr>
        <w:t xml:space="preserve">所有投标人必须是其参与本次招标所递交成果的合法权利人，且知识产权不得侵犯他人知识产权。如有所递交成果侵犯他人知识产权的情况发生，由投标人承担相应法律责任，招标人对此不承担任何责任。</w:t>
      </w:r>
      <w:r/>
    </w:p>
    <w:p>
      <w:pPr>
        <w:pStyle w:val="1157"/>
        <w:ind w:firstLine="480"/>
        <w:jc w:val="both"/>
        <w:spacing w:beforeAutospacing="0" w:afterAutospacing="0" w:line="360" w:lineRule="auto"/>
        <w:rPr>
          <w:rFonts w:ascii="宋体" w:hAnsi="宋体"/>
          <w:b/>
          <w:bCs/>
          <w:color w:val="auto"/>
          <w:sz w:val="24"/>
          <w:szCs w:val="24"/>
          <w:highlight w:val="none"/>
        </w:rPr>
      </w:pPr>
      <w:r/>
      <w:bookmarkStart w:id="164" w:name="_Toc195778618"/>
      <w:r/>
      <w:bookmarkStart w:id="165" w:name="_Toc166856202"/>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rPr>
        <w:t xml:space="preserve">、采购标的对应的中小企业划分标准所属行业一览表</w:t>
      </w:r>
      <w:r/>
    </w:p>
    <w:tbl>
      <w:tblPr>
        <w:tblStyle w:val="757"/>
        <w:tblW w:w="847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76"/>
        <w:gridCol w:w="4879"/>
        <w:gridCol w:w="2721"/>
      </w:tblGrid>
      <w:tr>
        <w:trPr>
          <w:jc w:val="center"/>
          <w:tblCellSpacing w:w="0" w:type="dxa"/>
          <w:trHeight w:val="804"/>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57"/>
              <w:jc w:val="center"/>
              <w:spacing w:beforeAutospacing="0" w:afterAutospacing="0"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879" w:type="dxa"/>
            <w:vAlign w:val="center"/>
            <w:textDirection w:val="lrTb"/>
            <w:noWrap w:val="false"/>
          </w:tcPr>
          <w:p>
            <w:pPr>
              <w:pStyle w:val="1157"/>
              <w:jc w:val="center"/>
              <w:spacing w:beforeAutospacing="0" w:afterAutospacing="0"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1157"/>
              <w:jc w:val="center"/>
              <w:spacing w:beforeAutospacing="0" w:afterAutospacing="0"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对应中小企业划分标准所属行业</w:t>
            </w:r>
            <w:r/>
          </w:p>
        </w:tc>
      </w:tr>
      <w:tr>
        <w:trPr>
          <w:jc w:val="center"/>
          <w:tblCellSpacing w:w="0" w:type="dxa"/>
          <w:trHeight w:val="760"/>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1157"/>
              <w:jc w:val="center"/>
              <w:spacing w:beforeAutospacing="0" w:afterAutospacing="0"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879" w:type="dxa"/>
            <w:vAlign w:val="center"/>
            <w:textDirection w:val="lrTb"/>
            <w:noWrap w:val="false"/>
          </w:tcPr>
          <w:p>
            <w:pPr>
              <w:pStyle w:val="1157"/>
              <w:jc w:val="center"/>
              <w:spacing w:beforeAutospacing="0" w:afterAutospacing="0"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阜宁革命烈士纪念馆重新布展项目</w:t>
            </w:r>
            <w:bookmarkEnd w:id="164"/>
            <w:r/>
            <w:bookmarkEnd w:id="165"/>
            <w:r/>
            <w:r/>
          </w:p>
        </w:tc>
        <w:tc>
          <w:tcPr>
            <w:tcBorders>
              <w:top w:val="single" w:color="000000" w:sz="4" w:space="0"/>
              <w:left w:val="single" w:color="000000" w:sz="4" w:space="0"/>
              <w:bottom w:val="single" w:color="000000" w:sz="4" w:space="0"/>
              <w:right w:val="single" w:color="000000" w:sz="4" w:space="0"/>
            </w:tcBorders>
            <w:tcW w:w="2721" w:type="dxa"/>
            <w:vAlign w:val="center"/>
            <w:textDirection w:val="lrTb"/>
            <w:noWrap w:val="false"/>
          </w:tcPr>
          <w:p>
            <w:pPr>
              <w:pStyle w:val="1157"/>
              <w:jc w:val="center"/>
              <w:spacing w:beforeAutospacing="0" w:afterAutospacing="0"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其他未列明行业</w:t>
            </w:r>
            <w:r/>
          </w:p>
        </w:tc>
      </w:tr>
    </w:tbl>
    <w:p>
      <w:pPr>
        <w:spacing w:line="480" w:lineRule="exact"/>
        <w:rPr>
          <w:rFonts w:hint="eastAsia" w:ascii="宋体" w:hAnsi="宋体" w:eastAsia="宋体" w:cs="宋体"/>
          <w:color w:val="auto"/>
          <w:sz w:val="24"/>
          <w:highlight w:val="none"/>
        </w:rPr>
      </w:pPr>
      <w:r/>
      <w:bookmarkStart w:id="166" w:name="_Toc203032706"/>
      <w:r/>
      <w:r/>
    </w:p>
    <w:p>
      <w:pPr>
        <w:pStyle w:val="807"/>
        <w:rPr>
          <w:color w:val="auto"/>
          <w:sz w:val="36"/>
          <w:szCs w:val="36"/>
          <w:highlight w:val="none"/>
        </w:rPr>
      </w:pPr>
      <w:r>
        <w:rPr>
          <w:color w:val="auto"/>
          <w:sz w:val="36"/>
          <w:szCs w:val="36"/>
          <w:highlight w:val="none"/>
        </w:rPr>
      </w:r>
      <w:r/>
    </w:p>
    <w:p>
      <w:pPr>
        <w:pStyle w:val="807"/>
        <w:rPr>
          <w:color w:val="auto"/>
          <w:sz w:val="36"/>
          <w:szCs w:val="36"/>
          <w:highlight w:val="none"/>
        </w:rPr>
      </w:pPr>
      <w:r>
        <w:rPr>
          <w:color w:val="auto"/>
          <w:sz w:val="36"/>
          <w:szCs w:val="36"/>
          <w:highlight w:val="none"/>
        </w:rPr>
      </w:r>
      <w:r/>
    </w:p>
    <w:p>
      <w:pPr>
        <w:pStyle w:val="807"/>
        <w:rPr>
          <w:color w:val="auto"/>
          <w:sz w:val="36"/>
          <w:szCs w:val="36"/>
          <w:highlight w:val="none"/>
        </w:rPr>
      </w:pPr>
      <w:r>
        <w:rPr>
          <w:color w:val="auto"/>
          <w:sz w:val="36"/>
          <w:szCs w:val="36"/>
          <w:highlight w:val="none"/>
        </w:rPr>
      </w:r>
      <w:r/>
    </w:p>
    <w:p>
      <w:pPr>
        <w:pStyle w:val="807"/>
        <w:rPr>
          <w:color w:val="auto"/>
          <w:sz w:val="36"/>
          <w:szCs w:val="36"/>
          <w:highlight w:val="none"/>
        </w:rPr>
      </w:pPr>
      <w:r>
        <w:rPr>
          <w:color w:val="auto"/>
          <w:sz w:val="36"/>
          <w:szCs w:val="36"/>
          <w:highlight w:val="none"/>
        </w:rPr>
      </w:r>
      <w:r/>
    </w:p>
    <w:p>
      <w:pPr>
        <w:pStyle w:val="807"/>
        <w:rPr>
          <w:color w:val="auto"/>
          <w:sz w:val="36"/>
          <w:szCs w:val="36"/>
          <w:highlight w:val="none"/>
        </w:rPr>
      </w:pPr>
      <w:r>
        <w:rPr>
          <w:color w:val="auto"/>
          <w:sz w:val="36"/>
          <w:szCs w:val="36"/>
          <w:highlight w:val="none"/>
        </w:rPr>
      </w:r>
      <w:r/>
    </w:p>
    <w:p>
      <w:pPr>
        <w:pStyle w:val="807"/>
        <w:rPr>
          <w:color w:val="auto"/>
          <w:sz w:val="36"/>
          <w:szCs w:val="36"/>
          <w:highlight w:val="none"/>
        </w:rPr>
      </w:pPr>
      <w:r>
        <w:rPr>
          <w:color w:val="auto"/>
          <w:sz w:val="36"/>
          <w:szCs w:val="36"/>
          <w:highlight w:val="none"/>
        </w:rPr>
      </w:r>
      <w:r/>
    </w:p>
    <w:p>
      <w:pPr>
        <w:pStyle w:val="807"/>
        <w:rPr>
          <w:color w:val="auto"/>
          <w:sz w:val="36"/>
          <w:szCs w:val="36"/>
          <w:highlight w:val="none"/>
        </w:rPr>
      </w:pPr>
      <w:r>
        <w:rPr>
          <w:color w:val="auto"/>
          <w:sz w:val="36"/>
          <w:szCs w:val="36"/>
          <w:highlight w:val="none"/>
        </w:rPr>
      </w:r>
      <w:r/>
    </w:p>
    <w:p>
      <w:pPr>
        <w:pStyle w:val="807"/>
        <w:rPr>
          <w:color w:val="auto"/>
          <w:sz w:val="36"/>
          <w:szCs w:val="36"/>
          <w:highlight w:val="none"/>
        </w:rPr>
      </w:pPr>
      <w:r>
        <w:rPr>
          <w:color w:val="auto"/>
          <w:sz w:val="36"/>
          <w:szCs w:val="36"/>
          <w:highlight w:val="none"/>
        </w:rPr>
      </w:r>
      <w:r/>
    </w:p>
    <w:p>
      <w:pPr>
        <w:pStyle w:val="807"/>
        <w:rPr>
          <w:color w:val="auto"/>
          <w:sz w:val="36"/>
          <w:szCs w:val="36"/>
          <w:highlight w:val="none"/>
        </w:rPr>
      </w:pPr>
      <w:r>
        <w:rPr>
          <w:color w:val="auto"/>
          <w:sz w:val="36"/>
          <w:szCs w:val="36"/>
          <w:highlight w:val="none"/>
        </w:rPr>
      </w:r>
      <w:r/>
    </w:p>
    <w:p>
      <w:pPr>
        <w:pStyle w:val="807"/>
        <w:rPr>
          <w:color w:val="auto"/>
          <w:sz w:val="36"/>
          <w:szCs w:val="36"/>
          <w:highlight w:val="none"/>
        </w:rPr>
      </w:pPr>
      <w:r>
        <w:rPr>
          <w:color w:val="auto"/>
          <w:sz w:val="36"/>
          <w:szCs w:val="36"/>
          <w:highlight w:val="none"/>
        </w:rPr>
      </w:r>
      <w:r/>
    </w:p>
    <w:p>
      <w:pPr>
        <w:pStyle w:val="807"/>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br w:type="page" w:clear="all"/>
      </w:r>
      <w:r/>
    </w:p>
    <w:p>
      <w:pPr>
        <w:jc w:val="center"/>
        <w:widowControl/>
        <w:rPr>
          <w:b/>
          <w:bCs/>
          <w:color w:val="auto"/>
          <w:sz w:val="36"/>
          <w:szCs w:val="36"/>
          <w:highlight w:val="none"/>
        </w:rPr>
      </w:pPr>
      <w:r>
        <w:rPr>
          <w:rFonts w:hint="eastAsia"/>
          <w:b/>
          <w:bCs/>
          <w:color w:val="auto"/>
          <w:sz w:val="36"/>
          <w:szCs w:val="36"/>
          <w:highlight w:val="none"/>
        </w:rPr>
        <w:t xml:space="preserve">第五章 定标原则和评审标准</w:t>
      </w:r>
      <w:bookmarkEnd w:id="166"/>
      <w:r/>
      <w:r/>
    </w:p>
    <w:p>
      <w:pPr>
        <w:pStyle w:val="748"/>
        <w:ind w:firstLine="482"/>
        <w:jc w:val="left"/>
        <w:spacing w:before="0" w:after="0" w:line="560" w:lineRule="exact"/>
        <w:rPr>
          <w:rFonts w:ascii="宋体" w:hAnsi="宋体" w:eastAsia="宋体" w:cs="Courier New"/>
          <w:color w:val="auto"/>
          <w:sz w:val="24"/>
          <w:szCs w:val="24"/>
          <w:highlight w:val="none"/>
        </w:rPr>
      </w:pPr>
      <w:r/>
      <w:bookmarkStart w:id="167" w:name="_Toc166856205"/>
      <w:r/>
      <w:bookmarkStart w:id="168" w:name="_Toc203032707"/>
      <w:r>
        <w:rPr>
          <w:rFonts w:hint="eastAsia" w:ascii="宋体" w:hAnsi="宋体" w:eastAsia="宋体" w:cs="Courier New"/>
          <w:color w:val="auto"/>
          <w:sz w:val="24"/>
          <w:szCs w:val="24"/>
          <w:highlight w:val="none"/>
        </w:rPr>
        <w:t xml:space="preserve">一、磋商小组</w:t>
      </w:r>
      <w:bookmarkEnd w:id="167"/>
      <w:r/>
      <w:bookmarkEnd w:id="168"/>
      <w:r/>
      <w:r/>
    </w:p>
    <w:p>
      <w:pPr>
        <w:ind w:firstLine="360"/>
        <w:spacing w:line="560" w:lineRule="exact"/>
        <w:rPr>
          <w:rFonts w:ascii="宋体" w:hAnsi="宋体" w:cs="宋体"/>
          <w:color w:val="auto"/>
          <w:sz w:val="24"/>
          <w:highlight w:val="none"/>
        </w:rPr>
      </w:pPr>
      <w:r>
        <w:rPr>
          <w:rFonts w:hint="eastAsia" w:ascii="宋体" w:hAnsi="宋体" w:cs="宋体"/>
          <w:color w:val="auto"/>
          <w:sz w:val="24"/>
          <w:highlight w:val="none"/>
        </w:rPr>
        <w:t xml:space="preserve">本采购项目磋商小组的评委由有关专家、采购人代表等相关人员构成。</w:t>
      </w:r>
      <w:r/>
    </w:p>
    <w:p>
      <w:pPr>
        <w:pStyle w:val="748"/>
        <w:ind w:firstLine="482"/>
        <w:jc w:val="left"/>
        <w:spacing w:before="0" w:after="0" w:line="560" w:lineRule="exact"/>
        <w:rPr>
          <w:rFonts w:ascii="宋体" w:hAnsi="宋体" w:eastAsia="宋体" w:cs="Courier New"/>
          <w:color w:val="auto"/>
          <w:sz w:val="24"/>
          <w:szCs w:val="24"/>
          <w:highlight w:val="none"/>
        </w:rPr>
      </w:pPr>
      <w:r/>
      <w:bookmarkStart w:id="169" w:name="_Toc203032708"/>
      <w:r/>
      <w:bookmarkStart w:id="170" w:name="_Toc166856206"/>
      <w:r>
        <w:rPr>
          <w:rFonts w:hint="eastAsia" w:ascii="宋体" w:hAnsi="宋体" w:eastAsia="宋体" w:cs="Courier New"/>
          <w:color w:val="auto"/>
          <w:sz w:val="24"/>
          <w:szCs w:val="24"/>
          <w:highlight w:val="none"/>
        </w:rPr>
        <w:t xml:space="preserve">二、评审方法</w:t>
      </w:r>
      <w:bookmarkEnd w:id="169"/>
      <w:r/>
      <w:bookmarkEnd w:id="170"/>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综合评分法，是指响应文件满足磋商文件全部实质性要求，磋商小组按评审因素的量化指标评审，根据总得分高低排列各供应商次序（评审得分相同的，按照最后报价由低到高的顺序推荐。评审得分且最后报价相同的，按照技术指标优劣顺序推荐），得分最高的供应商为成交候选供应商的评审方法，本项目选取1名成交候选人。</w:t>
      </w:r>
      <w:r/>
    </w:p>
    <w:p>
      <w:pPr>
        <w:pStyle w:val="748"/>
        <w:ind w:firstLine="482"/>
        <w:jc w:val="left"/>
        <w:spacing w:before="0" w:after="0" w:line="560" w:lineRule="exact"/>
        <w:rPr>
          <w:rFonts w:ascii="宋体" w:hAnsi="宋体" w:eastAsia="宋体" w:cs="Courier New"/>
          <w:color w:val="auto"/>
          <w:sz w:val="24"/>
          <w:szCs w:val="24"/>
          <w:highlight w:val="none"/>
        </w:rPr>
      </w:pPr>
      <w:r/>
      <w:bookmarkStart w:id="171" w:name="_Toc166856207"/>
      <w:r/>
      <w:bookmarkStart w:id="172" w:name="_Toc203032709"/>
      <w:r>
        <w:rPr>
          <w:rFonts w:hint="eastAsia" w:ascii="宋体" w:hAnsi="宋体" w:eastAsia="宋体" w:cs="Courier New"/>
          <w:color w:val="auto"/>
          <w:sz w:val="24"/>
          <w:szCs w:val="24"/>
          <w:highlight w:val="none"/>
        </w:rPr>
        <w:t xml:space="preserve">三、政府采购政策功能落实</w:t>
      </w:r>
      <w:bookmarkEnd w:id="171"/>
      <w:r/>
      <w:bookmarkEnd w:id="172"/>
      <w:r/>
      <w:r/>
    </w:p>
    <w:p>
      <w:pPr>
        <w:pStyle w:val="793"/>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rPr>
        <w:suppressLineNumbers w:val="0"/>
      </w:pPr>
      <w:r/>
      <w:bookmarkStart w:id="173" w:name="_Toc166856209"/>
      <w:r>
        <w:rPr>
          <w:rFonts w:hint="eastAsia" w:ascii="宋体" w:hAnsi="宋体" w:eastAsia="宋体" w:cs="宋体"/>
          <w:i w:val="0"/>
          <w:iCs w:val="0"/>
          <w:caps w:val="0"/>
          <w:color w:val="000000"/>
          <w:spacing w:val="0"/>
          <w:sz w:val="24"/>
          <w:szCs w:val="24"/>
          <w:highlight w:val="none"/>
        </w:rPr>
        <w:t xml:space="preserve">1.因本项目属专门面向中小企业采购项目，只接受中小微企业投标，故本项目在评审时，不再对小型和微型企业投标价格给予扣除，请各供应商予以关注。</w:t>
      </w:r>
      <w:r/>
    </w:p>
    <w:p>
      <w:pPr>
        <w:pStyle w:val="793"/>
        <w:ind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eastAsia="宋体" w:cs="宋体"/>
          <w:i w:val="0"/>
          <w:iCs w:val="0"/>
          <w:caps w:val="0"/>
          <w:color w:val="000000"/>
          <w:spacing w:val="0"/>
          <w:sz w:val="24"/>
          <w:szCs w:val="24"/>
          <w:highlight w:val="none"/>
        </w:rPr>
        <w:t xml:space="preserve">2.中小微企业供应商参加本项目政府采购活动的，应当按照采购文件的要求提供相应的《中小企业声明函》。除此之外，供应商无需提供《中小企业声明函》之外的中小企业身份证明文件。</w:t>
      </w:r>
      <w:r/>
    </w:p>
    <w:p>
      <w:pPr>
        <w:pStyle w:val="793"/>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eastAsia="宋体" w:cs="宋体"/>
          <w:i w:val="0"/>
          <w:iCs w:val="0"/>
          <w:caps w:val="0"/>
          <w:color w:val="000000"/>
          <w:spacing w:val="0"/>
          <w:sz w:val="24"/>
          <w:szCs w:val="24"/>
          <w:highlight w:val="none"/>
        </w:rPr>
        <w:t xml:space="preserve">3.企业标准请参照《关于印发中小企业划型标准规定的通知》（工信部联企业[2011]300号）文件规定自行填写。</w:t>
      </w:r>
      <w:r/>
    </w:p>
    <w:p>
      <w:pPr>
        <w:pStyle w:val="793"/>
        <w:ind w:left="0" w:firstLine="480"/>
        <w:keepLines w:val="0"/>
        <w:keepNext w:val="0"/>
        <w:pageBreakBefore w:val="0"/>
        <w:spacing w:beforeAutospacing="0" w:afterAutospacing="0" w:line="480" w:lineRule="exact"/>
        <w:widowControl/>
        <w:rPr>
          <w:rFonts w:hint="eastAsia" w:ascii="宋体" w:hAnsi="宋体" w:eastAsia="宋体" w:cs="宋体"/>
          <w:i w:val="0"/>
          <w:iCs w:val="0"/>
          <w:caps w:val="0"/>
          <w:color w:val="000000"/>
          <w:spacing w:val="0"/>
          <w:sz w:val="24"/>
          <w:szCs w:val="24"/>
          <w:highlight w:val="none"/>
        </w:rPr>
        <w:suppressLineNumbers w:val="0"/>
      </w:pPr>
      <w:r>
        <w:rPr>
          <w:rFonts w:hint="eastAsia" w:ascii="宋体" w:hAnsi="宋体" w:eastAsia="宋体" w:cs="宋体"/>
          <w:i w:val="0"/>
          <w:iCs w:val="0"/>
          <w:caps w:val="0"/>
          <w:color w:val="000000"/>
          <w:spacing w:val="0"/>
          <w:sz w:val="24"/>
          <w:szCs w:val="24"/>
          <w:highlight w:val="none"/>
        </w:rPr>
        <w:t xml:space="preserve">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r/>
    </w:p>
    <w:p>
      <w:pPr>
        <w:pStyle w:val="793"/>
        <w:ind w:left="0" w:firstLine="480"/>
        <w:keepLines w:val="0"/>
        <w:keepNext w:val="0"/>
        <w:pageBreakBefore w:val="0"/>
        <w:spacing w:beforeAutospacing="0" w:afterAutospacing="0" w:line="480" w:lineRule="exact"/>
        <w:widowControl/>
        <w:rPr>
          <w:rFonts w:hint="eastAsia" w:ascii="宋体" w:hAnsi="宋体" w:eastAsia="宋体" w:cs="宋体"/>
          <w:b/>
          <w:color w:val="000000"/>
          <w:sz w:val="24"/>
          <w:szCs w:val="24"/>
          <w:highlight w:val="none"/>
          <w:lang w:eastAsia="zh-CN"/>
        </w:rPr>
        <w:suppressLineNumbers w:val="0"/>
      </w:pPr>
      <w:r>
        <w:rPr>
          <w:rFonts w:hint="eastAsia" w:ascii="宋体" w:hAnsi="宋体" w:eastAsia="宋体" w:cs="宋体"/>
          <w:i w:val="0"/>
          <w:iCs w:val="0"/>
          <w:caps w:val="0"/>
          <w:color w:val="000000"/>
          <w:spacing w:val="0"/>
          <w:sz w:val="24"/>
          <w:szCs w:val="24"/>
          <w:highlight w:val="none"/>
        </w:rPr>
        <w:t xml:space="preserve">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、采购本国产品的支持政策</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rPr>
        <w:t xml:space="preserve">以上时（供应商需在“第六章 </w:t>
      </w:r>
      <w:r>
        <w:rPr>
          <w:rFonts w:ascii="宋体" w:hAnsi="宋体" w:eastAsia="宋体" w:cs="宋体"/>
          <w:sz w:val="24"/>
          <w:szCs w:val="24"/>
        </w:rPr>
        <w:t xml:space="preserve">响应文件</w:t>
      </w:r>
      <w:r>
        <w:rPr>
          <w:rFonts w:hint="eastAsia" w:ascii="宋体" w:hAnsi="宋体" w:eastAsia="宋体" w:cs="宋体"/>
          <w:color w:val="auto"/>
          <w:sz w:val="24"/>
          <w:szCs w:val="24"/>
          <w:highlight w:val="none"/>
        </w:rPr>
        <w:t xml:space="preserve">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供应商需按照</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的要求提供《关于符合本国产品标准的声明函》（以下简称《声明函》），如不提供将不享受本国产品价格评审优惠。</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 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 xml:space="preserve">横</w:t>
      </w:r>
      <w:r>
        <w:rPr>
          <w:rFonts w:hint="eastAsia" w:ascii="宋体" w:hAnsi="宋体" w:eastAsia="宋体" w:cs="宋体"/>
          <w:color w:val="auto"/>
          <w:sz w:val="24"/>
          <w:szCs w:val="24"/>
          <w:highlight w:val="none"/>
        </w:rPr>
        <w:t xml:space="preserve">线划除的地方无需填写），三项信息中任意一项未填写的视为该项产品不符合本国产品标准，不享受本国产品价格评审优惠。</w:t>
      </w:r>
      <w:r/>
    </w:p>
    <w:p>
      <w:pPr>
        <w:ind w:firstLine="480"/>
        <w:jc w:val="left"/>
        <w:keepLines w:val="0"/>
        <w:keepNext w:val="0"/>
        <w:pageBreakBefore w:val="0"/>
        <w:spacing w:line="500" w:lineRule="exact"/>
        <w:rPr>
          <w:rFonts w:hint="eastAsia" w:ascii="宋体" w:hAnsi="宋体" w:eastAsia="宋体" w:cs="宋体"/>
          <w:color w:val="auto"/>
          <w:highlight w:val="none"/>
          <w:u w:val="singl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 xml:space="preserve">在苏采云系统</w:t>
      </w:r>
      <w:r>
        <w:rPr>
          <w:rFonts w:hint="eastAsia" w:ascii="宋体" w:hAnsi="宋体" w:eastAsia="宋体" w:cs="宋体"/>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规定的，供应商提供的相关产品视为不符合本国产品标准。</w:t>
      </w:r>
      <w:r/>
    </w:p>
    <w:p>
      <w:pPr>
        <w:ind w:firstLine="48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、供应商对于投标产品的商品包装、快递包装应按照“财办库〔2020〕123号《关于印发《商品包装政府采购需求标准（试行）》、《快递包装政府采购需求标准（试行）》的通知》”执行。</w:t>
      </w:r>
      <w:r/>
    </w:p>
    <w:p>
      <w:pPr>
        <w:pStyle w:val="748"/>
        <w:ind w:firstLine="482"/>
        <w:jc w:val="left"/>
        <w:spacing w:before="0" w:after="0" w:line="560" w:lineRule="exact"/>
        <w:rPr>
          <w:rFonts w:ascii="宋体" w:hAnsi="宋体" w:eastAsia="宋体" w:cs="Courier New"/>
          <w:color w:val="auto"/>
          <w:sz w:val="24"/>
          <w:szCs w:val="24"/>
          <w:highlight w:val="none"/>
        </w:rPr>
      </w:pPr>
      <w:r/>
      <w:bookmarkStart w:id="174" w:name="_Toc203032710"/>
      <w:r>
        <w:rPr>
          <w:rFonts w:hint="eastAsia" w:ascii="宋体" w:hAnsi="宋体" w:eastAsia="宋体" w:cs="Courier New"/>
          <w:color w:val="auto"/>
          <w:sz w:val="24"/>
          <w:szCs w:val="24"/>
          <w:highlight w:val="none"/>
        </w:rPr>
        <w:t xml:space="preserve">四、评审原则</w:t>
      </w:r>
      <w:bookmarkEnd w:id="173"/>
      <w:r/>
      <w:bookmarkEnd w:id="174"/>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748"/>
        <w:ind w:firstLine="482"/>
        <w:jc w:val="left"/>
        <w:spacing w:before="0" w:after="0" w:line="560" w:lineRule="exact"/>
        <w:rPr>
          <w:rFonts w:ascii="宋体" w:hAnsi="宋体" w:eastAsia="宋体" w:cs="Courier New"/>
          <w:color w:val="auto"/>
          <w:sz w:val="24"/>
          <w:szCs w:val="24"/>
          <w:highlight w:val="none"/>
        </w:rPr>
      </w:pPr>
      <w:r/>
      <w:bookmarkStart w:id="175" w:name="_Toc203032711"/>
      <w:r/>
      <w:bookmarkStart w:id="176" w:name="_Toc166856210"/>
      <w:r>
        <w:rPr>
          <w:rFonts w:hint="eastAsia" w:ascii="宋体" w:hAnsi="宋体" w:eastAsia="宋体" w:cs="Courier New"/>
          <w:color w:val="auto"/>
          <w:sz w:val="24"/>
          <w:szCs w:val="24"/>
          <w:highlight w:val="none"/>
        </w:rPr>
        <w:t xml:space="preserve">五、评分细则</w:t>
      </w:r>
      <w:bookmarkEnd w:id="175"/>
      <w:r/>
      <w:bookmarkEnd w:id="17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评标委员会仅对通过以上评审、确定为实质性响应</w:t>
      </w:r>
      <w:r>
        <w:rPr>
          <w:rFonts w:hint="eastAsia" w:ascii="宋体" w:hAnsi="宋体" w:eastAsia="宋体" w:cs="宋体"/>
          <w:color w:val="000000"/>
          <w:sz w:val="24"/>
          <w:szCs w:val="24"/>
          <w:highlight w:val="none"/>
          <w:lang w:val="en-US" w:eastAsia="zh-CN"/>
        </w:rPr>
        <w:t xml:space="preserve">磋商文件</w:t>
      </w:r>
      <w:r>
        <w:rPr>
          <w:rFonts w:hint="eastAsia" w:ascii="宋体" w:hAnsi="宋体" w:cs="宋体"/>
          <w:color w:val="auto"/>
          <w:sz w:val="24"/>
          <w:highlight w:val="none"/>
        </w:rPr>
        <w:t xml:space="preserve">要求的</w:t>
      </w:r>
      <w:r>
        <w:rPr>
          <w:rFonts w:ascii="宋体" w:hAnsi="宋体" w:eastAsia="宋体" w:cs="宋体"/>
          <w:sz w:val="24"/>
          <w:szCs w:val="24"/>
        </w:rPr>
        <w:t xml:space="preserve">响应文件</w:t>
      </w:r>
      <w:r>
        <w:rPr>
          <w:rFonts w:hint="eastAsia" w:ascii="宋体" w:hAnsi="宋体" w:cs="宋体"/>
          <w:color w:val="auto"/>
          <w:sz w:val="24"/>
          <w:highlight w:val="none"/>
        </w:rPr>
        <w:t xml:space="preserve">进行评价和比较。本次招标的评审方法采用综合评分法，评标委员会将按以下评审方法和标准进行评分，总分值为100分。</w:t>
      </w:r>
      <w:r/>
    </w:p>
    <w:tbl>
      <w:tblPr>
        <w:tblStyle w:val="757"/>
        <w:tblW w:w="10064"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0" w:type="dxa"/>
          <w:top w:w="0" w:type="dxa"/>
          <w:right w:w="0" w:type="dxa"/>
          <w:bottom w:w="0" w:type="dxa"/>
        </w:tblCellMar>
        <w:tblLook w:val="04A0" w:firstRow="1" w:lastRow="0" w:firstColumn="1" w:lastColumn="0" w:noHBand="0" w:noVBand="1"/>
      </w:tblPr>
      <w:tblGrid>
        <w:gridCol w:w="723"/>
        <w:gridCol w:w="613"/>
        <w:gridCol w:w="1098"/>
        <w:gridCol w:w="6972"/>
        <w:gridCol w:w="658"/>
      </w:tblGrid>
      <w:tr>
        <w:trPr>
          <w:jc w:val="center"/>
          <w:trHeight w:val="678"/>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23" w:type="dxa"/>
            <w:vAlign w:val="center"/>
            <w:textDirection w:val="lrTb"/>
            <w:noWrap w:val="false"/>
          </w:tcPr>
          <w:p>
            <w:pPr>
              <w:jc w:val="center"/>
              <w:keepLines w:val="0"/>
              <w:keepNext w:val="0"/>
              <w:pageBreakBefore w:val="0"/>
              <w:spacing w:line="300" w:lineRule="exact"/>
              <w:widowControl w:val="off"/>
              <w:tabs>
                <w:tab w:val="left" w:pos="5940" w:leader="none"/>
              </w:tabs>
              <w:rPr>
                <w:rFonts w:hint="default" w:ascii="宋体" w:hAnsi="宋体" w:eastAsia="宋体" w:cs="Arial Unicode MS"/>
                <w:b/>
                <w:bCs/>
                <w:color w:val="000000"/>
                <w:sz w:val="21"/>
                <w:szCs w:val="21"/>
                <w:u w:val="none"/>
                <w:lang w:val="en-US" w:eastAsia="zh-CN" w:bidi="ar-SA"/>
              </w:rPr>
            </w:pPr>
            <w:r>
              <w:rPr>
                <w:rFonts w:hint="eastAsia" w:ascii="宋体" w:hAnsi="宋体" w:eastAsia="宋体" w:cs="宋体"/>
                <w:b/>
                <w:bCs/>
                <w:color w:val="000000"/>
                <w:sz w:val="21"/>
                <w:szCs w:val="21"/>
                <w:u w:val="none"/>
                <w:lang w:val="zh-TW" w:eastAsia="zh-TW"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3" w:type="dxa"/>
            <w:vAlign w:val="center"/>
            <w:textDirection w:val="lrTb"/>
            <w:noWrap w:val="false"/>
          </w:tcPr>
          <w:p>
            <w:pPr>
              <w:jc w:val="center"/>
              <w:keepLines w:val="0"/>
              <w:keepNext w:val="0"/>
              <w:pageBreakBefore w:val="0"/>
              <w:spacing w:line="300" w:lineRule="exact"/>
              <w:widowControl w:val="off"/>
              <w:tabs>
                <w:tab w:val="left" w:pos="5940" w:leader="none"/>
              </w:tabs>
              <w:rPr>
                <w:rFonts w:hint="default" w:ascii="宋体" w:hAnsi="宋体" w:eastAsia="宋体" w:cs="Arial Unicode MS"/>
                <w:b/>
                <w:bCs/>
                <w:color w:val="000000"/>
                <w:sz w:val="21"/>
                <w:szCs w:val="21"/>
                <w:u w:val="none"/>
                <w:lang w:val="en-US" w:eastAsia="zh-CN" w:bidi="ar-SA"/>
              </w:rPr>
            </w:pPr>
            <w:r>
              <w:rPr>
                <w:rFonts w:hint="eastAsia" w:ascii="宋体" w:hAnsi="宋体" w:eastAsia="宋体" w:cs="宋体"/>
                <w:b/>
                <w:bCs/>
                <w:color w:val="000000"/>
                <w:sz w:val="21"/>
                <w:szCs w:val="21"/>
                <w:u w:val="none"/>
                <w:lang w:val="zh-TW" w:eastAsia="zh-TW" w:bidi="ar-SA"/>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98" w:type="dxa"/>
            <w:vAlign w:val="center"/>
            <w:textDirection w:val="lrTb"/>
            <w:noWrap w:val="false"/>
          </w:tcPr>
          <w:p>
            <w:pPr>
              <w:jc w:val="center"/>
              <w:keepLines w:val="0"/>
              <w:keepNext w:val="0"/>
              <w:pageBreakBefore w:val="0"/>
              <w:spacing w:line="300" w:lineRule="exact"/>
              <w:widowControl w:val="off"/>
              <w:tabs>
                <w:tab w:val="left" w:pos="5940" w:leader="none"/>
              </w:tabs>
              <w:rPr>
                <w:rFonts w:hint="default" w:ascii="宋体" w:hAnsi="宋体" w:eastAsia="宋体" w:cs="Arial Unicode MS"/>
                <w:b/>
                <w:bCs/>
                <w:color w:val="000000"/>
                <w:sz w:val="21"/>
                <w:szCs w:val="21"/>
                <w:u w:val="none"/>
                <w:lang w:val="en-US" w:eastAsia="zh-CN" w:bidi="ar-SA"/>
              </w:rPr>
            </w:pPr>
            <w:r>
              <w:rPr>
                <w:rFonts w:hint="eastAsia" w:ascii="宋体" w:hAnsi="宋体" w:eastAsia="宋体" w:cs="宋体"/>
                <w:b/>
                <w:bCs/>
                <w:color w:val="000000"/>
                <w:sz w:val="21"/>
                <w:szCs w:val="21"/>
                <w:u w:val="none"/>
                <w:lang w:val="zh-TW" w:eastAsia="zh-TW" w:bidi="ar-SA"/>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972" w:type="dxa"/>
            <w:vAlign w:val="center"/>
            <w:textDirection w:val="lrTb"/>
            <w:noWrap w:val="false"/>
          </w:tcPr>
          <w:p>
            <w:pPr>
              <w:jc w:val="center"/>
              <w:keepLines w:val="0"/>
              <w:keepNext w:val="0"/>
              <w:pageBreakBefore w:val="0"/>
              <w:spacing w:line="300" w:lineRule="exact"/>
              <w:widowControl w:val="off"/>
              <w:tabs>
                <w:tab w:val="left" w:pos="5940" w:leader="none"/>
              </w:tabs>
              <w:rPr>
                <w:rFonts w:hint="default" w:ascii="宋体" w:hAnsi="宋体" w:eastAsia="宋体" w:cs="Arial Unicode MS"/>
                <w:b/>
                <w:bCs/>
                <w:color w:val="000000"/>
                <w:sz w:val="21"/>
                <w:szCs w:val="21"/>
                <w:u w:val="none"/>
                <w:lang w:val="en-US" w:eastAsia="zh-CN" w:bidi="ar-SA"/>
              </w:rPr>
            </w:pPr>
            <w:r>
              <w:rPr>
                <w:rFonts w:hint="eastAsia" w:ascii="宋体" w:hAnsi="宋体" w:eastAsia="宋体" w:cs="宋体"/>
                <w:b/>
                <w:bCs/>
                <w:color w:val="000000"/>
                <w:sz w:val="21"/>
                <w:szCs w:val="21"/>
                <w:u w:val="none"/>
                <w:lang w:val="zh-TW" w:eastAsia="zh-TW" w:bidi="ar-SA"/>
              </w:rPr>
              <w:t xml:space="preserve">评</w:t>
            </w:r>
            <w:r>
              <w:rPr>
                <w:rFonts w:hint="eastAsia" w:ascii="宋体" w:hAnsi="宋体" w:eastAsia="宋体" w:cs="宋体"/>
                <w:b/>
                <w:bCs/>
                <w:color w:val="000000"/>
                <w:sz w:val="21"/>
                <w:szCs w:val="21"/>
                <w:u w:val="none"/>
                <w:lang w:val="zh-TW" w:eastAsia="zh-CN" w:bidi="ar-SA"/>
              </w:rPr>
              <w:t xml:space="preserve"> </w:t>
            </w:r>
            <w:r>
              <w:rPr>
                <w:rFonts w:hint="eastAsia" w:ascii="宋体" w:hAnsi="宋体" w:eastAsia="宋体" w:cs="宋体"/>
                <w:b/>
                <w:bCs/>
                <w:color w:val="000000"/>
                <w:sz w:val="21"/>
                <w:szCs w:val="21"/>
                <w:u w:val="none"/>
                <w:lang w:val="zh-TW" w:eastAsia="zh-TW" w:bidi="ar-SA"/>
              </w:rPr>
              <w:t xml:space="preserve">分</w:t>
            </w:r>
            <w:r>
              <w:rPr>
                <w:rFonts w:hint="eastAsia" w:ascii="宋体" w:hAnsi="宋体" w:eastAsia="宋体" w:cs="宋体"/>
                <w:b/>
                <w:bCs/>
                <w:color w:val="000000"/>
                <w:sz w:val="21"/>
                <w:szCs w:val="21"/>
                <w:u w:val="none"/>
                <w:lang w:val="zh-TW" w:eastAsia="zh-CN" w:bidi="ar-SA"/>
              </w:rPr>
              <w:t xml:space="preserve"> </w:t>
            </w:r>
            <w:r>
              <w:rPr>
                <w:rFonts w:hint="eastAsia" w:ascii="宋体" w:hAnsi="宋体" w:eastAsia="宋体" w:cs="宋体"/>
                <w:b/>
                <w:bCs/>
                <w:color w:val="000000"/>
                <w:sz w:val="21"/>
                <w:szCs w:val="21"/>
                <w:u w:val="none"/>
                <w:lang w:val="zh-TW" w:eastAsia="zh-TW" w:bidi="ar-SA"/>
              </w:rPr>
              <w:t xml:space="preserve">标</w:t>
            </w:r>
            <w:r>
              <w:rPr>
                <w:rFonts w:hint="eastAsia" w:ascii="宋体" w:hAnsi="宋体" w:eastAsia="宋体" w:cs="宋体"/>
                <w:b/>
                <w:bCs/>
                <w:color w:val="000000"/>
                <w:sz w:val="21"/>
                <w:szCs w:val="21"/>
                <w:u w:val="none"/>
                <w:lang w:val="zh-TW" w:eastAsia="zh-CN" w:bidi="ar-SA"/>
              </w:rPr>
              <w:t xml:space="preserve"> </w:t>
            </w:r>
            <w:r>
              <w:rPr>
                <w:rFonts w:hint="eastAsia" w:ascii="宋体" w:hAnsi="宋体" w:eastAsia="宋体" w:cs="宋体"/>
                <w:b/>
                <w:bCs/>
                <w:color w:val="000000"/>
                <w:sz w:val="21"/>
                <w:szCs w:val="21"/>
                <w:u w:val="none"/>
                <w:lang w:val="zh-TW" w:eastAsia="zh-TW" w:bidi="ar-SA"/>
              </w:rPr>
              <w:t xml:space="preserve">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jc w:val="center"/>
              <w:keepLines w:val="0"/>
              <w:keepNext w:val="0"/>
              <w:pageBreakBefore w:val="0"/>
              <w:spacing w:line="300" w:lineRule="exact"/>
              <w:widowControl w:val="off"/>
              <w:tabs>
                <w:tab w:val="left" w:pos="5940" w:leader="none"/>
              </w:tabs>
              <w:rPr>
                <w:rFonts w:hint="default" w:ascii="宋体" w:hAnsi="宋体" w:eastAsia="宋体" w:cs="Arial Unicode MS"/>
                <w:b/>
                <w:bCs/>
                <w:color w:val="000000"/>
                <w:sz w:val="21"/>
                <w:szCs w:val="21"/>
                <w:u w:val="none"/>
                <w:lang w:val="en-US" w:eastAsia="zh-CN" w:bidi="ar-SA"/>
              </w:rPr>
            </w:pPr>
            <w:r>
              <w:rPr>
                <w:rFonts w:hint="eastAsia" w:ascii="宋体" w:hAnsi="宋体" w:eastAsia="宋体" w:cs="宋体"/>
                <w:b/>
                <w:bCs/>
                <w:color w:val="000000"/>
                <w:sz w:val="21"/>
                <w:szCs w:val="21"/>
                <w:u w:val="none"/>
                <w:lang w:val="zh-TW" w:eastAsia="zh-TW" w:bidi="ar-SA"/>
              </w:rPr>
              <w:t xml:space="preserve">备注</w:t>
            </w:r>
            <w:r/>
          </w:p>
        </w:tc>
      </w:tr>
      <w:tr>
        <w:trPr>
          <w:jc w:val="center"/>
          <w:trHeight w:val="618"/>
        </w:trPr>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4"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u w:val="none"/>
                <w:lang w:val="en-US" w:eastAsia="zh-CN" w:bidi="ar-SA"/>
              </w:rPr>
            </w:pPr>
            <w:r>
              <w:rPr>
                <w:rFonts w:hint="eastAsia" w:ascii="宋体" w:hAnsi="宋体" w:eastAsia="宋体" w:cs="宋体"/>
                <w:b w:val="0"/>
                <w:bCs w:val="0"/>
                <w:color w:val="000000"/>
                <w:sz w:val="21"/>
                <w:szCs w:val="21"/>
                <w:u w:val="none"/>
                <w:lang w:val="zh-TW" w:eastAsia="zh-TW" w:bidi="ar-SA"/>
              </w:rPr>
              <w:t xml:space="preserve">一、投标报价得分（</w:t>
            </w:r>
            <w:r>
              <w:rPr>
                <w:rFonts w:hint="eastAsia" w:ascii="宋体" w:hAnsi="宋体" w:cs="宋体"/>
                <w:b w:val="0"/>
                <w:bCs w:val="0"/>
                <w:color w:val="000000"/>
                <w:sz w:val="21"/>
                <w:szCs w:val="21"/>
                <w:u w:val="none"/>
                <w:lang w:val="en-US" w:eastAsia="zh-CN" w:bidi="ar-SA"/>
              </w:rPr>
              <w:t xml:space="preserve">3</w:t>
            </w:r>
            <w:r>
              <w:rPr>
                <w:rFonts w:hint="eastAsia" w:ascii="宋体" w:hAnsi="宋体" w:eastAsia="宋体" w:cs="宋体"/>
                <w:b w:val="0"/>
                <w:bCs w:val="0"/>
                <w:color w:val="000000"/>
                <w:sz w:val="21"/>
                <w:szCs w:val="21"/>
                <w:u w:val="none"/>
                <w:lang w:val="en-US" w:eastAsia="zh-CN" w:bidi="ar-SA"/>
              </w:rPr>
              <w:t xml:space="preserve">0</w:t>
            </w:r>
            <w:r>
              <w:rPr>
                <w:rFonts w:hint="eastAsia" w:ascii="宋体" w:hAnsi="宋体" w:eastAsia="宋体" w:cs="宋体"/>
                <w:b w:val="0"/>
                <w:bCs w:val="0"/>
                <w:color w:val="000000"/>
                <w:sz w:val="21"/>
                <w:szCs w:val="21"/>
                <w:u w:val="none"/>
                <w:lang w:val="zh-TW" w:eastAsia="zh-TW" w:bidi="ar-SA"/>
              </w:rPr>
              <w:t xml:space="preserve">分）</w:t>
            </w:r>
            <w:r/>
          </w:p>
        </w:tc>
      </w:tr>
      <w:tr>
        <w:trPr>
          <w:jc w:val="center"/>
          <w:trHeight w:val="1712"/>
        </w:trPr>
        <w:tc>
          <w:tcPr>
            <w:gridSpan w:val="3"/>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434" w:type="dxa"/>
            <w:vAlign w:val="center"/>
            <w:textDirection w:val="lrTb"/>
            <w:noWrap w:val="false"/>
          </w:tcPr>
          <w:p>
            <w:pPr>
              <w:jc w:val="both"/>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highlight w:val="none"/>
                <w:u w:val="none"/>
                <w:lang w:val="en-US" w:eastAsia="zh-CN" w:bidi="ar-SA"/>
              </w:rPr>
            </w:pPr>
            <w:r>
              <w:rPr>
                <w:rFonts w:hint="default" w:ascii="宋体" w:hAnsi="宋体" w:eastAsia="宋体" w:cs="Arial Unicode MS"/>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default"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zh-TW" w:eastAsia="zh-TW" w:bidi="ar-SA"/>
              </w:rPr>
              <w:t xml:space="preserve">投标报价</w:t>
            </w:r>
            <w:r/>
          </w:p>
          <w:p>
            <w:pPr>
              <w:jc w:val="center"/>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zh-TW" w:eastAsia="zh-TW" w:bidi="ar-SA"/>
              </w:rPr>
              <w:t xml:space="preserve">（</w:t>
            </w:r>
            <w:r>
              <w:rPr>
                <w:rFonts w:hint="eastAsia" w:ascii="宋体" w:hAnsi="宋体" w:cs="宋体"/>
                <w:color w:val="000000"/>
                <w:sz w:val="21"/>
                <w:szCs w:val="21"/>
                <w:highlight w:val="none"/>
                <w:u w:val="none"/>
                <w:lang w:val="en-US" w:eastAsia="zh-CN" w:bidi="ar-SA"/>
              </w:rPr>
              <w:t xml:space="preserve">3</w:t>
            </w:r>
            <w:r>
              <w:rPr>
                <w:rFonts w:hint="eastAsia" w:ascii="宋体" w:hAnsi="宋体" w:eastAsia="宋体" w:cs="宋体"/>
                <w:color w:val="000000"/>
                <w:sz w:val="21"/>
                <w:szCs w:val="21"/>
                <w:highlight w:val="none"/>
                <w:u w:val="none"/>
                <w:lang w:val="en-US" w:eastAsia="zh-CN" w:bidi="ar-SA"/>
              </w:rPr>
              <w:t xml:space="preserve">0</w:t>
            </w:r>
            <w:r>
              <w:rPr>
                <w:rFonts w:hint="eastAsia" w:ascii="宋体" w:hAnsi="宋体" w:eastAsia="宋体" w:cs="宋体"/>
                <w:color w:val="000000"/>
                <w:sz w:val="21"/>
                <w:szCs w:val="21"/>
                <w:highlight w:val="none"/>
                <w:u w:val="none"/>
                <w:lang w:val="zh-TW" w:eastAsia="zh-TW"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972" w:type="dxa"/>
            <w:vAlign w:val="center"/>
            <w:textDirection w:val="lrTb"/>
            <w:noWrap w:val="false"/>
          </w:tcPr>
          <w:p>
            <w:pPr>
              <w:jc w:val="left"/>
              <w:keepLines w:val="0"/>
              <w:keepNext w:val="0"/>
              <w:pageBreakBefore w:val="0"/>
              <w:spacing w:line="300" w:lineRule="exact"/>
              <w:widowControl w:val="off"/>
              <w:tabs>
                <w:tab w:val="left" w:pos="5940" w:leader="none"/>
              </w:tabs>
              <w:rPr>
                <w:rFonts w:hint="eastAsia" w:ascii="宋体" w:hAnsi="宋体" w:eastAsia="宋体" w:cs="Times New Roman"/>
                <w:color w:val="auto"/>
                <w:sz w:val="21"/>
                <w:szCs w:val="21"/>
                <w:u w:val="none"/>
                <w:lang w:val="en-US" w:eastAsia="zh-CN" w:bidi="ar-SA"/>
              </w:rPr>
            </w:pPr>
            <w:r>
              <w:rPr>
                <w:rFonts w:hint="eastAsia" w:ascii="宋体" w:hAnsi="宋体" w:eastAsia="宋体" w:cs="Times New Roman"/>
                <w:color w:val="auto"/>
                <w:sz w:val="21"/>
                <w:szCs w:val="21"/>
                <w:u w:val="none"/>
                <w:lang w:val="en-US" w:eastAsia="zh-CN" w:bidi="ar-SA"/>
              </w:rPr>
              <w:t xml:space="preserve">满足磋商文件</w:t>
            </w:r>
            <w:r>
              <w:rPr>
                <w:rFonts w:hint="eastAsia" w:ascii="宋体" w:hAnsi="宋体" w:eastAsia="宋体" w:cs="Times New Roman"/>
                <w:color w:val="auto"/>
                <w:sz w:val="21"/>
                <w:szCs w:val="21"/>
                <w:u w:val="none"/>
                <w:lang w:val="en-US" w:eastAsia="zh-CN" w:bidi="ar-SA"/>
              </w:rPr>
              <w:t xml:space="preserve">要求且投标报价最低的投标报价为评标基准价，其价格为满分。其他投标人的价格分按照下列公式计算：</w:t>
            </w:r>
            <w:r/>
          </w:p>
          <w:p>
            <w:pPr>
              <w:jc w:val="left"/>
              <w:keepLines w:val="0"/>
              <w:keepNext w:val="0"/>
              <w:pageBreakBefore w:val="0"/>
              <w:spacing w:line="300" w:lineRule="exact"/>
              <w:widowControl w:val="off"/>
              <w:tabs>
                <w:tab w:val="left" w:pos="5940" w:leader="none"/>
              </w:tabs>
              <w:rPr>
                <w:rFonts w:hint="default" w:ascii="宋体" w:hAnsi="宋体" w:eastAsia="宋体" w:cs="Times New Roman"/>
                <w:color w:val="auto"/>
                <w:sz w:val="21"/>
                <w:szCs w:val="21"/>
                <w:highlight w:val="none"/>
                <w:u w:val="none"/>
                <w:lang w:val="en-US" w:eastAsia="zh-CN" w:bidi="ar-SA"/>
              </w:rPr>
            </w:pPr>
            <w:r>
              <w:rPr>
                <w:rFonts w:hint="eastAsia" w:ascii="宋体" w:hAnsi="宋体" w:eastAsia="宋体" w:cs="Times New Roman"/>
                <w:color w:val="auto"/>
                <w:sz w:val="21"/>
                <w:szCs w:val="21"/>
                <w:u w:val="none"/>
                <w:lang w:val="en-US" w:eastAsia="zh-CN" w:bidi="ar-SA"/>
              </w:rPr>
              <w:t xml:space="preserve">投标报价得分＝（评标基准价/投标报价）×</w:t>
            </w:r>
            <w:r>
              <w:rPr>
                <w:rFonts w:hint="eastAsia" w:ascii="宋体" w:hAnsi="宋体" w:cs="Times New Roman"/>
                <w:color w:val="auto"/>
                <w:sz w:val="21"/>
                <w:szCs w:val="21"/>
                <w:u w:val="none"/>
                <w:lang w:val="en-US" w:eastAsia="zh-CN" w:bidi="ar-SA"/>
              </w:rPr>
              <w:t xml:space="preserve">3</w:t>
            </w:r>
            <w:r>
              <w:rPr>
                <w:rFonts w:hint="eastAsia" w:ascii="宋体" w:hAnsi="宋体" w:eastAsia="宋体" w:cs="Times New Roman"/>
                <w:color w:val="auto"/>
                <w:sz w:val="21"/>
                <w:szCs w:val="21"/>
                <w:u w:val="none"/>
                <w:lang w:val="en-US" w:eastAsia="zh-CN" w:bidi="ar-SA"/>
              </w:rPr>
              <w:t xml:space="preserve">0分</w:t>
            </w:r>
            <w:r>
              <w:rPr>
                <w:rFonts w:hint="eastAsia" w:ascii="宋体" w:hAnsi="宋体" w:cs="宋体"/>
                <w:b w:val="0"/>
                <w:bCs w:val="0"/>
                <w:sz w:val="21"/>
                <w:szCs w:val="21"/>
                <w:lang w:bidi="ar"/>
              </w:rPr>
              <w:t xml:space="preserve">（计算结果保留2位小数，第三位四舍五入）。</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keepLines w:val="0"/>
              <w:keepNext w:val="0"/>
              <w:pageBreakBefore w:val="0"/>
              <w:spacing w:line="300" w:lineRule="exact"/>
              <w:widowControl w:val="off"/>
              <w:rPr>
                <w:rFonts w:hint="default" w:ascii="宋体" w:hAnsi="宋体" w:eastAsia="宋体" w:cs="Times New Roman"/>
              </w:rPr>
            </w:pPr>
            <w:r>
              <w:rPr>
                <w:rFonts w:hint="default" w:ascii="宋体" w:hAnsi="宋体" w:eastAsia="宋体" w:cs="Times New Roman"/>
              </w:rPr>
            </w:r>
            <w:r/>
          </w:p>
        </w:tc>
      </w:tr>
      <w:tr>
        <w:trPr>
          <w:jc w:val="center"/>
          <w:trHeight w:val="810"/>
        </w:trPr>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4"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Arial Unicode MS"/>
                <w:b/>
                <w:bCs/>
                <w:color w:val="000000"/>
                <w:sz w:val="21"/>
                <w:szCs w:val="21"/>
                <w:u w:val="none"/>
                <w:lang w:val="en-US" w:eastAsia="zh-CN" w:bidi="ar-SA"/>
              </w:rPr>
            </w:pPr>
            <w:r>
              <w:rPr>
                <w:rFonts w:hint="eastAsia" w:ascii="宋体" w:hAnsi="宋体" w:eastAsia="宋体" w:cs="宋体"/>
                <w:b/>
                <w:bCs/>
                <w:color w:val="000000"/>
                <w:sz w:val="21"/>
                <w:szCs w:val="21"/>
                <w:u w:val="none"/>
                <w:lang w:val="zh-TW" w:eastAsia="zh-TW" w:bidi="ar-SA"/>
              </w:rPr>
              <w:t xml:space="preserve">二、</w:t>
            </w:r>
            <w:r>
              <w:rPr>
                <w:rFonts w:hint="eastAsia" w:ascii="宋体" w:hAnsi="宋体" w:eastAsia="宋体" w:cs="宋体"/>
                <w:color w:val="000000"/>
                <w:sz w:val="21"/>
                <w:szCs w:val="21"/>
                <w:u w:val="none"/>
                <w:lang w:val="zh-TW" w:eastAsia="zh-TW" w:bidi="ar-SA"/>
              </w:rPr>
              <w:t xml:space="preserve">设计</w:t>
            </w:r>
            <w:r>
              <w:rPr>
                <w:rFonts w:hint="eastAsia" w:ascii="宋体" w:hAnsi="宋体" w:eastAsia="宋体" w:cs="宋体"/>
                <w:b w:val="0"/>
                <w:bCs w:val="0"/>
                <w:color w:val="000000"/>
                <w:sz w:val="21"/>
                <w:szCs w:val="21"/>
                <w:u w:val="none"/>
                <w:lang w:val="zh-TW" w:eastAsia="zh-TW" w:bidi="ar-SA"/>
              </w:rPr>
              <w:t xml:space="preserve">方案（</w:t>
            </w:r>
            <w:r>
              <w:rPr>
                <w:rFonts w:hint="eastAsia" w:ascii="宋体" w:hAnsi="宋体" w:cs="宋体"/>
                <w:b w:val="0"/>
                <w:bCs w:val="0"/>
                <w:color w:val="000000"/>
                <w:sz w:val="21"/>
                <w:szCs w:val="21"/>
                <w:u w:val="none"/>
                <w:lang w:val="en-US" w:eastAsia="zh-CN" w:bidi="ar-SA"/>
              </w:rPr>
              <w:t xml:space="preserve">52</w:t>
            </w:r>
            <w:r>
              <w:rPr>
                <w:rFonts w:hint="eastAsia" w:ascii="宋体" w:hAnsi="宋体" w:eastAsia="宋体" w:cs="宋体"/>
                <w:b w:val="0"/>
                <w:bCs w:val="0"/>
                <w:color w:val="000000"/>
                <w:sz w:val="21"/>
                <w:szCs w:val="21"/>
                <w:u w:val="none"/>
                <w:lang w:val="zh-TW" w:eastAsia="zh-TW" w:bidi="ar-SA"/>
              </w:rPr>
              <w:t xml:space="preserve">分）</w:t>
            </w:r>
            <w:r/>
          </w:p>
        </w:tc>
      </w:tr>
      <w:tr>
        <w:trPr>
          <w:jc w:val="center"/>
          <w:trHeight w:val="2106"/>
        </w:trPr>
        <w:tc>
          <w:tcPr>
            <w:gridSpan w:val="2"/>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336" w:type="dxa"/>
            <w:vAlign w:val="center"/>
            <w:vMerge w:val="restart"/>
            <w:textDirection w:val="lrTb"/>
            <w:noWrap w:val="false"/>
          </w:tcPr>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en-US" w:eastAsia="zh-CN" w:bidi="ar-SA"/>
              </w:rPr>
            </w:r>
            <w:r/>
          </w:p>
          <w:p>
            <w:pPr>
              <w:ind w:firstLine="210"/>
              <w:jc w:val="both"/>
              <w:keepLines w:val="0"/>
              <w:keepNext w:val="0"/>
              <w:pageBreakBefore w:val="0"/>
              <w:spacing w:line="300" w:lineRule="exact"/>
              <w:widowControl w:val="off"/>
              <w:rPr>
                <w:rFonts w:hint="default" w:ascii="宋体" w:hAnsi="宋体" w:eastAsia="宋体" w:cs="宋体"/>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zh-TW" w:eastAsia="zh-TW" w:bidi="ar-SA"/>
              </w:rPr>
              <w:t xml:space="preserve">设计方案</w:t>
            </w:r>
            <w:r/>
          </w:p>
          <w:p>
            <w:pPr>
              <w:jc w:val="center"/>
              <w:keepLines w:val="0"/>
              <w:keepNext w:val="0"/>
              <w:pageBreakBefore w:val="0"/>
              <w:spacing w:line="300" w:lineRule="exact"/>
              <w:widowControl w:val="off"/>
              <w:rPr>
                <w:rFonts w:hint="default" w:ascii="宋体" w:hAnsi="宋体" w:eastAsia="宋体" w:cs="Arial Unicode MS"/>
                <w:color w:val="000000"/>
                <w:sz w:val="21"/>
                <w:szCs w:val="21"/>
                <w:highlight w:val="none"/>
                <w:u w:val="none"/>
                <w:lang w:val="en-US" w:eastAsia="zh-CN" w:bidi="ar-SA"/>
              </w:rPr>
            </w:pPr>
            <w:r>
              <w:rPr>
                <w:rFonts w:hint="eastAsia" w:ascii="宋体" w:hAnsi="宋体" w:eastAsia="宋体" w:cs="宋体"/>
                <w:color w:val="000000"/>
                <w:sz w:val="21"/>
                <w:szCs w:val="21"/>
                <w:highlight w:val="none"/>
                <w:u w:val="none"/>
                <w:lang w:val="zh-TW" w:eastAsia="zh-TW" w:bidi="ar-SA"/>
              </w:rPr>
              <w:t xml:space="preserve">（</w:t>
            </w:r>
            <w:r>
              <w:rPr>
                <w:rFonts w:hint="eastAsia" w:ascii="宋体" w:hAnsi="宋体" w:cs="宋体"/>
                <w:color w:val="000000"/>
                <w:sz w:val="21"/>
                <w:szCs w:val="21"/>
                <w:highlight w:val="none"/>
                <w:u w:val="none"/>
                <w:lang w:val="en-US" w:eastAsia="zh-CN" w:bidi="ar-SA"/>
              </w:rPr>
              <w:t xml:space="preserve">52</w:t>
            </w:r>
            <w:r>
              <w:rPr>
                <w:rFonts w:hint="eastAsia" w:ascii="宋体" w:hAnsi="宋体" w:eastAsia="宋体" w:cs="宋体"/>
                <w:color w:val="000000"/>
                <w:sz w:val="21"/>
                <w:szCs w:val="21"/>
                <w:highlight w:val="none"/>
                <w:u w:val="none"/>
                <w:lang w:val="zh-TW" w:eastAsia="zh-TW" w:bidi="ar-SA"/>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098" w:type="dxa"/>
            <w:vAlign w:val="center"/>
            <w:textDirection w:val="lrTb"/>
            <w:noWrap w:val="false"/>
          </w:tcPr>
          <w:p>
            <w:pPr>
              <w:ind w:left="0" w:firstLine="0"/>
              <w:jc w:val="center"/>
              <w:keepLines w:val="0"/>
              <w:keepNext w:val="0"/>
              <w:pageBreakBefore w:val="0"/>
              <w:spacing w:after="120" w:line="300" w:lineRule="exact"/>
              <w:widowControl w:val="off"/>
              <w:rPr>
                <w:rFonts w:hint="default" w:ascii="宋体" w:hAnsi="宋体" w:eastAsia="宋体" w:cs="Arial Unicode MS"/>
                <w:color w:val="auto"/>
                <w:spacing w:val="2"/>
                <w:sz w:val="21"/>
                <w:szCs w:val="21"/>
                <w:highlight w:val="none"/>
                <w:u w:val="none"/>
                <w:lang w:val="en-US" w:eastAsia="zh-CN" w:bidi="ar-SA"/>
              </w:rPr>
            </w:pPr>
            <w:r>
              <w:rPr>
                <w:rFonts w:hint="eastAsia" w:ascii="宋体" w:hAnsi="宋体" w:eastAsia="宋体" w:cs="宋体"/>
                <w:color w:val="auto"/>
                <w:spacing w:val="2"/>
                <w:sz w:val="21"/>
                <w:szCs w:val="21"/>
                <w:highlight w:val="none"/>
                <w:u w:val="none"/>
                <w:lang w:val="en-US" w:eastAsia="zh-CN" w:bidi="ar-SA"/>
              </w:rPr>
              <w:t xml:space="preserve">项目理解</w:t>
            </w:r>
            <w:r>
              <w:rPr>
                <w:rFonts w:hint="eastAsia" w:ascii="宋体" w:hAnsi="宋体" w:eastAsia="宋体" w:cs="宋体"/>
                <w:color w:val="auto"/>
                <w:spacing w:val="2"/>
                <w:sz w:val="21"/>
                <w:szCs w:val="21"/>
                <w:highlight w:val="none"/>
                <w:u w:val="none"/>
                <w:lang w:val="zh-TW" w:eastAsia="zh-TW" w:bidi="ar-SA"/>
              </w:rPr>
              <w:t xml:space="preserve">（</w:t>
            </w:r>
            <w:r>
              <w:rPr>
                <w:rFonts w:hint="eastAsia" w:ascii="宋体" w:hAnsi="宋体" w:eastAsia="宋体" w:cs="宋体"/>
                <w:color w:val="auto"/>
                <w:spacing w:val="2"/>
                <w:sz w:val="21"/>
                <w:szCs w:val="21"/>
                <w:highlight w:val="none"/>
                <w:u w:val="none"/>
                <w:lang w:val="en-US" w:eastAsia="zh-CN" w:bidi="ar-SA"/>
              </w:rPr>
              <w:t xml:space="preserve">8</w:t>
            </w:r>
            <w:r>
              <w:rPr>
                <w:rFonts w:hint="eastAsia" w:ascii="宋体" w:hAnsi="宋体" w:eastAsia="宋体" w:cs="宋体"/>
                <w:color w:val="auto"/>
                <w:spacing w:val="2"/>
                <w:sz w:val="21"/>
                <w:szCs w:val="21"/>
                <w:highlight w:val="none"/>
                <w:u w:val="none"/>
                <w:lang w:val="zh-TW" w:eastAsia="zh-TW" w:bidi="ar-SA"/>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Mar>
              <w:left w:w="80" w:type="dxa"/>
              <w:top w:w="80" w:type="dxa"/>
              <w:right w:w="80" w:type="dxa"/>
              <w:bottom w:w="80" w:type="dxa"/>
            </w:tcMar>
            <w:tcW w:w="6972"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Arial Unicode MS"/>
                <w:color w:val="auto"/>
                <w:sz w:val="21"/>
                <w:szCs w:val="21"/>
                <w:highlight w:val="none"/>
                <w:u w:val="none"/>
                <w:lang w:val="en-US" w:eastAsia="zh-CN" w:bidi="ar-SA"/>
              </w:rPr>
            </w:pPr>
            <w:r>
              <w:rPr>
                <w:rFonts w:hint="eastAsia" w:ascii="宋体" w:hAnsi="宋体" w:eastAsia="宋体" w:cs="Times New Roman"/>
                <w:color w:val="auto"/>
                <w:sz w:val="21"/>
                <w:szCs w:val="21"/>
                <w:highlight w:val="none"/>
                <w:u w:val="none"/>
                <w:lang w:val="en-US" w:eastAsia="zh-CN" w:bidi="ar-SA"/>
              </w:rPr>
              <w:t xml:space="preserve">对本项目认识、理解和总体把握全面、合理、准确，重点难点分析深入到位的得8分；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对本项目认识、理解一般，基本把握较全面、合理、准确，重点难点分析一般的得5分；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对本项目认识、理解和总体把握不够全面、不够合理、不够准确，缺乏重点难点分析的得2分；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jc w:val="center"/>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u w:val="none"/>
                <w:lang w:val="en-US" w:eastAsia="zh-CN" w:bidi="ar-SA"/>
              </w:rPr>
            </w:pPr>
            <w:r>
              <w:rPr>
                <w:rFonts w:hint="default" w:ascii="宋体" w:hAnsi="宋体" w:eastAsia="宋体" w:cs="Arial Unicode MS"/>
                <w:color w:val="000000"/>
                <w:sz w:val="21"/>
                <w:szCs w:val="21"/>
                <w:u w:val="none"/>
                <w:lang w:val="en-US" w:eastAsia="zh-CN" w:bidi="ar-SA"/>
              </w:rPr>
            </w:r>
            <w:r/>
          </w:p>
        </w:tc>
      </w:tr>
      <w:tr>
        <w:trPr>
          <w:jc w:val="center"/>
          <w:trHeight w:val="2032"/>
        </w:trPr>
        <w:tc>
          <w:tcPr>
            <w:gridSpan w:val="2"/>
            <w:shd w:val="clear" w:color="auto" w:fill="auto"/>
            <w:tcBorders>
              <w:top w:val="single" w:color="auto" w:sz="4" w:space="0"/>
              <w:left w:val="single" w:color="auto" w:sz="4" w:space="0"/>
              <w:bottom w:val="single" w:color="auto" w:sz="4" w:space="0"/>
              <w:right w:val="single" w:color="auto" w:sz="4" w:space="0"/>
            </w:tcBorders>
            <w:tcW w:w="1336" w:type="dxa"/>
            <w:vAlign w:val="top"/>
            <w:vMerge w:val="continue"/>
            <w:textDirection w:val="lrTb"/>
            <w:noWrap w:val="false"/>
          </w:tcPr>
          <w:p>
            <w:pPr>
              <w:keepLines w:val="0"/>
              <w:keepNext w:val="0"/>
              <w:pageBreakBefore w:val="0"/>
              <w:spacing w:line="300" w:lineRule="exact"/>
              <w:widowControl w:val="off"/>
              <w:rPr>
                <w:rFonts w:hint="default" w:ascii="宋体" w:hAnsi="宋体" w:eastAsia="宋体" w:cs="Times New Roman"/>
                <w:highlight w:val="none"/>
              </w:rPr>
            </w:pPr>
            <w:r>
              <w:rPr>
                <w:rFonts w:hint="default" w:ascii="宋体" w:hAnsi="宋体" w:eastAsia="宋体" w:cs="Times New Roman"/>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098" w:type="dxa"/>
            <w:vAlign w:val="center"/>
            <w:textDirection w:val="lrTb"/>
            <w:noWrap w:val="false"/>
          </w:tcPr>
          <w:p>
            <w:pPr>
              <w:ind w:left="0" w:firstLine="0"/>
              <w:jc w:val="center"/>
              <w:keepLines w:val="0"/>
              <w:keepNext w:val="0"/>
              <w:pageBreakBefore w:val="0"/>
              <w:spacing w:after="120" w:line="300" w:lineRule="exact"/>
              <w:widowControl w:val="off"/>
              <w:rPr>
                <w:rFonts w:hint="eastAsia" w:ascii="宋体" w:hAnsi="宋体" w:eastAsia="宋体" w:cs="宋体"/>
                <w:color w:val="000000"/>
                <w:spacing w:val="0"/>
                <w:sz w:val="21"/>
                <w:szCs w:val="21"/>
                <w:highlight w:val="none"/>
                <w:u w:val="none"/>
                <w:lang w:val="en-US" w:eastAsia="zh-CN" w:bidi="ar-SA"/>
              </w:rPr>
            </w:pPr>
            <w:r>
              <w:rPr>
                <w:rFonts w:hint="eastAsia" w:ascii="宋体" w:hAnsi="宋体" w:eastAsia="宋体" w:cs="宋体"/>
                <w:color w:val="000000"/>
                <w:spacing w:val="0"/>
                <w:sz w:val="21"/>
                <w:szCs w:val="21"/>
                <w:highlight w:val="none"/>
                <w:u w:val="none"/>
                <w:lang w:val="en-US" w:eastAsia="zh-CN" w:bidi="ar-SA"/>
              </w:rPr>
              <w:t xml:space="preserve">效果图</w:t>
            </w:r>
            <w:r/>
          </w:p>
          <w:p>
            <w:pPr>
              <w:ind w:left="0" w:firstLine="0"/>
              <w:jc w:val="center"/>
              <w:keepLines w:val="0"/>
              <w:keepNext w:val="0"/>
              <w:pageBreakBefore w:val="0"/>
              <w:spacing w:after="120" w:line="300" w:lineRule="exact"/>
              <w:widowControl w:val="off"/>
              <w:rPr>
                <w:rFonts w:hint="default" w:ascii="宋体" w:hAnsi="宋体" w:eastAsia="宋体" w:cs="宋体"/>
                <w:color w:val="000000"/>
                <w:spacing w:val="0"/>
                <w:sz w:val="21"/>
                <w:szCs w:val="21"/>
                <w:highlight w:val="none"/>
                <w:u w:val="none"/>
                <w:lang w:val="zh-TW" w:eastAsia="zh-TW" w:bidi="ar-SA"/>
              </w:rPr>
            </w:pPr>
            <w:r>
              <w:rPr>
                <w:rFonts w:hint="eastAsia" w:ascii="宋体" w:hAnsi="宋体" w:eastAsia="宋体" w:cs="宋体"/>
                <w:color w:val="000000"/>
                <w:spacing w:val="0"/>
                <w:sz w:val="21"/>
                <w:szCs w:val="21"/>
                <w:highlight w:val="none"/>
                <w:u w:val="none"/>
                <w:lang w:val="zh-TW" w:eastAsia="zh-TW" w:bidi="ar-SA"/>
              </w:rPr>
              <w:t xml:space="preserve">（</w:t>
            </w:r>
            <w:r>
              <w:rPr>
                <w:rFonts w:hint="eastAsia" w:ascii="宋体" w:hAnsi="宋体" w:cs="宋体"/>
                <w:color w:val="000000"/>
                <w:spacing w:val="0"/>
                <w:sz w:val="21"/>
                <w:szCs w:val="21"/>
                <w:highlight w:val="none"/>
                <w:u w:val="none"/>
                <w:lang w:val="en-US" w:eastAsia="zh-CN" w:bidi="ar-SA"/>
              </w:rPr>
              <w:t xml:space="preserve">8</w:t>
            </w:r>
            <w:r>
              <w:rPr>
                <w:rFonts w:hint="eastAsia" w:ascii="宋体" w:hAnsi="宋体" w:eastAsia="宋体" w:cs="宋体"/>
                <w:color w:val="000000"/>
                <w:spacing w:val="0"/>
                <w:sz w:val="21"/>
                <w:szCs w:val="21"/>
                <w:highlight w:val="none"/>
                <w:u w:val="none"/>
                <w:lang w:val="zh-TW" w:eastAsia="zh-TW" w:bidi="ar-SA"/>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Mar>
              <w:left w:w="80" w:type="dxa"/>
              <w:top w:w="80" w:type="dxa"/>
              <w:right w:w="80" w:type="dxa"/>
              <w:bottom w:w="80" w:type="dxa"/>
            </w:tcMar>
            <w:tcW w:w="6972"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宋体"/>
                <w:color w:val="000000"/>
                <w:sz w:val="21"/>
                <w:szCs w:val="21"/>
                <w:highlight w:val="none"/>
                <w:u w:val="none"/>
                <w:lang w:val="en-US" w:eastAsia="zh-TW" w:bidi="ar-SA"/>
              </w:rPr>
            </w:pPr>
            <w:r>
              <w:rPr>
                <w:rFonts w:hint="eastAsia" w:ascii="宋体" w:hAnsi="宋体" w:eastAsia="宋体" w:cs="Times New Roman"/>
                <w:color w:val="auto"/>
                <w:sz w:val="21"/>
                <w:szCs w:val="21"/>
                <w:highlight w:val="none"/>
                <w:u w:val="none"/>
                <w:lang w:val="en-US" w:eastAsia="zh-CN" w:bidi="ar-SA"/>
              </w:rPr>
              <w:t xml:space="preserve">效果图全面，每个单元均有呈现，符合招标人要求，重点展项突出，富有创造力，图案肌理、材质、色调和谐统一的得</w:t>
            </w:r>
            <w:r>
              <w:rPr>
                <w:rFonts w:hint="eastAsia" w:ascii="宋体" w:hAnsi="宋体" w:cs="Times New Roman"/>
                <w:color w:val="auto"/>
                <w:sz w:val="21"/>
                <w:szCs w:val="21"/>
                <w:highlight w:val="none"/>
                <w:u w:val="none"/>
                <w:lang w:val="en-US" w:eastAsia="zh-CN" w:bidi="ar-SA"/>
              </w:rPr>
              <w:t xml:space="preserve">8</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效果图较全面，涉及多个单元呈现，较符合招标人要求，重点展项基本突出，较富有创造力，图案肌理、材质、色调基本和谐统一的得</w:t>
            </w:r>
            <w:r>
              <w:rPr>
                <w:rFonts w:hint="eastAsia" w:ascii="宋体" w:hAnsi="宋体" w:cs="Times New Roman"/>
                <w:color w:val="auto"/>
                <w:sz w:val="21"/>
                <w:szCs w:val="21"/>
                <w:highlight w:val="none"/>
                <w:u w:val="none"/>
                <w:lang w:val="en-US" w:eastAsia="zh-CN" w:bidi="ar-SA"/>
              </w:rPr>
              <w:t xml:space="preserve">5</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效果图不全面，仅个别单元呈现，重点展项不突出，富有创造力不高，造型不新颖独特，图案肌理、材质、色调不和谐统一的得</w:t>
            </w:r>
            <w:r>
              <w:rPr>
                <w:rFonts w:hint="eastAsia" w:ascii="宋体" w:hAnsi="宋体" w:cs="Times New Roman"/>
                <w:color w:val="auto"/>
                <w:sz w:val="21"/>
                <w:szCs w:val="21"/>
                <w:highlight w:val="none"/>
                <w:u w:val="none"/>
                <w:lang w:val="en-US" w:eastAsia="zh-CN" w:bidi="ar-SA"/>
              </w:rPr>
              <w:t xml:space="preserve">2</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u w:val="none"/>
                <w:lang w:val="en-US" w:eastAsia="zh-CN" w:bidi="ar-SA"/>
              </w:rPr>
            </w:pPr>
            <w:r>
              <w:rPr>
                <w:rFonts w:hint="default" w:ascii="宋体" w:hAnsi="宋体" w:eastAsia="宋体" w:cs="Arial Unicode MS"/>
                <w:color w:val="000000"/>
                <w:sz w:val="21"/>
                <w:szCs w:val="21"/>
                <w:u w:val="none"/>
                <w:lang w:val="en-US" w:eastAsia="zh-CN" w:bidi="ar-SA"/>
              </w:rPr>
            </w:r>
            <w:r/>
          </w:p>
        </w:tc>
      </w:tr>
      <w:tr>
        <w:trPr>
          <w:jc w:val="center"/>
          <w:trHeight w:val="2129"/>
        </w:trPr>
        <w:tc>
          <w:tcPr>
            <w:gridSpan w:val="2"/>
            <w:shd w:val="clear" w:color="auto" w:fill="auto"/>
            <w:tcBorders>
              <w:top w:val="single" w:color="auto" w:sz="4" w:space="0"/>
              <w:left w:val="single" w:color="auto" w:sz="4" w:space="0"/>
              <w:bottom w:val="single" w:color="auto" w:sz="4" w:space="0"/>
              <w:right w:val="single" w:color="auto" w:sz="4" w:space="0"/>
            </w:tcBorders>
            <w:tcW w:w="1336" w:type="dxa"/>
            <w:vAlign w:val="top"/>
            <w:vMerge w:val="continue"/>
            <w:textDirection w:val="lrTb"/>
            <w:noWrap w:val="false"/>
          </w:tcPr>
          <w:p>
            <w:pPr>
              <w:keepLines w:val="0"/>
              <w:keepNext w:val="0"/>
              <w:pageBreakBefore w:val="0"/>
              <w:spacing w:line="300" w:lineRule="exact"/>
              <w:widowControl w:val="off"/>
              <w:rPr>
                <w:rFonts w:hint="default" w:ascii="宋体" w:hAnsi="宋体" w:eastAsia="宋体" w:cs="Times New Roman"/>
                <w:highlight w:val="none"/>
              </w:rPr>
            </w:pPr>
            <w:r>
              <w:rPr>
                <w:rFonts w:hint="default" w:ascii="宋体" w:hAnsi="宋体" w:eastAsia="宋体" w:cs="Times New Roman"/>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098" w:type="dxa"/>
            <w:vAlign w:val="center"/>
            <w:textDirection w:val="lrTb"/>
            <w:noWrap w:val="false"/>
          </w:tcPr>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zh-TW" w:eastAsia="zh-TW" w:bidi="ar-SA"/>
              </w:rPr>
            </w:pPr>
            <w:r>
              <w:rPr>
                <w:rFonts w:hint="eastAsia" w:ascii="宋体" w:hAnsi="宋体" w:eastAsia="宋体" w:cs="宋体"/>
                <w:color w:val="000000"/>
                <w:sz w:val="21"/>
                <w:szCs w:val="21"/>
                <w:highlight w:val="none"/>
                <w:u w:val="none"/>
                <w:lang w:val="zh-TW" w:eastAsia="zh-TW"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zh-TW" w:eastAsia="zh-TW" w:bidi="ar-SA"/>
              </w:rPr>
            </w:pPr>
            <w:r>
              <w:rPr>
                <w:rFonts w:hint="eastAsia" w:ascii="宋体" w:hAnsi="宋体" w:eastAsia="宋体" w:cs="宋体"/>
                <w:color w:val="000000"/>
                <w:sz w:val="21"/>
                <w:szCs w:val="21"/>
                <w:highlight w:val="none"/>
                <w:u w:val="none"/>
                <w:lang w:val="zh-TW" w:eastAsia="zh-TW" w:bidi="ar-SA"/>
              </w:rPr>
            </w:r>
            <w:r/>
          </w:p>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highlight w:val="none"/>
                <w:u w:val="none"/>
                <w:lang w:val="zh-TW" w:eastAsia="zh-TW" w:bidi="ar-SA"/>
              </w:rPr>
            </w:pPr>
            <w:r>
              <w:rPr>
                <w:rFonts w:hint="eastAsia" w:ascii="宋体" w:hAnsi="宋体" w:eastAsia="宋体" w:cs="宋体"/>
                <w:color w:val="000000"/>
                <w:sz w:val="21"/>
                <w:szCs w:val="21"/>
                <w:highlight w:val="none"/>
                <w:u w:val="none"/>
                <w:lang w:val="en-US" w:eastAsia="zh-CN" w:bidi="ar-SA"/>
              </w:rPr>
              <w:t xml:space="preserve">多媒体技术运用</w:t>
            </w:r>
            <w:r/>
          </w:p>
          <w:p>
            <w:pPr>
              <w:jc w:val="center"/>
              <w:keepLines w:val="0"/>
              <w:keepNext w:val="0"/>
              <w:pageBreakBefore w:val="0"/>
              <w:spacing w:line="300" w:lineRule="exact"/>
              <w:widowControl w:val="off"/>
              <w:tabs>
                <w:tab w:val="left" w:pos="5940" w:leader="none"/>
              </w:tabs>
              <w:rPr>
                <w:rFonts w:hint="default" w:ascii="宋体" w:hAnsi="宋体" w:eastAsia="宋体" w:cs="宋体"/>
                <w:color w:val="000000"/>
                <w:sz w:val="21"/>
                <w:szCs w:val="21"/>
                <w:highlight w:val="none"/>
                <w:u w:val="none"/>
                <w:lang w:val="zh-TW" w:eastAsia="zh-TW" w:bidi="ar-SA"/>
              </w:rPr>
            </w:pPr>
            <w:r>
              <w:rPr>
                <w:rFonts w:hint="eastAsia" w:ascii="宋体" w:hAnsi="宋体" w:eastAsia="宋体" w:cs="宋体"/>
                <w:color w:val="000000"/>
                <w:sz w:val="21"/>
                <w:szCs w:val="21"/>
                <w:highlight w:val="none"/>
                <w:u w:val="none"/>
                <w:lang w:val="zh-TW" w:eastAsia="zh-TW" w:bidi="ar-SA"/>
              </w:rPr>
              <w:t xml:space="preserve">（</w:t>
            </w:r>
            <w:r>
              <w:rPr>
                <w:rFonts w:hint="eastAsia" w:ascii="宋体" w:hAnsi="宋体" w:cs="宋体"/>
                <w:color w:val="000000"/>
                <w:sz w:val="21"/>
                <w:szCs w:val="21"/>
                <w:highlight w:val="none"/>
                <w:u w:val="none"/>
                <w:lang w:val="en-US" w:eastAsia="zh-CN" w:bidi="ar-SA"/>
              </w:rPr>
              <w:t xml:space="preserve">6</w:t>
            </w:r>
            <w:r>
              <w:rPr>
                <w:rFonts w:hint="eastAsia" w:ascii="宋体" w:hAnsi="宋体" w:eastAsia="宋体" w:cs="宋体"/>
                <w:color w:val="000000"/>
                <w:sz w:val="21"/>
                <w:szCs w:val="21"/>
                <w:highlight w:val="none"/>
                <w:u w:val="none"/>
                <w:lang w:val="zh-TW" w:eastAsia="zh-TW" w:bidi="ar-SA"/>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Mar>
              <w:left w:w="80" w:type="dxa"/>
              <w:top w:w="80" w:type="dxa"/>
              <w:right w:w="80" w:type="dxa"/>
              <w:bottom w:w="80" w:type="dxa"/>
            </w:tcMar>
            <w:tcW w:w="6972"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宋体"/>
                <w:highlight w:val="none"/>
                <w:lang w:val="zh-TW" w:eastAsia="zh-TW"/>
              </w:rPr>
            </w:pPr>
            <w:r>
              <w:rPr>
                <w:rFonts w:hint="eastAsia" w:ascii="宋体" w:hAnsi="宋体" w:eastAsia="宋体" w:cs="Times New Roman"/>
                <w:color w:val="auto"/>
                <w:sz w:val="21"/>
                <w:szCs w:val="21"/>
                <w:highlight w:val="none"/>
                <w:u w:val="none"/>
                <w:lang w:val="en-US" w:eastAsia="zh-CN" w:bidi="ar-SA"/>
              </w:rPr>
              <w:t xml:space="preserve">多媒体技术运用合理，形式新颖，形式与主题对位，具有很强的互动性的得</w:t>
            </w:r>
            <w:r>
              <w:rPr>
                <w:rFonts w:hint="eastAsia" w:ascii="宋体" w:hAnsi="宋体" w:cs="Times New Roman"/>
                <w:color w:val="auto"/>
                <w:sz w:val="21"/>
                <w:szCs w:val="21"/>
                <w:highlight w:val="none"/>
                <w:u w:val="none"/>
                <w:lang w:val="en-US" w:eastAsia="zh-CN" w:bidi="ar-SA"/>
              </w:rPr>
              <w:t xml:space="preserve">6</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多媒体技术运用较为合理，形式一般，形式与主题基本对位，互动性一般的得</w:t>
            </w:r>
            <w:r>
              <w:rPr>
                <w:rFonts w:hint="eastAsia" w:ascii="宋体" w:hAnsi="宋体" w:cs="Times New Roman"/>
                <w:color w:val="auto"/>
                <w:sz w:val="21"/>
                <w:szCs w:val="21"/>
                <w:highlight w:val="none"/>
                <w:u w:val="none"/>
                <w:lang w:val="en-US" w:eastAsia="zh-CN" w:bidi="ar-SA"/>
              </w:rPr>
              <w:t xml:space="preserve">3</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多媒体技术运用不合理，形式不新颖，形式与主题不对位，基本没有互动性的得</w:t>
            </w:r>
            <w:r>
              <w:rPr>
                <w:rFonts w:hint="eastAsia" w:ascii="宋体" w:hAnsi="宋体" w:cs="Times New Roman"/>
                <w:color w:val="auto"/>
                <w:sz w:val="21"/>
                <w:szCs w:val="21"/>
                <w:highlight w:val="none"/>
                <w:u w:val="none"/>
                <w:lang w:val="en-US" w:eastAsia="zh-CN" w:bidi="ar-SA"/>
              </w:rPr>
              <w:t xml:space="preserve">1</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u w:val="none"/>
                <w:lang w:val="en-US" w:eastAsia="zh-CN" w:bidi="ar-SA"/>
              </w:rPr>
            </w:pPr>
            <w:r>
              <w:rPr>
                <w:rFonts w:hint="default" w:ascii="宋体" w:hAnsi="宋体" w:eastAsia="宋体" w:cs="Arial Unicode MS"/>
                <w:color w:val="000000"/>
                <w:sz w:val="21"/>
                <w:szCs w:val="21"/>
                <w:u w:val="none"/>
                <w:lang w:val="en-US" w:eastAsia="zh-CN" w:bidi="ar-SA"/>
              </w:rPr>
            </w:r>
            <w:r/>
          </w:p>
        </w:tc>
      </w:tr>
      <w:tr>
        <w:trPr>
          <w:jc w:val="center"/>
          <w:trHeight w:val="20"/>
        </w:trPr>
        <w:tc>
          <w:tcPr>
            <w:gridSpan w:val="2"/>
            <w:shd w:val="clear" w:color="auto" w:fill="auto"/>
            <w:tcBorders>
              <w:top w:val="single" w:color="auto" w:sz="4" w:space="0"/>
              <w:left w:val="single" w:color="auto" w:sz="4" w:space="0"/>
              <w:bottom w:val="single" w:color="auto" w:sz="4" w:space="0"/>
              <w:right w:val="single" w:color="auto" w:sz="4" w:space="0"/>
            </w:tcBorders>
            <w:tcW w:w="1336" w:type="dxa"/>
            <w:vAlign w:val="top"/>
            <w:vMerge w:val="continue"/>
            <w:textDirection w:val="lrTb"/>
            <w:noWrap w:val="false"/>
          </w:tcPr>
          <w:p>
            <w:pPr>
              <w:keepLines w:val="0"/>
              <w:keepNext w:val="0"/>
              <w:pageBreakBefore w:val="0"/>
              <w:spacing w:line="300" w:lineRule="exact"/>
              <w:widowControl w:val="off"/>
              <w:rPr>
                <w:rFonts w:hint="default" w:ascii="宋体" w:hAnsi="宋体" w:eastAsia="宋体" w:cs="Times New Roman"/>
                <w:highlight w:val="none"/>
              </w:rPr>
            </w:pPr>
            <w:r>
              <w:rPr>
                <w:rFonts w:hint="default" w:ascii="宋体" w:hAnsi="宋体" w:eastAsia="宋体" w:cs="Times New Roman"/>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098" w:type="dxa"/>
            <w:vAlign w:val="center"/>
            <w:textDirection w:val="lrTb"/>
            <w:noWrap w:val="false"/>
          </w:tcPr>
          <w:p>
            <w:pPr>
              <w:jc w:val="center"/>
              <w:keepLines w:val="0"/>
              <w:keepNext w:val="0"/>
              <w:pageBreakBefore w:val="0"/>
              <w:spacing w:line="300" w:lineRule="exact"/>
              <w:widowControl w:val="off"/>
              <w:tabs>
                <w:tab w:val="left" w:pos="5940" w:leader="none"/>
              </w:tabs>
              <w:rPr>
                <w:rFonts w:hint="default"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u w:val="none"/>
                <w:lang w:val="en-US" w:eastAsia="zh-CN" w:bidi="ar-SA"/>
              </w:rPr>
              <w:t xml:space="preserve">内容凝练与主题深化</w:t>
            </w:r>
            <w:r/>
          </w:p>
          <w:p>
            <w:pPr>
              <w:jc w:val="center"/>
              <w:keepLines w:val="0"/>
              <w:keepNext w:val="0"/>
              <w:pageBreakBefore w:val="0"/>
              <w:spacing w:line="300" w:lineRule="exact"/>
              <w:widowControl w:val="off"/>
              <w:tabs>
                <w:tab w:val="left" w:pos="5940" w:leader="none"/>
              </w:tabs>
              <w:rPr>
                <w:rFonts w:hint="default" w:ascii="宋体" w:hAnsi="宋体" w:eastAsia="宋体" w:cs="宋体"/>
                <w:color w:val="auto"/>
                <w:sz w:val="21"/>
                <w:szCs w:val="21"/>
                <w:highlight w:val="none"/>
                <w:u w:val="none"/>
                <w:lang w:val="zh-TW" w:eastAsia="zh-TW" w:bidi="ar-SA"/>
              </w:rPr>
            </w:pPr>
            <w:r>
              <w:rPr>
                <w:rFonts w:hint="eastAsia" w:ascii="宋体" w:hAnsi="宋体" w:eastAsia="宋体" w:cs="宋体"/>
                <w:color w:val="auto"/>
                <w:sz w:val="21"/>
                <w:szCs w:val="21"/>
                <w:highlight w:val="none"/>
                <w:u w:val="none"/>
                <w:lang w:val="zh-TW" w:eastAsia="zh-TW" w:bidi="ar-SA"/>
              </w:rPr>
              <w:t xml:space="preserve">（</w:t>
            </w:r>
            <w:r>
              <w:rPr>
                <w:rFonts w:hint="eastAsia" w:ascii="宋体" w:hAnsi="宋体" w:cs="宋体"/>
                <w:color w:val="auto"/>
                <w:sz w:val="21"/>
                <w:szCs w:val="21"/>
                <w:highlight w:val="none"/>
                <w:u w:val="none"/>
                <w:lang w:val="en-US" w:eastAsia="zh-CN" w:bidi="ar-SA"/>
              </w:rPr>
              <w:t xml:space="preserve">6</w:t>
            </w:r>
            <w:r>
              <w:rPr>
                <w:rFonts w:hint="eastAsia" w:ascii="宋体" w:hAnsi="宋体" w:eastAsia="宋体" w:cs="宋体"/>
                <w:color w:val="auto"/>
                <w:sz w:val="21"/>
                <w:szCs w:val="21"/>
                <w:highlight w:val="none"/>
                <w:u w:val="none"/>
                <w:lang w:val="zh-TW" w:eastAsia="zh-TW" w:bidi="ar-SA"/>
              </w:rPr>
              <w:t xml:space="preserve">分）</w:t>
            </w:r>
            <w:r/>
          </w:p>
        </w:tc>
        <w:tc>
          <w:tcPr>
            <w:shd w:val="clear" w:color="auto" w:fill="auto"/>
            <w:tcBorders>
              <w:top w:val="single" w:color="000000" w:sz="4" w:space="0"/>
              <w:left w:val="single" w:color="auto" w:sz="4" w:space="0"/>
              <w:bottom w:val="single" w:color="auto" w:sz="4" w:space="0"/>
              <w:right w:val="single" w:color="000000" w:sz="4" w:space="0"/>
            </w:tcBorders>
            <w:tcMar>
              <w:left w:w="80" w:type="dxa"/>
              <w:top w:w="80" w:type="dxa"/>
              <w:right w:w="80" w:type="dxa"/>
              <w:bottom w:w="80" w:type="dxa"/>
            </w:tcMar>
            <w:tcW w:w="6972" w:type="dxa"/>
            <w:vAlign w:val="center"/>
            <w:textDirection w:val="lrTb"/>
            <w:noWrap w:val="false"/>
          </w:tcPr>
          <w:p>
            <w:pPr>
              <w:jc w:val="left"/>
              <w:keepLines w:val="0"/>
              <w:keepNext w:val="0"/>
              <w:pageBreakBefore w:val="0"/>
              <w:spacing w:line="300" w:lineRule="exact"/>
              <w:widowControl w:val="off"/>
              <w:rPr>
                <w:rFonts w:hint="default" w:ascii="宋体" w:hAnsi="宋体" w:eastAsia="宋体" w:cs="宋体"/>
                <w:color w:val="auto"/>
                <w:sz w:val="21"/>
                <w:szCs w:val="21"/>
                <w:highlight w:val="none"/>
                <w:u w:val="none"/>
                <w:lang w:val="zh-TW" w:eastAsia="zh-TW" w:bidi="ar-SA"/>
              </w:rPr>
            </w:pPr>
            <w:r>
              <w:rPr>
                <w:rFonts w:hint="eastAsia" w:ascii="宋体" w:hAnsi="宋体" w:eastAsia="宋体" w:cs="Times New Roman"/>
                <w:color w:val="auto"/>
                <w:sz w:val="21"/>
                <w:szCs w:val="21"/>
                <w:highlight w:val="none"/>
                <w:u w:val="none"/>
                <w:lang w:val="en-US" w:eastAsia="zh-CN" w:bidi="ar-SA"/>
              </w:rPr>
              <w:t xml:space="preserve">对</w:t>
            </w:r>
            <w:r>
              <w:rPr>
                <w:rFonts w:hint="eastAsia" w:ascii="宋体" w:hAnsi="宋体" w:cs="Times New Roman"/>
                <w:color w:val="auto"/>
                <w:sz w:val="21"/>
                <w:szCs w:val="21"/>
                <w:highlight w:val="none"/>
                <w:u w:val="none"/>
                <w:lang w:val="en-US" w:eastAsia="zh-CN" w:bidi="ar-SA"/>
              </w:rPr>
              <w:t xml:space="preserve">磋商文件</w:t>
            </w:r>
            <w:r>
              <w:rPr>
                <w:rFonts w:hint="eastAsia" w:ascii="宋体" w:hAnsi="宋体" w:eastAsia="宋体" w:cs="Times New Roman"/>
                <w:color w:val="auto"/>
                <w:sz w:val="21"/>
                <w:szCs w:val="21"/>
                <w:highlight w:val="none"/>
                <w:u w:val="none"/>
                <w:lang w:val="en-US" w:eastAsia="zh-CN" w:bidi="ar-SA"/>
              </w:rPr>
              <w:t xml:space="preserve">采购需求理解深刻，凝练内容特色，突出展陈主题。对内容深化、归纳总结出展示主体的最大特色与亮点的得</w:t>
            </w:r>
            <w:r>
              <w:rPr>
                <w:rFonts w:hint="eastAsia" w:ascii="宋体" w:hAnsi="宋体" w:cs="Times New Roman"/>
                <w:color w:val="auto"/>
                <w:sz w:val="21"/>
                <w:szCs w:val="21"/>
                <w:highlight w:val="none"/>
                <w:u w:val="none"/>
                <w:lang w:val="en-US" w:eastAsia="zh-CN" w:bidi="ar-SA"/>
              </w:rPr>
              <w:t xml:space="preserve">6</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对</w:t>
            </w:r>
            <w:r>
              <w:rPr>
                <w:rFonts w:hint="eastAsia" w:ascii="宋体" w:hAnsi="宋体" w:cs="Times New Roman"/>
                <w:color w:val="auto"/>
                <w:sz w:val="21"/>
                <w:szCs w:val="21"/>
                <w:highlight w:val="none"/>
                <w:u w:val="none"/>
                <w:lang w:val="en-US" w:eastAsia="zh-CN" w:bidi="ar-SA"/>
              </w:rPr>
              <w:t xml:space="preserve">磋商文件</w:t>
            </w:r>
            <w:r>
              <w:rPr>
                <w:rFonts w:hint="eastAsia" w:ascii="宋体" w:hAnsi="宋体" w:eastAsia="宋体" w:cs="Times New Roman"/>
                <w:color w:val="auto"/>
                <w:sz w:val="21"/>
                <w:szCs w:val="21"/>
                <w:highlight w:val="none"/>
                <w:u w:val="none"/>
                <w:lang w:val="en-US" w:eastAsia="zh-CN" w:bidi="ar-SA"/>
              </w:rPr>
              <w:t xml:space="preserve">采购需求基本理解，能基本凝练内容特色，基本体现展陈主题。对内容深化、归纳总结出展示主体的基本特色与亮点的得</w:t>
            </w:r>
            <w:r>
              <w:rPr>
                <w:rFonts w:hint="eastAsia" w:ascii="宋体" w:hAnsi="宋体" w:cs="Times New Roman"/>
                <w:color w:val="auto"/>
                <w:sz w:val="21"/>
                <w:szCs w:val="21"/>
                <w:highlight w:val="none"/>
                <w:u w:val="none"/>
                <w:lang w:val="en-US" w:eastAsia="zh-CN" w:bidi="ar-SA"/>
              </w:rPr>
              <w:t xml:space="preserve">3</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对</w:t>
            </w:r>
            <w:r>
              <w:rPr>
                <w:rFonts w:hint="eastAsia" w:ascii="宋体" w:hAnsi="宋体" w:cs="Times New Roman"/>
                <w:color w:val="auto"/>
                <w:sz w:val="21"/>
                <w:szCs w:val="21"/>
                <w:highlight w:val="none"/>
                <w:u w:val="none"/>
                <w:lang w:val="en-US" w:eastAsia="zh-CN" w:bidi="ar-SA"/>
              </w:rPr>
              <w:t xml:space="preserve">磋商文件</w:t>
            </w:r>
            <w:r>
              <w:rPr>
                <w:rFonts w:hint="eastAsia" w:ascii="宋体" w:hAnsi="宋体" w:eastAsia="宋体" w:cs="Times New Roman"/>
                <w:color w:val="auto"/>
                <w:sz w:val="21"/>
                <w:szCs w:val="21"/>
                <w:highlight w:val="none"/>
                <w:u w:val="none"/>
                <w:lang w:val="en-US" w:eastAsia="zh-CN" w:bidi="ar-SA"/>
              </w:rPr>
              <w:t xml:space="preserve">采购需求理解不深刻，凝练内容无特色，没有突出展陈主题。对内容深化、归纳未能总结出展示主体的最大特色与亮点的得</w:t>
            </w:r>
            <w:r>
              <w:rPr>
                <w:rFonts w:hint="eastAsia" w:ascii="宋体" w:hAnsi="宋体" w:cs="Times New Roman"/>
                <w:color w:val="auto"/>
                <w:sz w:val="21"/>
                <w:szCs w:val="21"/>
                <w:highlight w:val="none"/>
                <w:u w:val="none"/>
                <w:lang w:val="en-US" w:eastAsia="zh-CN" w:bidi="ar-SA"/>
              </w:rPr>
              <w:t xml:space="preserve">1</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未提供的不得分。</w:t>
            </w:r>
            <w:r/>
          </w:p>
        </w:tc>
        <w:tc>
          <w:tcPr>
            <w:shd w:val="clear" w:color="auto" w:fill="auto"/>
            <w:tcBorders>
              <w:top w:val="single" w:color="000000" w:sz="4" w:space="0"/>
              <w:left w:val="single" w:color="000000" w:sz="4" w:space="0"/>
              <w:bottom w:val="single" w:color="auto" w:sz="4" w:space="0"/>
              <w:right w:val="single" w:color="000000" w:sz="4" w:space="0"/>
            </w:tcBorders>
            <w:tcMar>
              <w:left w:w="80" w:type="dxa"/>
              <w:top w:w="80" w:type="dxa"/>
              <w:right w:w="80" w:type="dxa"/>
              <w:bottom w:w="80" w:type="dxa"/>
            </w:tcMar>
            <w:tcW w:w="658"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Arial Unicode MS"/>
                <w:color w:val="auto"/>
                <w:sz w:val="21"/>
                <w:szCs w:val="21"/>
                <w:u w:val="none"/>
                <w:lang w:val="en-US" w:eastAsia="zh-CN" w:bidi="ar-SA"/>
              </w:rPr>
            </w:pPr>
            <w:r>
              <w:rPr>
                <w:rFonts w:hint="default" w:ascii="宋体" w:hAnsi="宋体" w:eastAsia="宋体" w:cs="Arial Unicode MS"/>
                <w:color w:val="auto"/>
                <w:sz w:val="21"/>
                <w:szCs w:val="21"/>
                <w:u w:val="none"/>
                <w:lang w:val="en-US" w:eastAsia="zh-CN" w:bidi="ar-SA"/>
              </w:rPr>
            </w:r>
            <w:r/>
          </w:p>
        </w:tc>
      </w:tr>
      <w:tr>
        <w:trPr>
          <w:jc w:val="center"/>
          <w:trHeight w:val="2804"/>
        </w:trPr>
        <w:tc>
          <w:tcPr>
            <w:gridSpan w:val="2"/>
            <w:shd w:val="clear" w:color="auto" w:fill="auto"/>
            <w:tcBorders>
              <w:top w:val="single" w:color="auto" w:sz="4" w:space="0"/>
              <w:left w:val="single" w:color="auto" w:sz="4" w:space="0"/>
              <w:bottom w:val="single" w:color="auto" w:sz="4" w:space="0"/>
              <w:right w:val="single" w:color="auto" w:sz="4" w:space="0"/>
            </w:tcBorders>
            <w:tcW w:w="1336" w:type="dxa"/>
            <w:vAlign w:val="top"/>
            <w:vMerge w:val="continue"/>
            <w:textDirection w:val="lrTb"/>
            <w:noWrap w:val="false"/>
          </w:tcPr>
          <w:p>
            <w:pPr>
              <w:keepLines w:val="0"/>
              <w:keepNext w:val="0"/>
              <w:pageBreakBefore w:val="0"/>
              <w:spacing w:line="300" w:lineRule="exact"/>
              <w:widowControl w:val="off"/>
              <w:rPr>
                <w:rFonts w:hint="default" w:ascii="宋体" w:hAnsi="宋体" w:eastAsia="宋体" w:cs="Times New Roman"/>
                <w:highlight w:val="none"/>
              </w:rPr>
            </w:pPr>
            <w:r>
              <w:rPr>
                <w:rFonts w:hint="default" w:ascii="宋体" w:hAnsi="宋体" w:eastAsia="宋体" w:cs="Times New Roman"/>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098" w:type="dxa"/>
            <w:vAlign w:val="center"/>
            <w:textDirection w:val="lrTb"/>
            <w:noWrap w:val="false"/>
          </w:tcPr>
          <w:p>
            <w:pPr>
              <w:jc w:val="center"/>
              <w:keepLines w:val="0"/>
              <w:keepNext w:val="0"/>
              <w:pageBreakBefore w:val="0"/>
              <w:spacing w:line="300" w:lineRule="exact"/>
              <w:widowControl w:val="off"/>
              <w:tabs>
                <w:tab w:val="left" w:pos="5940" w:leader="none"/>
              </w:tabs>
              <w:rPr>
                <w:rFonts w:hint="eastAsia" w:ascii="宋体" w:hAnsi="宋体" w:eastAsia="宋体" w:cs="Arial Unicode MS"/>
                <w:color w:val="000000"/>
                <w:sz w:val="21"/>
                <w:szCs w:val="21"/>
                <w:highlight w:val="none"/>
                <w:u w:val="none"/>
                <w:lang w:val="en-US" w:eastAsia="zh-CN" w:bidi="ar-SA"/>
              </w:rPr>
            </w:pPr>
            <w:r>
              <w:rPr>
                <w:rFonts w:hint="eastAsia" w:ascii="宋体" w:hAnsi="宋体" w:eastAsia="宋体" w:cs="Arial Unicode MS"/>
                <w:color w:val="000000"/>
                <w:sz w:val="21"/>
                <w:szCs w:val="21"/>
                <w:highlight w:val="none"/>
                <w:u w:val="none"/>
                <w:lang w:val="en-US" w:eastAsia="zh-CN" w:bidi="ar-SA"/>
              </w:rPr>
              <w:t xml:space="preserve">展示形式</w:t>
            </w:r>
            <w:r/>
          </w:p>
          <w:p>
            <w:pPr>
              <w:jc w:val="center"/>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highlight w:val="none"/>
                <w:u w:val="none"/>
                <w:lang w:val="en-US" w:eastAsia="zh-CN" w:bidi="ar-SA"/>
              </w:rPr>
            </w:pPr>
            <w:r>
              <w:rPr>
                <w:rFonts w:hint="eastAsia" w:ascii="宋体" w:hAnsi="宋体" w:eastAsia="宋体" w:cs="Arial Unicode MS"/>
                <w:color w:val="000000"/>
                <w:sz w:val="21"/>
                <w:szCs w:val="21"/>
                <w:highlight w:val="none"/>
                <w:u w:val="none"/>
                <w:lang w:val="en-US" w:eastAsia="zh-CN" w:bidi="ar-SA"/>
              </w:rPr>
              <w:t xml:space="preserve">（</w:t>
            </w:r>
            <w:r>
              <w:rPr>
                <w:rFonts w:hint="eastAsia" w:ascii="宋体" w:hAnsi="宋体" w:cs="Arial Unicode MS"/>
                <w:color w:val="000000"/>
                <w:sz w:val="21"/>
                <w:szCs w:val="21"/>
                <w:highlight w:val="none"/>
                <w:u w:val="none"/>
                <w:lang w:val="en-US" w:eastAsia="zh-CN" w:bidi="ar-SA"/>
              </w:rPr>
              <w:t xml:space="preserve">6</w:t>
            </w:r>
            <w:r>
              <w:rPr>
                <w:rFonts w:hint="eastAsia" w:ascii="宋体" w:hAnsi="宋体" w:eastAsia="宋体" w:cs="Arial Unicode MS"/>
                <w:color w:val="000000"/>
                <w:sz w:val="21"/>
                <w:szCs w:val="21"/>
                <w:highlight w:val="none"/>
                <w:u w:val="none"/>
                <w:lang w:val="en-US" w:eastAsia="zh-CN" w:bidi="ar-SA"/>
              </w:rPr>
              <w:t xml:space="preserve">分）</w:t>
            </w:r>
            <w:r/>
          </w:p>
        </w:tc>
        <w:tc>
          <w:tcPr>
            <w:shd w:val="clear" w:color="auto" w:fill="auto"/>
            <w:tcBorders>
              <w:top w:val="single" w:color="auto" w:sz="4" w:space="0"/>
              <w:left w:val="single" w:color="auto" w:sz="4" w:space="0"/>
              <w:bottom w:val="single" w:color="auto" w:sz="4" w:space="0"/>
              <w:right w:val="single" w:color="000000" w:sz="4" w:space="0"/>
            </w:tcBorders>
            <w:tcMar>
              <w:left w:w="80" w:type="dxa"/>
              <w:top w:w="80" w:type="dxa"/>
              <w:right w:w="80" w:type="dxa"/>
              <w:bottom w:w="80" w:type="dxa"/>
            </w:tcMar>
            <w:tcW w:w="6972"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Times New Roman"/>
                <w:color w:val="auto"/>
                <w:sz w:val="21"/>
                <w:szCs w:val="21"/>
                <w:highlight w:val="none"/>
                <w:u w:val="none"/>
                <w:lang w:val="en-US" w:eastAsia="zh-CN" w:bidi="ar-SA"/>
              </w:rPr>
            </w:pPr>
            <w:r>
              <w:rPr>
                <w:rFonts w:hint="eastAsia" w:ascii="宋体" w:hAnsi="宋体" w:eastAsia="宋体" w:cs="Times New Roman"/>
                <w:color w:val="auto"/>
                <w:sz w:val="21"/>
                <w:szCs w:val="21"/>
                <w:highlight w:val="none"/>
                <w:u w:val="none"/>
                <w:lang w:val="en-US" w:eastAsia="zh-CN" w:bidi="ar-SA"/>
              </w:rPr>
              <w:t xml:space="preserve">采用多种展示方式和手段，能够深入结合人物故事精神进行创作，因地制宜、特色鲜明，能充分体现本项目展品（展项）构想、空间氛围、展示手段的得</w:t>
            </w:r>
            <w:r>
              <w:rPr>
                <w:rFonts w:hint="eastAsia" w:ascii="宋体" w:hAnsi="宋体" w:cs="Times New Roman"/>
                <w:color w:val="auto"/>
                <w:sz w:val="21"/>
                <w:szCs w:val="21"/>
                <w:highlight w:val="none"/>
                <w:u w:val="none"/>
                <w:lang w:val="en-US" w:eastAsia="zh-CN" w:bidi="ar-SA"/>
              </w:rPr>
              <w:t xml:space="preserve">6</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采用常见常规的展示方式和手段，部分结合人物故事精神进行创作，基本能体现本项目展品（展项）构想、空间氛围、展示手段的得</w:t>
            </w:r>
            <w:r>
              <w:rPr>
                <w:rFonts w:hint="eastAsia" w:ascii="宋体" w:hAnsi="宋体" w:cs="Times New Roman"/>
                <w:color w:val="auto"/>
                <w:sz w:val="21"/>
                <w:szCs w:val="21"/>
                <w:highlight w:val="none"/>
                <w:u w:val="none"/>
                <w:lang w:val="en-US" w:eastAsia="zh-CN" w:bidi="ar-SA"/>
              </w:rPr>
              <w:t xml:space="preserve">3</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采用单一的展示方式和手段，未能结合人物故事精神进行创作，创新不够，视觉不够新颖，未能体现本项目展品（展项）构想、空间氛围、展示手段的得</w:t>
            </w:r>
            <w:r>
              <w:rPr>
                <w:rFonts w:hint="eastAsia" w:ascii="宋体" w:hAnsi="宋体" w:cs="Times New Roman"/>
                <w:color w:val="auto"/>
                <w:sz w:val="21"/>
                <w:szCs w:val="21"/>
                <w:highlight w:val="none"/>
                <w:u w:val="none"/>
                <w:lang w:val="en-US" w:eastAsia="zh-CN" w:bidi="ar-SA"/>
              </w:rPr>
              <w:t xml:space="preserve">1</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未提供的不得分。</w:t>
            </w:r>
            <w:r/>
          </w:p>
        </w:tc>
        <w:tc>
          <w:tcPr>
            <w:shd w:val="clear" w:color="auto" w:fill="auto"/>
            <w:tcBorders>
              <w:top w:val="single" w:color="auto" w:sz="4" w:space="0"/>
              <w:left w:val="single" w:color="000000" w:sz="4" w:space="0"/>
              <w:bottom w:val="single" w:color="auto" w:sz="4" w:space="0"/>
              <w:right w:val="single" w:color="auto" w:sz="4" w:space="0"/>
            </w:tcBorders>
            <w:tcMar>
              <w:left w:w="80" w:type="dxa"/>
              <w:top w:w="80" w:type="dxa"/>
              <w:right w:w="80" w:type="dxa"/>
              <w:bottom w:w="80" w:type="dxa"/>
            </w:tcMar>
            <w:tcW w:w="658"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u w:val="none"/>
                <w:lang w:val="en-US" w:eastAsia="zh-CN" w:bidi="ar-SA"/>
              </w:rPr>
            </w:pPr>
            <w:r>
              <w:rPr>
                <w:rFonts w:hint="default" w:ascii="宋体" w:hAnsi="宋体" w:eastAsia="宋体" w:cs="Arial Unicode MS"/>
                <w:color w:val="000000"/>
                <w:sz w:val="21"/>
                <w:szCs w:val="21"/>
                <w:u w:val="none"/>
                <w:lang w:val="en-US" w:eastAsia="zh-CN" w:bidi="ar-SA"/>
              </w:rPr>
            </w:r>
            <w:r/>
          </w:p>
        </w:tc>
      </w:tr>
      <w:tr>
        <w:trPr>
          <w:jc w:val="center"/>
          <w:trHeight w:val="2516"/>
        </w:trPr>
        <w:tc>
          <w:tcPr>
            <w:gridSpan w:val="2"/>
            <w:shd w:val="clear" w:color="auto" w:fill="auto"/>
            <w:tcBorders>
              <w:top w:val="single" w:color="auto" w:sz="4" w:space="0"/>
              <w:left w:val="single" w:color="auto" w:sz="4" w:space="0"/>
              <w:right w:val="single" w:color="000000" w:sz="4" w:space="0"/>
            </w:tcBorders>
            <w:tcW w:w="1336" w:type="dxa"/>
            <w:vAlign w:val="top"/>
            <w:vMerge w:val="continue"/>
            <w:textDirection w:val="lrTb"/>
            <w:noWrap w:val="false"/>
          </w:tcPr>
          <w:p>
            <w:pPr>
              <w:keepLines w:val="0"/>
              <w:keepNext w:val="0"/>
              <w:pageBreakBefore w:val="0"/>
              <w:spacing w:line="240" w:lineRule="auto"/>
              <w:widowControl w:val="off"/>
              <w:rPr>
                <w:rFonts w:hint="default" w:ascii="宋体" w:hAnsi="宋体" w:eastAsia="宋体" w:cs="Times New Roman"/>
                <w:highlight w:val="none"/>
              </w:rPr>
            </w:pPr>
            <w:r>
              <w:rPr>
                <w:rFonts w:hint="default" w:ascii="宋体" w:hAnsi="宋体" w:eastAsia="宋体" w:cs="Times New Roman"/>
                <w:highlight w:val="none"/>
              </w:rPr>
            </w:r>
            <w:r/>
          </w:p>
        </w:tc>
        <w:tc>
          <w:tcPr>
            <w:shd w:val="clear" w:color="auto" w:fill="auto"/>
            <w:tcBorders>
              <w:top w:val="single" w:color="auto" w:sz="4" w:space="0"/>
              <w:left w:val="single" w:color="auto" w:sz="4" w:space="0"/>
              <w:bottom w:val="single" w:color="auto" w:sz="4" w:space="0"/>
              <w:right w:val="single" w:color="000000" w:sz="4" w:space="0"/>
            </w:tcBorders>
            <w:tcMar>
              <w:left w:w="80" w:type="dxa"/>
              <w:top w:w="80" w:type="dxa"/>
              <w:right w:w="80" w:type="dxa"/>
              <w:bottom w:w="80" w:type="dxa"/>
            </w:tcMar>
            <w:tcW w:w="1098" w:type="dxa"/>
            <w:vAlign w:val="center"/>
            <w:textDirection w:val="lrTb"/>
            <w:noWrap w:val="false"/>
          </w:tcPr>
          <w:p>
            <w:pPr>
              <w:jc w:val="center"/>
              <w:keepLines w:val="0"/>
              <w:keepNext w:val="0"/>
              <w:pageBreakBefore w:val="0"/>
              <w:spacing w:line="300" w:lineRule="exact"/>
              <w:widowControl w:val="off"/>
              <w:tabs>
                <w:tab w:val="left" w:pos="5940" w:leader="none"/>
              </w:tabs>
              <w:rPr>
                <w:rFonts w:hint="eastAsia" w:ascii="宋体" w:hAnsi="宋体" w:eastAsia="宋体" w:cs="Arial Unicode MS"/>
                <w:color w:val="000000"/>
                <w:sz w:val="21"/>
                <w:szCs w:val="21"/>
                <w:highlight w:val="none"/>
                <w:u w:val="none"/>
                <w:lang w:val="en-US" w:eastAsia="zh-CN" w:bidi="ar-SA"/>
              </w:rPr>
            </w:pPr>
            <w:r>
              <w:rPr>
                <w:rFonts w:hint="eastAsia" w:ascii="宋体" w:hAnsi="宋体" w:eastAsia="宋体" w:cs="Arial Unicode MS"/>
                <w:color w:val="000000"/>
                <w:sz w:val="21"/>
                <w:szCs w:val="21"/>
                <w:highlight w:val="none"/>
                <w:u w:val="none"/>
                <w:lang w:val="en-US" w:eastAsia="zh-CN" w:bidi="ar-SA"/>
              </w:rPr>
              <w:t xml:space="preserve">实施图纸</w:t>
            </w:r>
            <w:r/>
          </w:p>
          <w:p>
            <w:pPr>
              <w:jc w:val="center"/>
              <w:keepLines w:val="0"/>
              <w:keepNext w:val="0"/>
              <w:pageBreakBefore w:val="0"/>
              <w:spacing w:line="300" w:lineRule="exact"/>
              <w:widowControl w:val="off"/>
              <w:tabs>
                <w:tab w:val="left" w:pos="5940" w:leader="none"/>
              </w:tabs>
              <w:rPr>
                <w:rFonts w:hint="eastAsia" w:ascii="宋体" w:hAnsi="宋体" w:eastAsia="宋体" w:cs="Arial Unicode MS"/>
                <w:color w:val="000000"/>
                <w:sz w:val="21"/>
                <w:szCs w:val="21"/>
                <w:highlight w:val="none"/>
                <w:u w:val="none"/>
                <w:lang w:val="en-US" w:eastAsia="zh-CN" w:bidi="ar-SA"/>
              </w:rPr>
            </w:pPr>
            <w:r>
              <w:rPr>
                <w:rFonts w:hint="eastAsia" w:ascii="宋体" w:hAnsi="宋体" w:eastAsia="宋体" w:cs="Arial Unicode MS"/>
                <w:color w:val="000000"/>
                <w:sz w:val="21"/>
                <w:szCs w:val="21"/>
                <w:highlight w:val="none"/>
                <w:u w:val="none"/>
                <w:lang w:val="en-US" w:eastAsia="zh-CN" w:bidi="ar-SA"/>
              </w:rPr>
              <w:t xml:space="preserve">（</w:t>
            </w:r>
            <w:r>
              <w:rPr>
                <w:rFonts w:hint="eastAsia" w:ascii="宋体" w:hAnsi="宋体" w:cs="Arial Unicode MS"/>
                <w:color w:val="000000"/>
                <w:sz w:val="21"/>
                <w:szCs w:val="21"/>
                <w:highlight w:val="none"/>
                <w:u w:val="none"/>
                <w:lang w:val="en-US" w:eastAsia="zh-CN" w:bidi="ar-SA"/>
              </w:rPr>
              <w:t xml:space="preserve">6</w:t>
            </w:r>
            <w:r>
              <w:rPr>
                <w:rFonts w:hint="eastAsia" w:ascii="宋体" w:hAnsi="宋体" w:eastAsia="宋体" w:cs="Arial Unicode MS"/>
                <w:color w:val="000000"/>
                <w:sz w:val="21"/>
                <w:szCs w:val="21"/>
                <w:highlight w:val="none"/>
                <w:u w:val="none"/>
                <w:lang w:val="en-US" w:eastAsia="zh-CN" w:bidi="ar-SA"/>
              </w:rPr>
              <w:t xml:space="preserve">分）</w:t>
            </w:r>
            <w:r/>
          </w:p>
        </w:tc>
        <w:tc>
          <w:tcPr>
            <w:shd w:val="clear" w:color="auto" w:fill="auto"/>
            <w:tcBorders>
              <w:top w:val="single" w:color="auto" w:sz="4" w:space="0"/>
              <w:left w:val="single" w:color="000000" w:sz="4" w:space="0"/>
              <w:bottom w:val="single" w:color="auto" w:sz="4" w:space="0"/>
              <w:right w:val="single" w:color="000000" w:sz="4" w:space="0"/>
            </w:tcBorders>
            <w:tcMar>
              <w:left w:w="80" w:type="dxa"/>
              <w:top w:w="80" w:type="dxa"/>
              <w:right w:w="80" w:type="dxa"/>
              <w:bottom w:w="80" w:type="dxa"/>
            </w:tcMar>
            <w:tcW w:w="6972" w:type="dxa"/>
            <w:vAlign w:val="center"/>
            <w:textDirection w:val="lrTb"/>
            <w:noWrap w:val="false"/>
          </w:tcPr>
          <w:p>
            <w:pPr>
              <w:jc w:val="left"/>
              <w:keepLines w:val="0"/>
              <w:keepNext w:val="0"/>
              <w:pageBreakBefore w:val="0"/>
              <w:spacing w:line="300" w:lineRule="exact"/>
              <w:widowControl w:val="off"/>
              <w:tabs>
                <w:tab w:val="left" w:pos="5940" w:leader="none"/>
              </w:tabs>
              <w:rPr>
                <w:rFonts w:hint="eastAsia" w:ascii="宋体" w:hAnsi="宋体" w:eastAsia="宋体" w:cs="Times New Roman"/>
                <w:color w:val="auto"/>
                <w:sz w:val="21"/>
                <w:szCs w:val="21"/>
                <w:highlight w:val="none"/>
                <w:u w:val="none"/>
                <w:lang w:val="en-US" w:eastAsia="zh-CN" w:bidi="ar-SA"/>
              </w:rPr>
            </w:pPr>
            <w:r>
              <w:rPr>
                <w:rFonts w:hint="eastAsia" w:ascii="宋体" w:hAnsi="宋体" w:eastAsia="宋体" w:cs="Times New Roman"/>
                <w:color w:val="auto"/>
                <w:sz w:val="21"/>
                <w:szCs w:val="21"/>
                <w:highlight w:val="none"/>
                <w:u w:val="none"/>
                <w:lang w:val="en-US" w:eastAsia="zh-CN" w:bidi="ar-SA"/>
              </w:rPr>
              <w:t xml:space="preserve">投标单位能提供项目实施施工图，设计完整、规范，包含平顶地图、立面（剖面）图的得</w:t>
            </w:r>
            <w:r>
              <w:rPr>
                <w:rFonts w:hint="eastAsia" w:ascii="宋体" w:hAnsi="宋体" w:cs="Times New Roman"/>
                <w:color w:val="auto"/>
                <w:sz w:val="21"/>
                <w:szCs w:val="21"/>
                <w:highlight w:val="none"/>
                <w:u w:val="none"/>
                <w:lang w:val="en-US" w:eastAsia="zh-CN" w:bidi="ar-SA"/>
              </w:rPr>
              <w:t xml:space="preserve">6</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投标单位能基本提供项目实施施工图，设计基本完整、规范，包含平顶地图、立面（剖面）图的得</w:t>
            </w:r>
            <w:r>
              <w:rPr>
                <w:rFonts w:hint="eastAsia" w:ascii="宋体" w:hAnsi="宋体" w:cs="Times New Roman"/>
                <w:color w:val="auto"/>
                <w:sz w:val="21"/>
                <w:szCs w:val="21"/>
                <w:highlight w:val="none"/>
                <w:u w:val="none"/>
                <w:lang w:val="en-US" w:eastAsia="zh-CN" w:bidi="ar-SA"/>
              </w:rPr>
              <w:t xml:space="preserve">3</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投标单位能基本提供项目实施施工图，设计基本完整、规范，平顶地图、立面（剖面）图不齐全的得</w:t>
            </w:r>
            <w:r>
              <w:rPr>
                <w:rFonts w:hint="eastAsia" w:ascii="宋体" w:hAnsi="宋体" w:cs="Times New Roman"/>
                <w:color w:val="auto"/>
                <w:sz w:val="21"/>
                <w:szCs w:val="21"/>
                <w:highlight w:val="none"/>
                <w:u w:val="none"/>
                <w:lang w:val="en-US" w:eastAsia="zh-CN" w:bidi="ar-SA"/>
              </w:rPr>
              <w:t xml:space="preserve">1</w:t>
            </w:r>
            <w:r>
              <w:rPr>
                <w:rFonts w:hint="eastAsia" w:ascii="宋体" w:hAnsi="宋体" w:eastAsia="宋体" w:cs="Times New Roman"/>
                <w:color w:val="auto"/>
                <w:sz w:val="21"/>
                <w:szCs w:val="21"/>
                <w:highlight w:val="none"/>
                <w:u w:val="none"/>
                <w:lang w:val="en-US" w:eastAsia="zh-CN" w:bidi="ar-SA"/>
              </w:rPr>
              <w:t xml:space="preserve">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未提供的不得分。</w:t>
            </w:r>
            <w:r/>
          </w:p>
        </w:tc>
        <w:tc>
          <w:tcPr>
            <w:shd w:val="clear" w:color="auto" w:fill="auto"/>
            <w:tcBorders>
              <w:top w:val="single" w:color="auto" w:sz="4" w:space="0"/>
              <w:left w:val="single" w:color="000000" w:sz="4" w:space="0"/>
              <w:bottom w:val="single" w:color="auto" w:sz="4" w:space="0"/>
              <w:right w:val="single" w:color="auto" w:sz="4" w:space="0"/>
            </w:tcBorders>
            <w:tcMar>
              <w:left w:w="80" w:type="dxa"/>
              <w:top w:w="80" w:type="dxa"/>
              <w:right w:w="80" w:type="dxa"/>
              <w:bottom w:w="80" w:type="dxa"/>
            </w:tcMar>
            <w:tcW w:w="658"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u w:val="none"/>
                <w:lang w:val="en-US" w:eastAsia="zh-CN" w:bidi="ar-SA"/>
              </w:rPr>
            </w:pPr>
            <w:r>
              <w:rPr>
                <w:rFonts w:hint="default" w:ascii="宋体" w:hAnsi="宋体" w:eastAsia="宋体" w:cs="Arial Unicode MS"/>
                <w:color w:val="000000"/>
                <w:sz w:val="21"/>
                <w:szCs w:val="21"/>
                <w:u w:val="none"/>
                <w:lang w:val="en-US" w:eastAsia="zh-CN" w:bidi="ar-SA"/>
              </w:rPr>
            </w:r>
            <w:r/>
          </w:p>
        </w:tc>
      </w:tr>
      <w:tr>
        <w:trPr>
          <w:jc w:val="center"/>
          <w:trHeight w:val="2804"/>
        </w:trPr>
        <w:tc>
          <w:tcPr>
            <w:gridSpan w:val="2"/>
            <w:shd w:val="clear" w:color="auto" w:fill="auto"/>
            <w:tcBorders>
              <w:top w:val="single" w:color="auto" w:sz="4" w:space="0"/>
              <w:left w:val="single" w:color="auto" w:sz="4" w:space="0"/>
              <w:right w:val="single" w:color="000000" w:sz="4" w:space="0"/>
            </w:tcBorders>
            <w:tcW w:w="1336" w:type="dxa"/>
            <w:vAlign w:val="top"/>
            <w:vMerge w:val="continue"/>
            <w:textDirection w:val="lrTb"/>
            <w:noWrap w:val="false"/>
          </w:tcPr>
          <w:p>
            <w:pPr>
              <w:keepLines w:val="0"/>
              <w:keepNext w:val="0"/>
              <w:pageBreakBefore w:val="0"/>
              <w:spacing w:line="240" w:lineRule="auto"/>
              <w:widowControl w:val="off"/>
              <w:rPr>
                <w:rFonts w:hint="default" w:ascii="宋体" w:hAnsi="宋体" w:eastAsia="宋体" w:cs="Times New Roman"/>
                <w:highlight w:val="none"/>
              </w:rPr>
            </w:pPr>
            <w:r>
              <w:rPr>
                <w:rFonts w:hint="default" w:ascii="宋体" w:hAnsi="宋体" w:eastAsia="宋体" w:cs="Times New Roman"/>
                <w:highlight w:val="none"/>
              </w:rPr>
            </w:r>
            <w:r/>
          </w:p>
        </w:tc>
        <w:tc>
          <w:tcPr>
            <w:shd w:val="clear" w:color="auto" w:fill="auto"/>
            <w:tcBorders>
              <w:top w:val="single" w:color="auto" w:sz="4" w:space="0"/>
              <w:left w:val="single" w:color="auto" w:sz="4" w:space="0"/>
              <w:bottom w:val="single" w:color="auto" w:sz="4" w:space="0"/>
              <w:right w:val="single" w:color="000000" w:sz="4" w:space="0"/>
            </w:tcBorders>
            <w:tcMar>
              <w:left w:w="80" w:type="dxa"/>
              <w:top w:w="80" w:type="dxa"/>
              <w:right w:w="80" w:type="dxa"/>
              <w:bottom w:w="80" w:type="dxa"/>
            </w:tcMar>
            <w:tcW w:w="1098" w:type="dxa"/>
            <w:vAlign w:val="center"/>
            <w:textDirection w:val="lrTb"/>
            <w:noWrap w:val="false"/>
          </w:tcPr>
          <w:p>
            <w:pPr>
              <w:jc w:val="center"/>
              <w:keepLines w:val="0"/>
              <w:keepNext w:val="0"/>
              <w:pageBreakBefore w:val="0"/>
              <w:spacing w:line="300" w:lineRule="exact"/>
              <w:widowControl w:val="off"/>
              <w:tabs>
                <w:tab w:val="left" w:pos="5940" w:leader="none"/>
              </w:tabs>
              <w:rPr>
                <w:rFonts w:hint="eastAsia" w:ascii="宋体" w:hAnsi="宋体" w:eastAsia="宋体" w:cs="Arial Unicode MS"/>
                <w:color w:val="000000"/>
                <w:sz w:val="21"/>
                <w:szCs w:val="21"/>
                <w:highlight w:val="none"/>
                <w:u w:val="none"/>
                <w:lang w:val="en-US" w:eastAsia="zh-CN" w:bidi="ar-SA"/>
              </w:rPr>
            </w:pPr>
            <w:r>
              <w:rPr>
                <w:rFonts w:hint="eastAsia" w:ascii="宋体" w:hAnsi="宋体" w:eastAsia="宋体" w:cs="Arial Unicode MS"/>
                <w:color w:val="000000"/>
                <w:sz w:val="21"/>
                <w:szCs w:val="21"/>
                <w:highlight w:val="none"/>
                <w:u w:val="none"/>
                <w:lang w:val="en-US" w:eastAsia="zh-CN" w:bidi="ar-SA"/>
              </w:rPr>
              <w:t xml:space="preserve">平面布局</w:t>
            </w:r>
            <w:r/>
          </w:p>
          <w:p>
            <w:pPr>
              <w:jc w:val="center"/>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highlight w:val="none"/>
                <w:u w:val="none"/>
                <w:lang w:val="en-US" w:eastAsia="zh-CN" w:bidi="ar-SA"/>
              </w:rPr>
            </w:pPr>
            <w:r>
              <w:rPr>
                <w:rFonts w:hint="eastAsia" w:ascii="宋体" w:hAnsi="宋体" w:eastAsia="宋体" w:cs="Arial Unicode MS"/>
                <w:color w:val="000000"/>
                <w:sz w:val="21"/>
                <w:szCs w:val="21"/>
                <w:highlight w:val="none"/>
                <w:u w:val="none"/>
                <w:lang w:val="en-US" w:eastAsia="zh-CN" w:bidi="ar-SA"/>
              </w:rPr>
              <w:t xml:space="preserve">（8分）</w:t>
            </w:r>
            <w:r/>
          </w:p>
        </w:tc>
        <w:tc>
          <w:tcPr>
            <w:shd w:val="clear" w:color="auto" w:fill="auto"/>
            <w:tcBorders>
              <w:top w:val="single" w:color="auto" w:sz="4" w:space="0"/>
              <w:left w:val="single" w:color="000000" w:sz="4" w:space="0"/>
              <w:bottom w:val="single" w:color="auto" w:sz="4" w:space="0"/>
              <w:right w:val="single" w:color="000000" w:sz="4" w:space="0"/>
            </w:tcBorders>
            <w:tcMar>
              <w:left w:w="80" w:type="dxa"/>
              <w:top w:w="80" w:type="dxa"/>
              <w:right w:w="80" w:type="dxa"/>
              <w:bottom w:w="80" w:type="dxa"/>
            </w:tcMar>
            <w:tcW w:w="6972" w:type="dxa"/>
            <w:vAlign w:val="center"/>
            <w:textDirection w:val="lrTb"/>
            <w:noWrap w:val="false"/>
          </w:tcPr>
          <w:p>
            <w:pPr>
              <w:jc w:val="left"/>
              <w:keepLines w:val="0"/>
              <w:keepNext w:val="0"/>
              <w:pageBreakBefore w:val="0"/>
              <w:spacing w:line="300" w:lineRule="exact"/>
              <w:widowControl w:val="off"/>
              <w:tabs>
                <w:tab w:val="left" w:pos="5940" w:leader="none"/>
              </w:tabs>
              <w:rPr>
                <w:rFonts w:hint="eastAsia" w:ascii="宋体" w:hAnsi="宋体" w:eastAsia="宋体" w:cs="Times New Roman"/>
                <w:color w:val="auto"/>
                <w:sz w:val="21"/>
                <w:szCs w:val="21"/>
                <w:highlight w:val="none"/>
                <w:u w:val="none"/>
                <w:lang w:val="en-US" w:eastAsia="zh-CN" w:bidi="ar-SA"/>
              </w:rPr>
            </w:pPr>
            <w:r>
              <w:rPr>
                <w:rFonts w:hint="eastAsia" w:ascii="宋体" w:hAnsi="宋体" w:eastAsia="宋体" w:cs="Times New Roman"/>
                <w:color w:val="auto"/>
                <w:sz w:val="21"/>
                <w:szCs w:val="21"/>
                <w:highlight w:val="none"/>
                <w:u w:val="none"/>
                <w:lang w:val="en-US" w:eastAsia="zh-CN" w:bidi="ar-SA"/>
              </w:rPr>
              <w:t xml:space="preserve">整体布局科学、参观流线合理、各展区之间过渡自然，清晰展现平面各区域烈士点位分布且烈士次重层级分明等全面完整的得8分；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整体布局一般、参观流线较合理、各展区之间过渡合理，展现平面各区域烈士点位分布等基本完整的得5分；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整体布局不科学、参观流线不合理、各展区之间过渡不自然，平面各区域烈士点位分布不清晰等不够完整的得2分；</w:t>
            </w:r>
            <w:r>
              <w:rPr>
                <w:rFonts w:hint="eastAsia" w:ascii="宋体" w:hAnsi="宋体" w:eastAsia="宋体" w:cs="Times New Roman"/>
                <w:color w:val="auto"/>
                <w:sz w:val="21"/>
                <w:szCs w:val="21"/>
                <w:highlight w:val="none"/>
                <w:u w:val="none"/>
                <w:lang w:val="en-US" w:eastAsia="zh-CN" w:bidi="ar-SA"/>
              </w:rPr>
              <w:br/>
            </w:r>
            <w:r>
              <w:rPr>
                <w:rFonts w:hint="eastAsia" w:ascii="宋体" w:hAnsi="宋体" w:eastAsia="宋体" w:cs="Times New Roman"/>
                <w:color w:val="auto"/>
                <w:sz w:val="21"/>
                <w:szCs w:val="21"/>
                <w:highlight w:val="none"/>
                <w:u w:val="none"/>
                <w:lang w:val="en-US" w:eastAsia="zh-CN" w:bidi="ar-SA"/>
              </w:rPr>
              <w:t xml:space="preserve">未提供的不得分。</w:t>
            </w:r>
            <w:r/>
          </w:p>
        </w:tc>
        <w:tc>
          <w:tcPr>
            <w:shd w:val="clear" w:color="auto" w:fill="auto"/>
            <w:tcBorders>
              <w:top w:val="single" w:color="auto" w:sz="4" w:space="0"/>
              <w:left w:val="single" w:color="000000" w:sz="4" w:space="0"/>
              <w:bottom w:val="single" w:color="auto" w:sz="4" w:space="0"/>
              <w:right w:val="single" w:color="auto" w:sz="4" w:space="0"/>
            </w:tcBorders>
            <w:tcMar>
              <w:left w:w="80" w:type="dxa"/>
              <w:top w:w="80" w:type="dxa"/>
              <w:right w:w="80" w:type="dxa"/>
              <w:bottom w:w="80" w:type="dxa"/>
            </w:tcMar>
            <w:tcW w:w="658"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u w:val="none"/>
                <w:lang w:val="en-US" w:eastAsia="zh-CN" w:bidi="ar-SA"/>
              </w:rPr>
            </w:pPr>
            <w:r>
              <w:rPr>
                <w:rFonts w:hint="default" w:ascii="宋体" w:hAnsi="宋体" w:eastAsia="宋体" w:cs="Arial Unicode MS"/>
                <w:color w:val="000000"/>
                <w:sz w:val="21"/>
                <w:szCs w:val="21"/>
                <w:u w:val="none"/>
                <w:lang w:val="en-US" w:eastAsia="zh-CN" w:bidi="ar-SA"/>
              </w:rPr>
            </w:r>
            <w:r/>
          </w:p>
        </w:tc>
      </w:tr>
      <w:tr>
        <w:trPr>
          <w:jc w:val="center"/>
          <w:trHeight w:val="1452"/>
        </w:trPr>
        <w:tc>
          <w:tcPr>
            <w:gridSpan w:val="2"/>
            <w:shd w:val="clear" w:color="auto" w:fill="auto"/>
            <w:tcBorders>
              <w:left w:val="single" w:color="auto" w:sz="4" w:space="0"/>
              <w:bottom w:val="single" w:color="000000" w:sz="4" w:space="0"/>
              <w:right w:val="single" w:color="000000" w:sz="4" w:space="0"/>
            </w:tcBorders>
            <w:tcW w:w="1336" w:type="dxa"/>
            <w:vAlign w:val="top"/>
            <w:vMerge w:val="continue"/>
            <w:textDirection w:val="lrTb"/>
            <w:noWrap w:val="false"/>
          </w:tcPr>
          <w:p>
            <w:pPr>
              <w:keepLines w:val="0"/>
              <w:keepNext w:val="0"/>
              <w:pageBreakBefore w:val="0"/>
              <w:spacing w:line="300" w:lineRule="exact"/>
              <w:widowControl w:val="off"/>
              <w:rPr>
                <w:rFonts w:hint="default" w:ascii="宋体" w:hAnsi="宋体" w:eastAsia="宋体" w:cs="Times New Roman"/>
              </w:rPr>
            </w:pPr>
            <w:r>
              <w:rPr>
                <w:rFonts w:hint="default" w:ascii="宋体" w:hAnsi="宋体" w:eastAsia="宋体" w:cs="Times New Roman"/>
              </w:rPr>
            </w:r>
            <w:r/>
          </w:p>
        </w:tc>
        <w:tc>
          <w:tcPr>
            <w:shd w:val="clear" w:color="auto" w:fill="auto"/>
            <w:tcBorders>
              <w:top w:val="single" w:color="auto" w:sz="4" w:space="0"/>
              <w:left w:val="single" w:color="auto" w:sz="4" w:space="0"/>
              <w:bottom w:val="single" w:color="auto" w:sz="4" w:space="0"/>
              <w:right w:val="single" w:color="000000" w:sz="4" w:space="0"/>
            </w:tcBorders>
            <w:tcMar>
              <w:left w:w="80" w:type="dxa"/>
              <w:top w:w="80" w:type="dxa"/>
              <w:right w:w="80" w:type="dxa"/>
              <w:bottom w:w="80" w:type="dxa"/>
            </w:tcMar>
            <w:tcW w:w="1098" w:type="dxa"/>
            <w:vAlign w:val="center"/>
            <w:textDirection w:val="lrTb"/>
            <w:noWrap w:val="false"/>
          </w:tcPr>
          <w:p>
            <w:pPr>
              <w:jc w:val="center"/>
              <w:keepLines w:val="0"/>
              <w:keepNext w:val="0"/>
              <w:pageBreakBefore w:val="0"/>
              <w:spacing w:line="300" w:lineRule="exact"/>
              <w:widowControl w:val="off"/>
              <w:tabs>
                <w:tab w:val="left" w:pos="5940" w:leader="none"/>
              </w:tabs>
              <w:rPr>
                <w:rFonts w:hint="eastAsia" w:ascii="宋体" w:hAnsi="宋体" w:eastAsia="宋体" w:cs="Arial Unicode MS"/>
                <w:color w:val="000000"/>
                <w:sz w:val="21"/>
                <w:szCs w:val="21"/>
                <w:u w:val="none"/>
                <w:lang w:val="en-US" w:eastAsia="zh-CN" w:bidi="ar-SA"/>
              </w:rPr>
            </w:pPr>
            <w:r>
              <w:rPr>
                <w:rFonts w:hint="eastAsia" w:ascii="宋体" w:hAnsi="宋体" w:eastAsia="宋体" w:cs="Arial Unicode MS"/>
                <w:color w:val="000000"/>
                <w:sz w:val="21"/>
                <w:szCs w:val="21"/>
                <w:u w:val="none"/>
                <w:lang w:val="en-US" w:eastAsia="zh-CN" w:bidi="ar-SA"/>
              </w:rPr>
              <w:t xml:space="preserve">确保工期的技术措施</w:t>
            </w:r>
            <w:r/>
          </w:p>
          <w:p>
            <w:pPr>
              <w:jc w:val="center"/>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u w:val="none"/>
                <w:lang w:val="en-US" w:eastAsia="zh-CN" w:bidi="ar-SA"/>
              </w:rPr>
            </w:pPr>
            <w:r>
              <w:rPr>
                <w:rFonts w:hint="eastAsia" w:ascii="宋体" w:hAnsi="宋体" w:eastAsia="宋体" w:cs="Arial Unicode MS"/>
                <w:color w:val="000000"/>
                <w:sz w:val="21"/>
                <w:szCs w:val="21"/>
                <w:u w:val="none"/>
                <w:lang w:val="en-US" w:eastAsia="zh-CN" w:bidi="ar-SA"/>
              </w:rPr>
              <w:t xml:space="preserve">（4分）</w:t>
            </w:r>
            <w:r/>
          </w:p>
        </w:tc>
        <w:tc>
          <w:tcPr>
            <w:shd w:val="clear" w:color="auto" w:fill="auto"/>
            <w:tcBorders>
              <w:top w:val="single" w:color="auto" w:sz="4" w:space="0"/>
              <w:left w:val="single" w:color="000000" w:sz="4" w:space="0"/>
              <w:bottom w:val="single" w:color="auto" w:sz="4" w:space="0"/>
              <w:right w:val="single" w:color="000000" w:sz="4" w:space="0"/>
            </w:tcBorders>
            <w:tcMar>
              <w:left w:w="80" w:type="dxa"/>
              <w:top w:w="80" w:type="dxa"/>
              <w:right w:w="80" w:type="dxa"/>
              <w:bottom w:w="80" w:type="dxa"/>
            </w:tcMar>
            <w:tcW w:w="6972" w:type="dxa"/>
            <w:vAlign w:val="center"/>
            <w:textDirection w:val="lrTb"/>
            <w:noWrap w:val="false"/>
          </w:tcPr>
          <w:p>
            <w:pPr>
              <w:jc w:val="left"/>
              <w:keepLines w:val="0"/>
              <w:keepNext w:val="0"/>
              <w:pageBreakBefore w:val="0"/>
              <w:spacing w:line="300" w:lineRule="exact"/>
              <w:widowControl w:val="off"/>
              <w:tabs>
                <w:tab w:val="left" w:pos="5940" w:leader="none"/>
              </w:tabs>
              <w:rPr>
                <w:rFonts w:hint="eastAsia" w:ascii="宋体" w:hAnsi="宋体" w:eastAsia="宋体" w:cs="Times New Roman"/>
                <w:color w:val="auto"/>
                <w:sz w:val="21"/>
                <w:szCs w:val="21"/>
                <w:u w:val="none"/>
                <w:lang w:val="en-US" w:eastAsia="zh-CN" w:bidi="ar-SA"/>
              </w:rPr>
            </w:pPr>
            <w:r>
              <w:rPr>
                <w:rFonts w:hint="eastAsia" w:ascii="宋体" w:hAnsi="宋体" w:eastAsia="宋体" w:cs="Times New Roman"/>
                <w:color w:val="auto"/>
                <w:sz w:val="21"/>
                <w:szCs w:val="21"/>
                <w:u w:val="none"/>
                <w:lang w:val="en-US" w:eastAsia="zh-CN" w:bidi="ar-SA"/>
              </w:rPr>
              <w:t xml:space="preserve">在主要工艺、方法、材料选用、劳动力安排、技术等方面有保证工期的具体措施且措施得当。有控制工期的进度计划。有项目总进度表，各项计划图表编制完善，安排科学合理，完全符合本项目施工实际要求的得4分；</w:t>
            </w:r>
            <w:r/>
          </w:p>
          <w:p>
            <w:pPr>
              <w:jc w:val="left"/>
              <w:keepLines w:val="0"/>
              <w:keepNext w:val="0"/>
              <w:pageBreakBefore w:val="0"/>
              <w:spacing w:line="300" w:lineRule="exact"/>
              <w:widowControl w:val="off"/>
              <w:tabs>
                <w:tab w:val="left" w:pos="5940" w:leader="none"/>
              </w:tabs>
              <w:rPr>
                <w:rFonts w:hint="eastAsia" w:ascii="宋体" w:hAnsi="宋体" w:eastAsia="宋体" w:cs="Times New Roman"/>
                <w:color w:val="auto"/>
                <w:sz w:val="21"/>
                <w:szCs w:val="21"/>
                <w:u w:val="none"/>
                <w:lang w:val="en-US" w:eastAsia="zh-CN" w:bidi="ar-SA"/>
              </w:rPr>
            </w:pPr>
            <w:r>
              <w:rPr>
                <w:rFonts w:hint="eastAsia" w:ascii="宋体" w:hAnsi="宋体" w:eastAsia="宋体" w:cs="Times New Roman"/>
                <w:color w:val="auto"/>
                <w:sz w:val="21"/>
                <w:szCs w:val="21"/>
                <w:u w:val="none"/>
                <w:lang w:val="en-US" w:eastAsia="zh-CN" w:bidi="ar-SA"/>
              </w:rPr>
              <w:t xml:space="preserve">在主要工艺、方法、材料选用、劳动力安排、技术等方面有保证工期的具体措施且措施得当。有控制工期的进度计划。有项目总进度表，各项计划图表编制完善，安排科学合理，基本符合本项目施工实际要求的得2分；</w:t>
            </w:r>
            <w:r/>
          </w:p>
          <w:p>
            <w:pPr>
              <w:jc w:val="left"/>
              <w:keepLines w:val="0"/>
              <w:keepNext w:val="0"/>
              <w:pageBreakBefore w:val="0"/>
              <w:spacing w:line="300" w:lineRule="exact"/>
              <w:widowControl w:val="off"/>
              <w:tabs>
                <w:tab w:val="left" w:pos="5940" w:leader="none"/>
              </w:tabs>
              <w:rPr>
                <w:rFonts w:hint="eastAsia" w:ascii="宋体" w:hAnsi="宋体" w:eastAsia="宋体" w:cs="Times New Roman"/>
                <w:color w:val="auto"/>
                <w:sz w:val="21"/>
                <w:szCs w:val="21"/>
                <w:u w:val="none"/>
                <w:lang w:val="en-US" w:eastAsia="zh-CN" w:bidi="ar-SA"/>
              </w:rPr>
            </w:pPr>
            <w:r>
              <w:rPr>
                <w:rFonts w:hint="eastAsia" w:ascii="宋体" w:hAnsi="宋体" w:eastAsia="宋体" w:cs="Times New Roman"/>
                <w:color w:val="auto"/>
                <w:sz w:val="21"/>
                <w:szCs w:val="21"/>
                <w:u w:val="none"/>
                <w:lang w:val="en-US" w:eastAsia="zh-CN" w:bidi="ar-SA"/>
              </w:rPr>
              <w:t xml:space="preserve">在主要工艺、方法、材料选用、劳动力安排、技术等方面有保证工期的具体措施且措施得当。有控制工期的进度计划。有项目总进度表，各项计划图表编制完善，安排科学合理，内容不齐全得1分；</w:t>
            </w:r>
            <w:r/>
          </w:p>
          <w:p>
            <w:pPr>
              <w:jc w:val="left"/>
              <w:keepLines w:val="0"/>
              <w:keepNext w:val="0"/>
              <w:pageBreakBefore w:val="0"/>
              <w:spacing w:line="300" w:lineRule="exact"/>
              <w:widowControl w:val="off"/>
              <w:tabs>
                <w:tab w:val="left" w:pos="5940" w:leader="none"/>
              </w:tabs>
              <w:rPr>
                <w:rFonts w:hint="eastAsia" w:ascii="宋体" w:hAnsi="宋体" w:eastAsia="宋体" w:cs="Times New Roman"/>
                <w:color w:val="auto"/>
                <w:sz w:val="21"/>
                <w:szCs w:val="21"/>
                <w:u w:val="none"/>
                <w:lang w:val="en-US" w:eastAsia="zh-CN" w:bidi="ar-SA"/>
              </w:rPr>
            </w:pPr>
            <w:r>
              <w:rPr>
                <w:rFonts w:hint="eastAsia" w:ascii="宋体" w:hAnsi="宋体" w:eastAsia="宋体" w:cs="Times New Roman"/>
                <w:color w:val="auto"/>
                <w:sz w:val="21"/>
                <w:szCs w:val="21"/>
                <w:u w:val="none"/>
                <w:lang w:val="en-US" w:eastAsia="zh-CN" w:bidi="ar-SA"/>
              </w:rPr>
              <w:t xml:space="preserve">未提供的不得分。</w:t>
            </w:r>
            <w:r/>
          </w:p>
        </w:tc>
        <w:tc>
          <w:tcPr>
            <w:shd w:val="clear" w:color="auto" w:fill="auto"/>
            <w:tcBorders>
              <w:top w:val="single" w:color="auto" w:sz="4" w:space="0"/>
              <w:left w:val="single" w:color="000000" w:sz="4" w:space="0"/>
              <w:bottom w:val="single" w:color="auto" w:sz="4" w:space="0"/>
              <w:right w:val="single" w:color="auto" w:sz="4" w:space="0"/>
            </w:tcBorders>
            <w:tcMar>
              <w:left w:w="80" w:type="dxa"/>
              <w:top w:w="80" w:type="dxa"/>
              <w:right w:w="80" w:type="dxa"/>
              <w:bottom w:w="80" w:type="dxa"/>
            </w:tcMar>
            <w:tcW w:w="658"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u w:val="none"/>
                <w:lang w:val="en-US" w:eastAsia="zh-CN" w:bidi="ar-SA"/>
              </w:rPr>
            </w:pPr>
            <w:r>
              <w:rPr>
                <w:rFonts w:hint="default" w:ascii="宋体" w:hAnsi="宋体" w:eastAsia="宋体" w:cs="Arial Unicode MS"/>
                <w:color w:val="000000"/>
                <w:sz w:val="21"/>
                <w:szCs w:val="21"/>
                <w:u w:val="none"/>
                <w:lang w:val="en-US" w:eastAsia="zh-CN" w:bidi="ar-SA"/>
              </w:rPr>
            </w:r>
            <w:r/>
          </w:p>
        </w:tc>
      </w:tr>
      <w:tr>
        <w:trPr>
          <w:jc w:val="center"/>
          <w:trHeight w:val="606"/>
        </w:trPr>
        <w:tc>
          <w:tcPr>
            <w:gridSpan w:val="5"/>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0064"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Arial Unicode MS"/>
                <w:b/>
                <w:bCs/>
                <w:color w:val="000000"/>
                <w:sz w:val="21"/>
                <w:szCs w:val="21"/>
                <w:u w:val="none"/>
                <w:lang w:val="en-US" w:eastAsia="zh-CN" w:bidi="ar-SA"/>
              </w:rPr>
            </w:pPr>
            <w:r>
              <w:rPr>
                <w:rFonts w:hint="eastAsia" w:ascii="宋体" w:hAnsi="宋体" w:eastAsia="宋体" w:cs="宋体"/>
                <w:b/>
                <w:bCs/>
                <w:color w:val="000000"/>
                <w:sz w:val="21"/>
                <w:szCs w:val="21"/>
                <w:u w:val="none"/>
                <w:lang w:val="zh-TW" w:eastAsia="zh-TW" w:bidi="ar-SA"/>
              </w:rPr>
              <w:t xml:space="preserve">三、综合实力（</w:t>
            </w:r>
            <w:r>
              <w:rPr>
                <w:rFonts w:hint="eastAsia" w:ascii="宋体" w:hAnsi="宋体" w:cs="宋体"/>
                <w:b/>
                <w:bCs/>
                <w:color w:val="000000"/>
                <w:sz w:val="21"/>
                <w:szCs w:val="21"/>
                <w:u w:val="none"/>
                <w:lang w:val="en-US" w:eastAsia="zh-CN" w:bidi="ar-SA"/>
              </w:rPr>
              <w:t xml:space="preserve">18</w:t>
            </w:r>
            <w:r>
              <w:rPr>
                <w:rFonts w:hint="eastAsia" w:ascii="宋体" w:hAnsi="宋体" w:eastAsia="宋体" w:cs="宋体"/>
                <w:b/>
                <w:bCs/>
                <w:color w:val="000000"/>
                <w:sz w:val="21"/>
                <w:szCs w:val="21"/>
                <w:u w:val="none"/>
                <w:lang w:val="zh-TW" w:eastAsia="zh-TW" w:bidi="ar-SA"/>
              </w:rPr>
              <w:t xml:space="preserve">分）</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723" w:type="dxa"/>
            <w:vAlign w:val="center"/>
            <w:textDirection w:val="lrTb"/>
            <w:noWrap w:val="false"/>
          </w:tcPr>
          <w:p>
            <w:pPr>
              <w:jc w:val="center"/>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u w:val="none"/>
                <w:lang w:val="en-US" w:eastAsia="zh-CN" w:bidi="ar-SA"/>
              </w:rPr>
            </w:pPr>
            <w:r>
              <w:rPr>
                <w:rFonts w:hint="eastAsia" w:ascii="宋体" w:hAnsi="宋体" w:eastAsia="宋体" w:cs="宋体"/>
                <w:color w:val="000000"/>
                <w:sz w:val="21"/>
                <w:szCs w:val="21"/>
                <w:u w:val="none"/>
                <w:lang w:val="en-US" w:eastAsia="zh-CN" w:bidi="ar-SA"/>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11" w:type="dxa"/>
            <w:vAlign w:val="center"/>
            <w:textDirection w:val="lrTb"/>
            <w:noWrap w:val="false"/>
          </w:tcPr>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u w:val="none"/>
                <w:lang w:val="en-US" w:eastAsia="zh-CN" w:bidi="ar-SA"/>
              </w:rPr>
            </w:pPr>
            <w:r>
              <w:rPr>
                <w:rFonts w:hint="eastAsia" w:ascii="宋体" w:hAnsi="宋体" w:eastAsia="宋体" w:cs="宋体"/>
                <w:color w:val="000000"/>
                <w:sz w:val="21"/>
                <w:szCs w:val="21"/>
                <w:u w:val="none"/>
                <w:lang w:val="en-US" w:eastAsia="zh-CN" w:bidi="ar-SA"/>
              </w:rPr>
              <w:t xml:space="preserve">企业能力</w:t>
            </w:r>
            <w:r/>
          </w:p>
          <w:p>
            <w:pPr>
              <w:jc w:val="center"/>
              <w:keepLines w:val="0"/>
              <w:keepNext w:val="0"/>
              <w:pageBreakBefore w:val="0"/>
              <w:spacing w:line="300" w:lineRule="exact"/>
              <w:widowControl w:val="off"/>
              <w:tabs>
                <w:tab w:val="left" w:pos="5940" w:leader="none"/>
              </w:tabs>
              <w:rPr>
                <w:rFonts w:hint="default" w:ascii="宋体" w:hAnsi="宋体" w:eastAsia="宋体" w:cs="Arial Unicode MS"/>
                <w:color w:val="000000"/>
                <w:sz w:val="21"/>
                <w:szCs w:val="21"/>
                <w:u w:val="none"/>
                <w:lang w:val="en-US" w:eastAsia="zh-CN" w:bidi="ar-SA"/>
              </w:rPr>
            </w:pPr>
            <w:r>
              <w:rPr>
                <w:rFonts w:hint="eastAsia" w:ascii="宋体" w:hAnsi="宋体" w:eastAsia="宋体" w:cs="宋体"/>
                <w:color w:val="000000"/>
                <w:sz w:val="21"/>
                <w:szCs w:val="21"/>
                <w:u w:val="none"/>
                <w:lang w:val="zh-TW" w:eastAsia="zh-TW" w:bidi="ar-SA"/>
              </w:rPr>
              <w:t xml:space="preserve">（</w:t>
            </w:r>
            <w:r>
              <w:rPr>
                <w:rFonts w:hint="eastAsia" w:ascii="宋体" w:hAnsi="宋体" w:cs="宋体"/>
                <w:color w:val="000000"/>
                <w:sz w:val="21"/>
                <w:szCs w:val="21"/>
                <w:u w:val="none"/>
                <w:lang w:val="en-US" w:eastAsia="zh-CN" w:bidi="ar-SA"/>
              </w:rPr>
              <w:t xml:space="preserve">5</w:t>
            </w:r>
            <w:r>
              <w:rPr>
                <w:rFonts w:hint="eastAsia" w:ascii="宋体" w:hAnsi="宋体" w:eastAsia="宋体" w:cs="宋体"/>
                <w:color w:val="000000"/>
                <w:sz w:val="21"/>
                <w:szCs w:val="21"/>
                <w:u w:val="none"/>
                <w:lang w:val="zh-TW" w:eastAsia="zh-TW"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972" w:type="dxa"/>
            <w:vAlign w:val="center"/>
            <w:textDirection w:val="lrTb"/>
            <w:noWrap w:val="false"/>
          </w:tcPr>
          <w:p>
            <w:pPr>
              <w:jc w:val="left"/>
              <w:keepLines w:val="0"/>
              <w:keepNext w:val="0"/>
              <w:pageBreakBefore w:val="0"/>
              <w:spacing w:line="300" w:lineRule="exact"/>
              <w:widowControl w:val="off"/>
              <w:tabs>
                <w:tab w:val="left" w:pos="5940" w:leader="none"/>
              </w:tabs>
              <w:rPr>
                <w:rFonts w:hint="eastAsia" w:ascii="宋体" w:hAnsi="宋体" w:eastAsia="宋体" w:cs="Times New Roman"/>
                <w:color w:val="auto"/>
                <w:sz w:val="21"/>
                <w:szCs w:val="21"/>
                <w:u w:val="none"/>
                <w:lang w:val="en-US" w:eastAsia="zh-CN" w:bidi="ar-SA"/>
              </w:rPr>
            </w:pPr>
            <w:r>
              <w:rPr>
                <w:rFonts w:hint="eastAsia" w:ascii="宋体" w:hAnsi="宋体" w:eastAsia="宋体" w:cs="Times New Roman"/>
                <w:color w:val="auto"/>
                <w:sz w:val="21"/>
                <w:szCs w:val="21"/>
                <w:u w:val="none"/>
                <w:lang w:val="en-US" w:eastAsia="zh-CN" w:bidi="ar-SA"/>
              </w:rPr>
              <w:t xml:space="preserve">（1）投标人①具有IS09001质量管理体系认证证书②ISO14001环境管理体系认证证书③ISO45001职业健康安全管理体系认证证书，每提供一个有效认证证书的得1分，最高得3分。【须提供以上相关证书</w:t>
            </w:r>
            <w:r>
              <w:rPr>
                <w:rFonts w:hint="eastAsia" w:ascii="宋体" w:hAnsi="宋体" w:cs="Times New Roman"/>
                <w:color w:val="auto"/>
                <w:sz w:val="21"/>
                <w:szCs w:val="21"/>
                <w:u w:val="none"/>
                <w:lang w:val="en-US" w:eastAsia="zh-CN" w:bidi="ar-SA"/>
              </w:rPr>
              <w:t xml:space="preserve">原件</w:t>
            </w:r>
            <w:r>
              <w:rPr>
                <w:rFonts w:hint="eastAsia" w:ascii="宋体" w:hAnsi="宋体" w:eastAsia="宋体" w:cs="Times New Roman"/>
                <w:color w:val="auto"/>
                <w:sz w:val="21"/>
                <w:szCs w:val="21"/>
                <w:u w:val="none"/>
                <w:lang w:val="en-US" w:eastAsia="zh-CN" w:bidi="ar-SA"/>
              </w:rPr>
              <w:t xml:space="preserve">扫描件及在国家认监委官网查询状态为“有效”的截图】</w:t>
            </w:r>
            <w:r/>
          </w:p>
          <w:p>
            <w:pPr>
              <w:jc w:val="left"/>
              <w:keepLines w:val="0"/>
              <w:keepNext w:val="0"/>
              <w:pageBreakBefore w:val="0"/>
              <w:spacing w:line="300" w:lineRule="exact"/>
              <w:widowControl w:val="off"/>
              <w:tabs>
                <w:tab w:val="left" w:pos="5940" w:leader="none"/>
              </w:tabs>
              <w:rPr>
                <w:rFonts w:hint="eastAsia" w:ascii="宋体" w:hAnsi="宋体" w:eastAsia="宋体" w:cs="Times New Roman"/>
                <w:color w:val="auto"/>
                <w:sz w:val="21"/>
                <w:szCs w:val="21"/>
                <w:u w:val="none"/>
                <w:lang w:val="en-US" w:eastAsia="zh-CN" w:bidi="ar-SA"/>
              </w:rPr>
            </w:pPr>
            <w:r>
              <w:rPr>
                <w:rFonts w:hint="eastAsia" w:ascii="宋体" w:hAnsi="宋体" w:eastAsia="宋体" w:cs="Times New Roman"/>
                <w:color w:val="auto"/>
                <w:sz w:val="21"/>
                <w:szCs w:val="21"/>
                <w:u w:val="none"/>
                <w:lang w:val="en-US" w:eastAsia="zh-CN" w:bidi="ar-SA"/>
              </w:rPr>
              <w:t xml:space="preserve">（2）投标人具有中国展览陈列工程设计与施工一体化资质得</w:t>
            </w:r>
            <w:r>
              <w:rPr>
                <w:rFonts w:hint="eastAsia" w:ascii="宋体" w:hAnsi="宋体" w:cs="Times New Roman"/>
                <w:color w:val="auto"/>
                <w:sz w:val="21"/>
                <w:szCs w:val="21"/>
                <w:u w:val="none"/>
                <w:lang w:val="en-US" w:eastAsia="zh-CN" w:bidi="ar-SA"/>
              </w:rPr>
              <w:t xml:space="preserve">1</w:t>
            </w:r>
            <w:r>
              <w:rPr>
                <w:rFonts w:hint="eastAsia" w:ascii="宋体" w:hAnsi="宋体" w:eastAsia="宋体" w:cs="Times New Roman"/>
                <w:color w:val="auto"/>
                <w:sz w:val="21"/>
                <w:szCs w:val="21"/>
                <w:u w:val="none"/>
                <w:lang w:val="en-US" w:eastAsia="zh-CN" w:bidi="ar-SA"/>
              </w:rPr>
              <w:t xml:space="preserve">分。【须提供资质证书</w:t>
            </w:r>
            <w:r>
              <w:rPr>
                <w:rFonts w:hint="eastAsia" w:ascii="宋体" w:hAnsi="宋体" w:cs="Times New Roman"/>
                <w:color w:val="auto"/>
                <w:sz w:val="21"/>
                <w:szCs w:val="21"/>
                <w:u w:val="none"/>
                <w:lang w:val="en-US" w:eastAsia="zh-CN" w:bidi="ar-SA"/>
              </w:rPr>
              <w:t xml:space="preserve">原件</w:t>
            </w:r>
            <w:r>
              <w:rPr>
                <w:rFonts w:hint="eastAsia" w:ascii="宋体" w:hAnsi="宋体" w:eastAsia="宋体" w:cs="Times New Roman"/>
                <w:color w:val="auto"/>
                <w:sz w:val="21"/>
                <w:szCs w:val="21"/>
                <w:u w:val="none"/>
                <w:lang w:val="en-US" w:eastAsia="zh-CN" w:bidi="ar-SA"/>
              </w:rPr>
              <w:t xml:space="preserve">扫描件】</w:t>
            </w:r>
            <w:r/>
          </w:p>
          <w:p>
            <w:pPr>
              <w:jc w:val="left"/>
              <w:keepLines w:val="0"/>
              <w:keepNext w:val="0"/>
              <w:pageBreakBefore w:val="0"/>
              <w:spacing w:line="300" w:lineRule="exact"/>
              <w:widowControl w:val="off"/>
              <w:tabs>
                <w:tab w:val="left" w:pos="5940" w:leader="none"/>
              </w:tabs>
              <w:rPr>
                <w:rFonts w:hint="eastAsia" w:ascii="宋体" w:hAnsi="宋体" w:eastAsia="宋体" w:cs="Times New Roman"/>
                <w:color w:val="auto"/>
                <w:sz w:val="21"/>
                <w:szCs w:val="21"/>
                <w:u w:val="none"/>
                <w:lang w:val="en-US" w:eastAsia="zh-CN" w:bidi="ar-SA"/>
              </w:rPr>
            </w:pPr>
            <w:r>
              <w:rPr>
                <w:rFonts w:hint="eastAsia" w:ascii="宋体" w:hAnsi="宋体" w:eastAsia="宋体" w:cs="Times New Roman"/>
                <w:color w:val="auto"/>
                <w:sz w:val="21"/>
                <w:szCs w:val="21"/>
                <w:u w:val="none"/>
                <w:lang w:val="en-US" w:eastAsia="zh-CN" w:bidi="ar-SA"/>
              </w:rPr>
              <w:t xml:space="preserve">（3）投标人具有电子与智能化工程专业承包二级及以上资质的得</w:t>
            </w:r>
            <w:r>
              <w:rPr>
                <w:rFonts w:hint="eastAsia" w:ascii="宋体" w:hAnsi="宋体" w:cs="Times New Roman"/>
                <w:color w:val="auto"/>
                <w:sz w:val="21"/>
                <w:szCs w:val="21"/>
                <w:u w:val="none"/>
                <w:lang w:val="en-US" w:eastAsia="zh-CN" w:bidi="ar-SA"/>
              </w:rPr>
              <w:t xml:space="preserve">1</w:t>
            </w:r>
            <w:r>
              <w:rPr>
                <w:rFonts w:hint="eastAsia" w:ascii="宋体" w:hAnsi="宋体" w:eastAsia="宋体" w:cs="Times New Roman"/>
                <w:color w:val="auto"/>
                <w:sz w:val="21"/>
                <w:szCs w:val="21"/>
                <w:u w:val="none"/>
                <w:lang w:val="en-US" w:eastAsia="zh-CN" w:bidi="ar-SA"/>
              </w:rPr>
              <w:t xml:space="preserve">分。【须提供资质证书</w:t>
            </w:r>
            <w:r>
              <w:rPr>
                <w:rFonts w:hint="eastAsia" w:ascii="宋体" w:hAnsi="宋体" w:cs="Times New Roman"/>
                <w:color w:val="auto"/>
                <w:sz w:val="21"/>
                <w:szCs w:val="21"/>
                <w:u w:val="none"/>
                <w:lang w:val="en-US" w:eastAsia="zh-CN" w:bidi="ar-SA"/>
              </w:rPr>
              <w:t xml:space="preserve">原件</w:t>
            </w:r>
            <w:r>
              <w:rPr>
                <w:rFonts w:hint="eastAsia" w:ascii="宋体" w:hAnsi="宋体" w:eastAsia="宋体" w:cs="Times New Roman"/>
                <w:color w:val="auto"/>
                <w:sz w:val="21"/>
                <w:szCs w:val="21"/>
                <w:u w:val="none"/>
                <w:lang w:val="en-US" w:eastAsia="zh-CN" w:bidi="ar-SA"/>
              </w:rPr>
              <w:t xml:space="preserve">扫描件】</w:t>
            </w:r>
            <w:r/>
          </w:p>
          <w:p>
            <w:pPr>
              <w:pStyle w:val="808"/>
              <w:rPr>
                <w:rFonts w:hint="eastAsia"/>
                <w:lang w:eastAsia="zh-CN"/>
              </w:rPr>
            </w:pPr>
            <w:r>
              <w:rPr>
                <w:rFonts w:hint="eastAsia"/>
                <w:b/>
                <w:bCs/>
                <w:color w:val="0000ff"/>
                <w:lang w:val="en-US" w:eastAsia="zh-CN"/>
              </w:rPr>
              <w:t xml:space="preserve">注：未提供或者提供不符合要求的不得分。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jc w:val="left"/>
              <w:keepLines w:val="0"/>
              <w:keepNext w:val="0"/>
              <w:pageBreakBefore w:val="0"/>
              <w:spacing w:line="300" w:lineRule="exact"/>
              <w:widowControl w:val="off"/>
              <w:tabs>
                <w:tab w:val="left" w:pos="5940" w:leader="none"/>
              </w:tabs>
              <w:rPr>
                <w:rFonts w:hint="default" w:ascii="宋体" w:hAnsi="宋体" w:eastAsia="宋体" w:cs="Arial Unicode MS"/>
                <w:b w:val="0"/>
                <w:bCs w:val="0"/>
                <w:color w:val="000000"/>
                <w:sz w:val="21"/>
                <w:szCs w:val="21"/>
                <w:u w:val="none"/>
                <w:lang w:val="en-US" w:eastAsia="zh-CN" w:bidi="ar-SA"/>
              </w:rPr>
            </w:pPr>
            <w:r>
              <w:rPr>
                <w:rFonts w:hint="default" w:ascii="宋体" w:hAnsi="宋体" w:eastAsia="宋体" w:cs="Arial Unicode MS"/>
                <w:b w:val="0"/>
                <w:bCs w:val="0"/>
                <w:color w:val="000000"/>
                <w:sz w:val="21"/>
                <w:szCs w:val="21"/>
                <w:u w:val="none"/>
                <w:lang w:val="en-US" w:eastAsia="zh-CN" w:bidi="ar-SA"/>
              </w:rPr>
            </w:r>
            <w:r/>
          </w:p>
        </w:tc>
      </w:tr>
      <w:tr>
        <w:trPr>
          <w:jc w:val="center"/>
          <w:trHeight w:val="474"/>
        </w:trPr>
        <w:tc>
          <w:tcPr>
            <w:shd w:val="clear" w:color="auto" w:fill="auto"/>
            <w:tcBorders>
              <w:top w:val="single" w:color="000000" w:sz="4" w:space="0"/>
              <w:left w:val="single" w:color="000000" w:sz="4" w:space="0"/>
              <w:bottom w:val="single" w:color="auto" w:sz="4" w:space="0"/>
              <w:right w:val="single" w:color="000000" w:sz="4" w:space="0"/>
            </w:tcBorders>
            <w:tcMar>
              <w:left w:w="80" w:type="dxa"/>
              <w:top w:w="80" w:type="dxa"/>
              <w:right w:w="80" w:type="dxa"/>
              <w:bottom w:w="80" w:type="dxa"/>
            </w:tcMar>
            <w:tcW w:w="723" w:type="dxa"/>
            <w:vAlign w:val="center"/>
            <w:textDirection w:val="lrTb"/>
            <w:noWrap w:val="false"/>
          </w:tcPr>
          <w:p>
            <w:pPr>
              <w:jc w:val="center"/>
              <w:keepLines w:val="0"/>
              <w:keepNext w:val="0"/>
              <w:pageBreakBefore w:val="0"/>
              <w:spacing w:line="300" w:lineRule="exact"/>
              <w:widowControl w:val="off"/>
              <w:tabs>
                <w:tab w:val="left" w:pos="5940" w:leader="none"/>
              </w:tabs>
              <w:rPr>
                <w:rFonts w:hint="default" w:ascii="宋体" w:hAnsi="宋体" w:eastAsia="宋体" w:cs="宋体"/>
                <w:color w:val="000000"/>
                <w:sz w:val="21"/>
                <w:szCs w:val="21"/>
                <w:u w:val="none"/>
                <w:lang w:val="zh-TW" w:eastAsia="zh-TW" w:bidi="ar-SA"/>
              </w:rPr>
            </w:pPr>
            <w:r>
              <w:rPr>
                <w:rFonts w:hint="eastAsia" w:ascii="宋体" w:hAnsi="宋体" w:eastAsia="宋体" w:cs="宋体"/>
                <w:color w:val="000000"/>
                <w:sz w:val="21"/>
                <w:szCs w:val="21"/>
                <w:u w:val="none"/>
                <w:lang w:val="zh-TW" w:eastAsia="zh-TW" w:bidi="ar-SA"/>
              </w:rPr>
              <w:t xml:space="preserve">2</w:t>
            </w:r>
            <w:r/>
          </w:p>
        </w:tc>
        <w:tc>
          <w:tcPr>
            <w:gridSpan w:val="2"/>
            <w:shd w:val="clear" w:color="auto" w:fill="auto"/>
            <w:tcBorders>
              <w:top w:val="single" w:color="000000" w:sz="4" w:space="0"/>
              <w:left w:val="single" w:color="000000" w:sz="4" w:space="0"/>
              <w:bottom w:val="single" w:color="auto" w:sz="4" w:space="0"/>
              <w:right w:val="single" w:color="000000" w:sz="4" w:space="0"/>
            </w:tcBorders>
            <w:tcMar>
              <w:left w:w="80" w:type="dxa"/>
              <w:top w:w="80" w:type="dxa"/>
              <w:right w:w="80" w:type="dxa"/>
              <w:bottom w:w="80" w:type="dxa"/>
            </w:tcMar>
            <w:tcW w:w="1711" w:type="dxa"/>
            <w:vAlign w:val="center"/>
            <w:textDirection w:val="lrTb"/>
            <w:noWrap w:val="false"/>
          </w:tcPr>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u w:val="none"/>
                <w:lang w:val="zh-TW" w:eastAsia="zh-CN" w:bidi="ar-SA"/>
              </w:rPr>
            </w:pPr>
            <w:r>
              <w:rPr>
                <w:rFonts w:hint="eastAsia" w:ascii="宋体" w:hAnsi="宋体" w:eastAsia="宋体" w:cs="宋体"/>
                <w:color w:val="000000"/>
                <w:sz w:val="21"/>
                <w:szCs w:val="21"/>
                <w:u w:val="none"/>
                <w:lang w:val="zh-TW" w:eastAsia="zh-TW" w:bidi="ar-SA"/>
              </w:rPr>
              <w:t xml:space="preserve">企业</w:t>
            </w:r>
            <w:r>
              <w:rPr>
                <w:rFonts w:hint="eastAsia" w:ascii="宋体" w:hAnsi="宋体" w:eastAsia="宋体" w:cs="宋体"/>
                <w:color w:val="000000"/>
                <w:sz w:val="21"/>
                <w:szCs w:val="21"/>
                <w:u w:val="none"/>
                <w:lang w:val="zh-TW" w:eastAsia="zh-CN" w:bidi="ar-SA"/>
              </w:rPr>
              <w:t xml:space="preserve">业绩</w:t>
            </w:r>
            <w:r/>
          </w:p>
          <w:p>
            <w:pPr>
              <w:jc w:val="center"/>
              <w:keepLines w:val="0"/>
              <w:keepNext w:val="0"/>
              <w:pageBreakBefore w:val="0"/>
              <w:spacing w:line="300" w:lineRule="exact"/>
              <w:widowControl w:val="off"/>
              <w:tabs>
                <w:tab w:val="left" w:pos="5940" w:leader="none"/>
              </w:tabs>
              <w:rPr>
                <w:rFonts w:hint="default" w:ascii="宋体" w:hAnsi="宋体" w:eastAsia="宋体" w:cs="宋体"/>
                <w:color w:val="000000"/>
                <w:sz w:val="21"/>
                <w:szCs w:val="21"/>
                <w:u w:val="none"/>
                <w:lang w:val="zh-TW" w:eastAsia="zh-TW" w:bidi="ar-SA"/>
              </w:rPr>
            </w:pPr>
            <w:r>
              <w:rPr>
                <w:rFonts w:hint="eastAsia" w:ascii="宋体" w:hAnsi="宋体" w:eastAsia="宋体" w:cs="宋体"/>
                <w:color w:val="000000"/>
                <w:sz w:val="21"/>
                <w:szCs w:val="21"/>
                <w:u w:val="none"/>
                <w:lang w:val="zh-TW" w:eastAsia="zh-TW" w:bidi="ar-SA"/>
              </w:rPr>
              <w:t xml:space="preserve">（</w:t>
            </w:r>
            <w:r>
              <w:rPr>
                <w:rFonts w:hint="eastAsia" w:ascii="宋体" w:hAnsi="宋体" w:cs="宋体"/>
                <w:color w:val="000000"/>
                <w:sz w:val="21"/>
                <w:szCs w:val="21"/>
                <w:u w:val="none"/>
                <w:lang w:val="en-US" w:eastAsia="zh-CN" w:bidi="ar-SA"/>
              </w:rPr>
              <w:t xml:space="preserve">6</w:t>
            </w:r>
            <w:r>
              <w:rPr>
                <w:rFonts w:hint="eastAsia" w:ascii="宋体" w:hAnsi="宋体" w:eastAsia="宋体" w:cs="宋体"/>
                <w:color w:val="000000"/>
                <w:sz w:val="21"/>
                <w:szCs w:val="21"/>
                <w:u w:val="none"/>
                <w:lang w:val="zh-TW" w:eastAsia="zh-TW" w:bidi="ar-SA"/>
              </w:rPr>
              <w:t xml:space="preserve">分）</w:t>
            </w:r>
            <w:r/>
          </w:p>
        </w:tc>
        <w:tc>
          <w:tcPr>
            <w:shd w:val="clear" w:color="auto" w:fill="auto"/>
            <w:tcBorders>
              <w:top w:val="single" w:color="000000" w:sz="4" w:space="0"/>
              <w:left w:val="single" w:color="000000" w:sz="4" w:space="0"/>
              <w:bottom w:val="single" w:color="auto" w:sz="4" w:space="0"/>
              <w:right w:val="single" w:color="000000" w:sz="4" w:space="0"/>
            </w:tcBorders>
            <w:tcMar>
              <w:left w:w="80" w:type="dxa"/>
              <w:top w:w="80" w:type="dxa"/>
              <w:right w:w="80" w:type="dxa"/>
              <w:bottom w:w="80" w:type="dxa"/>
            </w:tcMar>
            <w:tcW w:w="6972" w:type="dxa"/>
            <w:vAlign w:val="center"/>
            <w:textDirection w:val="lrTb"/>
            <w:noWrap w:val="false"/>
          </w:tcPr>
          <w:p>
            <w:pPr>
              <w:keepLines w:val="0"/>
              <w:keepNext w:val="0"/>
              <w:pageBreakBefore w:val="0"/>
              <w:spacing w:line="300" w:lineRule="exact"/>
              <w:widowControl w:val="off"/>
              <w:rPr>
                <w:rFonts w:hint="eastAsia" w:ascii="宋体" w:hAnsi="宋体" w:eastAsia="宋体" w:cs="Times New Roman"/>
                <w:highlight w:val="none"/>
                <w:lang w:eastAsia="zh-CN"/>
              </w:rPr>
            </w:pPr>
            <w:r>
              <w:rPr>
                <w:rFonts w:hint="eastAsia" w:ascii="宋体" w:hAnsi="宋体" w:eastAsia="宋体" w:cs="Times New Roman"/>
                <w:highlight w:val="none"/>
              </w:rPr>
              <w:t xml:space="preserve">投标人自20</w:t>
            </w:r>
            <w:r>
              <w:rPr>
                <w:rFonts w:hint="eastAsia" w:ascii="宋体" w:hAnsi="宋体" w:eastAsia="宋体" w:cs="Times New Roman"/>
                <w:highlight w:val="none"/>
                <w:lang w:val="en-US" w:eastAsia="zh-CN"/>
              </w:rPr>
              <w:t xml:space="preserve">23</w:t>
            </w:r>
            <w:r>
              <w:rPr>
                <w:rFonts w:hint="eastAsia" w:ascii="宋体" w:hAnsi="宋体" w:eastAsia="宋体" w:cs="Times New Roman"/>
                <w:highlight w:val="none"/>
              </w:rPr>
              <w:t xml:space="preserve">年</w:t>
            </w:r>
            <w:r>
              <w:rPr>
                <w:rFonts w:hint="eastAsia" w:ascii="宋体" w:hAnsi="宋体" w:eastAsia="宋体" w:cs="Times New Roman"/>
                <w:highlight w:val="none"/>
                <w:lang w:val="en-US" w:eastAsia="zh-CN"/>
              </w:rPr>
              <w:t xml:space="preserve">10</w:t>
            </w:r>
            <w:r>
              <w:rPr>
                <w:rFonts w:hint="eastAsia" w:ascii="宋体" w:hAnsi="宋体" w:eastAsia="宋体" w:cs="Times New Roman"/>
                <w:highlight w:val="none"/>
              </w:rPr>
              <w:t xml:space="preserve">月01日以来承接过（以合同签订时间为准）类似</w:t>
            </w:r>
            <w:r>
              <w:rPr>
                <w:rFonts w:hint="eastAsia" w:ascii="宋体" w:hAnsi="宋体" w:eastAsia="宋体" w:cs="Times New Roman"/>
                <w:highlight w:val="none"/>
                <w:lang w:val="en-US" w:eastAsia="zh-CN"/>
              </w:rPr>
              <w:t xml:space="preserve">项目业绩</w:t>
            </w:r>
            <w:r>
              <w:rPr>
                <w:rFonts w:hint="eastAsia" w:ascii="宋体" w:hAnsi="宋体" w:eastAsia="宋体" w:cs="Times New Roman"/>
                <w:highlight w:val="none"/>
              </w:rPr>
              <w:t xml:space="preserve">案例</w:t>
            </w:r>
            <w:r>
              <w:rPr>
                <w:rFonts w:hint="eastAsia" w:ascii="宋体" w:hAnsi="宋体" w:cs="Times New Roman"/>
                <w:highlight w:val="none"/>
                <w:lang w:val="en-US" w:eastAsia="zh-CN"/>
              </w:rPr>
              <w:t xml:space="preserve">的</w:t>
            </w:r>
            <w:r>
              <w:rPr>
                <w:rFonts w:hint="eastAsia" w:ascii="宋体" w:hAnsi="宋体" w:eastAsia="宋体" w:cs="Times New Roman"/>
                <w:highlight w:val="none"/>
              </w:rPr>
              <w:t xml:space="preserve">，</w:t>
            </w:r>
            <w:r>
              <w:rPr>
                <w:rFonts w:hint="eastAsia" w:ascii="宋体" w:hAnsi="宋体" w:eastAsia="宋体" w:cs="Times New Roman"/>
                <w:highlight w:val="none"/>
                <w:lang w:val="en-US" w:eastAsia="zh-CN"/>
              </w:rPr>
              <w:t xml:space="preserve">每提供</w:t>
            </w:r>
            <w:r>
              <w:rPr>
                <w:rFonts w:hint="eastAsia" w:ascii="宋体" w:hAnsi="宋体" w:eastAsia="宋体" w:cs="Times New Roman"/>
                <w:highlight w:val="none"/>
              </w:rPr>
              <w:t xml:space="preserve">1项得</w:t>
            </w: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rPr>
              <w:t xml:space="preserve">分，</w:t>
            </w:r>
            <w:r>
              <w:rPr>
                <w:rFonts w:hint="eastAsia" w:ascii="宋体" w:hAnsi="宋体" w:eastAsia="宋体" w:cs="Times New Roman"/>
                <w:highlight w:val="none"/>
                <w:lang w:val="en-US" w:eastAsia="zh-CN"/>
              </w:rPr>
              <w:t xml:space="preserve">本项</w:t>
            </w:r>
            <w:r>
              <w:rPr>
                <w:rFonts w:hint="eastAsia" w:ascii="宋体" w:hAnsi="宋体" w:eastAsia="宋体" w:cs="Times New Roman"/>
                <w:highlight w:val="none"/>
              </w:rPr>
              <w:t xml:space="preserve">最高</w:t>
            </w:r>
            <w:r>
              <w:rPr>
                <w:rFonts w:hint="eastAsia" w:ascii="宋体" w:hAnsi="宋体" w:eastAsia="宋体" w:cs="Times New Roman"/>
                <w:highlight w:val="none"/>
                <w:lang w:val="en-US" w:eastAsia="zh-CN"/>
              </w:rPr>
              <w:t xml:space="preserve">得</w:t>
            </w:r>
            <w:r>
              <w:rPr>
                <w:rFonts w:hint="eastAsia" w:ascii="宋体" w:hAnsi="宋体" w:cs="Times New Roman"/>
                <w:highlight w:val="none"/>
                <w:lang w:val="en-US" w:eastAsia="zh-CN"/>
              </w:rPr>
              <w:t xml:space="preserve">6</w:t>
            </w:r>
            <w:r>
              <w:rPr>
                <w:rFonts w:hint="eastAsia" w:ascii="宋体" w:hAnsi="宋体" w:eastAsia="宋体" w:cs="Times New Roman"/>
                <w:highlight w:val="none"/>
              </w:rPr>
              <w:t xml:space="preserve">分</w:t>
            </w:r>
            <w:r>
              <w:rPr>
                <w:rFonts w:hint="eastAsia" w:ascii="宋体" w:hAnsi="宋体" w:eastAsia="宋体" w:cs="Times New Roman"/>
                <w:highlight w:val="none"/>
                <w:lang w:eastAsia="zh-CN"/>
              </w:rPr>
              <w:t xml:space="preserve">。</w:t>
            </w:r>
            <w:r/>
          </w:p>
          <w:p>
            <w:pPr>
              <w:pStyle w:val="808"/>
              <w:rPr>
                <w:rFonts w:hint="eastAsia" w:ascii="宋体" w:hAnsi="宋体" w:eastAsia="宋体"/>
                <w:sz w:val="21"/>
                <w:highlight w:val="none"/>
              </w:rPr>
            </w:pPr>
            <w:r>
              <w:rPr>
                <w:rFonts w:hint="eastAsia" w:ascii="宋体" w:hAnsi="宋体" w:eastAsia="宋体"/>
                <w:sz w:val="21"/>
                <w:highlight w:val="none"/>
              </w:rPr>
              <w:t xml:space="preserve">【须提供</w:t>
            </w:r>
            <w:r>
              <w:rPr>
                <w:rFonts w:hint="eastAsia" w:ascii="宋体" w:hAnsi="宋体"/>
                <w:sz w:val="21"/>
                <w:highlight w:val="none"/>
                <w:lang w:val="en-US" w:eastAsia="zh-CN"/>
              </w:rPr>
              <w:t xml:space="preserve">业绩合同（</w:t>
            </w:r>
            <w:r>
              <w:rPr>
                <w:rFonts w:hint="eastAsia" w:ascii="宋体" w:hAnsi="宋体" w:eastAsia="宋体"/>
                <w:sz w:val="21"/>
                <w:highlight w:val="none"/>
              </w:rPr>
              <w:t xml:space="preserve">合同中必须体现合同名称、签订双方名称、签订时间、主要服务内容、双方盖章页</w:t>
            </w:r>
            <w:r>
              <w:rPr>
                <w:rFonts w:hint="eastAsia" w:ascii="宋体" w:hAnsi="宋体"/>
                <w:sz w:val="21"/>
                <w:highlight w:val="none"/>
                <w:lang w:val="en-US" w:eastAsia="zh-CN"/>
              </w:rPr>
              <w:t xml:space="preserve">）原件</w:t>
            </w:r>
            <w:r>
              <w:rPr>
                <w:rFonts w:hint="eastAsia" w:ascii="宋体" w:hAnsi="宋体" w:eastAsia="宋体"/>
                <w:sz w:val="21"/>
                <w:highlight w:val="none"/>
              </w:rPr>
              <w:t xml:space="preserve">扫描件）】</w:t>
            </w:r>
            <w:r/>
          </w:p>
          <w:p>
            <w:pPr>
              <w:pStyle w:val="808"/>
              <w:rPr>
                <w:rFonts w:hint="eastAsia" w:ascii="宋体" w:hAnsi="宋体" w:eastAsia="宋体"/>
                <w:sz w:val="21"/>
                <w:highlight w:val="none"/>
                <w:lang w:val="zh-TW" w:eastAsia="zh-CN"/>
              </w:rPr>
            </w:pPr>
            <w:r>
              <w:rPr>
                <w:rFonts w:hint="eastAsia"/>
                <w:b/>
                <w:bCs/>
                <w:color w:val="0000ff"/>
                <w:lang w:val="en-US" w:eastAsia="zh-CN"/>
              </w:rPr>
              <w:t xml:space="preserve">注：未提供或者提供不符合要求的不得分。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58" w:type="dxa"/>
            <w:vAlign w:val="center"/>
            <w:textDirection w:val="lrTb"/>
            <w:noWrap w:val="false"/>
          </w:tcPr>
          <w:p>
            <w:pPr>
              <w:jc w:val="left"/>
              <w:keepLines w:val="0"/>
              <w:keepNext w:val="0"/>
              <w:pageBreakBefore w:val="0"/>
              <w:spacing w:line="300" w:lineRule="exact"/>
              <w:widowControl w:val="off"/>
              <w:tabs>
                <w:tab w:val="left" w:pos="5940" w:leader="none"/>
              </w:tabs>
              <w:rPr>
                <w:rFonts w:hint="eastAsia" w:ascii="宋体" w:hAnsi="宋体" w:eastAsia="宋体" w:cs="宋体"/>
                <w:b w:val="0"/>
                <w:bCs w:val="0"/>
                <w:color w:val="000000"/>
                <w:sz w:val="21"/>
                <w:szCs w:val="21"/>
                <w:u w:val="none"/>
                <w:lang w:val="zh-TW" w:eastAsia="zh-CN" w:bidi="ar-SA"/>
              </w:rPr>
            </w:pPr>
            <w:r>
              <w:rPr>
                <w:rFonts w:hint="eastAsia" w:ascii="宋体" w:hAnsi="宋体" w:eastAsia="宋体" w:cs="宋体"/>
                <w:b w:val="0"/>
                <w:bCs w:val="0"/>
                <w:color w:val="000000"/>
                <w:sz w:val="21"/>
                <w:szCs w:val="21"/>
                <w:u w:val="none"/>
                <w:lang w:val="zh-TW" w:eastAsia="zh-CN" w:bidi="ar-SA"/>
              </w:rPr>
            </w:r>
            <w:r/>
          </w:p>
        </w:tc>
      </w:tr>
      <w:tr>
        <w:trPr>
          <w:jc w:val="center"/>
          <w:trHeight w:val="2514"/>
        </w:trPr>
        <w:tc>
          <w:tcPr>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23" w:type="dxa"/>
            <w:vAlign w:val="center"/>
            <w:textDirection w:val="lrTb"/>
            <w:noWrap w:val="false"/>
          </w:tcPr>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u w:val="none"/>
                <w:lang w:val="en-US" w:eastAsia="zh-CN" w:bidi="ar-SA"/>
              </w:rPr>
            </w:pPr>
            <w:r>
              <w:rPr>
                <w:rFonts w:hint="eastAsia" w:ascii="宋体" w:hAnsi="宋体" w:eastAsia="宋体" w:cs="宋体"/>
                <w:color w:val="000000"/>
                <w:sz w:val="21"/>
                <w:szCs w:val="21"/>
                <w:u w:val="none"/>
                <w:lang w:val="en-US" w:eastAsia="zh-CN" w:bidi="ar-SA"/>
              </w:rPr>
              <w:t xml:space="preserve">3</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711" w:type="dxa"/>
            <w:vAlign w:val="center"/>
            <w:textDirection w:val="lrTb"/>
            <w:noWrap w:val="false"/>
          </w:tcPr>
          <w:p>
            <w:pPr>
              <w:jc w:val="center"/>
              <w:keepLines w:val="0"/>
              <w:keepNext w:val="0"/>
              <w:pageBreakBefore w:val="0"/>
              <w:spacing w:line="300" w:lineRule="exact"/>
              <w:widowControl w:val="off"/>
              <w:tabs>
                <w:tab w:val="left" w:pos="5940" w:leader="none"/>
              </w:tabs>
              <w:rPr>
                <w:rFonts w:hint="eastAsia" w:ascii="宋体" w:hAnsi="宋体" w:eastAsia="宋体" w:cs="宋体"/>
                <w:color w:val="000000"/>
                <w:sz w:val="21"/>
                <w:szCs w:val="21"/>
                <w:u w:val="none"/>
                <w:lang w:val="en-US" w:eastAsia="zh-CN" w:bidi="ar-SA"/>
              </w:rPr>
            </w:pPr>
            <w:r>
              <w:rPr>
                <w:rFonts w:hint="eastAsia" w:ascii="宋体" w:hAnsi="宋体" w:eastAsia="宋体" w:cs="宋体"/>
                <w:color w:val="000000"/>
                <w:sz w:val="21"/>
                <w:szCs w:val="21"/>
                <w:u w:val="none"/>
                <w:lang w:val="en-US" w:eastAsia="zh-CN" w:bidi="ar-SA"/>
              </w:rPr>
              <w:t xml:space="preserve">投入人员</w:t>
            </w:r>
            <w:r/>
          </w:p>
          <w:p>
            <w:pPr>
              <w:jc w:val="center"/>
              <w:keepLines w:val="0"/>
              <w:keepNext w:val="0"/>
              <w:pageBreakBefore w:val="0"/>
              <w:spacing w:line="300" w:lineRule="exact"/>
              <w:widowControl w:val="off"/>
              <w:tabs>
                <w:tab w:val="left" w:pos="5940" w:leader="none"/>
              </w:tabs>
              <w:rPr>
                <w:rFonts w:hint="default" w:ascii="宋体" w:hAnsi="宋体" w:eastAsia="宋体" w:cs="宋体"/>
                <w:color w:val="000000"/>
                <w:sz w:val="21"/>
                <w:szCs w:val="21"/>
                <w:u w:val="none"/>
                <w:lang w:val="en-US" w:eastAsia="zh-CN" w:bidi="ar-SA"/>
              </w:rPr>
            </w:pPr>
            <w:r>
              <w:rPr>
                <w:rFonts w:hint="eastAsia" w:ascii="宋体" w:hAnsi="宋体" w:eastAsia="宋体" w:cs="宋体"/>
                <w:color w:val="000000"/>
                <w:sz w:val="21"/>
                <w:szCs w:val="21"/>
                <w:u w:val="none"/>
                <w:lang w:val="en-US" w:eastAsia="zh-CN" w:bidi="ar-SA"/>
              </w:rPr>
              <w:t xml:space="preserve">（</w:t>
            </w:r>
            <w:r>
              <w:rPr>
                <w:rFonts w:hint="eastAsia" w:ascii="宋体" w:hAnsi="宋体" w:cs="宋体"/>
                <w:color w:val="000000"/>
                <w:sz w:val="21"/>
                <w:szCs w:val="21"/>
                <w:u w:val="none"/>
                <w:lang w:val="en-US" w:eastAsia="zh-CN" w:bidi="ar-SA"/>
              </w:rPr>
              <w:t xml:space="preserve">7</w:t>
            </w:r>
            <w:r>
              <w:rPr>
                <w:rFonts w:hint="eastAsia" w:ascii="宋体" w:hAnsi="宋体" w:eastAsia="宋体" w:cs="宋体"/>
                <w:color w:val="000000"/>
                <w:sz w:val="21"/>
                <w:szCs w:val="21"/>
                <w:u w:val="none"/>
                <w:lang w:val="en-US" w:eastAsia="zh-CN" w:bidi="ar-SA"/>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972" w:type="dxa"/>
            <w:vAlign w:val="center"/>
            <w:textDirection w:val="lrTb"/>
            <w:noWrap w:val="false"/>
          </w:tcPr>
          <w:p>
            <w:pPr>
              <w:numPr>
                <w:ilvl w:val="0"/>
                <w:numId w:val="7"/>
              </w:numPr>
              <w:keepLines w:val="0"/>
              <w:keepNext w:val="0"/>
              <w:pageBreakBefore w:val="0"/>
              <w:spacing w:line="300" w:lineRule="exact"/>
              <w:widowControl w:val="off"/>
              <w:rPr>
                <w:rFonts w:hint="eastAsia" w:ascii="宋体" w:hAnsi="宋体" w:eastAsia="宋体" w:cs="Times New Roman"/>
                <w:highlight w:val="none"/>
              </w:rPr>
            </w:pPr>
            <w:r>
              <w:rPr>
                <w:rFonts w:hint="eastAsia" w:ascii="宋体" w:hAnsi="宋体" w:eastAsia="宋体" w:cs="Times New Roman"/>
                <w:highlight w:val="none"/>
              </w:rPr>
              <w:t xml:space="preserve">投标人为本项目配备的项目负责人</w:t>
            </w:r>
            <w:r>
              <w:rPr>
                <w:rFonts w:hint="eastAsia" w:ascii="宋体" w:hAnsi="宋体" w:eastAsia="宋体" w:cs="Times New Roman"/>
                <w:highlight w:val="none"/>
                <w:lang w:val="en-US" w:eastAsia="zh-CN"/>
              </w:rPr>
              <w:t xml:space="preserve">1名，</w:t>
            </w:r>
            <w:r>
              <w:rPr>
                <w:rFonts w:hint="eastAsia" w:ascii="宋体" w:hAnsi="宋体" w:eastAsia="宋体" w:cs="Times New Roman"/>
                <w:highlight w:val="none"/>
              </w:rPr>
              <w:t xml:space="preserve">具有高级及以上工程师职称的得2分，具有中级工程师职称得1分，本项最高得2分。</w:t>
            </w:r>
            <w:r/>
          </w:p>
          <w:p>
            <w:pPr>
              <w:numPr>
                <w:ilvl w:val="0"/>
                <w:numId w:val="7"/>
              </w:numPr>
              <w:keepLines w:val="0"/>
              <w:keepNext w:val="0"/>
              <w:pageBreakBefore w:val="0"/>
              <w:spacing w:line="300" w:lineRule="exact"/>
              <w:widowControl w:val="off"/>
              <w:rPr>
                <w:rFonts w:hint="eastAsia" w:ascii="宋体" w:hAnsi="宋体" w:eastAsia="宋体" w:cs="Times New Roman"/>
                <w:highlight w:val="none"/>
              </w:rPr>
            </w:pPr>
            <w:r>
              <w:rPr>
                <w:rFonts w:hint="eastAsia" w:ascii="宋体" w:hAnsi="宋体" w:eastAsia="宋体" w:cs="Times New Roman"/>
                <w:highlight w:val="none"/>
              </w:rPr>
              <w:t xml:space="preserve">项目组成员中具有人社部门颁发的剪辑师、艺术创意设计师职称证书的有1人的得1分，本项最高得</w:t>
            </w:r>
            <w:r>
              <w:rPr>
                <w:rFonts w:hint="eastAsia" w:ascii="宋体" w:hAnsi="宋体" w:cs="Times New Roman"/>
                <w:highlight w:val="none"/>
                <w:lang w:val="en-US" w:eastAsia="zh-CN"/>
              </w:rPr>
              <w:t xml:space="preserve">2</w:t>
            </w:r>
            <w:r>
              <w:rPr>
                <w:rFonts w:hint="eastAsia" w:ascii="宋体" w:hAnsi="宋体" w:eastAsia="宋体" w:cs="Times New Roman"/>
                <w:highlight w:val="none"/>
              </w:rPr>
              <w:t xml:space="preserve">分。</w:t>
            </w:r>
            <w:r/>
          </w:p>
          <w:p>
            <w:pPr>
              <w:keepLines w:val="0"/>
              <w:keepNext w:val="0"/>
              <w:pageBreakBefore w:val="0"/>
              <w:spacing w:line="300" w:lineRule="exact"/>
              <w:widowControl w:val="off"/>
              <w:rPr>
                <w:rFonts w:hint="eastAsia" w:ascii="宋体" w:hAnsi="宋体" w:eastAsia="宋体" w:cs="Times New Roman"/>
                <w:highlight w:val="none"/>
              </w:rPr>
            </w:pPr>
            <w:r>
              <w:rPr>
                <w:rFonts w:hint="eastAsia" w:ascii="宋体" w:hAnsi="宋体" w:eastAsia="宋体" w:cs="Times New Roman"/>
                <w:highlight w:val="none"/>
              </w:rPr>
              <w:t xml:space="preserve">（</w:t>
            </w:r>
            <w:r>
              <w:rPr>
                <w:rFonts w:hint="eastAsia" w:ascii="宋体" w:hAnsi="宋体" w:eastAsia="宋体" w:cs="Times New Roman"/>
                <w:highlight w:val="none"/>
                <w:lang w:val="en-US" w:eastAsia="zh-CN"/>
              </w:rPr>
              <w:t xml:space="preserve">3</w:t>
            </w:r>
            <w:r>
              <w:rPr>
                <w:rFonts w:hint="eastAsia" w:ascii="宋体" w:hAnsi="宋体" w:eastAsia="宋体" w:cs="Times New Roman"/>
                <w:highlight w:val="none"/>
              </w:rPr>
              <w:t xml:space="preserve">）项目组成员所学专业具有视觉传达专业、美术专业、绘画专业的，有一项专业的得1分/人，本项最高得</w:t>
            </w:r>
            <w:r>
              <w:rPr>
                <w:rFonts w:hint="eastAsia" w:ascii="宋体" w:hAnsi="宋体" w:eastAsia="宋体" w:cs="Times New Roman"/>
                <w:highlight w:val="none"/>
                <w:lang w:val="en-US" w:eastAsia="zh-CN"/>
              </w:rPr>
              <w:t xml:space="preserve">3</w:t>
            </w:r>
            <w:r>
              <w:rPr>
                <w:rFonts w:hint="eastAsia" w:ascii="宋体" w:hAnsi="宋体" w:eastAsia="宋体" w:cs="Times New Roman"/>
                <w:highlight w:val="none"/>
              </w:rPr>
              <w:t xml:space="preserve">分。</w:t>
            </w:r>
            <w:r/>
          </w:p>
          <w:p>
            <w:pPr>
              <w:pStyle w:val="808"/>
              <w:rPr>
                <w:rFonts w:hint="eastAsia"/>
                <w:b/>
                <w:bCs/>
                <w:color w:val="0000ff"/>
                <w:lang w:val="en-US" w:eastAsia="zh-CN"/>
              </w:rPr>
            </w:pPr>
            <w:r>
              <w:rPr>
                <w:rFonts w:hint="eastAsia"/>
                <w:b/>
                <w:bCs/>
                <w:color w:val="0000ff"/>
                <w:lang w:val="en-US" w:eastAsia="zh-CN"/>
              </w:rPr>
              <w:t xml:space="preserve">注：投标人须提供以上人员相关证书原件扫描件、身份证原件扫描件，未提供或不符合要求的不得分。</w:t>
            </w:r>
            <w:r/>
          </w:p>
        </w:tc>
        <w:tc>
          <w:tcPr>
            <w:shd w:val="clear" w:color="auto" w:fill="auto"/>
            <w:tcBorders>
              <w:top w:val="single" w:color="000000" w:sz="4" w:space="0"/>
              <w:left w:val="single" w:color="auto" w:sz="4" w:space="0"/>
              <w:right w:val="single" w:color="000000" w:sz="4" w:space="0"/>
            </w:tcBorders>
            <w:tcMar>
              <w:left w:w="80" w:type="dxa"/>
              <w:top w:w="80" w:type="dxa"/>
              <w:right w:w="80" w:type="dxa"/>
              <w:bottom w:w="80" w:type="dxa"/>
            </w:tcMar>
            <w:tcW w:w="658" w:type="dxa"/>
            <w:vAlign w:val="center"/>
            <w:textDirection w:val="lrTb"/>
            <w:noWrap w:val="false"/>
          </w:tcPr>
          <w:p>
            <w:pPr>
              <w:jc w:val="left"/>
              <w:keepLines w:val="0"/>
              <w:keepNext w:val="0"/>
              <w:pageBreakBefore w:val="0"/>
              <w:spacing w:line="300" w:lineRule="exact"/>
              <w:widowControl w:val="off"/>
              <w:tabs>
                <w:tab w:val="left" w:pos="5940" w:leader="none"/>
              </w:tabs>
              <w:rPr>
                <w:rFonts w:hint="eastAsia" w:ascii="宋体" w:hAnsi="宋体" w:eastAsia="宋体" w:cs="宋体"/>
                <w:b w:val="0"/>
                <w:bCs w:val="0"/>
                <w:color w:val="000000"/>
                <w:sz w:val="21"/>
                <w:szCs w:val="21"/>
                <w:u w:val="none"/>
                <w:lang w:val="zh-TW" w:eastAsia="zh-CN" w:bidi="ar-SA"/>
              </w:rPr>
            </w:pPr>
            <w:r>
              <w:rPr>
                <w:rFonts w:hint="eastAsia" w:ascii="宋体" w:hAnsi="宋体" w:eastAsia="宋体" w:cs="宋体"/>
                <w:b w:val="0"/>
                <w:bCs w:val="0"/>
                <w:color w:val="000000"/>
                <w:sz w:val="21"/>
                <w:szCs w:val="21"/>
                <w:u w:val="none"/>
                <w:lang w:val="zh-TW" w:eastAsia="zh-CN" w:bidi="ar-SA"/>
              </w:rPr>
            </w:r>
            <w:r/>
          </w:p>
        </w:tc>
      </w:tr>
    </w:tbl>
    <w:p>
      <w:pPr>
        <w:pStyle w:val="807"/>
        <w:rPr>
          <w:rFonts w:ascii="宋体" w:hAnsi="宋体" w:cs="宋体"/>
          <w:color w:val="auto"/>
          <w:highlight w:val="none"/>
        </w:rPr>
      </w:pPr>
      <w:r>
        <w:rPr>
          <w:rFonts w:ascii="宋体" w:hAnsi="宋体" w:cs="宋体"/>
          <w:color w:val="auto"/>
          <w:highlight w:val="none"/>
        </w:rPr>
      </w:r>
      <w:r/>
    </w:p>
    <w:p>
      <w:pPr>
        <w:rPr>
          <w:color w:val="auto"/>
          <w:highlight w:val="none"/>
        </w:rPr>
      </w:pPr>
      <w:r>
        <w:rPr>
          <w:color w:val="auto"/>
          <w:highlight w:val="none"/>
        </w:rPr>
      </w:r>
      <w:r/>
    </w:p>
    <w:p>
      <w:pPr>
        <w:jc w:val="left"/>
        <w:spacing w:line="400" w:lineRule="exact"/>
        <w:tabs>
          <w:tab w:val="left" w:pos="5940" w:leader="none"/>
        </w:tabs>
        <w:rPr>
          <w:rFonts w:hint="default" w:ascii="宋体" w:hAnsi="宋体" w:eastAsia="宋体" w:cs="宋体"/>
          <w:b/>
          <w:sz w:val="24"/>
          <w:szCs w:val="24"/>
        </w:rPr>
      </w:pPr>
      <w:r/>
      <w:bookmarkStart w:id="177" w:name="_Toc203032712"/>
      <w:r>
        <w:rPr>
          <w:rFonts w:hint="eastAsia" w:ascii="宋体" w:hAnsi="宋体" w:eastAsia="宋体" w:cs="宋体"/>
          <w:b/>
          <w:sz w:val="24"/>
          <w:szCs w:val="24"/>
        </w:rPr>
        <w:t xml:space="preserve">注： 1.评分细则中要求提供的证明文件及资料等在响应文件中提供彩色扫描件并加供应商公章。</w:t>
      </w:r>
      <w:r/>
    </w:p>
    <w:p>
      <w:pPr>
        <w:ind w:firstLine="482"/>
        <w:jc w:val="left"/>
        <w:spacing w:line="400" w:lineRule="exact"/>
        <w:tabs>
          <w:tab w:val="left" w:pos="5940" w:leader="none"/>
        </w:tabs>
        <w:rPr>
          <w:rFonts w:hint="default"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.响应文件</w:t>
      </w:r>
      <w:r>
        <w:rPr>
          <w:rFonts w:hint="eastAsia" w:ascii="宋体" w:hAnsi="宋体" w:eastAsia="宋体" w:cs="宋体"/>
          <w:b/>
          <w:sz w:val="24"/>
          <w:szCs w:val="24"/>
          <w:lang w:val="en-US" w:eastAsia="zh-CN"/>
        </w:rPr>
        <w:t xml:space="preserve">中</w:t>
      </w:r>
      <w:r>
        <w:rPr>
          <w:rFonts w:hint="eastAsia" w:ascii="宋体" w:hAnsi="宋体" w:eastAsia="宋体" w:cs="宋体"/>
          <w:b/>
          <w:sz w:val="24"/>
          <w:szCs w:val="24"/>
        </w:rPr>
        <w:t xml:space="preserve">供应商</w:t>
      </w:r>
      <w:r>
        <w:rPr>
          <w:rFonts w:hint="eastAsia" w:ascii="宋体" w:hAnsi="宋体" w:eastAsia="宋体" w:cs="宋体"/>
          <w:b/>
          <w:sz w:val="24"/>
          <w:szCs w:val="24"/>
          <w:lang w:val="en-US" w:eastAsia="zh-CN"/>
        </w:rPr>
        <w:t xml:space="preserve">所提供的相关证明材料</w:t>
      </w:r>
      <w:r>
        <w:rPr>
          <w:rFonts w:hint="eastAsia" w:ascii="宋体" w:hAnsi="宋体" w:eastAsia="宋体" w:cs="宋体"/>
          <w:b/>
          <w:sz w:val="24"/>
          <w:szCs w:val="24"/>
        </w:rPr>
        <w:t xml:space="preserve">原件（或公证件）</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应妥善保管，再签订合同前，随时备查备验</w:t>
      </w:r>
      <w:r>
        <w:rPr>
          <w:rFonts w:hint="eastAsia" w:ascii="宋体" w:hAnsi="宋体" w:eastAsia="宋体" w:cs="宋体"/>
          <w:b/>
          <w:sz w:val="24"/>
          <w:szCs w:val="24"/>
        </w:rPr>
        <w:t xml:space="preserve">。</w:t>
      </w:r>
      <w:r/>
    </w:p>
    <w:p>
      <w:pPr>
        <w:ind w:firstLine="482"/>
        <w:jc w:val="left"/>
        <w:spacing w:line="360" w:lineRule="exact"/>
        <w:tabs>
          <w:tab w:val="left" w:pos="5940" w:leader="none"/>
        </w:tabs>
        <w:rPr>
          <w:rFonts w:hint="default" w:ascii="Times New Roman" w:hAnsi="Times New Roman" w:eastAsia="宋体" w:cs="Times New Roman"/>
          <w:sz w:val="24"/>
          <w:szCs w:val="24"/>
          <w:lang w:val="en-US" w:eastAsia="zh-CN"/>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.为便于评分，请供应商按评分表样式，逐条列出证明材料所在页码，格式自定</w:t>
      </w:r>
      <w:r/>
    </w:p>
    <w:p>
      <w:pPr>
        <w:rPr>
          <w:rFonts w:hint="eastAsia"/>
          <w:color w:val="auto"/>
          <w:sz w:val="36"/>
          <w:szCs w:val="36"/>
          <w:highlight w:val="none"/>
        </w:rPr>
      </w:pPr>
      <w:r>
        <w:rPr>
          <w:rFonts w:hint="eastAsia"/>
          <w:color w:val="auto"/>
          <w:sz w:val="36"/>
          <w:szCs w:val="36"/>
          <w:highlight w:val="none"/>
        </w:rPr>
        <w:br w:type="page" w:clear="all"/>
      </w:r>
      <w:r/>
    </w:p>
    <w:p>
      <w:pPr>
        <w:pStyle w:val="795"/>
        <w:rPr>
          <w:color w:val="auto"/>
          <w:sz w:val="36"/>
          <w:szCs w:val="36"/>
          <w:highlight w:val="none"/>
        </w:rPr>
      </w:pPr>
      <w:r>
        <w:rPr>
          <w:rFonts w:hint="eastAsia"/>
          <w:color w:val="auto"/>
          <w:sz w:val="36"/>
          <w:szCs w:val="36"/>
          <w:highlight w:val="none"/>
        </w:rPr>
        <w:t xml:space="preserve">第六章  竞争性磋商响应文件格式</w:t>
      </w:r>
      <w:bookmarkEnd w:id="155"/>
      <w:r/>
      <w:bookmarkEnd w:id="156"/>
      <w:r/>
      <w:bookmarkEnd w:id="157"/>
      <w:r/>
      <w:bookmarkEnd w:id="177"/>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黑体" w:hAnsi="黑体" w:eastAsia="黑体"/>
          <w:b/>
          <w:color w:val="auto"/>
          <w:sz w:val="72"/>
          <w:szCs w:val="21"/>
          <w:highlight w:val="none"/>
        </w:rPr>
      </w:pPr>
      <w:r>
        <w:rPr>
          <w:rFonts w:ascii="黑体" w:hAnsi="黑体" w:eastAsia="黑体"/>
          <w:b/>
          <w:color w:val="auto"/>
          <w:sz w:val="72"/>
          <w:szCs w:val="21"/>
          <w:highlight w:val="none"/>
        </w:rPr>
      </w:r>
      <w:r/>
    </w:p>
    <w:p>
      <w:pPr>
        <w:jc w:val="center"/>
        <w:rPr>
          <w:rFonts w:ascii="黑体" w:hAnsi="黑体" w:eastAsia="黑体"/>
          <w:b/>
          <w:color w:val="auto"/>
          <w:sz w:val="72"/>
          <w:szCs w:val="21"/>
          <w:highlight w:val="none"/>
        </w:rPr>
      </w:pPr>
      <w:r>
        <w:rPr>
          <w:rFonts w:ascii="黑体" w:hAnsi="黑体" w:eastAsia="黑体"/>
          <w:b/>
          <w:color w:val="auto"/>
          <w:sz w:val="72"/>
          <w:szCs w:val="21"/>
          <w:highlight w:val="none"/>
        </w:rPr>
      </w:r>
      <w:r/>
    </w:p>
    <w:p>
      <w:pPr>
        <w:jc w:val="center"/>
        <w:rPr>
          <w:rFonts w:ascii="黑体" w:hAnsi="黑体" w:eastAsia="黑体"/>
          <w:b/>
          <w:color w:val="auto"/>
          <w:sz w:val="72"/>
          <w:szCs w:val="21"/>
          <w:highlight w:val="none"/>
        </w:rPr>
      </w:pPr>
      <w:r>
        <w:rPr>
          <w:rFonts w:hint="eastAsia" w:ascii="黑体" w:hAnsi="黑体" w:eastAsia="黑体"/>
          <w:b/>
          <w:color w:val="auto"/>
          <w:sz w:val="72"/>
          <w:szCs w:val="21"/>
          <w:highlight w:val="none"/>
        </w:rPr>
        <w:t xml:space="preserve"> 响 应 文 件</w:t>
      </w:r>
      <w:r/>
    </w:p>
    <w:p>
      <w:pPr>
        <w:pStyle w:val="1062"/>
        <w:ind w:firstLine="0"/>
        <w:jc w:val="center"/>
        <w:rPr>
          <w:rFonts w:ascii="黑体" w:hAnsi="黑体" w:eastAsia="黑体"/>
          <w:b/>
          <w:bCs/>
          <w:color w:val="auto"/>
          <w:sz w:val="32"/>
          <w:highlight w:val="none"/>
        </w:rPr>
      </w:pPr>
      <w:r>
        <w:rPr>
          <w:rFonts w:ascii="黑体" w:hAnsi="黑体" w:eastAsia="黑体"/>
          <w:b/>
          <w:bCs/>
          <w:color w:val="auto"/>
          <w:sz w:val="32"/>
          <w:highlight w:val="none"/>
        </w:rPr>
      </w:r>
      <w:r/>
    </w:p>
    <w:p>
      <w:pPr>
        <w:ind w:firstLine="1084"/>
        <w:rPr>
          <w:rFonts w:ascii="黑体" w:hAnsi="黑体" w:eastAsia="黑体"/>
          <w:b/>
          <w:color w:val="auto"/>
          <w:sz w:val="36"/>
          <w:szCs w:val="21"/>
          <w:highlight w:val="none"/>
        </w:rPr>
      </w:pPr>
      <w:r>
        <w:rPr>
          <w:rFonts w:hint="eastAsia" w:ascii="黑体" w:hAnsi="黑体" w:eastAsia="黑体"/>
          <w:b/>
          <w:color w:val="auto"/>
          <w:sz w:val="36"/>
          <w:szCs w:val="21"/>
          <w:highlight w:val="none"/>
        </w:rPr>
        <w:t xml:space="preserve">             </w:t>
      </w:r>
      <w:r/>
    </w:p>
    <w:p>
      <w:pPr>
        <w:ind w:firstLine="1084"/>
        <w:rPr>
          <w:rFonts w:ascii="黑体" w:hAnsi="黑体" w:eastAsia="黑体"/>
          <w:b/>
          <w:color w:val="auto"/>
          <w:sz w:val="36"/>
          <w:szCs w:val="21"/>
          <w:highlight w:val="none"/>
        </w:rPr>
      </w:pPr>
      <w:r>
        <w:rPr>
          <w:rFonts w:ascii="黑体" w:hAnsi="黑体" w:eastAsia="黑体"/>
          <w:b/>
          <w:color w:val="auto"/>
          <w:sz w:val="36"/>
          <w:szCs w:val="21"/>
          <w:highlight w:val="none"/>
        </w:rPr>
      </w:r>
      <w:r/>
    </w:p>
    <w:p>
      <w:pPr>
        <w:pStyle w:val="766"/>
        <w:rPr>
          <w:rFonts w:ascii="黑体" w:hAnsi="黑体" w:eastAsia="黑体"/>
          <w:b/>
          <w:color w:val="auto"/>
          <w:sz w:val="36"/>
          <w:szCs w:val="21"/>
          <w:highlight w:val="none"/>
        </w:rPr>
      </w:pPr>
      <w:r>
        <w:rPr>
          <w:rFonts w:ascii="黑体" w:hAnsi="黑体" w:eastAsia="黑体"/>
          <w:b/>
          <w:color w:val="auto"/>
          <w:sz w:val="36"/>
          <w:szCs w:val="21"/>
          <w:highlight w:val="none"/>
        </w:rPr>
      </w:r>
      <w:r/>
    </w:p>
    <w:p>
      <w:pPr>
        <w:rPr>
          <w:color w:val="auto"/>
          <w:highlight w:val="none"/>
        </w:rPr>
      </w:pPr>
      <w:r>
        <w:rPr>
          <w:color w:val="auto"/>
          <w:highlight w:val="none"/>
        </w:rPr>
      </w:r>
      <w:r/>
    </w:p>
    <w:p>
      <w:pPr>
        <w:ind w:firstLine="1084"/>
        <w:rPr>
          <w:rFonts w:ascii="黑体" w:hAnsi="黑体" w:eastAsia="黑体"/>
          <w:b/>
          <w:color w:val="auto"/>
          <w:sz w:val="36"/>
          <w:szCs w:val="21"/>
          <w:highlight w:val="none"/>
        </w:rPr>
      </w:pPr>
      <w:r>
        <w:rPr>
          <w:rFonts w:ascii="黑体" w:hAnsi="黑体" w:eastAsia="黑体"/>
          <w:b/>
          <w:color w:val="auto"/>
          <w:sz w:val="36"/>
          <w:szCs w:val="21"/>
          <w:highlight w:val="none"/>
        </w:rPr>
      </w:r>
      <w:r/>
    </w:p>
    <w:p>
      <w:pPr>
        <w:ind w:firstLine="1084"/>
        <w:spacing w:line="700" w:lineRule="exact"/>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700" w:lineRule="exact"/>
        <w:rPr>
          <w:rFonts w:ascii="宋体" w:hAnsi="宋体" w:cs="宋体"/>
          <w:b/>
          <w:color w:val="auto"/>
          <w:sz w:val="36"/>
          <w:highlight w:val="non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ind w:firstLine="1084"/>
        <w:spacing w:line="700" w:lineRule="exact"/>
        <w:rPr>
          <w:rFonts w:ascii="宋体" w:hAnsi="宋体" w:cs="宋体"/>
          <w:b/>
          <w:color w:val="auto"/>
          <w:sz w:val="36"/>
          <w:highlight w:val="none"/>
        </w:rPr>
      </w:pPr>
      <w:r>
        <w:rPr>
          <w:rFonts w:hint="eastAsia" w:ascii="宋体" w:hAnsi="宋体" w:cs="宋体"/>
          <w:b/>
          <w:color w:val="auto"/>
          <w:sz w:val="36"/>
          <w:highlight w:val="none"/>
        </w:rPr>
        <w:t xml:space="preserve">供应商名称：</w:t>
      </w:r>
      <w:r>
        <w:rPr>
          <w:rFonts w:hint="eastAsia" w:ascii="宋体" w:hAnsi="宋体" w:cs="宋体"/>
          <w:b/>
          <w:color w:val="auto"/>
          <w:sz w:val="36"/>
          <w:highlight w:val="none"/>
          <w:u w:val="single"/>
        </w:rPr>
        <w:t xml:space="preserve">（加盖CA电子公章）</w:t>
      </w:r>
      <w:r/>
    </w:p>
    <w:p>
      <w:pPr>
        <w:spacing w:line="700" w:lineRule="exact"/>
        <w:rPr>
          <w:rFonts w:ascii="宋体" w:hAnsi="宋体" w:cs="宋体"/>
          <w:b/>
          <w:color w:val="auto"/>
          <w:sz w:val="36"/>
          <w:highlight w:val="none"/>
        </w:rPr>
      </w:pPr>
      <w:r>
        <w:rPr>
          <w:rFonts w:hint="eastAsia" w:ascii="宋体" w:hAnsi="宋体" w:cs="宋体"/>
          <w:b/>
          <w:color w:val="auto"/>
          <w:sz w:val="36"/>
          <w:highlight w:val="none"/>
        </w:rPr>
        <w:t xml:space="preserve">      日       期：</w:t>
      </w:r>
      <w:r>
        <w:rPr>
          <w:rFonts w:hint="eastAsia" w:ascii="宋体" w:hAnsi="宋体" w:cs="宋体"/>
          <w:b/>
          <w:color w:val="auto"/>
          <w:sz w:val="36"/>
          <w:highlight w:val="none"/>
          <w:u w:val="single"/>
        </w:rPr>
        <w:t xml:space="preserve">                  </w:t>
      </w:r>
      <w:r/>
    </w:p>
    <w:p>
      <w:pPr>
        <w:pStyle w:val="1062"/>
        <w:ind w:firstLine="2464"/>
        <w:rPr>
          <w:rFonts w:ascii="宋体" w:hAnsi="宋体" w:cs="Times New Roman"/>
          <w:bCs/>
          <w:color w:val="auto"/>
          <w:sz w:val="32"/>
          <w:szCs w:val="32"/>
          <w:highlight w:val="none"/>
        </w:rPr>
      </w:pPr>
      <w:r>
        <w:rPr>
          <w:rFonts w:ascii="宋体" w:hAnsi="宋体" w:cs="Times New Roman"/>
          <w:bCs/>
          <w:color w:val="auto"/>
          <w:sz w:val="32"/>
          <w:szCs w:val="32"/>
          <w:highlight w:val="none"/>
        </w:rPr>
      </w:r>
      <w:r/>
    </w:p>
    <w:p>
      <w:pPr>
        <w:pStyle w:val="1062"/>
        <w:ind w:firstLine="0"/>
        <w:spacing w:before="0" w:after="0"/>
        <w:rPr>
          <w:rFonts w:ascii="宋体" w:hAnsi="宋体"/>
          <w:color w:val="auto"/>
          <w:highlight w:val="none"/>
        </w:rPr>
      </w:pPr>
      <w:r>
        <w:rPr>
          <w:rFonts w:ascii="宋体" w:hAnsi="宋体"/>
          <w:color w:val="auto"/>
          <w:highlight w:val="none"/>
        </w:rPr>
      </w:r>
      <w:r/>
    </w:p>
    <w:p>
      <w:pPr>
        <w:pStyle w:val="1062"/>
        <w:ind w:firstLine="0"/>
        <w:spacing w:before="0" w:after="0"/>
        <w:rPr>
          <w:rFonts w:ascii="宋体" w:hAnsi="宋体"/>
          <w:color w:val="auto"/>
          <w:highlight w:val="none"/>
        </w:rPr>
      </w:pPr>
      <w:r>
        <w:rPr>
          <w:rFonts w:ascii="宋体" w:hAnsi="宋体"/>
          <w:color w:val="auto"/>
          <w:highlight w:val="none"/>
        </w:rPr>
      </w:r>
      <w:r/>
    </w:p>
    <w:p>
      <w:pPr>
        <w:pStyle w:val="1062"/>
        <w:ind w:firstLine="0"/>
        <w:spacing w:before="0" w:after="0"/>
        <w:rPr>
          <w:rFonts w:ascii="宋体" w:hAnsi="宋体"/>
          <w:color w:val="auto"/>
          <w:highlight w:val="none"/>
        </w:rPr>
      </w:pPr>
      <w:r>
        <w:rPr>
          <w:rFonts w:ascii="宋体" w:hAnsi="宋体"/>
          <w:color w:val="auto"/>
          <w:highlight w:val="none"/>
        </w:rPr>
      </w:r>
      <w:r/>
    </w:p>
    <w:p>
      <w:pPr>
        <w:pStyle w:val="1062"/>
        <w:ind w:firstLine="0"/>
        <w:spacing w:before="0" w:after="0"/>
        <w:rPr>
          <w:rFonts w:ascii="宋体" w:hAnsi="宋体"/>
          <w:color w:val="auto"/>
          <w:highlight w:val="none"/>
        </w:rPr>
      </w:pPr>
      <w:r>
        <w:rPr>
          <w:rFonts w:ascii="宋体" w:hAnsi="宋体"/>
          <w:color w:val="auto"/>
          <w:highlight w:val="none"/>
        </w:rPr>
      </w:r>
      <w:r/>
    </w:p>
    <w:p>
      <w:pPr>
        <w:pStyle w:val="1062"/>
        <w:ind w:firstLine="0"/>
        <w:spacing w:before="0" w:after="0"/>
        <w:rPr>
          <w:rFonts w:ascii="宋体" w:hAnsi="宋体"/>
          <w:color w:val="auto"/>
          <w:highlight w:val="none"/>
        </w:rPr>
      </w:pPr>
      <w:r>
        <w:rPr>
          <w:rFonts w:ascii="宋体" w:hAnsi="宋体"/>
          <w:color w:val="auto"/>
          <w:highlight w:val="none"/>
        </w:rPr>
      </w:r>
      <w:r/>
    </w:p>
    <w:p>
      <w:pPr>
        <w:pStyle w:val="1062"/>
        <w:ind w:firstLine="0"/>
        <w:spacing w:before="0" w:after="0"/>
        <w:rPr>
          <w:rFonts w:ascii="宋体" w:hAnsi="宋体"/>
          <w:color w:val="auto"/>
          <w:highlight w:val="none"/>
        </w:rPr>
      </w:pPr>
      <w:r>
        <w:rPr>
          <w:rFonts w:ascii="宋体" w:hAnsi="宋体"/>
          <w:color w:val="auto"/>
          <w:highlight w:val="none"/>
        </w:rPr>
      </w:r>
      <w:r/>
    </w:p>
    <w:p>
      <w:pPr>
        <w:pStyle w:val="774"/>
        <w:jc w:val="center"/>
        <w:spacing w:line="360" w:lineRule="auto"/>
        <w:rPr>
          <w:rFonts w:ascii="宋体" w:hAnsi="宋体"/>
          <w:color w:val="auto"/>
          <w:sz w:val="32"/>
          <w:highlight w:val="none"/>
        </w:rPr>
      </w:pPr>
      <w:r>
        <w:rPr>
          <w:rFonts w:ascii="宋体" w:hAnsi="宋体"/>
          <w:color w:val="auto"/>
          <w:sz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响应文件目录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一、 法人或者其他组织的营业执照等证明文件，自然人的身份证明</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b/>
          <w:bCs/>
          <w:i/>
          <w:iCs/>
          <w:color w:val="auto"/>
          <w:sz w:val="24"/>
          <w:highlight w:val="none"/>
          <w:u w:val="single"/>
        </w:rPr>
        <w:t xml:space="preserve">二、</w:t>
      </w:r>
      <w:r>
        <w:rPr>
          <w:rFonts w:hint="eastAsia" w:ascii="宋体" w:hAnsi="宋体" w:cs="宋体"/>
          <w:i/>
          <w:iCs/>
          <w:color w:val="auto"/>
          <w:sz w:val="24"/>
          <w:highlight w:val="none"/>
          <w:u w:val="single"/>
        </w:rPr>
        <w:t xml:space="preserve">上一年度（2025年度）的财务状况报告（财务报告至少应当包括资产负债表、利润表，距投标截止之日止，成立不足一年的磋商供应商，可不提供财务报告） </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b/>
          <w:i/>
          <w:iCs/>
          <w:color w:val="auto"/>
          <w:sz w:val="24"/>
          <w:highlight w:val="none"/>
          <w:u w:val="single"/>
        </w:rPr>
        <w:t xml:space="preserve">三、 </w:t>
      </w:r>
      <w:r>
        <w:rPr>
          <w:rFonts w:hint="eastAsia" w:ascii="宋体" w:hAnsi="宋体" w:cs="宋体"/>
          <w:i/>
          <w:iCs/>
          <w:color w:val="auto"/>
          <w:sz w:val="24"/>
          <w:highlight w:val="none"/>
          <w:u w:val="single"/>
        </w:rPr>
        <w:t xml:space="preserve">依法缴纳税收和社会保障资金的相关材料（提供磋商响应文件截止时间前一年内至少一个月依法缴纳税收及缴纳社会保障资金的证明材料。磋商供应商依法享受缓缴、免缴税收、社会保障资金的提供证明材料。）</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四、具备履行合同所必需的设备和专业技术能力的书面声明</w:t>
      </w:r>
      <w:r/>
    </w:p>
    <w:p>
      <w:pPr>
        <w:ind w:firstLine="482"/>
        <w:keepLines w:val="0"/>
        <w:keepNext w:val="0"/>
        <w:pageBreakBefore w:val="0"/>
        <w:spacing w:line="440" w:lineRule="exact"/>
        <w:widowControl w:val="off"/>
        <w:rPr>
          <w:rFonts w:hint="eastAsia" w:ascii="宋体" w:hAnsi="宋体" w:cs="宋体"/>
          <w:i/>
          <w:iCs/>
          <w:color w:val="auto"/>
          <w:sz w:val="24"/>
          <w:highlight w:val="none"/>
          <w:u w:val="single"/>
        </w:rPr>
      </w:pPr>
      <w:r>
        <w:rPr>
          <w:rFonts w:hint="eastAsia" w:ascii="宋体" w:hAnsi="宋体" w:cs="宋体"/>
          <w:i/>
          <w:iCs/>
          <w:color w:val="auto"/>
          <w:sz w:val="24"/>
          <w:highlight w:val="none"/>
          <w:u w:val="single"/>
        </w:rPr>
        <w:t xml:space="preserve">五、参加政府采购活动前 3 年内在经营活动中没有重大违法记录的书面声明</w:t>
      </w:r>
      <w:r/>
    </w:p>
    <w:p>
      <w:pPr>
        <w:ind w:firstLine="482"/>
        <w:keepLines w:val="0"/>
        <w:keepNext w:val="0"/>
        <w:pageBreakBefore w:val="0"/>
        <w:spacing w:line="440" w:lineRule="exact"/>
        <w:widowControl w:val="off"/>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六、单位负责人为同一人或者存在直接控股、管理关系的不同供应商，不得参加同一合同项下的政府采购活动（响应文件中需提供声明）</w:t>
      </w:r>
      <w:r/>
    </w:p>
    <w:p>
      <w:pPr>
        <w:ind w:firstLine="482"/>
        <w:keepLines w:val="0"/>
        <w:keepNext w:val="0"/>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iCs/>
          <w:color w:val="auto"/>
          <w:sz w:val="24"/>
          <w:highlight w:val="none"/>
          <w:u w:val="single"/>
          <w:lang w:val="en-US" w:eastAsia="zh-CN"/>
        </w:rPr>
        <w:t xml:space="preserve">七</w:t>
      </w:r>
      <w:r>
        <w:rPr>
          <w:rFonts w:hint="eastAsia" w:ascii="宋体" w:hAnsi="宋体" w:eastAsia="宋体" w:cs="宋体"/>
          <w:i/>
          <w:iCs/>
          <w:color w:val="auto"/>
          <w:sz w:val="24"/>
          <w:highlight w:val="none"/>
          <w:u w:val="single"/>
        </w:rPr>
        <w:t xml:space="preserve">、特定资格要求的证明文件</w:t>
      </w:r>
      <w:r>
        <w:rPr>
          <w:rFonts w:hint="eastAsia" w:ascii="宋体" w:hAnsi="宋体" w:eastAsia="宋体" w:cs="宋体"/>
          <w:i/>
          <w:iCs/>
          <w:color w:val="0000ff"/>
          <w:sz w:val="24"/>
          <w:highlight w:val="none"/>
          <w:u w:val="single"/>
        </w:rPr>
        <w:t xml:space="preserve">（如果本项目设置特定资格要求，则需要提供）</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lang w:val="en-US" w:eastAsia="zh-CN"/>
        </w:rPr>
        <w:t xml:space="preserve">八</w:t>
      </w:r>
      <w:r>
        <w:rPr>
          <w:rFonts w:hint="eastAsia" w:ascii="宋体" w:hAnsi="宋体" w:cs="宋体"/>
          <w:i/>
          <w:iCs/>
          <w:color w:val="auto"/>
          <w:sz w:val="24"/>
          <w:highlight w:val="none"/>
          <w:u w:val="single"/>
        </w:rPr>
        <w:t xml:space="preserve">、法人授权书</w:t>
      </w:r>
      <w:r/>
    </w:p>
    <w:p>
      <w:pPr>
        <w:ind w:firstLine="482"/>
        <w:keepLines w:val="0"/>
        <w:keepNext w:val="0"/>
        <w:pageBreakBefore w:val="0"/>
        <w:spacing w:line="440" w:lineRule="exact"/>
        <w:widowControl w:val="off"/>
        <w:rPr>
          <w:rFonts w:ascii="宋体" w:hAnsi="宋体" w:cs="宋体"/>
          <w:i/>
          <w:iCs/>
          <w:color w:val="auto"/>
          <w:highlight w:val="none"/>
          <w:u w:val="single"/>
        </w:rPr>
      </w:pPr>
      <w:r>
        <w:rPr>
          <w:rFonts w:hint="eastAsia" w:ascii="宋体" w:hAnsi="宋体" w:cs="宋体"/>
          <w:i/>
          <w:iCs/>
          <w:color w:val="auto"/>
          <w:sz w:val="24"/>
          <w:highlight w:val="none"/>
          <w:u w:val="single"/>
          <w:lang w:val="en-US" w:eastAsia="zh-CN"/>
        </w:rPr>
        <w:t xml:space="preserve">九</w:t>
      </w:r>
      <w:r>
        <w:rPr>
          <w:rFonts w:hint="eastAsia" w:ascii="宋体" w:hAnsi="宋体" w:cs="宋体"/>
          <w:i/>
          <w:iCs/>
          <w:color w:val="auto"/>
          <w:sz w:val="24"/>
          <w:highlight w:val="none"/>
          <w:u w:val="single"/>
        </w:rPr>
        <w:t xml:space="preserve">、磋商响应函</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lang w:val="en-US" w:eastAsia="zh-CN"/>
        </w:rPr>
        <w:t xml:space="preserve">十</w:t>
      </w:r>
      <w:r>
        <w:rPr>
          <w:rFonts w:hint="eastAsia" w:ascii="宋体" w:hAnsi="宋体" w:cs="宋体"/>
          <w:i/>
          <w:iCs/>
          <w:color w:val="auto"/>
          <w:sz w:val="24"/>
          <w:highlight w:val="none"/>
          <w:u w:val="single"/>
        </w:rPr>
        <w:t xml:space="preserve">、中小企业声明函</w:t>
      </w:r>
      <w:r/>
    </w:p>
    <w:p>
      <w:pPr>
        <w:ind w:firstLine="482"/>
        <w:keepLines w:val="0"/>
        <w:keepNext w:val="0"/>
        <w:pageBreakBefore w:val="0"/>
        <w:spacing w:line="440" w:lineRule="exact"/>
        <w:widowControl w:val="off"/>
        <w:rPr>
          <w:rFonts w:hint="eastAsia" w:ascii="宋体" w:hAnsi="宋体" w:eastAsia="宋体" w:cs="宋体"/>
          <w:i/>
          <w:iCs/>
          <w:color w:val="auto"/>
          <w:sz w:val="24"/>
          <w:highlight w:val="none"/>
          <w:u w:val="single"/>
          <w:lang w:eastAsia="zh-CN"/>
        </w:rPr>
      </w:pPr>
      <w:r>
        <w:rPr>
          <w:rFonts w:hint="eastAsia" w:ascii="宋体" w:hAnsi="宋体" w:cs="宋体"/>
          <w:i/>
          <w:iCs/>
          <w:color w:val="auto"/>
          <w:sz w:val="24"/>
          <w:highlight w:val="none"/>
          <w:u w:val="single"/>
        </w:rPr>
        <w:t xml:space="preserve">十</w:t>
      </w:r>
      <w:r>
        <w:rPr>
          <w:rFonts w:hint="eastAsia" w:ascii="宋体" w:hAnsi="宋体" w:cs="宋体"/>
          <w:i/>
          <w:iCs/>
          <w:color w:val="auto"/>
          <w:sz w:val="24"/>
          <w:highlight w:val="none"/>
          <w:u w:val="single"/>
          <w:lang w:val="en-US" w:eastAsia="zh-CN"/>
        </w:rPr>
        <w:t xml:space="preserve">一</w:t>
      </w:r>
      <w:r>
        <w:rPr>
          <w:rFonts w:hint="eastAsia" w:ascii="宋体" w:hAnsi="宋体" w:cs="宋体"/>
          <w:i/>
          <w:iCs/>
          <w:color w:val="auto"/>
          <w:sz w:val="24"/>
          <w:highlight w:val="none"/>
          <w:u w:val="single"/>
        </w:rPr>
        <w:t xml:space="preserve">、残疾人福利性单位声明函</w:t>
      </w:r>
      <w:r>
        <w:rPr>
          <w:rFonts w:hint="eastAsia" w:ascii="宋体" w:hAnsi="宋体" w:cs="宋体"/>
          <w:i/>
          <w:iCs/>
          <w:color w:val="auto"/>
          <w:sz w:val="24"/>
          <w:highlight w:val="none"/>
          <w:u w:val="single"/>
          <w:lang w:eastAsia="zh-CN"/>
        </w:rPr>
        <w:t xml:space="preserve">（</w:t>
      </w:r>
      <w:r>
        <w:rPr>
          <w:rFonts w:hint="eastAsia" w:ascii="宋体" w:hAnsi="宋体" w:cs="宋体"/>
          <w:i/>
          <w:iCs/>
          <w:color w:val="auto"/>
          <w:sz w:val="24"/>
          <w:highlight w:val="none"/>
          <w:u w:val="single"/>
          <w:lang w:val="en-US" w:eastAsia="zh-CN"/>
        </w:rPr>
        <w:t xml:space="preserve">如有</w:t>
      </w:r>
      <w:r>
        <w:rPr>
          <w:rFonts w:hint="eastAsia" w:ascii="宋体" w:hAnsi="宋体" w:cs="宋体"/>
          <w:i/>
          <w:iCs/>
          <w:color w:val="auto"/>
          <w:sz w:val="24"/>
          <w:highlight w:val="none"/>
          <w:u w:val="single"/>
          <w:lang w:eastAsia="zh-CN"/>
        </w:rPr>
        <w:t xml:space="preserve">）</w:t>
      </w:r>
      <w:r/>
    </w:p>
    <w:p>
      <w:pPr>
        <w:pStyle w:val="1157"/>
        <w:ind w:firstLine="480"/>
        <w:jc w:val="both"/>
        <w:keepLines w:val="0"/>
        <w:keepNext w:val="0"/>
        <w:pageBreakBefore w:val="0"/>
        <w:spacing w:beforeAutospacing="0" w:afterAutospacing="0" w:line="440" w:lineRule="exact"/>
        <w:widowControl w:val="off"/>
        <w:rPr>
          <w:rFonts w:hint="eastAsia" w:ascii="宋体" w:hAnsi="宋体" w:cs="宋体"/>
          <w:i/>
          <w:iCs/>
          <w:color w:val="auto"/>
          <w:sz w:val="24"/>
          <w:highlight w:val="none"/>
          <w:u w:val="single"/>
        </w:rPr>
      </w:pPr>
      <w:r>
        <w:rPr>
          <w:rFonts w:hint="eastAsia" w:ascii="宋体" w:hAnsi="宋体" w:cs="宋体"/>
          <w:i/>
          <w:iCs/>
          <w:color w:val="auto"/>
          <w:sz w:val="24"/>
          <w:highlight w:val="none"/>
          <w:u w:val="single"/>
        </w:rPr>
        <w:t xml:space="preserve">十二、关于符合本国产品标准的声明函</w:t>
      </w:r>
      <w:r/>
    </w:p>
    <w:p>
      <w:pPr>
        <w:pStyle w:val="1157"/>
        <w:ind w:firstLine="480"/>
        <w:jc w:val="both"/>
        <w:keepLines w:val="0"/>
        <w:keepNext w:val="0"/>
        <w:pageBreakBefore w:val="0"/>
        <w:spacing w:beforeAutospacing="0" w:afterAutospacing="0"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lang w:val="en-US" w:eastAsia="zh-CN"/>
        </w:rPr>
        <w:t xml:space="preserve">十三、</w:t>
      </w:r>
      <w:r>
        <w:rPr>
          <w:rFonts w:hint="eastAsia" w:ascii="宋体" w:hAnsi="宋体" w:cs="宋体"/>
          <w:i/>
          <w:iCs/>
          <w:color w:val="auto"/>
          <w:sz w:val="24"/>
          <w:highlight w:val="none"/>
          <w:u w:val="single"/>
        </w:rPr>
        <w:t xml:space="preserve">磋商报价表</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十</w:t>
      </w:r>
      <w:r>
        <w:rPr>
          <w:rFonts w:hint="eastAsia" w:ascii="宋体" w:hAnsi="宋体" w:cs="宋体"/>
          <w:i/>
          <w:iCs/>
          <w:color w:val="auto"/>
          <w:sz w:val="24"/>
          <w:highlight w:val="none"/>
          <w:u w:val="single"/>
          <w:lang w:val="en-US" w:eastAsia="zh-CN"/>
        </w:rPr>
        <w:t xml:space="preserve">四</w:t>
      </w:r>
      <w:r>
        <w:rPr>
          <w:rFonts w:hint="eastAsia" w:ascii="宋体" w:hAnsi="宋体" w:cs="宋体"/>
          <w:i/>
          <w:iCs/>
          <w:color w:val="auto"/>
          <w:sz w:val="24"/>
          <w:highlight w:val="none"/>
          <w:u w:val="single"/>
        </w:rPr>
        <w:t xml:space="preserve">、分项报价表</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十</w:t>
      </w:r>
      <w:r>
        <w:rPr>
          <w:rFonts w:hint="eastAsia" w:ascii="宋体" w:hAnsi="宋体" w:cs="宋体"/>
          <w:i/>
          <w:iCs/>
          <w:color w:val="auto"/>
          <w:sz w:val="24"/>
          <w:highlight w:val="none"/>
          <w:u w:val="single"/>
          <w:lang w:val="en-US" w:eastAsia="zh-CN"/>
        </w:rPr>
        <w:t xml:space="preserve">五</w:t>
      </w:r>
      <w:r>
        <w:rPr>
          <w:rFonts w:hint="eastAsia" w:ascii="宋体" w:hAnsi="宋体" w:cs="宋体"/>
          <w:i/>
          <w:iCs/>
          <w:color w:val="auto"/>
          <w:sz w:val="24"/>
          <w:highlight w:val="none"/>
          <w:u w:val="single"/>
        </w:rPr>
        <w:t xml:space="preserve">、技术要求响应及偏离表</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十</w:t>
      </w:r>
      <w:r>
        <w:rPr>
          <w:rFonts w:hint="eastAsia" w:ascii="宋体" w:hAnsi="宋体" w:cs="宋体"/>
          <w:i/>
          <w:iCs/>
          <w:color w:val="auto"/>
          <w:sz w:val="24"/>
          <w:highlight w:val="none"/>
          <w:u w:val="single"/>
          <w:lang w:val="en-US" w:eastAsia="zh-CN"/>
        </w:rPr>
        <w:t xml:space="preserve">六</w:t>
      </w:r>
      <w:r>
        <w:rPr>
          <w:rFonts w:hint="eastAsia" w:ascii="宋体" w:hAnsi="宋体" w:cs="宋体"/>
          <w:i/>
          <w:iCs/>
          <w:color w:val="auto"/>
          <w:sz w:val="24"/>
          <w:highlight w:val="none"/>
          <w:u w:val="single"/>
        </w:rPr>
        <w:t xml:space="preserve">、商务要求响应及偏离表</w:t>
      </w:r>
      <w:r/>
    </w:p>
    <w:p>
      <w:pPr>
        <w:ind w:firstLine="482"/>
        <w:keepLines w:val="0"/>
        <w:keepNext w:val="0"/>
        <w:pageBreakBefore w:val="0"/>
        <w:spacing w:line="440" w:lineRule="exact"/>
        <w:widowControl w:val="off"/>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十</w:t>
      </w:r>
      <w:r>
        <w:rPr>
          <w:rFonts w:hint="eastAsia" w:ascii="宋体" w:hAnsi="宋体" w:cs="宋体"/>
          <w:i/>
          <w:iCs/>
          <w:color w:val="auto"/>
          <w:sz w:val="24"/>
          <w:highlight w:val="none"/>
          <w:u w:val="single"/>
          <w:lang w:val="en-US" w:eastAsia="zh-CN"/>
        </w:rPr>
        <w:t xml:space="preserve">七</w:t>
      </w:r>
      <w:r>
        <w:rPr>
          <w:rFonts w:hint="eastAsia" w:ascii="宋体" w:hAnsi="宋体" w:cs="宋体"/>
          <w:i/>
          <w:iCs/>
          <w:color w:val="auto"/>
          <w:sz w:val="24"/>
          <w:highlight w:val="none"/>
          <w:u w:val="single"/>
        </w:rPr>
        <w:t xml:space="preserve">、设计方案</w:t>
      </w:r>
      <w:r/>
    </w:p>
    <w:p>
      <w:pPr>
        <w:ind w:firstLine="482"/>
        <w:keepLines w:val="0"/>
        <w:keepNext w:val="0"/>
        <w:pageBreakBefore w:val="0"/>
        <w:spacing w:line="440" w:lineRule="exact"/>
        <w:widowControl w:val="off"/>
        <w:rPr>
          <w:rFonts w:hint="eastAsia" w:ascii="宋体" w:hAnsi="宋体" w:cs="宋体"/>
          <w:i/>
          <w:iCs/>
          <w:color w:val="auto"/>
          <w:sz w:val="24"/>
          <w:highlight w:val="none"/>
          <w:u w:val="single"/>
        </w:rPr>
      </w:pPr>
      <w:r>
        <w:rPr>
          <w:rFonts w:hint="eastAsia" w:ascii="宋体" w:hAnsi="宋体" w:cs="宋体"/>
          <w:i/>
          <w:iCs/>
          <w:color w:val="auto"/>
          <w:sz w:val="24"/>
          <w:highlight w:val="none"/>
          <w:u w:val="single"/>
        </w:rPr>
        <w:t xml:space="preserve">十</w:t>
      </w:r>
      <w:r>
        <w:rPr>
          <w:rFonts w:hint="eastAsia" w:ascii="宋体" w:hAnsi="宋体" w:cs="宋体"/>
          <w:i/>
          <w:iCs/>
          <w:color w:val="auto"/>
          <w:sz w:val="24"/>
          <w:highlight w:val="none"/>
          <w:u w:val="single"/>
          <w:lang w:val="en-US" w:eastAsia="zh-CN"/>
        </w:rPr>
        <w:t xml:space="preserve">八</w:t>
      </w:r>
      <w:r>
        <w:rPr>
          <w:rFonts w:hint="eastAsia" w:ascii="宋体" w:hAnsi="宋体" w:cs="宋体"/>
          <w:i/>
          <w:iCs/>
          <w:color w:val="auto"/>
          <w:sz w:val="24"/>
          <w:highlight w:val="none"/>
          <w:u w:val="single"/>
        </w:rPr>
        <w:t xml:space="preserve">、品牌要求承诺函</w:t>
      </w:r>
      <w:r/>
    </w:p>
    <w:p>
      <w:pPr>
        <w:ind w:firstLine="482"/>
        <w:keepLines w:val="0"/>
        <w:keepNext w:val="0"/>
        <w:pageBreakBefore w:val="0"/>
        <w:spacing w:line="440" w:lineRule="exact"/>
        <w:widowControl w:val="off"/>
        <w:rPr>
          <w:rFonts w:hint="eastAsia" w:ascii="宋体" w:hAnsi="宋体" w:cs="宋体"/>
          <w:i/>
          <w:iCs/>
          <w:color w:val="auto"/>
          <w:sz w:val="24"/>
          <w:highlight w:val="none"/>
          <w:u w:val="single"/>
        </w:rPr>
      </w:pPr>
      <w:r>
        <w:rPr>
          <w:rFonts w:hint="eastAsia" w:ascii="宋体" w:hAnsi="宋体" w:cs="宋体"/>
          <w:i/>
          <w:iCs/>
          <w:color w:val="auto"/>
          <w:sz w:val="24"/>
          <w:highlight w:val="none"/>
          <w:u w:val="single"/>
        </w:rPr>
        <w:t xml:space="preserve">十</w:t>
      </w:r>
      <w:r>
        <w:rPr>
          <w:rFonts w:hint="eastAsia" w:ascii="宋体" w:hAnsi="宋体" w:cs="宋体"/>
          <w:i/>
          <w:iCs/>
          <w:color w:val="auto"/>
          <w:sz w:val="24"/>
          <w:highlight w:val="none"/>
          <w:u w:val="single"/>
          <w:lang w:val="en-US" w:eastAsia="zh-CN"/>
        </w:rPr>
        <w:t xml:space="preserve">九</w:t>
      </w:r>
      <w:r>
        <w:rPr>
          <w:rFonts w:hint="eastAsia" w:ascii="宋体" w:hAnsi="宋体" w:cs="宋体"/>
          <w:i/>
          <w:iCs/>
          <w:color w:val="auto"/>
          <w:sz w:val="24"/>
          <w:highlight w:val="none"/>
          <w:u w:val="single"/>
        </w:rPr>
        <w:t xml:space="preserve">、盐城市政府采购事前信用承诺书</w:t>
      </w:r>
      <w:r/>
    </w:p>
    <w:p>
      <w:pPr>
        <w:pStyle w:val="807"/>
        <w:ind w:firstLine="480"/>
        <w:keepLines w:val="0"/>
        <w:keepNext w:val="0"/>
        <w:pageBreakBefore w:val="0"/>
        <w:spacing w:line="440" w:lineRule="exact"/>
        <w:widowControl w:val="off"/>
        <w:rPr>
          <w:rFonts w:hint="default"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二十、评标办法中要求提供的其他材料</w:t>
      </w:r>
      <w:r/>
    </w:p>
    <w:p>
      <w:pPr>
        <w:pStyle w:val="1157"/>
        <w:ind w:firstLine="480"/>
        <w:jc w:val="both"/>
        <w:keepLines w:val="0"/>
        <w:keepNext w:val="0"/>
        <w:pageBreakBefore w:val="0"/>
        <w:spacing w:beforeAutospacing="0" w:afterAutospacing="0" w:line="440" w:lineRule="exact"/>
        <w:widowControl w:val="off"/>
        <w:rPr>
          <w:rFonts w:ascii="宋体" w:hAnsi="宋体" w:cs="宋体"/>
          <w:b/>
          <w:bCs/>
          <w:color w:val="0000ff"/>
          <w:highlight w:val="none"/>
        </w:rPr>
      </w:pPr>
      <w:r>
        <w:rPr>
          <w:rFonts w:hint="eastAsia" w:ascii="宋体" w:hAnsi="宋体" w:cs="宋体"/>
          <w:b/>
          <w:bCs/>
          <w:color w:val="0000ff"/>
          <w:highlight w:val="none"/>
        </w:rPr>
        <w:t xml:space="preserve">注：</w:t>
      </w:r>
      <w:r/>
    </w:p>
    <w:p>
      <w:pPr>
        <w:pStyle w:val="1157"/>
        <w:ind w:firstLine="482"/>
        <w:jc w:val="both"/>
        <w:keepLines w:val="0"/>
        <w:keepNext w:val="0"/>
        <w:pageBreakBefore w:val="0"/>
        <w:spacing w:beforeAutospacing="0" w:afterAutospacing="0" w:line="440" w:lineRule="exact"/>
        <w:widowControl w:val="off"/>
        <w:rPr>
          <w:rFonts w:ascii="黑体" w:hAnsi="宋体" w:eastAsia="黑体" w:cs="黑体"/>
          <w:b/>
          <w:bCs/>
          <w:i/>
          <w:color w:val="auto"/>
          <w:sz w:val="32"/>
          <w:szCs w:val="32"/>
          <w:highlight w:val="none"/>
          <w:u w:val="single"/>
        </w:rPr>
      </w:pPr>
      <w:r>
        <w:rPr>
          <w:rFonts w:hint="eastAsia" w:ascii="宋体" w:hAnsi="宋体" w:cs="宋体"/>
          <w:b/>
          <w:bCs/>
          <w:color w:val="0000ff"/>
          <w:highlight w:val="none"/>
        </w:rPr>
        <w:t xml:space="preserve">1、电子响应文件制作时将本项目</w:t>
      </w:r>
      <w:r>
        <w:rPr>
          <w:rFonts w:hint="eastAsia" w:ascii="宋体" w:hAnsi="宋体" w:cs="宋体"/>
          <w:b/>
          <w:bCs/>
          <w:color w:val="0000ff"/>
          <w:highlight w:val="none"/>
          <w:lang w:val="en-US" w:eastAsia="zh-CN"/>
        </w:rPr>
        <w:t xml:space="preserve">响应</w:t>
      </w:r>
      <w:r>
        <w:rPr>
          <w:rFonts w:hint="eastAsia" w:ascii="宋体" w:hAnsi="宋体" w:cs="宋体"/>
          <w:b/>
          <w:bCs/>
          <w:color w:val="0000ff"/>
          <w:highlight w:val="none"/>
        </w:rPr>
        <w:t xml:space="preserve">文件</w:t>
      </w:r>
      <w:r>
        <w:rPr>
          <w:rFonts w:ascii="宋体" w:hAnsi="宋体" w:cs="宋体"/>
          <w:b/>
          <w:bCs/>
          <w:color w:val="0000ff"/>
          <w:highlight w:val="none"/>
        </w:rPr>
        <w:t xml:space="preserve">“封面”上</w:t>
      </w:r>
      <w:r>
        <w:rPr>
          <w:rFonts w:hint="eastAsia" w:ascii="宋体" w:hAnsi="宋体" w:cs="宋体"/>
          <w:b/>
          <w:bCs/>
          <w:color w:val="0000ff"/>
          <w:highlight w:val="none"/>
        </w:rPr>
        <w:t xml:space="preserve">传至</w:t>
      </w:r>
      <w:r>
        <w:rPr>
          <w:rFonts w:ascii="宋体" w:hAnsi="宋体" w:cs="宋体"/>
          <w:b/>
          <w:bCs/>
          <w:color w:val="0000ff"/>
          <w:highlight w:val="none"/>
        </w:rPr>
        <w:t xml:space="preserve">“目</w:t>
      </w:r>
      <w:r>
        <w:rPr>
          <w:rFonts w:hint="eastAsia" w:ascii="宋体" w:hAnsi="宋体" w:cs="宋体"/>
          <w:b/>
          <w:bCs/>
          <w:color w:val="0000ff"/>
          <w:highlight w:val="none"/>
        </w:rPr>
        <w:t xml:space="preserve">录</w:t>
      </w:r>
      <w:r>
        <w:rPr>
          <w:rFonts w:ascii="宋体" w:hAnsi="宋体" w:cs="宋体"/>
          <w:b/>
          <w:bCs/>
          <w:color w:val="0000ff"/>
          <w:highlight w:val="none"/>
        </w:rPr>
        <w:t xml:space="preserve">”</w:t>
      </w:r>
      <w:r>
        <w:rPr>
          <w:rFonts w:hint="eastAsia" w:ascii="宋体" w:hAnsi="宋体" w:cs="宋体"/>
          <w:b/>
          <w:bCs/>
          <w:color w:val="0000ff"/>
          <w:highlight w:val="none"/>
        </w:rPr>
        <w:t xml:space="preserve">项内</w:t>
      </w:r>
      <w:r>
        <w:rPr>
          <w:rFonts w:ascii="宋体" w:hAnsi="宋体" w:cs="宋体"/>
          <w:b/>
          <w:bCs/>
          <w:color w:val="0000ff"/>
          <w:highlight w:val="none"/>
        </w:rPr>
        <w:t xml:space="preserve">。</w:t>
      </w:r>
      <w:r/>
    </w:p>
    <w:p>
      <w:pPr>
        <w:ind w:firstLine="482"/>
        <w:spacing w:line="500" w:lineRule="exact"/>
        <w:rPr>
          <w:rFonts w:ascii="宋体" w:hAnsi="宋体" w:cs="宋体"/>
          <w:b/>
          <w:bCs/>
          <w:i/>
          <w:iCs/>
          <w:color w:val="auto"/>
          <w:sz w:val="24"/>
          <w:highlight w:val="none"/>
          <w:u w:val="single"/>
        </w:rPr>
      </w:pPr>
      <w:r>
        <w:rPr>
          <w:rFonts w:hint="eastAsia" w:ascii="宋体" w:hAnsi="宋体"/>
          <w:b/>
          <w:color w:val="auto"/>
          <w:sz w:val="32"/>
          <w:szCs w:val="32"/>
          <w:highlight w:val="none"/>
        </w:rPr>
        <w:br w:type="page" w:clear="all"/>
      </w:r>
      <w:r>
        <w:rPr>
          <w:rFonts w:hint="eastAsia" w:ascii="宋体" w:hAnsi="宋体" w:cs="宋体"/>
          <w:b/>
          <w:bCs/>
          <w:i/>
          <w:iCs/>
          <w:color w:val="auto"/>
          <w:sz w:val="24"/>
          <w:highlight w:val="none"/>
          <w:u w:val="single"/>
        </w:rPr>
        <w:t xml:space="preserve">一、法人或者其他组织的营业执照等证明文件，自然人的身份证明</w:t>
      </w:r>
      <w:r/>
    </w:p>
    <w:p>
      <w:pPr>
        <w:ind w:firstLine="480"/>
        <w:spacing w:line="360" w:lineRule="auto"/>
        <w:rPr>
          <w:rFonts w:ascii="宋体" w:hAnsi="宋体" w:cs="宋体"/>
          <w:i/>
          <w:iCs/>
          <w:color w:val="auto"/>
          <w:sz w:val="24"/>
          <w:highlight w:val="none"/>
        </w:rPr>
      </w:pPr>
      <w:r>
        <w:rPr>
          <w:rFonts w:ascii="宋体" w:hAnsi="宋体" w:cs="宋体"/>
          <w:i/>
          <w:iCs/>
          <w:color w:val="auto"/>
          <w:sz w:val="24"/>
          <w:highlight w:val="none"/>
        </w:rPr>
      </w:r>
      <w:r/>
    </w:p>
    <w:p>
      <w:pPr>
        <w:ind w:firstLine="482"/>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二、上一年度（2025年度）的财务状况报告</w:t>
      </w:r>
      <w:r/>
    </w:p>
    <w:p>
      <w:pPr>
        <w:pStyle w:val="766"/>
        <w:ind w:firstLine="468"/>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财务报告至少应当包括资产负债表、利润表，距投标截止之日止，成立不足一年的磋商供应商，可不提供财务报告。</w:t>
      </w:r>
      <w:r/>
    </w:p>
    <w:p>
      <w:pPr>
        <w:ind w:firstLine="482"/>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三、依法缴纳税收和社会保障资金的相关材料</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提供</w:t>
      </w:r>
      <w:r>
        <w:rPr>
          <w:rFonts w:ascii="宋体" w:hAnsi="宋体" w:eastAsia="宋体" w:cs="宋体"/>
          <w:sz w:val="24"/>
          <w:szCs w:val="24"/>
        </w:rPr>
        <w:t xml:space="preserve">响应文件</w:t>
      </w:r>
      <w:r>
        <w:rPr>
          <w:rFonts w:hint="eastAsia" w:ascii="宋体" w:hAnsi="宋体" w:cs="宋体"/>
          <w:bCs/>
          <w:color w:val="auto"/>
          <w:sz w:val="24"/>
          <w:highlight w:val="none"/>
        </w:rPr>
        <w:t xml:space="preserve">截止时间前一年内至少一个月依法缴纳税收及缴纳社会保障资金的证明材料。供应商依法享受缓缴、免缴税收、社会保障资金的提供证明材料。</w:t>
      </w:r>
      <w:r/>
    </w:p>
    <w:p>
      <w:pP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ind w:firstLine="482"/>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四、具备履行合同所必需的设备和专业技术能力的书面声明</w:t>
      </w:r>
      <w:r/>
    </w:p>
    <w:p>
      <w:pPr>
        <w:ind w:firstLine="49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ind w:firstLine="49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p>
    <w:p>
      <w:pPr>
        <w:pStyle w:val="1154"/>
        <w:ind w:firstLine="0"/>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五、参加政府采购活动前 3 年内在经营活动中没有重大违法记录的书面声明</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声  明</w:t>
      </w:r>
      <w:r/>
    </w:p>
    <w:p>
      <w:pPr>
        <w:spacing w:line="360" w:lineRule="auto"/>
        <w:rPr>
          <w:rFonts w:ascii="宋体" w:hAnsi="宋体" w:cs="宋体"/>
          <w:bCs/>
          <w:color w:val="auto"/>
          <w:sz w:val="24"/>
          <w:highlight w:val="none"/>
        </w:rPr>
      </w:pPr>
      <w:r>
        <w:rPr>
          <w:rFonts w:hint="eastAsia" w:ascii="宋体" w:hAnsi="宋体" w:cs="宋体"/>
          <w:b/>
          <w:bCs/>
          <w:color w:val="auto"/>
          <w:sz w:val="24"/>
          <w:highlight w:val="none"/>
        </w:rPr>
        <w:t xml:space="preserve">    </w:t>
      </w:r>
      <w:r>
        <w:rPr>
          <w:rFonts w:hint="eastAsia" w:ascii="宋体" w:hAnsi="宋体" w:cs="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br w:type="page" w:clear="all"/>
      </w:r>
      <w:r/>
    </w:p>
    <w:p>
      <w:pPr>
        <w:pStyle w:val="1157"/>
        <w:jc w:val="center"/>
        <w:spacing w:beforeAutospacing="0" w:afterAutospacing="0" w:line="0" w:lineRule="atLeast"/>
        <w:rPr>
          <w:rFonts w:hint="eastAsia" w:ascii="宋体" w:hAnsi="宋体" w:eastAsia="宋体" w:cs="宋体"/>
          <w:b/>
          <w:bCs/>
          <w:i/>
          <w:iCs/>
          <w:color w:val="auto"/>
          <w:sz w:val="24"/>
          <w:szCs w:val="24"/>
          <w:highlight w:val="none"/>
          <w:u w:val="single"/>
          <w:lang w:val="en-US" w:eastAsia="zh-CN" w:bidi="ar-SA"/>
        </w:rPr>
      </w:pPr>
      <w:r>
        <w:rPr>
          <w:rFonts w:hint="eastAsia" w:ascii="宋体" w:hAnsi="宋体" w:eastAsia="宋体" w:cs="宋体"/>
          <w:b/>
          <w:bCs/>
          <w:i/>
          <w:iCs/>
          <w:color w:val="auto"/>
          <w:sz w:val="24"/>
          <w:szCs w:val="24"/>
          <w:highlight w:val="none"/>
          <w:u w:val="single"/>
          <w:lang w:val="en-US" w:eastAsia="zh-CN" w:bidi="ar-SA"/>
        </w:rPr>
        <w:t xml:space="preserve">六、单位负责人为同一人或者存在直接控股、管理关系的不同供应商，不得参加同一合同项下的政府采购活动</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spacing w:line="360" w:lineRule="auto"/>
        <w:rPr>
          <w:rFonts w:hint="eastAsia" w:ascii="方正小标宋_GBK" w:hAnsi="宋体" w:eastAsia="方正小标宋_GBK" w:cs="宋体"/>
          <w:bCs/>
          <w:sz w:val="36"/>
          <w:szCs w:val="36"/>
          <w:highlight w:val="none"/>
        </w:rPr>
      </w:pPr>
      <w:r>
        <w:rPr>
          <w:rFonts w:hint="eastAsia" w:ascii="宋体" w:hAnsi="宋体" w:eastAsia="宋体" w:cs="宋体"/>
          <w:b/>
          <w:bCs/>
          <w:color w:val="auto"/>
          <w:sz w:val="24"/>
          <w:highlight w:val="none"/>
        </w:rPr>
        <w:t xml:space="preserve">声 明</w:t>
      </w:r>
      <w:r/>
    </w:p>
    <w:p>
      <w:pPr>
        <w:pStyle w:val="1157"/>
        <w:ind w:firstLine="482"/>
        <w:jc w:val="both"/>
        <w:spacing w:beforeAutospacing="0" w:afterAutospacing="0" w:line="500" w:lineRule="exact"/>
        <w:rPr>
          <w:rFonts w:hint="eastAsia"/>
          <w:highlight w:val="none"/>
        </w:rPr>
      </w:pPr>
      <w:r>
        <w:rPr>
          <w:rFonts w:hint="eastAsia"/>
          <w:highlight w:val="none"/>
        </w:rPr>
        <w:t xml:space="preserve">我单位郑重声明：在参加本次政府采购活动中，我单位没有与参加本项目投标的其他供应商存在单位负责人为同一人或者存在直接控股、管理关系情形。</w:t>
      </w:r>
      <w:r/>
    </w:p>
    <w:p>
      <w:pPr>
        <w:pStyle w:val="793"/>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793"/>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793"/>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ind w:left="4620" w:firstLine="480"/>
        <w:spacing w:line="520" w:lineRule="exact"/>
        <w:rPr>
          <w:rFonts w:hint="eastAsia" w:ascii="宋体" w:hAnsi="宋体" w:cs="宋体"/>
          <w:sz w:val="24"/>
          <w:highlight w:val="none"/>
        </w:rPr>
      </w:pPr>
      <w:r>
        <w:rPr>
          <w:rFonts w:hint="eastAsia" w:ascii="宋体" w:hAnsi="宋体" w:cs="宋体"/>
          <w:sz w:val="24"/>
          <w:highlight w:val="none"/>
        </w:rPr>
        <w:t xml:space="preserve">企业名称（加盖CA电子公章）：</w:t>
      </w:r>
      <w:r/>
    </w:p>
    <w:p>
      <w:pPr>
        <w:pStyle w:val="793"/>
        <w:ind w:firstLine="492"/>
        <w:jc w:val="center"/>
        <w:spacing w:line="560" w:lineRule="exact"/>
        <w:widowControl/>
        <w:rPr>
          <w:rFonts w:hint="eastAsia" w:ascii="宋体" w:hAnsi="宋体" w:cs="宋体" w:eastAsiaTheme="minorEastAsia"/>
          <w:sz w:val="24"/>
          <w:szCs w:val="24"/>
          <w:highlight w:val="none"/>
        </w:rPr>
      </w:pPr>
      <w:r>
        <w:rPr>
          <w:rFonts w:hint="eastAsia" w:ascii="宋体" w:hAnsi="宋体" w:cs="宋体" w:eastAsiaTheme="minorEastAsia"/>
          <w:sz w:val="24"/>
          <w:szCs w:val="24"/>
          <w:highlight w:val="none"/>
        </w:rPr>
        <w:t xml:space="preserve">                    日   期：</w:t>
      </w:r>
      <w:r/>
    </w:p>
    <w:p>
      <w:pPr>
        <w:jc w:val="center"/>
        <w:rPr>
          <w:rFonts w:hint="eastAsia" w:ascii="宋体" w:hAnsi="宋体" w:eastAsia="宋体" w:cs="宋体"/>
          <w:i/>
          <w:iCs w:val="0"/>
          <w:color w:val="000000"/>
          <w:sz w:val="30"/>
          <w:szCs w:val="30"/>
          <w:highlight w:val="none"/>
          <w:u w:val="none"/>
        </w:rPr>
        <w:sectPr>
          <w:footnotePr/>
          <w:endnotePr/>
          <w:type w:val="nextPage"/>
          <w:pgSz w:w="11906" w:h="16838" w:orient="portrait"/>
          <w:pgMar w:top="1440" w:right="1633" w:bottom="1440" w:left="1633" w:header="851" w:footer="992" w:gutter="0"/>
          <w:cols w:num="1" w:sep="0" w:space="425" w:equalWidth="1"/>
          <w:docGrid w:linePitch="360"/>
        </w:sectPr>
      </w:pPr>
      <w:r>
        <w:rPr>
          <w:rFonts w:hint="eastAsia" w:ascii="宋体" w:hAnsi="宋体" w:eastAsia="宋体" w:cs="宋体"/>
          <w:i/>
          <w:iCs w:val="0"/>
          <w:color w:val="000000"/>
          <w:sz w:val="30"/>
          <w:szCs w:val="30"/>
          <w:highlight w:val="none"/>
          <w:u w:val="none"/>
        </w:rPr>
      </w:r>
      <w:r/>
    </w:p>
    <w:p>
      <w:pPr>
        <w:ind w:firstLine="482"/>
        <w:jc w:val="center"/>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lang w:val="en-US" w:eastAsia="zh-CN"/>
        </w:rPr>
        <w:t xml:space="preserve">七</w:t>
      </w:r>
      <w:r>
        <w:rPr>
          <w:rFonts w:hint="eastAsia" w:ascii="宋体" w:hAnsi="宋体" w:cs="宋体"/>
          <w:b/>
          <w:bCs/>
          <w:i/>
          <w:iCs/>
          <w:color w:val="auto"/>
          <w:sz w:val="24"/>
          <w:highlight w:val="none"/>
          <w:u w:val="single"/>
        </w:rPr>
        <w:t xml:space="preserve">、特定资格要求的证明文件</w:t>
      </w:r>
      <w:r/>
    </w:p>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如果本项目申请人的特定资格要求中要求提供的，必须提供。</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jc w:val="center"/>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br w:type="page" w:clear="all"/>
      </w:r>
      <w:r/>
    </w:p>
    <w:p>
      <w:pPr>
        <w:jc w:val="center"/>
        <w:spacing w:line="360" w:lineRule="auto"/>
        <w:rPr>
          <w:rFonts w:ascii="宋体" w:hAnsi="宋体" w:cs="宋体"/>
          <w:b/>
          <w:bCs/>
          <w:color w:val="auto"/>
          <w:sz w:val="24"/>
          <w:highlight w:val="none"/>
        </w:rPr>
      </w:pPr>
      <w:r>
        <w:rPr>
          <w:rFonts w:hint="eastAsia" w:ascii="宋体" w:hAnsi="宋体" w:cs="宋体"/>
          <w:b/>
          <w:bCs/>
          <w:i/>
          <w:iCs/>
          <w:color w:val="auto"/>
          <w:sz w:val="24"/>
          <w:highlight w:val="none"/>
          <w:u w:val="single"/>
          <w:lang w:val="en-US" w:eastAsia="zh-CN"/>
        </w:rPr>
        <w:t xml:space="preserve">八</w:t>
      </w:r>
      <w:r>
        <w:rPr>
          <w:rFonts w:hint="eastAsia" w:ascii="宋体" w:hAnsi="宋体" w:cs="宋体"/>
          <w:b/>
          <w:bCs/>
          <w:i/>
          <w:iCs/>
          <w:color w:val="auto"/>
          <w:sz w:val="24"/>
          <w:highlight w:val="none"/>
          <w:u w:val="single"/>
        </w:rPr>
        <w:t xml:space="preserve">、法人授权书</w:t>
      </w:r>
      <w:r/>
    </w:p>
    <w:p>
      <w:pPr>
        <w:ind w:firstLine="482"/>
        <w:spacing w:line="6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本授权书声明：____________（供应商名称）授权________________（被授权人的姓名）为我方就</w:t>
      </w:r>
      <w:r>
        <w:rPr>
          <w:rFonts w:hint="eastAsia" w:ascii="宋体" w:hAnsi="宋体" w:cs="宋体"/>
          <w:color w:val="auto"/>
          <w:sz w:val="24"/>
          <w:highlight w:val="none"/>
          <w:u w:val="single"/>
          <w:lang w:eastAsia="zh-CN"/>
        </w:rPr>
        <w:t xml:space="preserve">阜宁革命烈士纪念馆重新布展项目</w:t>
      </w:r>
      <w:r>
        <w:rPr>
          <w:rFonts w:hint="eastAsia" w:ascii="宋体" w:hAnsi="宋体" w:cs="宋体"/>
          <w:color w:val="auto"/>
          <w:sz w:val="24"/>
          <w:highlight w:val="none"/>
        </w:rPr>
        <w:t xml:space="preserve">采购活动的合法代理人，以本公司名义全权处理一切与该项目采购有关的事务。</w:t>
      </w:r>
      <w:r/>
    </w:p>
    <w:p>
      <w:pPr>
        <w:ind w:firstLine="1200"/>
        <w:spacing w:line="6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本授权书于______年____月____日起生效，特此声明。</w:t>
      </w:r>
      <w:r/>
    </w:p>
    <w:p>
      <w:pPr>
        <w:pStyle w:val="1098"/>
        <w:spacing w:line="600" w:lineRule="exact"/>
        <w:rPr>
          <w:rFonts w:ascii="宋体" w:hAnsi="宋体" w:cs="宋体"/>
          <w:color w:val="auto"/>
          <w:highlight w:val="none"/>
          <w:u w:val="singl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被授权人身份证号码：</w:t>
      </w:r>
      <w:r>
        <w:rPr>
          <w:rFonts w:hint="eastAsia" w:ascii="宋体" w:hAnsi="宋体" w:cs="宋体"/>
          <w:color w:val="auto"/>
          <w:highlight w:val="none"/>
          <w:u w:val="single"/>
        </w:rPr>
        <w:t xml:space="preserve">                              </w:t>
      </w:r>
      <w:r/>
    </w:p>
    <w:p>
      <w:pPr>
        <w:pStyle w:val="1098"/>
        <w:spacing w:line="600" w:lineRule="exact"/>
        <w:rPr>
          <w:rFonts w:ascii="宋体" w:hAnsi="宋体" w:cs="宋体"/>
          <w:color w:val="auto"/>
          <w:highlight w:val="none"/>
          <w:u w:val="single"/>
        </w:rPr>
      </w:pPr>
      <w:r>
        <w:rPr>
          <w:rFonts w:hint="eastAsia" w:ascii="宋体" w:hAnsi="宋体" w:cs="宋体"/>
          <w:color w:val="auto"/>
          <w:highlight w:val="none"/>
        </w:rPr>
        <w:t xml:space="preserve">          被授权人联系电话：（手机）</w:t>
      </w:r>
      <w:r>
        <w:rPr>
          <w:rFonts w:hint="eastAsia" w:ascii="宋体" w:hAnsi="宋体" w:cs="宋体"/>
          <w:color w:val="auto"/>
          <w:highlight w:val="none"/>
          <w:u w:val="single"/>
        </w:rPr>
        <w:t xml:space="preserve">                          </w:t>
      </w:r>
      <w:r/>
    </w:p>
    <w:p>
      <w:pPr>
        <w:pStyle w:val="1098"/>
        <w:ind w:firstLine="1200"/>
        <w:spacing w:line="600" w:lineRule="exact"/>
        <w:rPr>
          <w:rFonts w:ascii="宋体" w:hAnsi="宋体" w:cs="宋体"/>
          <w:color w:val="auto"/>
          <w:highlight w:val="none"/>
        </w:rPr>
      </w:pPr>
      <w:r>
        <w:rPr>
          <w:rFonts w:hint="eastAsia" w:ascii="宋体" w:hAnsi="宋体" w:cs="宋体"/>
          <w:color w:val="auto"/>
          <w:highlight w:val="none"/>
        </w:rPr>
        <w:t xml:space="preserve">授权单位名称：</w:t>
      </w:r>
      <w:r>
        <w:rPr>
          <w:rFonts w:hint="eastAsia" w:ascii="宋体" w:hAnsi="宋体" w:cs="宋体"/>
          <w:color w:val="auto"/>
          <w:highlight w:val="none"/>
          <w:u w:val="single"/>
        </w:rPr>
        <w:t xml:space="preserve">（加盖CA电子公章）</w:t>
      </w:r>
      <w:r/>
    </w:p>
    <w:p>
      <w:pPr>
        <w:pStyle w:val="1098"/>
        <w:ind w:firstLine="480"/>
        <w:spacing w:line="600" w:lineRule="exact"/>
        <w:rPr>
          <w:rFonts w:ascii="宋体" w:hAnsi="宋体" w:cs="宋体"/>
          <w:color w:val="auto"/>
          <w:highlight w:val="none"/>
          <w:u w:val="single"/>
        </w:rPr>
      </w:pPr>
      <w:r>
        <w:rPr>
          <w:rFonts w:hint="eastAsia" w:ascii="宋体" w:hAnsi="宋体" w:cs="宋体"/>
          <w:color w:val="auto"/>
          <w:highlight w:val="none"/>
        </w:rPr>
        <w:t xml:space="preserve">      单位地址：</w:t>
      </w:r>
      <w:r>
        <w:rPr>
          <w:rFonts w:hint="eastAsia" w:ascii="宋体" w:hAnsi="宋体" w:cs="宋体"/>
          <w:color w:val="auto"/>
          <w:highlight w:val="none"/>
          <w:u w:val="single"/>
        </w:rPr>
        <w:t xml:space="preserve">                                         </w:t>
      </w:r>
      <w:r/>
    </w:p>
    <w:p>
      <w:pPr>
        <w:pStyle w:val="1098"/>
        <w:ind w:firstLine="480"/>
        <w:spacing w:line="600" w:lineRule="exact"/>
        <w:rPr>
          <w:rFonts w:ascii="宋体" w:hAnsi="宋体" w:cs="宋体"/>
          <w:color w:val="auto"/>
          <w:highlight w:val="none"/>
        </w:rPr>
      </w:pPr>
      <w:r>
        <w:rPr>
          <w:rFonts w:hint="eastAsia" w:ascii="宋体" w:hAnsi="宋体" w:cs="宋体"/>
          <w:color w:val="auto"/>
          <w:highlight w:val="none"/>
        </w:rPr>
        <w:t xml:space="preserve">      日期：</w:t>
      </w:r>
      <w:r>
        <w:rPr>
          <w:rFonts w:hint="eastAsia" w:ascii="宋体" w:hAnsi="宋体" w:cs="宋体"/>
          <w:color w:val="auto"/>
          <w:highlight w:val="none"/>
          <w:u w:val="single"/>
        </w:rPr>
        <w:t xml:space="preserve">                                         </w:t>
      </w:r>
      <w:r/>
    </w:p>
    <w:p>
      <w:pPr>
        <w:spacing w:line="600" w:lineRule="exact"/>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 </w:t>
      </w:r>
      <w:r/>
    </w:p>
    <w:p>
      <w:pPr>
        <w:spacing w:line="600" w:lineRule="exact"/>
        <w:rPr>
          <w:rFonts w:ascii="宋体" w:hAnsi="宋体" w:cs="宋体"/>
          <w:color w:val="auto"/>
          <w:highlight w:val="none"/>
        </w:rPr>
      </w:pPr>
      <w:r/>
      <w:bookmarkStart w:id="178" w:name="_Hlt26955070"/>
      <w:r/>
      <w:bookmarkEnd w:id="178"/>
      <w:r/>
      <w:bookmarkStart w:id="179" w:name="_Hlt26671380"/>
      <w:r/>
      <w:bookmarkEnd w:id="179"/>
      <w:r/>
      <w:bookmarkStart w:id="180" w:name="_格式3__银行出具的资信证明"/>
      <w:r/>
      <w:bookmarkEnd w:id="180"/>
      <w:r>
        <w:rPr>
          <w:rFonts w:hint="eastAsia" w:ascii="宋体" w:hAnsi="宋体" w:cs="宋体"/>
          <w:color w:val="auto"/>
          <w:highlight w:val="none"/>
        </w:rPr>
        <w:t xml:space="preserve">法定代表人及被授权人身份证：</w:t>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16"/>
        <w:tabs>
          <w:tab w:val="left" w:pos="360"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2879"/>
        <w:rPr>
          <w:rFonts w:ascii="宋体" w:hAnsi="宋体"/>
          <w:color w:val="auto"/>
          <w:highlight w:val="none"/>
        </w:rPr>
      </w:pPr>
      <w:r>
        <w:rPr>
          <w:rFonts w:ascii="宋体" w:hAnsi="宋体"/>
          <w:color w:val="auto"/>
          <w:highlight w:val="none"/>
        </w:rPr>
      </w:r>
      <w:r/>
    </w:p>
    <w:p>
      <w:pPr>
        <w:jc w:val="center"/>
        <w:spacing w:line="56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56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lang w:val="en-US" w:eastAsia="zh-CN"/>
        </w:rPr>
        <w:t xml:space="preserve">九</w:t>
      </w:r>
      <w:r>
        <w:rPr>
          <w:rFonts w:hint="eastAsia" w:ascii="宋体" w:hAnsi="宋体" w:cs="宋体"/>
          <w:b/>
          <w:bCs/>
          <w:i/>
          <w:iCs/>
          <w:color w:val="auto"/>
          <w:sz w:val="24"/>
          <w:highlight w:val="none"/>
          <w:u w:val="single"/>
        </w:rPr>
        <w:t xml:space="preserve">、磋商响应函</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（采购人）   </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根据贵方的______________</w:t>
      </w:r>
      <w:r>
        <w:rPr>
          <w:rFonts w:hint="eastAsia" w:ascii="宋体" w:hAnsi="宋体" w:cs="宋体"/>
          <w:color w:val="auto"/>
          <w:sz w:val="24"/>
          <w:highlight w:val="none"/>
          <w:u w:val="single"/>
        </w:rPr>
        <w:t xml:space="preserve">号</w:t>
      </w:r>
      <w:r>
        <w:rPr>
          <w:rFonts w:hint="eastAsia" w:ascii="宋体" w:hAnsi="宋体" w:cs="宋体"/>
          <w:color w:val="auto"/>
          <w:sz w:val="24"/>
          <w:highlight w:val="none"/>
        </w:rPr>
        <w:t xml:space="preserve">磋商文件，正式授权下述签字人_________ (姓名和职务)代表我方______________（供应商的名称），全权处理本次项目磋商采购的有关事宜。</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据此函，签字人兹宣布同意如下：</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1.按磋商文件规定的各项要求，向买方提供所需服务。</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2.我们完全理解贵方不一定将合同授予最低报价的供应商。</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eastAsia="宋体" w:cs="宋体"/>
          <w:color w:val="auto"/>
          <w:sz w:val="24"/>
          <w:highlight w:val="none"/>
        </w:rPr>
        <w:t xml:space="preserve">5.同意向贵方提供贵方可能</w:t>
      </w:r>
      <w:r>
        <w:rPr>
          <w:rFonts w:hint="eastAsia" w:ascii="宋体" w:hAnsi="宋体" w:cs="宋体"/>
          <w:color w:val="auto"/>
          <w:sz w:val="24"/>
          <w:highlight w:val="none"/>
        </w:rPr>
        <w:t xml:space="preserve">另外要求的与磋商采购有关的任何证据或资料，并保证我方已提供和将要提供的文件是真实的、准确的。</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7.我方与本磋商有关的正式通讯地址为：</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360"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供应商开户行：</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户： </w:t>
      </w:r>
      <w:r/>
    </w:p>
    <w:p>
      <w:pPr>
        <w:ind w:firstLine="480"/>
        <w:jc w:val="left"/>
        <w:spacing w:line="360" w:lineRule="auto"/>
        <w:tabs>
          <w:tab w:val="left" w:pos="360" w:leader="none"/>
        </w:tabs>
        <w:rPr>
          <w:rFonts w:hint="eastAsia" w:ascii="宋体" w:hAnsi="宋体"/>
          <w:i w:val="0"/>
          <w:iCs w:val="0"/>
          <w:sz w:val="24"/>
          <w:szCs w:val="24"/>
          <w:highlight w:val="none"/>
        </w:rPr>
      </w:pPr>
      <w:r>
        <w:rPr>
          <w:rFonts w:hint="eastAsia" w:ascii="宋体" w:hAnsi="宋体" w:eastAsia="宋体" w:cs="宋体"/>
          <w:color w:val="auto"/>
          <w:sz w:val="24"/>
          <w:highlight w:val="none"/>
        </w:rPr>
        <w:t xml:space="preserve">单位名称（加盖CA电子公章）</w:t>
      </w:r>
      <w:r>
        <w:rPr>
          <w:rFonts w:hint="eastAsia" w:ascii="宋体" w:hAnsi="宋体"/>
          <w:i w:val="0"/>
          <w:iCs w:val="0"/>
          <w:sz w:val="24"/>
          <w:szCs w:val="24"/>
          <w:highlight w:val="none"/>
        </w:rPr>
        <w:t xml:space="preserve">：</w:t>
      </w:r>
      <w:r/>
    </w:p>
    <w:p>
      <w:pPr>
        <w:ind w:firstLine="482"/>
        <w:jc w:val="left"/>
        <w:spacing w:line="420" w:lineRule="exact"/>
        <w:rPr>
          <w:rFonts w:hint="eastAsia" w:ascii="宋体" w:hAnsi="宋体"/>
          <w:b/>
          <w:bCs/>
          <w:i w:val="0"/>
          <w:iCs w:val="0"/>
          <w:color w:val="c00000"/>
          <w:sz w:val="24"/>
          <w:szCs w:val="24"/>
          <w:highlight w:val="none"/>
          <w:lang w:val="en-US" w:eastAsia="zh-CN"/>
        </w:rPr>
      </w:pPr>
      <w:r>
        <w:rPr>
          <w:rFonts w:hint="eastAsia" w:ascii="宋体" w:hAnsi="宋体"/>
          <w:b/>
          <w:bCs/>
          <w:i w:val="0"/>
          <w:iCs w:val="0"/>
          <w:color w:val="c00000"/>
          <w:sz w:val="24"/>
          <w:szCs w:val="24"/>
          <w:highlight w:val="none"/>
          <w:lang w:val="en-US" w:eastAsia="zh-CN"/>
        </w:rPr>
        <w:t xml:space="preserve">被授权人（签字）：</w:t>
      </w:r>
      <w:r/>
    </w:p>
    <w:p>
      <w:pPr>
        <w:pStyle w:val="793"/>
        <w:ind w:firstLine="480"/>
        <w:keepLines w:val="0"/>
        <w:keepNext w:val="0"/>
        <w:pageBreakBefore w:val="0"/>
        <w:spacing w:beforeAutospacing="0" w:afterAutospacing="0" w:line="440" w:lineRule="exact"/>
        <w:widowControl w:val="off"/>
        <w:rPr>
          <w:i w:val="0"/>
          <w:iCs w:val="0"/>
          <w:highlight w:val="none"/>
        </w:rPr>
      </w:pPr>
      <w:r>
        <w:rPr>
          <w:rFonts w:hint="eastAsia" w:ascii="宋体" w:hAnsi="宋体" w:eastAsia="宋体" w:cs="宋体"/>
          <w:i w:val="0"/>
          <w:iCs w:val="0"/>
          <w:color w:val="000000"/>
          <w:highlight w:val="none"/>
        </w:rPr>
        <w:t xml:space="preserve">日</w:t>
      </w:r>
      <w:r>
        <w:rPr>
          <w:rFonts w:hint="eastAsia" w:ascii="宋体" w:hAnsi="宋体" w:eastAsia="宋体" w:cs="宋体"/>
          <w:i w:val="0"/>
          <w:iCs w:val="0"/>
          <w:color w:val="000000"/>
          <w:highlight w:val="none"/>
          <w:lang w:val="en-US" w:eastAsia="zh-CN"/>
        </w:rPr>
        <w:t xml:space="preserve"> </w:t>
      </w:r>
      <w:r>
        <w:rPr>
          <w:rFonts w:hint="eastAsia" w:ascii="宋体" w:hAnsi="宋体" w:eastAsia="宋体" w:cs="宋体"/>
          <w:i w:val="0"/>
          <w:iCs w:val="0"/>
          <w:color w:val="000000"/>
          <w:highlight w:val="none"/>
        </w:rPr>
        <w:t xml:space="preserve">期：</w:t>
      </w:r>
      <w:r>
        <w:rPr>
          <w:rFonts w:hint="eastAsia" w:cs="宋体"/>
          <w:i w:val="0"/>
          <w:iCs w:val="0"/>
          <w:color w:val="000000"/>
          <w:highlight w:val="none"/>
          <w:u w:val="single"/>
          <w:lang w:val="en-US" w:eastAsia="zh-CN"/>
        </w:rPr>
        <w:t xml:space="preserve">      </w:t>
      </w:r>
      <w:r>
        <w:rPr>
          <w:rFonts w:hint="eastAsia" w:ascii="宋体" w:hAnsi="宋体" w:eastAsia="宋体" w:cs="宋体"/>
          <w:i w:val="0"/>
          <w:iCs w:val="0"/>
          <w:color w:val="000000"/>
          <w:highlight w:val="none"/>
        </w:rPr>
        <w:t xml:space="preserve">年</w:t>
      </w:r>
      <w:r>
        <w:rPr>
          <w:rFonts w:hint="eastAsia" w:cs="宋体"/>
          <w:i w:val="0"/>
          <w:iCs w:val="0"/>
          <w:color w:val="000000"/>
          <w:highlight w:val="none"/>
          <w:u w:val="single"/>
          <w:lang w:val="en-US" w:eastAsia="zh-CN"/>
        </w:rPr>
        <w:t xml:space="preserve">     </w:t>
      </w:r>
      <w:r>
        <w:rPr>
          <w:rFonts w:hint="eastAsia" w:ascii="宋体" w:hAnsi="宋体" w:eastAsia="宋体" w:cs="宋体"/>
          <w:i w:val="0"/>
          <w:iCs w:val="0"/>
          <w:color w:val="000000"/>
          <w:highlight w:val="none"/>
        </w:rPr>
        <w:t xml:space="preserve">月</w:t>
      </w:r>
      <w:r>
        <w:rPr>
          <w:rFonts w:hint="eastAsia" w:cs="宋体"/>
          <w:i w:val="0"/>
          <w:iCs w:val="0"/>
          <w:color w:val="000000"/>
          <w:highlight w:val="none"/>
          <w:u w:val="single"/>
          <w:lang w:val="en-US" w:eastAsia="zh-CN"/>
        </w:rPr>
        <w:t xml:space="preserve">     </w:t>
      </w:r>
      <w:r>
        <w:rPr>
          <w:rFonts w:hint="eastAsia" w:ascii="宋体" w:hAnsi="宋体" w:eastAsia="宋体" w:cs="宋体"/>
          <w:i w:val="0"/>
          <w:iCs w:val="0"/>
          <w:color w:val="000000"/>
          <w:highlight w:val="none"/>
        </w:rPr>
        <w:t xml:space="preserve">日</w:t>
      </w:r>
      <w:r/>
    </w:p>
    <w:p>
      <w:pPr>
        <w:ind w:firstLine="480"/>
        <w:jc w:val="left"/>
        <w:spacing w:line="360" w:lineRule="auto"/>
        <w:tabs>
          <w:tab w:val="left" w:pos="360" w:leader="none"/>
        </w:tabs>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hint="eastAsia" w:ascii="宋体" w:hAnsi="宋体" w:cs="宋体"/>
          <w:color w:val="auto"/>
          <w:highlight w:val="none"/>
        </w:rPr>
        <w:br w:type="page" w:clear="all"/>
      </w:r>
      <w:r/>
    </w:p>
    <w:p>
      <w:pPr>
        <w:jc w:val="center"/>
        <w:spacing w:line="360" w:lineRule="auto"/>
        <w:rPr>
          <w:rFonts w:hint="eastAsia" w:ascii="宋体" w:hAnsi="宋体" w:eastAsia="宋体" w:cs="宋体"/>
          <w:b/>
          <w:bCs/>
          <w:i/>
          <w:iCs/>
          <w:color w:val="auto"/>
          <w:sz w:val="24"/>
          <w:highlight w:val="none"/>
          <w:u w:val="single"/>
        </w:rPr>
      </w:pPr>
      <w:r>
        <w:rPr>
          <w:rFonts w:hint="eastAsia" w:ascii="宋体" w:hAnsi="宋体" w:cs="宋体"/>
          <w:b/>
          <w:bCs/>
          <w:i/>
          <w:iCs/>
          <w:color w:val="auto"/>
          <w:sz w:val="24"/>
          <w:highlight w:val="none"/>
          <w:u w:val="single"/>
          <w:lang w:val="en-US" w:eastAsia="zh-CN"/>
        </w:rPr>
        <w:t xml:space="preserve">十</w:t>
      </w:r>
      <w:r>
        <w:rPr>
          <w:rFonts w:hint="eastAsia" w:ascii="宋体" w:hAnsi="宋体" w:eastAsia="宋体" w:cs="宋体"/>
          <w:b/>
          <w:bCs/>
          <w:i/>
          <w:iCs/>
          <w:color w:val="auto"/>
          <w:sz w:val="24"/>
          <w:highlight w:val="none"/>
          <w:u w:val="single"/>
        </w:rPr>
        <w:t xml:space="preserve">、中小企业声明函（服务）</w:t>
      </w:r>
      <w:r/>
    </w:p>
    <w:p>
      <w:pPr>
        <w:ind w:firstLine="480"/>
        <w:jc w:val="left"/>
        <w:spacing w:line="360" w:lineRule="auto"/>
        <w:tabs>
          <w:tab w:val="left" w:pos="360" w:leader="none"/>
        </w:tabs>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号）的规定，本公司（联合体）参加盐城市政府采购中心组织的</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，采购编号为</w:t>
      </w:r>
      <w:r>
        <w:rPr>
          <w:rFonts w:hint="eastAsia" w:ascii="宋体" w:hAnsi="宋体" w:cs="宋体"/>
          <w:color w:val="auto"/>
          <w:sz w:val="24"/>
          <w:highlight w:val="none"/>
          <w:u w:val="single"/>
          <w:lang w:eastAsia="zh-CN"/>
        </w:rPr>
        <w:t xml:space="preserve">JSZC-320923-ZGGC-C2026-0007</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阜宁革命烈士纪念馆重新布展项目</w:t>
      </w:r>
      <w:r>
        <w:rPr>
          <w:rFonts w:hint="eastAsia" w:ascii="宋体" w:hAnsi="宋体" w:eastAsia="宋体" w:cs="宋体"/>
          <w:color w:val="auto"/>
          <w:sz w:val="24"/>
          <w:highlight w:val="none"/>
        </w:rPr>
        <w:t xml:space="preserve">的采购活动，服务全部由符合政策要求的中小企业承接。相关企业（含联合体中的中小企业、签订分包意向协议的中小企业）的具体情况如下：</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阜宁革命烈士纪念馆重新布展项目（标的名称）</w:t>
      </w:r>
      <w:r>
        <w:rPr>
          <w:rFonts w:hint="eastAsia" w:ascii="宋体" w:hAnsi="宋体" w:eastAsia="宋体" w:cs="宋体"/>
          <w:color w:val="auto"/>
          <w:sz w:val="24"/>
          <w:highlight w:val="none"/>
        </w:rPr>
        <w:t xml:space="preserve"> ，属于</w:t>
      </w:r>
      <w:r>
        <w:rPr>
          <w:rFonts w:hint="eastAsia" w:ascii="宋体" w:hAnsi="宋体" w:eastAsia="宋体" w:cs="宋体"/>
          <w:color w:val="auto"/>
          <w:sz w:val="24"/>
          <w:highlight w:val="none"/>
          <w:u w:val="single"/>
          <w:lang w:val="en-US" w:eastAsia="zh-CN"/>
        </w:rPr>
        <w:t xml:space="preserve">其他未列明行业</w:t>
      </w:r>
      <w:r>
        <w:rPr>
          <w:rFonts w:hint="eastAsia" w:ascii="宋体" w:hAnsi="宋体" w:eastAsia="宋体" w:cs="宋体"/>
          <w:color w:val="auto"/>
          <w:sz w:val="24"/>
          <w:highlight w:val="none"/>
        </w:rPr>
        <w:t xml:space="preserve">；承建（承接）企业为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万元，属于（中型企业、小型企业、微型企业）；</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万元，属于（中型企业、小型企业、微型企业）；</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662"/>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3662"/>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备注2：供应商如不提供此声明函，价格将不做相应扣除（如项目全面面向中小企业，则资格审查不通过）。</w:t>
      </w:r>
      <w:r/>
    </w:p>
    <w:p>
      <w:pPr>
        <w:ind w:firstLine="480"/>
        <w:jc w:val="left"/>
        <w:spacing w:line="360" w:lineRule="auto"/>
        <w:tabs>
          <w:tab w:val="left" w:pos="3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numPr>
          <w:ilvl w:val="0"/>
          <w:numId w:val="0"/>
        </w:numPr>
        <w:jc w:val="center"/>
        <w:spacing w:line="360" w:lineRule="auto"/>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lang w:val="en-US" w:eastAsia="zh-CN"/>
        </w:rPr>
        <w:t xml:space="preserve">十一、</w:t>
      </w:r>
      <w:r>
        <w:rPr>
          <w:rFonts w:hint="eastAsia" w:ascii="宋体" w:hAnsi="宋体" w:cs="宋体"/>
          <w:b/>
          <w:bCs/>
          <w:i/>
          <w:iCs/>
          <w:color w:val="auto"/>
          <w:sz w:val="24"/>
          <w:highlight w:val="none"/>
          <w:u w:val="single"/>
        </w:rPr>
        <w:t xml:space="preserve">残疾人福利性单位声明函</w:t>
      </w:r>
      <w:r>
        <w:rPr>
          <w:rFonts w:hint="eastAsia" w:ascii="宋体" w:hAnsi="宋体" w:cs="宋体"/>
          <w:b/>
          <w:bCs/>
          <w:i/>
          <w:iCs/>
          <w:color w:val="auto"/>
          <w:sz w:val="24"/>
          <w:highlight w:val="none"/>
          <w:u w:val="single"/>
        </w:rPr>
        <w:t xml:space="preserve">（</w:t>
      </w:r>
      <w:r>
        <w:rPr>
          <w:rFonts w:hint="eastAsia" w:ascii="宋体" w:hAnsi="宋体" w:cs="宋体"/>
          <w:b/>
          <w:bCs/>
          <w:i/>
          <w:iCs/>
          <w:color w:val="auto"/>
          <w:sz w:val="24"/>
          <w:highlight w:val="none"/>
          <w:u w:val="single"/>
        </w:rPr>
        <w:t xml:space="preserve">如有</w:t>
      </w:r>
      <w:r>
        <w:rPr>
          <w:rFonts w:hint="eastAsia" w:ascii="宋体" w:hAnsi="宋体" w:cs="宋体"/>
          <w:b/>
          <w:bCs/>
          <w:i/>
          <w:iCs/>
          <w:color w:val="auto"/>
          <w:sz w:val="24"/>
          <w:highlight w:val="none"/>
          <w:u w:val="single"/>
        </w:rPr>
        <w:t xml:space="preserve">）</w:t>
      </w:r>
      <w:r/>
    </w:p>
    <w:p>
      <w:pPr>
        <w:pStyle w:val="807"/>
        <w:numPr>
          <w:ilvl w:val="0"/>
          <w:numId w:val="0"/>
        </w:numPr>
        <w:rPr>
          <w:color w:val="auto"/>
          <w:highlight w:val="none"/>
        </w:rPr>
      </w:pPr>
      <w:r>
        <w:rPr>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141号）的规定，本单位为符合条件的残疾人福利性单位，且本单位参加______单位的采购文件编号为______的_____项目采购活动由本单位提供服务。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793"/>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备注：</w:t>
      </w:r>
      <w:r/>
    </w:p>
    <w:p>
      <w:pPr>
        <w:pStyle w:val="793"/>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93"/>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 非专门面向中小微型企业采购的项目，供应商如不提供此声明函，价格将不做相应扣除。</w:t>
      </w:r>
      <w:r/>
    </w:p>
    <w:p>
      <w:pPr>
        <w:pStyle w:val="793"/>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p>
    <w:p>
      <w:pPr>
        <w:ind w:firstLine="62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ind w:right="1560" w:firstLine="624"/>
        <w:jc w:val="center"/>
        <w:spacing w:line="360" w:lineRule="auto"/>
        <w:tabs>
          <w:tab w:val="left" w:pos="4860" w:leader="none"/>
        </w:tabs>
        <w:rPr>
          <w:rFonts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          供应商全称（加盖CA电子公章）：</w:t>
      </w:r>
      <w:r/>
    </w:p>
    <w:p>
      <w:pPr>
        <w:ind w:right="1560" w:firstLine="480"/>
        <w:jc w:val="center"/>
        <w:spacing w:line="360" w:lineRule="auto"/>
        <w:tabs>
          <w:tab w:val="left" w:pos="4860" w:leader="none"/>
        </w:tabs>
        <w:rPr>
          <w:rFonts w:ascii="宋体" w:hAnsi="宋体" w:cs="宋体"/>
          <w:color w:val="auto"/>
          <w:sz w:val="24"/>
          <w:highlight w:val="none"/>
        </w:rPr>
      </w:pPr>
      <w:r>
        <w:rPr>
          <w:rFonts w:hint="eastAsia" w:ascii="宋体" w:hAnsi="宋体" w:cs="宋体"/>
          <w:color w:val="auto"/>
          <w:sz w:val="24"/>
          <w:highlight w:val="none"/>
        </w:rPr>
        <w:t xml:space="preserve">        日  期：</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left"/>
        <w:spacing w:line="360" w:lineRule="auto"/>
        <w:widowControl/>
        <w:rPr>
          <w:rFonts w:ascii="宋体" w:hAnsi="宋体" w:cs="宋体"/>
          <w:b/>
          <w:color w:val="auto"/>
          <w:sz w:val="24"/>
          <w:highlight w:val="none"/>
        </w:rPr>
        <w:sectPr>
          <w:headerReference w:type="default" r:id="rId9"/>
          <w:footerReference w:type="default" r:id="rId12"/>
          <w:footnotePr/>
          <w:endnotePr/>
          <w:type w:val="nextPage"/>
          <w:pgSz w:w="11906" w:h="16838" w:orient="portrait"/>
          <w:pgMar w:top="1015" w:right="1196" w:bottom="868" w:left="1259" w:header="851" w:footer="907" w:gutter="0"/>
          <w:cols w:num="1" w:sep="0" w:space="720" w:equalWidth="1"/>
          <w:docGrid w:linePitch="360"/>
        </w:sectPr>
      </w:pPr>
      <w:r>
        <w:rPr>
          <w:rFonts w:ascii="宋体" w:hAnsi="宋体" w:cs="宋体"/>
          <w:b/>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eastAsia="宋体" w:cs="宋体"/>
          <w:b/>
          <w:bCs/>
          <w:i/>
          <w:iCs/>
          <w:color w:val="auto"/>
          <w:sz w:val="24"/>
          <w:highlight w:val="none"/>
          <w:u w:val="single"/>
          <w:lang w:val="en-US" w:eastAsia="zh-CN"/>
        </w:rPr>
      </w:pPr>
      <w:r>
        <w:rPr>
          <w:rFonts w:hint="eastAsia" w:ascii="宋体" w:hAnsi="宋体" w:eastAsia="宋体" w:cs="宋体"/>
          <w:b/>
          <w:bCs/>
          <w:i/>
          <w:iCs/>
          <w:color w:val="auto"/>
          <w:sz w:val="28"/>
          <w:szCs w:val="28"/>
          <w:highlight w:val="none"/>
          <w:u w:val="single"/>
          <w:lang w:val="en-US" w:eastAsia="zh-CN"/>
        </w:rPr>
        <w:t xml:space="preserve">十二、关于符合本国产品标准的声明函</w:t>
      </w:r>
      <w:r/>
    </w:p>
    <w:p>
      <w:pPr>
        <w:pStyle w:val="793"/>
        <w:numPr>
          <w:ilvl w:val="0"/>
          <w:numId w:val="0"/>
        </w:numPr>
        <w:ind w:left="629"/>
        <w:jc w:val="center"/>
        <w:keepLines w:val="0"/>
        <w:keepNext w:val="0"/>
        <w:pageBreakBefore w:val="0"/>
        <w:spacing w:before="181" w:beforeAutospacing="0" w:after="181" w:afterAutospacing="0" w:line="0" w:lineRule="atLeast"/>
        <w:widowControl w:val="off"/>
        <w:rPr>
          <w:rFonts w:hint="eastAsia" w:ascii="黑体" w:hAnsi="黑体" w:eastAsia="黑体"/>
          <w:b/>
          <w:color w:val="c00000"/>
          <w:sz w:val="24"/>
          <w:szCs w:val="24"/>
          <w:highlight w:val="none"/>
          <w:lang w:val="en-US" w:eastAsia="zh-CN"/>
        </w:rPr>
      </w:pPr>
      <w:r>
        <w:rPr>
          <w:rFonts w:ascii="Arial" w:hAnsi="Arial" w:cs="Arial"/>
          <w:color w:val="auto"/>
          <w:sz w:val="24"/>
          <w:szCs w:val="24"/>
          <w:highlight w:val="none"/>
        </w:rPr>
        <w:t xml:space="preserve"> </w:t>
      </w:r>
      <w:r>
        <w:rPr>
          <w:rFonts w:hint="eastAsia" w:ascii="黑体" w:hAnsi="黑体" w:eastAsia="黑体"/>
          <w:b/>
          <w:color w:val="c00000"/>
          <w:sz w:val="24"/>
          <w:szCs w:val="24"/>
          <w:highlight w:val="none"/>
          <w:lang w:val="en-US" w:eastAsia="zh-CN"/>
        </w:rPr>
        <w:t xml:space="preserve">（本项目属于服务类，此声明函投标时供应商无需提供）</w:t>
      </w:r>
      <w:r/>
    </w:p>
    <w:p>
      <w:pPr>
        <w:pStyle w:val="793"/>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rPr>
        <w:t xml:space="preserve"> </w:t>
      </w:r>
      <w:r/>
    </w:p>
    <w:p>
      <w:pPr>
        <w:pStyle w:val="793"/>
        <w:ind w:left="0" w:firstLine="420"/>
        <w:jc w:val="both"/>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3"/>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793"/>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793"/>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793"/>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93"/>
        <w:ind w:left="0" w:right="480" w:firstLine="37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793"/>
        <w:jc w:val="center"/>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w:t>
      </w:r>
      <w:r/>
    </w:p>
    <w:p>
      <w:pPr>
        <w:pStyle w:val="793"/>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__________________</w:t>
      </w:r>
      <w:r/>
    </w:p>
    <w:p>
      <w:pPr>
        <w:pStyle w:val="793"/>
        <w:jc w:val="both"/>
        <w:keepLines w:val="0"/>
        <w:keepNext w:val="0"/>
        <w:spacing w:before="30" w:beforeAutospacing="0" w:after="30" w:afterAutospacing="0" w:line="24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1.产品如有型号，请在“产品名称”栏一并填写。</w:t>
      </w:r>
      <w:r/>
    </w:p>
    <w:p>
      <w:pPr>
        <w:pStyle w:val="793"/>
        <w:jc w:val="both"/>
        <w:keepLines w:val="0"/>
        <w:keepNext w:val="0"/>
        <w:spacing w:before="30" w:beforeAutospacing="0" w:after="30" w:afterAutospacing="0" w:line="24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2.生产厂名与厂址应与生产厂营业执照载明的相关信息保持一致。</w:t>
      </w:r>
      <w:r/>
    </w:p>
    <w:p>
      <w:pPr>
        <w:pStyle w:val="793"/>
        <w:jc w:val="both"/>
        <w:keepLines w:val="0"/>
        <w:keepNext w:val="0"/>
        <w:spacing w:before="30" w:beforeAutospacing="0" w:after="30" w:afterAutospacing="0" w:line="24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793"/>
        <w:jc w:val="both"/>
        <w:keepLines w:val="0"/>
        <w:keepNext w:val="0"/>
        <w:spacing w:before="30" w:beforeAutospacing="0" w:after="30" w:afterAutospacing="0" w:line="24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4.该产品的关键组件要求实施前，“关键组件”栏可不填，下同。</w:t>
      </w:r>
      <w:r/>
    </w:p>
    <w:p>
      <w:pPr>
        <w:pStyle w:val="793"/>
        <w:jc w:val="both"/>
        <w:keepLines w:val="0"/>
        <w:keepNext w:val="0"/>
        <w:spacing w:before="30" w:beforeAutospacing="0" w:after="30" w:afterAutospacing="0" w:line="24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5.该产品的关键工序要求实施前，“关键工序”栏可不填，下同。</w:t>
      </w:r>
      <w:r/>
    </w:p>
    <w:p>
      <w:pPr>
        <w:pStyle w:val="793"/>
        <w:jc w:val="both"/>
        <w:keepLines w:val="0"/>
        <w:keepNext w:val="0"/>
        <w:spacing w:before="30" w:beforeAutospacing="0" w:after="30" w:afterAutospacing="0" w:line="24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6.用</w:t>
      </w:r>
      <w:r>
        <w:rPr>
          <w:rFonts w:hint="eastAsia" w:ascii="宋体" w:hAnsi="宋体" w:eastAsia="宋体" w:cs="宋体"/>
          <w:color w:val="auto"/>
          <w:sz w:val="24"/>
          <w:szCs w:val="24"/>
          <w:shd w:val="clear" w:color="auto" w:fill="ffffff"/>
          <w:lang w:val="en-US" w:eastAsia="zh-CN"/>
        </w:rPr>
        <w:t xml:space="preserve">横</w:t>
      </w:r>
      <w:r>
        <w:rPr>
          <w:rFonts w:ascii="宋体" w:hAnsi="宋体" w:eastAsia="宋体" w:cs="宋体"/>
          <w:color w:val="auto"/>
          <w:sz w:val="24"/>
          <w:szCs w:val="24"/>
          <w:shd w:val="clear" w:color="auto" w:fill="ffffff"/>
        </w:rPr>
        <w:t xml:space="preserve">线划除的地方无需填写。</w:t>
      </w:r>
      <w:r/>
    </w:p>
    <w:p>
      <w:pPr>
        <w:pStyle w:val="793"/>
        <w:jc w:val="both"/>
        <w:keepLines w:val="0"/>
        <w:keepNext w:val="0"/>
        <w:spacing w:before="30" w:beforeAutospacing="0" w:after="30" w:afterAutospacing="0" w:line="240" w:lineRule="auto"/>
        <w:widowControl w:val="off"/>
        <w:rPr>
          <w:rFonts w:hint="eastAsia" w:ascii="宋体" w:hAnsi="宋体" w:eastAsia="宋体" w:cs="宋体"/>
          <w:color w:val="auto"/>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lang w:val="en-US" w:eastAsia="zh-CN"/>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br w:type="page" w:clear="all"/>
      </w:r>
      <w:r/>
    </w:p>
    <w:p>
      <w:pPr>
        <w:jc w:val="center"/>
        <w:spacing w:line="360" w:lineRule="auto"/>
        <w:rPr>
          <w:rFonts w:hint="eastAsia" w:ascii="宋体" w:hAnsi="宋体" w:cs="宋体"/>
          <w:b/>
          <w:bCs/>
          <w:i/>
          <w:iCs/>
          <w:color w:val="auto"/>
          <w:sz w:val="24"/>
          <w:szCs w:val="24"/>
          <w:highlight w:val="none"/>
          <w:u w:val="single"/>
        </w:rPr>
      </w:pPr>
      <w:r>
        <w:rPr>
          <w:rFonts w:hint="eastAsia" w:ascii="宋体" w:hAnsi="宋体" w:cs="宋体"/>
          <w:b/>
          <w:bCs/>
          <w:i/>
          <w:iCs/>
          <w:color w:val="auto"/>
          <w:sz w:val="24"/>
          <w:highlight w:val="none"/>
          <w:u w:val="single"/>
        </w:rPr>
        <w:t xml:space="preserve">十</w:t>
      </w:r>
      <w:r>
        <w:rPr>
          <w:rFonts w:hint="eastAsia" w:ascii="宋体" w:hAnsi="宋体" w:cs="宋体"/>
          <w:b/>
          <w:bCs/>
          <w:i/>
          <w:iCs/>
          <w:color w:val="auto"/>
          <w:sz w:val="24"/>
          <w:highlight w:val="none"/>
          <w:u w:val="single"/>
          <w:lang w:val="en-US" w:eastAsia="zh-CN"/>
        </w:rPr>
        <w:t xml:space="preserve">三</w:t>
      </w:r>
      <w:r>
        <w:rPr>
          <w:rFonts w:hint="eastAsia" w:ascii="宋体" w:hAnsi="宋体" w:cs="宋体"/>
          <w:b/>
          <w:bCs/>
          <w:i/>
          <w:iCs/>
          <w:color w:val="auto"/>
          <w:sz w:val="24"/>
          <w:highlight w:val="none"/>
          <w:u w:val="single"/>
        </w:rPr>
        <w:t xml:space="preserve">、磋商报价表</w:t>
      </w:r>
      <w:r/>
    </w:p>
    <w:p>
      <w:pPr>
        <w:ind w:firstLine="482"/>
        <w:spacing w:line="276" w:lineRule="auto"/>
        <w:rPr>
          <w:rFonts w:ascii="宋体" w:hAnsi="宋体" w:cs="宋体"/>
          <w:b/>
          <w:color w:val="auto"/>
          <w:sz w:val="22"/>
          <w:szCs w:val="22"/>
          <w:highlight w:val="none"/>
        </w:rPr>
      </w:pPr>
      <w:r>
        <w:rPr>
          <w:rFonts w:ascii="宋体" w:hAnsi="宋体" w:cs="宋体"/>
          <w:b/>
          <w:color w:val="auto"/>
          <w:sz w:val="22"/>
          <w:szCs w:val="22"/>
          <w:highlight w:val="none"/>
        </w:rPr>
      </w:r>
      <w:r/>
    </w:p>
    <w:p>
      <w:pPr>
        <w:ind w:firstLine="482"/>
        <w:spacing w:line="276" w:lineRule="auto"/>
        <w:rPr>
          <w:rFonts w:ascii="宋体" w:hAnsi="宋体" w:cs="宋体"/>
          <w:b/>
          <w:color w:val="auto"/>
          <w:sz w:val="22"/>
          <w:szCs w:val="22"/>
          <w:highlight w:val="none"/>
        </w:rPr>
      </w:pPr>
      <w:r>
        <w:rPr>
          <w:rFonts w:hint="eastAsia" w:ascii="宋体" w:hAnsi="宋体" w:cs="宋体"/>
          <w:b/>
          <w:color w:val="auto"/>
          <w:sz w:val="22"/>
          <w:szCs w:val="22"/>
          <w:highlight w:val="none"/>
        </w:rPr>
        <w:t xml:space="preserve">货币单位：人民币元</w:t>
      </w:r>
      <w:r/>
    </w:p>
    <w:p>
      <w:pPr>
        <w:ind w:firstLine="482"/>
        <w:spacing w:line="276" w:lineRule="auto"/>
        <w:rPr>
          <w:rFonts w:ascii="宋体" w:hAnsi="宋体" w:cs="宋体"/>
          <w:b/>
          <w:color w:val="auto"/>
          <w:sz w:val="22"/>
          <w:szCs w:val="22"/>
          <w:highlight w:val="none"/>
        </w:rPr>
      </w:pPr>
      <w:r>
        <w:rPr>
          <w:rFonts w:hint="eastAsia" w:ascii="宋体" w:hAnsi="宋体" w:cs="宋体"/>
          <w:b/>
          <w:color w:val="auto"/>
          <w:sz w:val="22"/>
          <w:szCs w:val="22"/>
          <w:highlight w:val="none"/>
        </w:rPr>
        <w:t xml:space="preserve">项目编号：</w:t>
      </w:r>
      <w:r/>
    </w:p>
    <w:p>
      <w:pPr>
        <w:ind w:firstLine="482"/>
        <w:spacing w:line="276" w:lineRule="auto"/>
        <w:rPr>
          <w:rFonts w:ascii="宋体" w:hAnsi="宋体" w:cs="宋体"/>
          <w:b/>
          <w:color w:val="auto"/>
          <w:sz w:val="22"/>
          <w:szCs w:val="22"/>
          <w:highlight w:val="none"/>
        </w:rPr>
      </w:pPr>
      <w:r>
        <w:rPr>
          <w:rFonts w:ascii="宋体" w:hAnsi="宋体" w:cs="宋体"/>
          <w:b/>
          <w:color w:val="auto"/>
          <w:sz w:val="22"/>
          <w:szCs w:val="22"/>
          <w:highlight w:val="none"/>
        </w:rPr>
      </w:r>
      <w:r/>
    </w:p>
    <w:tbl>
      <w:tblPr>
        <w:tblStyle w:val="79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b/>
                <w:color w:val="auto"/>
                <w:sz w:val="24"/>
                <w:szCs w:val="22"/>
                <w:highlight w:val="none"/>
                <w:lang w:eastAsia="en-US"/>
              </w:rPr>
            </w:pPr>
            <w:r>
              <w:rPr>
                <w:rFonts w:hint="eastAsia" w:ascii="宋体" w:hAnsi="宋体" w:cs="宋体"/>
                <w:b/>
                <w:color w:val="auto"/>
                <w:sz w:val="24"/>
                <w:szCs w:val="22"/>
                <w:highlight w:val="none"/>
                <w:lang w:eastAsia="en-US"/>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b/>
                <w:color w:val="auto"/>
                <w:sz w:val="24"/>
                <w:szCs w:val="22"/>
                <w:highlight w:val="none"/>
                <w:lang w:eastAsia="en-US"/>
              </w:rPr>
            </w:pPr>
            <w:r>
              <w:rPr>
                <w:rFonts w:hint="eastAsia" w:ascii="宋体" w:hAnsi="宋体" w:cs="宋体"/>
                <w:b/>
                <w:color w:val="auto"/>
                <w:sz w:val="24"/>
                <w:szCs w:val="22"/>
                <w:highlight w:val="none"/>
                <w:lang w:eastAsia="en-US"/>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b/>
                <w:color w:val="auto"/>
                <w:sz w:val="24"/>
                <w:szCs w:val="22"/>
                <w:highlight w:val="none"/>
                <w:lang w:eastAsia="en-US"/>
              </w:rPr>
            </w:pPr>
            <w:r>
              <w:rPr>
                <w:rFonts w:hint="eastAsia" w:ascii="宋体" w:hAnsi="宋体" w:cs="宋体"/>
                <w:b/>
                <w:color w:val="auto"/>
                <w:sz w:val="24"/>
                <w:szCs w:val="22"/>
                <w:highlight w:val="none"/>
                <w:lang w:eastAsia="en-US"/>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lang w:eastAsia="zh-CN"/>
              </w:rPr>
              <w:t xml:space="preserve">阜宁革命烈士纪念馆重新布展项目</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color w:val="auto"/>
                <w:sz w:val="24"/>
                <w:szCs w:val="22"/>
                <w:highlight w:val="none"/>
                <w:lang w:eastAsia="en-US"/>
              </w:rPr>
            </w:pPr>
            <w:r>
              <w:rPr>
                <w:rFonts w:hint="eastAsia" w:ascii="宋体" w:hAnsi="宋体" w:cs="宋体"/>
                <w:color w:val="auto"/>
                <w:sz w:val="24"/>
                <w:szCs w:val="22"/>
                <w:highlight w:val="none"/>
                <w:lang w:eastAsia="en-US"/>
              </w:rPr>
              <w:t xml:space="preserve">详见</w:t>
            </w:r>
            <w:r>
              <w:rPr>
                <w:rFonts w:hint="eastAsia" w:ascii="宋体" w:hAnsi="宋体" w:cs="宋体"/>
                <w:color w:val="auto"/>
                <w:sz w:val="24"/>
                <w:szCs w:val="22"/>
                <w:highlight w:val="none"/>
              </w:rPr>
              <w:t xml:space="preserve">响应</w:t>
            </w:r>
            <w:r>
              <w:rPr>
                <w:rFonts w:hint="eastAsia" w:ascii="宋体" w:hAnsi="宋体" w:cs="宋体"/>
                <w:color w:val="auto"/>
                <w:sz w:val="24"/>
                <w:szCs w:val="22"/>
                <w:highlight w:val="none"/>
                <w:lang w:eastAsia="en-US"/>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color w:val="auto"/>
                <w:sz w:val="24"/>
                <w:szCs w:val="22"/>
                <w:highlight w:val="none"/>
                <w:lang w:eastAsia="en-US"/>
              </w:rPr>
            </w:pPr>
            <w:r>
              <w:rPr>
                <w:rFonts w:hint="eastAsia" w:ascii="宋体" w:hAnsi="宋体" w:cs="宋体"/>
                <w:color w:val="auto"/>
                <w:sz w:val="24"/>
                <w:szCs w:val="22"/>
                <w:highlight w:val="none"/>
              </w:rPr>
              <w:t xml:space="preserve">           </w:t>
            </w:r>
            <w:r>
              <w:rPr>
                <w:rFonts w:hint="eastAsia" w:ascii="宋体" w:hAnsi="宋体" w:cs="宋体"/>
                <w:color w:val="auto"/>
                <w:sz w:val="24"/>
                <w:szCs w:val="22"/>
                <w:highlight w:val="none"/>
                <w:lang w:eastAsia="en-US"/>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color w:val="auto"/>
                <w:sz w:val="24"/>
                <w:szCs w:val="22"/>
                <w:highlight w:val="none"/>
                <w:lang w:eastAsia="en-US"/>
              </w:rPr>
            </w:pPr>
            <w:r>
              <w:rPr>
                <w:rFonts w:hint="eastAsia" w:ascii="宋体" w:hAnsi="宋体" w:cs="宋体"/>
                <w:b/>
                <w:bCs/>
                <w:color w:val="auto"/>
                <w:sz w:val="24"/>
                <w:szCs w:val="22"/>
                <w:highlight w:val="none"/>
                <w:lang w:eastAsia="en-US"/>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rPr>
                <w:rFonts w:ascii="宋体" w:hAnsi="宋体" w:cs="宋体"/>
                <w:color w:val="auto"/>
                <w:sz w:val="24"/>
                <w:szCs w:val="22"/>
                <w:highlight w:val="none"/>
                <w:lang w:eastAsia="en-US"/>
              </w:rPr>
            </w:pPr>
            <w:r>
              <w:rPr>
                <w:rFonts w:ascii="宋体" w:hAnsi="宋体" w:cs="宋体"/>
                <w:color w:val="auto"/>
                <w:sz w:val="24"/>
                <w:szCs w:val="22"/>
                <w:highlight w:val="none"/>
                <w:lang w:eastAsia="en-US"/>
              </w:rPr>
            </w:r>
            <w:r/>
          </w:p>
        </w:tc>
      </w:tr>
    </w:tbl>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报价说明：</w:t>
      </w:r>
      <w:r/>
    </w:p>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1、报价包括完成项目的所有费用。采购人不再支付报价以外的任何费用。</w:t>
      </w:r>
      <w:r/>
    </w:p>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2、报价以总价为准，大小写不一致以大写为准；</w:t>
      </w:r>
      <w:r/>
    </w:p>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3、偏离说明：详见《偏离表》；</w:t>
      </w:r>
      <w:r/>
    </w:p>
    <w:p>
      <w:pPr>
        <w:spacing w:before="100" w:beforeAutospacing="1" w:after="100" w:afterAutospacing="1"/>
        <w:rPr>
          <w:rFonts w:ascii="宋体" w:hAnsi="宋体" w:cs="宋体"/>
          <w:color w:val="auto"/>
          <w:sz w:val="24"/>
        </w:rPr>
      </w:pPr>
      <w:r>
        <w:rPr>
          <w:rFonts w:hint="eastAsia" w:ascii="宋体" w:hAnsi="宋体" w:cs="宋体"/>
          <w:color w:val="auto"/>
          <w:sz w:val="24"/>
        </w:rPr>
        <w:t xml:space="preserve">4、如最后报价未列明单价，则最后所报各项单价计算方法为：（最后报价/最初报价）* 各项最初报价的单价。</w:t>
      </w:r>
      <w:r/>
    </w:p>
    <w:p>
      <w:pPr>
        <w:pStyle w:val="766"/>
        <w:rPr>
          <w:color w:val="auto"/>
          <w:highlight w:val="none"/>
        </w:rPr>
      </w:pPr>
      <w:r>
        <w:rPr>
          <w:color w:val="auto"/>
          <w:highlight w:val="none"/>
        </w:rPr>
      </w:r>
      <w:r/>
    </w:p>
    <w:p>
      <w:pPr>
        <w:ind w:firstLine="4348"/>
        <w:spacing w:before="100" w:beforeAutospacing="1" w:after="100" w:afterAutospacing="1"/>
        <w:rPr>
          <w:rFonts w:ascii="宋体" w:hAnsi="宋体" w:cs="宋体"/>
          <w:color w:val="auto"/>
          <w:sz w:val="24"/>
          <w:highlight w:val="none"/>
        </w:rPr>
      </w:pPr>
      <w:r>
        <w:rPr>
          <w:rFonts w:hint="eastAsia" w:ascii="宋体" w:hAnsi="宋体" w:cs="宋体"/>
          <w:color w:val="auto"/>
          <w:sz w:val="24"/>
          <w:highlight w:val="none"/>
        </w:rPr>
        <w:t xml:space="preserve">供应商（加盖CA电子公章）：</w:t>
      </w:r>
      <w:r/>
    </w:p>
    <w:p>
      <w:pPr>
        <w:ind w:firstLine="4348"/>
        <w:jc w:val="left"/>
        <w:spacing w:line="360" w:lineRule="atLeast"/>
        <w:widowControl/>
        <w:rPr>
          <w:color w:val="auto"/>
          <w:sz w:val="24"/>
          <w:highlight w:val="none"/>
        </w:rPr>
      </w:pPr>
      <w:r>
        <w:rPr>
          <w:rFonts w:hint="eastAsia" w:ascii="宋体" w:hAnsi="宋体" w:cs="宋体"/>
          <w:color w:val="auto"/>
          <w:sz w:val="24"/>
          <w:highlight w:val="none"/>
        </w:rPr>
        <w:t xml:space="preserve">日期：</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numPr>
          <w:ilvl w:val="0"/>
          <w:numId w:val="8"/>
        </w:numPr>
        <w:jc w:val="center"/>
        <w:spacing w:line="360" w:lineRule="auto"/>
        <w:rPr>
          <w:rFonts w:hint="eastAsia" w:ascii="宋体" w:hAnsi="宋体" w:cs="宋体"/>
          <w:b/>
          <w:bCs/>
          <w:i/>
          <w:iCs/>
          <w:color w:val="auto"/>
          <w:sz w:val="24"/>
          <w:highlight w:val="none"/>
          <w:u w:val="single"/>
        </w:rPr>
      </w:pPr>
      <w:r>
        <w:rPr>
          <w:rFonts w:hint="eastAsia" w:ascii="宋体" w:hAnsi="宋体" w:cs="宋体"/>
          <w:b/>
          <w:color w:val="auto"/>
          <w:sz w:val="24"/>
          <w:highlight w:val="none"/>
        </w:rPr>
        <w:br w:type="page" w:clear="all"/>
      </w:r>
      <w:r>
        <w:rPr>
          <w:rFonts w:hint="eastAsia" w:ascii="宋体" w:hAnsi="宋体" w:cs="宋体"/>
          <w:b/>
          <w:bCs/>
          <w:i/>
          <w:iCs/>
          <w:color w:val="auto"/>
          <w:sz w:val="24"/>
          <w:highlight w:val="none"/>
          <w:u w:val="single"/>
        </w:rPr>
        <w:t xml:space="preserve">分项报价表</w:t>
      </w:r>
      <w:r/>
    </w:p>
    <w:p>
      <w:pPr>
        <w:pStyle w:val="807"/>
        <w:numPr>
          <w:ilvl w:val="0"/>
          <w:numId w:val="0"/>
        </w:numPr>
        <w:ind w:firstLine="241"/>
        <w:rPr>
          <w:rFonts w:hint="eastAsia" w:eastAsia="宋体"/>
          <w:lang w:eastAsia="zh-CN"/>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分项服务</w:t>
      </w:r>
      <w:r>
        <w:rPr>
          <w:rFonts w:hint="eastAsia" w:ascii="宋体" w:hAnsi="宋体" w:eastAsia="宋体" w:cs="宋体"/>
          <w:b/>
          <w:bCs/>
          <w:color w:val="auto"/>
          <w:sz w:val="24"/>
          <w:szCs w:val="24"/>
          <w:highlight w:val="none"/>
          <w:lang w:val="en-US" w:eastAsia="zh-CN"/>
        </w:rPr>
        <w:t xml:space="preserve">报价：</w:t>
      </w:r>
      <w:r/>
    </w:p>
    <w:tbl>
      <w:tblPr>
        <w:tblStyle w:val="1162"/>
        <w:tblpPr w:horzAnchor="page" w:tblpX="1757" w:vertAnchor="text" w:tblpY="74" w:leftFromText="180" w:topFromText="0" w:rightFromText="180" w:bottomFromText="0"/>
        <w:tblW w:w="48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881"/>
        <w:gridCol w:w="3966"/>
        <w:gridCol w:w="2215"/>
      </w:tblGrid>
      <w:tr>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center"/>
              <w:rPr>
                <w:rFonts w:hint="eastAsia"/>
              </w:rPr>
            </w:pPr>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hint="eastAsia"/>
                <w:lang w:eastAsia="zh-CN"/>
              </w:rPr>
            </w:pPr>
            <w:r>
              <w:rPr>
                <w:rFonts w:hint="eastAsia"/>
                <w:b/>
                <w:bCs/>
              </w:rPr>
              <w:t xml:space="preserve">项目名称</w:t>
            </w:r>
            <w:r/>
          </w:p>
        </w:tc>
        <w:tc>
          <w:tcPr>
            <w:tcBorders>
              <w:top w:val="single" w:color="auto" w:sz="4" w:space="0"/>
              <w:left w:val="single" w:color="auto" w:sz="4" w:space="0"/>
              <w:bottom w:val="single" w:color="auto" w:sz="4" w:space="0"/>
              <w:right w:val="single" w:color="auto" w:sz="4" w:space="0"/>
            </w:tcBorders>
            <w:tcW w:w="4082" w:type="dxa"/>
            <w:vAlign w:val="center"/>
            <w:textDirection w:val="lrTb"/>
            <w:noWrap w:val="false"/>
          </w:tcPr>
          <w:p>
            <w:pPr>
              <w:jc w:val="center"/>
              <w:rPr>
                <w:rFonts w:hint="eastAsia"/>
                <w:lang w:val="en-US" w:eastAsia="zh-CN"/>
              </w:rPr>
            </w:pPr>
            <w:r>
              <w:rPr>
                <w:rFonts w:hint="eastAsia"/>
                <w:b/>
                <w:bCs/>
                <w:lang w:val="en-US" w:eastAsia="zh-CN"/>
              </w:rPr>
              <w:t xml:space="preserve">内容</w:t>
            </w:r>
            <w:r/>
          </w:p>
        </w:tc>
        <w:tc>
          <w:tcPr>
            <w:tcBorders>
              <w:top w:val="single" w:color="auto" w:sz="4" w:space="0"/>
              <w:left w:val="single" w:color="auto" w:sz="4" w:space="0"/>
              <w:bottom w:val="single" w:color="auto" w:sz="4" w:space="0"/>
              <w:right w:val="single" w:color="auto" w:sz="4" w:space="0"/>
            </w:tcBorders>
            <w:tcW w:w="2262" w:type="dxa"/>
            <w:vAlign w:val="center"/>
            <w:textDirection w:val="lrTb"/>
            <w:noWrap w:val="false"/>
          </w:tcPr>
          <w:p>
            <w:pPr>
              <w:jc w:val="center"/>
              <w:rPr>
                <w:rFonts w:hint="default"/>
                <w:b/>
                <w:bCs/>
                <w:lang w:val="en-US" w:eastAsia="zh-CN"/>
              </w:rPr>
            </w:pPr>
            <w:r>
              <w:rPr>
                <w:rFonts w:hint="eastAsia"/>
                <w:b/>
                <w:bCs/>
                <w:lang w:val="en-US" w:eastAsia="zh-CN"/>
              </w:rPr>
              <w:t xml:space="preserve">报价（元）</w:t>
            </w:r>
            <w:r/>
          </w:p>
        </w:tc>
      </w:tr>
      <w:tr>
        <w:trPr>
          <w:trHeight w:val="371"/>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center"/>
              <w:rPr>
                <w:rFonts w:hint="eastAsia"/>
              </w:rPr>
            </w:pPr>
            <w:r>
              <w:rPr>
                <w:rFonts w:hint="eastAsia"/>
              </w:rPr>
              <w:t xml:space="preserve">（一）</w:t>
            </w:r>
            <w:r/>
          </w:p>
        </w:tc>
        <w:tc>
          <w:tcPr>
            <w:tcBorders>
              <w:top w:val="single" w:color="auto" w:sz="4" w:space="0"/>
              <w:left w:val="single" w:color="auto" w:sz="4" w:space="0"/>
              <w:right w:val="single" w:color="auto" w:sz="4" w:space="0"/>
            </w:tcBorders>
            <w:tcW w:w="1932" w:type="dxa"/>
            <w:vAlign w:val="center"/>
            <w:vMerge w:val="restart"/>
            <w:textDirection w:val="lrTb"/>
            <w:noWrap w:val="false"/>
          </w:tcPr>
          <w:p>
            <w:pPr>
              <w:jc w:val="center"/>
              <w:rPr>
                <w:rFonts w:hint="eastAsia" w:eastAsiaTheme="minorEastAsia"/>
                <w:lang w:eastAsia="zh-CN"/>
              </w:rPr>
            </w:pPr>
            <w:r>
              <w:rPr>
                <w:rFonts w:hint="eastAsia" w:ascii="Times New Roman" w:hAnsi="Times New Roman" w:eastAsia="宋体" w:cs="Times New Roman"/>
                <w:lang w:val="en-US" w:eastAsia="zh-CN"/>
              </w:rPr>
              <w:t xml:space="preserve">阜宁革命烈士纪念馆重新布展项目</w:t>
            </w:r>
            <w:r/>
          </w:p>
        </w:tc>
        <w:tc>
          <w:tcPr>
            <w:tcBorders>
              <w:top w:val="single" w:color="auto" w:sz="4" w:space="0"/>
              <w:left w:val="single" w:color="auto" w:sz="4" w:space="0"/>
              <w:right w:val="single" w:color="auto" w:sz="4" w:space="0"/>
            </w:tcBorders>
            <w:tcW w:w="4082" w:type="dxa"/>
            <w:vAlign w:val="center"/>
            <w:textDirection w:val="lrTb"/>
            <w:noWrap w:val="false"/>
          </w:tcPr>
          <w:p>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阜宁烈士</w:t>
            </w:r>
            <w:r>
              <w:rPr>
                <w:rFonts w:hint="eastAsia"/>
                <w:lang w:val="en-US" w:eastAsia="zh-CN"/>
              </w:rPr>
              <w:t xml:space="preserve">纪念馆-深化设计</w:t>
            </w:r>
            <w:r/>
          </w:p>
        </w:tc>
        <w:tc>
          <w:tcPr>
            <w:tcBorders>
              <w:top w:val="single" w:color="auto" w:sz="4" w:space="0"/>
              <w:left w:val="single" w:color="auto" w:sz="4" w:space="0"/>
              <w:right w:val="single" w:color="auto" w:sz="4" w:space="0"/>
            </w:tcBorders>
            <w:tcW w:w="2262" w:type="dxa"/>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r>
      <w:tr>
        <w:trPr>
          <w:trHeight w:val="371"/>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center"/>
            </w:pPr>
            <w:r>
              <w:rPr>
                <w:rFonts w:hint="eastAsia"/>
              </w:rPr>
              <w:t xml:space="preserve">（</w:t>
            </w:r>
            <w:r>
              <w:rPr>
                <w:rFonts w:hint="eastAsia"/>
                <w:lang w:val="en-US" w:eastAsia="zh-CN"/>
              </w:rPr>
              <w:t xml:space="preserve">二</w:t>
            </w:r>
            <w:r>
              <w:rPr>
                <w:rFonts w:hint="eastAsia"/>
              </w:rPr>
              <w:t xml:space="preserve">）</w:t>
            </w:r>
            <w:r/>
          </w:p>
        </w:tc>
        <w:tc>
          <w:tcPr>
            <w:tcBorders>
              <w:left w:val="single" w:color="auto" w:sz="4" w:space="0"/>
              <w:right w:val="single" w:color="auto" w:sz="4" w:space="0"/>
            </w:tcBorders>
            <w:tcW w:w="1932" w:type="dxa"/>
            <w:vAlign w:val="center"/>
            <w:vMerge w:val="continue"/>
            <w:textDirection w:val="lrTb"/>
            <w:noWrap w:val="false"/>
          </w:tcPr>
          <w:p>
            <w:pPr>
              <w:jc w:val="center"/>
              <w:rPr>
                <w:rFonts w:hint="eastAsia" w:eastAsiaTheme="minorEastAsia"/>
                <w:lang w:eastAsia="zh-CN"/>
              </w:rPr>
            </w:pPr>
            <w:r>
              <w:rPr>
                <w:rFonts w:hint="eastAsia" w:eastAsiaTheme="minorEastAsia"/>
                <w:lang w:eastAsia="zh-CN"/>
              </w:rPr>
            </w:r>
            <w:r/>
          </w:p>
        </w:tc>
        <w:tc>
          <w:tcPr>
            <w:tcBorders>
              <w:top w:val="single" w:color="auto" w:sz="4" w:space="0"/>
              <w:left w:val="single" w:color="auto" w:sz="4" w:space="0"/>
              <w:right w:val="single" w:color="auto" w:sz="4" w:space="0"/>
            </w:tcBorders>
            <w:tcW w:w="4082" w:type="dxa"/>
            <w:vAlign w:val="center"/>
            <w:textDirection w:val="lrTb"/>
            <w:noWrap w:val="false"/>
          </w:tcPr>
          <w:p>
            <w:pPr>
              <w:jc w:val="center"/>
              <w:rPr>
                <w:rFonts w:hint="default"/>
                <w:lang w:val="en-US"/>
              </w:rPr>
            </w:pPr>
            <w:r>
              <w:rPr>
                <w:rFonts w:hint="eastAsia" w:ascii="Times New Roman" w:hAnsi="Times New Roman" w:eastAsia="宋体" w:cs="Times New Roman"/>
                <w:lang w:val="en-US" w:eastAsia="zh-CN"/>
              </w:rPr>
              <w:t xml:space="preserve">阜宁烈士</w:t>
            </w:r>
            <w:r>
              <w:rPr>
                <w:rFonts w:hint="eastAsia"/>
                <w:lang w:val="en-US" w:eastAsia="zh-CN"/>
              </w:rPr>
              <w:t xml:space="preserve">纪念馆-空调采购安装</w:t>
            </w:r>
            <w:r/>
          </w:p>
        </w:tc>
        <w:tc>
          <w:tcPr>
            <w:tcBorders>
              <w:top w:val="single" w:color="auto" w:sz="4" w:space="0"/>
              <w:left w:val="single" w:color="auto" w:sz="4" w:space="0"/>
              <w:right w:val="single" w:color="auto" w:sz="4" w:space="0"/>
            </w:tcBorders>
            <w:tcW w:w="2262" w:type="dxa"/>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r>
      <w:tr>
        <w:trPr>
          <w:trHeight w:val="320"/>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center"/>
              <w:rPr>
                <w:rFonts w:hint="eastAsia" w:eastAsia="宋体"/>
                <w:lang w:val="en-US" w:eastAsia="zh-CN"/>
              </w:rPr>
            </w:pPr>
            <w:r>
              <w:rPr>
                <w:rFonts w:hint="eastAsia"/>
              </w:rPr>
              <w:t xml:space="preserve">（</w:t>
            </w:r>
            <w:r>
              <w:rPr>
                <w:rFonts w:hint="eastAsia"/>
                <w:lang w:val="en-US" w:eastAsia="zh-CN"/>
              </w:rPr>
              <w:t xml:space="preserve">三</w:t>
            </w:r>
            <w:r>
              <w:rPr>
                <w:rFonts w:hint="eastAsia"/>
              </w:rPr>
              <w:t xml:space="preserve">）</w:t>
            </w:r>
            <w:r/>
          </w:p>
        </w:tc>
        <w:tc>
          <w:tcPr>
            <w:tcBorders>
              <w:left w:val="single" w:color="auto" w:sz="4" w:space="0"/>
              <w:right w:val="single" w:color="auto" w:sz="4" w:space="0"/>
            </w:tcBorders>
            <w:tcW w:w="1932" w:type="dxa"/>
            <w:vAlign w:val="center"/>
            <w:vMerge w:val="continue"/>
            <w:textDirection w:val="lrTb"/>
            <w:noWrap w:val="false"/>
          </w:tcPr>
          <w:p>
            <w:pPr>
              <w:rPr>
                <w:rFonts w:hint="eastAsia" w:ascii="宋体" w:hAnsi="宋体" w:cs="宋体"/>
                <w:sz w:val="28"/>
                <w:szCs w:val="28"/>
              </w:rPr>
            </w:pPr>
            <w:r>
              <w:rPr>
                <w:rFonts w:hint="eastAsia" w:ascii="宋体" w:hAnsi="宋体" w:cs="宋体"/>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4082"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lang w:val="en-US" w:eastAsia="zh-CN"/>
              </w:rPr>
              <w:t xml:space="preserve">阜宁烈士</w:t>
            </w:r>
            <w:r>
              <w:rPr>
                <w:rFonts w:hint="eastAsia"/>
                <w:lang w:val="en-US" w:eastAsia="zh-CN"/>
              </w:rPr>
              <w:t xml:space="preserve">纪念馆-艺术展陈</w:t>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r>
      <w:tr>
        <w:trPr>
          <w:trHeight w:val="320"/>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center"/>
              <w:rPr>
                <w:rFonts w:hint="eastAsia" w:eastAsia="宋体"/>
                <w:lang w:val="en-US" w:eastAsia="zh-CN"/>
              </w:rPr>
            </w:pPr>
            <w:r>
              <w:rPr>
                <w:rFonts w:hint="eastAsia"/>
              </w:rPr>
              <w:t xml:space="preserve">（</w:t>
            </w:r>
            <w:r>
              <w:rPr>
                <w:rFonts w:hint="eastAsia"/>
                <w:lang w:val="en-US" w:eastAsia="zh-CN"/>
              </w:rPr>
              <w:t xml:space="preserve">四</w:t>
            </w:r>
            <w:r>
              <w:rPr>
                <w:rFonts w:hint="eastAsia"/>
              </w:rPr>
              <w:t xml:space="preserve">）</w:t>
            </w:r>
            <w:r/>
          </w:p>
        </w:tc>
        <w:tc>
          <w:tcPr>
            <w:tcBorders>
              <w:left w:val="single" w:color="auto" w:sz="4" w:space="0"/>
              <w:right w:val="single" w:color="auto" w:sz="4" w:space="0"/>
            </w:tcBorders>
            <w:tcW w:w="1932" w:type="dxa"/>
            <w:vAlign w:val="center"/>
            <w:vMerge w:val="continue"/>
            <w:textDirection w:val="lrTb"/>
            <w:noWrap w:val="false"/>
          </w:tcPr>
          <w:p>
            <w:pPr>
              <w:rPr>
                <w:rFonts w:hint="eastAsia" w:ascii="宋体" w:hAnsi="宋体" w:cs="宋体"/>
                <w:sz w:val="28"/>
                <w:szCs w:val="28"/>
              </w:rPr>
            </w:pPr>
            <w:r>
              <w:rPr>
                <w:rFonts w:hint="eastAsia" w:ascii="宋体" w:hAnsi="宋体" w:cs="宋体"/>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4082"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lang w:val="en-US" w:eastAsia="zh-CN"/>
              </w:rPr>
              <w:t xml:space="preserve">阜宁烈士</w:t>
            </w:r>
            <w:r>
              <w:rPr>
                <w:rFonts w:hint="eastAsia"/>
                <w:lang w:val="en-US" w:eastAsia="zh-CN"/>
              </w:rPr>
              <w:t xml:space="preserve">纪念馆-多媒体硬件</w:t>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r>
      <w:tr>
        <w:trPr>
          <w:trHeight w:val="320"/>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center"/>
              <w:rPr>
                <w:rFonts w:hint="eastAsia" w:eastAsia="宋体"/>
                <w:lang w:val="en-US" w:eastAsia="zh-CN"/>
              </w:rPr>
            </w:pPr>
            <w:r>
              <w:rPr>
                <w:rFonts w:hint="eastAsia"/>
              </w:rPr>
              <w:t xml:space="preserve">（</w:t>
            </w:r>
            <w:r>
              <w:rPr>
                <w:rFonts w:hint="eastAsia"/>
                <w:lang w:val="en-US" w:eastAsia="zh-CN"/>
              </w:rPr>
              <w:t xml:space="preserve">五</w:t>
            </w:r>
            <w:r>
              <w:rPr>
                <w:rFonts w:hint="eastAsia"/>
              </w:rPr>
              <w:t xml:space="preserve">）</w:t>
            </w:r>
            <w:r/>
          </w:p>
        </w:tc>
        <w:tc>
          <w:tcPr>
            <w:tcBorders>
              <w:left w:val="single" w:color="auto" w:sz="4" w:space="0"/>
              <w:right w:val="single" w:color="auto" w:sz="4" w:space="0"/>
            </w:tcBorders>
            <w:tcW w:w="1932" w:type="dxa"/>
            <w:vAlign w:val="center"/>
            <w:vMerge w:val="continue"/>
            <w:textDirection w:val="lrTb"/>
            <w:noWrap w:val="false"/>
          </w:tcPr>
          <w:p>
            <w:pPr>
              <w:rPr>
                <w:rFonts w:hint="eastAsia" w:ascii="宋体" w:hAnsi="宋体" w:cs="宋体"/>
                <w:sz w:val="28"/>
                <w:szCs w:val="28"/>
              </w:rPr>
            </w:pPr>
            <w:r>
              <w:rPr>
                <w:rFonts w:hint="eastAsia" w:ascii="宋体" w:hAnsi="宋体" w:cs="宋体"/>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4082"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lang w:val="en-US" w:eastAsia="zh-CN"/>
              </w:rPr>
              <w:t xml:space="preserve">阜宁烈士</w:t>
            </w:r>
            <w:r>
              <w:rPr>
                <w:rFonts w:hint="eastAsia"/>
                <w:lang w:val="en-US" w:eastAsia="zh-CN"/>
              </w:rPr>
              <w:t xml:space="preserve">纪念馆-多媒体数字</w:t>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r>
      <w:tr>
        <w:trPr>
          <w:trHeight w:val="320"/>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center"/>
              <w:rPr>
                <w:rFonts w:hint="eastAsia" w:eastAsia="宋体"/>
                <w:lang w:val="en-US" w:eastAsia="zh-CN"/>
              </w:rPr>
            </w:pPr>
            <w:r>
              <w:rPr>
                <w:rFonts w:hint="eastAsia"/>
              </w:rPr>
              <w:t xml:space="preserve">（</w:t>
            </w:r>
            <w:r>
              <w:rPr>
                <w:rFonts w:hint="eastAsia"/>
                <w:lang w:val="en-US" w:eastAsia="zh-CN"/>
              </w:rPr>
              <w:t xml:space="preserve">六</w:t>
            </w:r>
            <w:r>
              <w:rPr>
                <w:rFonts w:hint="eastAsia"/>
              </w:rPr>
              <w:t xml:space="preserve">）</w:t>
            </w:r>
            <w:r/>
          </w:p>
        </w:tc>
        <w:tc>
          <w:tcPr>
            <w:tcBorders>
              <w:left w:val="single" w:color="auto" w:sz="4" w:space="0"/>
              <w:bottom w:val="single" w:color="auto" w:sz="4" w:space="0"/>
              <w:right w:val="single" w:color="auto" w:sz="4" w:space="0"/>
            </w:tcBorders>
            <w:tcW w:w="1932" w:type="dxa"/>
            <w:vAlign w:val="center"/>
            <w:vMerge w:val="continue"/>
            <w:textDirection w:val="lrTb"/>
            <w:noWrap w:val="false"/>
          </w:tcPr>
          <w:p>
            <w:pPr>
              <w:rPr>
                <w:rFonts w:hint="eastAsia" w:ascii="宋体" w:hAnsi="宋体" w:cs="宋体"/>
                <w:sz w:val="28"/>
                <w:szCs w:val="28"/>
              </w:rPr>
            </w:pPr>
            <w:r>
              <w:rPr>
                <w:rFonts w:hint="eastAsia" w:ascii="宋体" w:hAnsi="宋体" w:cs="宋体"/>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4082"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lang w:val="en-US" w:eastAsia="zh-CN"/>
              </w:rPr>
              <w:t xml:space="preserve">阜宁烈士纪念馆-装饰、安装</w:t>
            </w:r>
            <w:r>
              <w:rPr>
                <w:rFonts w:hint="eastAsia"/>
                <w:lang w:val="en-US" w:eastAsia="zh-CN"/>
              </w:rPr>
              <w:t xml:space="preserve">、消防</w:t>
            </w:r>
            <w:r/>
          </w:p>
        </w:tc>
        <w:tc>
          <w:tcPr>
            <w:shd w:val="clear" w:color="auto" w:fill="auto"/>
            <w:tcBorders>
              <w:top w:val="single" w:color="auto" w:sz="4" w:space="0"/>
              <w:left w:val="single" w:color="auto" w:sz="4" w:space="0"/>
              <w:bottom w:val="single" w:color="auto" w:sz="4" w:space="0"/>
              <w:right w:val="single" w:color="auto" w:sz="4" w:space="0"/>
            </w:tcBorders>
            <w:tcW w:w="2262" w:type="dxa"/>
            <w:vAlign w:val="center"/>
            <w:textDirection w:val="lrTb"/>
            <w:noWrap w:val="false"/>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tc>
      </w:tr>
    </w:tbl>
    <w:p>
      <w:pPr>
        <w:pStyle w:val="807"/>
        <w:numPr>
          <w:ilvl w:val="0"/>
          <w:numId w:val="0"/>
        </w:numPr>
        <w:ind w:firstLine="24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807"/>
        <w:numPr>
          <w:ilvl w:val="0"/>
          <w:numId w:val="0"/>
        </w:numPr>
        <w:ind w:firstLine="241"/>
        <w:rPr>
          <w:rFonts w:hint="eastAsia" w:eastAsia="宋体"/>
          <w:lang w:eastAsia="zh-CN"/>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分项服务</w:t>
      </w:r>
      <w:r>
        <w:rPr>
          <w:rFonts w:hint="eastAsia" w:ascii="宋体" w:hAnsi="宋体" w:eastAsia="宋体" w:cs="宋体"/>
          <w:b/>
          <w:bCs/>
          <w:color w:val="auto"/>
          <w:sz w:val="24"/>
          <w:szCs w:val="24"/>
          <w:highlight w:val="none"/>
          <w:lang w:val="en-US" w:eastAsia="zh-CN"/>
        </w:rPr>
        <w:t xml:space="preserve">报价明细：</w:t>
      </w:r>
      <w:r/>
    </w:p>
    <w:p>
      <w:pPr>
        <w:numPr>
          <w:ilvl w:val="0"/>
          <w:numId w:val="0"/>
        </w:numPr>
        <w:jc w:val="center"/>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（一）、阜宁烈士纪念馆-深化设计</w:t>
      </w:r>
      <w:r/>
    </w:p>
    <w:tbl>
      <w:tblPr>
        <w:tblStyle w:val="798"/>
        <w:tblW w:w="0" w:type="auto"/>
        <w:tblInd w:w="2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1344"/>
        <w:gridCol w:w="3445"/>
        <w:gridCol w:w="728"/>
        <w:gridCol w:w="847"/>
        <w:gridCol w:w="986"/>
        <w:gridCol w:w="987"/>
      </w:tblGrid>
      <w:tr>
        <w:trPr>
          <w:trHeight w:val="531"/>
        </w:trPr>
        <w:tc>
          <w:tcPr>
            <w:gridSpan w:val="7"/>
            <w:shd w:val="clear" w:color="auto" w:fill="daf2d1" w:themeFill="accent6" w:themeFillTint="32"/>
            <w:tcW w:w="89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SA"/>
              </w:rPr>
              <w:t xml:space="preserve">阜宁烈士纪念馆-深化设计</w:t>
            </w:r>
            <w:r/>
          </w:p>
        </w:tc>
      </w:tr>
      <w:tr>
        <w:trPr/>
        <w:tc>
          <w:tcPr>
            <w:shd w:val="clear" w:color="auto" w:fill="auto"/>
            <w:tcW w:w="5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W w:w="13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auto"/>
            <w:tcW w:w="34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auto"/>
            <w:tcW w:w="7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W w:w="8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W w:w="986"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W w:w="98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SA"/>
              </w:rPr>
              <w:t xml:space="preserve">合价（元）</w:t>
            </w:r>
            <w:r/>
          </w:p>
        </w:tc>
      </w:tr>
      <w:tr>
        <w:trPr/>
        <w:tc>
          <w:tcPr>
            <w:tcW w:w="566"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w:t>
            </w:r>
            <w:r/>
          </w:p>
        </w:tc>
        <w:tc>
          <w:tcPr>
            <w:tcW w:w="13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Times New Roman" w:hAnsi="Times New Roman" w:eastAsia="宋体" w:cs="Times New Roman"/>
                <w:lang w:val="en-US" w:eastAsia="zh-CN"/>
              </w:rPr>
              <w:t xml:space="preserve">阜宁烈士纪念馆-深化设计</w:t>
            </w:r>
            <w:r/>
          </w:p>
        </w:tc>
        <w:tc>
          <w:tcPr>
            <w:tcW w:w="3445" w:type="dxa"/>
            <w:vAlign w:val="center"/>
            <w:textDirection w:val="lrTb"/>
            <w:noWrap w:val="false"/>
          </w:tcPr>
          <w:p>
            <w:pPr>
              <w:ind w:firstLine="420"/>
              <w:jc w:val="left"/>
              <w:keepLines w:val="0"/>
              <w:keepNext w:val="0"/>
              <w:widowControl/>
              <w:rPr>
                <w:rFonts w:hint="eastAsia"/>
                <w:vertAlign w:val="baseline"/>
                <w:lang w:val="en-US" w:eastAsia="zh-CN"/>
              </w:rPr>
              <w:suppressLineNumbers w:val="0"/>
            </w:pPr>
            <w:r>
              <w:rPr>
                <w:rFonts w:hint="eastAsia"/>
              </w:rPr>
              <w:t xml:space="preserve">设计及实施范围：包含但不限于：内容单元的功能区域空间落实、空间总体风格设计、展陈布置深化、布展总体规划、流线组织、展项方案设计电气（含照明）、立体展陈、专业布展灯具、多媒体声光电等进行策划、设计、施工。多媒体专业的设计、施工、制作、采购 、安装、调试、预验收和竣工验收、结/决算、质量保修等一揽子交钥匙</w:t>
            </w:r>
            <w:r>
              <w:rPr>
                <w:rFonts w:hint="eastAsia"/>
                <w:lang w:eastAsia="zh-CN"/>
              </w:rPr>
              <w:t xml:space="preserve">。</w:t>
            </w:r>
            <w:r/>
          </w:p>
        </w:tc>
        <w:tc>
          <w:tcPr>
            <w:tcW w:w="72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4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986"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987"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bl>
    <w:p>
      <w:pPr>
        <w:numPr>
          <w:ilvl w:val="0"/>
          <w:numId w:val="0"/>
        </w:numPr>
        <w:jc w:val="center"/>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（二）、阜宁烈士纪念馆-空调采购、安装</w:t>
      </w:r>
      <w:r/>
    </w:p>
    <w:tbl>
      <w:tblPr>
        <w:tblStyle w:val="798"/>
        <w:tblW w:w="0" w:type="auto"/>
        <w:tblInd w:w="2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5"/>
        <w:gridCol w:w="1339"/>
        <w:gridCol w:w="3464"/>
        <w:gridCol w:w="727"/>
        <w:gridCol w:w="845"/>
        <w:gridCol w:w="981"/>
        <w:gridCol w:w="982"/>
      </w:tblGrid>
      <w:tr>
        <w:trPr>
          <w:trHeight w:val="531"/>
        </w:trPr>
        <w:tc>
          <w:tcPr>
            <w:gridSpan w:val="7"/>
            <w:shd w:val="clear" w:color="auto" w:fill="daf2d1" w:themeFill="accent6" w:themeFillTint="32"/>
            <w:tcW w:w="89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SA"/>
              </w:rPr>
              <w:t xml:space="preserve">阜宁烈士纪念馆-空调采购、安装</w:t>
            </w:r>
            <w:r/>
          </w:p>
        </w:tc>
      </w:tr>
      <w:tr>
        <w:trPr/>
        <w:tc>
          <w:tcPr>
            <w:shd w:val="clear" w:color="auto" w:fill="auto"/>
            <w:tcW w:w="5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W w:w="133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auto"/>
            <w:tcW w:w="34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auto"/>
            <w:tcW w:w="7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W w:w="8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W w:w="98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W w:w="9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SA"/>
              </w:rPr>
              <w:t xml:space="preserve">合价（元）</w:t>
            </w:r>
            <w:r/>
          </w:p>
        </w:tc>
      </w:tr>
      <w:tr>
        <w:trPr/>
        <w:tc>
          <w:tcPr>
            <w:tcW w:w="565"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w:t>
            </w:r>
            <w:r/>
          </w:p>
        </w:tc>
        <w:tc>
          <w:tcPr>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空调器</w:t>
            </w:r>
            <w:r/>
          </w:p>
        </w:tc>
        <w:tc>
          <w:tcPr>
            <w:tcW w:w="3464"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1、室内吸顶机，一拖一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2、含室内机及室外机安装</w:t>
            </w:r>
            <w:r/>
          </w:p>
        </w:tc>
        <w:tc>
          <w:tcPr>
            <w:tcW w:w="727"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8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981"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982"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铜管</w:t>
            </w:r>
            <w:r/>
          </w:p>
        </w:tc>
        <w:tc>
          <w:tcPr>
            <w:tcW w:w="3464"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Ф9.5/Ф15，含15mmB1级保温</w:t>
            </w:r>
            <w:r/>
          </w:p>
        </w:tc>
        <w:tc>
          <w:tcPr>
            <w:tcW w:w="727"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981"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982"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tcW w:w="3464"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DN25，含保温</w:t>
            </w:r>
            <w:r/>
          </w:p>
        </w:tc>
        <w:tc>
          <w:tcPr>
            <w:tcW w:w="727"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981"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982"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信号线</w:t>
            </w:r>
            <w:r/>
          </w:p>
        </w:tc>
        <w:tc>
          <w:tcPr>
            <w:tcW w:w="3464"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RVVP2*0.75</w:t>
            </w:r>
            <w:r/>
          </w:p>
        </w:tc>
        <w:tc>
          <w:tcPr>
            <w:tcW w:w="727"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981"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982"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tcW w:w="3464"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1、紧定式镀锌电线管(JDG管) 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2、明配</w:t>
            </w:r>
            <w:r/>
          </w:p>
        </w:tc>
        <w:tc>
          <w:tcPr>
            <w:tcW w:w="727"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981"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982"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133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空调系统调试</w:t>
            </w:r>
            <w:r/>
          </w:p>
        </w:tc>
        <w:tc>
          <w:tcPr>
            <w:tcW w:w="3464"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空调新建系统设备及管路检查，单机及联合试运行，风量温度调试，工况检测调试及验收</w:t>
            </w:r>
            <w:r/>
          </w:p>
        </w:tc>
        <w:tc>
          <w:tcPr>
            <w:tcW w:w="727"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981"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982"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bl>
    <w:p>
      <w:pPr>
        <w:numPr>
          <w:ilvl w:val="0"/>
          <w:numId w:val="0"/>
        </w:numPr>
        <w:jc w:val="both"/>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r>
      <w:r/>
    </w:p>
    <w:p>
      <w:pPr>
        <w:numPr>
          <w:ilvl w:val="0"/>
          <w:numId w:val="0"/>
        </w:numPr>
        <w:jc w:val="center"/>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（三）、阜宁烈士纪念馆-艺术展陈</w:t>
      </w:r>
      <w:r/>
    </w:p>
    <w:tbl>
      <w:tblPr>
        <w:tblStyle w:val="798"/>
        <w:tblW w:w="9200" w:type="dxa"/>
        <w:tblInd w:w="2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323"/>
        <w:gridCol w:w="3679"/>
        <w:gridCol w:w="727"/>
        <w:gridCol w:w="873"/>
        <w:gridCol w:w="1008"/>
        <w:gridCol w:w="1008"/>
      </w:tblGrid>
      <w:tr>
        <w:trPr>
          <w:trHeight w:val="531"/>
        </w:trPr>
        <w:tc>
          <w:tcPr>
            <w:gridSpan w:val="7"/>
            <w:shd w:val="clear" w:color="auto" w:fill="daf2d1" w:themeFill="accent6" w:themeFillTint="32"/>
            <w:tcW w:w="92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SA"/>
              </w:rPr>
              <w:t xml:space="preserve">阜宁烈士纪念馆-艺术展陈</w:t>
            </w:r>
            <w:r/>
          </w:p>
        </w:tc>
      </w:tr>
      <w:tr>
        <w:trPr/>
        <w:tc>
          <w:tcPr>
            <w:shd w:val="clear" w:color="auto" w:fill="auto"/>
            <w:tcW w:w="5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W w:w="13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auto"/>
            <w:tcW w:w="36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auto"/>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10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W w:w="100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SA"/>
              </w:rPr>
              <w:t xml:space="preserve">合价（元）</w:t>
            </w:r>
            <w:r/>
          </w:p>
        </w:tc>
      </w:tr>
      <w:tr>
        <w:trPr/>
        <w:tc>
          <w:tcPr>
            <w:tcW w:w="582" w:type="dxa"/>
            <w:vAlign w:val="center"/>
            <w:textDirection w:val="lrTb"/>
            <w:noWrap w:val="false"/>
          </w:tcPr>
          <w:p>
            <w:pPr>
              <w:jc w:val="center"/>
              <w:keepLines w:val="0"/>
              <w:keepNext w:val="0"/>
              <w:widowControl/>
              <w:rPr>
                <w:rFonts w:hint="default"/>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定制艺术烤漆地台</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1、定制艺术烤漆地台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3、基础骨架及基层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4、烤漆板面层，侧边烤漆包边，油漆三遍处理</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27.00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定制卧碑艺术造型装置</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1、定制卧碑艺术造型装置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3、基础骨架及基层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4、定制卧碑艺术造型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5、定制艺术斜面字，固定安装</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5.70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立体肌理艺术造面</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1、立体肌理艺术造面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3、工程量按外边矩形面积计算</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93.09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定制陈列展示柜</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1、定制陈列展示柜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3、基础骨架及基层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4、面层艺术处理，活动拼接安装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5、内置型材灯带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6、墙面叠级造型及部分硬包装饰</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20.55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定制烤漆服务台</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1、定制烤漆服务台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3、骨架基础及基层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4、定制烤漆面层，雕刻、打磨、高品质烤漆工艺</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2.70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微软雅黑" w:hAnsi="微软雅黑" w:eastAsia="微软雅黑" w:cs="微软雅黑"/>
                <w:i w:val="0"/>
                <w:iCs w:val="0"/>
                <w:color w:val="000000"/>
                <w:sz w:val="22"/>
                <w:szCs w:val="22"/>
                <w:u w:val="none"/>
                <w:lang w:val="en-US" w:eastAsia="zh-CN" w:bidi="ar"/>
              </w:rPr>
              <w:t xml:space="preserve">6</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定制一级标装置</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1、一级标艺术装置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3、骨架基础及基层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4、金属边框，侧边打磨处理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5、面层艺术处理</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7</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定制立体贺卡场景</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1、定制立体贺卡场景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3、金属烤漆边框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4、雕刻、打磨立体造型，叠级拼接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5、顶部灯光渲染</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8</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定制悬挑玻璃展柜</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1、定制悬挑玻璃展柜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3、骨架基础及基层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4、钢化玻璃，激光切割45°倒角，无痕拼接处理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5、手动液压开启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6、展柜积木</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3.00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9</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孙小宝、陈阿金烈士专题故事展项</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1、孙小宝、陈阿金烈士专题故事展项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3、定制顶面发光装置，烤漆包边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4、定制烤漆地台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5、人物剪影道具、场景氛围布置、立体金属字制作安装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6、基础隔墙另计</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17.85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定制木质烤漆展台</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1、定制木质烤漆展台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3、骨架基础及基层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4、定制烤漆面层，雕刻、打磨、烤漆工艺</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3.45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11</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定制烤漆地台</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1、定制烤漆地台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3、基础骨架及基层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4、烤漆板面层，侧边烤漆包边，油漆三遍处理</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5.38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12</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定制军火箱造型展示及氛围布置</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1、定制军火箱造型展示及氛围布置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3、尺寸：高450mm，宽600-800mm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4、基础骨架及基层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5、侧边白色烤漆造型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6、局部定制氛围道具布置</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13</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定制“全民抗日战争”大型场景还原</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1、定制“全民抗日战争”大型场景还原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3、墙面断垣残壁造景，面层做旧处理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4、地面氛围道具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5、多媒体硬件及内容另计</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48.30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14</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定制“抗美援朝、保家卫国”主题场景还原</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1、定制“抗美援朝、保家卫国”主题场景还原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3、定制艺术发光造型、墙面固定安装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4、定制烤漆地台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5、复古桌椅、枪支模型、军火箱模型等氛围道具布置</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19.32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15</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定制书本造型装置</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1、定制书本造型装置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3、专用纸张制作，有质感不易破损</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16</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定制木质烤漆展台</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1、定制烤漆展台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3、基础骨架及基层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4、烤漆板面层，面板内侧开缝口，活动拼接安装，油漆三遍处理</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6.52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17</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定制艺术星空顶</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1、定制艺术星空顶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3、星空顶专用装饰板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4、定制光纤灯人工排布安装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5、智能调光调色，沉浸式星空体验</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39.16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18</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英烈英名展示纪念墙</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1、英烈英名展示纪念墙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3、定制骨架基础，阻燃板基层，面层艺术处理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4、定制烤漆展示台辅助造型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5、定制精雕主题标识，墙面固定安装</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38.17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19</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定制入户牌匾</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1、定制入户牌匾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2、专业展览展示场景制作公司运输、布置、安装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3、木制牌匾，雕刻、打磨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4、油漆三遍处理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5、整体艺术上色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6、墙面固定件预埋</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008"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20</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展馆常规布展</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1、包括高密度艺术展板、不锈钢精品烤漆立体字、亚克力精品雕刻字、艺术画面、定制造型灯箱等制作安装</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380.00 </w:t>
            </w:r>
            <w:r/>
          </w:p>
        </w:tc>
        <w:tc>
          <w:tcPr>
            <w:tcW w:w="1008"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008"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r>
        <w:trPr/>
        <w:tc>
          <w:tcPr>
            <w:tcW w:w="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21</w:t>
            </w:r>
            <w:r/>
          </w:p>
        </w:tc>
        <w:tc>
          <w:tcPr>
            <w:tcW w:w="13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展陈专业灯光系统</w:t>
            </w:r>
            <w:r/>
          </w:p>
        </w:tc>
        <w:tc>
          <w:tcPr>
            <w:tcW w:w="367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1、按照展馆设计需求，利用光的艺术性和表现力，渲染展示的主题，包括重点照明、辅助照明、层次照明、立体照明等技术手段，保障展品和展面的展示效果而专业配置的光源及灯具产生的购置及安装费用</w:t>
            </w:r>
            <w:r/>
          </w:p>
        </w:tc>
        <w:tc>
          <w:tcPr>
            <w:tcW w:w="7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380.00 </w:t>
            </w:r>
            <w:r/>
          </w:p>
        </w:tc>
        <w:tc>
          <w:tcPr>
            <w:tcW w:w="1008"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1008"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bl>
    <w:p>
      <w:pPr>
        <w:numPr>
          <w:ilvl w:val="0"/>
          <w:numId w:val="0"/>
        </w:numPr>
        <w:jc w:val="both"/>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r>
      <w:r/>
    </w:p>
    <w:p>
      <w:pPr>
        <w:numPr>
          <w:ilvl w:val="0"/>
          <w:numId w:val="0"/>
        </w:numPr>
        <w:jc w:val="center"/>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（四）阜宁烈士纪念馆-多媒体硬件</w:t>
      </w:r>
      <w:r/>
    </w:p>
    <w:tbl>
      <w:tblPr>
        <w:tblStyle w:val="798"/>
        <w:tblW w:w="9172" w:type="dxa"/>
        <w:tblInd w:w="2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1411"/>
        <w:gridCol w:w="3600"/>
        <w:gridCol w:w="700"/>
        <w:gridCol w:w="900"/>
        <w:gridCol w:w="985"/>
        <w:gridCol w:w="985"/>
      </w:tblGrid>
      <w:tr>
        <w:trPr>
          <w:trHeight w:val="531"/>
        </w:trPr>
        <w:tc>
          <w:tcPr>
            <w:gridSpan w:val="7"/>
            <w:shd w:val="clear" w:color="auto" w:fill="daf2d1" w:themeFill="accent6" w:themeFillTint="32"/>
            <w:tcW w:w="91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SA"/>
              </w:rPr>
              <w:t xml:space="preserve">阜宁烈士纪念馆-多媒体硬件</w:t>
            </w:r>
            <w:r/>
          </w:p>
        </w:tc>
      </w:tr>
      <w:tr>
        <w:trPr/>
        <w:tc>
          <w:tcPr>
            <w:shd w:val="clear" w:color="auto" w:fill="auto"/>
            <w:tcW w:w="5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W w:w="14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auto"/>
            <w:tcW w:w="36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auto"/>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W w:w="9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W w:w="9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SA"/>
              </w:rPr>
              <w:t xml:space="preserve">合价（元）</w:t>
            </w:r>
            <w:r/>
          </w:p>
        </w:tc>
      </w:tr>
      <w:tr>
        <w:trPr/>
        <w:tc>
          <w:tcPr>
            <w:tcW w:w="5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LED成像显示设备（P2）</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像素结构:表贴三合一LED;像素间距（mm）:2;LED规格: SMD1515;显示分辨率（dots）:160×80:模组尺寸（mm）:320（L）×160（H）×12.5（T）;模组重量：407g；单板电流（A/Pcs）:7.5±0.1;模组功耗（W/Pcs）:≤37.5;像素密度（pixels/m2）: 250000;平整度（mm）: ≤0.2; 像素中心距相对偏差：1.5%；白平衡亮度：800-1400cd/㎡（可调）； 水平视角：170︒； 垂直视角：170︒； 对比度：</w:t>
            </w:r>
            <w:r>
              <w:rPr>
                <w:rFonts w:hint="eastAsia" w:ascii="宋体" w:hAnsi="宋体" w:eastAsia="宋体" w:cs="宋体"/>
                <w:i w:val="0"/>
                <w:iCs w:val="0"/>
                <w:color w:val="000000"/>
                <w:sz w:val="21"/>
                <w:szCs w:val="21"/>
                <w:u w:val="none"/>
                <w:lang w:val="en-US" w:eastAsia="zh-CN" w:bidi="ar"/>
              </w:rPr>
              <w:t xml:space="preserve">≥3000：1 亮度/色度；校正：支持；驱动方式：恒流驱动；换帧频率：60Hz； 刷新频率：P2≥3840Hz；灰度等级：14Bit；亮度为20%时信号处理深度达到14bit，亮度为40%时信号处理深度达到16bit；像素失控点：1/100000,无连续失控点；亮度调节范围：自动/手动：1-100%，亮度可随环境亮度的变化自动调节；色温：2000K-18000K可调； 节能功能：黑屏模式下节能43%；LED使用寿命：100000H；防护等级：符合IP5X；维护方式：前维护/后维护；工程量按外边矩形面积计算。</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9.50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LED视频二合一处理器</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信号处理器背景LED与墙面LED需点对点；支持EDID配置管理：无需外接电脑，直接在设备上更改EDID，自定义输入分辨率；可通过LCD面板查看当前设备图层数量、接入信号状态、拼接方式、屏幕参数、输出分辨率、帧率等信息。可对整屏输出画面进行亮度、对比度调节。</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 专用钢结构</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定制显示屏安装框架结构及装饰</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9.50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高性能图形工作站</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Intel I5-12600KF，主板 ：Z790，内存：金仕顿16G，硬盘：致态500G,显卡：M4000，长城电源：650W电源</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同轴喇叭，同磁钢双回路技术，高音和低音声音同步，无时间差，声音清晰，声场分布均匀；涂层网罩提供卓越的防风雨性能；推进式音箱接线端子，便于安装；</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功放</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音量四分区调节，两路话筒插口；支持安卓手机蓝牙APP操作；采用蓝牙4.2芯片；支持USB接口；支持语音提示音；支持遥控器功能</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物理感应互动装置</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定制化研发支持物理手动控制模块，二次研发</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restart"/>
            <w:textDirection w:val="lrTb"/>
            <w:noWrap w:val="false"/>
          </w:tcPr>
          <w:p>
            <w:pPr>
              <w:jc w:val="center"/>
              <w:keepLines w:val="0"/>
              <w:keepNext w:val="0"/>
              <w:widowControl/>
              <w:rPr>
                <w:rFonts w:hint="default"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w:t>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红外智能触控交互设备（55寸）</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尺寸：55inch；分辨率:1920*1080；显示面积:1213.1(H)*683.2(V)MM ；显示比例:16:9；亮度:350cd/C㎡对比度:1400：1；可视角度:178°(V)/178°(H) （典型）；使用寿命:60000(hrs)；机身尺寸:1268.6*739.4**102.7MM（长*宽*厚度）；外壳材料:铝型材、钣金、钢化玻璃；主机配置：CPU I5； 内存：8G；硬盘：128G；操作：Windows10 ；触摸技术：红外触摸；书写方式：手指、触摸笔；理论点击次数：6亿次以上</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互动查询软件许可证</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单屏许可证，操作标准功能包包含：滑页展示、转场动态特效、视频播放、海报、LOGO重点展示。对触控模块每个收发单位进行毫秒级光线轮播查询、数据反馈、实现准确的前端程序与硬件操作的定位交互。</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显示终端安装支架</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材质：SPCC 强化钢板；工艺：锻压；颜色：黑色；表面处理：喷塑喷漆；上下左右连续可调。</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w:t>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红外智能触控交互设备（86寸）</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尺寸：86inch；分辨率:3840×2160；显示面积:1911 (H) x 1072(V)；显示比例:16:9；亮度:450cd/C㎡；对比度:5000：1；采样率：≥60Hz；响应速度：点击：8ms 连续：3ms定位精度：≤±2mm；可视角度:178°(V)/178°(H) （典型）；使用寿命:60000(hrs)；外壳材料:铝型材、钣金、钢化玻璃;主机配置：CPU I5； 内存：8G；硬盘：128G；操作：Windows10;红外触摸；书写方式：手指、触摸笔；理论点击次数：6亿次以上</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互动查询软件许可证</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单屏许可证，操作标准功能包包含：滑页展示、转场动态特效、视频播放、海报、LOGO重点展示。对触控模块每个收发单位进行毫秒级光线轮播查询、数据反馈、实现准确的前端程序与硬件操作的定位交互。</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显示终端安装支架</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材质：SPCC 强化钢板；工艺：锻压；颜色：黑色；表面处理：喷塑喷漆；上下左右连续可调。</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w:t>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LED成像显示设备（P2）</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像素结构:表贴三合一LED;像素间距（mm）:2;LED规格: SMD1515;显示分辨率（dots）:160×80:模组尺寸（mm）:320（L）×160（H）×12.5（T）;模组重量：407g；单板电流（A/Pcs）:7.5±0.1;模组功耗（W/Pcs）:≤37.5;像素密度（pixels/m2）: 250000;平整度（mm）: ≤0.2; 像素中心距相对偏差：1.5%；白平衡亮度：800-1400cd/㎡（可调）； 水平视角：170︒； 垂直视角：170︒； 对比度：</w:t>
            </w:r>
            <w:r>
              <w:rPr>
                <w:rFonts w:hint="eastAsia" w:ascii="宋体" w:hAnsi="宋体" w:eastAsia="宋体" w:cs="宋体"/>
                <w:i w:val="0"/>
                <w:iCs w:val="0"/>
                <w:color w:val="000000"/>
                <w:sz w:val="21"/>
                <w:szCs w:val="21"/>
                <w:u w:val="none"/>
                <w:lang w:val="en-US" w:eastAsia="zh-CN" w:bidi="ar"/>
              </w:rPr>
              <w:t xml:space="preserve">≥3000：1 亮度/色度；校正：支持；驱动方式：恒流驱动；换帧频率：60Hz； 刷新频率：P2≥3840Hz；灰度等级：14Bit；亮度为20%时信号处理深度达到14bit，亮度为40%时信号处理深度达到16bit；像素失控点：1/100000,无连续失控点；亮度调节范围：自动/手动：1-100%，亮度可随环境亮度的变化自动调节；色温：2000K-18000K可调； 节能功能：黑屏模式下节能43%；LED使用寿命：100000H；防护等级：符合IP5X；维护方式：前维护/后维护；工程量按外边矩形面积计算。</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LED视频二合一处理器</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信号处理器背景LED与墙面LED需点对点；支持EDID配置管理：无需外接电脑，直接在设备上更改EDID，自定义输入分辨率；可通过LCD面板查看当前设备图层数量、接入信号状态、拼接方式、屏幕参数、输出分辨率、帧率等信息。可对整屏输出画面进行亮度、对比度调节。</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 专用钢结构</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定制显示屏安装框架结构及装饰</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高性能图形工作站</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Intel I5-12600KF，主板 ：Z790，内存：金仕顿16G，硬盘：致态500G,显卡：M4000，长城电源：650W电源</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同轴喇叭，同磁钢双回路技术，高音和低音声音同步，无时间差，声音清晰，声场分布均匀；涂层网罩提供卓越的防风雨性能；推进式音箱接线端子，便于安装；</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功放</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音量四分区调节，两路话筒插口；支持安卓手机蓝牙APP操作；采用蓝牙4.2芯片；支持USB接口；支持语音提示音；支持遥控器功能</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定制造型触控装置</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根据屏幕尺寸定制造型装置，触控交互操作，设备集成结构及安装辅件;二次研发</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w:t>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弱电综合布线系统</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基础弱电的主材、人工、安装、辅料等内容；弱电工程配线 、连接件 、辅材、施工等。</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定制机柜（600*800*2000mm）</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600*800*2000mm、10A排插2个、散热风扇2组</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c>
          <w:tcPr>
            <w:tcW w:w="98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交换机（12口）</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12口千兆交换机</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985"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r>
        <w:trPr/>
        <w:tc>
          <w:tcPr>
            <w:tcW w:w="59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4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定制开发设备开关机模组</w:t>
            </w:r>
            <w:r/>
          </w:p>
        </w:tc>
        <w:tc>
          <w:tcPr>
            <w:tcW w:w="36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实现多媒体设备开关机接口的外置、扩展，方便展厅进行开关机管理；</w:t>
            </w:r>
            <w:r/>
          </w:p>
        </w:tc>
        <w:tc>
          <w:tcPr>
            <w:tcW w:w="7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9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85"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c>
          <w:tcPr>
            <w:tcW w:w="985" w:type="dxa"/>
            <w:vAlign w:val="center"/>
            <w:textDirection w:val="lrTb"/>
            <w:noWrap w:val="false"/>
          </w:tcPr>
          <w:p>
            <w:pPr>
              <w:jc w:val="center"/>
              <w:rPr>
                <w:rFonts w:hint="eastAsia"/>
                <w:vertAlign w:val="baseline"/>
                <w:lang w:val="en-US" w:eastAsia="zh-CN"/>
              </w:rPr>
            </w:pPr>
            <w:r>
              <w:rPr>
                <w:rFonts w:hint="eastAsia"/>
                <w:vertAlign w:val="baseline"/>
                <w:lang w:val="en-US" w:eastAsia="zh-CN"/>
              </w:rPr>
            </w:r>
            <w:r/>
          </w:p>
        </w:tc>
      </w:tr>
    </w:tbl>
    <w:p>
      <w:pPr>
        <w:pStyle w:val="808"/>
        <w:numPr>
          <w:ilvl w:val="0"/>
          <w:numId w:val="0"/>
        </w:numPr>
        <w:rPr>
          <w:rFonts w:hint="default"/>
          <w:lang w:val="en-US" w:eastAsia="zh-CN"/>
        </w:rPr>
      </w:pPr>
      <w:r>
        <w:rPr>
          <w:rFonts w:hint="default"/>
          <w:lang w:val="en-US" w:eastAsia="zh-CN"/>
        </w:rPr>
      </w:r>
      <w:r/>
    </w:p>
    <w:p>
      <w:pPr>
        <w:numPr>
          <w:ilvl w:val="0"/>
          <w:numId w:val="0"/>
        </w:numPr>
        <w:jc w:val="center"/>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（五）、阜宁烈士纪念馆-多媒体数字</w:t>
      </w:r>
      <w:r/>
    </w:p>
    <w:tbl>
      <w:tblPr>
        <w:tblStyle w:val="798"/>
        <w:tblW w:w="0" w:type="auto"/>
        <w:tblInd w:w="2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
        <w:gridCol w:w="1328"/>
        <w:gridCol w:w="3446"/>
        <w:gridCol w:w="635"/>
        <w:gridCol w:w="972"/>
        <w:gridCol w:w="965"/>
        <w:gridCol w:w="965"/>
      </w:tblGrid>
      <w:tr>
        <w:trPr>
          <w:trHeight w:val="531"/>
        </w:trPr>
        <w:tc>
          <w:tcPr>
            <w:gridSpan w:val="7"/>
            <w:shd w:val="clear" w:color="auto" w:fill="daf2d1" w:themeFill="accent6" w:themeFillTint="32"/>
            <w:tcW w:w="89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4"/>
                <w:szCs w:val="24"/>
                <w:u w:val="none"/>
                <w:lang w:val="en-US" w:eastAsia="zh-CN" w:bidi="ar-SA"/>
              </w:rPr>
              <w:t xml:space="preserve">阜宁烈士纪念馆-多媒体数字</w:t>
            </w:r>
            <w:r/>
          </w:p>
        </w:tc>
      </w:tr>
      <w:tr>
        <w:trPr/>
        <w:tc>
          <w:tcPr>
            <w:shd w:val="clear" w:color="auto" w:fill="auto"/>
            <w:tcW w:w="6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W w:w="13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auto"/>
            <w:tcW w:w="34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auto"/>
            <w:tcW w:w="6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W w:w="9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W w:w="9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W w:w="9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SA"/>
              </w:rPr>
              <w:t xml:space="preserve">合价（元）</w:t>
            </w:r>
            <w:r/>
          </w:p>
        </w:tc>
      </w:tr>
      <w:tr>
        <w:trPr/>
        <w:tc>
          <w:tcPr>
            <w:tcW w:w="610" w:type="dxa"/>
            <w:vAlign w:val="center"/>
            <w:vMerge w:val="restart"/>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w:t>
            </w:r>
            <w:r/>
          </w:p>
        </w:tc>
        <w:tc>
          <w:tcPr>
            <w:tcW w:w="13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LED影片播放程序</w:t>
            </w:r>
            <w:r/>
          </w:p>
        </w:tc>
        <w:tc>
          <w:tcPr>
            <w:tcW w:w="344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1.超高清大屏播放器：通过超高清图形编码、动态同步显示技术，实现LED的长屏或异性屏的超高分辨率影片播放程序。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2.全屏视频播放功能：在无人操作或手动选择播放时，播放适应全屏的视频。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3.后台数据更新程序：在线维护所有后台数据，包括内容的增加、修改、删除等。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4.中控点播与切换功能：后台中控点播视频和切换图片。</w:t>
            </w:r>
            <w:r/>
          </w:p>
        </w:tc>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65"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965"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610" w:type="dxa"/>
            <w:vAlign w:val="center"/>
            <w:vMerge w:val="continue"/>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3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大型综合影片</w:t>
            </w:r>
            <w:r/>
          </w:p>
        </w:tc>
        <w:tc>
          <w:tcPr>
            <w:tcW w:w="344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1、通过混合三维建模渲染、绘画创作、特效动画、影视拍摄与合成技术与一体方式制作影片</w:t>
            </w:r>
            <w:r/>
          </w:p>
        </w:tc>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秒</w:t>
            </w:r>
            <w:r/>
          </w:p>
        </w:tc>
        <w:tc>
          <w:tcPr>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120.00 </w:t>
            </w:r>
            <w:r/>
          </w:p>
        </w:tc>
        <w:tc>
          <w:tcPr>
            <w:tcW w:w="965"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965"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61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3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触控查询程序</w:t>
            </w:r>
            <w:r/>
          </w:p>
        </w:tc>
        <w:tc>
          <w:tcPr>
            <w:tcW w:w="344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1.触控互动功能：通过点击或手势切换页面、进行图文信息展示。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2.动态图片展示：无人操作或手动选择时，显示适应全屏的动态图片。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3.动态文本展示：显示详细文字介绍。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4.界面切换特效：画面切换时会有各种动态特效展示。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5.全屏待机图片播放：待机时显示适应全屏的海报。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6.全屏视频播放功能：在无人操作或手动选择播放时，播放适应全屏的视频。</w:t>
            </w:r>
            <w:r/>
          </w:p>
        </w:tc>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65"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965"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61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3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触控查询程序</w:t>
            </w:r>
            <w:r/>
          </w:p>
        </w:tc>
        <w:tc>
          <w:tcPr>
            <w:tcW w:w="344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1.触控互动功能：通过点击或手势切换页面、进行图文信息展示。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2.动态图片展示：无人操作或手动选择时，显示适应全屏的动态图片。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3.动态文本展示：显示详细文字介绍。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4.界面切换特效：画面切换时会有各种动态特效展示。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5.全屏待机图片播放：待机时显示适应全屏的海报。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6.全屏视频播放功能：在无人操作或手动选择播放时，播放适应全屏的视频。</w:t>
            </w:r>
            <w:r/>
          </w:p>
        </w:tc>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65"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965"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610"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3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多屏互动程序</w:t>
            </w:r>
            <w:r/>
          </w:p>
        </w:tc>
        <w:tc>
          <w:tcPr>
            <w:tcW w:w="344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1.大屏动态图片展示：无人操作或手动选择时，显示适应全屏的动态图片。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2.大屏动态文本展示：无人操作或手动选择时，显示相应动态文本。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3.大屏视频播放功能：在无人操作或手动选择播放时，播放适应全屏的视频。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4.全屏动态海报：无人操作或手动选择时，显示适应全屏的动态海报。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5.界面切换特效：画面切换时会有各种动态特效展示。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6.触控互动功能：通过点击与手势切换页面、进行图文信息展示。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7.多屏联动展示功能：通过联动通讯，实现分离的双屏联动展示的互动程序。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8.后台数据更新程序：在线维护所有后台数据，包括内容的增加、修改、删除等。</w:t>
            </w:r>
            <w:r/>
          </w:p>
        </w:tc>
        <w:tc>
          <w:tcPr>
            <w:tcW w:w="6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9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 </w:t>
            </w:r>
            <w:r/>
          </w:p>
        </w:tc>
        <w:tc>
          <w:tcPr>
            <w:tcW w:w="965"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965"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bl>
    <w:p>
      <w:pPr>
        <w:jc w:val="center"/>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r>
      <w:r/>
    </w:p>
    <w:p>
      <w:pPr>
        <w:jc w:val="center"/>
        <w:spacing w:line="240"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（六）、阜宁烈士纪念馆-装饰、安装、消防</w:t>
      </w:r>
      <w:r/>
    </w:p>
    <w:tbl>
      <w:tblPr>
        <w:tblStyle w:val="798"/>
        <w:tblW w:w="9173" w:type="dxa"/>
        <w:tblInd w:w="2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4"/>
        <w:gridCol w:w="1401"/>
        <w:gridCol w:w="3591"/>
        <w:gridCol w:w="765"/>
        <w:gridCol w:w="853"/>
        <w:gridCol w:w="999"/>
        <w:gridCol w:w="1000"/>
      </w:tblGrid>
      <w:tr>
        <w:trPr>
          <w:trHeight w:val="531"/>
        </w:trPr>
        <w:tc>
          <w:tcPr>
            <w:gridSpan w:val="7"/>
            <w:shd w:val="clear" w:color="auto" w:fill="daf2d1" w:themeFill="accent6" w:themeFillTint="32"/>
            <w:tcW w:w="9173" w:type="dxa"/>
            <w:vAlign w:val="center"/>
            <w:textDirection w:val="lrTb"/>
            <w:noWrap w:val="false"/>
          </w:tcPr>
          <w:p>
            <w:pPr>
              <w:jc w:val="center"/>
              <w:spacing w:line="240" w:lineRule="auto"/>
              <w:rPr>
                <w:rFonts w:hint="eastAsia" w:ascii="宋体" w:hAnsi="宋体" w:eastAsia="宋体" w:cs="宋体"/>
                <w:b/>
                <w:bCs/>
                <w:i w:val="0"/>
                <w:iCs w:val="0"/>
                <w:color w:val="000000"/>
                <w:sz w:val="20"/>
                <w:szCs w:val="20"/>
                <w:u w:val="none"/>
                <w:lang w:val="en-US" w:eastAsia="zh-CN" w:bidi="ar-SA"/>
              </w:rPr>
            </w:pPr>
            <w:r>
              <w:rPr>
                <w:rFonts w:hint="eastAsia" w:ascii="宋体" w:hAnsi="宋体" w:eastAsia="宋体" w:cs="宋体"/>
                <w:b/>
                <w:bCs/>
                <w:i w:val="0"/>
                <w:iCs w:val="0"/>
                <w:color w:val="000000"/>
                <w:sz w:val="24"/>
                <w:szCs w:val="24"/>
                <w:u w:val="none"/>
                <w:lang w:val="en-US" w:eastAsia="zh-CN" w:bidi="ar-SA"/>
              </w:rPr>
              <w:t xml:space="preserve">阜宁烈士纪念馆-装饰</w:t>
            </w:r>
            <w:r/>
          </w:p>
        </w:tc>
      </w:tr>
      <w:tr>
        <w:trPr/>
        <w:tc>
          <w:tcPr>
            <w:shd w:val="clear" w:color="auto" w:fill="auto"/>
            <w:tcW w:w="5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W w:w="140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auto"/>
            <w:tcW w:w="35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W w:w="8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W w:w="9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SA"/>
              </w:rPr>
              <w:t xml:space="preserve">合价（元）</w:t>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w:t>
            </w:r>
            <w:r/>
          </w:p>
        </w:tc>
        <w:tc>
          <w:tcPr>
            <w:tcW w:w="1401"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展馆拆除工程</w:t>
            </w:r>
            <w:r/>
          </w:p>
        </w:tc>
        <w:tc>
          <w:tcPr>
            <w:tcW w:w="3591" w:type="dxa"/>
            <w:vAlign w:val="center"/>
            <w:textDirection w:val="lrTb"/>
            <w:noWrap w:val="false"/>
          </w:tcPr>
          <w:p>
            <w:pPr>
              <w:jc w:val="left"/>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拆除本装修工程图纸涉及的原有楼地面（含结合层）、门槛处凿除、各类隔墙及墙面饰面、天棚吊顶（含龙骨、吊筋及预埋铁件）及天棚粉刷、原有安装管线、、灯具、开关、插座等图纸范围内要求拆除的所有内容，可重新利用材料现场集中堆放，不可利用材料及垃圾袋装下料集中堆放外运处理；</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地胶地面</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1、2mm厚自流平找平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2、2mm厚地胶</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326.7</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防静电活动地板</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1、600*600钢制防静电地板，专用钢制骨架，可调节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2、成品L型铝型材压条</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14.69</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轻钢龙骨隔墙</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75系列轻钢龙骨隔墙</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535.73</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钢骨架隔墙</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镀锌钢架，焊接处刷防锈漆，后置埋板，各类连接件，螺栓等所有主辅材制作、安装、防锈等所有工作内容</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0.48</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墙面阻燃板基层</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1、单面单层12mm厚阻燃板基层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2、展开面积计算</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77.52</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墙面石膏板面层</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1、单面单层12mm厚纸面石膏板面层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2、墙面板缝贴自粘胶带、板面钉眼封点防锈漆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3、展开面积计算</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563.09</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墙面无机涂料</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1、满刮腻子、刷无机涂料各三遍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2、展开面积计算</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208.61</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墙面基膜</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满刮腻子三遍，批刷基膜</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510.04</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金属踢脚线</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成品金属踢脚线</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97.23</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jc w:val="center"/>
              <w:keepLines w:val="0"/>
              <w:keepNext w:val="0"/>
              <w:widowControl/>
              <w:rPr>
                <w:rFonts w:hint="default"/>
                <w:vertAlign w:val="baseline"/>
                <w:lang w:val="en-US" w:eastAsia="zh-CN"/>
              </w:rPr>
              <w:suppressLineNumbers w:val="0"/>
            </w:pPr>
            <w:r>
              <w:rPr>
                <w:rFonts w:hint="eastAsia"/>
                <w:vertAlign w:val="baseline"/>
                <w:lang w:val="en-US" w:eastAsia="zh-CN"/>
              </w:rPr>
              <w:t xml:space="preserve">11</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墙面凸出造型基层</w:t>
            </w:r>
            <w:r/>
          </w:p>
        </w:tc>
        <w:tc>
          <w:tcPr>
            <w:tcW w:w="3591" w:type="dxa"/>
            <w:vAlign w:val="center"/>
            <w:textDirection w:val="lrTb"/>
            <w:noWrap w:val="false"/>
          </w:tcPr>
          <w:p>
            <w:pPr>
              <w:jc w:val="both"/>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木龙骨基层，防火涂料三遍</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77.52</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12</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石膏板吊顶</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1、Φ8镀锌全丝杆吊筋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2、50系列轻钢龙骨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3、双层9.5mm厚纸面石膏板面层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4、墙面板缝贴自粘胶带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5、板面钉眼封点防锈漆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6、满刮腻子、刷白色无机涂料各三遍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7、投影面积计算 局部复杂吊顶</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92.2</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13</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铝方通吊顶</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1、Φ8镀锌全丝杆吊筋 H=750mm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2、铝方通专用龙骨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3、铝方通吊顶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4、投影面积计算</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193.14</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14</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原顶喷漆</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1、原顶喷漆，综合考虑梁面、局部墙面及管道面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2、投影面积计算</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193.14</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15</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矿棉板吊顶</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1、Φ8镀锌全丝杆吊筋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2、50系列热镀锌轻钢龙骨@600*600简单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3、600*600mm矿棉板吊顶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4、投影面积计算</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14.69</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16</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回光灯槽</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1、单面单层9mm厚阻燃板基层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2、9.5mm厚纸面石膏板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3、墙面板缝贴自粘胶带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4、板面钉眼封点防锈漆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5、满刮腻子、刷白色无机涂料各三遍</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27.79</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17</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灯带（槽）</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顶面型材灯带</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27.35</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18</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暗门</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新建单开暗门制作安装，含不锈钢铰链3只，暗门锁1只等五金配件，面层材质同墙面，材质另计</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19</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屏幕包边</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1.2mm厚黑钛金不锈钢屏幕包边，展开宽80mm，折边均采用背切工艺</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30.34</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20</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窗户贴膜</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窗户贴膜</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61.56</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c>
          <w:tcPr>
            <w:tcW w:w="564" w:type="dxa"/>
            <w:vAlign w:val="center"/>
            <w:textDirection w:val="lrTb"/>
            <w:noWrap w:val="false"/>
          </w:tcPr>
          <w:p>
            <w:pPr>
              <w:pStyle w:val="808"/>
              <w:jc w:val="center"/>
              <w:rPr>
                <w:rFonts w:hint="default"/>
                <w:vertAlign w:val="baseline"/>
                <w:lang w:val="en-US" w:eastAsia="zh-CN"/>
              </w:rPr>
            </w:pPr>
            <w:r>
              <w:rPr>
                <w:rFonts w:hint="eastAsia"/>
                <w:vertAlign w:val="baseline"/>
                <w:lang w:val="en-US" w:eastAsia="zh-CN"/>
              </w:rPr>
              <w:t xml:space="preserve">21</w:t>
            </w:r>
            <w:r/>
          </w:p>
        </w:tc>
        <w:tc>
          <w:tcPr>
            <w:tcW w:w="1401"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综合脚手架</w:t>
            </w:r>
            <w:r/>
          </w:p>
        </w:tc>
        <w:tc>
          <w:tcPr>
            <w:tcW w:w="3591"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室内装修脚手架，吊顶高5m以下</w:t>
            </w:r>
            <w:r/>
          </w:p>
        </w:tc>
        <w:tc>
          <w:tcPr>
            <w:tcW w:w="765"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tcW w:w="853" w:type="dxa"/>
            <w:vAlign w:val="center"/>
            <w:textDirection w:val="lrTb"/>
            <w:noWrap w:val="false"/>
          </w:tcPr>
          <w:p>
            <w:pPr>
              <w:jc w:val="center"/>
              <w:keepLines w:val="0"/>
              <w:keepNext w:val="0"/>
              <w:widowControl/>
              <w:rPr>
                <w:rFonts w:hint="eastAsia"/>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tcW w:w="999"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c>
          <w:tcPr>
            <w:tcW w:w="1000" w:type="dxa"/>
            <w:vAlign w:val="center"/>
            <w:textDirection w:val="lrTb"/>
            <w:noWrap w:val="false"/>
          </w:tcPr>
          <w:p>
            <w:pPr>
              <w:pStyle w:val="808"/>
              <w:jc w:val="center"/>
              <w:rPr>
                <w:rFonts w:hint="eastAsia"/>
                <w:vertAlign w:val="baseline"/>
                <w:lang w:val="en-US" w:eastAsia="zh-CN"/>
              </w:rPr>
            </w:pPr>
            <w:r>
              <w:rPr>
                <w:rFonts w:hint="eastAsia"/>
                <w:vertAlign w:val="baseline"/>
                <w:lang w:val="en-US" w:eastAsia="zh-CN"/>
              </w:rPr>
            </w:r>
            <w:r/>
          </w:p>
        </w:tc>
      </w:tr>
      <w:tr>
        <w:trPr>
          <w:trHeight w:val="448"/>
        </w:trPr>
        <w:tc>
          <w:tcPr>
            <w:gridSpan w:val="7"/>
            <w:shd w:val="clear" w:color="auto" w:fill="daf2d1" w:themeFill="accent6" w:themeFillTint="32"/>
            <w:tcW w:w="9173" w:type="dxa"/>
            <w:vAlign w:val="center"/>
            <w:textDirection w:val="lrTb"/>
            <w:noWrap w:val="false"/>
          </w:tcPr>
          <w:p>
            <w:pPr>
              <w:pStyle w:val="808"/>
              <w:jc w:val="center"/>
              <w:rPr>
                <w:rFonts w:hint="default"/>
                <w:vertAlign w:val="baseline"/>
                <w:lang w:val="en-US" w:eastAsia="zh-CN"/>
              </w:rPr>
            </w:pPr>
            <w:r>
              <w:rPr>
                <w:rFonts w:hint="eastAsia" w:ascii="宋体" w:hAnsi="宋体" w:eastAsia="宋体" w:cs="宋体"/>
                <w:b/>
                <w:bCs/>
                <w:i w:val="0"/>
                <w:iCs w:val="0"/>
                <w:color w:val="000000"/>
                <w:sz w:val="24"/>
                <w:szCs w:val="24"/>
                <w:u w:val="none"/>
                <w:lang w:val="en-US" w:eastAsia="zh-CN" w:bidi="ar-SA"/>
              </w:rPr>
              <w:t xml:space="preserve">阜宁烈士纪念馆-安装</w:t>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tcW w:w="35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tcW w:w="999"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tcW w:w="1000"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b/>
                <w:bCs/>
                <w:i w:val="0"/>
                <w:iCs w:val="0"/>
                <w:color w:val="000000"/>
                <w:sz w:val="20"/>
                <w:szCs w:val="20"/>
                <w:u w:val="none"/>
                <w:lang w:val="en-US" w:eastAsia="zh-CN" w:bidi="ar-SA"/>
              </w:rPr>
              <w:t xml:space="preserve">合价（元）</w:t>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照明配电箱AL，端子板接线，嵌墙暗装</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2</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配电箱</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落地式配电柜AP，明装；10#槽钢基础制作安装</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3</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配紧定式镀锌电线管 JDG20*1.6mm</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412.71</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4</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配紧定式镀锌电线管 JDG32*1.6mm</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38.39</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5</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焊接钢管SC32，明配</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157.86</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6</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焊接钢管SC50，明配</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30.75</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7</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管内穿线 照明线路 WDZ-BYJ-2.5mm2以内 铜芯</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1136.87</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8</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电力电缆WDZ-YJY-4*6+PE6</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179.7</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9</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电力电缆WDZ-YJY-4*6+E6</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47.3</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10</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电力电缆</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电力电缆WDZB-YJY-4*50+E25</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33.01</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11</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照明开关</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单联单控开关暗装</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12</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照明开关</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双联单控开关暗装</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13</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照明开关</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三联单控开关暗装</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14</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单相二、三级暗插座</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15</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嵌入式筒灯</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16</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格栅射灯</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17</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600*600LED平板灯</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 xml:space="preserve">18</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接线盒</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86型镀锌接线盒</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rHeight w:val="354"/>
        </w:trPr>
        <w:tc>
          <w:tcPr>
            <w:gridSpan w:val="7"/>
            <w:shd w:val="clear" w:color="auto" w:fill="daf2d1" w:themeFill="accent6" w:themeFillTint="32"/>
            <w:tcW w:w="9173" w:type="dxa"/>
            <w:vAlign w:val="center"/>
            <w:textDirection w:val="lrTb"/>
            <w:noWrap w:val="false"/>
          </w:tcPr>
          <w:p>
            <w:pPr>
              <w:jc w:val="center"/>
              <w:spacing w:line="240" w:lineRule="auto"/>
              <w:rPr>
                <w:rFonts w:hint="default" w:ascii="Times New Roman" w:hAnsi="Times New Roman" w:eastAsia="宋体" w:cs="Times New Roman"/>
                <w:vertAlign w:val="baseline"/>
                <w:lang w:val="en-US" w:eastAsia="zh-CN"/>
              </w:rPr>
            </w:pPr>
            <w:r>
              <w:rPr>
                <w:rFonts w:hint="eastAsia" w:ascii="宋体" w:hAnsi="宋体" w:eastAsia="宋体" w:cs="宋体"/>
                <w:b/>
                <w:bCs/>
                <w:i w:val="0"/>
                <w:iCs w:val="0"/>
                <w:color w:val="000000"/>
                <w:sz w:val="24"/>
                <w:szCs w:val="24"/>
                <w:u w:val="none"/>
                <w:lang w:val="en-US" w:eastAsia="zh-CN" w:bidi="ar-SA"/>
              </w:rPr>
              <w:t xml:space="preserve">阜宁烈士纪念馆-消防</w:t>
            </w:r>
            <w:r/>
          </w:p>
        </w:tc>
      </w:tr>
      <w:tr>
        <w:trPr/>
        <w:tc>
          <w:tcPr>
            <w:tcW w:w="5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tcW w:w="35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tcW w:w="999"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tcW w:w="1000"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b/>
                <w:bCs/>
                <w:i w:val="0"/>
                <w:iCs w:val="0"/>
                <w:color w:val="000000"/>
                <w:sz w:val="20"/>
                <w:szCs w:val="20"/>
                <w:u w:val="none"/>
                <w:lang w:val="en-US" w:eastAsia="zh-CN" w:bidi="ar-SA"/>
              </w:rPr>
              <w:t xml:space="preserve">合价（元）</w:t>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1、紧定式镀锌电线管(JDG管) 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2、明配</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181.2</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电线敷设NH-BV2*1.5</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384</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金属软管20</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普通灯具</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1、消防应急照明灯具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2、集中型吸顶安装</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装饰灯</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1、疏散（出口）标志灯(自带蓄电池)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2、集中型壁装</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应急照明系统调试</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应急照明系统调试</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水喷淋钢管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2、热镀锌钢管DN25，螺纹连接(含管件)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3、试压及水冲洗</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44.8</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水喷淋钢管</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2、热镀锌钢管DN32，螺纹连接(含管件)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3、试压及水冲洗</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室内消火栓</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1、室内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2、1000*700*240，DN65含箱门、轻便水龙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3、试压及水冲洗</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水灭火控制装置调试</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水灭火系统装置调试</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系统</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管线及水管穿墙打洞</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管线及水管穿墙打洞</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r>
        <w:trPr/>
        <w:tc>
          <w:tcPr>
            <w:tcW w:w="564"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140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室外裸露管道保温</w:t>
            </w:r>
            <w:r/>
          </w:p>
        </w:tc>
        <w:tc>
          <w:tcPr>
            <w:tcW w:w="3591" w:type="dxa"/>
            <w:vAlign w:val="center"/>
            <w:textDirection w:val="lrTb"/>
            <w:noWrap w:val="false"/>
          </w:tcPr>
          <w:p>
            <w:pPr>
              <w:jc w:val="left"/>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室外裸露管道保温</w:t>
            </w:r>
            <w:r/>
          </w:p>
        </w:tc>
        <w:tc>
          <w:tcPr>
            <w:tcW w:w="765" w:type="dxa"/>
            <w:vAlign w:val="center"/>
            <w:textDirection w:val="lrTb"/>
            <w:noWrap w:val="false"/>
          </w:tcPr>
          <w:p>
            <w:pPr>
              <w:jc w:val="center"/>
              <w:keepLines w:val="0"/>
              <w:keepNext w:val="0"/>
              <w:widowControl/>
              <w:rPr>
                <w:rFonts w:hint="eastAsia" w:ascii="Times New Roman" w:hAnsi="Times New Roman" w:eastAsia="宋体" w:cs="Times New Roman"/>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W w:w="8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999"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c>
          <w:tcPr>
            <w:tcW w:w="1000" w:type="dxa"/>
            <w:vAlign w:val="center"/>
            <w:textDirection w:val="lrTb"/>
            <w:noWrap w:val="false"/>
          </w:tcPr>
          <w:p>
            <w:pPr>
              <w:pStyle w:val="808"/>
              <w:jc w:val="cente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r>
            <w:r/>
          </w:p>
        </w:tc>
      </w:tr>
    </w:tbl>
    <w:p>
      <w:pPr>
        <w:pStyle w:val="79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793"/>
        <w:numPr>
          <w:ilvl w:val="0"/>
          <w:numId w:val="0"/>
        </w:numPr>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highlight w:val="none"/>
        </w:rPr>
        <w:t xml:space="preserve">中另有</w:t>
      </w:r>
      <w:bookmarkStart w:id="189" w:name="_GoBack"/>
      <w:r/>
      <w:bookmarkEnd w:id="189"/>
      <w:r>
        <w:rPr>
          <w:rFonts w:hint="eastAsia" w:ascii="宋体" w:hAnsi="宋体" w:eastAsia="宋体" w:cs="宋体"/>
          <w:color w:val="000000"/>
          <w:highlight w:val="none"/>
        </w:rPr>
        <w:t xml:space="preserve">规定的除外。</w:t>
      </w:r>
      <w:r/>
    </w:p>
    <w:p>
      <w:pPr>
        <w:pStyle w:val="793"/>
        <w:numPr>
          <w:ilvl w:val="0"/>
          <w:numId w:val="0"/>
        </w:numPr>
        <w:ind w:firstLine="480"/>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pStyle w:val="793"/>
        <w:jc w:val="both"/>
        <w:spacing w:beforeAutospacing="0" w:afterAutospacing="0"/>
        <w:rPr>
          <w:highlight w:val="none"/>
          <w:shd w:val="clear" w:color="auto" w:fill="auto"/>
        </w:rPr>
      </w:pPr>
      <w:r>
        <w:rPr>
          <w:highlight w:val="none"/>
          <w:shd w:val="clear" w:color="auto" w:fill="auto"/>
        </w:rPr>
        <w:t xml:space="preserve"> </w:t>
      </w:r>
      <w:r/>
    </w:p>
    <w:p>
      <w:pPr>
        <w:pStyle w:val="793"/>
        <w:ind w:right="1560" w:firstLine="624"/>
        <w:jc w:val="center"/>
        <w:spacing w:beforeAutospacing="0" w:afterAutospacing="0" w:line="360" w:lineRule="auto"/>
        <w:tabs>
          <w:tab w:val="left" w:pos="4864" w:leader="none"/>
        </w:tabs>
        <w:rPr>
          <w:rFonts w:hint="eastAsia" w:ascii="宋体" w:hAnsi="宋体" w:eastAsia="宋体" w:cs="宋体"/>
        </w:rPr>
      </w:pPr>
      <w:r>
        <w:rPr>
          <w:highlight w:val="none"/>
        </w:rPr>
        <w:t xml:space="preserve"> </w:t>
      </w:r>
      <w:r>
        <w:rPr>
          <w:rFonts w:hint="eastAsia"/>
          <w:highlight w:val="none"/>
          <w:lang w:val="en-US" w:eastAsia="zh-CN"/>
        </w:rPr>
        <w:t xml:space="preserve">                         </w:t>
      </w:r>
      <w:r>
        <w:rPr>
          <w:rFonts w:hint="eastAsia" w:ascii="宋体" w:hAnsi="宋体" w:eastAsia="宋体" w:cs="宋体"/>
          <w:color w:val="000000"/>
        </w:rPr>
        <w:t xml:space="preserve">供应商全称（加盖CA电子公章）：</w:t>
      </w:r>
      <w:r/>
    </w:p>
    <w:p>
      <w:pPr>
        <w:pStyle w:val="793"/>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日 期：</w:t>
      </w:r>
      <w:r/>
    </w:p>
    <w:p>
      <w:pPr>
        <w:rPr>
          <w:rFonts w:hint="eastAsia" w:ascii="宋体" w:hAnsi="宋体" w:cs="宋体"/>
          <w:b/>
          <w:i/>
          <w:iCs/>
          <w:color w:val="auto"/>
          <w:sz w:val="24"/>
          <w:highlight w:val="none"/>
          <w:u w:val="single"/>
        </w:rPr>
      </w:pPr>
      <w:r>
        <w:rPr>
          <w:rFonts w:hint="eastAsia" w:ascii="黑体" w:hAnsi="宋体" w:eastAsia="黑体" w:cs="黑体"/>
          <w:b/>
          <w:color w:val="000000"/>
          <w:sz w:val="32"/>
          <w:szCs w:val="32"/>
          <w:highlight w:val="none"/>
        </w:rPr>
        <w:br w:type="page" w:clear="all"/>
      </w:r>
      <w:r/>
    </w:p>
    <w:p>
      <w:pPr>
        <w:jc w:val="center"/>
        <w:spacing w:line="360" w:lineRule="auto"/>
        <w:rPr>
          <w:rFonts w:ascii="宋体" w:hAnsi="宋体" w:cs="宋体"/>
          <w:b/>
          <w:i/>
          <w:iCs/>
          <w:color w:val="auto"/>
          <w:sz w:val="24"/>
          <w:highlight w:val="none"/>
          <w:u w:val="single"/>
        </w:rPr>
      </w:pPr>
      <w:r>
        <w:rPr>
          <w:rFonts w:hint="eastAsia" w:ascii="宋体" w:hAnsi="宋体" w:cs="宋体"/>
          <w:b/>
          <w:i/>
          <w:iCs/>
          <w:color w:val="auto"/>
          <w:sz w:val="24"/>
          <w:highlight w:val="none"/>
          <w:u w:val="single"/>
        </w:rPr>
        <w:t xml:space="preserve">十</w:t>
      </w:r>
      <w:r>
        <w:rPr>
          <w:rFonts w:hint="eastAsia" w:ascii="宋体" w:hAnsi="宋体" w:cs="宋体"/>
          <w:b/>
          <w:i/>
          <w:iCs/>
          <w:color w:val="auto"/>
          <w:sz w:val="24"/>
          <w:highlight w:val="none"/>
          <w:u w:val="single"/>
          <w:lang w:val="en-US" w:eastAsia="zh-CN"/>
        </w:rPr>
        <w:t xml:space="preserve">五</w:t>
      </w:r>
      <w:r>
        <w:rPr>
          <w:rFonts w:hint="eastAsia" w:ascii="宋体" w:hAnsi="宋体" w:cs="宋体"/>
          <w:b/>
          <w:i/>
          <w:iCs/>
          <w:color w:val="auto"/>
          <w:sz w:val="24"/>
          <w:highlight w:val="none"/>
          <w:u w:val="single"/>
        </w:rPr>
        <w:t xml:space="preserve">、技术要求响应及偏离表</w:t>
      </w:r>
      <w:r/>
    </w:p>
    <w:tbl>
      <w:tblPr>
        <w:tblStyle w:val="7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响应情况</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是否响应</w:t>
            </w:r>
            <w:r>
              <w:rPr>
                <w:rFonts w:hint="eastAsia" w:ascii="宋体" w:hAnsi="宋体" w:eastAsia="宋体" w:cs="宋体"/>
                <w:b/>
                <w:bCs/>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证明</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主要采购清单</w:t>
            </w:r>
            <w:r>
              <w:rPr>
                <w:rFonts w:hint="eastAsia" w:ascii="宋体" w:hAnsi="宋体" w:eastAsia="宋体" w:cs="宋体"/>
                <w:b w:val="0"/>
                <w:bCs w:val="0"/>
                <w:color w:val="auto"/>
                <w:sz w:val="24"/>
                <w:szCs w:val="24"/>
                <w:highlight w:val="none"/>
                <w:lang w:val="en-US" w:eastAsia="zh-CN"/>
              </w:rPr>
              <w:t xml:space="preserve">要求及技术参数要求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装饰装修材料</w:t>
            </w:r>
            <w:r>
              <w:rPr>
                <w:rFonts w:hint="eastAsia" w:ascii="宋体" w:hAnsi="宋体" w:eastAsia="宋体" w:cs="宋体"/>
                <w:b w:val="0"/>
                <w:bCs w:val="0"/>
                <w:color w:val="auto"/>
                <w:sz w:val="24"/>
                <w:szCs w:val="24"/>
                <w:highlight w:val="none"/>
                <w:lang w:val="en-US" w:eastAsia="zh-CN"/>
              </w:rPr>
              <w:t xml:space="preserve">与工艺</w:t>
            </w:r>
            <w:r>
              <w:rPr>
                <w:rFonts w:hint="eastAsia" w:ascii="宋体" w:hAnsi="宋体" w:eastAsia="宋体" w:cs="宋体"/>
                <w:b w:val="0"/>
                <w:bCs w:val="0"/>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主要装饰装修材料清单</w:t>
            </w:r>
            <w:r>
              <w:rPr>
                <w:rFonts w:hint="eastAsia" w:ascii="宋体" w:hAnsi="宋体" w:eastAsia="宋体" w:cs="宋体"/>
                <w:b w:val="0"/>
                <w:bCs w:val="0"/>
                <w:color w:val="auto"/>
                <w:sz w:val="24"/>
                <w:szCs w:val="24"/>
                <w:highlight w:val="none"/>
                <w:lang w:val="en-US" w:eastAsia="zh-CN"/>
              </w:rPr>
              <w:t xml:space="preserve">及技术参数要求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5"/>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互动展项要求主要设备或互动展项清单</w:t>
            </w:r>
            <w:r>
              <w:rPr>
                <w:rFonts w:hint="eastAsia" w:ascii="宋体" w:hAnsi="宋体" w:eastAsia="宋体" w:cs="宋体"/>
                <w:b w:val="0"/>
                <w:bCs w:val="0"/>
                <w:color w:val="auto"/>
                <w:sz w:val="24"/>
                <w:szCs w:val="24"/>
                <w:highlight w:val="none"/>
                <w:lang w:val="en-US" w:eastAsia="zh-CN"/>
              </w:rPr>
              <w:t xml:space="preserve">及技术参数要求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质保要求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需提交的成果及要求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设计成果有关要求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施工要求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响应文件要求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验收标准</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权责与保密条款​</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cantSplit/>
          <w:trHeight w:val="64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磋商文件中其他技术要求</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 行数不够，可自行添加。</w:t>
      </w:r>
      <w:r/>
    </w:p>
    <w:p>
      <w:pPr>
        <w:ind w:firstLine="482"/>
        <w:spacing w:line="360" w:lineRule="auto"/>
        <w:rPr>
          <w:rFonts w:hint="default" w:ascii="宋体" w:hAnsi="宋体" w:cs="宋体"/>
          <w:b/>
          <w:bCs/>
          <w:color w:val="00b0f0"/>
          <w:sz w:val="24"/>
          <w:highlight w:val="none"/>
          <w:lang w:val="en-US" w:eastAsia="zh-CN"/>
        </w:rPr>
      </w:pPr>
      <w:r>
        <w:rPr>
          <w:rFonts w:hint="default" w:ascii="宋体" w:hAnsi="宋体" w:cs="宋体"/>
          <w:b/>
          <w:bCs/>
          <w:color w:val="00b0f0"/>
          <w:sz w:val="24"/>
          <w:highlight w:val="none"/>
          <w:lang w:val="en-US" w:eastAsia="zh-CN"/>
        </w:rPr>
      </w:r>
      <w:r/>
    </w:p>
    <w:p>
      <w:pPr>
        <w:pStyle w:val="793"/>
        <w:ind w:right="1560" w:firstLine="624"/>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供应商全称（加盖CA电子公章）：</w:t>
      </w:r>
      <w:r/>
    </w:p>
    <w:p>
      <w:pPr>
        <w:pStyle w:val="793"/>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日 期：</w:t>
      </w:r>
      <w:r/>
    </w:p>
    <w:p>
      <w:pPr>
        <w:rPr>
          <w:rFonts w:hint="default" w:ascii="宋体" w:hAnsi="宋体" w:cs="宋体"/>
          <w:b/>
          <w:bCs/>
          <w:color w:val="auto"/>
          <w:sz w:val="24"/>
          <w:highlight w:val="none"/>
          <w:lang w:val="en-US" w:eastAsia="zh-CN"/>
        </w:rPr>
      </w:pPr>
      <w:r>
        <w:rPr>
          <w:rFonts w:hint="default" w:ascii="宋体" w:hAnsi="宋体" w:cs="宋体"/>
          <w:b/>
          <w:bCs/>
          <w:color w:val="auto"/>
          <w:sz w:val="24"/>
          <w:highlight w:val="none"/>
          <w:lang w:val="en-US" w:eastAsia="zh-CN"/>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i/>
          <w:iCs/>
          <w:color w:val="auto"/>
          <w:sz w:val="24"/>
          <w:highlight w:val="none"/>
          <w:u w:val="single"/>
        </w:rPr>
      </w:pPr>
      <w:r>
        <w:rPr>
          <w:rFonts w:hint="eastAsia" w:ascii="宋体" w:hAnsi="宋体" w:cs="宋体"/>
          <w:b/>
          <w:bCs/>
          <w:i/>
          <w:iCs/>
          <w:color w:val="auto"/>
          <w:sz w:val="24"/>
          <w:highlight w:val="none"/>
          <w:u w:val="single"/>
        </w:rPr>
        <w:t xml:space="preserve">十</w:t>
      </w:r>
      <w:r>
        <w:rPr>
          <w:rFonts w:hint="eastAsia" w:ascii="宋体" w:hAnsi="宋体" w:cs="宋体"/>
          <w:b/>
          <w:bCs/>
          <w:i/>
          <w:iCs/>
          <w:color w:val="auto"/>
          <w:sz w:val="24"/>
          <w:highlight w:val="none"/>
          <w:u w:val="single"/>
          <w:lang w:val="en-US" w:eastAsia="zh-CN"/>
        </w:rPr>
        <w:t xml:space="preserve">六</w:t>
      </w:r>
      <w:r>
        <w:rPr>
          <w:rFonts w:hint="eastAsia" w:ascii="宋体" w:hAnsi="宋体" w:cs="宋体"/>
          <w:b/>
          <w:i/>
          <w:iCs/>
          <w:color w:val="auto"/>
          <w:sz w:val="24"/>
          <w:highlight w:val="none"/>
          <w:u w:val="single"/>
        </w:rPr>
        <w:t xml:space="preserve">、商务要求响应及偏离表</w:t>
      </w:r>
      <w:r/>
    </w:p>
    <w:tbl>
      <w:tblPr>
        <w:tblStyle w:val="7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237"/>
        <w:gridCol w:w="2936"/>
        <w:gridCol w:w="1545"/>
        <w:gridCol w:w="1769"/>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ascii="宋体" w:hAnsi="宋体" w:cs="宋体"/>
                <w:color w:val="auto"/>
                <w:sz w:val="24"/>
                <w:highlight w:val="none"/>
              </w:rPr>
            </w:pPr>
            <w:r/>
            <w:bookmarkStart w:id="181" w:name="_Hlt26782999"/>
            <w:r/>
            <w:bookmarkEnd w:id="181"/>
            <w:r/>
            <w:bookmarkStart w:id="182" w:name="_Hlt26580838"/>
            <w:r/>
            <w:bookmarkEnd w:id="182"/>
            <w:r/>
            <w:bookmarkStart w:id="183" w:name="_Hlt26955056"/>
            <w:r/>
            <w:bookmarkEnd w:id="183"/>
            <w:r/>
            <w:bookmarkStart w:id="184" w:name="_Hlt24879081"/>
            <w:r/>
            <w:bookmarkEnd w:id="184"/>
            <w:r/>
            <w:bookmarkStart w:id="185" w:name="_Hlt26609391"/>
            <w:r/>
            <w:bookmarkEnd w:id="185"/>
            <w:r/>
            <w:bookmarkStart w:id="186" w:name="_Hlt26671343"/>
            <w:r/>
            <w:bookmarkEnd w:id="186"/>
            <w:r/>
            <w:bookmarkStart w:id="187" w:name="_Hlt26671372"/>
            <w:r/>
            <w:bookmarkEnd w:id="187"/>
            <w:r/>
            <w:bookmarkStart w:id="188" w:name="_Hlt26955064"/>
            <w:r/>
            <w:bookmarkEnd w:id="188"/>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证明</w:t>
            </w: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合同内容</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按照磋商文件约定</w:t>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69"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合同履行期限</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ind w:firstLine="480"/>
              <w:jc w:val="both"/>
              <w:spacing w:line="360" w:lineRule="auto"/>
              <w:rPr>
                <w:rFonts w:ascii="宋体" w:hAnsi="宋体" w:cs="宋体"/>
                <w:color w:val="auto"/>
                <w:sz w:val="24"/>
                <w:highlight w:val="none"/>
              </w:rPr>
            </w:pPr>
            <w:r>
              <w:rPr>
                <w:rFonts w:hint="eastAsia" w:ascii="宋体" w:hAnsi="宋体" w:eastAsia="宋体" w:cs="宋体"/>
                <w:color w:val="auto"/>
                <w:sz w:val="24"/>
                <w:highlight w:val="none"/>
                <w:lang w:eastAsia="zh-CN"/>
              </w:rPr>
              <w:t xml:space="preserve">本项目在合同签订后，</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日历天内完成设计、采购、布展等以及衍生服务工作，并交付采购人正常使用。</w:t>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69"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质量</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合格</w:t>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69"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按照磋商文件约定</w:t>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69"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投标货币</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69"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571"/>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按照磋商文件约定</w:t>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69"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bCs/>
                <w:color w:val="auto"/>
                <w:sz w:val="24"/>
                <w:highlight w:val="none"/>
              </w:rPr>
              <w:t xml:space="preserve">承包方式</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bCs/>
                <w:color w:val="auto"/>
                <w:sz w:val="24"/>
                <w:highlight w:val="none"/>
              </w:rPr>
              <w:t xml:space="preserve">包工包料</w:t>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69"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23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按照磋商文件约定</w:t>
            </w:r>
            <w:r/>
          </w:p>
        </w:tc>
        <w:tc>
          <w:tcPr>
            <w:tcBorders>
              <w:top w:val="single" w:color="000000" w:sz="4" w:space="0"/>
              <w:left w:val="single" w:color="000000" w:sz="4" w:space="0"/>
              <w:bottom w:val="single" w:color="000000" w:sz="4" w:space="0"/>
              <w:right w:val="single" w:color="000000" w:sz="4" w:space="0"/>
            </w:tcBorders>
            <w:tcW w:w="1545"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69" w:type="dxa"/>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 行数不够，可自行添加。</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793"/>
        <w:ind w:right="1560" w:firstLine="624"/>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供应商全称（加盖CA电子公章）：</w:t>
      </w:r>
      <w:r/>
    </w:p>
    <w:p>
      <w:pPr>
        <w:pStyle w:val="793"/>
        <w:ind w:right="1560" w:firstLine="480"/>
        <w:jc w:val="center"/>
        <w:spacing w:beforeAutospacing="0" w:afterAutospacing="0" w:line="360" w:lineRule="auto"/>
        <w:tabs>
          <w:tab w:val="left" w:pos="4864" w:leader="none"/>
        </w:tabs>
        <w:rPr>
          <w:rFonts w:hint="eastAsia" w:ascii="宋体" w:hAnsi="宋体" w:eastAsia="宋体" w:cs="宋体"/>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日 期：</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rPr>
          <w:rFonts w:ascii="宋体" w:hAnsi="宋体" w:cs="宋体"/>
          <w:b/>
          <w:color w:val="auto"/>
          <w:sz w:val="32"/>
          <w:szCs w:val="32"/>
          <w:highlight w:val="none"/>
        </w:rPr>
      </w:pPr>
      <w:r>
        <w:rPr>
          <w:rFonts w:hint="eastAsia" w:ascii="宋体" w:hAnsi="宋体" w:cs="宋体"/>
          <w:b/>
          <w:bCs/>
          <w:color w:val="auto"/>
          <w:sz w:val="24"/>
          <w:highlight w:val="none"/>
        </w:rPr>
        <w:br w:type="page" w:clear="all"/>
      </w:r>
      <w:r/>
    </w:p>
    <w:p>
      <w:pPr>
        <w:jc w:val="center"/>
        <w:spacing w:line="360" w:lineRule="auto"/>
        <w:rPr>
          <w:rFonts w:hint="eastAsia" w:ascii="宋体" w:hAnsi="宋体" w:eastAsia="仿宋_GB2312" w:cs="宋体"/>
          <w:b/>
          <w:bCs/>
          <w:i/>
          <w:iCs/>
          <w:color w:val="auto"/>
          <w:sz w:val="28"/>
          <w:szCs w:val="32"/>
          <w:highlight w:val="none"/>
          <w:u w:val="single"/>
          <w:lang w:val="en-US" w:eastAsia="zh-CN" w:bidi="ar-SA"/>
        </w:rPr>
      </w:pPr>
      <w:r>
        <w:rPr>
          <w:rFonts w:hint="eastAsia" w:ascii="宋体" w:hAnsi="宋体" w:eastAsia="仿宋_GB2312" w:cs="宋体"/>
          <w:b/>
          <w:bCs/>
          <w:i/>
          <w:iCs/>
          <w:color w:val="auto"/>
          <w:sz w:val="28"/>
          <w:szCs w:val="32"/>
          <w:highlight w:val="none"/>
          <w:u w:val="single"/>
          <w:lang w:val="en-US" w:eastAsia="zh-CN" w:bidi="ar-SA"/>
        </w:rPr>
        <w:t xml:space="preserve">十七、设计方案</w:t>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按磋商文件评标办法中要求编制。</w:t>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pStyle w:val="766"/>
        <w:ind w:firstLine="0"/>
        <w:jc w:val="center"/>
        <w:rPr>
          <w:rFonts w:ascii="宋体" w:hAnsi="宋体" w:cs="宋体"/>
          <w:b/>
          <w:bCs/>
          <w:i/>
          <w:iCs/>
          <w:color w:val="auto"/>
          <w:sz w:val="28"/>
          <w:szCs w:val="32"/>
          <w:highlight w:val="none"/>
          <w:u w:val="single"/>
        </w:rPr>
      </w:pPr>
      <w:r>
        <w:rPr>
          <w:rFonts w:hint="eastAsia" w:ascii="宋体" w:hAnsi="宋体" w:cs="宋体"/>
          <w:b/>
          <w:bCs/>
          <w:i/>
          <w:iCs/>
          <w:color w:val="auto"/>
          <w:sz w:val="28"/>
          <w:szCs w:val="32"/>
          <w:highlight w:val="none"/>
          <w:u w:val="single"/>
        </w:rPr>
        <w:t xml:space="preserve">十</w:t>
      </w:r>
      <w:r>
        <w:rPr>
          <w:rFonts w:hint="eastAsia" w:ascii="宋体" w:hAnsi="宋体" w:cs="宋体"/>
          <w:b/>
          <w:bCs/>
          <w:i/>
          <w:iCs/>
          <w:color w:val="auto"/>
          <w:sz w:val="28"/>
          <w:szCs w:val="32"/>
          <w:highlight w:val="none"/>
          <w:u w:val="single"/>
          <w:lang w:val="en-US" w:eastAsia="zh-CN"/>
        </w:rPr>
        <w:t xml:space="preserve">八</w:t>
      </w:r>
      <w:r>
        <w:rPr>
          <w:rFonts w:hint="eastAsia" w:ascii="宋体" w:hAnsi="宋体" w:cs="宋体"/>
          <w:b/>
          <w:bCs/>
          <w:i/>
          <w:iCs/>
          <w:color w:val="auto"/>
          <w:sz w:val="28"/>
          <w:szCs w:val="32"/>
          <w:highlight w:val="none"/>
          <w:u w:val="single"/>
        </w:rPr>
        <w:t xml:space="preserve">、</w:t>
      </w:r>
      <w:r>
        <w:rPr>
          <w:rFonts w:hint="eastAsia" w:ascii="宋体" w:hAnsi="宋体" w:cs="宋体"/>
          <w:b/>
          <w:bCs/>
          <w:i/>
          <w:iCs/>
          <w:color w:val="auto"/>
          <w:sz w:val="28"/>
          <w:szCs w:val="32"/>
          <w:highlight w:val="none"/>
          <w:u w:val="single"/>
          <w:lang w:val="en-US" w:eastAsia="zh-CN"/>
        </w:rPr>
        <w:t xml:space="preserve">品牌要求</w:t>
      </w:r>
      <w:r>
        <w:rPr>
          <w:rFonts w:hint="eastAsia" w:ascii="宋体" w:hAnsi="宋体" w:cs="宋体"/>
          <w:b/>
          <w:bCs/>
          <w:i/>
          <w:iCs/>
          <w:color w:val="auto"/>
          <w:sz w:val="28"/>
          <w:szCs w:val="32"/>
          <w:highlight w:val="none"/>
          <w:u w:val="single"/>
        </w:rPr>
        <w:t xml:space="preserve">承诺函</w:t>
      </w:r>
      <w:r/>
    </w:p>
    <w:p>
      <w:pPr>
        <w:rPr>
          <w:color w:val="auto"/>
          <w:highlight w:val="none"/>
        </w:rPr>
      </w:pPr>
      <w:r>
        <w:rPr>
          <w:color w:val="auto"/>
          <w:highlight w:val="none"/>
        </w:rPr>
      </w:r>
      <w:r/>
    </w:p>
    <w:p>
      <w:pPr>
        <w:jc w:val="left"/>
        <w:spacing w:line="480" w:lineRule="auto"/>
        <w:widowControl/>
        <w:rPr>
          <w:rFonts w:ascii="宋体" w:hAnsi="宋体" w:cs="宋体"/>
          <w:b/>
          <w:bCs/>
          <w:color w:val="auto"/>
          <w:sz w:val="24"/>
          <w:highlight w:val="none"/>
          <w:lang w:bidi="ar"/>
        </w:rPr>
      </w:pPr>
      <w:r>
        <w:rPr>
          <w:rFonts w:ascii="宋体" w:hAnsi="宋体" w:cs="宋体"/>
          <w:b/>
          <w:bCs/>
          <w:color w:val="auto"/>
          <w:sz w:val="24"/>
          <w:highlight w:val="none"/>
          <w:lang w:bidi="ar"/>
        </w:rPr>
        <w:t xml:space="preserve">致：</w:t>
      </w:r>
      <w:r>
        <w:rPr>
          <w:rFonts w:hint="eastAsia" w:ascii="宋体" w:hAnsi="宋体" w:cs="宋体"/>
          <w:b/>
          <w:bCs/>
          <w:color w:val="auto"/>
          <w:sz w:val="24"/>
          <w:highlight w:val="none"/>
          <w:u w:val="single"/>
          <w:lang w:bidi="ar"/>
        </w:rPr>
        <w:t xml:space="preserve">（</w:t>
      </w:r>
      <w:r>
        <w:rPr>
          <w:rFonts w:ascii="宋体" w:hAnsi="宋体" w:cs="宋体"/>
          <w:b/>
          <w:bCs/>
          <w:color w:val="auto"/>
          <w:sz w:val="24"/>
          <w:highlight w:val="none"/>
          <w:u w:val="single"/>
          <w:lang w:bidi="ar"/>
        </w:rPr>
        <w:t xml:space="preserve">采购单位</w:t>
      </w:r>
      <w:r>
        <w:rPr>
          <w:rFonts w:hint="eastAsia" w:ascii="宋体" w:hAnsi="宋体" w:cs="宋体"/>
          <w:b/>
          <w:bCs/>
          <w:color w:val="auto"/>
          <w:sz w:val="24"/>
          <w:highlight w:val="none"/>
          <w:u w:val="single"/>
          <w:lang w:bidi="ar"/>
        </w:rPr>
        <w:t xml:space="preserve">名称）</w:t>
      </w:r>
      <w:r/>
    </w:p>
    <w:p>
      <w:pPr>
        <w:ind w:firstLine="480"/>
        <w:jc w:val="left"/>
        <w:spacing w:line="480" w:lineRule="auto"/>
        <w:widowControl/>
        <w:rPr>
          <w:rFonts w:ascii="宋体" w:hAnsi="宋体" w:eastAsia="宋体" w:cs="宋体"/>
          <w:color w:val="auto"/>
          <w:sz w:val="24"/>
          <w:highlight w:val="none"/>
          <w:lang w:bidi="ar"/>
        </w:rPr>
      </w:pPr>
      <w:r>
        <w:rPr>
          <w:rFonts w:ascii="宋体" w:hAnsi="宋体" w:cs="宋体"/>
          <w:color w:val="auto"/>
          <w:sz w:val="24"/>
          <w:highlight w:val="none"/>
          <w:lang w:bidi="ar"/>
        </w:rPr>
        <w:t xml:space="preserve">我方作为本项目</w:t>
      </w:r>
      <w:r>
        <w:rPr>
          <w:rFonts w:hint="eastAsia" w:ascii="宋体" w:hAnsi="宋体" w:cs="宋体"/>
          <w:color w:val="auto"/>
          <w:sz w:val="24"/>
          <w:highlight w:val="none"/>
          <w:lang w:val="en-US" w:eastAsia="zh-CN" w:bidi="ar"/>
        </w:rPr>
        <w:t xml:space="preserve">成交</w:t>
      </w:r>
      <w:r>
        <w:rPr>
          <w:rFonts w:hint="eastAsia" w:ascii="宋体" w:hAnsi="宋体" w:cs="宋体"/>
          <w:color w:val="auto"/>
          <w:sz w:val="24"/>
          <w:highlight w:val="none"/>
          <w:lang w:bidi="ar"/>
        </w:rPr>
        <w:t xml:space="preserve">供应商</w:t>
      </w:r>
      <w:r>
        <w:rPr>
          <w:rFonts w:ascii="宋体" w:hAnsi="宋体" w:cs="宋体"/>
          <w:color w:val="auto"/>
          <w:sz w:val="24"/>
          <w:highlight w:val="none"/>
          <w:lang w:bidi="ar"/>
        </w:rPr>
        <w:t xml:space="preserve">，完全知悉并自愿接受</w:t>
      </w:r>
      <w:r>
        <w:rPr>
          <w:rFonts w:hint="eastAsia" w:ascii="宋体" w:hAnsi="宋体" w:cs="宋体"/>
          <w:color w:val="auto"/>
          <w:sz w:val="24"/>
          <w:highlight w:val="none"/>
          <w:lang w:val="en-US" w:eastAsia="zh-CN" w:bidi="ar"/>
        </w:rPr>
        <w:t xml:space="preserve">采购</w:t>
      </w:r>
      <w:r>
        <w:rPr>
          <w:rFonts w:ascii="宋体" w:hAnsi="宋体" w:cs="宋体"/>
          <w:color w:val="auto"/>
          <w:sz w:val="24"/>
          <w:highlight w:val="none"/>
          <w:lang w:bidi="ar"/>
        </w:rPr>
        <w:t xml:space="preserve">文件</w:t>
      </w:r>
      <w:r>
        <w:rPr>
          <w:rFonts w:ascii="宋体" w:hAnsi="宋体" w:eastAsia="宋体" w:cs="宋体"/>
          <w:color w:val="auto"/>
          <w:sz w:val="24"/>
          <w:highlight w:val="none"/>
          <w:lang w:bidi="ar"/>
        </w:rPr>
        <w:t xml:space="preserve">约定的</w:t>
      </w:r>
      <w:r>
        <w:rPr>
          <w:rFonts w:hint="eastAsia" w:ascii="宋体" w:hAnsi="宋体" w:eastAsia="宋体" w:cs="宋体"/>
          <w:color w:val="auto"/>
          <w:sz w:val="24"/>
          <w:highlight w:val="none"/>
          <w:lang w:val="en-US" w:eastAsia="zh-CN" w:bidi="ar"/>
        </w:rPr>
        <w:t xml:space="preserve">主要材料品牌要求规则，</w:t>
      </w:r>
      <w:r>
        <w:rPr>
          <w:rFonts w:ascii="宋体" w:hAnsi="宋体" w:eastAsia="宋体" w:cs="宋体"/>
          <w:color w:val="auto"/>
          <w:sz w:val="24"/>
          <w:highlight w:val="none"/>
          <w:lang w:bidi="ar"/>
        </w:rPr>
        <w:t xml:space="preserve">郑重承诺如下：</w:t>
      </w:r>
      <w:r/>
    </w:p>
    <w:p>
      <w:pPr>
        <w:ind w:left="-360" w:firstLine="480"/>
        <w:jc w:val="left"/>
        <w:spacing w:line="480" w:lineRule="auto"/>
        <w:widowControl/>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我方投标承诺完全响应采购文件中品牌要求，使用采购人推荐的品牌，供货时承诺选择其中一种进行供货。如我方中标，除发现涉嫌品牌报备、品牌垄断，价格明显高于周边地区市场价，或本地无法供货，或参考品牌材料设备的供货无法满足本项目工期的要求，提出相关证据经采购人确认外，我方不以任何理由更换推荐品牌。</w:t>
      </w:r>
      <w:r/>
    </w:p>
    <w:p>
      <w:pPr>
        <w:ind w:left="-360" w:firstLine="480"/>
        <w:jc w:val="left"/>
        <w:spacing w:line="480" w:lineRule="auto"/>
        <w:widowControl/>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2.我方承诺本项目所供货物（设备）为原厂原品牌产品，禁止贴牌，一经发现清退已进场和施工所有产品、按合同约定进行处罚，并承担相应的法律责任。</w:t>
      </w:r>
      <w:r/>
    </w:p>
    <w:p>
      <w:pPr>
        <w:ind w:left="-360" w:firstLine="480"/>
        <w:jc w:val="left"/>
        <w:spacing w:line="480" w:lineRule="auto"/>
        <w:widowControl/>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3本承诺为投标及后续签订采购合同不可分割组成部分，具备同等法律效力。</w:t>
      </w:r>
      <w:r/>
    </w:p>
    <w:p>
      <w:pPr>
        <w:ind w:firstLine="240"/>
        <w:jc w:val="left"/>
        <w:spacing w:line="480" w:lineRule="auto"/>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特此承诺。</w:t>
      </w:r>
      <w:r/>
    </w:p>
    <w:p>
      <w:pPr>
        <w:ind w:firstLine="4560"/>
        <w:jc w:val="left"/>
        <w:spacing w:line="48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pStyle w:val="793"/>
        <w:ind w:right="1560" w:firstLine="624"/>
        <w:jc w:val="center"/>
        <w:spacing w:beforeAutospacing="0" w:afterAutospacing="0" w:line="480" w:lineRule="auto"/>
        <w:tabs>
          <w:tab w:val="left" w:pos="4864" w:leader="none"/>
        </w:tabs>
        <w:rPr>
          <w:rFonts w:hint="eastAsia" w:ascii="宋体" w:hAnsi="宋体" w:eastAsia="宋体" w:cs="宋体"/>
        </w:rPr>
      </w:pPr>
      <w:r>
        <w:rPr>
          <w:rFonts w:hint="eastAsia" w:ascii="宋体" w:hAnsi="宋体" w:eastAsia="宋体" w:cs="宋体"/>
          <w:color w:val="000000"/>
          <w:lang w:val="en-US" w:eastAsia="zh-CN"/>
        </w:rPr>
        <w:t xml:space="preserve">   </w:t>
      </w:r>
      <w:r>
        <w:rPr>
          <w:rFonts w:hint="eastAsia" w:ascii="宋体" w:hAnsi="宋体" w:cs="宋体"/>
          <w:color w:val="auto"/>
          <w:sz w:val="24"/>
          <w:highlight w:val="none"/>
        </w:rPr>
        <w:t xml:space="preserve">单位名称（盖章）：</w:t>
      </w:r>
      <w:r/>
    </w:p>
    <w:p>
      <w:pPr>
        <w:pStyle w:val="793"/>
        <w:ind w:right="1560" w:firstLine="480"/>
        <w:jc w:val="center"/>
        <w:spacing w:beforeAutospacing="0" w:afterAutospacing="0" w:line="480" w:lineRule="auto"/>
        <w:tabs>
          <w:tab w:val="left" w:pos="4864" w:leader="none"/>
        </w:tabs>
        <w:rPr>
          <w:rFonts w:ascii="宋体" w:hAnsi="宋体" w:cs="宋体"/>
          <w:color w:val="auto"/>
          <w:sz w:val="24"/>
          <w:highlight w:val="none"/>
          <w:lang w:bidi="ar"/>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ascii="宋体" w:hAnsi="宋体" w:cs="宋体"/>
          <w:color w:val="auto"/>
          <w:sz w:val="24"/>
          <w:highlight w:val="none"/>
          <w:lang w:bidi="ar"/>
        </w:rPr>
        <w:t xml:space="preserve">法定代表人</w:t>
      </w:r>
      <w:r>
        <w:rPr>
          <w:rFonts w:hint="eastAsia" w:ascii="宋体" w:hAnsi="宋体" w:cs="宋体"/>
          <w:color w:val="auto"/>
          <w:sz w:val="24"/>
          <w:highlight w:val="none"/>
          <w:lang w:bidi="ar"/>
        </w:rPr>
        <w:t xml:space="preserve">或</w:t>
      </w:r>
      <w:r>
        <w:rPr>
          <w:rFonts w:ascii="宋体" w:hAnsi="宋体" w:cs="宋体"/>
          <w:color w:val="auto"/>
          <w:sz w:val="24"/>
          <w:highlight w:val="none"/>
          <w:lang w:bidi="ar"/>
        </w:rPr>
        <w:t xml:space="preserve">授权代表（</w:t>
      </w:r>
      <w:r>
        <w:rPr>
          <w:rFonts w:hint="eastAsia" w:ascii="宋体" w:hAnsi="宋体" w:cs="宋体"/>
          <w:color w:val="auto"/>
          <w:sz w:val="24"/>
          <w:highlight w:val="none"/>
          <w:lang w:bidi="ar"/>
        </w:rPr>
        <w:t xml:space="preserve">签字或盖章</w:t>
      </w:r>
      <w:r>
        <w:rPr>
          <w:rFonts w:ascii="宋体" w:hAnsi="宋体" w:cs="宋体"/>
          <w:color w:val="auto"/>
          <w:sz w:val="24"/>
          <w:highlight w:val="none"/>
          <w:lang w:bidi="ar"/>
        </w:rPr>
        <w:t xml:space="preserve">）：</w:t>
      </w:r>
      <w:r/>
    </w:p>
    <w:p>
      <w:pPr>
        <w:ind w:firstLine="3120"/>
        <w:jc w:val="left"/>
        <w:spacing w:line="480" w:lineRule="auto"/>
        <w:widowControl/>
        <w:rPr>
          <w:rFonts w:ascii="宋体" w:hAnsi="宋体" w:cs="宋体"/>
          <w:color w:val="auto"/>
          <w:sz w:val="24"/>
          <w:highlight w:val="none"/>
          <w:lang w:bidi="ar"/>
        </w:rPr>
      </w:pPr>
      <w:r>
        <w:rPr>
          <w:rFonts w:ascii="宋体" w:hAnsi="宋体" w:cs="宋体"/>
          <w:color w:val="auto"/>
          <w:sz w:val="24"/>
          <w:highlight w:val="none"/>
          <w:lang w:bidi="ar"/>
        </w:rPr>
        <w:t xml:space="preserve">日期：</w:t>
      </w:r>
      <w:r/>
    </w:p>
    <w:p>
      <w:pPr>
        <w:rPr>
          <w:rFonts w:hint="eastAsia" w:ascii="宋体" w:hAnsi="宋体" w:cs="宋体"/>
          <w:b/>
          <w:bCs/>
          <w:i/>
          <w:iCs/>
          <w:color w:val="auto"/>
          <w:sz w:val="24"/>
          <w:highlight w:val="none"/>
          <w:u w:val="single"/>
        </w:rPr>
      </w:pPr>
      <w:r>
        <w:rPr>
          <w:rFonts w:hint="eastAsia" w:ascii="宋体" w:hAnsi="宋体" w:cs="宋体"/>
          <w:b/>
          <w:bCs/>
          <w:i/>
          <w:iCs/>
          <w:color w:val="auto"/>
          <w:sz w:val="24"/>
          <w:highlight w:val="none"/>
          <w:u w:val="single"/>
        </w:rPr>
        <w:br w:type="page" w:clear="all"/>
      </w:r>
      <w:r/>
    </w:p>
    <w:p>
      <w:pPr>
        <w:jc w:val="center"/>
        <w:spacing w:line="360" w:lineRule="auto"/>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十</w:t>
      </w:r>
      <w:r>
        <w:rPr>
          <w:rFonts w:hint="eastAsia" w:ascii="宋体" w:hAnsi="宋体" w:cs="宋体"/>
          <w:b/>
          <w:bCs/>
          <w:i/>
          <w:iCs/>
          <w:color w:val="auto"/>
          <w:sz w:val="24"/>
          <w:highlight w:val="none"/>
          <w:u w:val="single"/>
          <w:lang w:val="en-US" w:eastAsia="zh-CN"/>
        </w:rPr>
        <w:t xml:space="preserve">九</w:t>
      </w:r>
      <w:r>
        <w:rPr>
          <w:rFonts w:hint="eastAsia" w:ascii="宋体" w:hAnsi="宋体" w:cs="宋体"/>
          <w:b/>
          <w:bCs/>
          <w:i/>
          <w:iCs/>
          <w:color w:val="auto"/>
          <w:sz w:val="24"/>
          <w:highlight w:val="none"/>
          <w:u w:val="single"/>
        </w:rPr>
        <w:t xml:space="preserve">、盐城市政府采购事前信用承诺书</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为营造我市公开、公平、公正、诚实守信的政府采购交易环境，树立诚信守法的供应商形象，本人代表本单位作出以下承诺：</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（四）严格遵守即时信息公示规定，及时维护和更新盐城市政府采购网中与本单位相关的信息；</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法定代表人（签字或盖章）：</w:t>
      </w:r>
      <w:r/>
    </w:p>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单位名称（盖章）：</w:t>
      </w:r>
      <w:r/>
    </w:p>
    <w:p>
      <w:pPr>
        <w:jc w:val="cente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pStyle w:val="807"/>
      </w:p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807"/>
        <w:ind w:firstLine="482"/>
        <w:jc w:val="center"/>
        <w:rPr>
          <w:rFonts w:hint="default" w:ascii="宋体" w:hAnsi="宋体" w:eastAsia="宋体" w:cs="宋体"/>
          <w:b/>
          <w:bCs/>
          <w:i/>
          <w:iCs/>
          <w:color w:val="auto"/>
          <w:sz w:val="24"/>
          <w:szCs w:val="24"/>
          <w:highlight w:val="none"/>
          <w:u w:val="single"/>
          <w:lang w:val="en-US" w:eastAsia="zh-CN" w:bidi="ar-SA"/>
        </w:rPr>
      </w:pPr>
      <w:r>
        <w:rPr>
          <w:rFonts w:hint="eastAsia" w:ascii="宋体" w:hAnsi="宋体" w:eastAsia="宋体" w:cs="宋体"/>
          <w:b/>
          <w:bCs/>
          <w:i/>
          <w:iCs/>
          <w:color w:val="auto"/>
          <w:sz w:val="24"/>
          <w:szCs w:val="24"/>
          <w:highlight w:val="none"/>
          <w:u w:val="single"/>
          <w:lang w:val="en-US" w:eastAsia="zh-CN" w:bidi="ar-SA"/>
        </w:rPr>
        <w:t xml:space="preserve">二十、评标办法中要求提供的其他材料</w:t>
      </w:r>
      <w:r/>
    </w:p>
    <w:p>
      <w:pPr>
        <w:rPr>
          <w:rFonts w:ascii="宋体" w:hAnsi="宋体" w:cs="宋体"/>
          <w:b/>
          <w:bCs/>
          <w:color w:val="auto"/>
          <w:sz w:val="24"/>
          <w:highlight w:val="none"/>
        </w:rPr>
      </w:pPr>
      <w:r>
        <w:rPr>
          <w:rFonts w:ascii="宋体" w:hAnsi="宋体" w:cs="宋体"/>
          <w:b/>
          <w:bCs/>
          <w:color w:val="auto"/>
          <w:sz w:val="24"/>
          <w:highlight w:val="none"/>
        </w:rPr>
        <w:br w:type="page" w:clear="all"/>
      </w:r>
      <w:r/>
    </w:p>
    <w:p>
      <w:pPr>
        <w:pStyle w:val="793"/>
        <w:jc w:val="center"/>
        <w:rPr>
          <w:b/>
          <w:color w:val="auto"/>
          <w:sz w:val="32"/>
          <w:szCs w:val="32"/>
          <w:highlight w:val="none"/>
        </w:rPr>
      </w:pPr>
      <w:r>
        <w:rPr>
          <w:rFonts w:hint="eastAsia"/>
          <w:b/>
          <w:color w:val="auto"/>
          <w:sz w:val="32"/>
          <w:szCs w:val="32"/>
          <w:highlight w:val="none"/>
        </w:rPr>
        <w:t xml:space="preserve">质疑函范本</w:t>
      </w:r>
      <w:r/>
    </w:p>
    <w:p>
      <w:pPr>
        <w:pStyle w:val="793"/>
        <w:jc w:val="both"/>
        <w:spacing w:before="290" w:beforeAutospacing="0" w:line="360" w:lineRule="auto"/>
        <w:rPr>
          <w:color w:val="auto"/>
          <w:highlight w:val="none"/>
        </w:rPr>
      </w:pPr>
      <w:r>
        <w:rPr>
          <w:rFonts w:hint="eastAsia"/>
          <w:color w:val="auto"/>
          <w:highlight w:val="none"/>
        </w:rPr>
        <w:t xml:space="preserve">一、质疑供应商基本信息</w:t>
      </w:r>
      <w:r/>
    </w:p>
    <w:p>
      <w:pPr>
        <w:pStyle w:val="793"/>
        <w:jc w:val="both"/>
        <w:spacing w:line="360" w:lineRule="auto"/>
        <w:rPr>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793"/>
        <w:jc w:val="both"/>
        <w:spacing w:line="360" w:lineRule="auto"/>
        <w:rPr>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93"/>
        <w:jc w:val="both"/>
        <w:spacing w:line="360" w:lineRule="auto"/>
        <w:rPr>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93"/>
        <w:jc w:val="both"/>
        <w:spacing w:line="360" w:lineRule="auto"/>
        <w:rPr>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93"/>
        <w:jc w:val="both"/>
        <w:spacing w:line="360" w:lineRule="auto"/>
        <w:rPr>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793"/>
        <w:jc w:val="both"/>
        <w:spacing w:line="360" w:lineRule="auto"/>
        <w:rPr>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93"/>
        <w:jc w:val="both"/>
        <w:spacing w:line="360" w:lineRule="auto"/>
        <w:rPr>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93"/>
        <w:jc w:val="both"/>
        <w:spacing w:line="360" w:lineRule="auto"/>
        <w:rPr>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93"/>
        <w:jc w:val="both"/>
        <w:spacing w:line="360" w:lineRule="auto"/>
        <w:rPr>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793"/>
        <w:jc w:val="both"/>
        <w:spacing w:line="360" w:lineRule="auto"/>
        <w:rPr>
          <w:color w:val="auto"/>
          <w:highlight w:val="none"/>
        </w:rPr>
      </w:pPr>
      <w:r>
        <w:rPr>
          <w:rFonts w:hint="eastAsia"/>
          <w:color w:val="auto"/>
          <w:highlight w:val="none"/>
        </w:rPr>
        <w:t xml:space="preserve">二、质疑项目基本情况</w:t>
      </w:r>
      <w:r/>
    </w:p>
    <w:p>
      <w:pPr>
        <w:pStyle w:val="793"/>
        <w:jc w:val="both"/>
        <w:spacing w:line="360" w:lineRule="auto"/>
        <w:rPr>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793"/>
        <w:jc w:val="both"/>
        <w:spacing w:line="360" w:lineRule="auto"/>
        <w:rPr>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793"/>
        <w:jc w:val="both"/>
        <w:spacing w:line="360" w:lineRule="auto"/>
        <w:rPr>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93"/>
        <w:jc w:val="both"/>
        <w:spacing w:line="360" w:lineRule="auto"/>
        <w:rPr>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793"/>
        <w:jc w:val="both"/>
        <w:spacing w:line="360" w:lineRule="auto"/>
        <w:rPr>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793"/>
        <w:jc w:val="both"/>
        <w:spacing w:line="360" w:lineRule="auto"/>
        <w:rPr>
          <w:color w:val="auto"/>
          <w:highlight w:val="none"/>
        </w:rPr>
      </w:pPr>
      <w:r>
        <w:rPr>
          <w:rFonts w:hint="eastAsia"/>
          <w:color w:val="auto"/>
          <w:highlight w:val="none"/>
        </w:rPr>
        <w:t xml:space="preserve">三、质疑事项具体内容</w:t>
      </w:r>
      <w:r/>
    </w:p>
    <w:p>
      <w:pPr>
        <w:pStyle w:val="793"/>
        <w:jc w:val="both"/>
        <w:spacing w:line="360" w:lineRule="auto"/>
        <w:rPr>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793"/>
        <w:spacing w:line="360" w:lineRule="auto"/>
        <w:rPr>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793"/>
        <w:jc w:val="both"/>
        <w:spacing w:line="360" w:lineRule="auto"/>
        <w:rPr>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793"/>
        <w:jc w:val="both"/>
        <w:spacing w:line="360" w:lineRule="auto"/>
        <w:rPr>
          <w:color w:val="auto"/>
          <w:highlight w:val="none"/>
        </w:rPr>
      </w:pPr>
      <w:r>
        <w:rPr>
          <w:rFonts w:hint="eastAsia"/>
          <w:color w:val="auto"/>
          <w:highlight w:val="none"/>
        </w:rPr>
        <w:t xml:space="preserve">质疑事项2</w:t>
      </w:r>
      <w:r/>
    </w:p>
    <w:p>
      <w:pPr>
        <w:pStyle w:val="793"/>
        <w:jc w:val="both"/>
        <w:spacing w:line="360" w:lineRule="auto"/>
        <w:rPr>
          <w:color w:val="auto"/>
          <w:highlight w:val="none"/>
        </w:rPr>
      </w:pPr>
      <w:r>
        <w:rPr>
          <w:rFonts w:hint="eastAsia"/>
          <w:color w:val="auto"/>
          <w:highlight w:val="none"/>
        </w:rPr>
        <w:t xml:space="preserve">……</w:t>
      </w:r>
      <w:r/>
    </w:p>
    <w:p>
      <w:pPr>
        <w:pStyle w:val="793"/>
        <w:jc w:val="both"/>
        <w:spacing w:line="360" w:lineRule="auto"/>
        <w:rPr>
          <w:color w:val="auto"/>
          <w:highlight w:val="none"/>
        </w:rPr>
      </w:pPr>
      <w:r>
        <w:rPr>
          <w:rFonts w:hint="eastAsia"/>
          <w:color w:val="auto"/>
          <w:highlight w:val="none"/>
        </w:rPr>
        <w:t xml:space="preserve">四、与质疑事项相关的质疑请求</w:t>
      </w:r>
      <w:r/>
    </w:p>
    <w:p>
      <w:pPr>
        <w:pStyle w:val="793"/>
        <w:jc w:val="both"/>
        <w:spacing w:line="360" w:lineRule="auto"/>
        <w:rPr>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793"/>
        <w:jc w:val="both"/>
        <w:rPr>
          <w:color w:val="auto"/>
          <w:highlight w:val="none"/>
        </w:rPr>
      </w:pPr>
      <w:r>
        <w:rPr>
          <w:rFonts w:hint="eastAsia"/>
          <w:color w:val="auto"/>
          <w:highlight w:val="none"/>
        </w:rPr>
        <w:t xml:space="preserve">签字(签章)：                 公章：               日期：    </w:t>
      </w:r>
      <w:r/>
    </w:p>
    <w:p>
      <w:pPr>
        <w:pStyle w:val="793"/>
        <w:jc w:val="both"/>
        <w:spacing w:line="0" w:lineRule="atLeast"/>
        <w:rPr>
          <w:color w:val="auto"/>
          <w:highlight w:val="none"/>
        </w:rPr>
      </w:pPr>
      <w:r>
        <w:rPr>
          <w:rFonts w:hint="eastAsia"/>
          <w:b/>
          <w:color w:val="auto"/>
          <w:highlight w:val="none"/>
        </w:rPr>
        <w:t xml:space="preserve">质疑函制作说明：</w:t>
      </w:r>
      <w:r/>
    </w:p>
    <w:p>
      <w:pPr>
        <w:pStyle w:val="793"/>
        <w:ind w:firstLine="480"/>
        <w:spacing w:line="0" w:lineRule="atLeast"/>
        <w:rPr>
          <w:color w:val="auto"/>
          <w:highlight w:val="none"/>
        </w:rPr>
      </w:pPr>
      <w:r>
        <w:rPr>
          <w:rFonts w:hint="eastAsia"/>
          <w:color w:val="auto"/>
          <w:highlight w:val="none"/>
        </w:rPr>
        <w:t xml:space="preserve">1.供应商提出质疑时，应提交质疑函和必要的证明材料。</w:t>
      </w:r>
      <w:r/>
    </w:p>
    <w:p>
      <w:pPr>
        <w:pStyle w:val="793"/>
        <w:ind w:firstLine="480"/>
        <w:spacing w:line="0" w:lineRule="atLeast"/>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3"/>
        <w:ind w:firstLine="480"/>
        <w:spacing w:line="0" w:lineRule="atLeast"/>
        <w:rPr>
          <w:color w:val="auto"/>
          <w:highlight w:val="none"/>
        </w:rPr>
      </w:pPr>
      <w:r>
        <w:rPr>
          <w:rFonts w:hint="eastAsia"/>
          <w:color w:val="auto"/>
          <w:highlight w:val="none"/>
        </w:rPr>
        <w:t xml:space="preserve">3.质疑供应商若对项目的某一分包进行质疑，质疑函中应列明具体分包号。</w:t>
      </w:r>
      <w:r/>
    </w:p>
    <w:p>
      <w:pPr>
        <w:pStyle w:val="793"/>
        <w:ind w:firstLine="480"/>
        <w:spacing w:line="0" w:lineRule="atLeast"/>
        <w:rPr>
          <w:color w:val="auto"/>
          <w:highlight w:val="none"/>
        </w:rPr>
      </w:pPr>
      <w:r>
        <w:rPr>
          <w:rFonts w:hint="eastAsia"/>
          <w:color w:val="auto"/>
          <w:highlight w:val="none"/>
        </w:rPr>
        <w:t xml:space="preserve">4.质疑函的质疑事项应具体、明确，并有必要的事实依据和法律依据。</w:t>
      </w:r>
      <w:r/>
    </w:p>
    <w:p>
      <w:pPr>
        <w:pStyle w:val="793"/>
        <w:ind w:firstLine="480"/>
        <w:spacing w:line="0" w:lineRule="atLeast"/>
        <w:rPr>
          <w:color w:val="auto"/>
          <w:highlight w:val="none"/>
        </w:rPr>
      </w:pPr>
      <w:r>
        <w:rPr>
          <w:rFonts w:hint="eastAsia"/>
          <w:color w:val="auto"/>
          <w:highlight w:val="none"/>
        </w:rPr>
        <w:t xml:space="preserve">5.质疑函的质疑请求应与质疑事项相关。</w:t>
      </w:r>
      <w:r/>
    </w:p>
    <w:p>
      <w:pPr>
        <w:pStyle w:val="793"/>
        <w:ind w:firstLine="480"/>
        <w:spacing w:line="0" w:lineRule="atLeast"/>
        <w:rPr>
          <w:color w:val="auto"/>
          <w:highlight w:val="none"/>
        </w:rPr>
      </w:pPr>
      <w:r>
        <w:rPr>
          <w:rFonts w:hint="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ascii="宋体" w:hAnsi="宋体" w:cs="宋体"/>
          <w:color w:val="auto"/>
          <w:sz w:val="24"/>
          <w:highlight w:val="none"/>
        </w:rPr>
      </w:pPr>
      <w:r>
        <w:rPr>
          <w:rFonts w:ascii="宋体" w:hAnsi="宋体" w:cs="宋体"/>
          <w:color w:val="auto"/>
          <w:sz w:val="24"/>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sectPr>
      <w:footerReference w:type="first" r:id="rId13"/>
      <w:footnotePr/>
      <w:endnotePr/>
      <w:type w:val="nextPage"/>
      <w:pgSz w:w="11906" w:h="16838" w:orient="portrait"/>
      <w:pgMar w:top="1474" w:right="1474" w:bottom="1474"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华文楷体">
    <w:panose1 w:val="02010600040101010101"/>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微软雅黑">
    <w:panose1 w:val="020B0503020204020204"/>
  </w:font>
  <w:font w:name="Calibri">
    <w:panose1 w:val="020F0502020204030204"/>
  </w:font>
  <w:font w:name="Courier New">
    <w:panose1 w:val="02070309020205020404"/>
  </w:font>
  <w:font w:name="Adobe 仿宋 Std R">
    <w:panose1 w:val="020B0503020202020204"/>
  </w:font>
  <w:font w:name="方正黑体_GBK">
    <w:panose1 w:val="020B0503020202020204"/>
  </w:font>
  <w:font w:name="Cambria">
    <w:panose1 w:val="02040503050406030204"/>
  </w:font>
  <w:font w:name="方正姚体">
    <w:panose1 w:val="02010601030101010101"/>
  </w:font>
  <w:font w:name="仿宋_GB2312">
    <w:panose1 w:val="02010609060101010101"/>
  </w:font>
  <w:font w:name="幼圆">
    <w:panose1 w:val="020105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26376850"/>
      <w:rPr/>
    </w:sdtPr>
    <w:sdtContent>
      <w:p>
        <w:pPr>
          <w:pStyle w:val="778"/>
          <w:jc w:val="center"/>
        </w:pPr>
        <w:r>
          <w:fldChar w:fldCharType="begin"/>
        </w:r>
        <w:r>
          <w:instrText xml:space="preserve">PAGE   \* MERGEFORMAT</w:instrText>
        </w:r>
        <w:r>
          <w:fldChar w:fldCharType="separate"/>
        </w:r>
        <w:r>
          <w:rPr>
            <w:lang w:val="zh-CN"/>
          </w:rPr>
          <w:t xml:space="preserve">2</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pPr>
    <w:r/>
    <w:r/>
  </w:p>
  <w:p>
    <w:pPr>
      <w:pStyle w:val="7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38</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pPr>
    <w:r>
      <w:fldChar w:fldCharType="begin"/>
    </w:r>
    <w:r>
      <w:instrText xml:space="preserve">PAGE   \* MERGEFORMAT</w:instrText>
    </w:r>
    <w:r>
      <w:fldChar w:fldCharType="separate"/>
    </w:r>
    <w:r>
      <w:rPr>
        <w:lang w:val="zh-CN"/>
      </w:rPr>
      <w:t xml:space="preserve">8</w:t>
    </w:r>
    <w:r>
      <w:rPr>
        <w:lang w:val="zh-CN"/>
      </w:rPr>
      <w:fldChar w:fldCharType="end"/>
    </w:r>
    <w:r/>
  </w:p>
  <w:p>
    <w:pPr>
      <w:pStyle w:val="7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2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104"/>
      <w:isLgl w:val="false"/>
      <w:suff w:val="tab"/>
      <w:lvlText w:val="第%1章"/>
      <w:lvlJc w:val="left"/>
      <w:pPr>
        <w:ind w:left="9351" w:hanging="420"/>
      </w:pPr>
      <w:rPr>
        <w:rFonts w:hint="eastAsia" w:ascii="黑体" w:eastAsia="黑体"/>
        <w:b w:val="0"/>
        <w:sz w:val="36"/>
        <w:lang w:val="en-US"/>
      </w:rPr>
    </w:lvl>
    <w:lvl w:ilvl="1">
      <w:start w:val="1"/>
      <w:numFmt w:val="decimal"/>
      <w:pStyle w:val="1105"/>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06"/>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19"/>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6"/>
  </w:num>
  <w:num w:numId="5">
    <w:abstractNumId w:val="7"/>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name w:val="Heading 1"/>
    <w:basedOn w:val="746"/>
    <w:next w:val="746"/>
    <w:link w:val="858"/>
    <w:uiPriority w:val="0"/>
    <w:qFormat/>
    <w:pPr>
      <w:keepNext/>
      <w:outlineLvl w:val="0"/>
    </w:pPr>
    <w:rPr>
      <w:rFonts w:ascii="楷体_GB2312" w:eastAsia="楷体_GB2312"/>
      <w:sz w:val="28"/>
      <w:szCs w:val="20"/>
    </w:rPr>
  </w:style>
  <w:style w:type="paragraph" w:styleId="748">
    <w:name w:val="Heading 2"/>
    <w:basedOn w:val="746"/>
    <w:next w:val="746"/>
    <w:link w:val="859"/>
    <w:uiPriority w:val="0"/>
    <w:qFormat/>
    <w:pPr>
      <w:jc w:val="center"/>
      <w:keepLines/>
      <w:keepNext/>
      <w:spacing w:before="260" w:after="260" w:line="416" w:lineRule="auto"/>
      <w:outlineLvl w:val="1"/>
    </w:pPr>
    <w:rPr>
      <w:rFonts w:ascii="Arial" w:hAnsi="Arial" w:eastAsia="幼圆"/>
      <w:b/>
      <w:sz w:val="44"/>
      <w:szCs w:val="20"/>
    </w:rPr>
  </w:style>
  <w:style w:type="paragraph" w:styleId="749">
    <w:name w:val="Heading 3"/>
    <w:basedOn w:val="746"/>
    <w:next w:val="746"/>
    <w:link w:val="860"/>
    <w:uiPriority w:val="0"/>
    <w:qFormat/>
    <w:pPr>
      <w:keepLines/>
      <w:keepNext/>
      <w:spacing w:before="260" w:after="260" w:line="416" w:lineRule="auto"/>
      <w:outlineLvl w:val="2"/>
    </w:pPr>
    <w:rPr>
      <w:b/>
      <w:sz w:val="32"/>
      <w:szCs w:val="20"/>
    </w:rPr>
  </w:style>
  <w:style w:type="paragraph" w:styleId="750">
    <w:name w:val="Heading 4"/>
    <w:basedOn w:val="751"/>
    <w:next w:val="746"/>
    <w:link w:val="861"/>
    <w:uiPriority w:val="0"/>
    <w:qFormat/>
    <w:pPr>
      <w:keepLines/>
      <w:spacing w:before="280" w:after="290" w:line="376" w:lineRule="auto"/>
      <w:outlineLvl w:val="3"/>
    </w:pPr>
    <w:rPr>
      <w:rFonts w:ascii="Arial" w:hAnsi="Arial" w:eastAsia="黑体"/>
      <w:b w:val="0"/>
      <w:bCs w:val="0"/>
      <w:sz w:val="28"/>
      <w:szCs w:val="28"/>
    </w:rPr>
  </w:style>
  <w:style w:type="paragraph" w:styleId="751">
    <w:name w:val="Heading 5"/>
    <w:basedOn w:val="746"/>
    <w:next w:val="746"/>
    <w:link w:val="862"/>
    <w:uiPriority w:val="0"/>
    <w:qFormat/>
    <w:pPr>
      <w:keepNext/>
      <w:outlineLvl w:val="4"/>
    </w:pPr>
    <w:rPr>
      <w:rFonts w:ascii="宋体" w:hAnsi="宋体"/>
      <w:b/>
      <w:bCs/>
    </w:rPr>
  </w:style>
  <w:style w:type="paragraph" w:styleId="752">
    <w:name w:val="Heading 6"/>
    <w:basedOn w:val="746"/>
    <w:next w:val="746"/>
    <w:link w:val="863"/>
    <w:uiPriority w:val="0"/>
    <w:qFormat/>
    <w:pPr>
      <w:keepLines/>
      <w:keepNext/>
      <w:spacing w:before="240" w:after="64" w:line="317" w:lineRule="auto"/>
      <w:outlineLvl w:val="5"/>
    </w:pPr>
    <w:rPr>
      <w:rFonts w:ascii="Cambria" w:hAnsi="Cambria"/>
      <w:b/>
      <w:bCs/>
      <w:sz w:val="24"/>
    </w:rPr>
  </w:style>
  <w:style w:type="paragraph" w:styleId="753">
    <w:name w:val="Heading 7"/>
    <w:basedOn w:val="746"/>
    <w:next w:val="746"/>
    <w:link w:val="864"/>
    <w:uiPriority w:val="0"/>
    <w:qFormat/>
    <w:pPr>
      <w:keepLines/>
      <w:keepNext/>
      <w:spacing w:before="240" w:after="64" w:line="320" w:lineRule="auto"/>
      <w:outlineLvl w:val="6"/>
    </w:pPr>
    <w:rPr>
      <w:b/>
      <w:bCs/>
      <w:sz w:val="24"/>
    </w:rPr>
  </w:style>
  <w:style w:type="paragraph" w:styleId="754">
    <w:name w:val="Heading 8"/>
    <w:basedOn w:val="746"/>
    <w:next w:val="746"/>
    <w:link w:val="865"/>
    <w:uiPriority w:val="0"/>
    <w:qFormat/>
    <w:pPr>
      <w:keepLines/>
      <w:keepNext/>
      <w:spacing w:before="240" w:after="64" w:line="317" w:lineRule="auto"/>
      <w:outlineLvl w:val="7"/>
    </w:pPr>
    <w:rPr>
      <w:rFonts w:ascii="Cambria" w:hAnsi="Cambria"/>
      <w:sz w:val="24"/>
    </w:rPr>
  </w:style>
  <w:style w:type="paragraph" w:styleId="755">
    <w:name w:val="Heading 9"/>
    <w:basedOn w:val="746"/>
    <w:next w:val="746"/>
    <w:link w:val="866"/>
    <w:uiPriority w:val="0"/>
    <w:qFormat/>
    <w:pPr>
      <w:keepLines/>
      <w:keepNext/>
      <w:spacing w:before="240" w:after="64" w:line="317" w:lineRule="auto"/>
      <w:outlineLvl w:val="8"/>
    </w:pPr>
    <w:rPr>
      <w:rFonts w:ascii="Cambria" w:hAnsi="Cambria"/>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701"/>
      <w:spacing w:after="57"/>
    </w:pPr>
  </w:style>
  <w:style w:type="paragraph" w:styleId="759">
    <w:name w:val="Note Heading"/>
    <w:basedOn w:val="746"/>
    <w:next w:val="746"/>
    <w:link w:val="867"/>
    <w:uiPriority w:val="0"/>
    <w:qFormat/>
    <w:pPr>
      <w:jc w:val="center"/>
    </w:pPr>
    <w:rPr>
      <w:sz w:val="24"/>
      <w:szCs w:val="20"/>
    </w:rPr>
  </w:style>
  <w:style w:type="paragraph" w:styleId="760">
    <w:name w:val="Normal Indent"/>
    <w:basedOn w:val="746"/>
    <w:link w:val="1013"/>
    <w:uiPriority w:val="0"/>
    <w:qFormat/>
    <w:pPr>
      <w:ind w:firstLine="420"/>
    </w:pPr>
    <w:rPr>
      <w:szCs w:val="20"/>
    </w:rPr>
  </w:style>
  <w:style w:type="paragraph" w:styleId="761">
    <w:name w:val="Caption"/>
    <w:basedOn w:val="746"/>
    <w:next w:val="746"/>
    <w:uiPriority w:val="0"/>
    <w:qFormat/>
    <w:rPr>
      <w:rFonts w:ascii="Cambria" w:hAnsi="Cambria" w:eastAsia="黑体"/>
      <w:sz w:val="20"/>
      <w:szCs w:val="20"/>
    </w:rPr>
  </w:style>
  <w:style w:type="paragraph" w:styleId="762">
    <w:name w:val="Document Map"/>
    <w:basedOn w:val="746"/>
    <w:link w:val="868"/>
    <w:uiPriority w:val="99"/>
    <w:qFormat/>
    <w:pPr>
      <w:shd w:val="clear" w:color="auto" w:fill="000080"/>
    </w:pPr>
  </w:style>
  <w:style w:type="paragraph" w:styleId="763">
    <w:name w:val="annotation text"/>
    <w:basedOn w:val="746"/>
    <w:link w:val="869"/>
    <w:uiPriority w:val="0"/>
    <w:qFormat/>
    <w:pPr>
      <w:jc w:val="left"/>
    </w:pPr>
  </w:style>
  <w:style w:type="paragraph" w:styleId="764">
    <w:name w:val="Body Text 3"/>
    <w:basedOn w:val="746"/>
    <w:link w:val="870"/>
    <w:uiPriority w:val="0"/>
    <w:qFormat/>
    <w:rPr>
      <w:rFonts w:ascii="仿宋_GB2312" w:hAnsi="Arial" w:eastAsia="仿宋_GB2312"/>
      <w:sz w:val="32"/>
      <w:szCs w:val="20"/>
    </w:rPr>
  </w:style>
  <w:style w:type="paragraph" w:styleId="765">
    <w:name w:val="Body Text"/>
    <w:basedOn w:val="746"/>
    <w:next w:val="766"/>
    <w:link w:val="871"/>
    <w:uiPriority w:val="0"/>
    <w:qFormat/>
    <w:rPr>
      <w:rFonts w:ascii="楷体_GB2312" w:hAnsi="Arial" w:eastAsia="楷体_GB2312"/>
      <w:sz w:val="28"/>
      <w:szCs w:val="20"/>
    </w:rPr>
  </w:style>
  <w:style w:type="paragraph" w:styleId="766">
    <w:name w:val="Body Text First Indent"/>
    <w:basedOn w:val="746"/>
    <w:next w:val="746"/>
    <w:uiPriority w:val="99"/>
    <w:qFormat/>
    <w:pPr>
      <w:ind w:firstLine="200"/>
      <w:spacing w:line="360" w:lineRule="auto"/>
    </w:pPr>
    <w:rPr>
      <w:rFonts w:ascii="仿宋_GB2312" w:eastAsia="仿宋_GB2312"/>
      <w:sz w:val="30"/>
      <w:szCs w:val="30"/>
    </w:rPr>
  </w:style>
  <w:style w:type="paragraph" w:styleId="767">
    <w:name w:val="Body Text Indent"/>
    <w:basedOn w:val="746"/>
    <w:link w:val="854"/>
    <w:uiPriority w:val="0"/>
    <w:unhideWhenUsed/>
    <w:qFormat/>
    <w:pPr>
      <w:ind w:left="420"/>
      <w:spacing w:after="120"/>
    </w:pPr>
  </w:style>
  <w:style w:type="paragraph" w:styleId="768">
    <w:name w:val="Block Text"/>
    <w:basedOn w:val="746"/>
    <w:uiPriority w:val="99"/>
    <w:qFormat/>
    <w:pPr>
      <w:ind w:left="1440" w:right="1440"/>
      <w:spacing w:after="120"/>
      <w:tabs>
        <w:tab w:val="left" w:pos="9000" w:leader="none"/>
      </w:tabs>
    </w:pPr>
  </w:style>
  <w:style w:type="paragraph" w:styleId="769">
    <w:name w:val="index 4"/>
    <w:basedOn w:val="746"/>
    <w:next w:val="746"/>
    <w:uiPriority w:val="0"/>
    <w:qFormat/>
    <w:pPr>
      <w:ind w:left="600"/>
    </w:pPr>
  </w:style>
  <w:style w:type="paragraph" w:styleId="770">
    <w:name w:val="toc 5"/>
    <w:basedOn w:val="746"/>
    <w:next w:val="746"/>
    <w:uiPriority w:val="39"/>
    <w:unhideWhenUsed/>
    <w:qFormat/>
    <w:pPr>
      <w:ind w:left="1134"/>
      <w:spacing w:after="57"/>
    </w:pPr>
  </w:style>
  <w:style w:type="paragraph" w:styleId="771">
    <w:name w:val="toc 3"/>
    <w:basedOn w:val="746"/>
    <w:next w:val="746"/>
    <w:uiPriority w:val="39"/>
    <w:unhideWhenUsed/>
    <w:qFormat/>
    <w:pPr>
      <w:ind w:left="567"/>
      <w:spacing w:after="57"/>
    </w:pPr>
  </w:style>
  <w:style w:type="paragraph" w:styleId="772">
    <w:name w:val="Plain Text"/>
    <w:basedOn w:val="746"/>
    <w:link w:val="872"/>
    <w:uiPriority w:val="0"/>
    <w:qFormat/>
    <w:rPr>
      <w:rFonts w:ascii="宋体" w:hAnsi="Courier New"/>
      <w:sz w:val="28"/>
    </w:rPr>
  </w:style>
  <w:style w:type="paragraph" w:styleId="773">
    <w:name w:val="toc 8"/>
    <w:basedOn w:val="746"/>
    <w:next w:val="746"/>
    <w:uiPriority w:val="39"/>
    <w:unhideWhenUsed/>
    <w:qFormat/>
    <w:pPr>
      <w:ind w:left="1984"/>
      <w:spacing w:after="57"/>
    </w:pPr>
  </w:style>
  <w:style w:type="paragraph" w:styleId="774">
    <w:name w:val="Date"/>
    <w:basedOn w:val="746"/>
    <w:next w:val="746"/>
    <w:link w:val="873"/>
    <w:uiPriority w:val="0"/>
    <w:qFormat/>
    <w:rPr>
      <w:sz w:val="24"/>
      <w:szCs w:val="20"/>
    </w:rPr>
  </w:style>
  <w:style w:type="paragraph" w:styleId="775">
    <w:name w:val="Body Text Indent 2"/>
    <w:basedOn w:val="746"/>
    <w:link w:val="874"/>
    <w:uiPriority w:val="0"/>
    <w:qFormat/>
    <w:pPr>
      <w:ind w:firstLine="560"/>
    </w:pPr>
    <w:rPr>
      <w:rFonts w:ascii="宋体" w:hAnsi="宋体"/>
      <w:sz w:val="28"/>
    </w:rPr>
  </w:style>
  <w:style w:type="paragraph" w:styleId="776">
    <w:name w:val="endnote text"/>
    <w:basedOn w:val="746"/>
    <w:link w:val="875"/>
    <w:uiPriority w:val="99"/>
    <w:semiHidden/>
    <w:unhideWhenUsed/>
    <w:qFormat/>
    <w:rPr>
      <w:sz w:val="20"/>
    </w:rPr>
  </w:style>
  <w:style w:type="paragraph" w:styleId="777">
    <w:name w:val="Balloon Text"/>
    <w:basedOn w:val="746"/>
    <w:link w:val="876"/>
    <w:uiPriority w:val="99"/>
    <w:qFormat/>
    <w:rPr>
      <w:sz w:val="18"/>
      <w:szCs w:val="18"/>
    </w:rPr>
  </w:style>
  <w:style w:type="paragraph" w:styleId="778">
    <w:name w:val="Footer"/>
    <w:basedOn w:val="746"/>
    <w:link w:val="857"/>
    <w:uiPriority w:val="99"/>
    <w:unhideWhenUsed/>
    <w:qFormat/>
    <w:pPr>
      <w:jc w:val="left"/>
      <w:tabs>
        <w:tab w:val="center" w:pos="4153" w:leader="none"/>
        <w:tab w:val="right" w:pos="8306" w:leader="none"/>
      </w:tabs>
    </w:pPr>
    <w:rPr>
      <w:sz w:val="18"/>
      <w:szCs w:val="18"/>
    </w:rPr>
  </w:style>
  <w:style w:type="paragraph" w:styleId="779">
    <w:name w:val="envelope return"/>
    <w:basedOn w:val="746"/>
    <w:uiPriority w:val="0"/>
    <w:unhideWhenUsed/>
    <w:qFormat/>
    <w:rPr>
      <w:rFonts w:ascii="Arial" w:hAnsi="Arial"/>
    </w:rPr>
  </w:style>
  <w:style w:type="paragraph" w:styleId="780">
    <w:name w:val="Header"/>
    <w:basedOn w:val="746"/>
    <w:link w:val="856"/>
    <w:uiPriority w:val="99"/>
    <w:unhideWhenUsed/>
    <w:qFormat/>
    <w:pPr>
      <w:jc w:val="center"/>
      <w:tabs>
        <w:tab w:val="center" w:pos="4153" w:leader="none"/>
        <w:tab w:val="right" w:pos="8306" w:leader="none"/>
      </w:tabs>
    </w:pPr>
    <w:rPr>
      <w:sz w:val="18"/>
      <w:szCs w:val="18"/>
    </w:rPr>
  </w:style>
  <w:style w:type="paragraph" w:styleId="781">
    <w:name w:val="toc 1"/>
    <w:basedOn w:val="746"/>
    <w:next w:val="746"/>
    <w:uiPriority w:val="39"/>
    <w:unhideWhenUsed/>
    <w:qFormat/>
    <w:pPr>
      <w:spacing w:after="57"/>
    </w:pPr>
  </w:style>
  <w:style w:type="paragraph" w:styleId="782">
    <w:name w:val="toc 4"/>
    <w:basedOn w:val="746"/>
    <w:next w:val="746"/>
    <w:uiPriority w:val="39"/>
    <w:unhideWhenUsed/>
    <w:qFormat/>
    <w:pPr>
      <w:ind w:left="850"/>
      <w:spacing w:after="57"/>
    </w:pPr>
  </w:style>
  <w:style w:type="paragraph" w:styleId="783">
    <w:name w:val="Subtitle"/>
    <w:basedOn w:val="746"/>
    <w:next w:val="746"/>
    <w:link w:val="877"/>
    <w:uiPriority w:val="0"/>
    <w:qFormat/>
    <w:pPr>
      <w:jc w:val="center"/>
      <w:spacing w:before="240" w:after="60" w:line="312" w:lineRule="auto"/>
      <w:outlineLvl w:val="1"/>
    </w:pPr>
    <w:rPr>
      <w:rFonts w:ascii="Cambria" w:hAnsi="Cambria"/>
      <w:b/>
      <w:bCs/>
      <w:sz w:val="32"/>
      <w:szCs w:val="32"/>
    </w:rPr>
  </w:style>
  <w:style w:type="paragraph" w:styleId="784">
    <w:name w:val="footnote text"/>
    <w:basedOn w:val="746"/>
    <w:next w:val="785"/>
    <w:link w:val="878"/>
    <w:uiPriority w:val="0"/>
    <w:qFormat/>
    <w:pPr>
      <w:jc w:val="left"/>
    </w:pPr>
    <w:rPr>
      <w:sz w:val="18"/>
      <w:szCs w:val="18"/>
    </w:rPr>
  </w:style>
  <w:style w:type="paragraph" w:styleId="785" w:customStyle="1">
    <w:name w:val="index 51"/>
    <w:basedOn w:val="746"/>
    <w:next w:val="746"/>
    <w:uiPriority w:val="0"/>
    <w:qFormat/>
    <w:pPr>
      <w:ind w:left="798"/>
      <w:jc w:val="left"/>
    </w:pPr>
    <w:rPr>
      <w:rFonts w:ascii="Calibri" w:hAnsi="Calibri"/>
    </w:rPr>
  </w:style>
  <w:style w:type="paragraph" w:styleId="786">
    <w:name w:val="toc 6"/>
    <w:basedOn w:val="746"/>
    <w:next w:val="746"/>
    <w:uiPriority w:val="39"/>
    <w:unhideWhenUsed/>
    <w:qFormat/>
    <w:pPr>
      <w:ind w:left="1417"/>
      <w:spacing w:after="57"/>
    </w:pPr>
  </w:style>
  <w:style w:type="paragraph" w:styleId="787">
    <w:name w:val="Body Text Indent 3"/>
    <w:basedOn w:val="746"/>
    <w:link w:val="879"/>
    <w:uiPriority w:val="0"/>
    <w:qFormat/>
    <w:pPr>
      <w:ind w:firstLine="523"/>
    </w:pPr>
    <w:rPr>
      <w:rFonts w:ascii="仿宋_GB2312" w:hAnsi="宋体" w:eastAsia="仿宋_GB2312"/>
      <w:sz w:val="24"/>
    </w:rPr>
  </w:style>
  <w:style w:type="paragraph" w:styleId="788">
    <w:name w:val="table of figures"/>
    <w:basedOn w:val="746"/>
    <w:next w:val="746"/>
    <w:uiPriority w:val="99"/>
    <w:unhideWhenUsed/>
    <w:qFormat/>
  </w:style>
  <w:style w:type="paragraph" w:styleId="789">
    <w:name w:val="toc 2"/>
    <w:basedOn w:val="746"/>
    <w:next w:val="746"/>
    <w:uiPriority w:val="39"/>
    <w:unhideWhenUsed/>
    <w:qFormat/>
    <w:pPr>
      <w:ind w:left="283"/>
      <w:spacing w:after="57"/>
    </w:pPr>
  </w:style>
  <w:style w:type="paragraph" w:styleId="790">
    <w:name w:val="toc 9"/>
    <w:basedOn w:val="746"/>
    <w:next w:val="746"/>
    <w:uiPriority w:val="39"/>
    <w:unhideWhenUsed/>
    <w:qFormat/>
    <w:pPr>
      <w:ind w:left="2268"/>
      <w:spacing w:after="57"/>
    </w:pPr>
  </w:style>
  <w:style w:type="paragraph" w:styleId="791">
    <w:name w:val="Body Text 2"/>
    <w:basedOn w:val="746"/>
    <w:link w:val="880"/>
    <w:uiPriority w:val="0"/>
    <w:qFormat/>
    <w:pPr>
      <w:jc w:val="center"/>
    </w:pPr>
    <w:rPr>
      <w:rFonts w:ascii="仿宋_GB2312" w:eastAsia="仿宋_GB2312"/>
      <w:sz w:val="44"/>
    </w:rPr>
  </w:style>
  <w:style w:type="paragraph" w:styleId="792">
    <w:name w:val="HTML Preformatted"/>
    <w:basedOn w:val="746"/>
    <w:link w:val="8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93">
    <w:name w:val="Normal (Web)"/>
    <w:basedOn w:val="746"/>
    <w:uiPriority w:val="0"/>
    <w:unhideWhenUsed/>
    <w:qFormat/>
    <w:pPr>
      <w:jc w:val="left"/>
      <w:spacing w:before="100" w:beforeAutospacing="1" w:after="100" w:afterAutospacing="1"/>
      <w:widowControl/>
    </w:pPr>
    <w:rPr>
      <w:rFonts w:ascii="宋体" w:hAnsi="宋体" w:cs="宋体"/>
      <w:sz w:val="24"/>
    </w:rPr>
  </w:style>
  <w:style w:type="paragraph" w:styleId="794">
    <w:name w:val="index 1"/>
    <w:basedOn w:val="746"/>
    <w:next w:val="746"/>
    <w:uiPriority w:val="0"/>
    <w:semiHidden/>
    <w:qFormat/>
    <w:rPr>
      <w:rFonts w:ascii="宋体" w:hAnsi="宋体"/>
      <w:szCs w:val="18"/>
    </w:rPr>
  </w:style>
  <w:style w:type="paragraph" w:styleId="795">
    <w:name w:val="Title"/>
    <w:basedOn w:val="746"/>
    <w:next w:val="746"/>
    <w:link w:val="882"/>
    <w:uiPriority w:val="0"/>
    <w:qFormat/>
    <w:pPr>
      <w:jc w:val="center"/>
      <w:spacing w:before="240" w:after="60"/>
      <w:outlineLvl w:val="0"/>
    </w:pPr>
    <w:rPr>
      <w:rFonts w:ascii="Cambria" w:hAnsi="Cambria"/>
      <w:b/>
      <w:bCs/>
      <w:sz w:val="32"/>
      <w:szCs w:val="32"/>
    </w:rPr>
  </w:style>
  <w:style w:type="paragraph" w:styleId="796">
    <w:name w:val="annotation subject"/>
    <w:basedOn w:val="763"/>
    <w:next w:val="763"/>
    <w:link w:val="883"/>
    <w:uiPriority w:val="0"/>
    <w:qFormat/>
    <w:rPr>
      <w:b/>
      <w:bCs/>
    </w:rPr>
  </w:style>
  <w:style w:type="paragraph" w:styleId="797">
    <w:name w:val="Body Text First Indent 2"/>
    <w:basedOn w:val="767"/>
    <w:link w:val="855"/>
    <w:uiPriority w:val="99"/>
    <w:semiHidden/>
    <w:unhideWhenUsed/>
    <w:qFormat/>
    <w:pPr>
      <w:ind w:firstLine="420"/>
    </w:pPr>
  </w:style>
  <w:style w:type="table" w:styleId="798">
    <w:name w:val="Table Grid"/>
    <w:basedOn w:val="7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basedOn w:val="756"/>
    <w:uiPriority w:val="22"/>
    <w:qFormat/>
    <w:rPr>
      <w:b/>
      <w:bCs/>
    </w:rPr>
  </w:style>
  <w:style w:type="character" w:styleId="800">
    <w:name w:val="endnote reference"/>
    <w:uiPriority w:val="99"/>
    <w:semiHidden/>
    <w:unhideWhenUsed/>
    <w:qFormat/>
    <w:rPr>
      <w:vertAlign w:val="superscript"/>
    </w:rPr>
  </w:style>
  <w:style w:type="character" w:styleId="801">
    <w:name w:val="page number"/>
    <w:uiPriority w:val="0"/>
    <w:qFormat/>
  </w:style>
  <w:style w:type="character" w:styleId="802">
    <w:name w:val="FollowedHyperlink"/>
    <w:uiPriority w:val="0"/>
    <w:qFormat/>
    <w:rPr>
      <w:color w:val="800080"/>
      <w:u w:val="single"/>
    </w:rPr>
  </w:style>
  <w:style w:type="character" w:styleId="803">
    <w:name w:val="Emphasis"/>
    <w:uiPriority w:val="0"/>
    <w:qFormat/>
    <w:rPr>
      <w:i/>
      <w:iCs/>
    </w:rPr>
  </w:style>
  <w:style w:type="character" w:styleId="804">
    <w:name w:val="Hyperlink"/>
    <w:basedOn w:val="756"/>
    <w:uiPriority w:val="99"/>
    <w:qFormat/>
    <w:rPr>
      <w:color w:val="0000ff"/>
      <w:u w:val="single"/>
    </w:rPr>
  </w:style>
  <w:style w:type="character" w:styleId="805">
    <w:name w:val="annotation reference"/>
    <w:uiPriority w:val="0"/>
    <w:qFormat/>
    <w:rPr>
      <w:sz w:val="21"/>
      <w:szCs w:val="21"/>
    </w:rPr>
  </w:style>
  <w:style w:type="character" w:styleId="806">
    <w:name w:val="footnote reference"/>
    <w:uiPriority w:val="99"/>
    <w:unhideWhenUsed/>
    <w:qFormat/>
    <w:rPr>
      <w:vertAlign w:val="superscript"/>
    </w:rPr>
  </w:style>
  <w:style w:type="paragraph" w:styleId="807" w:customStyle="1">
    <w:name w:val="Default"/>
    <w:next w:val="746"/>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808" w:customStyle="1">
    <w:name w:val="Fließtext"/>
    <w:basedOn w:val="746"/>
    <w:uiPriority w:val="0"/>
    <w:qFormat/>
    <w:rPr>
      <w:szCs w:val="20"/>
    </w:rPr>
  </w:style>
  <w:style w:type="table" w:styleId="809"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8" w:customStyle="1">
    <w:name w:val="TOC Heading"/>
    <w:uiPriority w:val="39"/>
    <w:unhideWhenUsed/>
    <w:qFormat/>
    <w:rPr>
      <w:rFonts w:hint="default" w:ascii="Times New Roman" w:hAnsi="Times New Roman" w:eastAsia="宋体" w:cs="Times New Roman"/>
    </w:rPr>
  </w:style>
  <w:style w:type="paragraph" w:styleId="829" w:customStyle="1">
    <w:name w:val="一级条标题"/>
    <w:basedOn w:val="830"/>
    <w:next w:val="831"/>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0" w:customStyle="1">
    <w:name w:val="章标题"/>
    <w:next w:val="746"/>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1" w:customStyle="1">
    <w:name w:val="段"/>
    <w:next w:val="746"/>
    <w:uiPriority w:val="0"/>
    <w:qFormat/>
    <w:pPr>
      <w:ind w:firstLine="200"/>
      <w:jc w:val="both"/>
      <w:widowControl w:val="off"/>
    </w:pPr>
    <w:rPr>
      <w:rFonts w:hint="default" w:ascii="宋体" w:hAnsi="宋体" w:eastAsia="宋体" w:cs="宋体"/>
      <w:color w:val="000000"/>
      <w:sz w:val="21"/>
      <w:szCs w:val="21"/>
      <w:lang w:val="en-US" w:eastAsia="zh-CN" w:bidi="ar-SA"/>
    </w:rPr>
  </w:style>
  <w:style w:type="table" w:styleId="832" w:customStyle="1">
    <w:name w:val="无格式表格 11"/>
    <w:basedOn w:val="75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basedOn w:val="75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7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7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7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75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5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网格表 31"/>
    <w:basedOn w:val="75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basedOn w:val="75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网格表 5 深色1"/>
    <w:basedOn w:val="75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网格表 6 彩色1"/>
    <w:basedOn w:val="75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网格表 7 彩色1"/>
    <w:basedOn w:val="75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清单表 1 浅色1"/>
    <w:basedOn w:val="75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清单表 21"/>
    <w:basedOn w:val="75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清单表 31"/>
    <w:basedOn w:val="75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41"/>
    <w:basedOn w:val="75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5 深色1"/>
    <w:basedOn w:val="75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basedOn w:val="75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清单表 7 彩色1"/>
    <w:basedOn w:val="757"/>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1" w:customStyle="1">
    <w:name w:val="Endnote Text Char"/>
    <w:uiPriority w:val="99"/>
    <w:qFormat/>
    <w:rPr>
      <w:sz w:val="20"/>
    </w:rPr>
  </w:style>
  <w:style w:type="paragraph" w:styleId="852" w:customStyle="1">
    <w:name w:val="TOC 标题1"/>
    <w:basedOn w:val="853"/>
    <w:next w:val="746"/>
    <w:uiPriority w:val="39"/>
    <w:unhideWhenUsed/>
    <w:qFormat/>
    <w:rPr>
      <w:rFonts w:ascii="Times New Roman" w:hAnsi="Times New Roman" w:eastAsia="宋体" w:cs="Times New Roman"/>
    </w:rPr>
  </w:style>
  <w:style w:type="paragraph" w:styleId="853" w:customStyle="1">
    <w:name w:val="标题 11"/>
    <w:basedOn w:val="746"/>
    <w:next w:val="746"/>
    <w:link w:val="884"/>
    <w:uiPriority w:val="9"/>
    <w:qFormat/>
    <w:pPr>
      <w:keepLines/>
      <w:keepNext/>
      <w:spacing w:before="480" w:after="200"/>
      <w:outlineLvl w:val="0"/>
    </w:pPr>
    <w:rPr>
      <w:rFonts w:ascii="Arial" w:hAnsi="Arial" w:eastAsia="Arial" w:cs="Arial"/>
      <w:sz w:val="40"/>
      <w:szCs w:val="40"/>
    </w:rPr>
  </w:style>
  <w:style w:type="character" w:styleId="854" w:customStyle="1">
    <w:name w:val="正文文本缩进 字符"/>
    <w:basedOn w:val="756"/>
    <w:link w:val="767"/>
    <w:uiPriority w:val="0"/>
    <w:qFormat/>
    <w:rPr>
      <w:rFonts w:ascii="Times New Roman" w:hAnsi="Times New Roman" w:eastAsia="宋体" w:cs="Times New Roman"/>
      <w:szCs w:val="24"/>
    </w:rPr>
  </w:style>
  <w:style w:type="character" w:styleId="855" w:customStyle="1">
    <w:name w:val="正文首行缩进 2 字符"/>
    <w:basedOn w:val="854"/>
    <w:link w:val="797"/>
    <w:uiPriority w:val="99"/>
    <w:semiHidden/>
    <w:qFormat/>
    <w:rPr>
      <w:rFonts w:ascii="Times New Roman" w:hAnsi="Times New Roman" w:eastAsia="宋体" w:cs="Times New Roman"/>
      <w:szCs w:val="24"/>
    </w:rPr>
  </w:style>
  <w:style w:type="character" w:styleId="856" w:customStyle="1">
    <w:name w:val="页眉 字符"/>
    <w:basedOn w:val="756"/>
    <w:link w:val="780"/>
    <w:uiPriority w:val="99"/>
    <w:qFormat/>
    <w:rPr>
      <w:rFonts w:ascii="Times New Roman" w:hAnsi="Times New Roman" w:eastAsia="宋体" w:cs="Times New Roman"/>
      <w:sz w:val="18"/>
      <w:szCs w:val="18"/>
    </w:rPr>
  </w:style>
  <w:style w:type="character" w:styleId="857" w:customStyle="1">
    <w:name w:val="页脚 字符"/>
    <w:basedOn w:val="756"/>
    <w:link w:val="778"/>
    <w:uiPriority w:val="99"/>
    <w:qFormat/>
    <w:rPr>
      <w:rFonts w:ascii="Times New Roman" w:hAnsi="Times New Roman" w:eastAsia="宋体" w:cs="Times New Roman"/>
      <w:sz w:val="18"/>
      <w:szCs w:val="18"/>
    </w:rPr>
  </w:style>
  <w:style w:type="character" w:styleId="858" w:customStyle="1">
    <w:name w:val="标题 1 字符"/>
    <w:basedOn w:val="756"/>
    <w:link w:val="747"/>
    <w:uiPriority w:val="0"/>
    <w:qFormat/>
    <w:rPr>
      <w:rFonts w:ascii="楷体_GB2312" w:hAnsi="Times New Roman" w:eastAsia="楷体_GB2312" w:cs="Times New Roman"/>
      <w:sz w:val="28"/>
      <w:szCs w:val="20"/>
    </w:rPr>
  </w:style>
  <w:style w:type="character" w:styleId="859" w:customStyle="1">
    <w:name w:val="标题 2 字符"/>
    <w:basedOn w:val="756"/>
    <w:link w:val="748"/>
    <w:uiPriority w:val="0"/>
    <w:qFormat/>
    <w:rPr>
      <w:rFonts w:ascii="Arial" w:hAnsi="Arial" w:eastAsia="幼圆" w:cs="Times New Roman"/>
      <w:b/>
      <w:sz w:val="44"/>
      <w:szCs w:val="20"/>
    </w:rPr>
  </w:style>
  <w:style w:type="character" w:styleId="860" w:customStyle="1">
    <w:name w:val="标题 3 字符"/>
    <w:basedOn w:val="756"/>
    <w:link w:val="749"/>
    <w:uiPriority w:val="0"/>
    <w:qFormat/>
    <w:rPr>
      <w:rFonts w:ascii="Times New Roman" w:hAnsi="Times New Roman" w:eastAsia="宋体" w:cs="Times New Roman"/>
      <w:b/>
      <w:sz w:val="32"/>
      <w:szCs w:val="20"/>
    </w:rPr>
  </w:style>
  <w:style w:type="character" w:styleId="861" w:customStyle="1">
    <w:name w:val="标题 4 字符"/>
    <w:basedOn w:val="756"/>
    <w:link w:val="750"/>
    <w:uiPriority w:val="0"/>
    <w:qFormat/>
    <w:rPr>
      <w:rFonts w:ascii="Arial" w:hAnsi="Arial" w:eastAsia="黑体" w:cs="Times New Roman"/>
      <w:sz w:val="28"/>
      <w:szCs w:val="28"/>
    </w:rPr>
  </w:style>
  <w:style w:type="character" w:styleId="862" w:customStyle="1">
    <w:name w:val="标题 5 字符"/>
    <w:basedOn w:val="756"/>
    <w:link w:val="751"/>
    <w:uiPriority w:val="0"/>
    <w:qFormat/>
    <w:rPr>
      <w:rFonts w:ascii="宋体" w:hAnsi="宋体" w:eastAsia="宋体" w:cs="Times New Roman"/>
      <w:b/>
      <w:bCs/>
      <w:szCs w:val="24"/>
    </w:rPr>
  </w:style>
  <w:style w:type="character" w:styleId="863" w:customStyle="1">
    <w:name w:val="标题 6 字符"/>
    <w:basedOn w:val="756"/>
    <w:link w:val="752"/>
    <w:uiPriority w:val="0"/>
    <w:qFormat/>
    <w:rPr>
      <w:rFonts w:ascii="Cambria" w:hAnsi="Cambria" w:eastAsia="宋体" w:cs="Times New Roman"/>
      <w:b/>
      <w:bCs/>
      <w:sz w:val="24"/>
      <w:szCs w:val="24"/>
    </w:rPr>
  </w:style>
  <w:style w:type="character" w:styleId="864" w:customStyle="1">
    <w:name w:val="标题 7 字符"/>
    <w:basedOn w:val="756"/>
    <w:link w:val="753"/>
    <w:uiPriority w:val="0"/>
    <w:qFormat/>
    <w:rPr>
      <w:rFonts w:ascii="Times New Roman" w:hAnsi="Times New Roman" w:eastAsia="宋体" w:cs="Times New Roman"/>
      <w:b/>
      <w:bCs/>
      <w:sz w:val="24"/>
      <w:szCs w:val="24"/>
    </w:rPr>
  </w:style>
  <w:style w:type="character" w:styleId="865" w:customStyle="1">
    <w:name w:val="标题 8 字符"/>
    <w:basedOn w:val="756"/>
    <w:link w:val="754"/>
    <w:uiPriority w:val="0"/>
    <w:qFormat/>
    <w:rPr>
      <w:rFonts w:ascii="Cambria" w:hAnsi="Cambria" w:eastAsia="宋体" w:cs="Times New Roman"/>
      <w:sz w:val="24"/>
      <w:szCs w:val="24"/>
    </w:rPr>
  </w:style>
  <w:style w:type="character" w:styleId="866" w:customStyle="1">
    <w:name w:val="标题 9 字符"/>
    <w:basedOn w:val="756"/>
    <w:link w:val="755"/>
    <w:uiPriority w:val="0"/>
    <w:qFormat/>
    <w:rPr>
      <w:rFonts w:ascii="Cambria" w:hAnsi="Cambria" w:eastAsia="宋体" w:cs="Times New Roman"/>
      <w:szCs w:val="21"/>
    </w:rPr>
  </w:style>
  <w:style w:type="character" w:styleId="867" w:customStyle="1">
    <w:name w:val="注释标题 字符"/>
    <w:basedOn w:val="756"/>
    <w:link w:val="759"/>
    <w:uiPriority w:val="0"/>
    <w:qFormat/>
    <w:rPr>
      <w:rFonts w:ascii="Times New Roman" w:hAnsi="Times New Roman" w:eastAsia="宋体" w:cs="Times New Roman"/>
      <w:sz w:val="24"/>
      <w:szCs w:val="20"/>
    </w:rPr>
  </w:style>
  <w:style w:type="character" w:styleId="868" w:customStyle="1">
    <w:name w:val="文档结构图 字符"/>
    <w:basedOn w:val="756"/>
    <w:link w:val="762"/>
    <w:uiPriority w:val="99"/>
    <w:qFormat/>
    <w:rPr>
      <w:rFonts w:ascii="Times New Roman" w:hAnsi="Times New Roman" w:eastAsia="宋体" w:cs="Times New Roman"/>
      <w:szCs w:val="24"/>
      <w:shd w:val="clear" w:color="auto" w:fill="000080"/>
    </w:rPr>
  </w:style>
  <w:style w:type="character" w:styleId="869" w:customStyle="1">
    <w:name w:val="批注文字 字符"/>
    <w:basedOn w:val="756"/>
    <w:link w:val="763"/>
    <w:uiPriority w:val="0"/>
    <w:qFormat/>
    <w:rPr>
      <w:rFonts w:ascii="Times New Roman" w:hAnsi="Times New Roman" w:eastAsia="宋体" w:cs="Times New Roman"/>
      <w:szCs w:val="24"/>
    </w:rPr>
  </w:style>
  <w:style w:type="character" w:styleId="870" w:customStyle="1">
    <w:name w:val="正文文本 3 字符"/>
    <w:basedOn w:val="756"/>
    <w:link w:val="764"/>
    <w:uiPriority w:val="0"/>
    <w:qFormat/>
    <w:rPr>
      <w:rFonts w:ascii="仿宋_GB2312" w:hAnsi="Arial" w:eastAsia="仿宋_GB2312" w:cs="Times New Roman"/>
      <w:sz w:val="32"/>
      <w:szCs w:val="20"/>
    </w:rPr>
  </w:style>
  <w:style w:type="character" w:styleId="871" w:customStyle="1">
    <w:name w:val="正文文本 字符"/>
    <w:basedOn w:val="756"/>
    <w:link w:val="765"/>
    <w:uiPriority w:val="0"/>
    <w:qFormat/>
    <w:rPr>
      <w:rFonts w:ascii="楷体_GB2312" w:hAnsi="Arial" w:eastAsia="楷体_GB2312" w:cs="Times New Roman"/>
      <w:sz w:val="28"/>
      <w:szCs w:val="20"/>
    </w:rPr>
  </w:style>
  <w:style w:type="character" w:styleId="872" w:customStyle="1">
    <w:name w:val="纯文本 字符"/>
    <w:basedOn w:val="756"/>
    <w:link w:val="772"/>
    <w:uiPriority w:val="0"/>
    <w:qFormat/>
    <w:rPr>
      <w:rFonts w:ascii="宋体" w:hAnsi="Courier New" w:eastAsia="宋体" w:cs="Times New Roman"/>
      <w:sz w:val="28"/>
      <w:szCs w:val="24"/>
    </w:rPr>
  </w:style>
  <w:style w:type="character" w:styleId="873" w:customStyle="1">
    <w:name w:val="日期 字符"/>
    <w:basedOn w:val="756"/>
    <w:link w:val="774"/>
    <w:uiPriority w:val="0"/>
    <w:qFormat/>
    <w:rPr>
      <w:rFonts w:ascii="Times New Roman" w:hAnsi="Times New Roman" w:eastAsia="宋体" w:cs="Times New Roman"/>
      <w:sz w:val="24"/>
      <w:szCs w:val="20"/>
    </w:rPr>
  </w:style>
  <w:style w:type="character" w:styleId="874" w:customStyle="1">
    <w:name w:val="正文文本缩进 2 字符"/>
    <w:basedOn w:val="756"/>
    <w:link w:val="775"/>
    <w:uiPriority w:val="0"/>
    <w:qFormat/>
    <w:rPr>
      <w:rFonts w:ascii="宋体" w:hAnsi="宋体" w:eastAsia="宋体" w:cs="Times New Roman"/>
      <w:sz w:val="28"/>
      <w:szCs w:val="24"/>
    </w:rPr>
  </w:style>
  <w:style w:type="character" w:styleId="875" w:customStyle="1">
    <w:name w:val="尾注文本 字符"/>
    <w:basedOn w:val="756"/>
    <w:link w:val="776"/>
    <w:uiPriority w:val="99"/>
    <w:semiHidden/>
    <w:qFormat/>
    <w:rPr>
      <w:rFonts w:ascii="Times New Roman" w:hAnsi="Times New Roman" w:eastAsia="宋体" w:cs="Times New Roman"/>
      <w:sz w:val="20"/>
      <w:szCs w:val="24"/>
    </w:rPr>
  </w:style>
  <w:style w:type="character" w:styleId="876" w:customStyle="1">
    <w:name w:val="批注框文本 字符"/>
    <w:basedOn w:val="756"/>
    <w:link w:val="777"/>
    <w:uiPriority w:val="99"/>
    <w:qFormat/>
    <w:rPr>
      <w:rFonts w:ascii="Times New Roman" w:hAnsi="Times New Roman" w:eastAsia="宋体" w:cs="Times New Roman"/>
      <w:sz w:val="18"/>
      <w:szCs w:val="18"/>
    </w:rPr>
  </w:style>
  <w:style w:type="character" w:styleId="877" w:customStyle="1">
    <w:name w:val="副标题 字符"/>
    <w:basedOn w:val="756"/>
    <w:link w:val="783"/>
    <w:uiPriority w:val="0"/>
    <w:qFormat/>
    <w:rPr>
      <w:rFonts w:ascii="Cambria" w:hAnsi="Cambria" w:eastAsia="宋体" w:cs="Times New Roman"/>
      <w:b/>
      <w:bCs/>
      <w:sz w:val="32"/>
      <w:szCs w:val="32"/>
    </w:rPr>
  </w:style>
  <w:style w:type="character" w:styleId="878" w:customStyle="1">
    <w:name w:val="脚注文本 字符"/>
    <w:basedOn w:val="756"/>
    <w:link w:val="784"/>
    <w:uiPriority w:val="0"/>
    <w:qFormat/>
    <w:rPr>
      <w:rFonts w:ascii="Times New Roman" w:hAnsi="Times New Roman" w:eastAsia="宋体" w:cs="Times New Roman"/>
      <w:sz w:val="18"/>
      <w:szCs w:val="18"/>
    </w:rPr>
  </w:style>
  <w:style w:type="character" w:styleId="879" w:customStyle="1">
    <w:name w:val="正文文本缩进 3 字符"/>
    <w:basedOn w:val="756"/>
    <w:link w:val="787"/>
    <w:uiPriority w:val="0"/>
    <w:qFormat/>
    <w:rPr>
      <w:rFonts w:ascii="仿宋_GB2312" w:hAnsi="宋体" w:eastAsia="仿宋_GB2312" w:cs="Times New Roman"/>
      <w:sz w:val="24"/>
      <w:szCs w:val="24"/>
    </w:rPr>
  </w:style>
  <w:style w:type="character" w:styleId="880" w:customStyle="1">
    <w:name w:val="正文文本 2 字符"/>
    <w:basedOn w:val="756"/>
    <w:link w:val="791"/>
    <w:uiPriority w:val="0"/>
    <w:qFormat/>
    <w:rPr>
      <w:rFonts w:ascii="仿宋_GB2312" w:hAnsi="Times New Roman" w:eastAsia="仿宋_GB2312" w:cs="Times New Roman"/>
      <w:sz w:val="44"/>
      <w:szCs w:val="24"/>
    </w:rPr>
  </w:style>
  <w:style w:type="character" w:styleId="881" w:customStyle="1">
    <w:name w:val="HTML 预设格式 字符"/>
    <w:basedOn w:val="756"/>
    <w:link w:val="792"/>
    <w:uiPriority w:val="0"/>
    <w:qFormat/>
    <w:rPr>
      <w:rFonts w:ascii="黑体" w:hAnsi="Courier New" w:eastAsia="黑体" w:cs="Times New Roman"/>
      <w:sz w:val="20"/>
      <w:szCs w:val="20"/>
    </w:rPr>
  </w:style>
  <w:style w:type="character" w:styleId="882" w:customStyle="1">
    <w:name w:val="标题 字符"/>
    <w:basedOn w:val="756"/>
    <w:link w:val="795"/>
    <w:uiPriority w:val="0"/>
    <w:qFormat/>
    <w:rPr>
      <w:rFonts w:ascii="Cambria" w:hAnsi="Cambria" w:eastAsia="宋体" w:cs="Times New Roman"/>
      <w:b/>
      <w:bCs/>
      <w:sz w:val="32"/>
      <w:szCs w:val="32"/>
    </w:rPr>
  </w:style>
  <w:style w:type="character" w:styleId="883" w:customStyle="1">
    <w:name w:val="批注主题 字符"/>
    <w:basedOn w:val="869"/>
    <w:link w:val="796"/>
    <w:uiPriority w:val="0"/>
    <w:qFormat/>
    <w:rPr>
      <w:rFonts w:ascii="Times New Roman" w:hAnsi="Times New Roman" w:eastAsia="宋体" w:cs="Times New Roman"/>
      <w:b/>
      <w:bCs/>
      <w:szCs w:val="24"/>
    </w:rPr>
  </w:style>
  <w:style w:type="character" w:styleId="884" w:customStyle="1">
    <w:name w:val="Heading 1 Char"/>
    <w:link w:val="853"/>
    <w:uiPriority w:val="9"/>
    <w:qFormat/>
    <w:rPr>
      <w:rFonts w:ascii="Arial" w:hAnsi="Arial" w:eastAsia="Arial" w:cs="Arial"/>
      <w:sz w:val="40"/>
      <w:szCs w:val="40"/>
    </w:rPr>
  </w:style>
  <w:style w:type="character" w:styleId="885" w:customStyle="1">
    <w:name w:val="Heading 2 Char"/>
    <w:uiPriority w:val="9"/>
    <w:qFormat/>
    <w:rPr>
      <w:rFonts w:ascii="Arial" w:hAnsi="Arial" w:eastAsia="Arial" w:cs="Arial"/>
      <w:sz w:val="34"/>
    </w:rPr>
  </w:style>
  <w:style w:type="character" w:styleId="886" w:customStyle="1">
    <w:name w:val="Heading 3 Char"/>
    <w:uiPriority w:val="9"/>
    <w:qFormat/>
    <w:rPr>
      <w:rFonts w:ascii="Arial" w:hAnsi="Arial" w:eastAsia="Arial" w:cs="Arial"/>
      <w:sz w:val="30"/>
      <w:szCs w:val="30"/>
    </w:rPr>
  </w:style>
  <w:style w:type="character" w:styleId="887" w:customStyle="1">
    <w:name w:val="Heading 4 Char"/>
    <w:uiPriority w:val="9"/>
    <w:qFormat/>
    <w:rPr>
      <w:rFonts w:ascii="Arial" w:hAnsi="Arial" w:eastAsia="Arial" w:cs="Arial"/>
      <w:b/>
      <w:bCs/>
      <w:sz w:val="26"/>
      <w:szCs w:val="26"/>
    </w:rPr>
  </w:style>
  <w:style w:type="character" w:styleId="888" w:customStyle="1">
    <w:name w:val="Heading 5 Char"/>
    <w:uiPriority w:val="9"/>
    <w:qFormat/>
    <w:rPr>
      <w:rFonts w:ascii="Arial" w:hAnsi="Arial" w:eastAsia="Arial" w:cs="Arial"/>
      <w:b/>
      <w:bCs/>
      <w:sz w:val="24"/>
      <w:szCs w:val="24"/>
    </w:rPr>
  </w:style>
  <w:style w:type="character" w:styleId="889" w:customStyle="1">
    <w:name w:val="Heading 6 Char"/>
    <w:uiPriority w:val="9"/>
    <w:qFormat/>
    <w:rPr>
      <w:rFonts w:ascii="Arial" w:hAnsi="Arial" w:eastAsia="Arial" w:cs="Arial"/>
      <w:b/>
      <w:bCs/>
      <w:sz w:val="22"/>
      <w:szCs w:val="22"/>
    </w:rPr>
  </w:style>
  <w:style w:type="character" w:styleId="890" w:customStyle="1">
    <w:name w:val="Heading 7 Char"/>
    <w:uiPriority w:val="9"/>
    <w:qFormat/>
    <w:rPr>
      <w:rFonts w:ascii="Arial" w:hAnsi="Arial" w:eastAsia="Arial" w:cs="Arial"/>
      <w:b/>
      <w:bCs/>
      <w:i/>
      <w:iCs/>
      <w:sz w:val="22"/>
      <w:szCs w:val="22"/>
    </w:rPr>
  </w:style>
  <w:style w:type="character" w:styleId="891" w:customStyle="1">
    <w:name w:val="Heading 8 Char"/>
    <w:uiPriority w:val="9"/>
    <w:qFormat/>
    <w:rPr>
      <w:rFonts w:ascii="Arial" w:hAnsi="Arial" w:eastAsia="Arial" w:cs="Arial"/>
      <w:i/>
      <w:iCs/>
      <w:sz w:val="22"/>
      <w:szCs w:val="22"/>
    </w:rPr>
  </w:style>
  <w:style w:type="character" w:styleId="892" w:customStyle="1">
    <w:name w:val="Heading 9 Char"/>
    <w:uiPriority w:val="9"/>
    <w:qFormat/>
    <w:rPr>
      <w:rFonts w:ascii="Arial" w:hAnsi="Arial" w:eastAsia="Arial" w:cs="Arial"/>
      <w:i/>
      <w:iCs/>
      <w:sz w:val="21"/>
      <w:szCs w:val="21"/>
    </w:rPr>
  </w:style>
  <w:style w:type="paragraph" w:styleId="893">
    <w:name w:val="No Spacing"/>
    <w:uiPriority w:val="0"/>
    <w:qFormat/>
    <w:pPr>
      <w:jc w:val="both"/>
      <w:widowControl w:val="off"/>
    </w:pPr>
    <w:rPr>
      <w:rFonts w:hint="default" w:ascii="Calibri" w:hAnsi="Calibri" w:eastAsia="宋体" w:cs="Times New Roman"/>
      <w:sz w:val="21"/>
      <w:szCs w:val="22"/>
      <w:lang w:val="en-US" w:eastAsia="zh-CN" w:bidi="ar-SA"/>
    </w:rPr>
  </w:style>
  <w:style w:type="character" w:styleId="894" w:customStyle="1">
    <w:name w:val="Title Char"/>
    <w:uiPriority w:val="10"/>
    <w:qFormat/>
    <w:rPr>
      <w:sz w:val="48"/>
      <w:szCs w:val="48"/>
    </w:rPr>
  </w:style>
  <w:style w:type="character" w:styleId="895" w:customStyle="1">
    <w:name w:val="Subtitle Char"/>
    <w:uiPriority w:val="11"/>
    <w:qFormat/>
    <w:rPr>
      <w:sz w:val="24"/>
      <w:szCs w:val="24"/>
    </w:rPr>
  </w:style>
  <w:style w:type="paragraph" w:styleId="896">
    <w:name w:val="Quote"/>
    <w:basedOn w:val="746"/>
    <w:next w:val="746"/>
    <w:link w:val="897"/>
    <w:uiPriority w:val="99"/>
    <w:qFormat/>
    <w:rPr>
      <w:i/>
      <w:iCs/>
      <w:color w:val="000000"/>
    </w:rPr>
  </w:style>
  <w:style w:type="character" w:styleId="897" w:customStyle="1">
    <w:name w:val="引用 字符"/>
    <w:basedOn w:val="756"/>
    <w:link w:val="896"/>
    <w:uiPriority w:val="99"/>
    <w:qFormat/>
    <w:rPr>
      <w:rFonts w:ascii="Times New Roman" w:hAnsi="Times New Roman" w:eastAsia="宋体" w:cs="Times New Roman"/>
      <w:i/>
      <w:iCs/>
      <w:color w:val="000000"/>
      <w:szCs w:val="24"/>
    </w:rPr>
  </w:style>
  <w:style w:type="character" w:styleId="898" w:customStyle="1">
    <w:name w:val="Quote Char"/>
    <w:uiPriority w:val="29"/>
    <w:qFormat/>
    <w:rPr>
      <w:i/>
    </w:rPr>
  </w:style>
  <w:style w:type="paragraph" w:styleId="899">
    <w:name w:val="Intense Quote"/>
    <w:basedOn w:val="746"/>
    <w:next w:val="746"/>
    <w:link w:val="900"/>
    <w:uiPriority w:val="99"/>
    <w:qFormat/>
    <w:pPr>
      <w:ind w:left="936" w:right="936"/>
      <w:spacing w:before="200" w:after="280"/>
      <w:pBdr>
        <w:bottom w:val="single" w:color="4F81BD" w:sz="4" w:space="4"/>
      </w:pBdr>
    </w:pPr>
    <w:rPr>
      <w:b/>
      <w:bCs/>
      <w:i/>
      <w:iCs/>
      <w:color w:val="4f81bd"/>
    </w:rPr>
  </w:style>
  <w:style w:type="character" w:styleId="900" w:customStyle="1">
    <w:name w:val="明显引用 字符"/>
    <w:basedOn w:val="756"/>
    <w:link w:val="899"/>
    <w:uiPriority w:val="99"/>
    <w:qFormat/>
    <w:rPr>
      <w:rFonts w:ascii="Times New Roman" w:hAnsi="Times New Roman" w:eastAsia="宋体" w:cs="Times New Roman"/>
      <w:b/>
      <w:bCs/>
      <w:i/>
      <w:iCs/>
      <w:color w:val="4f81bd"/>
      <w:szCs w:val="24"/>
    </w:rPr>
  </w:style>
  <w:style w:type="character" w:styleId="901" w:customStyle="1">
    <w:name w:val="Intense Quote Char"/>
    <w:uiPriority w:val="30"/>
    <w:qFormat/>
    <w:rPr>
      <w:i/>
    </w:rPr>
  </w:style>
  <w:style w:type="character" w:styleId="902" w:customStyle="1">
    <w:name w:val="Header Char"/>
    <w:uiPriority w:val="99"/>
    <w:qFormat/>
  </w:style>
  <w:style w:type="character" w:styleId="903" w:customStyle="1">
    <w:name w:val="Footer Char"/>
    <w:uiPriority w:val="99"/>
    <w:qFormat/>
  </w:style>
  <w:style w:type="character" w:styleId="904" w:customStyle="1">
    <w:name w:val="Caption Char"/>
    <w:uiPriority w:val="99"/>
    <w:qFormat/>
  </w:style>
  <w:style w:type="table" w:styleId="90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8" w:customStyle="1">
    <w:name w:val="List Table 1 Light - Accent 1"/>
    <w:uiPriority w:val="99"/>
    <w:qFormat/>
    <w:tblPr>
      <w:tblCellMar>
        <w:left w:w="0" w:type="dxa"/>
        <w:top w:w="0" w:type="dxa"/>
        <w:right w:w="0" w:type="dxa"/>
        <w:bottom w:w="0" w:type="dxa"/>
      </w:tblCellMar>
    </w:tblPr>
  </w:style>
  <w:style w:type="table" w:styleId="949" w:customStyle="1">
    <w:name w:val="List Table 1 Light - Accent 2"/>
    <w:uiPriority w:val="99"/>
    <w:qFormat/>
    <w:tblPr>
      <w:tblCellMar>
        <w:left w:w="0" w:type="dxa"/>
        <w:top w:w="0" w:type="dxa"/>
        <w:right w:w="0" w:type="dxa"/>
        <w:bottom w:w="0" w:type="dxa"/>
      </w:tblCellMar>
    </w:tblPr>
  </w:style>
  <w:style w:type="table" w:styleId="950" w:customStyle="1">
    <w:name w:val="List Table 1 Light - Accent 3"/>
    <w:uiPriority w:val="99"/>
    <w:qFormat/>
    <w:tblPr>
      <w:tblCellMar>
        <w:left w:w="0" w:type="dxa"/>
        <w:top w:w="0" w:type="dxa"/>
        <w:right w:w="0" w:type="dxa"/>
        <w:bottom w:w="0" w:type="dxa"/>
      </w:tblCellMar>
    </w:tblPr>
  </w:style>
  <w:style w:type="table" w:styleId="951" w:customStyle="1">
    <w:name w:val="List Table 1 Light - Accent 4"/>
    <w:uiPriority w:val="99"/>
    <w:qFormat/>
    <w:tblPr>
      <w:tblCellMar>
        <w:left w:w="0" w:type="dxa"/>
        <w:top w:w="0" w:type="dxa"/>
        <w:right w:w="0" w:type="dxa"/>
        <w:bottom w:w="0" w:type="dxa"/>
      </w:tblCellMar>
    </w:tblPr>
  </w:style>
  <w:style w:type="table" w:styleId="952" w:customStyle="1">
    <w:name w:val="List Table 1 Light - Accent 5"/>
    <w:uiPriority w:val="99"/>
    <w:qFormat/>
    <w:tblPr>
      <w:tblCellMar>
        <w:left w:w="0" w:type="dxa"/>
        <w:top w:w="0" w:type="dxa"/>
        <w:right w:w="0" w:type="dxa"/>
        <w:bottom w:w="0" w:type="dxa"/>
      </w:tblCellMar>
    </w:tblPr>
  </w:style>
  <w:style w:type="table" w:styleId="953" w:customStyle="1">
    <w:name w:val="List Table 1 Light - Accent 6"/>
    <w:uiPriority w:val="99"/>
    <w:qFormat/>
    <w:tblPr>
      <w:tblCellMar>
        <w:left w:w="0" w:type="dxa"/>
        <w:top w:w="0" w:type="dxa"/>
        <w:right w:w="0" w:type="dxa"/>
        <w:bottom w:w="0" w:type="dxa"/>
      </w:tblCellMar>
    </w:tblPr>
  </w:style>
  <w:style w:type="table" w:styleId="95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0" w:customStyle="1">
    <w:name w:val="Lined - Accent"/>
    <w:uiPriority w:val="99"/>
    <w:qFormat/>
    <w:rPr>
      <w:color w:val="404040"/>
    </w:rPr>
    <w:tblPr>
      <w:tblCellMar>
        <w:left w:w="0" w:type="dxa"/>
        <w:top w:w="0" w:type="dxa"/>
        <w:right w:w="0" w:type="dxa"/>
        <w:bottom w:w="0" w:type="dxa"/>
      </w:tblCellMar>
    </w:tblPr>
  </w:style>
  <w:style w:type="table" w:styleId="991" w:customStyle="1">
    <w:name w:val="Lined - Accent 1"/>
    <w:uiPriority w:val="99"/>
    <w:qFormat/>
    <w:rPr>
      <w:color w:val="404040"/>
    </w:rPr>
    <w:tblPr>
      <w:tblCellMar>
        <w:left w:w="0" w:type="dxa"/>
        <w:top w:w="0" w:type="dxa"/>
        <w:right w:w="0" w:type="dxa"/>
        <w:bottom w:w="0" w:type="dxa"/>
      </w:tblCellMar>
    </w:tblPr>
  </w:style>
  <w:style w:type="table" w:styleId="992" w:customStyle="1">
    <w:name w:val="Lined - Accent 2"/>
    <w:uiPriority w:val="99"/>
    <w:qFormat/>
    <w:rPr>
      <w:color w:val="404040"/>
    </w:rPr>
    <w:tblPr>
      <w:tblCellMar>
        <w:left w:w="0" w:type="dxa"/>
        <w:top w:w="0" w:type="dxa"/>
        <w:right w:w="0" w:type="dxa"/>
        <w:bottom w:w="0" w:type="dxa"/>
      </w:tblCellMar>
    </w:tblPr>
  </w:style>
  <w:style w:type="table" w:styleId="993" w:customStyle="1">
    <w:name w:val="Lined - Accent 3"/>
    <w:uiPriority w:val="99"/>
    <w:qFormat/>
    <w:rPr>
      <w:color w:val="404040"/>
    </w:rPr>
    <w:tblPr>
      <w:tblCellMar>
        <w:left w:w="0" w:type="dxa"/>
        <w:top w:w="0" w:type="dxa"/>
        <w:right w:w="0" w:type="dxa"/>
        <w:bottom w:w="0" w:type="dxa"/>
      </w:tblCellMar>
    </w:tblPr>
  </w:style>
  <w:style w:type="table" w:styleId="994" w:customStyle="1">
    <w:name w:val="Lined - Accent 4"/>
    <w:uiPriority w:val="99"/>
    <w:qFormat/>
    <w:rPr>
      <w:color w:val="404040"/>
    </w:rPr>
    <w:tblPr>
      <w:tblCellMar>
        <w:left w:w="0" w:type="dxa"/>
        <w:top w:w="0" w:type="dxa"/>
        <w:right w:w="0" w:type="dxa"/>
        <w:bottom w:w="0" w:type="dxa"/>
      </w:tblCellMar>
    </w:tblPr>
  </w:style>
  <w:style w:type="table" w:styleId="995" w:customStyle="1">
    <w:name w:val="Lined - Accent 5"/>
    <w:uiPriority w:val="99"/>
    <w:qFormat/>
    <w:rPr>
      <w:color w:val="404040"/>
    </w:rPr>
    <w:tblPr>
      <w:tblCellMar>
        <w:left w:w="0" w:type="dxa"/>
        <w:top w:w="0" w:type="dxa"/>
        <w:right w:w="0" w:type="dxa"/>
        <w:bottom w:w="0" w:type="dxa"/>
      </w:tblCellMar>
    </w:tblPr>
  </w:style>
  <w:style w:type="table" w:styleId="996" w:customStyle="1">
    <w:name w:val="Lined - Accent 6"/>
    <w:uiPriority w:val="99"/>
    <w:qFormat/>
    <w:rPr>
      <w:color w:val="404040"/>
    </w:rPr>
    <w:tblPr>
      <w:tblCellMar>
        <w:left w:w="0" w:type="dxa"/>
        <w:top w:w="0" w:type="dxa"/>
        <w:right w:w="0" w:type="dxa"/>
        <w:bottom w:w="0" w:type="dxa"/>
      </w:tblCellMar>
    </w:tblPr>
  </w:style>
  <w:style w:type="table" w:styleId="99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1" w:customStyle="1">
    <w:name w:val="Footnote Text Char"/>
    <w:uiPriority w:val="99"/>
    <w:qFormat/>
    <w:rPr>
      <w:sz w:val="18"/>
    </w:rPr>
  </w:style>
  <w:style w:type="paragraph" w:styleId="1012" w:customStyle="1">
    <w:name w:val="TOC 标题11"/>
    <w:uiPriority w:val="39"/>
    <w:unhideWhenUsed/>
    <w:qFormat/>
    <w:rPr>
      <w:rFonts w:hint="default" w:ascii="Times New Roman" w:hAnsi="Times New Roman" w:eastAsia="宋体" w:cs="Times New Roman"/>
      <w:lang w:val="en-US" w:eastAsia="zh-CN" w:bidi="ar-SA"/>
    </w:rPr>
  </w:style>
  <w:style w:type="character" w:styleId="1013" w:customStyle="1">
    <w:name w:val="正文缩进 字符"/>
    <w:link w:val="760"/>
    <w:uiPriority w:val="0"/>
    <w:qFormat/>
    <w:rPr>
      <w:rFonts w:ascii="Times New Roman" w:hAnsi="Times New Roman" w:eastAsia="宋体" w:cs="Times New Roman"/>
      <w:szCs w:val="20"/>
    </w:rPr>
  </w:style>
  <w:style w:type="paragraph" w:styleId="1014" w:customStyle="1">
    <w:name w:val="目录 71"/>
    <w:basedOn w:val="746"/>
    <w:next w:val="746"/>
    <w:uiPriority w:val="0"/>
    <w:qFormat/>
    <w:pPr>
      <w:ind w:left="2520"/>
    </w:pPr>
  </w:style>
  <w:style w:type="paragraph" w:styleId="1015" w:customStyle="1">
    <w:name w:val="目录 51"/>
    <w:basedOn w:val="746"/>
    <w:next w:val="746"/>
    <w:uiPriority w:val="0"/>
    <w:qFormat/>
    <w:pPr>
      <w:ind w:left="1680"/>
    </w:pPr>
  </w:style>
  <w:style w:type="paragraph" w:styleId="1016" w:customStyle="1">
    <w:name w:val="目录 31"/>
    <w:basedOn w:val="746"/>
    <w:next w:val="746"/>
    <w:uiPriority w:val="39"/>
    <w:qFormat/>
    <w:pPr>
      <w:ind w:left="539"/>
      <w:jc w:val="left"/>
      <w:spacing w:line="240" w:lineRule="exact"/>
      <w:tabs>
        <w:tab w:val="right" w:pos="9440" w:leader="dot"/>
      </w:tabs>
    </w:pPr>
    <w:rPr>
      <w:rFonts w:ascii="黑体" w:hAnsi="宋体" w:eastAsia="黑体"/>
      <w:bCs/>
      <w:iCs/>
      <w:sz w:val="18"/>
      <w:szCs w:val="32"/>
    </w:rPr>
  </w:style>
  <w:style w:type="paragraph" w:styleId="1017" w:customStyle="1">
    <w:name w:val="目录 81"/>
    <w:basedOn w:val="746"/>
    <w:next w:val="746"/>
    <w:uiPriority w:val="0"/>
    <w:qFormat/>
    <w:pPr>
      <w:ind w:left="2940"/>
    </w:pPr>
  </w:style>
  <w:style w:type="paragraph" w:styleId="1018" w:customStyle="1">
    <w:name w:val="目录 11"/>
    <w:basedOn w:val="746"/>
    <w:next w:val="746"/>
    <w:uiPriority w:val="39"/>
    <w:qFormat/>
    <w:pPr>
      <w:jc w:val="left"/>
      <w:spacing w:before="120" w:after="120" w:line="300" w:lineRule="exact"/>
      <w:tabs>
        <w:tab w:val="right" w:pos="9440" w:leader="dot"/>
      </w:tabs>
    </w:pPr>
    <w:rPr>
      <w:rFonts w:ascii="黑体" w:eastAsia="黑体"/>
      <w:b/>
      <w:caps/>
      <w:sz w:val="18"/>
      <w:szCs w:val="28"/>
    </w:rPr>
  </w:style>
  <w:style w:type="paragraph" w:styleId="1019" w:customStyle="1">
    <w:name w:val="目录 41"/>
    <w:basedOn w:val="746"/>
    <w:next w:val="746"/>
    <w:uiPriority w:val="0"/>
    <w:qFormat/>
    <w:pPr>
      <w:ind w:left="1260"/>
    </w:pPr>
  </w:style>
  <w:style w:type="paragraph" w:styleId="1020" w:customStyle="1">
    <w:name w:val="目录 61"/>
    <w:basedOn w:val="746"/>
    <w:next w:val="746"/>
    <w:uiPriority w:val="0"/>
    <w:qFormat/>
    <w:pPr>
      <w:ind w:left="2100"/>
    </w:pPr>
  </w:style>
  <w:style w:type="paragraph" w:styleId="1021" w:customStyle="1">
    <w:name w:val="目录 21"/>
    <w:basedOn w:val="746"/>
    <w:next w:val="746"/>
    <w:uiPriority w:val="39"/>
    <w:qFormat/>
    <w:pPr>
      <w:jc w:val="left"/>
      <w:spacing w:line="260" w:lineRule="exact"/>
      <w:tabs>
        <w:tab w:val="right" w:pos="9440" w:leader="dot"/>
      </w:tabs>
    </w:pPr>
    <w:rPr>
      <w:rFonts w:ascii="黑体" w:eastAsia="黑体"/>
      <w:b/>
      <w:bCs/>
      <w:smallCaps/>
      <w:sz w:val="18"/>
      <w:szCs w:val="44"/>
    </w:rPr>
  </w:style>
  <w:style w:type="paragraph" w:styleId="1022" w:customStyle="1">
    <w:name w:val="目录 91"/>
    <w:basedOn w:val="746"/>
    <w:next w:val="746"/>
    <w:uiPriority w:val="0"/>
    <w:qFormat/>
    <w:pPr>
      <w:ind w:left="3360"/>
    </w:pPr>
  </w:style>
  <w:style w:type="paragraph" w:styleId="1023" w:customStyle="1">
    <w:name w:val="正文首行缩进1"/>
    <w:basedOn w:val="1024"/>
    <w:uiPriority w:val="99"/>
    <w:qFormat/>
    <w:pPr>
      <w:ind w:firstLine="200"/>
      <w:spacing w:line="360" w:lineRule="auto"/>
    </w:pPr>
    <w:rPr>
      <w:rFonts w:ascii="仿宋_GB2312" w:eastAsia="仿宋_GB2312"/>
      <w:sz w:val="30"/>
      <w:szCs w:val="30"/>
    </w:rPr>
  </w:style>
  <w:style w:type="paragraph" w:styleId="1024" w:customStyle="1">
    <w:name w:val="正文文本11"/>
    <w:basedOn w:val="1025"/>
    <w:next w:val="1026"/>
    <w:uiPriority w:val="0"/>
    <w:qFormat/>
    <w:pPr>
      <w:spacing w:after="120"/>
    </w:pPr>
  </w:style>
  <w:style w:type="paragraph" w:styleId="1025" w:customStyle="1">
    <w:name w:val="正文112"/>
    <w:next w:val="10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正文11"/>
    <w:next w:val="1027"/>
    <w:uiPriority w:val="0"/>
    <w:qFormat/>
    <w:pPr>
      <w:jc w:val="both"/>
    </w:pPr>
    <w:rPr>
      <w:rFonts w:hint="default" w:ascii="Times New Roman" w:hAnsi="Times New Roman" w:eastAsia="宋体" w:cs="Times New Roman"/>
      <w:lang w:val="en-US" w:eastAsia="zh-CN" w:bidi="ar-SA"/>
    </w:rPr>
  </w:style>
  <w:style w:type="paragraph" w:styleId="1027" w:customStyle="1">
    <w:name w:val="文本块1"/>
    <w:basedOn w:val="1028"/>
    <w:next w:val="1029"/>
    <w:uiPriority w:val="0"/>
    <w:qFormat/>
    <w:pPr>
      <w:ind w:left="256" w:right="6" w:firstLine="624"/>
    </w:pPr>
    <w:rPr>
      <w:rFonts w:eastAsia="仿宋_GB2312"/>
      <w:sz w:val="28"/>
      <w:szCs w:val="20"/>
    </w:rPr>
  </w:style>
  <w:style w:type="paragraph" w:styleId="1028" w:customStyle="1">
    <w:name w:val="正文111"/>
    <w:next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9" w:customStyle="1">
    <w:name w:val="标题 41"/>
    <w:basedOn w:val="1030"/>
    <w:next w:val="1026"/>
    <w:uiPriority w:val="0"/>
    <w:qFormat/>
    <w:pPr>
      <w:keepLines/>
      <w:keepNext/>
      <w:spacing w:before="280" w:after="290" w:line="376" w:lineRule="auto"/>
      <w:outlineLvl w:val="3"/>
    </w:pPr>
    <w:rPr>
      <w:rFonts w:ascii="Arial" w:hAnsi="Arial" w:eastAsia="黑体"/>
      <w:b/>
      <w:bCs/>
      <w:sz w:val="28"/>
      <w:szCs w:val="28"/>
    </w:rPr>
  </w:style>
  <w:style w:type="paragraph" w:styleId="1030" w:customStyle="1">
    <w:name w:val="正文1111"/>
    <w:next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文本块11"/>
    <w:basedOn w:val="1030"/>
    <w:uiPriority w:val="0"/>
    <w:qFormat/>
    <w:pPr>
      <w:ind w:left="567" w:right="454" w:firstLine="498"/>
      <w:jc w:val="left"/>
      <w:widowControl/>
    </w:pPr>
    <w:rPr>
      <w:rFonts w:ascii="仿宋_GB2312" w:eastAsia="仿宋_GB2312"/>
      <w:sz w:val="30"/>
      <w:szCs w:val="20"/>
    </w:rPr>
  </w:style>
  <w:style w:type="paragraph" w:styleId="1032" w:customStyle="1">
    <w:name w:val="正文首行缩进 211"/>
    <w:basedOn w:val="767"/>
    <w:next w:val="760"/>
    <w:uiPriority w:val="0"/>
    <w:qFormat/>
    <w:pPr>
      <w:ind w:left="0" w:firstLine="420"/>
      <w:spacing w:after="0" w:line="360" w:lineRule="auto"/>
    </w:pPr>
    <w:rPr>
      <w:rFonts w:ascii="宋体" w:hAnsi="宋体"/>
      <w:szCs w:val="20"/>
    </w:rPr>
  </w:style>
  <w:style w:type="paragraph" w:styleId="1033" w:customStyle="1">
    <w:name w:val="BodyText1I21"/>
    <w:basedOn w:val="1034"/>
    <w:uiPriority w:val="0"/>
    <w:qFormat/>
    <w:pPr>
      <w:ind w:left="420" w:firstLine="420"/>
      <w:spacing w:after="120" w:line="240" w:lineRule="auto"/>
    </w:pPr>
  </w:style>
  <w:style w:type="paragraph" w:styleId="1034" w:customStyle="1">
    <w:name w:val="BodyTextIndent1"/>
    <w:basedOn w:val="746"/>
    <w:uiPriority w:val="0"/>
    <w:qFormat/>
    <w:pPr>
      <w:ind w:firstLine="552"/>
      <w:spacing w:before="240" w:line="360" w:lineRule="auto"/>
    </w:pPr>
  </w:style>
  <w:style w:type="character" w:styleId="1035" w:customStyle="1">
    <w:name w:val="批注文字 字符1"/>
    <w:uiPriority w:val="99"/>
    <w:semiHidden/>
    <w:qFormat/>
    <w:rPr>
      <w:rFonts w:ascii="Times New Roman" w:hAnsi="Times New Roman" w:eastAsia="宋体" w:cs="Times New Roman"/>
      <w:szCs w:val="24"/>
    </w:rPr>
  </w:style>
  <w:style w:type="character" w:styleId="1036" w:customStyle="1">
    <w:name w:val="引用 Char"/>
    <w:uiPriority w:val="0"/>
    <w:qFormat/>
    <w:rPr>
      <w:i/>
      <w:iCs/>
      <w:color w:val="000000"/>
      <w:sz w:val="21"/>
      <w:szCs w:val="22"/>
    </w:rPr>
  </w:style>
  <w:style w:type="character" w:styleId="1037" w:customStyle="1">
    <w:name w:val="jj1"/>
    <w:uiPriority w:val="0"/>
    <w:qFormat/>
    <w:rPr>
      <w:sz w:val="20"/>
      <w:szCs w:val="20"/>
      <w:u w:val="none"/>
    </w:rPr>
  </w:style>
  <w:style w:type="character" w:styleId="1038" w:customStyle="1">
    <w:name w:val="textcontents"/>
    <w:uiPriority w:val="0"/>
    <w:qFormat/>
    <w:rPr>
      <w:rFonts w:cs="Times New Roman"/>
    </w:rPr>
  </w:style>
  <w:style w:type="character" w:styleId="1039" w:customStyle="1">
    <w:name w:val="fontstyle01"/>
    <w:uiPriority w:val="0"/>
    <w:qFormat/>
    <w:rPr>
      <w:rFonts w:hint="eastAsia" w:ascii="宋体" w:hAnsi="宋体" w:eastAsia="宋体"/>
      <w:color w:val="000000"/>
      <w:sz w:val="22"/>
      <w:szCs w:val="22"/>
    </w:rPr>
  </w:style>
  <w:style w:type="character" w:styleId="1040" w:customStyle="1">
    <w:name w:val="Char Char7"/>
    <w:uiPriority w:val="0"/>
    <w:qFormat/>
    <w:rPr>
      <w:rFonts w:ascii="Arial" w:hAnsi="Arial" w:eastAsia="黑体"/>
      <w:b/>
      <w:bCs/>
      <w:sz w:val="32"/>
      <w:szCs w:val="32"/>
    </w:rPr>
  </w:style>
  <w:style w:type="character" w:styleId="1041" w:customStyle="1">
    <w:name w:val="标题2 Char"/>
    <w:uiPriority w:val="0"/>
    <w:qFormat/>
    <w:rPr>
      <w:rFonts w:ascii="方正楷体_GBK" w:hAnsi="Book Antiqua" w:eastAsia="方正楷体_GBK"/>
      <w:sz w:val="32"/>
      <w:lang w:val="en-US" w:eastAsia="zh-CN" w:bidi="ar-SA"/>
    </w:rPr>
  </w:style>
  <w:style w:type="character" w:styleId="1042" w:customStyle="1">
    <w:name w:val="标题5 Char Char"/>
    <w:link w:val="1043"/>
    <w:uiPriority w:val="0"/>
    <w:qFormat/>
    <w:rPr>
      <w:rFonts w:ascii="Arial" w:hAnsi="Arial"/>
      <w:b/>
      <w:bCs/>
      <w:sz w:val="24"/>
      <w:szCs w:val="32"/>
    </w:rPr>
  </w:style>
  <w:style w:type="paragraph" w:styleId="1043" w:customStyle="1">
    <w:name w:val="标题5"/>
    <w:basedOn w:val="749"/>
    <w:link w:val="1042"/>
    <w:uiPriority w:val="0"/>
    <w:qFormat/>
    <w:pPr>
      <w:spacing w:line="413" w:lineRule="auto"/>
    </w:pPr>
    <w:rPr>
      <w:rFonts w:ascii="Arial" w:hAnsi="Arial" w:eastAsiaTheme="minorEastAsia" w:cstheme="minorBidi"/>
      <w:bCs/>
      <w:sz w:val="24"/>
      <w:szCs w:val="32"/>
    </w:rPr>
  </w:style>
  <w:style w:type="character" w:styleId="1044" w:customStyle="1">
    <w:name w:val="_Style 138"/>
    <w:uiPriority w:val="0"/>
    <w:qFormat/>
    <w:rPr>
      <w:b/>
      <w:bCs/>
      <w:smallCaps/>
      <w:spacing w:val="5"/>
    </w:rPr>
  </w:style>
  <w:style w:type="character" w:styleId="1045" w:customStyle="1">
    <w:name w:val="明显引用 Char"/>
    <w:uiPriority w:val="0"/>
    <w:qFormat/>
    <w:rPr>
      <w:b/>
      <w:bCs/>
      <w:i/>
      <w:iCs/>
      <w:color w:val="4f81bd"/>
      <w:sz w:val="21"/>
      <w:szCs w:val="22"/>
    </w:rPr>
  </w:style>
  <w:style w:type="character" w:styleId="1046" w:customStyle="1">
    <w:name w:val="Char Char71"/>
    <w:uiPriority w:val="0"/>
    <w:qFormat/>
    <w:rPr>
      <w:rFonts w:ascii="Arial" w:hAnsi="Arial" w:eastAsia="黑体"/>
      <w:b/>
      <w:bCs/>
      <w:sz w:val="32"/>
      <w:szCs w:val="32"/>
    </w:rPr>
  </w:style>
  <w:style w:type="character" w:styleId="1047" w:customStyle="1">
    <w:name w:val="_Style 132"/>
    <w:uiPriority w:val="0"/>
    <w:qFormat/>
    <w:rPr>
      <w:i/>
      <w:iCs/>
      <w:color w:val="808080"/>
    </w:rPr>
  </w:style>
  <w:style w:type="character" w:styleId="1048" w:customStyle="1">
    <w:name w:val="批注主题 Char2"/>
    <w:uiPriority w:val="0"/>
    <w:qFormat/>
  </w:style>
  <w:style w:type="character" w:styleId="1049" w:customStyle="1">
    <w:name w:val="_Style 147"/>
    <w:uiPriority w:val="0"/>
    <w:qFormat/>
    <w:rPr>
      <w:smallCaps/>
      <w:color w:val="c0504d"/>
      <w:u w:val="single"/>
    </w:rPr>
  </w:style>
  <w:style w:type="character" w:styleId="1050" w:customStyle="1">
    <w:name w:val="批注框文本 Char1"/>
    <w:uiPriority w:val="0"/>
    <w:qFormat/>
    <w:rPr>
      <w:sz w:val="18"/>
      <w:szCs w:val="18"/>
    </w:rPr>
  </w:style>
  <w:style w:type="character" w:styleId="1051" w:customStyle="1">
    <w:name w:val="日期 Char1"/>
    <w:uiPriority w:val="0"/>
    <w:qFormat/>
    <w:rPr>
      <w:sz w:val="21"/>
      <w:szCs w:val="22"/>
    </w:rPr>
  </w:style>
  <w:style w:type="character" w:styleId="1052" w:customStyle="1">
    <w:name w:val="列出段落 Char"/>
    <w:link w:val="1053"/>
    <w:uiPriority w:val="0"/>
    <w:qFormat/>
    <w:rPr>
      <w:rFonts w:ascii="Calibri" w:hAnsi="Calibri"/>
      <w:sz w:val="24"/>
      <w:szCs w:val="24"/>
      <w:lang w:eastAsia="en-US" w:bidi="en-US"/>
    </w:rPr>
  </w:style>
  <w:style w:type="paragraph" w:styleId="1053" w:customStyle="1">
    <w:name w:val="列出段落1"/>
    <w:basedOn w:val="746"/>
    <w:link w:val="1052"/>
    <w:uiPriority w:val="0"/>
    <w:qFormat/>
    <w:pPr>
      <w:contextualSpacing/>
      <w:ind w:left="720"/>
      <w:jc w:val="left"/>
      <w:widowControl/>
    </w:pPr>
    <w:rPr>
      <w:rFonts w:ascii="Calibri" w:hAnsi="Calibri" w:eastAsiaTheme="minorEastAsia" w:cstheme="minorBidi"/>
      <w:sz w:val="24"/>
      <w:lang w:eastAsia="en-US" w:bidi="en-US"/>
    </w:rPr>
  </w:style>
  <w:style w:type="character" w:styleId="1054" w:customStyle="1">
    <w:name w:val="Char Char19"/>
    <w:uiPriority w:val="0"/>
    <w:qFormat/>
    <w:rPr>
      <w:rFonts w:ascii="Arial" w:hAnsi="Arial" w:eastAsia="黑体"/>
      <w:b/>
      <w:bCs/>
      <w:sz w:val="32"/>
      <w:szCs w:val="32"/>
      <w:lang w:val="en-US" w:eastAsia="zh-CN" w:bidi="ar-SA"/>
    </w:rPr>
  </w:style>
  <w:style w:type="character" w:styleId="1055" w:customStyle="1">
    <w:name w:val="标题4 Char Char"/>
    <w:link w:val="1056"/>
    <w:uiPriority w:val="0"/>
    <w:qFormat/>
    <w:rPr>
      <w:rFonts w:ascii="Arial" w:hAnsi="Arial"/>
      <w:b/>
      <w:bCs/>
      <w:sz w:val="24"/>
      <w:szCs w:val="32"/>
    </w:rPr>
  </w:style>
  <w:style w:type="paragraph" w:styleId="1056" w:customStyle="1">
    <w:name w:val="标题4"/>
    <w:basedOn w:val="748"/>
    <w:next w:val="769"/>
    <w:link w:val="1055"/>
    <w:uiPriority w:val="0"/>
    <w:qFormat/>
    <w:pPr>
      <w:jc w:val="both"/>
      <w:spacing w:line="413" w:lineRule="auto"/>
    </w:pPr>
    <w:rPr>
      <w:rFonts w:eastAsiaTheme="minorEastAsia" w:cstheme="minorBidi"/>
      <w:bCs/>
      <w:sz w:val="24"/>
      <w:szCs w:val="32"/>
    </w:rPr>
  </w:style>
  <w:style w:type="character" w:styleId="1057" w:customStyle="1">
    <w:name w:val="_Style 137"/>
    <w:uiPriority w:val="0"/>
    <w:qFormat/>
    <w:rPr>
      <w:b/>
      <w:bCs/>
      <w:smallCaps/>
      <w:color w:val="c0504d"/>
      <w:spacing w:val="5"/>
      <w:u w:val="single"/>
    </w:rPr>
  </w:style>
  <w:style w:type="character" w:styleId="1058" w:customStyle="1">
    <w:name w:val="批注主题 Char1"/>
    <w:uiPriority w:val="0"/>
    <w:qFormat/>
    <w:rPr>
      <w:b/>
      <w:bCs/>
      <w:sz w:val="21"/>
      <w:szCs w:val="22"/>
    </w:rPr>
  </w:style>
  <w:style w:type="character" w:styleId="1059" w:customStyle="1">
    <w:name w:val="批注主题 字符1"/>
    <w:uiPriority w:val="99"/>
    <w:semiHidden/>
    <w:qFormat/>
    <w:rPr>
      <w:rFonts w:ascii="Times New Roman" w:hAnsi="Times New Roman" w:eastAsia="宋体" w:cs="Times New Roman"/>
      <w:b/>
      <w:bCs/>
      <w:szCs w:val="24"/>
    </w:rPr>
  </w:style>
  <w:style w:type="character" w:styleId="1060" w:customStyle="1">
    <w:name w:val="notprint"/>
    <w:uiPriority w:val="0"/>
    <w:qFormat/>
  </w:style>
  <w:style w:type="character" w:styleId="1061" w:customStyle="1">
    <w:name w:val="普通正文 Char"/>
    <w:link w:val="1062"/>
    <w:uiPriority w:val="0"/>
    <w:qFormat/>
    <w:rPr>
      <w:rFonts w:ascii="Arial" w:hAnsi="Arial"/>
      <w:sz w:val="24"/>
      <w:szCs w:val="24"/>
    </w:rPr>
  </w:style>
  <w:style w:type="paragraph" w:styleId="1062" w:customStyle="1">
    <w:name w:val="普通正文"/>
    <w:basedOn w:val="746"/>
    <w:link w:val="1061"/>
    <w:uiPriority w:val="0"/>
    <w:qFormat/>
    <w:pPr>
      <w:ind w:firstLine="480"/>
      <w:jc w:val="left"/>
      <w:spacing w:before="120" w:after="120" w:line="360" w:lineRule="auto"/>
    </w:pPr>
    <w:rPr>
      <w:rFonts w:ascii="Arial" w:hAnsi="Arial" w:eastAsiaTheme="minorEastAsia" w:cstheme="minorBidi"/>
      <w:sz w:val="24"/>
    </w:rPr>
  </w:style>
  <w:style w:type="character" w:styleId="1063" w:customStyle="1">
    <w:name w:val="标题 2 Char_1_0"/>
    <w:link w:val="1064"/>
    <w:uiPriority w:val="99"/>
    <w:qFormat/>
    <w:rPr>
      <w:rFonts w:ascii="Cambria" w:hAnsi="Cambria"/>
      <w:b/>
      <w:bCs/>
      <w:sz w:val="32"/>
      <w:szCs w:val="32"/>
    </w:rPr>
  </w:style>
  <w:style w:type="paragraph" w:styleId="1064" w:customStyle="1">
    <w:name w:val="标题 2_1_0"/>
    <w:basedOn w:val="1065"/>
    <w:next w:val="1065"/>
    <w:link w:val="1063"/>
    <w:uiPriority w:val="99"/>
    <w:unhideWhenUsed/>
    <w:qFormat/>
    <w:pPr>
      <w:keepLines/>
      <w:keepNext/>
      <w:spacing w:before="260" w:after="260" w:line="416" w:lineRule="auto"/>
      <w:outlineLvl w:val="1"/>
    </w:pPr>
    <w:rPr>
      <w:rFonts w:ascii="Cambria" w:hAnsi="Cambria" w:eastAsiaTheme="minorEastAsia" w:cstheme="minorBidi"/>
      <w:b/>
      <w:bCs/>
      <w:sz w:val="32"/>
      <w:szCs w:val="32"/>
    </w:rPr>
  </w:style>
  <w:style w:type="paragraph" w:styleId="106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6" w:customStyle="1">
    <w:name w:val="文档结构图 字符1"/>
    <w:uiPriority w:val="99"/>
    <w:semiHidden/>
    <w:qFormat/>
    <w:rPr>
      <w:rFonts w:ascii="Microsoft YaHei UI" w:hAnsi="Times New Roman" w:eastAsia="Microsoft YaHei UI" w:cs="Times New Roman"/>
      <w:sz w:val="18"/>
      <w:szCs w:val="18"/>
    </w:rPr>
  </w:style>
  <w:style w:type="character" w:styleId="1067" w:customStyle="1">
    <w:name w:val="页眉 字符1"/>
    <w:uiPriority w:val="99"/>
    <w:semiHidden/>
    <w:qFormat/>
    <w:rPr>
      <w:rFonts w:ascii="Times New Roman" w:hAnsi="Times New Roman" w:eastAsia="宋体" w:cs="Times New Roman"/>
      <w:sz w:val="18"/>
      <w:szCs w:val="18"/>
    </w:rPr>
  </w:style>
  <w:style w:type="character" w:styleId="1068" w:customStyle="1">
    <w:name w:val="文档结构图 Char1"/>
    <w:uiPriority w:val="0"/>
    <w:qFormat/>
    <w:rPr>
      <w:rFonts w:ascii="宋体"/>
      <w:sz w:val="18"/>
      <w:szCs w:val="18"/>
    </w:rPr>
  </w:style>
  <w:style w:type="character" w:styleId="1069" w:customStyle="1">
    <w:name w:val="Char Char191"/>
    <w:uiPriority w:val="0"/>
    <w:qFormat/>
    <w:rPr>
      <w:rFonts w:ascii="Arial" w:hAnsi="Arial" w:eastAsia="黑体"/>
      <w:b/>
      <w:bCs/>
      <w:sz w:val="32"/>
      <w:szCs w:val="32"/>
      <w:lang w:val="en-US" w:eastAsia="zh-CN" w:bidi="ar-SA"/>
    </w:rPr>
  </w:style>
  <w:style w:type="character" w:styleId="1070" w:customStyle="1">
    <w:name w:val="正文文本 字符1"/>
    <w:uiPriority w:val="99"/>
    <w:semiHidden/>
    <w:qFormat/>
    <w:rPr>
      <w:rFonts w:ascii="Times New Roman" w:hAnsi="Times New Roman" w:eastAsia="宋体" w:cs="Times New Roman"/>
      <w:szCs w:val="24"/>
    </w:rPr>
  </w:style>
  <w:style w:type="character" w:styleId="1071" w:customStyle="1">
    <w:name w:val="批注文字 Char Char"/>
    <w:uiPriority w:val="0"/>
    <w:qFormat/>
    <w:rPr>
      <w:rFonts w:ascii="宋体" w:hAnsi="Times New Roman" w:eastAsia="宋体" w:cs="Times New Roman"/>
      <w:sz w:val="28"/>
      <w:szCs w:val="20"/>
    </w:rPr>
  </w:style>
  <w:style w:type="character" w:styleId="1072" w:customStyle="1">
    <w:name w:val="_Style 145"/>
    <w:uiPriority w:val="0"/>
    <w:qFormat/>
    <w:rPr>
      <w:b/>
      <w:bCs/>
      <w:i/>
      <w:iCs/>
      <w:color w:val="4f81bd"/>
    </w:rPr>
  </w:style>
  <w:style w:type="character" w:styleId="1073" w:customStyle="1">
    <w:name w:val="批注框文本 字符1"/>
    <w:uiPriority w:val="99"/>
    <w:semiHidden/>
    <w:qFormat/>
    <w:rPr>
      <w:rFonts w:ascii="Times New Roman" w:hAnsi="Times New Roman" w:eastAsia="宋体" w:cs="Times New Roman"/>
      <w:sz w:val="18"/>
      <w:szCs w:val="18"/>
    </w:rPr>
  </w:style>
  <w:style w:type="character" w:styleId="1074" w:customStyle="1">
    <w:name w:val="font31"/>
    <w:uiPriority w:val="0"/>
    <w:qFormat/>
    <w:rPr>
      <w:rFonts w:hint="eastAsia" w:ascii="宋体" w:hAnsi="宋体" w:eastAsia="宋体" w:cs="宋体"/>
      <w:color w:val="000000"/>
      <w:sz w:val="24"/>
      <w:szCs w:val="24"/>
      <w:u w:val="none"/>
    </w:rPr>
  </w:style>
  <w:style w:type="character" w:styleId="1075" w:customStyle="1">
    <w:name w:val="正文文本 Char1"/>
    <w:uiPriority w:val="0"/>
    <w:qFormat/>
    <w:rPr>
      <w:sz w:val="21"/>
      <w:szCs w:val="22"/>
    </w:rPr>
  </w:style>
  <w:style w:type="character" w:styleId="1076" w:customStyle="1">
    <w:name w:val="副标题 Char1"/>
    <w:uiPriority w:val="0"/>
    <w:qFormat/>
    <w:rPr>
      <w:rFonts w:ascii="Cambria" w:hAnsi="Cambria" w:cs="Times New Roman"/>
      <w:b/>
      <w:bCs/>
      <w:sz w:val="32"/>
      <w:szCs w:val="32"/>
    </w:rPr>
  </w:style>
  <w:style w:type="character" w:styleId="1077" w:customStyle="1">
    <w:name w:val="Char Char21"/>
    <w:uiPriority w:val="0"/>
    <w:qFormat/>
    <w:rPr>
      <w:rFonts w:ascii="黑体" w:hAnsi="宋体" w:eastAsia="黑体"/>
      <w:bCs/>
      <w:sz w:val="28"/>
      <w:szCs w:val="28"/>
    </w:rPr>
  </w:style>
  <w:style w:type="character" w:styleId="1078" w:customStyle="1">
    <w:name w:val="批注文字 Char2"/>
    <w:uiPriority w:val="0"/>
    <w:qFormat/>
    <w:rPr>
      <w:rFonts w:eastAsia="宋体"/>
      <w:sz w:val="21"/>
      <w:szCs w:val="24"/>
      <w:lang w:val="en-US" w:eastAsia="zh-CN" w:bidi="ar-SA"/>
    </w:rPr>
  </w:style>
  <w:style w:type="character" w:styleId="1079" w:customStyle="1">
    <w:name w:val="批注文字 Char1"/>
    <w:uiPriority w:val="0"/>
    <w:qFormat/>
    <w:rPr>
      <w:sz w:val="21"/>
      <w:szCs w:val="24"/>
    </w:rPr>
  </w:style>
  <w:style w:type="character" w:styleId="1080" w:customStyle="1">
    <w:name w:val="Char Char20"/>
    <w:uiPriority w:val="0"/>
    <w:qFormat/>
    <w:rPr>
      <w:rFonts w:eastAsia="宋体"/>
      <w:b/>
      <w:bCs/>
      <w:sz w:val="44"/>
      <w:szCs w:val="44"/>
      <w:lang w:val="en-US" w:eastAsia="zh-CN" w:bidi="ar-SA"/>
    </w:rPr>
  </w:style>
  <w:style w:type="character" w:styleId="1081" w:customStyle="1">
    <w:name w:val="标题 Char1"/>
    <w:uiPriority w:val="0"/>
    <w:qFormat/>
    <w:rPr>
      <w:rFonts w:ascii="Cambria" w:hAnsi="Cambria" w:cs="Times New Roman"/>
      <w:b/>
      <w:bCs/>
      <w:sz w:val="32"/>
      <w:szCs w:val="32"/>
    </w:rPr>
  </w:style>
  <w:style w:type="character" w:styleId="1082" w:customStyle="1">
    <w:name w:val="标题 3 Char1"/>
    <w:uiPriority w:val="0"/>
    <w:qFormat/>
    <w:rPr>
      <w:rFonts w:ascii="黑体" w:hAnsi="宋体" w:eastAsia="黑体"/>
      <w:bCs/>
      <w:sz w:val="28"/>
      <w:szCs w:val="28"/>
    </w:rPr>
  </w:style>
  <w:style w:type="character" w:styleId="1083" w:customStyle="1">
    <w:name w:val="页脚 字符1"/>
    <w:uiPriority w:val="99"/>
    <w:semiHidden/>
    <w:qFormat/>
    <w:rPr>
      <w:rFonts w:ascii="Times New Roman" w:hAnsi="Times New Roman" w:eastAsia="宋体" w:cs="Times New Roman"/>
      <w:sz w:val="18"/>
      <w:szCs w:val="18"/>
    </w:rPr>
  </w:style>
  <w:style w:type="character" w:styleId="1084" w:customStyle="1">
    <w:name w:val="页脚 Char1"/>
    <w:uiPriority w:val="99"/>
    <w:qFormat/>
    <w:rPr>
      <w:sz w:val="18"/>
      <w:szCs w:val="24"/>
    </w:rPr>
  </w:style>
  <w:style w:type="character" w:styleId="1085" w:customStyle="1">
    <w:name w:val="页眉 Char1"/>
    <w:uiPriority w:val="99"/>
    <w:qFormat/>
    <w:rPr>
      <w:sz w:val="18"/>
      <w:szCs w:val="24"/>
    </w:rPr>
  </w:style>
  <w:style w:type="character" w:styleId="1086" w:customStyle="1">
    <w:name w:val="Char Char211"/>
    <w:uiPriority w:val="0"/>
    <w:qFormat/>
    <w:rPr>
      <w:rFonts w:ascii="黑体" w:hAnsi="宋体" w:eastAsia="黑体"/>
      <w:bCs/>
      <w:sz w:val="28"/>
      <w:szCs w:val="28"/>
    </w:rPr>
  </w:style>
  <w:style w:type="character" w:styleId="1087" w:customStyle="1">
    <w:name w:val="Char Char201"/>
    <w:uiPriority w:val="0"/>
    <w:qFormat/>
    <w:rPr>
      <w:rFonts w:eastAsia="宋体"/>
      <w:b/>
      <w:bCs/>
      <w:sz w:val="44"/>
      <w:szCs w:val="44"/>
      <w:lang w:val="en-US" w:eastAsia="zh-CN" w:bidi="ar-SA"/>
    </w:rPr>
  </w:style>
  <w:style w:type="paragraph" w:styleId="1088" w:customStyle="1">
    <w:name w:val="样式 标题 2 + Times New Roman 四号 非加粗 段前: 5 磅 段后: 0 磅 行距: 固定值 20..."/>
    <w:basedOn w:val="748"/>
    <w:uiPriority w:val="0"/>
    <w:qFormat/>
    <w:pPr>
      <w:jc w:val="both"/>
      <w:spacing w:before="100" w:after="0" w:line="400" w:lineRule="exact"/>
    </w:pPr>
    <w:rPr>
      <w:rFonts w:ascii="Times New Roman" w:hAnsi="Times New Roman" w:eastAsia="黑体" w:cs="宋体"/>
      <w:b w:val="0"/>
      <w:sz w:val="28"/>
    </w:rPr>
  </w:style>
  <w:style w:type="paragraph" w:styleId="1089" w:customStyle="1">
    <w:name w:val="_Style 110"/>
    <w:uiPriority w:val="0"/>
    <w:qFormat/>
    <w:rPr>
      <w:rFonts w:hint="default" w:ascii="Times New Roman" w:hAnsi="Times New Roman" w:eastAsia="宋体" w:cs="Times New Roman"/>
      <w:sz w:val="21"/>
      <w:szCs w:val="24"/>
      <w:lang w:val="en-US" w:eastAsia="zh-CN" w:bidi="ar-SA"/>
    </w:rPr>
  </w:style>
  <w:style w:type="paragraph" w:styleId="1090" w:customStyle="1">
    <w:name w:val="Heading 71"/>
    <w:basedOn w:val="746"/>
    <w:uiPriority w:val="0"/>
    <w:qFormat/>
    <w:pPr>
      <w:jc w:val="left"/>
      <w:outlineLvl w:val="7"/>
    </w:pPr>
    <w:rPr>
      <w:rFonts w:ascii="宋体" w:hAnsi="宋体" w:cs="宋体"/>
      <w:sz w:val="28"/>
      <w:szCs w:val="28"/>
      <w:lang w:eastAsia="en-US"/>
    </w:rPr>
  </w:style>
  <w:style w:type="paragraph" w:styleId="1091" w:customStyle="1">
    <w:name w:val="Char Char Char Char"/>
    <w:basedOn w:val="762"/>
    <w:uiPriority w:val="0"/>
    <w:qFormat/>
    <w:pPr>
      <w:spacing w:line="360" w:lineRule="auto"/>
    </w:pPr>
    <w:rPr>
      <w:rFonts w:ascii="Tahoma" w:hAnsi="Tahoma"/>
      <w:sz w:val="24"/>
    </w:rPr>
  </w:style>
  <w:style w:type="paragraph" w:styleId="1092"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93" w:customStyle="1">
    <w:name w:val="标题 2_0"/>
    <w:basedOn w:val="746"/>
    <w:next w:val="746"/>
    <w:uiPriority w:val="9"/>
    <w:qFormat/>
    <w:pPr>
      <w:keepLines/>
      <w:keepNext/>
      <w:spacing w:before="260" w:after="260" w:line="416" w:lineRule="auto"/>
      <w:outlineLvl w:val="1"/>
    </w:pPr>
    <w:rPr>
      <w:rFonts w:ascii="Arial" w:hAnsi="Arial" w:eastAsia="黑体"/>
      <w:b/>
      <w:bCs/>
      <w:sz w:val="32"/>
      <w:szCs w:val="32"/>
    </w:rPr>
  </w:style>
  <w:style w:type="paragraph" w:styleId="1094" w:customStyle="1">
    <w:name w:val="标题2"/>
    <w:basedOn w:val="746"/>
    <w:next w:val="746"/>
    <w:uiPriority w:val="0"/>
    <w:qFormat/>
    <w:pPr>
      <w:jc w:val="center"/>
    </w:pPr>
    <w:rPr>
      <w:rFonts w:eastAsia="方正楷体_GBK"/>
    </w:rPr>
  </w:style>
  <w:style w:type="paragraph" w:styleId="1095" w:customStyle="1">
    <w:name w:val="列出段落2"/>
    <w:basedOn w:val="746"/>
    <w:uiPriority w:val="0"/>
    <w:qFormat/>
    <w:pPr>
      <w:ind w:firstLine="420"/>
    </w:pPr>
  </w:style>
  <w:style w:type="paragraph" w:styleId="1096" w:customStyle="1">
    <w:name w:val="表格正文"/>
    <w:basedOn w:val="746"/>
    <w:uiPriority w:val="0"/>
    <w:qFormat/>
    <w:rPr>
      <w:rFonts w:ascii="宋体" w:hAnsi="宋体"/>
      <w:szCs w:val="21"/>
    </w:rPr>
  </w:style>
  <w:style w:type="paragraph" w:styleId="1097" w:customStyle="1">
    <w:name w:val="Coms Alinea"/>
    <w:uiPriority w:val="0"/>
    <w:qFormat/>
    <w:pPr>
      <w:widowControl w:val="off"/>
    </w:pPr>
    <w:rPr>
      <w:rFonts w:hint="default" w:ascii="Arial" w:hAnsi="Arial" w:eastAsia="宋体" w:cs="Arial"/>
      <w:lang w:val="en-US" w:eastAsia="zh-CN" w:bidi="ar-SA"/>
    </w:rPr>
  </w:style>
  <w:style w:type="paragraph" w:styleId="1098" w:customStyle="1">
    <w:name w:val="Char"/>
    <w:basedOn w:val="746"/>
    <w:uiPriority w:val="0"/>
    <w:qFormat/>
    <w:pPr>
      <w:tabs>
        <w:tab w:val="left" w:pos="360" w:leader="none"/>
      </w:tabs>
    </w:pPr>
    <w:rPr>
      <w:sz w:val="24"/>
    </w:rPr>
  </w:style>
  <w:style w:type="paragraph" w:styleId="1099" w:customStyle="1">
    <w:name w:val="标题3"/>
    <w:basedOn w:val="746"/>
    <w:next w:val="746"/>
    <w:uiPriority w:val="0"/>
    <w:qFormat/>
    <w:rPr>
      <w:rFonts w:eastAsia="方正黑体_GBK"/>
    </w:rPr>
  </w:style>
  <w:style w:type="paragraph" w:styleId="1100"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01" w:customStyle="1">
    <w:name w:val="BioQuote Tekst"/>
    <w:basedOn w:val="746"/>
    <w:uiPriority w:val="0"/>
    <w:qFormat/>
    <w:pPr>
      <w:ind w:right="-1"/>
    </w:pPr>
    <w:rPr>
      <w:rFonts w:ascii="Arial" w:hAnsi="Arial"/>
      <w:sz w:val="22"/>
      <w:szCs w:val="20"/>
      <w:lang w:eastAsia="en-US"/>
    </w:rPr>
  </w:style>
  <w:style w:type="paragraph" w:styleId="1102" w:customStyle="1">
    <w:name w:val="HTML 预先格式化"/>
    <w:basedOn w:val="7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03" w:customStyle="1">
    <w:name w:val="Heading11"/>
    <w:basedOn w:val="746"/>
    <w:next w:val="746"/>
    <w:uiPriority w:val="0"/>
    <w:qFormat/>
    <w:pPr>
      <w:keepNext/>
    </w:pPr>
    <w:rPr>
      <w:rFonts w:ascii="等线 Light" w:eastAsia="等线 Light"/>
      <w:sz w:val="28"/>
      <w:szCs w:val="20"/>
    </w:rPr>
  </w:style>
  <w:style w:type="paragraph" w:styleId="1104" w:customStyle="1">
    <w:name w:val="正文 第一章"/>
    <w:basedOn w:val="746"/>
    <w:next w:val="1105"/>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05" w:customStyle="1">
    <w:name w:val="正文 1.1"/>
    <w:basedOn w:val="746"/>
    <w:next w:val="1106"/>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06" w:customStyle="1">
    <w:name w:val="正文 1.1.1"/>
    <w:basedOn w:val="746"/>
    <w:next w:val="746"/>
    <w:uiPriority w:val="0"/>
    <w:qFormat/>
    <w:pPr>
      <w:numPr>
        <w:ilvl w:val="2"/>
        <w:numId w:val="1"/>
      </w:numPr>
      <w:spacing w:line="360" w:lineRule="auto"/>
      <w:outlineLvl w:val="2"/>
    </w:pPr>
    <w:rPr>
      <w:rFonts w:ascii="宋体" w:hAnsi="宋体"/>
      <w:color w:val="000000"/>
      <w:sz w:val="28"/>
      <w:szCs w:val="21"/>
    </w:rPr>
  </w:style>
  <w:style w:type="paragraph" w:styleId="1107" w:customStyle="1">
    <w:name w:val="Char Char Char Char1 Char Char Char"/>
    <w:basedOn w:val="762"/>
    <w:uiPriority w:val="0"/>
    <w:qFormat/>
    <w:pPr>
      <w:spacing w:line="360" w:lineRule="auto"/>
    </w:pPr>
    <w:rPr>
      <w:rFonts w:ascii="Tahoma" w:hAnsi="Tahoma"/>
      <w:sz w:val="24"/>
    </w:rPr>
  </w:style>
  <w:style w:type="paragraph" w:styleId="1108" w:customStyle="1">
    <w:name w:val="p0"/>
    <w:basedOn w:val="746"/>
    <w:uiPriority w:val="0"/>
    <w:qFormat/>
    <w:pPr>
      <w:jc w:val="left"/>
      <w:spacing w:before="100" w:beforeAutospacing="1" w:after="100" w:afterAutospacing="1"/>
      <w:widowControl/>
    </w:pPr>
    <w:rPr>
      <w:rFonts w:ascii="宋体" w:hAnsi="宋体" w:cs="宋体"/>
    </w:rPr>
  </w:style>
  <w:style w:type="paragraph" w:styleId="1109" w:customStyle="1">
    <w:name w:val="正文空2格  1."/>
    <w:basedOn w:val="746"/>
    <w:uiPriority w:val="0"/>
    <w:qFormat/>
    <w:pPr>
      <w:ind w:firstLine="480"/>
      <w:spacing w:line="360" w:lineRule="auto"/>
    </w:pPr>
    <w:rPr>
      <w:rFonts w:ascii="宋体" w:eastAsia="仿宋" w:cs="宋体"/>
      <w:sz w:val="28"/>
      <w:szCs w:val="20"/>
    </w:rPr>
  </w:style>
  <w:style w:type="paragraph" w:styleId="1110" w:customStyle="1">
    <w:name w:val="Char Char Char Char1 Char Char"/>
    <w:basedOn w:val="746"/>
    <w:uiPriority w:val="0"/>
    <w:qFormat/>
    <w:pPr>
      <w:tabs>
        <w:tab w:val="left" w:pos="360" w:leader="none"/>
      </w:tabs>
    </w:pPr>
    <w:rPr>
      <w:sz w:val="24"/>
    </w:rPr>
  </w:style>
  <w:style w:type="paragraph" w:styleId="1111" w:customStyle="1">
    <w:name w:val="默认段落字体 Para Char Char Char Char Char Char Char Char Char1 Char Char Char Char Char Char Char"/>
    <w:basedOn w:val="762"/>
    <w:uiPriority w:val="0"/>
    <w:qFormat/>
    <w:rPr>
      <w:rFonts w:ascii="Tahoma" w:hAnsi="Tahoma"/>
      <w:sz w:val="24"/>
    </w:rPr>
  </w:style>
  <w:style w:type="paragraph" w:styleId="1112" w:customStyle="1">
    <w:name w:val="列出段落3"/>
    <w:basedOn w:val="746"/>
    <w:uiPriority w:val="0"/>
    <w:qFormat/>
    <w:pPr>
      <w:ind w:firstLine="420"/>
    </w:pPr>
    <w:rPr>
      <w:rFonts w:ascii="Calibri" w:hAnsi="Calibri"/>
      <w:szCs w:val="22"/>
    </w:rPr>
  </w:style>
  <w:style w:type="paragraph" w:styleId="1113" w:customStyle="1">
    <w:name w:val="Char Char Char1 Char Char Char Char Char Char Char"/>
    <w:basedOn w:val="746"/>
    <w:uiPriority w:val="0"/>
    <w:qFormat/>
  </w:style>
  <w:style w:type="paragraph" w:styleId="1114" w:customStyle="1">
    <w:name w:val="正文 A"/>
    <w:next w:val="831"/>
    <w:uiPriority w:val="0"/>
    <w:qFormat/>
    <w:pPr>
      <w:jc w:val="both"/>
      <w:widowControl w:val="off"/>
    </w:pPr>
    <w:rPr>
      <w:rFonts w:hint="default" w:ascii="Calibri" w:hAnsi="Calibri" w:eastAsia="Times New Roman" w:cs="Calibri"/>
      <w:color w:val="000000"/>
      <w:sz w:val="21"/>
      <w:szCs w:val="21"/>
      <w:lang w:val="en-US" w:eastAsia="zh-CN" w:bidi="ar-SA"/>
    </w:rPr>
  </w:style>
  <w:style w:type="paragraph" w:styleId="1115" w:customStyle="1">
    <w:name w:val="标题1"/>
    <w:basedOn w:val="746"/>
    <w:next w:val="746"/>
    <w:uiPriority w:val="0"/>
    <w:qFormat/>
    <w:pPr>
      <w:jc w:val="center"/>
      <w:spacing w:line="700" w:lineRule="atLeast"/>
      <w:tabs>
        <w:tab w:val="left" w:pos="9193" w:leader="none"/>
        <w:tab w:val="left" w:pos="9827" w:leader="none"/>
      </w:tabs>
    </w:pPr>
    <w:rPr>
      <w:rFonts w:eastAsia="方正小标宋_GBK"/>
      <w:sz w:val="44"/>
    </w:rPr>
  </w:style>
  <w:style w:type="paragraph" w:styleId="1116" w:customStyle="1">
    <w:name w:val="Char1"/>
    <w:basedOn w:val="746"/>
    <w:uiPriority w:val="0"/>
    <w:qFormat/>
    <w:rPr>
      <w:rFonts w:ascii="Tahoma" w:hAnsi="Tahoma"/>
      <w:sz w:val="24"/>
      <w:szCs w:val="20"/>
    </w:rPr>
  </w:style>
  <w:style w:type="paragraph" w:styleId="11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8" w:customStyle="1">
    <w:name w:val="xl47"/>
    <w:basedOn w:val="74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19" w:customStyle="1">
    <w:name w:val="第四级"/>
    <w:basedOn w:val="746"/>
    <w:next w:val="746"/>
    <w:uiPriority w:val="0"/>
    <w:qFormat/>
    <w:pPr>
      <w:numPr>
        <w:ilvl w:val="3"/>
        <w:numId w:val="1"/>
      </w:numPr>
      <w:spacing w:line="360" w:lineRule="auto"/>
    </w:pPr>
    <w:rPr>
      <w:rFonts w:ascii="宋体" w:hAnsi="宋体" w:eastAsia="仿宋"/>
      <w:sz w:val="28"/>
      <w:szCs w:val="21"/>
    </w:rPr>
  </w:style>
  <w:style w:type="paragraph" w:styleId="1120">
    <w:name w:val="List Paragraph"/>
    <w:basedOn w:val="746"/>
    <w:uiPriority w:val="0"/>
    <w:qFormat/>
    <w:pPr>
      <w:ind w:firstLine="420"/>
    </w:pPr>
    <w:rPr>
      <w:rFonts w:ascii="Calibri" w:hAnsi="Calibri"/>
      <w:szCs w:val="22"/>
    </w:rPr>
  </w:style>
  <w:style w:type="paragraph" w:styleId="1121"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122" w:customStyle="1">
    <w:name w:val="_Style 120"/>
    <w:basedOn w:val="747"/>
    <w:next w:val="746"/>
    <w:uiPriority w:val="0"/>
    <w:qFormat/>
    <w:pPr>
      <w:keepLines/>
      <w:spacing w:before="340" w:after="330" w:line="578" w:lineRule="auto"/>
      <w:outlineLvl w:val="9"/>
    </w:pPr>
    <w:rPr>
      <w:rFonts w:ascii="Times New Roman" w:eastAsia="宋体"/>
      <w:b/>
      <w:bCs/>
      <w:sz w:val="44"/>
      <w:szCs w:val="44"/>
    </w:rPr>
  </w:style>
  <w:style w:type="paragraph" w:styleId="1123" w:customStyle="1">
    <w:name w:val="Heading 41"/>
    <w:basedOn w:val="746"/>
    <w:uiPriority w:val="0"/>
    <w:qFormat/>
    <w:pPr>
      <w:jc w:val="left"/>
      <w:outlineLvl w:val="4"/>
    </w:pPr>
    <w:rPr>
      <w:rFonts w:ascii="宋体" w:hAnsi="宋体" w:cs="宋体"/>
      <w:sz w:val="32"/>
      <w:szCs w:val="32"/>
      <w:lang w:eastAsia="en-US"/>
    </w:rPr>
  </w:style>
  <w:style w:type="paragraph" w:styleId="1124" w:customStyle="1">
    <w:name w:val="Table Paragraph"/>
    <w:basedOn w:val="746"/>
    <w:uiPriority w:val="0"/>
    <w:qFormat/>
    <w:pPr>
      <w:jc w:val="left"/>
    </w:pPr>
    <w:rPr>
      <w:rFonts w:ascii="Calibri" w:hAnsi="Calibri" w:cs="Calibri"/>
      <w:sz w:val="22"/>
      <w:szCs w:val="22"/>
      <w:lang w:eastAsia="en-US"/>
    </w:rPr>
  </w:style>
  <w:style w:type="paragraph" w:styleId="1125" w:customStyle="1">
    <w:name w:val="Blockquote"/>
    <w:basedOn w:val="746"/>
    <w:uiPriority w:val="0"/>
    <w:qFormat/>
    <w:pPr>
      <w:ind w:left="360" w:right="360"/>
      <w:jc w:val="left"/>
      <w:spacing w:before="100" w:after="100"/>
    </w:pPr>
    <w:rPr>
      <w:sz w:val="24"/>
      <w:szCs w:val="20"/>
    </w:rPr>
  </w:style>
  <w:style w:type="paragraph" w:styleId="1126" w:customStyle="1">
    <w:name w:val="样式 标题 3 + (中文) 黑体 小四 非加粗 段前: 7.8 磅 段后: 0 磅 行距: 固定值 20 磅"/>
    <w:basedOn w:val="749"/>
    <w:uiPriority w:val="0"/>
    <w:qFormat/>
    <w:pPr>
      <w:spacing w:before="0" w:after="0" w:line="400" w:lineRule="exact"/>
    </w:pPr>
    <w:rPr>
      <w:rFonts w:eastAsia="黑体" w:cs="宋体"/>
      <w:b w:val="0"/>
      <w:sz w:val="24"/>
    </w:rPr>
  </w:style>
  <w:style w:type="paragraph" w:styleId="1127" w:customStyle="1">
    <w:name w:val="空半行"/>
    <w:basedOn w:val="746"/>
    <w:uiPriority w:val="0"/>
    <w:qFormat/>
    <w:pPr>
      <w:spacing w:line="120" w:lineRule="exact"/>
    </w:pPr>
    <w:rPr>
      <w:rFonts w:eastAsia="仿宋_GB2312"/>
      <w:color w:val="ffffff"/>
      <w:sz w:val="30"/>
      <w:szCs w:val="20"/>
    </w:rPr>
  </w:style>
  <w:style w:type="paragraph" w:styleId="1128" w:customStyle="1">
    <w:name w:val="flNote"/>
    <w:basedOn w:val="746"/>
    <w:uiPriority w:val="0"/>
    <w:qFormat/>
    <w:pPr>
      <w:jc w:val="center"/>
      <w:spacing w:before="320" w:after="160" w:line="360" w:lineRule="atLeast"/>
    </w:pPr>
    <w:rPr>
      <w:rFonts w:ascii="Arial" w:eastAsia="黑体"/>
      <w:sz w:val="30"/>
      <w:szCs w:val="20"/>
    </w:rPr>
  </w:style>
  <w:style w:type="paragraph" w:styleId="1129" w:customStyle="1">
    <w:name w:val="Char Char Char1 Char Char Char Char Char Char Char1"/>
    <w:basedOn w:val="746"/>
    <w:uiPriority w:val="0"/>
    <w:qFormat/>
    <w:rPr>
      <w:rFonts w:ascii="Tahoma" w:hAnsi="Tahoma"/>
      <w:sz w:val="24"/>
      <w:szCs w:val="20"/>
    </w:rPr>
  </w:style>
  <w:style w:type="paragraph" w:styleId="1130" w:customStyle="1">
    <w:name w:val="正文_1"/>
    <w:next w:val="1131"/>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首行缩进 21"/>
    <w:basedOn w:val="1132"/>
    <w:uiPriority w:val="99"/>
    <w:unhideWhenUsed/>
    <w:qFormat/>
    <w:pPr>
      <w:ind w:firstLine="420"/>
    </w:pPr>
  </w:style>
  <w:style w:type="paragraph" w:styleId="1132" w:customStyle="1">
    <w:name w:val="正文文本缩进 New"/>
    <w:basedOn w:val="1133"/>
    <w:next w:val="1134"/>
    <w:uiPriority w:val="0"/>
    <w:qFormat/>
    <w:pPr>
      <w:ind w:left="420"/>
      <w:spacing w:after="120"/>
    </w:pPr>
    <w:rPr>
      <w:rFonts w:ascii="Times New Roman" w:hAnsi="Times New Roman" w:eastAsia="宋体" w:cs="Times New Roman"/>
    </w:rPr>
  </w:style>
  <w:style w:type="paragraph" w:styleId="1133" w:customStyle="1">
    <w:name w:val="正文 New"/>
    <w:next w:val="113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4" w:customStyle="1">
    <w:name w:val="寄信人地址 New"/>
    <w:basedOn w:val="1133"/>
    <w:uiPriority w:val="0"/>
    <w:qFormat/>
    <w:rPr>
      <w:rFonts w:ascii="Arial" w:hAnsi="Arial" w:eastAsia="宋体" w:cs="Times New Roman"/>
    </w:rPr>
  </w:style>
  <w:style w:type="paragraph" w:styleId="1135" w:customStyle="1">
    <w:name w:val="正文文本缩进_0"/>
    <w:basedOn w:val="1130"/>
    <w:uiPriority w:val="0"/>
    <w:qFormat/>
    <w:pPr>
      <w:ind w:firstLine="435"/>
      <w:spacing w:line="360" w:lineRule="auto"/>
    </w:pPr>
    <w:rPr>
      <w:sz w:val="24"/>
    </w:rPr>
  </w:style>
  <w:style w:type="paragraph" w:styleId="1136" w:customStyle="1">
    <w:name w:val="Normal_0"/>
    <w:uiPriority w:val="0"/>
    <w:qFormat/>
    <w:pPr>
      <w:widowControl w:val="off"/>
    </w:pPr>
    <w:rPr>
      <w:rFonts w:hint="default" w:ascii="Calibri" w:hAnsi="Calibri" w:eastAsia="宋体" w:cs="Times New Roman"/>
      <w:sz w:val="21"/>
      <w:szCs w:val="22"/>
      <w:lang w:val="en-US" w:eastAsia="zh-CN" w:bidi="ar-SA"/>
    </w:rPr>
  </w:style>
  <w:style w:type="paragraph" w:styleId="1137" w:customStyle="1">
    <w:name w:val="_Style 1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139" w:customStyle="1">
    <w:name w:val="样式 标题 2 + 黑色 行距: 1.5 倍行距"/>
    <w:basedOn w:val="748"/>
    <w:uiPriority w:val="0"/>
    <w:qFormat/>
    <w:pPr>
      <w:jc w:val="both"/>
      <w:spacing w:line="360" w:lineRule="auto"/>
    </w:pPr>
    <w:rPr>
      <w:rFonts w:eastAsia="宋体" w:cs="宋体"/>
      <w:bCs/>
      <w:color w:val="000000"/>
      <w:sz w:val="32"/>
      <w:szCs w:val="32"/>
    </w:rPr>
  </w:style>
  <w:style w:type="paragraph" w:styleId="114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4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2" w:customStyle="1">
    <w:name w:val="纯文本1_0"/>
    <w:basedOn w:val="746"/>
    <w:uiPriority w:val="0"/>
    <w:qFormat/>
    <w:rPr>
      <w:rFonts w:ascii="宋体" w:hAnsi="Courier New"/>
      <w:sz w:val="28"/>
    </w:rPr>
  </w:style>
  <w:style w:type="paragraph" w:styleId="114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纯文本1_0_0"/>
    <w:basedOn w:val="746"/>
    <w:uiPriority w:val="0"/>
    <w:qFormat/>
    <w:rPr>
      <w:rFonts w:ascii="宋体" w:hAnsi="Courier New"/>
      <w:sz w:val="28"/>
    </w:rPr>
  </w:style>
  <w:style w:type="paragraph" w:styleId="1145" w:customStyle="1">
    <w:name w:val="正文_13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12"/>
    <w:uiPriority w:val="0"/>
    <w:qFormat/>
    <w:rPr>
      <w:rFonts w:hint="default" w:ascii="黑体" w:hAnsi="黑体" w:eastAsia="黑体" w:cs="Times New Roman"/>
      <w:b/>
      <w:sz w:val="32"/>
      <w:szCs w:val="24"/>
      <w:lang w:val="en-US" w:eastAsia="zh-CN" w:bidi="ar-SA"/>
    </w:rPr>
  </w:style>
  <w:style w:type="character" w:styleId="1147" w:customStyle="1">
    <w:name w:val="NormalCharacter1"/>
    <w:uiPriority w:val="0"/>
    <w:qFormat/>
  </w:style>
  <w:style w:type="paragraph" w:styleId="1148" w:customStyle="1">
    <w:name w:val="标题 31"/>
    <w:basedOn w:val="746"/>
    <w:next w:val="760"/>
    <w:link w:val="1149"/>
    <w:uiPriority w:val="0"/>
    <w:qFormat/>
    <w:pPr>
      <w:keepLines/>
      <w:keepNext/>
      <w:spacing w:before="260" w:after="260" w:line="416" w:lineRule="auto"/>
      <w:outlineLvl w:val="2"/>
    </w:pPr>
    <w:rPr>
      <w:b/>
      <w:bCs/>
      <w:sz w:val="32"/>
      <w:szCs w:val="32"/>
    </w:rPr>
  </w:style>
  <w:style w:type="character" w:styleId="1149" w:customStyle="1">
    <w:name w:val="标题 3 字符1"/>
    <w:link w:val="1148"/>
    <w:uiPriority w:val="0"/>
    <w:qFormat/>
    <w:rPr>
      <w:rFonts w:ascii="Times New Roman" w:hAnsi="Times New Roman" w:eastAsia="宋体" w:cs="Times New Roman"/>
      <w:b/>
      <w:bCs/>
      <w:sz w:val="32"/>
      <w:szCs w:val="32"/>
    </w:rPr>
  </w:style>
  <w:style w:type="character" w:styleId="1150" w:customStyle="1">
    <w:name w:val="样式1 Char"/>
    <w:basedOn w:val="756"/>
    <w:uiPriority w:val="0"/>
    <w:qFormat/>
    <w:rPr>
      <w:b/>
      <w:bCs/>
    </w:rPr>
  </w:style>
  <w:style w:type="character" w:styleId="1151" w:customStyle="1">
    <w:name w:val="正文缩进 Char1"/>
    <w:uiPriority w:val="0"/>
    <w:qFormat/>
    <w:rPr>
      <w:rFonts w:eastAsia="宋体"/>
      <w:sz w:val="21"/>
      <w:lang w:val="en-US" w:eastAsia="zh-CN" w:bidi="ar-SA"/>
    </w:rPr>
  </w:style>
  <w:style w:type="paragraph" w:styleId="1152" w:customStyle="1">
    <w:name w:val="首行缩进"/>
    <w:basedOn w:val="746"/>
    <w:uiPriority w:val="0"/>
    <w:qFormat/>
    <w:pPr>
      <w:ind w:firstLine="480"/>
      <w:spacing w:line="360" w:lineRule="auto"/>
    </w:pPr>
    <w:rPr>
      <w:rFonts w:ascii="宋体" w:hAnsi="宋体" w:cs="宋体"/>
      <w:sz w:val="24"/>
    </w:rPr>
  </w:style>
  <w:style w:type="character" w:styleId="1153" w:customStyle="1">
    <w:name w:val="正文文本 Char2"/>
    <w:uiPriority w:val="0"/>
    <w:qFormat/>
    <w:rPr>
      <w:rFonts w:ascii="楷体_GB2312" w:hAnsi="Arial" w:eastAsia="楷体_GB2312"/>
      <w:sz w:val="28"/>
    </w:rPr>
  </w:style>
  <w:style w:type="paragraph" w:styleId="1154" w:customStyle="1">
    <w:name w:val="正文缩进1"/>
    <w:basedOn w:val="746"/>
    <w:uiPriority w:val="0"/>
    <w:qFormat/>
    <w:pPr>
      <w:ind w:firstLine="420"/>
    </w:pPr>
    <w:rPr>
      <w:szCs w:val="20"/>
    </w:rPr>
  </w:style>
  <w:style w:type="character" w:styleId="1155" w:customStyle="1">
    <w:name w:val="cf01"/>
    <w:basedOn w:val="756"/>
    <w:uiPriority w:val="0"/>
    <w:qFormat/>
    <w:rPr>
      <w:rFonts w:hint="eastAsia" w:ascii="Microsoft YaHei UI" w:hAnsi="Microsoft YaHei UI" w:eastAsia="Microsoft YaHei UI"/>
      <w:sz w:val="18"/>
      <w:szCs w:val="18"/>
    </w:rPr>
  </w:style>
  <w:style w:type="character" w:styleId="1156" w:customStyle="1">
    <w:name w:val="Unresolved Mention"/>
    <w:basedOn w:val="756"/>
    <w:uiPriority w:val="99"/>
    <w:semiHidden/>
    <w:unhideWhenUsed/>
    <w:qFormat/>
    <w:rPr>
      <w:color w:val="605e5c"/>
      <w:shd w:val="clear" w:color="auto" w:fill="e1dfdd"/>
    </w:rPr>
  </w:style>
  <w:style w:type="paragraph" w:styleId="1157" w:customStyle="1">
    <w:name w:val="普通(网站)1"/>
    <w:basedOn w:val="746"/>
    <w:uiPriority w:val="0"/>
    <w:qFormat/>
    <w:pPr>
      <w:jc w:val="left"/>
      <w:spacing w:beforeAutospacing="1" w:afterAutospacing="1"/>
    </w:pPr>
    <w:rPr>
      <w:sz w:val="24"/>
    </w:rPr>
  </w:style>
  <w:style w:type="paragraph" w:styleId="1158" w:customStyle="1">
    <w:name w:val="Footer1"/>
    <w:basedOn w:val="746"/>
    <w:uiPriority w:val="99"/>
    <w:unhideWhenUsed/>
    <w:qFormat/>
    <w:pPr>
      <w:jc w:val="left"/>
      <w:widowControl/>
      <w:tabs>
        <w:tab w:val="center" w:pos="7143" w:leader="none"/>
        <w:tab w:val="right" w:pos="14287" w:leader="none"/>
      </w:tabs>
    </w:pPr>
    <w:rPr>
      <w:sz w:val="18"/>
      <w:szCs w:val="20"/>
    </w:rPr>
  </w:style>
  <w:style w:type="character" w:styleId="1159" w:customStyle="1">
    <w:name w:val="font51"/>
    <w:basedOn w:val="756"/>
    <w:uiPriority w:val="0"/>
    <w:qFormat/>
    <w:rPr>
      <w:rFonts w:hint="default" w:ascii="Arial" w:hAnsi="Arial" w:cs="Arial"/>
      <w:color w:val="000000"/>
      <w:sz w:val="20"/>
      <w:szCs w:val="20"/>
      <w:u w:val="none"/>
    </w:rPr>
  </w:style>
  <w:style w:type="character" w:styleId="1160" w:customStyle="1">
    <w:name w:val="font71"/>
    <w:basedOn w:val="756"/>
    <w:uiPriority w:val="0"/>
    <w:qFormat/>
    <w:rPr>
      <w:rFonts w:hint="eastAsia" w:ascii="宋体" w:hAnsi="宋体" w:eastAsia="宋体" w:cs="宋体"/>
      <w:color w:val="000000"/>
      <w:sz w:val="20"/>
      <w:szCs w:val="20"/>
      <w:u w:val="none"/>
    </w:rPr>
  </w:style>
  <w:style w:type="paragraph" w:styleId="116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table" w:styleId="1162" w:customStyle="1">
    <w:name w:val="网格型1"/>
    <w:basedOn w:val="75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3" w:customStyle="1">
    <w:name w:val="普通(网站)11"/>
    <w:basedOn w:val="746"/>
    <w:uiPriority w:val="0"/>
    <w:qFormat/>
    <w:pPr>
      <w:jc w:val="left"/>
      <w:spacing w:beforeAutospacing="1" w:afterAutospacing="1"/>
    </w:pPr>
    <w:rPr>
      <w:sz w:val="24"/>
    </w:rPr>
  </w:style>
  <w:style w:type="numbering" w:styleId="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周</dc:creator>
  <cp:lastModifiedBy>杨莹莹</cp:lastModifiedBy>
  <cp:revision>226</cp:revision>
  <dcterms:created xsi:type="dcterms:W3CDTF">2024-10-19T02:42:00Z</dcterms:created>
  <dcterms:modified xsi:type="dcterms:W3CDTF">2026-09-24T06:52:57Z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17FD8AC4942345A9A48C338F0B72F0EC_13</vt:lpwstr>
  </property>
  <property fmtid="{D5CDD505-2E9C-101B-9397-08002B2CF9AE}" pid="4" name="KSOTemplateDocerSaveRecord">
    <vt:lpwstr>eyJoZGlkIjoiN2VmMDE4Y2U0ZjFhM2FjZTY3MTRmZDhiODlkMTViN2UiLCJ1c2VySWQiOiI0MDY1MDk3NjkifQ==</vt:lpwstr>
  </property>
</Properties>
</file>