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spacing w:before="120" w:beforeAutospacing="0" w:after="120" w:afterAutospacing="0" w:line="360" w:lineRule="auto"/>
        <w:widowControl/>
      </w:pPr>
      <w:r/>
      <w:r/>
    </w:p>
    <w:p>
      <w:pPr>
        <w:pStyle w:val="706"/>
        <w:spacing w:before="120" w:beforeAutospacing="0" w:after="120" w:afterAutospacing="0" w:line="360" w:lineRule="auto"/>
        <w:widowControl/>
      </w:pPr>
      <w:r/>
      <w:r/>
    </w:p>
    <w:p>
      <w:pPr>
        <w:pStyle w:val="706"/>
        <w:spacing w:before="120" w:beforeAutospacing="0" w:after="120" w:afterAutospacing="0" w:line="360" w:lineRule="auto"/>
        <w:widowControl/>
      </w:pPr>
      <w:r/>
      <w:r/>
    </w:p>
    <w:p>
      <w:pPr>
        <w:pStyle w:val="706"/>
        <w:jc w:val="center"/>
        <w:spacing w:line="360" w:lineRule="auto"/>
        <w:widowControl/>
        <w:rPr>
          <w:rFonts w:asciiTheme="minorEastAsia" w:hAnsiTheme="minorEastAsia" w:cstheme="minorEastAsia"/>
        </w:rPr>
      </w:pPr>
      <w:r>
        <w:rPr>
          <w:rFonts w:hint="eastAsia" w:asciiTheme="minorEastAsia" w:hAnsiTheme="minorEastAsia" w:cstheme="minorEastAsia"/>
          <w:b/>
          <w:sz w:val="84"/>
          <w:szCs w:val="84"/>
        </w:rPr>
        <w:t xml:space="preserve">招 标 文 件</w:t>
      </w:r>
      <w:r/>
    </w:p>
    <w:p>
      <w:pPr>
        <w:pStyle w:val="706"/>
        <w:jc w:val="both"/>
        <w:spacing w:before="120" w:beforeAutospacing="0" w:after="120" w:afterAutospacing="0" w:line="360" w:lineRule="auto"/>
        <w:widowControl/>
        <w:rPr>
          <w:rFonts w:ascii="Arial" w:hAnsi="Arial" w:cs="Arial"/>
          <w:b/>
          <w:sz w:val="84"/>
          <w:szCs w:val="84"/>
        </w:rPr>
      </w:pPr>
      <w:r>
        <w:rPr>
          <w:rFonts w:ascii="Arial" w:hAnsi="Arial" w:cs="Arial"/>
          <w:b/>
          <w:sz w:val="84"/>
          <w:szCs w:val="84"/>
        </w:rPr>
      </w:r>
      <w:r/>
    </w:p>
    <w:p>
      <w:pPr>
        <w:pStyle w:val="706"/>
        <w:jc w:val="center"/>
        <w:spacing w:before="120" w:beforeAutospacing="0" w:after="120" w:afterAutospacing="0" w:line="360"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eastAsia="宋体" w:cs="宋体"/>
          <w:b/>
          <w:sz w:val="32"/>
          <w:szCs w:val="32"/>
          <w:lang w:eastAsia="zh-CN"/>
        </w:rPr>
        <w:t xml:space="preserve">JSZC-320900-JZCG-G2026-</w:t>
      </w:r>
      <w:r>
        <w:rPr>
          <w:rFonts w:hint="eastAsia" w:ascii="宋体" w:hAnsi="宋体" w:eastAsia="宋体" w:cs="宋体"/>
          <w:b/>
          <w:sz w:val="32"/>
          <w:szCs w:val="32"/>
          <w:lang w:val="en-US" w:eastAsia="zh-CN"/>
        </w:rPr>
        <w:t xml:space="preserve">0062</w:t>
      </w:r>
      <w:r>
        <w:rPr>
          <w:rFonts w:hint="eastAsia" w:ascii="宋体" w:hAnsi="宋体" w:eastAsia="宋体" w:cs="宋体"/>
          <w:b/>
          <w:sz w:val="32"/>
          <w:szCs w:val="32"/>
          <w:lang w:eastAsia="zh-CN"/>
        </w:rPr>
        <w:t xml:space="preserve"> </w:t>
      </w:r>
      <w:r/>
    </w:p>
    <w:p>
      <w:pPr>
        <w:pStyle w:val="706"/>
        <w:jc w:val="both"/>
        <w:spacing w:before="120" w:beforeAutospacing="0" w:after="120" w:afterAutospacing="0" w:line="360" w:lineRule="auto"/>
        <w:widowControl/>
        <w:rPr>
          <w:rFonts w:ascii="宋体" w:hAnsi="宋体" w:eastAsia="宋体" w:cs="宋体"/>
          <w:b/>
          <w:sz w:val="32"/>
          <w:szCs w:val="32"/>
        </w:rPr>
      </w:pPr>
      <w:r>
        <w:rPr>
          <w:rFonts w:ascii="宋体" w:hAnsi="宋体" w:eastAsia="宋体" w:cs="宋体"/>
          <w:b/>
          <w:sz w:val="32"/>
          <w:szCs w:val="32"/>
        </w:rPr>
      </w:r>
      <w:r/>
    </w:p>
    <w:p>
      <w:pPr>
        <w:pStyle w:val="706"/>
        <w:jc w:val="center"/>
        <w:spacing w:before="120" w:beforeAutospacing="0" w:after="120" w:afterAutospacing="0" w:line="360"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eastAsia="宋体" w:cs="宋体"/>
          <w:b/>
          <w:color w:val="000000"/>
          <w:sz w:val="32"/>
          <w:szCs w:val="32"/>
          <w:lang w:eastAsia="zh-CN"/>
        </w:rPr>
        <w:t xml:space="preserve">江苏省盐城技师学院海洋路校区心理健康活动中心和学生职业生涯规划中心采购项目</w:t>
      </w:r>
      <w:r/>
    </w:p>
    <w:p>
      <w:pPr>
        <w:widowControl/>
      </w:pPr>
      <w:r/>
      <w:r/>
    </w:p>
    <w:p>
      <w:pPr>
        <w:widowControl/>
        <w:rPr>
          <w:rFonts w:ascii="Arial" w:hAnsi="Arial" w:cs="Arial"/>
          <w:b/>
          <w:sz w:val="32"/>
          <w:szCs w:val="32"/>
        </w:rPr>
      </w:pPr>
      <w:r>
        <w:rPr>
          <w:rFonts w:ascii="Arial" w:hAnsi="Arial" w:cs="Arial"/>
          <w:b/>
          <w:sz w:val="32"/>
          <w:szCs w:val="32"/>
        </w:rPr>
      </w:r>
      <w:r/>
    </w:p>
    <w:p>
      <w:pPr>
        <w:widowControl/>
        <w:rPr>
          <w:rFonts w:ascii="Arial" w:hAnsi="Arial" w:cs="Arial"/>
          <w:b/>
          <w:sz w:val="32"/>
          <w:szCs w:val="32"/>
        </w:rPr>
      </w:pPr>
      <w:r>
        <w:rPr>
          <w:rFonts w:ascii="Arial" w:hAnsi="Arial" w:cs="Arial"/>
          <w:b/>
          <w:sz w:val="32"/>
          <w:szCs w:val="32"/>
        </w:rPr>
      </w:r>
      <w:r/>
    </w:p>
    <w:p>
      <w:pPr>
        <w:widowControl/>
        <w:rPr>
          <w:rFonts w:ascii="Arial" w:hAnsi="Arial" w:cs="Arial"/>
          <w:b/>
          <w:sz w:val="32"/>
          <w:szCs w:val="32"/>
        </w:rPr>
      </w:pPr>
      <w:r>
        <w:rPr>
          <w:rFonts w:ascii="Arial" w:hAnsi="Arial" w:cs="Arial"/>
          <w:b/>
          <w:sz w:val="32"/>
          <w:szCs w:val="32"/>
        </w:rPr>
      </w:r>
      <w:r/>
    </w:p>
    <w:p>
      <w:pPr>
        <w:widowControl/>
        <w:rPr>
          <w:rFonts w:ascii="Arial" w:hAnsi="Arial" w:cs="Arial"/>
          <w:b/>
          <w:sz w:val="32"/>
          <w:szCs w:val="32"/>
        </w:rPr>
      </w:pPr>
      <w:r>
        <w:rPr>
          <w:rFonts w:ascii="Arial" w:hAnsi="Arial" w:cs="Arial"/>
          <w:b/>
          <w:sz w:val="32"/>
          <w:szCs w:val="32"/>
        </w:rPr>
      </w:r>
      <w:r/>
    </w:p>
    <w:p>
      <w:pPr>
        <w:pStyle w:val="686"/>
        <w:widowControl/>
        <w:rPr>
          <w:rFonts w:ascii="Arial" w:cs="Arial"/>
          <w:b/>
          <w:sz w:val="32"/>
          <w:szCs w:val="32"/>
        </w:rPr>
      </w:pPr>
      <w:r>
        <w:rPr>
          <w:rFonts w:ascii="Arial" w:cs="Arial"/>
          <w:b/>
          <w:sz w:val="32"/>
          <w:szCs w:val="32"/>
        </w:rPr>
      </w:r>
      <w:r/>
    </w:p>
    <w:p>
      <w:pPr>
        <w:widowControl/>
        <w:rPr>
          <w:rFonts w:ascii="Arial" w:hAnsi="Arial" w:cs="Arial"/>
          <w:bCs/>
          <w:sz w:val="32"/>
          <w:szCs w:val="32"/>
        </w:rPr>
      </w:pPr>
      <w:r>
        <w:rPr>
          <w:rFonts w:ascii="Arial" w:hAnsi="Arial" w:cs="Arial"/>
          <w:bCs/>
          <w:sz w:val="32"/>
          <w:szCs w:val="32"/>
        </w:rPr>
      </w:r>
      <w:r/>
    </w:p>
    <w:p>
      <w:pPr>
        <w:pStyle w:val="706"/>
        <w:spacing w:before="120" w:beforeAutospacing="0" w:after="120" w:afterAutospacing="0" w:line="420" w:lineRule="exact"/>
        <w:widowControl/>
        <w:tabs>
          <w:tab w:val="left" w:pos="240" w:leader="none"/>
          <w:tab w:val="center" w:pos="4320" w:leader="none"/>
        </w:tabs>
        <w:rPr>
          <w:rFonts w:hint="eastAsia" w:ascii="黑体" w:hAnsi="黑体" w:eastAsia="黑体" w:cs="黑体"/>
          <w:bCs/>
          <w:sz w:val="32"/>
          <w:szCs w:val="32"/>
          <w:lang w:eastAsia="zh-CN"/>
        </w:rPr>
      </w:pPr>
      <w:r>
        <w:rPr>
          <w:rFonts w:ascii="黑体" w:hAnsi="黑体" w:eastAsia="黑体" w:cs="黑体"/>
          <w:bCs/>
          <w:sz w:val="32"/>
          <w:szCs w:val="32"/>
        </w:rPr>
        <w:tab/>
      </w:r>
      <w:r>
        <w:rPr>
          <w:rFonts w:ascii="黑体" w:hAnsi="黑体" w:eastAsia="黑体" w:cs="黑体"/>
          <w:bCs/>
          <w:sz w:val="32"/>
          <w:szCs w:val="32"/>
        </w:rPr>
        <w:tab/>
      </w:r>
      <w:r>
        <w:rPr>
          <w:rFonts w:hint="eastAsia" w:ascii="黑体" w:hAnsi="黑体" w:eastAsia="黑体" w:cs="黑体"/>
          <w:bCs/>
          <w:sz w:val="32"/>
          <w:szCs w:val="32"/>
          <w:lang w:eastAsia="zh-CN"/>
        </w:rPr>
        <w:t xml:space="preserve">江苏省盐城技师学院</w:t>
      </w:r>
      <w:r/>
    </w:p>
    <w:p>
      <w:pPr>
        <w:pStyle w:val="706"/>
        <w:jc w:val="center"/>
        <w:spacing w:before="120" w:beforeAutospacing="0" w:after="120" w:afterAutospacing="0" w:line="420" w:lineRule="exact"/>
        <w:widowControl/>
        <w:rPr>
          <w:rFonts w:ascii="黑体" w:hAnsi="黑体" w:eastAsia="黑体" w:cs="黑体"/>
          <w:bCs/>
          <w:sz w:val="32"/>
          <w:szCs w:val="32"/>
        </w:rPr>
      </w:pPr>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9</w:t>
      </w:r>
      <w:r>
        <w:rPr>
          <w:rFonts w:hint="eastAsia" w:ascii="黑体" w:hAnsi="黑体" w:eastAsia="黑体" w:cs="黑体"/>
          <w:bCs/>
          <w:sz w:val="32"/>
          <w:szCs w:val="32"/>
        </w:rPr>
        <w:t xml:space="preserve">月</w:t>
      </w:r>
      <w:r/>
    </w:p>
    <w:p>
      <w:pPr>
        <w:jc w:val="center"/>
        <w:spacing w:line="700" w:lineRule="exact"/>
        <w:widowControl/>
        <w:rPr>
          <w:rFonts w:ascii="黑体" w:hAnsi="黑体" w:eastAsia="黑体" w:cs="黑体"/>
          <w:bCs/>
          <w:sz w:val="44"/>
          <w:szCs w:val="2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outlineLvl w:val="0"/>
      </w:pPr>
      <w:r/>
      <w:bookmarkStart w:id="0" w:name="_Toc479757206"/>
      <w:r/>
      <w:bookmarkStart w:id="1" w:name="_Toc16938516"/>
      <w:r/>
      <w:bookmarkStart w:id="2" w:name="_Toc523127445"/>
      <w:r/>
      <w:bookmarkStart w:id="3" w:name="_Toc513029200"/>
      <w:r/>
      <w:bookmarkStart w:id="4" w:name="_Toc20823272"/>
      <w:r/>
      <w:bookmarkStart w:id="5" w:name="_Toc120614210"/>
      <w:r/>
      <w:bookmarkEnd w:id="0"/>
      <w:bookmarkEnd w:id="1"/>
      <w:bookmarkEnd w:id="2"/>
      <w:bookmarkEnd w:id="3"/>
      <w:bookmarkEnd w:id="4"/>
      <w:bookmarkEnd w:id="5"/>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20"/>
        </w:rPr>
      </w:r>
      <w:r/>
    </w:p>
    <w:p>
      <w:pPr>
        <w:jc w:val="center"/>
        <w:rPr>
          <w:rFonts w:ascii="黑体" w:hAnsi="Times New Roman" w:eastAsia="黑体" w:cs="黑体"/>
          <w:bCs/>
          <w:color w:val="000000"/>
          <w:sz w:val="44"/>
        </w:rPr>
      </w:pPr>
      <w:r>
        <w:rPr>
          <w:rFonts w:hint="eastAsia" w:ascii="黑体" w:hAnsi="Times New Roman" w:eastAsia="黑体" w:cs="黑体"/>
          <w:bCs/>
          <w:color w:val="000000"/>
          <w:sz w:val="44"/>
        </w:rPr>
        <w:t xml:space="preserve">总  目  录</w:t>
      </w:r>
      <w:r/>
    </w:p>
    <w:p>
      <w:pPr>
        <w:jc w:val="center"/>
        <w:rPr>
          <w:rFonts w:ascii="黑体" w:hAnsi="Times New Roman" w:eastAsia="黑体" w:cs="黑体"/>
          <w:bCs/>
          <w:color w:val="000000"/>
          <w:sz w:val="44"/>
        </w:rPr>
      </w:pPr>
      <w:r>
        <w:rPr>
          <w:rFonts w:ascii="黑体" w:hAnsi="Times New Roman" w:eastAsia="黑体" w:cs="黑体"/>
          <w:bCs/>
          <w:color w:val="000000"/>
          <w:sz w:val="44"/>
        </w:rPr>
      </w:r>
      <w:r/>
    </w:p>
    <w:p>
      <w:pPr>
        <w:ind w:left="1856" w:hanging="1018"/>
        <w:spacing w:line="560" w:lineRule="exact"/>
        <w:tabs>
          <w:tab w:val="left" w:pos="0" w:leader="none"/>
        </w:tabs>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第一章  招标公告……………………………1</w:t>
      </w:r>
      <w:r/>
    </w:p>
    <w:p>
      <w:pPr>
        <w:ind w:left="1856" w:hanging="1018"/>
        <w:spacing w:line="560" w:lineRule="exact"/>
        <w:tabs>
          <w:tab w:val="left" w:pos="0" w:leader="none"/>
        </w:tabs>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第二章  投标人须知…………………………7</w:t>
      </w:r>
      <w:r/>
    </w:p>
    <w:p>
      <w:pPr>
        <w:ind w:left="1856" w:hanging="1018"/>
        <w:spacing w:line="560" w:lineRule="exact"/>
        <w:tabs>
          <w:tab w:val="left" w:pos="0" w:leader="none"/>
        </w:tabs>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第三章  合同文本……………………………25</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第四章  采购需求……………………………57</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第五章  评标方法与评标标准………………75</w:t>
      </w:r>
      <w:r/>
    </w:p>
    <w:p>
      <w:pPr>
        <w:ind w:left="1856" w:hanging="1018"/>
        <w:spacing w:line="560" w:lineRule="exact"/>
        <w:rPr>
          <w:rFonts w:ascii="黑体" w:hAnsi="Times New Roman" w:eastAsia="黑体" w:cs="Times New Roman"/>
          <w:color w:val="000000"/>
          <w:sz w:val="36"/>
        </w:rPr>
        <w:outlineLvl w:val="0"/>
      </w:pPr>
      <w:r>
        <w:rPr>
          <w:rFonts w:hint="eastAsia" w:ascii="黑体" w:hAnsi="Times New Roman" w:eastAsia="黑体" w:cs="Times New Roman"/>
          <w:color w:val="000000"/>
          <w:sz w:val="36"/>
        </w:rPr>
        <w:t xml:space="preserve">第六章  投标文件格式………………………84</w:t>
      </w:r>
      <w:r/>
    </w:p>
    <w:p>
      <w:pPr>
        <w:pStyle w:val="706"/>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sdt>
      <w:sdtPr>
        <w15:appearance w15:val="boundingBox"/>
        <w:id w:val="147479957"/>
        <w:showingPlcHdr w:val="true"/>
        <w:docPartObj>
          <w:docPartGallery w:val="Table of Contents"/>
          <w:docPartUnique w:val="true"/>
        </w:docPartObj>
        <w:rPr>
          <w:rFonts w:ascii="宋体" w:hAnsi="宋体" w:eastAsia="宋体"/>
        </w:rPr>
      </w:sdtPr>
      <w:sdtContent>
        <w:p>
          <w:pPr>
            <w:spacing w:line="500" w:lineRule="exact"/>
            <w:widowControl/>
          </w:pPr>
          <w:r>
            <w:rPr>
              <w:rFonts w:hint="eastAsia" w:ascii="宋体" w:hAnsi="宋体" w:eastAsia="宋体"/>
            </w:rPr>
            <w:t xml:space="preserve">     </w:t>
          </w:r>
          <w:r/>
        </w:p>
      </w:sdtContent>
    </w:sdt>
    <w:p>
      <w:pPr>
        <w:pStyle w:val="686"/>
      </w:pPr>
      <w:r/>
      <w:r/>
    </w:p>
    <w:p>
      <w:pPr>
        <w:pStyle w:val="706"/>
        <w:jc w:val="center"/>
        <w:keepNext/>
        <w:spacing w:beforeAutospacing="0" w:afterAutospacing="0"/>
        <w:widowControl/>
        <w:rPr>
          <w:rFonts w:ascii="黑体" w:hAnsi="宋体" w:eastAsia="黑体" w:cs="黑体"/>
          <w:sz w:val="44"/>
          <w:szCs w:val="44"/>
        </w:rPr>
      </w:pPr>
      <w:r/>
      <w:bookmarkStart w:id="6" w:name="_Toc28359086"/>
      <w:r/>
      <w:r/>
    </w:p>
    <w:p>
      <w:pPr>
        <w:widowControl/>
        <w:sectPr>
          <w:footerReference w:type="default" r:id="rId10"/>
          <w:footnotePr/>
          <w:endnotePr/>
          <w:type w:val="nextPage"/>
          <w:pgSz w:w="11906" w:h="16838" w:orient="portrait"/>
          <w:pgMar w:top="1440" w:right="1633" w:bottom="1440" w:left="1633" w:header="851" w:footer="992" w:gutter="0"/>
          <w:pgNumType w:start="2"/>
          <w:cols w:num="1" w:sep="0" w:space="425" w:equalWidth="1"/>
          <w:docGrid w:linePitch="360"/>
        </w:sectPr>
      </w:pPr>
      <w:r/>
      <w:r/>
    </w:p>
    <w:p>
      <w:pPr>
        <w:pStyle w:val="706"/>
        <w:ind w:firstLine="220"/>
        <w:jc w:val="center"/>
        <w:keepNext/>
        <w:spacing w:beforeAutospacing="0" w:afterAutospacing="0"/>
        <w:widowControl/>
        <w:rPr>
          <w:rFonts w:ascii="黑体" w:hAnsi="宋体" w:eastAsia="黑体" w:cs="黑体"/>
          <w:sz w:val="44"/>
          <w:szCs w:val="44"/>
        </w:rPr>
        <w:outlineLvl w:val="0"/>
      </w:pPr>
      <w:r/>
      <w:bookmarkStart w:id="7" w:name="_Toc30031"/>
      <w:r>
        <w:rPr>
          <w:rFonts w:hint="eastAsia" w:ascii="黑体" w:hAnsi="宋体" w:eastAsia="黑体" w:cs="黑体"/>
          <w:sz w:val="44"/>
          <w:szCs w:val="44"/>
        </w:rPr>
        <w:t xml:space="preserve">第一章 招标公告</w:t>
      </w:r>
      <w:bookmarkEnd w:id="7"/>
      <w:r/>
      <w:r/>
    </w:p>
    <w:p>
      <w:pPr>
        <w:pStyle w:val="706"/>
        <w:numPr>
          <w:ilvl w:val="255"/>
          <w:numId w:val="0"/>
        </w:numPr>
        <w:jc w:val="both"/>
        <w:keepNext/>
        <w:spacing w:beforeAutospacing="0" w:afterAutospacing="0" w:line="200" w:lineRule="exact"/>
        <w:widowControl/>
        <w:rPr>
          <w:rFonts w:ascii="黑体" w:hAnsi="宋体" w:eastAsia="黑体" w:cs="黑体"/>
          <w:sz w:val="44"/>
          <w:szCs w:val="44"/>
        </w:rPr>
      </w:pPr>
      <w:r>
        <w:rPr>
          <w:rFonts w:ascii="黑体" w:hAnsi="宋体" w:eastAsia="黑体" w:cs="黑体"/>
          <w:sz w:val="44"/>
          <w:szCs w:val="44"/>
        </w:rPr>
      </w:r>
      <w:r/>
    </w:p>
    <w:p>
      <w:pPr>
        <w:ind w:firstLine="482"/>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2"/>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lang w:eastAsia="zh-CN"/>
        </w:rPr>
        <w:t xml:space="preserve">江苏省盐城技师学院海洋路校区心理健康活动中心和学生职业生涯规划中心采购项目</w:t>
      </w:r>
      <w:r>
        <w:rPr>
          <w:rFonts w:hint="eastAsia" w:ascii="宋体" w:hAnsi="宋体" w:eastAsia="宋体" w:cs="宋体"/>
          <w:sz w:val="24"/>
          <w:lang w:eastAsia="zh-CN"/>
        </w:rPr>
        <w:t xml:space="preserve">JSZC-320900-JZCG-G2026-</w:t>
      </w:r>
      <w:r>
        <w:rPr>
          <w:rFonts w:hint="eastAsia" w:ascii="宋体" w:hAnsi="宋体" w:eastAsia="宋体" w:cs="宋体"/>
          <w:sz w:val="24"/>
          <w:lang w:val="en-US" w:eastAsia="zh-CN"/>
        </w:rPr>
        <w:t xml:space="preserve">0062</w:t>
      </w:r>
      <w:r>
        <w:rPr>
          <w:rFonts w:hint="eastAsia" w:ascii="宋体" w:hAnsi="宋体" w:eastAsia="宋体" w:cs="宋体"/>
          <w:sz w:val="24"/>
          <w:szCs w:val="20"/>
        </w:rPr>
        <w:t xml:space="preserve">的潜在投标人应在“苏采云”系统内免费下载（投标人必须在苏采云系统中获取采购文件，方能参与政府采购项目），并于</w:t>
      </w:r>
      <w:r>
        <w:rPr>
          <w:rFonts w:hint="eastAsia" w:ascii="宋体" w:hAnsi="宋体" w:eastAsia="宋体" w:cs="宋体"/>
          <w:color w:val="0000ff"/>
          <w:sz w:val="24"/>
          <w:szCs w:val="20"/>
        </w:rPr>
        <w:t xml:space="preserve">2026年10月</w:t>
      </w:r>
      <w:r>
        <w:rPr>
          <w:rFonts w:hint="eastAsia" w:ascii="宋体" w:hAnsi="宋体" w:eastAsia="宋体" w:cs="宋体"/>
          <w:color w:val="0000ff"/>
          <w:sz w:val="24"/>
          <w:szCs w:val="20"/>
          <w:lang w:val="en-US" w:eastAsia="zh-CN"/>
        </w:rPr>
        <w:t xml:space="preserve">16</w:t>
      </w:r>
      <w:r>
        <w:rPr>
          <w:rFonts w:hint="eastAsia" w:ascii="宋体" w:hAnsi="宋体" w:eastAsia="宋体" w:cs="宋体"/>
          <w:color w:val="0000ff"/>
          <w:sz w:val="24"/>
          <w:szCs w:val="20"/>
        </w:rPr>
        <w:t xml:space="preserve">日9点30分</w:t>
      </w:r>
      <w:r>
        <w:rPr>
          <w:rFonts w:hint="eastAsia" w:ascii="宋体" w:hAnsi="宋体" w:eastAsia="宋体" w:cs="宋体"/>
          <w:sz w:val="24"/>
          <w:szCs w:val="20"/>
        </w:rPr>
        <w:t xml:space="preserve">（北京时间）前递交投标文件。</w:t>
      </w:r>
      <w:bookmarkStart w:id="8" w:name="_Toc35393621"/>
      <w:r/>
      <w:bookmarkStart w:id="9" w:name="_Hlk24379207"/>
      <w:r/>
      <w:bookmarkStart w:id="10" w:name="_Toc38985263"/>
      <w:r/>
      <w:bookmarkStart w:id="11" w:name="_Toc35393790"/>
      <w:r/>
      <w:bookmarkStart w:id="12" w:name="_Toc28359079"/>
      <w:r/>
      <w:bookmarkStart w:id="13" w:name="_Toc28359002"/>
      <w:r/>
      <w:r/>
    </w:p>
    <w:p>
      <w:pPr>
        <w:ind w:firstLine="482"/>
        <w:jc w:val="left"/>
        <w:keepLines/>
        <w:keepNex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一、项目基本情况</w:t>
      </w:r>
      <w:bookmarkEnd w:id="8"/>
      <w:r/>
      <w:bookmarkEnd w:id="9"/>
      <w:r/>
      <w:bookmarkEnd w:id="10"/>
      <w:r/>
      <w:bookmarkEnd w:id="11"/>
      <w:r/>
      <w:bookmarkEnd w:id="12"/>
      <w:r/>
      <w:bookmarkEnd w:id="13"/>
      <w:r/>
      <w:r/>
    </w:p>
    <w:p>
      <w:pPr>
        <w:ind w:firstLine="482"/>
        <w:jc w:val="left"/>
        <w:spacing w:line="560" w:lineRule="exact"/>
        <w:widowControl/>
        <w:rPr>
          <w:rFonts w:hint="eastAsia" w:ascii="宋体" w:hAnsi="宋体" w:eastAsia="宋体" w:cs="宋体"/>
          <w:sz w:val="24"/>
          <w:lang w:eastAsia="zh-CN"/>
        </w:rPr>
      </w:pPr>
      <w:r>
        <w:rPr>
          <w:rFonts w:hint="eastAsia" w:ascii="宋体" w:hAnsi="宋体" w:eastAsia="宋体" w:cs="宋体"/>
          <w:sz w:val="24"/>
        </w:rPr>
        <w:t xml:space="preserve">1.项目编号：</w:t>
      </w:r>
      <w:r>
        <w:rPr>
          <w:rFonts w:hint="eastAsia" w:ascii="宋体" w:hAnsi="宋体" w:eastAsia="宋体" w:cs="宋体"/>
          <w:sz w:val="24"/>
          <w:lang w:eastAsia="zh-CN"/>
        </w:rPr>
        <w:t xml:space="preserve">JSZC-320900-JZCG-G2026-</w:t>
      </w:r>
      <w:r>
        <w:rPr>
          <w:rFonts w:hint="eastAsia" w:ascii="宋体" w:hAnsi="宋体" w:eastAsia="宋体" w:cs="宋体"/>
          <w:sz w:val="24"/>
          <w:lang w:val="en-US" w:eastAsia="zh-CN"/>
        </w:rPr>
        <w:t xml:space="preserve">0062</w:t>
      </w:r>
      <w:r>
        <w:rPr>
          <w:rFonts w:hint="eastAsia" w:ascii="宋体" w:hAnsi="宋体" w:eastAsia="宋体" w:cs="宋体"/>
          <w:sz w:val="24"/>
          <w:lang w:eastAsia="zh-CN"/>
        </w:rPr>
        <w:t xml:space="preserve"> </w:t>
      </w:r>
      <w:r/>
    </w:p>
    <w:p>
      <w:pPr>
        <w:ind w:firstLine="482"/>
        <w:jc w:val="left"/>
        <w:spacing w:line="560" w:lineRule="exact"/>
        <w:widowControl/>
        <w:rPr>
          <w:rFonts w:hint="eastAsia" w:ascii="宋体" w:hAnsi="宋体" w:eastAsia="宋体" w:cs="宋体"/>
          <w:sz w:val="24"/>
          <w:lang w:eastAsia="zh-CN"/>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江苏省盐城技师学院海洋路校区心理健康活动中心和学生职业生涯规划中心采购项目</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3.采购方式：公开招标</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4.预算金额：</w:t>
      </w:r>
      <w:r>
        <w:rPr>
          <w:rFonts w:hint="eastAsia" w:ascii="宋体"/>
          <w:bCs/>
          <w:color w:val="000000"/>
          <w:sz w:val="24"/>
        </w:rPr>
        <w:t xml:space="preserve">109.7</w:t>
      </w:r>
      <w:r>
        <w:rPr>
          <w:rFonts w:hint="eastAsia" w:ascii="宋体" w:hAnsi="宋体" w:eastAsia="宋体" w:cs="宋体"/>
          <w:sz w:val="24"/>
        </w:rPr>
        <w:t xml:space="preserve">万元</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5.最高限价：</w:t>
      </w:r>
      <w:r>
        <w:rPr>
          <w:rFonts w:hint="eastAsia" w:ascii="宋体"/>
          <w:bCs/>
          <w:color w:val="000000"/>
          <w:sz w:val="24"/>
        </w:rPr>
        <w:t xml:space="preserve">109.7</w:t>
      </w:r>
      <w:r>
        <w:rPr>
          <w:rFonts w:hint="eastAsia" w:ascii="宋体" w:hAnsi="宋体" w:eastAsia="宋体" w:cs="宋体"/>
          <w:sz w:val="24"/>
        </w:rPr>
        <w:t xml:space="preserve">万元</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6.采购需求：</w:t>
      </w:r>
      <w:r>
        <w:rPr>
          <w:rFonts w:hint="eastAsia" w:ascii="宋体"/>
          <w:bCs/>
          <w:color w:val="000000"/>
          <w:sz w:val="24"/>
        </w:rPr>
        <w:t xml:space="preserve">江苏省盐城技师学院海洋路校区心理健康活动中心和学生职业生涯规划中心采购项目</w:t>
      </w:r>
      <w:r>
        <w:rPr>
          <w:rFonts w:hint="eastAsia" w:ascii="宋体" w:hAnsi="宋体" w:cs="宋体"/>
          <w:color w:val="000000"/>
          <w:sz w:val="24"/>
          <w:lang w:bidi="ar"/>
        </w:rPr>
        <w:t xml:space="preserve">，</w:t>
      </w:r>
      <w:r>
        <w:rPr>
          <w:rFonts w:hint="eastAsia" w:ascii="宋体" w:hAnsi="宋体"/>
          <w:bCs/>
          <w:color w:val="000000"/>
          <w:sz w:val="24"/>
          <w:szCs w:val="21"/>
        </w:rPr>
        <w:t xml:space="preserve">详见本招标文件第四章采购需求</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7.合同履行期限：</w:t>
      </w:r>
      <w:r>
        <w:rPr>
          <w:rFonts w:hint="eastAsia" w:ascii="宋体" w:hAnsi="宋体" w:cs="宋体"/>
          <w:color w:val="000000"/>
          <w:sz w:val="24"/>
          <w:lang w:bidi="ar"/>
        </w:rPr>
        <w:t xml:space="preserve">必须在合同签订后60个日历天内完成到货、安装、调试工作并交付使用，中标价包括安装调试过程中产生的一切费用</w:t>
      </w:r>
      <w:r>
        <w:rPr>
          <w:rFonts w:hint="eastAsia" w:ascii="宋体" w:hAnsi="宋体" w:eastAsia="宋体" w:cs="宋体"/>
          <w:sz w:val="24"/>
        </w:rPr>
        <w:t xml:space="preserve">。</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8.本项目（是/否）接受联合体投标：否。</w:t>
      </w:r>
      <w:r/>
    </w:p>
    <w:p>
      <w:pPr>
        <w:ind w:firstLine="482"/>
        <w:jc w:val="left"/>
        <w:spacing w:line="560" w:lineRule="exact"/>
        <w:widowControl/>
        <w:rPr>
          <w:rFonts w:ascii="宋体" w:hAnsi="宋体" w:eastAsia="宋体" w:cs="宋体"/>
          <w:b/>
          <w:bCs/>
          <w:sz w:val="24"/>
          <w:szCs w:val="20"/>
        </w:rPr>
      </w:pPr>
      <w:r/>
      <w:bookmarkStart w:id="14" w:name="_Toc35393791"/>
      <w:r/>
      <w:bookmarkStart w:id="15" w:name="_Toc38985264"/>
      <w:r/>
      <w:bookmarkStart w:id="16" w:name="_Toc28359080"/>
      <w:r/>
      <w:bookmarkStart w:id="17" w:name="_Toc35393622"/>
      <w:r/>
      <w:bookmarkStart w:id="18" w:name="_Toc28359003"/>
      <w:r>
        <w:rPr>
          <w:rFonts w:hint="eastAsia" w:ascii="宋体" w:hAnsi="宋体" w:eastAsia="宋体" w:cs="宋体"/>
          <w:b/>
          <w:bCs/>
          <w:sz w:val="24"/>
          <w:szCs w:val="20"/>
        </w:rPr>
        <w:t xml:space="preserve">二、申请人的资格要求</w:t>
      </w:r>
      <w:bookmarkEnd w:id="14"/>
      <w:r/>
      <w:bookmarkEnd w:id="15"/>
      <w:r/>
      <w:bookmarkEnd w:id="16"/>
      <w:r/>
      <w:bookmarkEnd w:id="17"/>
      <w:r/>
      <w:bookmarkEnd w:id="18"/>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1.1法人或者其他组织的营业执照等证明文件，自然人的身份证明；</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1.2上一年度的财务状况报告（成立不满一年无需提供）；</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2.落实政府采购政策需满足的资格要求：无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3.本项目的特定资格要求：无</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三、获取招标文件</w:t>
      </w:r>
      <w:bookmarkStart w:id="19" w:name="_Toc28359018"/>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时间：自招标文件公告发布之日起5个工作日</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地点：“苏采云”系统内免费下载（投标人必须在苏采云系统中获取采购文件，方能参与政府采购项目）</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方式：本项目采用网上注册登记方式</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售价：0.00元</w:t>
      </w:r>
      <w:r/>
    </w:p>
    <w:p>
      <w:pPr>
        <w:ind w:firstLine="482"/>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ff"/>
          <w:sz w:val="24"/>
        </w:rPr>
      </w:pPr>
      <w:r>
        <w:rPr>
          <w:rFonts w:hint="eastAsia" w:ascii="宋体" w:hAnsi="宋体" w:eastAsia="宋体" w:cs="宋体"/>
          <w:sz w:val="24"/>
        </w:rPr>
        <w:t xml:space="preserve">1.时间：</w:t>
      </w:r>
      <w:r>
        <w:rPr>
          <w:rFonts w:hint="eastAsia" w:ascii="宋体" w:hAnsi="宋体" w:eastAsia="宋体" w:cs="宋体"/>
          <w:color w:val="0000ff"/>
          <w:sz w:val="24"/>
        </w:rPr>
        <w:t xml:space="preserve">2026年10月</w:t>
      </w:r>
      <w:r>
        <w:rPr>
          <w:rFonts w:hint="eastAsia" w:ascii="宋体" w:hAnsi="宋体" w:eastAsia="宋体" w:cs="宋体"/>
          <w:color w:val="0000ff"/>
          <w:sz w:val="24"/>
          <w:lang w:val="en-US" w:eastAsia="zh-CN"/>
        </w:rPr>
        <w:t xml:space="preserve">16</w:t>
      </w:r>
      <w:r>
        <w:rPr>
          <w:rFonts w:hint="eastAsia" w:ascii="宋体" w:hAnsi="宋体" w:eastAsia="宋体" w:cs="宋体"/>
          <w:color w:val="0000ff"/>
          <w:sz w:val="24"/>
        </w:rPr>
        <w:t xml:space="preserve">日9点30分（北京时间）</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2.地点：苏采云“不见面”开标大厅。</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五、公告期限</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自本公告发布之日起5个工作日。</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六、其他补充事宜</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sz w:val="24"/>
          <w:szCs w:val="20"/>
        </w:rPr>
        <w:t xml:space="preserve">具体办理指南：在盐城市政府采购网点击【办事指南】-【供应商参与政府采购活动相关资料】。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领取CA和办理电子签章（</w:t>
      </w:r>
      <w:r>
        <w:rPr>
          <w:rFonts w:hint="eastAsia" w:ascii="宋体" w:hAnsi="宋体" w:eastAsia="宋体" w:cs="宋体"/>
          <w:b/>
          <w:bCs/>
          <w:color w:val="000000"/>
          <w:sz w:val="24"/>
          <w:szCs w:val="20"/>
        </w:rPr>
        <w:t xml:space="preserve">请至盐城市府西路1号盐城市公共资源交易中心四楼大厅10号，11号窗口办理</w:t>
      </w:r>
      <w:r>
        <w:rPr>
          <w:rFonts w:hint="eastAsia" w:ascii="宋体" w:hAnsi="宋体" w:eastAsia="宋体" w:cs="宋体"/>
          <w:color w:val="000000"/>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2.2 潜在投标人访问“苏采云”系统方法：江苏省政府采购网首页-“苏采云”链接。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如潜在投标人未按上述要求操作，将自行承担所产生的风险。</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4.本次招标不收取投标保证金，不收取质量保证金。</w:t>
      </w:r>
      <w:r/>
    </w:p>
    <w:p>
      <w:pPr>
        <w:ind w:firstLine="482"/>
        <w:jc w:val="left"/>
        <w:spacing w:line="560" w:lineRule="exact"/>
        <w:shd w:val="clear" w:color="auto" w:fill="ffffff"/>
        <w:widowControl/>
        <w:rPr>
          <w:rFonts w:ascii="宋体" w:hAnsi="宋体" w:eastAsia="宋体" w:cs="宋体"/>
          <w:b/>
          <w:bCs/>
          <w:sz w:val="24"/>
          <w:szCs w:val="20"/>
        </w:rPr>
      </w:pPr>
      <w:r>
        <w:rPr>
          <w:rFonts w:hint="eastAsia" w:ascii="宋体" w:hAnsi="宋体" w:eastAsia="宋体" w:cs="宋体"/>
          <w:b/>
          <w:bCs/>
          <w:sz w:val="24"/>
          <w:szCs w:val="20"/>
          <w:shd w:val="clear" w:color="auto" w:fill="ffffff"/>
        </w:rPr>
        <w:t xml:space="preserve">七、对本次招标提出询问，请按以下方式联系。</w:t>
      </w:r>
      <w:bookmarkEnd w:id="19"/>
      <w:r/>
      <w:r/>
    </w:p>
    <w:p>
      <w:pPr>
        <w:ind w:firstLine="482"/>
        <w:jc w:val="left"/>
        <w:spacing w:line="560" w:lineRule="exact"/>
        <w:shd w:val="clear" w:color="auto" w:fill="ffffff"/>
        <w:widowControl/>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1.采购人信息</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名    称：江苏省盐城技师学院</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地    址：盐城市盐都区海洋路29号</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联 系 人：王老师</w:t>
      </w:r>
      <w:r/>
    </w:p>
    <w:p>
      <w:pPr>
        <w:ind w:firstLine="482"/>
        <w:jc w:val="left"/>
        <w:spacing w:line="560" w:lineRule="exact"/>
        <w:shd w:val="clear" w:color="auto" w:fill="ffffff"/>
        <w:widowControl/>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联系方式：0515-68661002</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2.采购代理机构信息</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名    称：盐城市政府采购中心</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地    址：盐城市府西路1号市公共资源交易中心5楼</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 系 人：倪女士</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联系电话：0515-69083502</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3.项目联系方式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 系 人：倪女士</w:t>
      </w:r>
      <w:r/>
    </w:p>
    <w:p>
      <w:pPr>
        <w:ind w:firstLine="482"/>
        <w:jc w:val="left"/>
        <w:spacing w:line="560" w:lineRule="exact"/>
        <w:shd w:val="clear" w:color="auto" w:fill="ffffff"/>
        <w:widowControl/>
        <w:rPr>
          <w:rFonts w:ascii="宋体" w:hAnsi="宋体" w:eastAsia="宋体" w:cs="宋体"/>
          <w:sz w:val="24"/>
          <w:szCs w:val="20"/>
          <w:shd w:val="clear" w:color="auto" w:fill="ffffff"/>
        </w:rPr>
      </w:pPr>
      <w:r>
        <w:rPr>
          <w:rFonts w:hint="eastAsia" w:ascii="宋体" w:hAnsi="宋体" w:cs="宋体"/>
          <w:color w:val="000000"/>
          <w:sz w:val="24"/>
        </w:rPr>
        <w:t xml:space="preserve">联系电话：0515-69083502</w:t>
      </w:r>
      <w:r/>
    </w:p>
    <w:p>
      <w:pPr>
        <w:widowControl/>
      </w:pPr>
      <w:r/>
      <w:r/>
    </w:p>
    <w:p>
      <w:pPr>
        <w:widowControl/>
        <w:rPr>
          <w:rFonts w:ascii="黑体" w:hAnsi="宋体" w:eastAsia="黑体" w:cs="黑体"/>
          <w:b/>
          <w:sz w:val="44"/>
          <w:szCs w:val="44"/>
        </w:rPr>
      </w:pPr>
      <w:r>
        <w:rPr>
          <w:rFonts w:hint="eastAsia" w:ascii="宋体" w:hAnsi="宋体" w:eastAsia="宋体" w:cs="宋体"/>
        </w:rPr>
        <w:br w:type="page" w:clear="all"/>
      </w:r>
      <w:bookmarkStart w:id="20" w:name="_Toc120614211"/>
      <w:r/>
      <w:r/>
    </w:p>
    <w:p>
      <w:pPr>
        <w:ind w:firstLine="482"/>
        <w:jc w:val="center"/>
        <w:keepLines/>
        <w:keepNext/>
        <w:spacing w:before="260" w:after="260" w:line="560" w:lineRule="exact"/>
        <w:widowControl/>
        <w:outlineLvl w:val="0"/>
      </w:pPr>
      <w:r/>
      <w:bookmarkStart w:id="21" w:name="_Toc5488"/>
      <w:r>
        <w:rPr>
          <w:rFonts w:hint="eastAsia" w:ascii="黑体" w:hAnsi="宋体" w:eastAsia="黑体" w:cs="黑体"/>
          <w:bCs/>
          <w:sz w:val="44"/>
          <w:szCs w:val="44"/>
        </w:rPr>
        <w:t xml:space="preserve">第二章</w:t>
      </w:r>
      <w:bookmarkEnd w:id="20"/>
      <w:r/>
      <w:bookmarkStart w:id="22" w:name="_Toc20823274"/>
      <w:r/>
      <w:bookmarkStart w:id="23" w:name="_Toc16938518"/>
      <w:r/>
      <w:bookmarkStart w:id="24" w:name="_Toc120614213"/>
      <w:r/>
      <w:bookmarkStart w:id="25" w:name="_Toc513029202"/>
      <w:r>
        <w:rPr>
          <w:rFonts w:hint="eastAsia" w:ascii="黑体" w:hAnsi="宋体" w:eastAsia="黑体" w:cs="黑体"/>
          <w:bCs/>
          <w:sz w:val="44"/>
          <w:szCs w:val="44"/>
        </w:rPr>
        <w:t xml:space="preserve"> 投标人须知</w:t>
      </w:r>
      <w:bookmarkEnd w:id="21"/>
      <w:r/>
      <w:bookmarkEnd w:id="22"/>
      <w:r/>
      <w:bookmarkEnd w:id="23"/>
      <w:r/>
      <w:bookmarkEnd w:id="24"/>
      <w:r/>
      <w:bookmarkEnd w:id="25"/>
      <w:r/>
      <w:r/>
    </w:p>
    <w:p>
      <w:pPr>
        <w:pStyle w:val="706"/>
        <w:ind w:firstLine="482"/>
        <w:jc w:val="both"/>
        <w:keepNext/>
        <w:spacing w:beforeAutospacing="0" w:afterAutospacing="0" w:line="480" w:lineRule="exact"/>
        <w:rPr>
          <w:rFonts w:ascii="宋体" w:hAnsi="宋体" w:eastAsia="宋体" w:cs="宋体"/>
        </w:rPr>
      </w:pPr>
      <w:r/>
      <w:bookmarkStart w:id="26" w:name="_Toc16938519"/>
      <w:r/>
      <w:bookmarkStart w:id="27" w:name="_Toc513029203"/>
      <w:r/>
      <w:bookmarkStart w:id="28" w:name="_Toc20823275"/>
      <w:r/>
      <w:bookmarkStart w:id="29" w:name="_Toc120614214"/>
      <w:r/>
      <w:bookmarkStart w:id="30" w:name="_Hlt26670482"/>
      <w:r/>
      <w:bookmarkStart w:id="31" w:name="_Hlt26954731"/>
      <w:r/>
      <w:bookmarkStart w:id="32" w:name="_Hlt26670360"/>
      <w:r/>
      <w:bookmarkStart w:id="33" w:name="_Hlt26954739"/>
      <w:r/>
      <w:bookmarkStart w:id="34" w:name="_Hlt26954852"/>
      <w:r/>
      <w:bookmarkStart w:id="35" w:name="_Hlt26954848"/>
      <w:r/>
      <w:bookmarkStart w:id="36" w:name="_Hlt26670486"/>
      <w:r/>
      <w:bookmarkStart w:id="37" w:name="_Hlt26668975"/>
      <w:r/>
      <w:bookmarkStart w:id="38" w:name="_Toc513029226"/>
      <w:r/>
      <w:bookmarkStart w:id="39" w:name="_Hlt26954846"/>
      <w:r/>
      <w:bookmarkStart w:id="40" w:name="_Hlt16619475"/>
      <w:r/>
      <w:bookmarkStart w:id="41" w:name="_Hlt26954838"/>
      <w:r>
        <w:rPr>
          <w:rFonts w:hint="eastAsia" w:ascii="宋体" w:hAnsi="宋体" w:eastAsia="宋体" w:cs="宋体"/>
          <w:b/>
        </w:rPr>
        <w:t xml:space="preserve">一、总则</w:t>
      </w:r>
      <w:bookmarkEnd w:id="26"/>
      <w:r/>
      <w:bookmarkEnd w:id="27"/>
      <w:r/>
      <w:bookmarkEnd w:id="28"/>
      <w:r/>
      <w:bookmarkEnd w:id="29"/>
      <w:r/>
      <w:r/>
    </w:p>
    <w:p>
      <w:pPr>
        <w:ind w:firstLine="482"/>
        <w:jc w:val="left"/>
        <w:keepNext/>
        <w:spacing w:line="560" w:lineRule="exact"/>
        <w:rPr>
          <w:rFonts w:ascii="宋体" w:hAnsi="宋体" w:eastAsia="宋体" w:cs="宋体"/>
          <w:b/>
          <w:bCs/>
          <w:sz w:val="24"/>
          <w:szCs w:val="20"/>
        </w:rPr>
        <w:outlineLvl w:val="2"/>
      </w:pPr>
      <w:r/>
      <w:bookmarkStart w:id="42" w:name="_Toc20823276"/>
      <w:r/>
      <w:bookmarkStart w:id="43" w:name="_Toc458694821"/>
      <w:r/>
      <w:bookmarkStart w:id="44" w:name="_Toc16938520"/>
      <w:r/>
      <w:bookmarkStart w:id="45" w:name="_Toc513029204"/>
      <w:r>
        <w:rPr>
          <w:rFonts w:hint="eastAsia" w:ascii="宋体" w:hAnsi="宋体" w:eastAsia="宋体" w:cs="宋体"/>
          <w:b/>
          <w:bCs/>
          <w:sz w:val="24"/>
          <w:szCs w:val="20"/>
        </w:rPr>
        <w:t xml:space="preserve">1</w:t>
      </w:r>
      <w:bookmarkEnd w:id="42"/>
      <w:r>
        <w:rPr>
          <w:rFonts w:hint="eastAsia" w:ascii="宋体" w:hAnsi="宋体" w:eastAsia="宋体" w:cs="宋体"/>
          <w:b/>
          <w:bCs/>
          <w:sz w:val="24"/>
          <w:szCs w:val="20"/>
        </w:rPr>
        <w:t xml:space="preserve">、招标方式</w:t>
      </w:r>
      <w:bookmarkEnd w:id="43"/>
      <w:r/>
      <w:bookmarkEnd w:id="44"/>
      <w:r/>
      <w:bookmarkEnd w:id="4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1.1本次招标采取公开招标方式，本招标文件仅适用于招标公告中所述项目。</w:t>
      </w:r>
      <w:r/>
    </w:p>
    <w:p>
      <w:pPr>
        <w:ind w:firstLine="482"/>
        <w:jc w:val="left"/>
        <w:keepNext/>
        <w:spacing w:line="560" w:lineRule="exact"/>
        <w:rPr>
          <w:rFonts w:ascii="宋体" w:hAnsi="宋体" w:eastAsia="宋体" w:cs="宋体"/>
          <w:b/>
          <w:bCs/>
          <w:sz w:val="24"/>
          <w:szCs w:val="20"/>
        </w:rPr>
        <w:outlineLvl w:val="2"/>
      </w:pPr>
      <w:r/>
      <w:bookmarkStart w:id="46" w:name="_Toc513029205"/>
      <w:r/>
      <w:bookmarkStart w:id="47" w:name="_Toc20823277"/>
      <w:r/>
      <w:bookmarkStart w:id="48" w:name="_Toc16938521"/>
      <w:r>
        <w:rPr>
          <w:rFonts w:hint="eastAsia" w:ascii="宋体" w:hAnsi="宋体" w:eastAsia="宋体" w:cs="宋体"/>
          <w:b/>
          <w:bCs/>
          <w:sz w:val="24"/>
          <w:szCs w:val="20"/>
        </w:rPr>
        <w:t xml:space="preserve">2、合格的投标人</w:t>
      </w:r>
      <w:bookmarkEnd w:id="46"/>
      <w:r/>
      <w:bookmarkEnd w:id="47"/>
      <w:r/>
      <w:bookmarkEnd w:id="48"/>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2.1满足招标公告中供应商的资格要求的规定。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2.2满足本文件实质性要求和条件的规定。</w:t>
      </w:r>
      <w:r/>
    </w:p>
    <w:p>
      <w:pPr>
        <w:ind w:firstLine="482"/>
        <w:jc w:val="left"/>
        <w:keepNext/>
        <w:spacing w:line="560" w:lineRule="exact"/>
        <w:rPr>
          <w:rFonts w:ascii="宋体" w:hAnsi="宋体" w:eastAsia="宋体" w:cs="宋体"/>
          <w:b/>
          <w:bCs/>
          <w:sz w:val="24"/>
          <w:szCs w:val="20"/>
        </w:rPr>
        <w:outlineLvl w:val="2"/>
      </w:pPr>
      <w:r/>
      <w:bookmarkStart w:id="49" w:name="_Toc20823278"/>
      <w:r/>
      <w:bookmarkStart w:id="50" w:name="_Toc513029206"/>
      <w:r/>
      <w:bookmarkStart w:id="51" w:name="_Toc16938522"/>
      <w:r>
        <w:rPr>
          <w:rFonts w:hint="eastAsia" w:ascii="宋体" w:hAnsi="宋体" w:eastAsia="宋体" w:cs="宋体"/>
          <w:b/>
          <w:bCs/>
          <w:sz w:val="24"/>
          <w:szCs w:val="20"/>
        </w:rPr>
        <w:t xml:space="preserve">3、适用法律</w:t>
      </w:r>
      <w:bookmarkEnd w:id="49"/>
      <w:r/>
      <w:bookmarkEnd w:id="50"/>
      <w:r/>
      <w:bookmarkEnd w:id="51"/>
      <w:r/>
      <w:r/>
    </w:p>
    <w:p>
      <w:pPr>
        <w:ind w:firstLine="482"/>
        <w:jc w:val="left"/>
        <w:spacing w:line="556" w:lineRule="exact"/>
        <w:widowControl/>
        <w:rPr>
          <w:rFonts w:ascii="宋体" w:hAnsi="宋体" w:eastAsia="宋体" w:cs="宋体"/>
          <w:sz w:val="24"/>
          <w:szCs w:val="20"/>
        </w:rPr>
      </w:pPr>
      <w:r/>
      <w:bookmarkStart w:id="52" w:name="_Toc20823279"/>
      <w:r/>
      <w:bookmarkStart w:id="53" w:name="_Toc513029207"/>
      <w:r/>
      <w:bookmarkStart w:id="54" w:name="_Toc16938523"/>
      <w:r/>
      <w:bookmarkStart w:id="55" w:name="_Toc462564067"/>
      <w:r>
        <w:rPr>
          <w:rFonts w:hint="eastAsia" w:ascii="宋体" w:hAnsi="宋体" w:eastAsia="宋体" w:cs="宋体"/>
          <w:sz w:val="24"/>
          <w:szCs w:val="20"/>
        </w:rPr>
        <w:t xml:space="preserve">3.1 本次招标及由此产生的合同受中华人民共和国有关的法律法规制约和保护。</w:t>
      </w:r>
      <w:r/>
    </w:p>
    <w:p>
      <w:pPr>
        <w:ind w:firstLine="482"/>
        <w:jc w:val="left"/>
        <w:spacing w:line="556" w:lineRule="exact"/>
        <w:widowControl/>
        <w:rPr>
          <w:rFonts w:ascii="宋体" w:hAnsi="宋体" w:eastAsia="宋体" w:cs="宋体"/>
          <w:sz w:val="24"/>
          <w:szCs w:val="20"/>
        </w:rPr>
      </w:pPr>
      <w:r>
        <w:rPr>
          <w:rFonts w:hint="eastAsia" w:ascii="宋体" w:hAnsi="宋体" w:eastAsia="宋体" w:cs="宋体"/>
          <w:sz w:val="24"/>
          <w:szCs w:val="20"/>
        </w:rPr>
        <w:t xml:space="preserve">3.2 在本项目政府采购活动过程中，如果所执行的标准有更新的，按照最新标准执行。</w:t>
      </w:r>
      <w:r/>
    </w:p>
    <w:p>
      <w:pPr>
        <w:ind w:firstLine="482"/>
        <w:jc w:val="left"/>
        <w:keepNext/>
        <w:spacing w:line="560" w:lineRule="exact"/>
        <w:rPr>
          <w:rFonts w:ascii="宋体" w:hAnsi="宋体" w:eastAsia="宋体" w:cs="宋体"/>
          <w:b/>
          <w:bCs/>
          <w:sz w:val="24"/>
          <w:szCs w:val="20"/>
        </w:rPr>
        <w:outlineLvl w:val="2"/>
      </w:pPr>
      <w:r>
        <w:rPr>
          <w:rFonts w:hint="eastAsia" w:ascii="宋体" w:hAnsi="宋体" w:eastAsia="宋体" w:cs="宋体"/>
          <w:b/>
          <w:bCs/>
          <w:sz w:val="24"/>
          <w:szCs w:val="20"/>
        </w:rPr>
        <w:t xml:space="preserve">4、投标费用</w:t>
      </w:r>
      <w:bookmarkEnd w:id="52"/>
      <w:r/>
      <w:bookmarkEnd w:id="53"/>
      <w:r/>
      <w:bookmarkEnd w:id="54"/>
      <w:r/>
      <w:bookmarkEnd w:id="5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4.2本次招标采购中心和采购人不收取标书工本费与中标服务费。</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5、招标文件的约束力</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5.1投标人一旦参加本项目采购活动，即被认为接受了本招标文件的规定和约束。</w:t>
      </w:r>
      <w:r/>
    </w:p>
    <w:p>
      <w:pPr>
        <w:ind w:firstLine="482"/>
        <w:jc w:val="left"/>
        <w:keepNext/>
        <w:spacing w:line="560" w:lineRule="exact"/>
        <w:rPr>
          <w:rFonts w:ascii="宋体" w:hAnsi="宋体" w:eastAsia="宋体" w:cs="宋体"/>
          <w:b/>
          <w:bCs/>
          <w:sz w:val="24"/>
          <w:szCs w:val="20"/>
        </w:rPr>
      </w:pPr>
      <w:r/>
      <w:bookmarkStart w:id="56" w:name="_Toc513029209"/>
      <w:r/>
      <w:bookmarkStart w:id="57" w:name="_Toc16938525"/>
      <w:r/>
      <w:bookmarkStart w:id="58" w:name="_Toc120614215"/>
      <w:r/>
      <w:bookmarkStart w:id="59" w:name="_Toc20823281"/>
      <w:r>
        <w:rPr>
          <w:rFonts w:hint="eastAsia" w:ascii="宋体" w:hAnsi="宋体" w:eastAsia="宋体" w:cs="宋体"/>
          <w:b/>
          <w:bCs/>
          <w:sz w:val="24"/>
          <w:szCs w:val="20"/>
        </w:rPr>
        <w:t xml:space="preserve">二、招标文件</w:t>
      </w:r>
      <w:bookmarkEnd w:id="56"/>
      <w:r/>
      <w:bookmarkEnd w:id="57"/>
      <w:r/>
      <w:bookmarkEnd w:id="58"/>
      <w:r/>
      <w:bookmarkEnd w:id="59"/>
      <w:r/>
      <w:r/>
    </w:p>
    <w:p>
      <w:pPr>
        <w:ind w:firstLine="482"/>
        <w:jc w:val="left"/>
        <w:keepNext/>
        <w:spacing w:line="560" w:lineRule="exact"/>
        <w:rPr>
          <w:rFonts w:ascii="宋体" w:hAnsi="宋体" w:eastAsia="宋体" w:cs="宋体"/>
          <w:b/>
          <w:bCs/>
          <w:sz w:val="24"/>
          <w:szCs w:val="20"/>
        </w:rPr>
      </w:pPr>
      <w:r/>
      <w:bookmarkStart w:id="60" w:name="_Toc20823282"/>
      <w:r/>
      <w:bookmarkStart w:id="61" w:name="_Toc16938526"/>
      <w:r/>
      <w:bookmarkStart w:id="62" w:name="_Toc513029210"/>
      <w:r>
        <w:rPr>
          <w:rFonts w:hint="eastAsia" w:ascii="宋体" w:hAnsi="宋体" w:eastAsia="宋体" w:cs="宋体"/>
          <w:b/>
          <w:bCs/>
          <w:sz w:val="24"/>
          <w:szCs w:val="20"/>
        </w:rPr>
        <w:t xml:space="preserve">6、招标文件构成</w:t>
      </w:r>
      <w:bookmarkEnd w:id="60"/>
      <w:r/>
      <w:bookmarkEnd w:id="61"/>
      <w:r/>
      <w:bookmarkEnd w:id="62"/>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6.1招标文件由以下部分组成：</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（1）招标公告</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（2）投标人须知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（3）合同文本</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（4）采购需求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（5）评标方法与评标标准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（6）投标文件格式</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请仔细检查招标文件是否齐全，如有缺漏请立即与采购中心联系解决。</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Next/>
        <w:spacing w:line="560" w:lineRule="exact"/>
        <w:rPr>
          <w:rFonts w:ascii="宋体" w:hAnsi="宋体" w:eastAsia="宋体" w:cs="宋体"/>
          <w:b/>
          <w:bCs/>
          <w:sz w:val="24"/>
          <w:szCs w:val="20"/>
        </w:rPr>
      </w:pPr>
      <w:r/>
      <w:bookmarkStart w:id="63" w:name="_Toc462564070"/>
      <w:r/>
      <w:bookmarkStart w:id="64" w:name="_Toc20823283"/>
      <w:r/>
      <w:bookmarkStart w:id="65" w:name="_Toc513029211"/>
      <w:r/>
      <w:bookmarkStart w:id="66" w:name="_Toc16938527"/>
      <w:r>
        <w:rPr>
          <w:rFonts w:hint="eastAsia" w:ascii="宋体" w:hAnsi="宋体" w:eastAsia="宋体" w:cs="宋体"/>
          <w:b/>
          <w:bCs/>
          <w:sz w:val="24"/>
          <w:szCs w:val="20"/>
        </w:rPr>
        <w:t xml:space="preserve">7、招标文件的澄清</w:t>
      </w:r>
      <w:bookmarkEnd w:id="63"/>
      <w:r/>
      <w:bookmarkEnd w:id="64"/>
      <w:r/>
      <w:bookmarkEnd w:id="65"/>
      <w:r/>
      <w:bookmarkEnd w:id="66"/>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7.1任何要求对招标文件进行澄清的投标人，应在投标截止期</w:t>
      </w:r>
      <w:r>
        <w:rPr>
          <w:rFonts w:hint="eastAsia" w:ascii="宋体" w:hAnsi="宋体" w:eastAsia="宋体" w:cs="宋体"/>
          <w:b/>
          <w:bCs/>
          <w:sz w:val="24"/>
          <w:szCs w:val="20"/>
        </w:rPr>
        <w:t xml:space="preserve">十日</w:t>
      </w:r>
      <w:r>
        <w:rPr>
          <w:rFonts w:hint="eastAsia" w:ascii="宋体" w:hAnsi="宋体" w:eastAsia="宋体" w:cs="宋体"/>
          <w:sz w:val="24"/>
          <w:szCs w:val="20"/>
        </w:rPr>
        <w:t xml:space="preserve">前按招标公告中的通讯地址，以书面形式通知采购中心。</w:t>
      </w:r>
      <w:r/>
    </w:p>
    <w:p>
      <w:pPr>
        <w:ind w:firstLine="482"/>
        <w:jc w:val="left"/>
        <w:keepNext/>
        <w:spacing w:line="560" w:lineRule="exact"/>
        <w:rPr>
          <w:rFonts w:ascii="宋体" w:hAnsi="宋体" w:eastAsia="宋体" w:cs="宋体"/>
          <w:b/>
          <w:bCs/>
          <w:sz w:val="24"/>
          <w:szCs w:val="20"/>
        </w:rPr>
      </w:pPr>
      <w:r/>
      <w:bookmarkStart w:id="67" w:name="_Toc513029212"/>
      <w:r/>
      <w:bookmarkStart w:id="68" w:name="_Toc16938528"/>
      <w:r/>
      <w:bookmarkStart w:id="69" w:name="_Toc462564071"/>
      <w:r/>
      <w:bookmarkStart w:id="70" w:name="_Toc20823284"/>
      <w:r>
        <w:rPr>
          <w:rFonts w:hint="eastAsia" w:ascii="宋体" w:hAnsi="宋体" w:eastAsia="宋体" w:cs="宋体"/>
          <w:b/>
          <w:bCs/>
          <w:sz w:val="24"/>
          <w:szCs w:val="20"/>
        </w:rPr>
        <w:t xml:space="preserve">8、招标文件的修改</w:t>
      </w:r>
      <w:bookmarkEnd w:id="67"/>
      <w:r/>
      <w:bookmarkEnd w:id="68"/>
      <w:r/>
      <w:bookmarkEnd w:id="69"/>
      <w:r/>
      <w:bookmarkEnd w:id="70"/>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8.1在投标截止时间前，采购中心可以对招标文件进行修改。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8.2采购中心有权按照法定的要求推迟投标截止日期和开标日期。</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8.3招标文件的修改将在“中国政府采购网”、“江苏政府采购网”、“盐城市政府采购网”公布，补充文件将作为招标文件的组成部分，并对投标人具有约束力。</w:t>
      </w:r>
      <w:r/>
    </w:p>
    <w:p>
      <w:pPr>
        <w:ind w:firstLine="482"/>
        <w:jc w:val="left"/>
        <w:keepNext/>
        <w:spacing w:line="560" w:lineRule="exact"/>
        <w:rPr>
          <w:rFonts w:ascii="宋体" w:hAnsi="宋体" w:eastAsia="宋体" w:cs="宋体"/>
          <w:b/>
          <w:bCs/>
          <w:sz w:val="24"/>
          <w:szCs w:val="20"/>
        </w:rPr>
      </w:pPr>
      <w:r/>
      <w:bookmarkStart w:id="71" w:name="_Toc462564072"/>
      <w:r/>
      <w:bookmarkStart w:id="72" w:name="_Toc16938529"/>
      <w:r/>
      <w:bookmarkStart w:id="73" w:name="_Toc20823285"/>
      <w:r/>
      <w:bookmarkStart w:id="74" w:name="_Toc120614216"/>
      <w:r/>
      <w:bookmarkStart w:id="75" w:name="_Toc513029213"/>
      <w:r>
        <w:rPr>
          <w:rFonts w:hint="eastAsia" w:ascii="宋体" w:hAnsi="宋体" w:eastAsia="宋体" w:cs="宋体"/>
          <w:b/>
          <w:bCs/>
          <w:sz w:val="24"/>
          <w:szCs w:val="20"/>
        </w:rPr>
        <w:t xml:space="preserve">三、投标文件的编制</w:t>
      </w:r>
      <w:bookmarkEnd w:id="71"/>
      <w:r/>
      <w:bookmarkEnd w:id="72"/>
      <w:r/>
      <w:bookmarkEnd w:id="73"/>
      <w:r/>
      <w:bookmarkEnd w:id="74"/>
      <w:r/>
      <w:bookmarkEnd w:id="75"/>
      <w:r/>
      <w:r/>
    </w:p>
    <w:p>
      <w:pPr>
        <w:ind w:firstLine="482"/>
        <w:jc w:val="left"/>
        <w:keepNext/>
        <w:spacing w:line="560" w:lineRule="exact"/>
        <w:rPr>
          <w:rFonts w:ascii="宋体" w:hAnsi="宋体" w:eastAsia="宋体" w:cs="宋体"/>
          <w:b/>
          <w:bCs/>
          <w:sz w:val="24"/>
          <w:szCs w:val="20"/>
        </w:rPr>
      </w:pPr>
      <w:r/>
      <w:bookmarkStart w:id="76" w:name="_Toc462564073"/>
      <w:r/>
      <w:bookmarkStart w:id="77" w:name="_Toc16938530"/>
      <w:r/>
      <w:bookmarkStart w:id="78" w:name="_Toc20823286"/>
      <w:r/>
      <w:bookmarkStart w:id="79" w:name="_Toc513029214"/>
      <w:r>
        <w:rPr>
          <w:rFonts w:hint="eastAsia" w:ascii="宋体" w:hAnsi="宋体" w:eastAsia="宋体" w:cs="宋体"/>
          <w:b/>
          <w:bCs/>
          <w:sz w:val="24"/>
          <w:szCs w:val="20"/>
        </w:rPr>
        <w:t xml:space="preserve">9、投标文件的语言及度量衡单位</w:t>
      </w:r>
      <w:bookmarkEnd w:id="76"/>
      <w:r/>
      <w:bookmarkEnd w:id="77"/>
      <w:r/>
      <w:bookmarkEnd w:id="78"/>
      <w:r/>
      <w:bookmarkEnd w:id="79"/>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9.1投标人提交的投标文件以及投标人与采购中心就有关投标的所有来往通知、函件和文件均应使用</w:t>
      </w:r>
      <w:r>
        <w:rPr>
          <w:rFonts w:hint="eastAsia" w:ascii="宋体" w:hAnsi="宋体" w:eastAsia="宋体" w:cs="宋体"/>
          <w:b/>
          <w:bCs/>
          <w:sz w:val="24"/>
          <w:szCs w:val="20"/>
        </w:rPr>
        <w:t xml:space="preserve">简体中文</w:t>
      </w:r>
      <w:r>
        <w:rPr>
          <w:rFonts w:hint="eastAsia" w:ascii="宋体" w:hAnsi="宋体" w:eastAsia="宋体" w:cs="宋体"/>
          <w:sz w:val="24"/>
          <w:szCs w:val="20"/>
        </w:rPr>
        <w:t xml:space="preserve">。</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9.2除技术性能另有规定外，投标文件所使用的度量衡单位，均须采用国家法定计量单位。</w:t>
      </w:r>
      <w:r/>
    </w:p>
    <w:p>
      <w:pPr>
        <w:ind w:firstLine="482"/>
        <w:jc w:val="left"/>
        <w:keepNext/>
        <w:spacing w:line="560" w:lineRule="exact"/>
        <w:rPr>
          <w:rFonts w:ascii="宋体" w:hAnsi="宋体" w:eastAsia="宋体" w:cs="宋体"/>
          <w:b/>
          <w:bCs/>
          <w:sz w:val="24"/>
          <w:szCs w:val="20"/>
        </w:rPr>
      </w:pPr>
      <w:r/>
      <w:bookmarkStart w:id="80" w:name="_Toc16938531"/>
      <w:r/>
      <w:bookmarkStart w:id="81" w:name="_Toc462564074"/>
      <w:r/>
      <w:bookmarkStart w:id="82" w:name="_Toc513029215"/>
      <w:r/>
      <w:bookmarkStart w:id="83" w:name="_Toc20823287"/>
      <w:r>
        <w:rPr>
          <w:rFonts w:hint="eastAsia" w:ascii="宋体" w:hAnsi="宋体" w:eastAsia="宋体" w:cs="宋体"/>
          <w:b/>
          <w:bCs/>
          <w:sz w:val="24"/>
          <w:szCs w:val="20"/>
        </w:rPr>
        <w:t xml:space="preserve">10、投标文件构成</w:t>
      </w:r>
      <w:bookmarkEnd w:id="80"/>
      <w:r/>
      <w:bookmarkEnd w:id="81"/>
      <w:r/>
      <w:bookmarkEnd w:id="82"/>
      <w:r/>
      <w:bookmarkEnd w:id="83"/>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Next/>
        <w:spacing w:line="560" w:lineRule="exact"/>
        <w:rPr>
          <w:rFonts w:ascii="宋体" w:hAnsi="宋体" w:eastAsia="宋体" w:cs="宋体"/>
          <w:b/>
          <w:bCs/>
          <w:sz w:val="24"/>
          <w:szCs w:val="20"/>
        </w:rPr>
      </w:pPr>
      <w:r/>
      <w:bookmarkStart w:id="84" w:name="_Toc49090509"/>
      <w:r/>
      <w:bookmarkStart w:id="85" w:name="_Toc49090508"/>
      <w:r/>
      <w:bookmarkStart w:id="86" w:name="_Toc14577354"/>
      <w:r/>
      <w:bookmarkStart w:id="87" w:name="_Toc49090507"/>
      <w:r/>
      <w:bookmarkStart w:id="88" w:name="_Toc14577357"/>
      <w:r/>
      <w:bookmarkStart w:id="89" w:name="_Toc513029219"/>
      <w:r/>
      <w:bookmarkStart w:id="90" w:name="_Toc14577355"/>
      <w:r/>
      <w:bookmarkStart w:id="91" w:name="_Toc513029216"/>
      <w:r>
        <w:rPr>
          <w:rFonts w:hint="eastAsia" w:ascii="宋体" w:hAnsi="宋体" w:eastAsia="宋体" w:cs="宋体"/>
          <w:b/>
          <w:bCs/>
          <w:sz w:val="24"/>
          <w:szCs w:val="20"/>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11.1投标人应按照招标文件要求提交证明文件，证明其及投标标的符合招标文件规定。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11.2招标文件对证明文件无明确形式要求的，证明文件可以以文字资料、图纸和数据等形式提交。</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12、投标分项报价表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12.1投标人应按照招标文件规定格式填报投标分项报价表。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12.2投标货币。投标文件中的单价和总价无特殊规定的采用人民币报价，以元为单位标注。招标文件中另有规定的按规定执行。</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13、技术要求响应及偏离表、商务要求响应及偏离表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13.1投标人需对招标文件中的技术要求与商务要求逐项作出响应或偏离，并说明原因。</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13.2投标人可在投标文件中提供认为需要的其他技术文件或说明。</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14、服务承诺、培训计划、人员安排及其他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14.1投标人需根据招标文件要求提供有关售后服务的管理制度，售后服务机构的分布情况，售后服务人员的数量、素质、技术水平及售后服务的反应能力等。</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14.2投标人需根据招标文件要求提供培训计划。</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14.3投标人需根据招标文件要求提供所投标的的主要组成部分、功能设计、实现思路及关键技术等。</w:t>
      </w:r>
      <w:r/>
    </w:p>
    <w:p>
      <w:pPr>
        <w:ind w:firstLine="482"/>
        <w:jc w:val="left"/>
        <w:keepNext/>
        <w:spacing w:line="560" w:lineRule="exact"/>
        <w:rPr>
          <w:rFonts w:ascii="宋体" w:hAnsi="宋体" w:eastAsia="宋体" w:cs="宋体"/>
          <w:b/>
          <w:bCs/>
          <w:sz w:val="24"/>
          <w:szCs w:val="20"/>
        </w:rPr>
      </w:pPr>
      <w:r/>
      <w:bookmarkStart w:id="92" w:name="_Toc14577359"/>
      <w:r/>
      <w:bookmarkStart w:id="93" w:name="_Toc49090510"/>
      <w:r>
        <w:rPr>
          <w:rFonts w:hint="eastAsia" w:ascii="宋体" w:hAnsi="宋体" w:eastAsia="宋体" w:cs="宋体"/>
          <w:b/>
          <w:bCs/>
          <w:sz w:val="24"/>
          <w:szCs w:val="20"/>
        </w:rPr>
        <w:t xml:space="preserve">15、投标函和开标一览表</w:t>
      </w:r>
      <w:bookmarkEnd w:id="92"/>
      <w:r/>
      <w:bookmarkEnd w:id="93"/>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15.1投标人应按照招标文件中提供的格式完整、正确填写投标函、开标一览表。</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15.2对于采用货币报价的项目，开标一览表中的投标总报价应与投标分项报价表中的投标总报价一致，如不一致，不作为无效投标处理，但评标时按开标一览表中价格为准。</w:t>
      </w:r>
      <w:r/>
    </w:p>
    <w:p>
      <w:pPr>
        <w:ind w:firstLine="482"/>
        <w:jc w:val="left"/>
        <w:keepNext/>
        <w:spacing w:line="560" w:lineRule="exact"/>
        <w:rPr>
          <w:rFonts w:ascii="宋体" w:hAnsi="宋体" w:eastAsia="宋体" w:cs="宋体"/>
          <w:b/>
          <w:bCs/>
          <w:sz w:val="24"/>
          <w:szCs w:val="20"/>
        </w:rPr>
      </w:pPr>
      <w:r/>
      <w:bookmarkStart w:id="94" w:name="_Toc14577360"/>
      <w:r/>
      <w:bookmarkStart w:id="95" w:name="_Toc49090511"/>
      <w:r>
        <w:rPr>
          <w:rFonts w:hint="eastAsia" w:ascii="宋体" w:hAnsi="宋体" w:eastAsia="宋体" w:cs="宋体"/>
          <w:b/>
          <w:bCs/>
          <w:sz w:val="24"/>
          <w:szCs w:val="20"/>
        </w:rPr>
        <w:t xml:space="preserve">16、投标有效期</w:t>
      </w:r>
      <w:bookmarkEnd w:id="94"/>
      <w:r/>
      <w:bookmarkEnd w:id="9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16.1投标有效期为采购中心规定的开标之日后</w:t>
      </w:r>
      <w:r>
        <w:rPr>
          <w:rFonts w:hint="eastAsia" w:ascii="宋体" w:hAnsi="宋体" w:eastAsia="宋体" w:cs="宋体"/>
          <w:b/>
          <w:bCs/>
          <w:sz w:val="24"/>
          <w:szCs w:val="20"/>
          <w:u w:val="single"/>
        </w:rPr>
        <w:t xml:space="preserve">九十（90）天</w:t>
      </w:r>
      <w:r>
        <w:rPr>
          <w:rFonts w:hint="eastAsia" w:ascii="宋体" w:hAnsi="宋体" w:eastAsia="宋体" w:cs="宋体"/>
          <w:sz w:val="24"/>
          <w:szCs w:val="20"/>
        </w:rPr>
        <w:t xml:space="preserve">。投标有效期比规定短的将被视为未实质性响应招标文件而予以拒绝。</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17、投标有效期的延长</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rPr>
          <w:rFonts w:ascii="宋体" w:hAnsi="宋体" w:eastAsia="宋体" w:cs="宋体"/>
          <w:b/>
          <w:bCs/>
          <w:sz w:val="24"/>
          <w:szCs w:val="20"/>
        </w:rPr>
      </w:pPr>
      <w:r/>
      <w:bookmarkStart w:id="96" w:name="_Toc16938540"/>
      <w:r/>
      <w:bookmarkStart w:id="97" w:name="_Toc513029224"/>
      <w:r/>
      <w:bookmarkStart w:id="98" w:name="_Toc120614217"/>
      <w:r/>
      <w:bookmarkStart w:id="99" w:name="_Toc20823296"/>
      <w:r>
        <w:rPr>
          <w:rFonts w:hint="eastAsia" w:ascii="宋体" w:hAnsi="宋体" w:eastAsia="宋体" w:cs="宋体"/>
          <w:b/>
          <w:bCs/>
          <w:sz w:val="24"/>
          <w:szCs w:val="20"/>
        </w:rPr>
        <w:t xml:space="preserve">四、投标文件的递交</w:t>
      </w:r>
      <w:bookmarkEnd w:id="96"/>
      <w:r/>
      <w:bookmarkEnd w:id="97"/>
      <w:r/>
      <w:bookmarkEnd w:id="98"/>
      <w:r/>
      <w:bookmarkEnd w:id="99"/>
      <w:r/>
      <w:r/>
    </w:p>
    <w:p>
      <w:pPr>
        <w:ind w:firstLine="482"/>
        <w:jc w:val="left"/>
        <w:spacing w:line="560" w:lineRule="exact"/>
        <w:rPr>
          <w:rFonts w:ascii="宋体" w:hAnsi="宋体" w:eastAsia="宋体" w:cs="宋体"/>
          <w:b/>
          <w:bCs/>
          <w:sz w:val="24"/>
          <w:szCs w:val="20"/>
        </w:rPr>
      </w:pPr>
      <w:r/>
      <w:bookmarkStart w:id="100" w:name="_Toc462564084"/>
      <w:r/>
      <w:bookmarkStart w:id="101" w:name="_Toc20823297"/>
      <w:r/>
      <w:bookmarkStart w:id="102" w:name="_Toc16938541"/>
      <w:r/>
      <w:bookmarkStart w:id="103" w:name="_Toc513029225"/>
      <w:r>
        <w:rPr>
          <w:rFonts w:hint="eastAsia" w:ascii="宋体" w:hAnsi="宋体" w:eastAsia="宋体" w:cs="宋体"/>
          <w:b/>
          <w:bCs/>
          <w:sz w:val="24"/>
          <w:szCs w:val="20"/>
        </w:rPr>
        <w:t xml:space="preserve">18、电子投标文件</w:t>
      </w:r>
      <w:bookmarkEnd w:id="100"/>
      <w:r/>
      <w:bookmarkEnd w:id="101"/>
      <w:r/>
      <w:bookmarkEnd w:id="102"/>
      <w:r/>
      <w:bookmarkEnd w:id="103"/>
      <w:r>
        <w:rPr>
          <w:rFonts w:hint="eastAsia" w:ascii="宋体" w:hAnsi="宋体" w:eastAsia="宋体" w:cs="宋体"/>
          <w:b/>
          <w:bCs/>
          <w:sz w:val="24"/>
          <w:szCs w:val="20"/>
        </w:rPr>
        <w:t xml:space="preserve">的递交</w:t>
      </w:r>
      <w:r/>
    </w:p>
    <w:p>
      <w:pPr>
        <w:ind w:firstLine="480"/>
        <w:jc w:val="left"/>
        <w:spacing w:line="560" w:lineRule="exact"/>
        <w:rPr>
          <w:rFonts w:ascii="宋体" w:hAnsi="宋体" w:eastAsia="宋体" w:cs="宋体"/>
          <w:sz w:val="24"/>
          <w:szCs w:val="20"/>
        </w:rPr>
      </w:pPr>
      <w:r>
        <w:rPr>
          <w:rFonts w:hint="eastAsia" w:ascii="宋体" w:hAnsi="宋体" w:eastAsia="宋体" w:cs="宋体"/>
          <w:sz w:val="24"/>
          <w:szCs w:val="20"/>
        </w:rPr>
        <w:t xml:space="preserve">18.1投标人应当按照《操作手册》规定，在投标截止时间前制作并上传电子投标文件。</w:t>
      </w:r>
      <w:bookmarkStart w:id="104" w:name="_Toc16938542"/>
      <w:r/>
      <w:bookmarkEnd w:id="104"/>
      <w:r/>
      <w:bookmarkStart w:id="105" w:name="_Toc20823298"/>
      <w:r/>
      <w:bookmarkEnd w:id="105"/>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19、投标截止日期</w:t>
      </w:r>
      <w:r/>
    </w:p>
    <w:p>
      <w:pPr>
        <w:pStyle w:val="706"/>
        <w:ind w:firstLine="480"/>
        <w:jc w:val="both"/>
        <w:spacing w:beforeAutospacing="0" w:afterAutospacing="0" w:line="480" w:lineRule="exact"/>
        <w:rPr>
          <w:rFonts w:ascii="宋体" w:hAnsi="宋体" w:eastAsia="宋体" w:cs="宋体"/>
          <w:szCs w:val="20"/>
        </w:rPr>
      </w:pPr>
      <w:r>
        <w:rPr>
          <w:rFonts w:hint="eastAsia" w:ascii="宋体" w:hAnsi="宋体" w:eastAsia="宋体" w:cs="宋体"/>
          <w:i/>
          <w:u w:val="single"/>
        </w:rPr>
        <w:t xml:space="preserve">19.1投标人上传电子投标文件的时间不得迟于招标公告中规定的投标截止时间</w:t>
      </w:r>
      <w:r>
        <w:rPr>
          <w:rFonts w:hint="eastAsia" w:ascii="宋体" w:hAnsi="宋体" w:eastAsia="宋体" w:cs="宋体"/>
          <w:i/>
        </w:rPr>
        <w:t xml:space="preserve">。</w:t>
      </w:r>
      <w:r/>
    </w:p>
    <w:p>
      <w:pPr>
        <w:pStyle w:val="706"/>
        <w:ind w:firstLine="480"/>
        <w:jc w:val="both"/>
        <w:spacing w:beforeAutospacing="0" w:afterAutospacing="0" w:line="480" w:lineRule="exact"/>
        <w:rPr>
          <w:rFonts w:ascii="宋体" w:hAnsi="宋体" w:eastAsia="宋体" w:cs="宋体"/>
          <w:szCs w:val="20"/>
        </w:rPr>
      </w:pPr>
      <w:r>
        <w:rPr>
          <w:rFonts w:hint="eastAsia" w:ascii="宋体" w:hAnsi="宋体" w:eastAsia="宋体" w:cs="宋体"/>
          <w:szCs w:val="20"/>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19.2采购中心可以按照规定，通过修改招标文件酌情延长投标截止日期，在此情况下，投标人的所有权利和义务以及投标人受制的截止日期均应以延长后新的截止日期为准。</w:t>
      </w:r>
      <w:r/>
    </w:p>
    <w:p>
      <w:pPr>
        <w:ind w:firstLine="482"/>
        <w:jc w:val="left"/>
        <w:keepNext/>
        <w:spacing w:line="560" w:lineRule="exact"/>
        <w:rPr>
          <w:rFonts w:ascii="宋体" w:hAnsi="宋体" w:eastAsia="宋体" w:cs="宋体"/>
          <w:b/>
          <w:bCs/>
          <w:sz w:val="24"/>
          <w:szCs w:val="20"/>
        </w:rPr>
      </w:pPr>
      <w:r/>
      <w:bookmarkStart w:id="106" w:name="_Toc16938543"/>
      <w:r/>
      <w:bookmarkStart w:id="107" w:name="_Toc20823299"/>
      <w:r/>
      <w:bookmarkStart w:id="108" w:name="_Toc513029227"/>
      <w:r>
        <w:rPr>
          <w:rFonts w:hint="eastAsia" w:ascii="宋体" w:hAnsi="宋体" w:eastAsia="宋体" w:cs="宋体"/>
          <w:b/>
          <w:bCs/>
          <w:sz w:val="24"/>
          <w:szCs w:val="20"/>
        </w:rPr>
        <w:t xml:space="preserve">20、投标文件</w:t>
      </w:r>
      <w:bookmarkEnd w:id="106"/>
      <w:r/>
      <w:bookmarkEnd w:id="107"/>
      <w:r/>
      <w:bookmarkEnd w:id="108"/>
      <w:r>
        <w:rPr>
          <w:rFonts w:hint="eastAsia" w:ascii="宋体" w:hAnsi="宋体" w:eastAsia="宋体" w:cs="宋体"/>
          <w:b/>
          <w:bCs/>
          <w:sz w:val="24"/>
          <w:szCs w:val="20"/>
        </w:rPr>
        <w:t xml:space="preserve">的拒收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20.1采购中心拒绝接收在其规定的投标截止时间后上传的任何投标文件。</w:t>
      </w:r>
      <w:r/>
    </w:p>
    <w:p>
      <w:pPr>
        <w:ind w:firstLine="482"/>
        <w:jc w:val="left"/>
        <w:keepNext/>
        <w:spacing w:line="560" w:lineRule="exact"/>
        <w:rPr>
          <w:rFonts w:ascii="宋体" w:hAnsi="宋体" w:eastAsia="宋体" w:cs="宋体"/>
          <w:b/>
          <w:bCs/>
          <w:sz w:val="24"/>
          <w:szCs w:val="20"/>
        </w:rPr>
      </w:pPr>
      <w:r/>
      <w:bookmarkStart w:id="109" w:name="_Toc16938544"/>
      <w:r/>
      <w:bookmarkStart w:id="110" w:name="_Toc513029228"/>
      <w:r/>
      <w:bookmarkStart w:id="111" w:name="_Toc20823300"/>
      <w:r>
        <w:rPr>
          <w:rFonts w:hint="eastAsia" w:ascii="宋体" w:hAnsi="宋体" w:eastAsia="宋体" w:cs="宋体"/>
          <w:b/>
          <w:bCs/>
          <w:sz w:val="24"/>
          <w:szCs w:val="20"/>
        </w:rPr>
        <w:t xml:space="preserve">21、投标文件的撤回和修改</w:t>
      </w:r>
      <w:bookmarkEnd w:id="109"/>
      <w:r/>
      <w:bookmarkEnd w:id="110"/>
      <w:r/>
      <w:bookmarkEnd w:id="111"/>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21.1投标文件的撤回</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21.1.1电子投标文件的撤回</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21.1.2投标人撤回电子投标文件，则认为其不再参与本项目投标活动。</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21.2投标文件的修改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21.2.1投标人可在投标截止时间前，对其电子投标文件进行修改，具体操作方法见《操作手册》。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21.2.2在投标截止时间之后，投标人不得对其电子投标文件作任何修改。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21.3在投标截止时间至招标文件中规定的投标有效期满之间的这段时间内，投标人不得撤回其投标。</w:t>
      </w:r>
      <w:r/>
    </w:p>
    <w:p>
      <w:pPr>
        <w:ind w:firstLine="482"/>
        <w:jc w:val="left"/>
        <w:spacing w:line="560" w:lineRule="exact"/>
        <w:rPr>
          <w:rFonts w:ascii="宋体" w:hAnsi="宋体" w:eastAsia="宋体" w:cs="宋体"/>
          <w:b/>
          <w:bCs/>
          <w:sz w:val="24"/>
          <w:szCs w:val="20"/>
        </w:rPr>
      </w:pPr>
      <w:r/>
      <w:bookmarkStart w:id="112" w:name="_Toc513029229"/>
      <w:r/>
      <w:bookmarkStart w:id="113" w:name="_Toc16938545"/>
      <w:r/>
      <w:bookmarkStart w:id="114" w:name="_Toc20823301"/>
      <w:r/>
      <w:bookmarkStart w:id="115" w:name="_Toc120614218"/>
      <w:r>
        <w:rPr>
          <w:rFonts w:hint="eastAsia" w:ascii="宋体" w:hAnsi="宋体" w:eastAsia="宋体" w:cs="宋体"/>
          <w:b/>
          <w:bCs/>
          <w:sz w:val="24"/>
          <w:szCs w:val="20"/>
        </w:rPr>
        <w:t xml:space="preserve">五、开标与评标</w:t>
      </w:r>
      <w:bookmarkEnd w:id="112"/>
      <w:r/>
      <w:bookmarkEnd w:id="113"/>
      <w:r/>
      <w:bookmarkEnd w:id="114"/>
      <w:r/>
      <w:bookmarkEnd w:id="115"/>
      <w:r/>
      <w:r/>
    </w:p>
    <w:p>
      <w:pPr>
        <w:ind w:firstLine="482"/>
        <w:jc w:val="left"/>
        <w:spacing w:line="560" w:lineRule="exact"/>
        <w:rPr>
          <w:rFonts w:ascii="宋体" w:hAnsi="宋体" w:eastAsia="宋体" w:cs="宋体"/>
          <w:b/>
          <w:bCs/>
          <w:sz w:val="24"/>
          <w:szCs w:val="20"/>
        </w:rPr>
      </w:pPr>
      <w:r/>
      <w:bookmarkStart w:id="116" w:name="_Toc513029230"/>
      <w:r/>
      <w:bookmarkStart w:id="117" w:name="_Toc16938546"/>
      <w:r/>
      <w:bookmarkStart w:id="118" w:name="_Toc20823302"/>
      <w:r>
        <w:rPr>
          <w:rFonts w:hint="eastAsia" w:ascii="宋体" w:hAnsi="宋体" w:eastAsia="宋体" w:cs="宋体"/>
          <w:b/>
          <w:bCs/>
          <w:sz w:val="24"/>
          <w:szCs w:val="20"/>
        </w:rPr>
        <w:t xml:space="preserve">22、开标</w:t>
      </w:r>
      <w:bookmarkEnd w:id="116"/>
      <w:r/>
      <w:bookmarkEnd w:id="117"/>
      <w:r/>
      <w:bookmarkEnd w:id="118"/>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22.2开标仪式由采购中心组织。苏采云系统将自动对项目进行开标，并宣布各投标人名称和投标价格。</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22.3投标人在开标过程中涉及到的投标文件解密、开标结果确认等工作，应按照《操作手册》规定执行。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22.4投标人如果对开标过程和开标记录有疑义，应当根据《操作手册》规定提出，如苏采云系统中《开标记录表》宣布后5分钟内未提出的，视同认可开标结果。</w:t>
      </w:r>
      <w:r/>
    </w:p>
    <w:p>
      <w:pPr>
        <w:ind w:firstLine="482"/>
        <w:jc w:val="left"/>
        <w:keepNext/>
        <w:spacing w:line="560" w:lineRule="exact"/>
        <w:rPr>
          <w:rFonts w:ascii="宋体" w:hAnsi="宋体" w:eastAsia="宋体" w:cs="宋体"/>
          <w:b/>
          <w:bCs/>
          <w:sz w:val="24"/>
          <w:szCs w:val="20"/>
        </w:rPr>
      </w:pPr>
      <w:r/>
      <w:bookmarkStart w:id="119" w:name="_Toc513029231"/>
      <w:r/>
      <w:bookmarkStart w:id="120" w:name="_Toc16938547"/>
      <w:r/>
      <w:bookmarkStart w:id="121" w:name="_Toc20823303"/>
      <w:r>
        <w:rPr>
          <w:rFonts w:hint="eastAsia" w:ascii="宋体" w:hAnsi="宋体" w:eastAsia="宋体" w:cs="宋体"/>
          <w:b/>
          <w:bCs/>
          <w:sz w:val="24"/>
          <w:szCs w:val="20"/>
        </w:rPr>
        <w:t xml:space="preserve">23、评标委员会</w:t>
      </w:r>
      <w:bookmarkEnd w:id="119"/>
      <w:r/>
      <w:bookmarkEnd w:id="120"/>
      <w:r/>
      <w:bookmarkEnd w:id="121"/>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23.1开标后，采购中心将立即组织评标委员会（以下简称评委会）进行评标。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23.2评委会由采购人代表和有关技术、经济等方面的专家组成，且人员构成符合政府采购有关规定。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23.3评委会独立工作，负责评审所有投标文件并确定中标候选人。</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24、评标过程的保密与公正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24.1凡是与审查、澄清、评价和比较投标的有关资料以及授标建议等，采购人、评委、采购中心均不得向投标人或与评标无关的其他人员透露。</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24.2在评标过程中，投标人不得以任何行为影响评标过程，否则其投标文件将被作为无效投标文件。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24.3采购中心和评标委员会不向未中标的投标人解释未中标原因，也不公布评标过程中的相关细节。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24.4采用综合评分法的项目，未中标的投标人可于中标结果公告期限届满之日起通过苏采云系统查看自己的评审得分及排序情况。</w:t>
      </w:r>
      <w:r/>
    </w:p>
    <w:p>
      <w:pPr>
        <w:ind w:firstLine="482"/>
        <w:jc w:val="left"/>
        <w:keepNext/>
        <w:spacing w:line="560" w:lineRule="exact"/>
        <w:rPr>
          <w:rFonts w:ascii="宋体" w:hAnsi="宋体" w:eastAsia="宋体" w:cs="宋体"/>
          <w:b/>
          <w:bCs/>
          <w:sz w:val="24"/>
          <w:szCs w:val="20"/>
        </w:rPr>
      </w:pPr>
      <w:r/>
      <w:bookmarkStart w:id="122" w:name="_Toc16938548"/>
      <w:r/>
      <w:bookmarkStart w:id="123" w:name="_Toc513029232"/>
      <w:r/>
      <w:bookmarkStart w:id="124" w:name="_Toc20823304"/>
      <w:r>
        <w:rPr>
          <w:rFonts w:hint="eastAsia" w:ascii="宋体" w:hAnsi="宋体" w:eastAsia="宋体" w:cs="宋体"/>
          <w:b/>
          <w:bCs/>
          <w:sz w:val="24"/>
          <w:szCs w:val="20"/>
        </w:rPr>
        <w:t xml:space="preserve">25、投标文件的澄清</w:t>
      </w:r>
      <w:bookmarkEnd w:id="122"/>
      <w:r/>
      <w:bookmarkEnd w:id="123"/>
      <w:r/>
      <w:bookmarkEnd w:id="124"/>
      <w:r/>
      <w:r/>
    </w:p>
    <w:p>
      <w:pPr>
        <w:ind w:firstLine="482"/>
        <w:jc w:val="left"/>
        <w:spacing w:line="560" w:lineRule="exact"/>
        <w:rPr>
          <w:rFonts w:ascii="宋体" w:hAnsi="宋体" w:eastAsia="宋体" w:cs="宋体"/>
          <w:sz w:val="24"/>
          <w:szCs w:val="20"/>
        </w:rPr>
      </w:pPr>
      <w:r/>
      <w:bookmarkStart w:id="125" w:name="_Toc16938549"/>
      <w:r/>
      <w:bookmarkStart w:id="126" w:name="_Toc513029233"/>
      <w:r/>
      <w:bookmarkStart w:id="127" w:name="_Toc20823305"/>
      <w:r>
        <w:rPr>
          <w:rFonts w:hint="eastAsia" w:ascii="宋体" w:hAnsi="宋体" w:eastAsia="宋体" w:cs="宋体"/>
          <w:sz w:val="24"/>
          <w:szCs w:val="20"/>
        </w:rPr>
        <w:t xml:space="preserve">25.1评标期间，评委会对投标文件中含义不明确、同类问题表述不一致或者有明显文字和计算错误的内容，有权要求投标人作出必要的澄清、说明或者补正。</w:t>
      </w:r>
      <w:bookmarkEnd w:id="125"/>
      <w:r/>
      <w:bookmarkEnd w:id="126"/>
      <w:r/>
      <w:bookmarkEnd w:id="127"/>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评标委员会并非对每个投标人都做澄清要求。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25.3接到评委会澄清、说明和补正要求的投标人如未按规定作出澄清、说明和补正，其风险由投标人自行承担。</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26、对投标文件的初审</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26.1投标文件初审分为资格审查和符合性审查。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26.1.1资格审查：依据法律法规和招标文件的规定，由采购人对投标文件中的资格证明文件进行审查。资格审查的结论，采购人以书面形式向评委会进行反馈。</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26.4评委会将对确定为实质性响应的投标进行进一步审核，看其是否有计算上或累加上的算术错误，修正错误的原则如下：</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（1）投标文件中开标一览表内容与投标文件中相应内容不一致的，以开标一览表为准。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（2）大写金额和小写金额不一致的，以大写金额为准。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（3）单价金额小数点或者百分比有明显错位的，以开标一览表的总价为准，并修改单价。</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（4）总价金额与按单价汇总金额不一致的，以单价金额计算结果为准。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同时出现两种以上错误的，按照前款规定的顺序修正。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rPr>
          <w:rFonts w:ascii="宋体" w:hAnsi="宋体" w:eastAsia="宋体" w:cs="宋体"/>
          <w:sz w:val="24"/>
          <w:szCs w:val="20"/>
        </w:rPr>
      </w:pPr>
      <w:r/>
      <w:bookmarkStart w:id="128" w:name="_Toc20823306"/>
      <w:r/>
      <w:bookmarkStart w:id="129" w:name="_Toc16938550"/>
      <w:r/>
      <w:bookmarkStart w:id="130" w:name="_Toc513029234"/>
      <w:r>
        <w:rPr>
          <w:rFonts w:hint="eastAsia" w:ascii="宋体" w:hAnsi="宋体" w:eastAsia="宋体" w:cs="宋体"/>
          <w:sz w:val="24"/>
          <w:szCs w:val="2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r/>
      <w:bookmarkEnd w:id="129"/>
      <w:r/>
      <w:bookmarkEnd w:id="130"/>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非单一产品采购项目，招标文件中将载明其中的核心产品。多家投标人提供的核心产品品牌相同的，按前两款规定处理。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26.7投标人在开、评标全过程中应保持通信畅通，及时登录苏采云系统查阅、答复相关信息，并安排专人与采购中心及评标委员会联系。</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27、无效投标条款和废标条款</w:t>
      </w:r>
      <w:r/>
    </w:p>
    <w:p>
      <w:pPr>
        <w:ind w:firstLine="482"/>
        <w:jc w:val="left"/>
        <w:spacing w:line="560" w:lineRule="exact"/>
        <w:rPr>
          <w:rFonts w:ascii="宋体" w:hAnsi="宋体" w:eastAsia="宋体" w:cs="宋体"/>
          <w:sz w:val="24"/>
          <w:szCs w:val="20"/>
        </w:rPr>
      </w:pPr>
      <w:r/>
      <w:bookmarkStart w:id="131" w:name="_Toc513029235"/>
      <w:r/>
      <w:bookmarkStart w:id="132" w:name="_Toc16938551"/>
      <w:r/>
      <w:bookmarkStart w:id="133" w:name="_Toc20823307"/>
      <w:r>
        <w:rPr>
          <w:rFonts w:hint="eastAsia" w:ascii="宋体" w:hAnsi="宋体" w:eastAsia="宋体" w:cs="宋体"/>
          <w:sz w:val="24"/>
          <w:szCs w:val="20"/>
        </w:rPr>
        <w:t xml:space="preserve">27.1无效投标条款</w:t>
      </w:r>
      <w:bookmarkEnd w:id="131"/>
      <w:r/>
      <w:bookmarkEnd w:id="132"/>
      <w:r/>
      <w:bookmarkEnd w:id="133"/>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27.1.1投标人在苏采云系统规定的时间内未成功解密电子投标文件的。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27.1.2投标人未按照招标文件要求上传电子投标文件的。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27.1.3同一投标人提交两个（含两个）以上不同的投标报价的。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27.1.4投标人不具备招标文件中规定资格要求的。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27.1.5投标人的报价超过了采购预算或最高限价的。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27.1.6未通过符合性审查的。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27.1.7不符合招标文件中规定的实质性要求和条件的（</w:t>
      </w:r>
      <w:r>
        <w:rPr>
          <w:rFonts w:hint="eastAsia" w:ascii="宋体" w:hAnsi="宋体" w:eastAsia="宋体" w:cs="宋体"/>
          <w:i/>
          <w:iCs/>
          <w:sz w:val="24"/>
          <w:szCs w:val="20"/>
          <w:u w:val="single"/>
        </w:rPr>
        <w:t xml:space="preserve">本招标文件中斜体且有下划线部分为实质性要求和条件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27.1.9投标文件含有采购人不能接受的附加条件的。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27.1.10投标人不能证明其报价合理性的，评标委员会应当将其作为无效投标处理。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（一）评审过程中出现下列情形之一的，评标委员会应当启动异常低价投标审查程序：</w:t>
      </w:r>
      <w:r/>
    </w:p>
    <w:p>
      <w:pPr>
        <w:ind w:firstLine="482"/>
        <w:jc w:val="left"/>
        <w:spacing w:line="560" w:lineRule="exact"/>
        <w:rPr>
          <w:rFonts w:ascii="宋体" w:hAnsi="宋体" w:eastAsia="宋体" w:cs="宋体"/>
          <w:sz w:val="24"/>
          <w:szCs w:val="20"/>
        </w:rPr>
      </w:pPr>
      <w:r>
        <w:rPr>
          <w:rFonts w:hint="eastAsia" w:ascii="宋体" w:hAnsi="宋体" w:eastAsia="宋体" w:cs="宋体"/>
          <w:b/>
          <w:bCs/>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3.投标（响应）报价低于采购项目最高限价45%的，即投标（响应）报价&lt;采购项目最高限价×45%；</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4.评审委员会基于专业判断，认为供应商报价过低，有可能影响产品质量或者不能诚信履约的其他情形。</w:t>
      </w:r>
      <w:r/>
    </w:p>
    <w:p>
      <w:pPr>
        <w:ind w:firstLine="482"/>
        <w:jc w:val="left"/>
        <w:spacing w:line="560" w:lineRule="exact"/>
        <w:rPr>
          <w:rFonts w:ascii="宋体" w:hAnsi="宋体" w:eastAsia="宋体" w:cs="宋体"/>
          <w:b/>
          <w:bCs/>
          <w:sz w:val="24"/>
          <w:szCs w:val="20"/>
          <w:u w:val="single"/>
        </w:rPr>
      </w:pPr>
      <w:r>
        <w:rPr>
          <w:rFonts w:hint="eastAsia" w:ascii="宋体" w:hAnsi="宋体" w:eastAsia="宋体" w:cs="宋体"/>
          <w:b/>
          <w:bCs/>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相关法律法规对供应商报价有规定的，从其规定。</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27.1.12投标文件未按照招标文件要求加盖CA电子公章的。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27.1.13其他法律、法规及本招标文件规定的属无效投标的情形。</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27.2废标条款</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27.2.1符合专业条件的供应商或者对招标文件作实质响应的供应商不足三家的。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27.2.2出现影响采购公正的违法、违规行为的。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27.2.3因重大变故，采购任务取消的。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27.2.4评标委员会认定招标文件存在歧义、重大缺陷导致评审工作无法进行。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27.2.5因苏采云系统故障原因造成开标不成功的。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27.3投标截止时间结束后参加投标的供应商不足三家的处理：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27.3.1如出现投标截止时间结束后参加投标的供应商或者在评标期间对招标文件做出实质响应的供应商不足三家情况，按政府采购相关规定执行。</w:t>
      </w:r>
      <w:r/>
    </w:p>
    <w:p>
      <w:pPr>
        <w:ind w:firstLine="482"/>
        <w:jc w:val="left"/>
        <w:spacing w:line="560" w:lineRule="exact"/>
        <w:rPr>
          <w:rFonts w:ascii="宋体" w:hAnsi="宋体" w:eastAsia="宋体" w:cs="宋体"/>
          <w:b/>
          <w:bCs/>
          <w:sz w:val="24"/>
          <w:szCs w:val="20"/>
        </w:rPr>
      </w:pPr>
      <w:r/>
      <w:bookmarkStart w:id="134" w:name="_Toc120614219"/>
      <w:r>
        <w:rPr>
          <w:rFonts w:hint="eastAsia" w:ascii="宋体" w:hAnsi="宋体" w:eastAsia="宋体" w:cs="宋体"/>
          <w:b/>
          <w:bCs/>
          <w:sz w:val="24"/>
          <w:szCs w:val="20"/>
        </w:rPr>
        <w:t xml:space="preserve">六、定标</w:t>
      </w:r>
      <w:bookmarkEnd w:id="134"/>
      <w:r/>
      <w:r/>
    </w:p>
    <w:p>
      <w:pPr>
        <w:ind w:firstLine="482"/>
        <w:jc w:val="left"/>
        <w:keepNext/>
        <w:spacing w:line="560" w:lineRule="exact"/>
        <w:rPr>
          <w:rFonts w:ascii="宋体" w:hAnsi="宋体" w:eastAsia="宋体" w:cs="宋体"/>
          <w:b/>
          <w:bCs/>
          <w:sz w:val="24"/>
          <w:szCs w:val="20"/>
        </w:rPr>
      </w:pPr>
      <w:r/>
      <w:bookmarkStart w:id="135" w:name="_Toc20823310"/>
      <w:r/>
      <w:bookmarkStart w:id="136" w:name="_Toc16938554"/>
      <w:r/>
      <w:bookmarkStart w:id="137" w:name="_Toc513029238"/>
      <w:r>
        <w:rPr>
          <w:rFonts w:hint="eastAsia" w:ascii="宋体" w:hAnsi="宋体" w:eastAsia="宋体" w:cs="宋体"/>
          <w:b/>
          <w:bCs/>
          <w:sz w:val="24"/>
          <w:szCs w:val="20"/>
        </w:rPr>
        <w:t xml:space="preserve">28、</w:t>
      </w:r>
      <w:bookmarkEnd w:id="135"/>
      <w:r>
        <w:rPr>
          <w:rFonts w:hint="eastAsia" w:ascii="宋体" w:hAnsi="宋体" w:eastAsia="宋体" w:cs="宋体"/>
          <w:b/>
          <w:bCs/>
          <w:sz w:val="24"/>
          <w:szCs w:val="20"/>
        </w:rPr>
        <w:t xml:space="preserve">确定</w:t>
      </w:r>
      <w:bookmarkEnd w:id="136"/>
      <w:r/>
      <w:bookmarkEnd w:id="137"/>
      <w:r>
        <w:rPr>
          <w:rFonts w:hint="eastAsia" w:ascii="宋体" w:hAnsi="宋体" w:eastAsia="宋体" w:cs="宋体"/>
          <w:b/>
          <w:bCs/>
          <w:sz w:val="24"/>
          <w:szCs w:val="20"/>
        </w:rPr>
        <w:t xml:space="preserve">中标单位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28.1中标候选人的选取原则和数量见招标文件第五章规定。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28.2采购人应根据评委会推荐的中标候选人确定中标人。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28.3采购中心将在“中国政府采购网”、“江苏政府采购网”、“盐城市政府采购网”发布中标公告，公告期限为1个工作日。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28.4若有充分证据证明，中标人出现下列情况之一的，一经查实，将被取消中标资格：</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28.4.1提供虚假材料谋取中标的。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28.4.2向采购人、采购中心行贿或者提供其他不正当利益的。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28.4.3属于本文件规定的无效条件，但在评标过程中又未被评委会发现的。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28.4.4与采购人或者其他供应商恶意串通的。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28.4.5采取不正当手段诋毁、排挤其他供应商的。</w:t>
      </w:r>
      <w:r/>
    </w:p>
    <w:p>
      <w:pPr>
        <w:ind w:firstLine="482"/>
        <w:jc w:val="left"/>
        <w:spacing w:line="560" w:lineRule="exact"/>
        <w:rPr>
          <w:rFonts w:ascii="宋体" w:hAnsi="宋体" w:eastAsia="宋体" w:cs="宋体"/>
          <w:sz w:val="24"/>
          <w:szCs w:val="20"/>
        </w:rPr>
      </w:pPr>
      <w:r/>
      <w:bookmarkStart w:id="138" w:name="_Toc200451960"/>
      <w:r>
        <w:rPr>
          <w:rFonts w:hint="eastAsia" w:ascii="宋体" w:hAnsi="宋体" w:eastAsia="宋体" w:cs="宋体"/>
          <w:sz w:val="24"/>
          <w:szCs w:val="20"/>
        </w:rPr>
        <w:t xml:space="preserve">28.5有下列情形之一的，视为投标人串通投标，投标无效：</w:t>
      </w:r>
      <w:bookmarkEnd w:id="138"/>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28.5.1不同投标人的投标文件由同一单位或者个人编制；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28.5.2不同投标人委托同一单位或者个人办理投标事宜；</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28.5.3不同投标人的投标文件载明的项目管理成员或者联系人员为同一人；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28.5.4不同投标人的投标文件异常一致或者投标报价呈规律性差异。</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29、质疑处理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29.1提出质疑的供应商应当是参与所质疑项目采购活动的供应商。潜在供应商依法获取其可质疑的采购文件的，可以对采购文件提出质疑。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29.2.1对可以质疑的采购文件提出质疑的，为收到采购文件之日或者采购文件公告期限届满之日；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29.2.2对采购过程提出质疑的，为各采购程序环节结束之日；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29.2.3对中标或者成交结果提出质疑的，为中标或者成交结果公告期限届满之日。</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采购人及采购中心只接收以纸质原件形式送达的质疑，采购人和采购中心不接受未填写快递运单的快件。质疑接收部门为公共资源交易中心业务受理处，联系地址：盐城市府西路1号市公共资源交易中心412室，联系电话：0515-86665052。</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29.5以下情形的质疑不予受理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29.5.1内容不符合《政府采购质疑和投诉办法》第十二条规定的质疑。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29.5.2超出政府采购法定期限的质疑。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29.5.3以传真、电子邮件等方式递交的非原件形式的质疑。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29.5.4未参加投标活动的供应商或在投标活动中自身权益未受到损害的供应商所提出的质疑。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29.5.5供应商组成联合体参加投标，联合体中任何一方或多方未按要求签字、盖章、加盖公章的质疑。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30、中标通知书</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left"/>
        <w:spacing w:line="560" w:lineRule="exact"/>
        <w:rPr>
          <w:rFonts w:ascii="宋体" w:hAnsi="宋体" w:eastAsia="宋体" w:cs="宋体"/>
          <w:b/>
          <w:bCs/>
          <w:sz w:val="24"/>
          <w:szCs w:val="20"/>
        </w:rPr>
      </w:pPr>
      <w:r/>
      <w:bookmarkStart w:id="139" w:name="_Toc120614220"/>
      <w:r/>
      <w:bookmarkStart w:id="140" w:name="_Toc16938552"/>
      <w:r/>
      <w:bookmarkStart w:id="141" w:name="_Toc20823308"/>
      <w:r/>
      <w:bookmarkStart w:id="142" w:name="_Toc513029236"/>
      <w:r>
        <w:rPr>
          <w:rFonts w:hint="eastAsia" w:ascii="宋体" w:hAnsi="宋体" w:eastAsia="宋体" w:cs="宋体"/>
          <w:b/>
          <w:bCs/>
          <w:sz w:val="24"/>
          <w:szCs w:val="20"/>
        </w:rPr>
        <w:t xml:space="preserve">七、授予合同</w:t>
      </w:r>
      <w:bookmarkEnd w:id="139"/>
      <w:r/>
      <w:bookmarkEnd w:id="140"/>
      <w:r/>
      <w:bookmarkEnd w:id="141"/>
      <w:r/>
      <w:bookmarkEnd w:id="142"/>
      <w:r/>
      <w:r/>
    </w:p>
    <w:p>
      <w:pPr>
        <w:ind w:firstLine="482"/>
        <w:jc w:val="left"/>
        <w:spacing w:line="560" w:lineRule="exact"/>
        <w:rPr>
          <w:rFonts w:ascii="宋体" w:hAnsi="宋体" w:eastAsia="宋体" w:cs="宋体"/>
          <w:b/>
          <w:bCs/>
          <w:sz w:val="24"/>
          <w:szCs w:val="20"/>
        </w:rPr>
      </w:pPr>
      <w:r/>
      <w:bookmarkStart w:id="143" w:name="_Toc513029237"/>
      <w:r/>
      <w:bookmarkStart w:id="144" w:name="_Toc16938553"/>
      <w:r/>
      <w:bookmarkStart w:id="145" w:name="_Toc20823309"/>
      <w:r>
        <w:rPr>
          <w:rFonts w:hint="eastAsia" w:ascii="宋体" w:hAnsi="宋体" w:eastAsia="宋体" w:cs="宋体"/>
          <w:b/>
          <w:bCs/>
          <w:sz w:val="24"/>
          <w:szCs w:val="20"/>
        </w:rPr>
        <w:t xml:space="preserve">31、签订合同</w:t>
      </w:r>
      <w:bookmarkEnd w:id="143"/>
      <w:r/>
      <w:bookmarkEnd w:id="144"/>
      <w:r/>
      <w:bookmarkEnd w:id="145"/>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31.l中标人应当在中标通知书发出之日起三十日内，按照招标文件确定的事项与采购人签订政府采购合同。</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31.2招标文件、中标人的投标文件及招标过程中有关澄清、承诺文件均应作为合同附件。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31.3签订合同后，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32、货物（包含与货物相关的服务）的追加</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33、政府采购政策功能落实</w:t>
      </w:r>
      <w:r/>
    </w:p>
    <w:p>
      <w:pPr>
        <w:ind w:firstLine="482"/>
        <w:jc w:val="left"/>
        <w:keepNex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33.1政府采购线上合同信用融资政策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33.2进口产品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33.3中小企业、监狱企业及残疾人福利性单位</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33.3.1中小企业定义：</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中小企业</w:t>
      </w:r>
      <w:r>
        <w:rPr>
          <w:rFonts w:hint="eastAsia" w:ascii="宋体" w:hAnsi="宋体" w:eastAsia="宋体" w:cs="宋体"/>
          <w:sz w:val="24"/>
          <w:szCs w:val="2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33.3.2供应商提供的货物、工程或者服务符合下列情形的，享受中小企业扶持政策：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33.3.2.1在货物采购项目中，货物由中小企业制造，即货物由中小企业生产且使用该中小企业商号或者注册商标；</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33.3.2.2在工程采购项目中，工程由中小企业承建，即工程施工单位为中小企业；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33.3.3在货物采购项目中，供应商提供的货物既有中小企业制造货物，也有大型企业制造货物的，不享受中小企业扶持政策。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33.3.6残疾人福利单位定义：享受政府采购支持政策的残疾人福利性单位应当同时满足以下条件：</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33.3.6.1安置的残疾人占本单位在职职工人数的比例不低于25%（含25%），并且安置的残疾人人数不少于10人（含10人）；</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33.3.6.2依法与安置的每位残疾人签订了一年以上（含一年）的劳动合同或服务协议；</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33.3.6.3为安置的每位残疾人按月足额缴纳了基本养老保险、基本医疗保险、失业保险、工伤保险和生育保险等社会保险费；</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33.3.7本项目是否专门面向中小企业预留采购份额见第一章《招标公告》。</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33.3.8采购标的对应的中小企业划分标准所属行业见第四章《采购需求》。</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33.3.9小微企业价格评审优惠的政策：见第五章《评标方法和评标标准》。</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33.4政府采购节能产品、环境标志产品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33.5绿色包装</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33.6政府采购创新产品</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33.7绿色数据中心政策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本文件中若涉及到数据中心采购，采购人应依据《绿色数据中心政府采购需求标准（试行）》（财办库〔2023〕7号）文件精神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33.8实施本国产品标准及相关政策</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1.本项目对采购本国产品给予政策支持，具体内容见招标文件“第五章 评标方法与评标标准”。</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sz w:val="24"/>
          <w:szCs w:val="20"/>
        </w:rPr>
        <w:t xml:space="preserve">。</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33.9履约保证金政策</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如以履约保函（保险）形式缴纳履约保证金，供应商可通过政府采购电子履约保函（保险）平台（www.jsdzbh.com）在线申请履约保函（保险）。</w:t>
      </w:r>
      <w:r/>
    </w:p>
    <w:p>
      <w:pPr>
        <w:ind w:firstLine="482"/>
        <w:jc w:val="left"/>
        <w:spacing w:line="560" w:lineRule="exact"/>
        <w:rPr>
          <w:rFonts w:ascii="宋体" w:hAnsi="宋体" w:eastAsia="宋体" w:cs="宋体"/>
          <w:b/>
          <w:bCs/>
          <w:sz w:val="24"/>
          <w:szCs w:val="20"/>
        </w:rPr>
      </w:pPr>
      <w:r>
        <w:rPr>
          <w:rFonts w:hint="eastAsia" w:ascii="宋体" w:hAnsi="宋体" w:eastAsia="宋体" w:cs="宋体"/>
          <w:sz w:val="24"/>
          <w:szCs w:val="20"/>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sz w:val="24"/>
          <w:szCs w:val="20"/>
        </w:rPr>
        <w:t xml:space="preserve">降低履约保证金缴纳比例为5%。</w:t>
      </w:r>
      <w:r/>
    </w:p>
    <w:p>
      <w:pPr>
        <w:ind w:firstLine="482"/>
        <w:jc w:val="left"/>
        <w:spacing w:line="560" w:lineRule="exact"/>
        <w:rPr>
          <w:rFonts w:ascii="宋体" w:hAnsi="宋体" w:eastAsia="宋体" w:cs="宋体"/>
          <w:b/>
          <w:bCs/>
          <w:sz w:val="24"/>
          <w:szCs w:val="20"/>
        </w:rPr>
      </w:pPr>
      <w:r>
        <w:rPr>
          <w:rFonts w:hint="eastAsia" w:ascii="宋体" w:hAnsi="宋体" w:eastAsia="宋体" w:cs="宋体"/>
          <w:b/>
          <w:bCs/>
          <w:sz w:val="24"/>
          <w:szCs w:val="20"/>
        </w:rPr>
        <w:t xml:space="preserve">34.预付款制度</w:t>
      </w:r>
      <w:r/>
    </w:p>
    <w:p>
      <w:pPr>
        <w:ind w:firstLine="482"/>
        <w:jc w:val="left"/>
        <w:spacing w:line="560" w:lineRule="exact"/>
        <w:rPr>
          <w:rFonts w:ascii="宋体" w:hAnsi="宋体" w:eastAsia="宋体" w:cs="宋体"/>
          <w:sz w:val="24"/>
          <w:szCs w:val="20"/>
        </w:rPr>
      </w:pPr>
      <w:r>
        <w:rPr>
          <w:rFonts w:hint="eastAsia" w:ascii="宋体" w:hAnsi="宋体" w:eastAsia="宋体" w:cs="宋体"/>
          <w:sz w:val="24"/>
          <w:szCs w:val="20"/>
        </w:rPr>
        <w:t xml:space="preserve">本项目落实预付款制度，预付款比例为</w:t>
      </w:r>
      <w:r>
        <w:rPr>
          <w:rFonts w:hint="eastAsia" w:ascii="宋体" w:hAnsi="宋体" w:eastAsia="宋体" w:cs="宋体"/>
          <w:sz w:val="24"/>
          <w:szCs w:val="20"/>
          <w:u w:val="single"/>
        </w:rPr>
        <w:t xml:space="preserve">30%</w:t>
      </w:r>
      <w:r>
        <w:rPr>
          <w:rFonts w:hint="eastAsia" w:ascii="宋体" w:hAnsi="宋体" w:eastAsia="宋体" w:cs="宋体"/>
          <w:sz w:val="24"/>
          <w:szCs w:val="20"/>
        </w:rPr>
        <w:t xml:space="preserve">。在签订合同时，中标、成交供应商明确书面表示无需预付款或者主动要求降低预付款比例的，采购人可就预付款比例作相应调整。</w:t>
      </w:r>
      <w:r/>
    </w:p>
    <w:p>
      <w:pPr>
        <w:ind w:firstLine="482"/>
        <w:jc w:val="left"/>
        <w:spacing w:line="560" w:lineRule="exact"/>
        <w:rPr>
          <w:rFonts w:ascii="宋体" w:hAnsi="宋体" w:eastAsia="宋体" w:cs="宋体"/>
          <w:sz w:val="24"/>
        </w:rPr>
      </w:pPr>
      <w:r>
        <w:rPr>
          <w:rFonts w:hint="eastAsia" w:ascii="宋体" w:hAnsi="宋体" w:eastAsia="宋体" w:cs="宋体"/>
          <w:sz w:val="44"/>
          <w:szCs w:val="44"/>
        </w:rPr>
        <w:br w:type="page" w:clear="all"/>
      </w:r>
      <w:r/>
    </w:p>
    <w:p>
      <w:pPr>
        <w:pStyle w:val="706"/>
        <w:ind w:firstLine="2640"/>
        <w:jc w:val="both"/>
        <w:keepNext/>
        <w:spacing w:beforeAutospacing="0" w:afterAutospacing="0"/>
        <w:widowControl/>
        <w:rPr>
          <w:rFonts w:ascii="黑体" w:eastAsia="黑体" w:cs="黑体"/>
          <w:sz w:val="44"/>
          <w:szCs w:val="44"/>
        </w:rPr>
        <w:outlineLvl w:val="0"/>
      </w:pPr>
      <w:r/>
      <w:bookmarkStart w:id="146" w:name="_Toc13523"/>
      <w:r>
        <w:rPr>
          <w:rFonts w:hint="eastAsia" w:ascii="黑体" w:hAnsi="宋体" w:eastAsia="黑体" w:cs="黑体"/>
          <w:sz w:val="44"/>
          <w:szCs w:val="44"/>
        </w:rPr>
        <w:t xml:space="preserve">第三章 </w:t>
      </w:r>
      <w:r>
        <w:rPr>
          <w:rFonts w:hint="eastAsia" w:ascii="黑体" w:eastAsia="黑体" w:cs="黑体"/>
          <w:sz w:val="44"/>
          <w:szCs w:val="44"/>
        </w:rPr>
        <w:t xml:space="preserve">合同条款</w:t>
      </w:r>
      <w:bookmarkEnd w:id="146"/>
      <w:r/>
      <w:r/>
    </w:p>
    <w:p>
      <w:pPr>
        <w:pStyle w:val="706"/>
        <w:ind w:firstLine="220"/>
        <w:jc w:val="center"/>
        <w:keepNext/>
        <w:spacing w:beforeAutospacing="0" w:afterAutospacing="0"/>
        <w:widowControl/>
      </w:pPr>
      <w:r/>
      <w:r/>
    </w:p>
    <w:p>
      <w:pPr>
        <w:pStyle w:val="706"/>
        <w:ind w:firstLine="120"/>
        <w:jc w:val="center"/>
        <w:spacing w:beforeAutospacing="0" w:afterAutospacing="0" w:line="0" w:lineRule="atLeast"/>
        <w:widowControl/>
      </w:pPr>
      <w:r/>
      <w:bookmarkStart w:id="147" w:name="_Toc16938559"/>
      <w:r/>
      <w:bookmarkStart w:id="148" w:name="_Toc513029243"/>
      <w:r/>
      <w:bookmarkStart w:id="149" w:name="_Toc20823315"/>
      <w:r>
        <w:rPr>
          <w:rFonts w:hint="eastAsia" w:ascii="宋体" w:hAnsi="宋体" w:eastAsia="宋体" w:cs="宋体"/>
        </w:rPr>
        <w:t xml:space="preserve">以下为中标后签定本项目合同的通用条款，中标人不得提出实质性的修改。</w:t>
      </w:r>
      <w:bookmarkEnd w:id="147"/>
      <w:r/>
      <w:bookmarkEnd w:id="148"/>
      <w:r/>
      <w:bookmarkEnd w:id="149"/>
      <w:r/>
      <w:r/>
    </w:p>
    <w:p>
      <w:pPr>
        <w:pStyle w:val="706"/>
        <w:jc w:val="both"/>
        <w:keepNext/>
        <w:spacing w:beforeAutospacing="0" w:afterAutospacing="0"/>
        <w:widowControl/>
        <w:rPr>
          <w:rFonts w:ascii="黑体" w:eastAsia="黑体" w:cs="黑体"/>
          <w:sz w:val="44"/>
          <w:szCs w:val="44"/>
        </w:rPr>
      </w:pPr>
      <w:r/>
      <w:bookmarkStart w:id="150" w:name="_Toc120614244"/>
      <w:r/>
      <w:bookmarkStart w:id="151" w:name="_Toc462564139"/>
      <w:r/>
      <w:bookmarkStart w:id="152" w:name="_Toc16938590"/>
      <w:r/>
      <w:bookmarkStart w:id="153" w:name="_Toc20823346"/>
      <w:r/>
      <w:bookmarkStart w:id="154" w:name="_Hlt16619350"/>
      <w:r/>
      <w:bookmarkStart w:id="155" w:name="_Toc479757211"/>
      <w:r/>
      <w:bookmarkStart w:id="156" w:name="_Hlt16619369"/>
      <w:r/>
      <w:r/>
    </w:p>
    <w:p>
      <w:pPr>
        <w:widowControl/>
        <w:rPr>
          <w:rFonts w:ascii="宋体" w:hAnsi="宋体" w:cs="宋体"/>
        </w:rPr>
      </w:pPr>
      <w:r>
        <w:rPr>
          <w:rFonts w:ascii="宋体" w:hAnsi="宋体" w:cs="宋体"/>
        </w:rPr>
      </w:r>
      <w:r/>
    </w:p>
    <w:p>
      <w:pPr>
        <w:widowControl/>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江苏省盐城技师学院海洋路校区心理健康活动中心和学生职业生涯规划中心采购项目</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JSZC-320900-JZCG-G2025-0077</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甲    方：</w:t>
      </w:r>
      <w:r>
        <w:rPr>
          <w:rFonts w:hint="eastAsia" w:ascii="宋体" w:hAnsi="宋体" w:cs="宋体"/>
          <w:sz w:val="28"/>
          <w:szCs w:val="28"/>
          <w:u w:val="single"/>
        </w:rPr>
        <w:t xml:space="preserve">江苏省盐城技师学院</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firstLine="280"/>
        <w:spacing w:before="120" w:after="120" w:line="540" w:lineRule="exact"/>
        <w:rPr>
          <w:rFonts w:ascii="宋体" w:hAnsi="宋体" w:cs="宋体"/>
          <w:sz w:val="28"/>
          <w:szCs w:val="28"/>
        </w:rPr>
      </w:pPr>
      <w:r>
        <w:rPr>
          <w:rFonts w:hint="eastAsia" w:ascii="宋体" w:hAnsi="宋体" w:cs="宋体"/>
          <w:sz w:val="28"/>
          <w:szCs w:val="28"/>
        </w:rPr>
        <w:t xml:space="preserve">签订时间：</w:t>
      </w:r>
      <w:r>
        <w:rPr>
          <w:rFonts w:hint="eastAsia" w:ascii="宋体" w:hAnsi="宋体" w:cs="宋体"/>
          <w:sz w:val="28"/>
          <w:szCs w:val="28"/>
          <w:u w:val="single"/>
        </w:rPr>
        <w:t xml:space="preserve">                   </w:t>
      </w:r>
      <w:r/>
    </w:p>
    <w:p>
      <w:pPr>
        <w:ind w:firstLine="480"/>
        <w:spacing w:line="520" w:lineRule="exact"/>
        <w:rPr>
          <w:rFonts w:ascii="宋体" w:hAnsi="宋体"/>
          <w:sz w:val="24"/>
        </w:rPr>
      </w:pPr>
      <w:r>
        <w:rPr>
          <w:rFonts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1.本合同标准文本适用于购买现成货物的采购项目，不包括需要供应商定制开发、创新研发的货物采购项目。</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jc w:val="center"/>
        <w:keepLines/>
        <w:keepNext/>
        <w:spacing w:line="400" w:lineRule="exact"/>
        <w:rPr>
          <w:rFonts w:ascii="黑体" w:hAnsi="华文中宋" w:eastAsia="黑体"/>
          <w:sz w:val="28"/>
          <w:szCs w:val="28"/>
        </w:rPr>
        <w:outlineLvl w:val="1"/>
      </w:pPr>
      <w:r>
        <w:rPr>
          <w:rFonts w:hint="eastAsia" w:ascii="宋体" w:hAnsi="宋体"/>
          <w:sz w:val="24"/>
        </w:rPr>
        <w:br w:type="page" w:clear="all"/>
      </w:r>
      <w:bookmarkStart w:id="157" w:name="_Toc27624"/>
      <w:r>
        <w:rPr>
          <w:rFonts w:hint="eastAsia" w:ascii="宋体" w:hAnsi="宋体" w:cs="宋体"/>
          <w:b/>
          <w:bCs/>
          <w:sz w:val="28"/>
          <w:szCs w:val="28"/>
        </w:rPr>
        <w:t xml:space="preserve">第一节 政府采购合同协议书</w:t>
      </w:r>
      <w:r/>
    </w:p>
    <w:p>
      <w:pPr>
        <w:ind w:firstLine="480"/>
        <w:jc w:val="left"/>
        <w:spacing w:line="560" w:lineRule="exact"/>
        <w:widowControl/>
        <w:rPr>
          <w:rFonts w:ascii="宋体" w:hAnsi="宋体" w:eastAsia="Arial" w:cs="宋体"/>
          <w:sz w:val="24"/>
          <w:szCs w:val="20"/>
        </w:rPr>
      </w:pPr>
      <w:r>
        <w:rPr>
          <w:rFonts w:ascii="宋体" w:hAnsi="宋体" w:eastAsia="Arial" w:cs="宋体"/>
          <w:sz w:val="24"/>
          <w:szCs w:val="20"/>
          <w:lang w:val="zh-CN"/>
        </w:rPr>
        <w:t xml:space="preserve">甲方（全称）：</w:t>
      </w:r>
      <w:r>
        <w:rPr>
          <w:rFonts w:hint="eastAsia" w:ascii="宋体" w:hAnsi="宋体" w:cs="宋体"/>
          <w:sz w:val="24"/>
          <w:u w:val="single"/>
        </w:rPr>
        <w:t xml:space="preserve">江苏省盐城技师学院</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乙方（全称）：</w:t>
      </w:r>
      <w:r>
        <w:rPr>
          <w:rFonts w:hint="eastAsia" w:ascii="宋体" w:hAnsi="宋体" w:cs="宋体"/>
          <w:sz w:val="24"/>
          <w:szCs w:val="20"/>
          <w:u w:val="single"/>
        </w:rPr>
        <w:t xml:space="preserve">                   </w:t>
      </w:r>
      <w:r>
        <w:rPr>
          <w:rFonts w:ascii="宋体" w:hAnsi="宋体" w:eastAsia="Arial" w:cs="宋体"/>
          <w:sz w:val="24"/>
          <w:szCs w:val="20"/>
        </w:rPr>
        <w:t xml:space="preserve">                  </w:t>
      </w:r>
      <w:r/>
    </w:p>
    <w:p>
      <w:pPr>
        <w:ind w:firstLine="482"/>
        <w:jc w:val="left"/>
        <w:spacing w:line="560" w:lineRule="exact"/>
        <w:widowControl/>
        <w:rPr>
          <w:rFonts w:ascii="宋体" w:hAnsi="宋体" w:cs="宋体"/>
          <w:sz w:val="24"/>
          <w:szCs w:val="20"/>
          <w:lang w:val="zh-CN"/>
        </w:rPr>
      </w:pPr>
      <w:r>
        <w:rPr>
          <w:rFonts w:ascii="宋体" w:hAnsi="宋体" w:eastAsia="Arial" w:cs="宋体"/>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1.项目信息</w:t>
      </w:r>
      <w:r/>
    </w:p>
    <w:p>
      <w:pPr>
        <w:ind w:firstLine="482"/>
        <w:jc w:val="left"/>
        <w:spacing w:line="560" w:lineRule="exact"/>
        <w:widowControl/>
        <w:rPr>
          <w:rFonts w:ascii="宋体" w:hAnsi="宋体"/>
          <w:bCs/>
          <w:color w:val="000000"/>
          <w:sz w:val="24"/>
          <w:szCs w:val="21"/>
        </w:rPr>
      </w:pPr>
      <w:r>
        <w:rPr>
          <w:rFonts w:ascii="宋体" w:hAnsi="宋体" w:eastAsia="Arial" w:cs="宋体"/>
          <w:sz w:val="24"/>
          <w:szCs w:val="20"/>
          <w:lang w:val="zh-CN"/>
        </w:rPr>
        <w:t xml:space="preserve">（1）采购项目名称：</w:t>
      </w:r>
      <w:r>
        <w:rPr>
          <w:rFonts w:hint="eastAsia" w:ascii="宋体" w:hAnsi="宋体"/>
          <w:bCs/>
          <w:color w:val="000000"/>
          <w:sz w:val="24"/>
          <w:szCs w:val="21"/>
          <w:u w:val="single"/>
        </w:rPr>
        <w:t xml:space="preserve">江苏省盐城技师学院海洋路校区心理健康活动中心和学生职业生涯规划中心采购项目</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 </w:t>
      </w:r>
      <w:r>
        <w:rPr>
          <w:rFonts w:hint="eastAsia" w:ascii="宋体" w:hAnsi="宋体" w:cs="宋体"/>
          <w:sz w:val="24"/>
          <w:szCs w:val="20"/>
        </w:rPr>
        <w:t xml:space="preserve">    </w:t>
      </w:r>
      <w:r>
        <w:rPr>
          <w:rFonts w:ascii="宋体" w:hAnsi="宋体" w:eastAsia="Arial" w:cs="宋体"/>
          <w:sz w:val="24"/>
          <w:szCs w:val="20"/>
          <w:lang w:val="zh-CN"/>
        </w:rPr>
        <w:t xml:space="preserve">采购项目编号：</w:t>
      </w:r>
      <w:r>
        <w:rPr>
          <w:rFonts w:hint="eastAsia" w:ascii="宋体" w:hAnsi="宋体" w:eastAsia="Arial" w:cs="宋体"/>
          <w:sz w:val="24"/>
          <w:szCs w:val="20"/>
          <w:u w:val="single"/>
          <w:lang w:val="zh-CN"/>
        </w:rPr>
        <w:t xml:space="preserve">JSZC-320900-JZCG-G202</w:t>
      </w:r>
      <w:r>
        <w:rPr>
          <w:rFonts w:hint="eastAsia" w:ascii="宋体" w:hAnsi="宋体" w:eastAsia="宋体" w:cs="宋体"/>
          <w:sz w:val="24"/>
          <w:szCs w:val="20"/>
          <w:u w:val="single"/>
          <w:lang w:val="en-US" w:eastAsia="zh-CN"/>
        </w:rPr>
        <w:t xml:space="preserve">6</w:t>
      </w:r>
      <w:r>
        <w:rPr>
          <w:rFonts w:hint="eastAsia" w:ascii="宋体" w:hAnsi="宋体" w:eastAsia="Arial" w:cs="宋体"/>
          <w:sz w:val="24"/>
          <w:szCs w:val="20"/>
          <w:u w:val="single"/>
          <w:lang w:val="zh-CN"/>
        </w:rPr>
        <w:t xml:space="preserve">-</w:t>
      </w:r>
      <w:r>
        <w:rPr>
          <w:rFonts w:hint="eastAsia" w:ascii="宋体" w:hAnsi="宋体" w:cs="宋体"/>
          <w:sz w:val="24"/>
          <w:szCs w:val="20"/>
          <w:u w:val="single"/>
        </w:rPr>
        <w:t xml:space="preserve">   </w:t>
      </w:r>
      <w:r>
        <w:rPr>
          <w:rFonts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（2）采购计划编号：</w:t>
      </w:r>
      <w:r>
        <w:rPr>
          <w:rFonts w:hint="eastAsia" w:ascii="宋体" w:hAnsi="宋体" w:cs="宋体"/>
          <w:sz w:val="24"/>
          <w:szCs w:val="20"/>
          <w:u w:val="single"/>
        </w:rPr>
        <w:t xml:space="preserve">                           </w:t>
      </w:r>
      <w:r>
        <w:rPr>
          <w:rFonts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（3）项目内容：</w:t>
      </w:r>
      <w:r>
        <w:rPr>
          <w:rFonts w:hint="eastAsia" w:ascii="宋体" w:hAnsi="宋体"/>
          <w:bCs/>
          <w:color w:val="000000"/>
          <w:sz w:val="24"/>
          <w:szCs w:val="21"/>
          <w:u w:val="single"/>
        </w:rPr>
        <w:t xml:space="preserve">江苏省盐城技师学院海洋路校区心理健康活动中心和学生职业生涯规划中心采购</w:t>
      </w:r>
      <w:r/>
    </w:p>
    <w:p>
      <w:pPr>
        <w:ind w:firstLine="1024"/>
        <w:spacing w:line="520" w:lineRule="exact"/>
        <w:widowControl/>
        <w:rPr>
          <w:rFonts w:ascii="宋体" w:hAnsi="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1024"/>
        <w:spacing w:line="520" w:lineRule="exact"/>
        <w:widowControl/>
        <w:rPr>
          <w:rFonts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1024"/>
        <w:spacing w:line="520" w:lineRule="exact"/>
        <w:widowControl/>
        <w:rPr>
          <w:rFonts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 其他：</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1200"/>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240"/>
        <w:spacing w:line="520" w:lineRule="exact"/>
        <w:widowControl/>
        <w:rPr>
          <w:rFonts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240"/>
        <w:spacing w:line="520" w:lineRule="exact"/>
        <w:widowControl/>
        <w:rPr>
          <w:rFonts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（10）是否涉及节能产品：</w:t>
      </w:r>
      <w:r/>
    </w:p>
    <w:p>
      <w:pPr>
        <w:ind w:firstLine="480"/>
        <w:spacing w:line="520" w:lineRule="exact"/>
        <w:widowControl/>
        <w:rPr>
          <w:rFonts w:ascii="宋体" w:hAnsi="宋体" w:cs="宋体"/>
          <w:sz w:val="24"/>
          <w:szCs w:val="20"/>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þ</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2"/>
        </w:num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982"/>
        <w:spacing w:line="520" w:lineRule="exact"/>
        <w:widowControl/>
        <w:rPr>
          <w:rFonts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2400"/>
        <w:spacing w:line="520" w:lineRule="exact"/>
        <w:widowControl/>
        <w:rPr>
          <w:rFonts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（2）履约地点：</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0"/>
        <w:spacing w:line="520" w:lineRule="exact"/>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eastAsia="Arial" w:cs="宋体"/>
          <w:sz w:val="24"/>
          <w:szCs w:val="20"/>
        </w:rPr>
        <w:t xml:space="preserve">收取履约保证金形式：</w:t>
      </w:r>
      <w:r>
        <w:rPr>
          <w:rFonts w:hint="eastAsia" w:ascii="宋体" w:hAnsi="宋体" w:eastAsia="Arial" w:cs="宋体"/>
          <w:sz w:val="24"/>
          <w:szCs w:val="20"/>
          <w:u w:val="single"/>
        </w:rPr>
        <w:t xml:space="preserve">       见3.（4）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收取履约保证金金额：</w:t>
      </w:r>
      <w:r>
        <w:rPr>
          <w:rFonts w:hint="eastAsia" w:ascii="宋体" w:hAnsi="宋体" w:eastAsia="Arial" w:cs="宋体"/>
          <w:sz w:val="24"/>
          <w:szCs w:val="20"/>
          <w:u w:val="single"/>
        </w:rPr>
        <w:t xml:space="preserve">       合同价的10%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履约担保期限：</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w:t>
      </w:r>
      <w:r>
        <w:rPr>
          <w:rFonts w:hint="eastAsia" w:ascii="宋体" w:hAnsi="宋体" w:eastAsia="Arial" w:cs="宋体"/>
          <w:sz w:val="24"/>
          <w:szCs w:val="20"/>
        </w:rPr>
        <w:t xml:space="preserve">4</w:t>
      </w:r>
      <w:r>
        <w:rPr>
          <w:rFonts w:hint="eastAsia" w:ascii="宋体" w:hAnsi="宋体" w:eastAsia="Arial" w:cs="宋体"/>
          <w:sz w:val="24"/>
          <w:szCs w:val="20"/>
          <w:lang w:val="zh-CN"/>
        </w:rPr>
        <w:t xml:space="preserve">）确需收取履约保证金的，履约保证金的缴纳形式：</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b/>
          <w:bCs/>
          <w:sz w:val="24"/>
          <w:szCs w:val="20"/>
          <w:lang w:val="zh-CN"/>
        </w:rPr>
      </w:pPr>
      <w:r>
        <w:rPr>
          <w:rFonts w:hint="eastAsia" w:ascii="宋体" w:hAnsi="宋体" w:eastAsia="Arial" w:cs="宋体"/>
          <w:b/>
          <w:bCs/>
          <w:sz w:val="24"/>
          <w:szCs w:val="20"/>
        </w:rPr>
        <w:t xml:space="preserve">履约保证金金额为合同金额的10%，采购人对第三方信用服务机构依据标准规范评定为 AA 级政府采购供应商</w:t>
      </w:r>
      <w:r>
        <w:rPr>
          <w:rFonts w:hint="eastAsia" w:ascii="宋体" w:hAnsi="宋体" w:eastAsia="Arial" w:cs="宋体"/>
          <w:b/>
          <w:bCs/>
          <w:sz w:val="24"/>
          <w:szCs w:val="20"/>
          <w:lang w:val="zh-CN"/>
        </w:rPr>
        <w:t xml:space="preserve">（需在签订采购合同前提供信用管理 部门备案的第三方信用报告，且信用报告通过“信用盐城网”可查实），降低履约保证金缴纳比例为5%。  </w:t>
      </w:r>
      <w:r>
        <w:rPr>
          <w:rFonts w:hint="eastAsia" w:ascii="宋体" w:hAnsi="宋体" w:cs="宋体"/>
          <w:b/>
          <w:bCs/>
          <w:sz w:val="24"/>
          <w:szCs w:val="20"/>
          <w:lang w:val="zh-CN"/>
        </w:rPr>
        <w:t xml:space="preserve">                                  </w:t>
      </w:r>
      <w:r/>
    </w:p>
    <w:p>
      <w:pPr>
        <w:numPr>
          <w:ilvl w:val="0"/>
          <w:numId w:val="3"/>
        </w:num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验收主体：</w:t>
      </w:r>
      <w:r>
        <w:rPr>
          <w:rFonts w:hint="eastAsia" w:ascii="宋体" w:hAnsi="宋体" w:eastAsia="Arial" w:cs="宋体"/>
          <w:sz w:val="24"/>
          <w:szCs w:val="20"/>
        </w:rPr>
        <w:t xml:space="preserve">                 </w:t>
      </w:r>
      <w:r>
        <w:rPr>
          <w:rFonts w:hint="eastAsia"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是否进行抽查检测：是，抽查比例：</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w:t>
      </w:r>
      <w:r>
        <w:rPr>
          <w:rFonts w:hint="eastAsia" w:ascii="宋体" w:hAnsi="宋体" w:cs="宋体"/>
          <w:sz w:val="24"/>
          <w:szCs w:val="20"/>
        </w:rPr>
        <w:t xml:space="preserve"> </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eastAsia="Arial" w:cs="宋体"/>
          <w:sz w:val="24"/>
          <w:szCs w:val="20"/>
          <w:lang w:val="zh-CN"/>
        </w:rPr>
        <w:t xml:space="preserve">是，（应明确对被破坏的检测产品的处理方式         否</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5.组成合同的文件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（1）政府采购合同协议书及其变更、补充协议</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（2）政府采购合同专用条款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（3）政府采购合同通用条款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（4）中标（成交）通知书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（5）投标（响应）文件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（6）采购文件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（7）有关技术文件，图纸</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6.合同生效</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日生效。</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本合同一式</w:t>
      </w:r>
      <w:r>
        <w:rPr>
          <w:rFonts w:hint="eastAsia" w:ascii="宋体" w:hAnsi="宋体" w:cs="宋体"/>
          <w:sz w:val="24"/>
          <w:szCs w:val="20"/>
          <w:u w:val="single"/>
        </w:rPr>
        <w:t xml:space="preserve">肆</w:t>
      </w:r>
      <w:r>
        <w:rPr>
          <w:rFonts w:hint="eastAsia" w:ascii="宋体" w:hAnsi="宋体" w:eastAsia="Arial" w:cs="宋体"/>
          <w:sz w:val="24"/>
          <w:szCs w:val="20"/>
          <w:lang w:val="zh-CN"/>
        </w:rPr>
        <w:t xml:space="preserve">份，甲方执</w:t>
      </w:r>
      <w:r>
        <w:rPr>
          <w:rFonts w:hint="eastAsia" w:ascii="宋体" w:hAnsi="宋体" w:cs="宋体"/>
          <w:sz w:val="24"/>
          <w:szCs w:val="20"/>
          <w:u w:val="single"/>
        </w:rPr>
        <w:t xml:space="preserve">贰</w:t>
      </w:r>
      <w:r>
        <w:rPr>
          <w:rFonts w:hint="eastAsia" w:ascii="宋体" w:hAnsi="宋体" w:eastAsia="Arial" w:cs="宋体"/>
          <w:sz w:val="24"/>
          <w:szCs w:val="20"/>
          <w:lang w:val="zh-CN"/>
        </w:rPr>
        <w:t xml:space="preserve">份，乙方执</w:t>
      </w:r>
      <w:r>
        <w:rPr>
          <w:rFonts w:hint="eastAsia" w:ascii="宋体" w:hAnsi="宋体" w:cs="宋体"/>
          <w:sz w:val="24"/>
          <w:szCs w:val="20"/>
          <w:u w:val="single"/>
        </w:rPr>
        <w:t xml:space="preserve">贰</w:t>
      </w:r>
      <w:r>
        <w:rPr>
          <w:rFonts w:hint="eastAsia" w:ascii="宋体" w:hAnsi="宋体" w:eastAsia="Arial" w:cs="宋体"/>
          <w:sz w:val="24"/>
          <w:szCs w:val="20"/>
          <w:lang w:val="zh-CN"/>
        </w:rPr>
        <w:t xml:space="preserve">份，均具有同等法律效力。</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日</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lang w:val="zh-CN"/>
        </w:rPr>
        <w:t xml:space="preserve">合同订立地点：</w:t>
      </w:r>
      <w:r>
        <w:rPr>
          <w:rFonts w:hint="eastAsia" w:ascii="宋体" w:hAnsi="宋体" w:cs="宋体"/>
          <w:sz w:val="24"/>
          <w:szCs w:val="20"/>
          <w:u w:val="single"/>
        </w:rPr>
        <w:t xml:space="preserve">江苏省盐城技师学院</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附件：具体标的及其技术要求和商务要求、联合协议、分包意向协议等。</w:t>
      </w:r>
      <w:r/>
    </w:p>
    <w:p>
      <w:pPr>
        <w:pStyle w:val="908"/>
        <w:spacing w:before="156"/>
        <w:rPr>
          <w:rFonts w:hint="default" w:cs="宋体"/>
          <w:b w:val="0"/>
          <w:bCs w:val="0"/>
          <w:sz w:val="24"/>
          <w:szCs w:val="24"/>
        </w:rPr>
      </w:pPr>
      <w:r>
        <w:rPr>
          <w:rFonts w:cs="宋体"/>
          <w:b w:val="0"/>
          <w:bCs w:val="0"/>
          <w:sz w:val="24"/>
          <w:szCs w:val="24"/>
        </w:rPr>
        <w:br w:type="page" w:clear="all"/>
      </w:r>
      <w:r/>
    </w:p>
    <w:tbl>
      <w:tblPr>
        <w:tblStyle w:val="680"/>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2449"/>
        <w:gridCol w:w="2105"/>
        <w:gridCol w:w="2156"/>
      </w:tblGrid>
      <w:tr>
        <w:trPr>
          <w:jc w:val="center"/>
          <w:trHeight w:val="490"/>
        </w:trPr>
        <w:tc>
          <w:tcPr>
            <w:gridSpan w:val="2"/>
            <w:tcBorders>
              <w:bottom w:val="single" w:color="000000" w:sz="2" w:space="0"/>
              <w:right w:val="single" w:color="000000" w:sz="2" w:space="0"/>
            </w:tcBorders>
            <w:tcW w:w="4466"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甲方（采购人、受采购人委托签订合同的单位或采购文件约定的合同甲方）</w:t>
            </w:r>
            <w:r/>
          </w:p>
        </w:tc>
        <w:tc>
          <w:tcPr>
            <w:gridSpan w:val="2"/>
            <w:tcBorders>
              <w:left w:val="single" w:color="000000" w:sz="2" w:space="0"/>
              <w:bottom w:val="single" w:color="000000" w:sz="2" w:space="0"/>
            </w:tcBorders>
            <w:tcW w:w="4261" w:type="dxa"/>
            <w:vAlign w:val="center"/>
            <w:textDirection w:val="lrTb"/>
            <w:noWrap w:val="false"/>
          </w:tcPr>
          <w:p>
            <w:pPr>
              <w:ind w:firstLine="482"/>
              <w:jc w:val="center"/>
              <w:spacing w:line="500" w:lineRule="exact"/>
              <w:widowControl/>
              <w:rPr>
                <w:rFonts w:ascii="宋体" w:hAnsi="宋体" w:cs="宋体"/>
                <w:sz w:val="24"/>
                <w:szCs w:val="20"/>
              </w:rPr>
            </w:pPr>
            <w:r>
              <w:rPr>
                <w:rFonts w:hint="eastAsia" w:ascii="宋体" w:hAnsi="宋体" w:cs="宋体"/>
                <w:sz w:val="24"/>
                <w:szCs w:val="20"/>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cantSplit/>
          <w:jc w:val="center"/>
          <w:trHeight w:val="1171"/>
        </w:trPr>
        <w:tc>
          <w:tcPr>
            <w:tcBorders>
              <w:top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cantSplit/>
          <w:jc w:val="center"/>
          <w:trHeight w:val="483"/>
        </w:trPr>
        <w:tc>
          <w:tcPr>
            <w:tcBorders>
              <w:bottom w:val="single" w:color="000000" w:sz="2" w:space="0"/>
              <w:right w:val="single" w:color="000000" w:sz="2" w:space="0"/>
            </w:tcBorders>
            <w:tcW w:w="2017" w:type="dxa"/>
            <w:vAlign w:val="center"/>
            <w:vMerge w:val="continue"/>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left w:val="single" w:color="000000" w:sz="2" w:space="0"/>
              <w:bottom w:val="single" w:color="000000" w:sz="2" w:space="0"/>
              <w:right w:val="single" w:color="000000" w:sz="2" w:space="0"/>
            </w:tcBorders>
            <w:tcW w:w="2449" w:type="dxa"/>
            <w:vAlign w:val="center"/>
            <w:vMerge w:val="continue"/>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拥有者性别</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开户名称</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开户银行</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银行账号</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586"/>
        </w:trPr>
        <w:tc>
          <w:tcPr>
            <w:gridSpan w:val="4"/>
            <w:tcBorders>
              <w:top w:val="single" w:color="000000" w:sz="2" w:space="0"/>
            </w:tcBorders>
            <w:tcW w:w="872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注：涉及联合体或其他合同主体的信息应按上表格式加列。</w:t>
            </w:r>
            <w:r/>
          </w:p>
        </w:tc>
      </w:tr>
    </w:tbl>
    <w:p>
      <w:pPr>
        <w:rPr>
          <w:rFonts w:ascii="宋体" w:hAnsi="宋体" w:cs="宋体"/>
          <w:b/>
          <w:bCs/>
          <w:sz w:val="28"/>
          <w:szCs w:val="28"/>
        </w:rPr>
      </w:pPr>
      <w:r>
        <w:rPr>
          <w:rFonts w:hint="eastAsia" w:ascii="宋体" w:hAnsi="宋体" w:cs="宋体"/>
          <w:b/>
          <w:bCs/>
          <w:sz w:val="28"/>
          <w:szCs w:val="28"/>
        </w:rPr>
        <w:br w:type="page" w:clear="all"/>
      </w:r>
      <w:r/>
    </w:p>
    <w:p>
      <w:pPr>
        <w:pStyle w:val="908"/>
        <w:jc w:val="center"/>
        <w:spacing w:before="156" w:afterAutospacing="0" w:line="400" w:lineRule="exact"/>
        <w:rPr>
          <w:rFonts w:hint="default" w:cs="宋体"/>
          <w:sz w:val="28"/>
          <w:szCs w:val="28"/>
        </w:rPr>
      </w:pPr>
      <w:r>
        <w:rPr>
          <w:rFonts w:cs="宋体"/>
          <w:sz w:val="28"/>
          <w:szCs w:val="28"/>
        </w:rPr>
        <w:t xml:space="preserve">第二节 政府采购合同通用条款</w:t>
      </w:r>
      <w:bookmarkEnd w:id="157"/>
      <w:r/>
      <w:r/>
    </w:p>
    <w:p>
      <w:pPr>
        <w:ind w:firstLine="482"/>
        <w:jc w:val="left"/>
        <w:spacing w:line="400" w:lineRule="exact"/>
        <w:widowControl/>
        <w:rPr>
          <w:rFonts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 定义</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1.1合同当事人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 合同标的及金额</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5. 乙方的权利和义务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 合同履行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8.1 质量标准</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8.2 保证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58"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58"/>
      <w:r>
        <w:rPr>
          <w:rFonts w:hint="eastAsia" w:ascii="宋体" w:hAnsi="宋体" w:cs="宋体"/>
          <w:sz w:val="24"/>
          <w:szCs w:val="20"/>
          <w:lang w:val="zh-CN"/>
        </w:rPr>
        <w:t xml:space="preserve">。</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2"/>
        <w:jc w:val="left"/>
        <w:spacing w:line="560" w:lineRule="exact"/>
        <w:widowControl/>
        <w:rPr>
          <w:rFonts w:ascii="宋体" w:hAnsi="宋体" w:eastAsia="Arial"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sz w:val="24"/>
          <w:szCs w:val="20"/>
          <w:lang w:val="zh-CN"/>
        </w:rPr>
        <w:t xml:space="preserve">【</w:t>
      </w:r>
      <w:r>
        <w:rPr>
          <w:rFonts w:hint="eastAsia" w:ascii="宋体" w:hAnsi="宋体" w:eastAsia="Arial" w:cs="宋体"/>
          <w:b/>
          <w:bCs/>
          <w:sz w:val="24"/>
          <w:szCs w:val="20"/>
          <w:lang w:val="zh-CN"/>
        </w:rPr>
        <w:t xml:space="preserve">政府采购合同专用条款</w:t>
      </w:r>
      <w:r>
        <w:rPr>
          <w:rFonts w:hint="eastAsia" w:ascii="宋体" w:hAnsi="宋体" w:eastAsia="Arial" w:cs="宋体"/>
          <w:sz w:val="24"/>
          <w:szCs w:val="20"/>
          <w:lang w:val="zh-CN"/>
        </w:rPr>
        <w:t xml:space="preserve">】中约定。</w:t>
      </w:r>
      <w:r/>
    </w:p>
    <w:p>
      <w:pPr>
        <w:ind w:firstLine="480"/>
        <w:spacing w:line="52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13. 履约保证金</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 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16.合同变更、中止与终止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16.1合同的变更</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16.2合同的中止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16.3合同的终止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20.1 本合同应当按照规定执行政府采购政策。</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22. 通知</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4"/>
        </w:num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ascii="宋体" w:hAnsi="宋体" w:cs="宋体"/>
          <w:b/>
          <w:bCs/>
          <w:sz w:val="28"/>
          <w:szCs w:val="28"/>
        </w:rPr>
        <w:outlineLvl w:val="1"/>
      </w:pPr>
      <w:r>
        <w:rPr>
          <w:rFonts w:hint="eastAsia" w:ascii="黑体" w:hAnsi="华文中宋" w:eastAsia="黑体"/>
          <w:sz w:val="24"/>
        </w:rPr>
        <w:br w:type="page" w:clear="all"/>
      </w:r>
      <w:r>
        <w:rPr>
          <w:rFonts w:hint="eastAsia" w:ascii="宋体" w:hAnsi="宋体" w:cs="宋体"/>
          <w:b/>
          <w:bCs/>
          <w:sz w:val="28"/>
          <w:szCs w:val="28"/>
        </w:rPr>
        <w:t xml:space="preserve">第三节 政府采购合同专用条款</w:t>
      </w:r>
      <w:r/>
    </w:p>
    <w:tbl>
      <w:tblPr>
        <w:tblStyle w:val="680"/>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联合体具体要求</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其他术语解释</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履约验收中甲方提出异议或作出说明的期限</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十五个工作日内</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约定甲方承担的其他义务和责任</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第5.4款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约定乙方承担的其他义务和责任</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履行合同义务的顺序</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同协议书</w:t>
            </w:r>
            <w:r/>
          </w:p>
        </w:tc>
      </w:tr>
      <w:tr>
        <w:trPr>
          <w:jc w:val="center"/>
        </w:trPr>
        <w:tc>
          <w:tcPr>
            <w:tcW w:w="1245"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包装特殊要求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1.商品包装层数不得超过3 层，空隙率不大于40%；</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2.商品包装尽可能使用单一材质的包装材料，如因功能需求必需使用不同材质，不同材质间应便于分离；</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3.商品包装中铅、汞、镉、六价铬的总含量应不大于100mg/kg；</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4.商品包装印刷使用的油墨中挥发性有机化合物(VOCs)含量应不大于5%（以重量计）；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5.塑料材质商品包装上呈现的印刷颜色不得超过6色；</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6.纸质商品包装应使用75%以上的可再生纤维原料生产；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7.木质商品包装的原料应来源于可持续性森林。</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9.每件包装箱内应附一份详细装箱单和质量合格凭证。</w:t>
            </w:r>
            <w:r/>
          </w:p>
        </w:tc>
      </w:tr>
      <w:tr>
        <w:trPr>
          <w:jc w:val="center"/>
        </w:trPr>
        <w:tc>
          <w:tcPr>
            <w:tcW w:w="1245" w:type="dxa"/>
            <w:vAlign w:val="center"/>
            <w:vMerge w:val="continue"/>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同协议书</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运输特殊要求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1.货物验收合格、交付使用并提供所需单据的日期视为交货日期。</w:t>
            </w:r>
            <w:r/>
          </w:p>
          <w:p>
            <w:pPr>
              <w:ind w:firstLine="482"/>
              <w:spacing w:line="560" w:lineRule="exact"/>
              <w:rPr>
                <w:rFonts w:ascii="宋体" w:hAnsi="宋体" w:cs="宋体"/>
                <w:sz w:val="24"/>
                <w:szCs w:val="20"/>
              </w:rPr>
            </w:pPr>
            <w:r>
              <w:rPr>
                <w:rFonts w:hint="eastAsia" w:ascii="宋体" w:hAnsi="宋体" w:cs="宋体"/>
                <w:sz w:val="24"/>
                <w:szCs w:val="20"/>
              </w:rPr>
              <w:t xml:space="preserve">2.乙方在货物发运手续办理完毕后24小时内或货到48小时前通知甲方，以准备接货。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3.乙方装运的货物不应超过合同规定的数量或重量。乙方应对超交数量或超重而产生的一切后果负责。</w:t>
            </w:r>
            <w:r/>
          </w:p>
          <w:p>
            <w:pPr>
              <w:ind w:firstLine="482"/>
              <w:spacing w:line="560" w:lineRule="exact"/>
              <w:rPr>
                <w:rFonts w:ascii="宋体" w:hAnsi="宋体" w:cs="宋体"/>
                <w:sz w:val="24"/>
                <w:szCs w:val="20"/>
              </w:rPr>
            </w:pPr>
            <w:r>
              <w:rPr>
                <w:rFonts w:hint="eastAsia" w:ascii="宋体" w:hAnsi="宋体" w:cs="宋体"/>
                <w:sz w:val="24"/>
                <w:szCs w:val="20"/>
              </w:rPr>
              <w:t xml:space="preserve">4.货物在交付甲方前发生的风险均由乙方负责。</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保险要求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货物交货前由乙方承担保险义务</w:t>
            </w:r>
            <w:r/>
          </w:p>
        </w:tc>
      </w:tr>
      <w:tr>
        <w:trPr>
          <w:jc w:val="center"/>
          <w:trHeight w:val="1605"/>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质量保证期</w:t>
            </w:r>
            <w:r/>
          </w:p>
        </w:tc>
        <w:tc>
          <w:tcPr>
            <w:tcW w:w="5991" w:type="dxa"/>
            <w:vAlign w:val="center"/>
            <w:textDirection w:val="lrTb"/>
            <w:noWrap w:val="false"/>
          </w:tcPr>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1.货物免费质保期</w:t>
            </w:r>
            <w:r>
              <w:rPr>
                <w:rFonts w:hint="eastAsia" w:ascii="宋体" w:hAnsi="宋体" w:cs="宋体"/>
                <w:sz w:val="24"/>
                <w:szCs w:val="20"/>
                <w:u w:val="single"/>
              </w:rPr>
              <w:t xml:space="preserve"> 3 </w:t>
            </w:r>
            <w:r>
              <w:rPr>
                <w:rFonts w:hint="eastAsia" w:ascii="宋体" w:hAnsi="宋体" w:cs="宋体"/>
                <w:sz w:val="24"/>
                <w:szCs w:val="20"/>
              </w:rPr>
              <w:t xml:space="preserve">年。（自交货验收合格之日起计），因人为因素出现的故障不在免费保修范围内。超过保修期的机器设备，终生维修，维修时只收部件成本费。</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货物质量缺陷</w:t>
            </w:r>
            <w:r/>
          </w:p>
          <w:p>
            <w:pPr>
              <w:jc w:val="center"/>
              <w:rPr>
                <w:rFonts w:ascii="宋体" w:hAnsi="宋体"/>
                <w:sz w:val="24"/>
              </w:rPr>
            </w:pPr>
            <w:r>
              <w:rPr>
                <w:rFonts w:hint="eastAsia" w:ascii="宋体" w:hAnsi="宋体"/>
                <w:sz w:val="24"/>
              </w:rPr>
              <w:t xml:space="preserve">响应时间</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如在使用过程中发生质量问题，乙方在接到甲方通知后在</w:t>
            </w:r>
            <w:r>
              <w:rPr>
                <w:rFonts w:hint="eastAsia" w:ascii="宋体" w:hAnsi="宋体" w:cs="宋体"/>
                <w:sz w:val="24"/>
                <w:szCs w:val="20"/>
                <w:u w:val="single"/>
              </w:rPr>
              <w:t xml:space="preserve">      </w:t>
            </w:r>
            <w:r>
              <w:rPr>
                <w:rFonts w:hint="eastAsia" w:ascii="宋体" w:hAnsi="宋体" w:cs="宋体"/>
                <w:sz w:val="24"/>
                <w:szCs w:val="20"/>
              </w:rPr>
              <w:t xml:space="preserve">小时内到达甲方现场。</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质量保证要求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 在质保期内，乙方应对货物出现的质量及安全问题负责处理解决并承担一切费用（因甲方不当使用的除外）。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2.乙方应按照国家有关法律法规规章和“三包”规定以及招标文件售后服务要求及投标文件售后服务承诺提供售后服务。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3.所有货物保修服务方式均为乙方上门保修，由乙方派员到货物使用现场维修，所产生的一切费用由乙方承担。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widowControl/>
              <w:rPr>
                <w:rFonts w:ascii="宋体" w:hAnsi="宋体"/>
                <w:sz w:val="24"/>
              </w:rPr>
            </w:pPr>
            <w:r>
              <w:rPr>
                <w:rFonts w:hint="eastAsia" w:ascii="宋体" w:hAnsi="宋体"/>
                <w:sz w:val="24"/>
              </w:rPr>
              <w:t xml:space="preserve">第11.1款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其他应当保密的信息</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合同价款支付时间及要求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1.合同款项的支付方式及进度安排：</w:t>
            </w:r>
            <w:r/>
          </w:p>
          <w:p>
            <w:pPr>
              <w:ind w:firstLine="482"/>
              <w:jc w:val="left"/>
              <w:spacing w:line="560" w:lineRule="exact"/>
              <w:widowControl/>
              <w:rPr>
                <w:rFonts w:ascii="宋体" w:hAnsi="宋体" w:cs="宋体"/>
                <w:sz w:val="24"/>
                <w:szCs w:val="20"/>
              </w:rPr>
            </w:pPr>
            <w:r>
              <w:rPr>
                <w:rFonts w:hint="eastAsia" w:ascii="宋体" w:hAnsi="宋体" w:cs="宋体"/>
                <w:sz w:val="24"/>
                <w:szCs w:val="20"/>
                <w:u w:val="single"/>
              </w:rPr>
              <w:t xml:space="preserve">①</w:t>
            </w:r>
            <w:r>
              <w:rPr>
                <w:rFonts w:hint="eastAsia" w:ascii="宋体" w:hAnsi="宋体"/>
                <w:bCs/>
                <w:color w:val="000000"/>
                <w:sz w:val="24"/>
                <w:szCs w:val="21"/>
                <w:u w:val="single"/>
                <w:lang w:val="zh-CN"/>
              </w:rPr>
              <w:t xml:space="preserve">自合同签订生效之日起，收到乙方发票10个工作日内，预付款支付比例：合同金额的30%。（</w:t>
            </w:r>
            <w:r>
              <w:rPr>
                <w:rFonts w:hint="eastAsia" w:ascii="宋体" w:hAnsi="宋体" w:cs="宋体"/>
                <w:color w:val="000000"/>
                <w:sz w:val="24"/>
                <w:u w:val="single"/>
              </w:rPr>
              <w:t xml:space="preserve">在签订合同时，供应商明确表示无需预付款或者主动要求降低预付款比例的，采购人可不适用前述规定</w:t>
            </w:r>
            <w:r>
              <w:rPr>
                <w:rFonts w:hint="eastAsia" w:ascii="宋体" w:hAnsi="宋体"/>
                <w:bCs/>
                <w:color w:val="000000"/>
                <w:sz w:val="24"/>
                <w:szCs w:val="21"/>
                <w:u w:val="single"/>
                <w:lang w:val="zh-CN"/>
              </w:rPr>
              <w:t xml:space="preserve">）</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u w:val="single"/>
              </w:rPr>
              <w:t xml:space="preserve">②</w:t>
            </w:r>
            <w:r>
              <w:rPr>
                <w:rFonts w:hint="eastAsia" w:ascii="宋体" w:hAnsi="宋体"/>
                <w:bCs/>
                <w:color w:val="000000"/>
                <w:sz w:val="24"/>
                <w:szCs w:val="21"/>
                <w:u w:val="single"/>
                <w:lang w:val="zh-CN"/>
              </w:rPr>
              <w:t xml:space="preserve">产品验收通过,采购人收到发票后10个工作日内，尾款支付比例：合同金额的70%</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 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 制造厂家出具的质量检验证书等；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装箱单；</w:t>
            </w:r>
            <w:r/>
          </w:p>
          <w:p>
            <w:pPr>
              <w:ind w:firstLine="482"/>
              <w:jc w:val="left"/>
              <w:spacing w:line="560" w:lineRule="exact"/>
              <w:widowControl/>
              <w:rPr>
                <w:sz w:val="24"/>
              </w:rPr>
            </w:pPr>
            <w:r>
              <w:rPr>
                <w:rFonts w:hint="eastAsia" w:ascii="宋体" w:hAnsi="宋体" w:cs="宋体"/>
                <w:sz w:val="24"/>
                <w:szCs w:val="20"/>
              </w:rPr>
              <w:t xml:space="preserve">(4) 甲方加盖公章证明交付使用合格的验收单。</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履约保证金不予退还的情形</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（2）中标人不履行与采购人订立的合同的；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（3）中标人所供货物或服务不符合招标文件规定要求的；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（4）中标人采取欺骗、弄虚作假方式投标的或与其它投标人串通投标的；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（5）中标人将合同内容转包、违法分包的；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（6）中标人故意捏造事实或伪造证明材料，进行虚假恶意投诉或反映的。</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履约保证金退还时间及逾期退还的违约金</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1、合同履行结束后，甲方应及时退还交纳的履约保证金。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2、退还方式：无息退还至投标人缴纳履约保证金的账户。如为保函，在到期时自行失效。</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3、退还时间：验收合格且甲方收到发票后30日内。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4、退还条件：按合同要求全部履约完成并经采购人验收合格，且采购人收到中标人出具的发票。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运行监督、维修期限</w:t>
            </w:r>
            <w:r/>
          </w:p>
        </w:tc>
        <w:tc>
          <w:tcPr>
            <w:tcW w:w="5991" w:type="dxa"/>
            <w:vAlign w:val="center"/>
            <w:textDirection w:val="lrTb"/>
            <w:noWrap w:val="false"/>
          </w:tcPr>
          <w:p>
            <w:pPr>
              <w:ind w:firstLine="482"/>
              <w:jc w:val="left"/>
              <w:spacing w:line="560" w:lineRule="exact"/>
              <w:widowControl/>
              <w:rPr>
                <w:rFonts w:ascii="宋体" w:hAnsi="宋体" w:cs="宋体"/>
                <w:sz w:val="24"/>
                <w:szCs w:val="20"/>
                <w:highlight w:val="white"/>
              </w:rPr>
            </w:pPr>
            <w:r>
              <w:rPr>
                <w:rFonts w:hint="eastAsia" w:ascii="宋体" w:hAnsi="宋体" w:cs="宋体"/>
                <w:sz w:val="24"/>
                <w:szCs w:val="20"/>
                <w:highlight w:val="white"/>
              </w:rPr>
              <w:t xml:space="preserve">上述的货物免费保修期为三年，在质保期内，乙方应对货物出现的质量及安全问题负责处理解决并承担一切费用。</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货物回收的约定</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乙方提供的其他服务</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超过保修期的货物，终生维修，维修时只收部件成本费。</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修理、重作、更换相关具体规定</w:t>
            </w:r>
            <w:r/>
          </w:p>
        </w:tc>
        <w:tc>
          <w:tcPr>
            <w:tcW w:w="5991" w:type="dxa"/>
            <w:vAlign w:val="center"/>
            <w:textDirection w:val="lrTb"/>
            <w:noWrap w:val="false"/>
          </w:tcPr>
          <w:p>
            <w:pPr>
              <w:numPr>
                <w:ilvl w:val="255"/>
                <w:numId w:val="0"/>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详见合同通用条款8.2条款、合同专用条款第二节第8款补充条款及合同专用条款中索赔条款。</w:t>
            </w:r>
            <w:r/>
          </w:p>
          <w:p>
            <w:pPr>
              <w:numPr>
                <w:ilvl w:val="255"/>
                <w:numId w:val="0"/>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迟延交货赔偿费</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1.乙方应按照“开标（报价）一览表”中规定的交货期或承诺交货和提供服务，并交付甲方验收使用。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2.如果乙方无正当理由拖延交货，将受到以下制裁：加收误期赔偿或终止合同。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乙方逾期交付货物的，乙方应按逾期交货总额每日</w:t>
            </w:r>
            <w:r>
              <w:rPr>
                <w:rFonts w:hint="eastAsia" w:ascii="宋体" w:hAnsi="宋体" w:cs="宋体"/>
                <w:sz w:val="24"/>
                <w:szCs w:val="20"/>
                <w:u w:val="single"/>
              </w:rPr>
              <w:t xml:space="preserve">6‰ </w:t>
            </w:r>
            <w:r>
              <w:rPr>
                <w:rFonts w:hint="eastAsia" w:ascii="宋体" w:hAnsi="宋体" w:cs="宋体"/>
                <w:sz w:val="24"/>
                <w:szCs w:val="20"/>
              </w:rPr>
              <w:t xml:space="preserve">向甲方支付违约金，由甲方从待付货款中扣除。逾期超过约定日期</w:t>
            </w:r>
            <w:r>
              <w:rPr>
                <w:rFonts w:hint="eastAsia" w:ascii="宋体" w:hAnsi="宋体" w:cs="宋体"/>
                <w:sz w:val="24"/>
                <w:szCs w:val="20"/>
                <w:u w:val="single"/>
              </w:rPr>
              <w:t xml:space="preserve"> 10 </w:t>
            </w:r>
            <w:r>
              <w:rPr>
                <w:rFonts w:hint="eastAsia" w:ascii="宋体" w:hAnsi="宋体" w:cs="宋体"/>
                <w:sz w:val="24"/>
                <w:szCs w:val="20"/>
              </w:rPr>
              <w:t xml:space="preserve">个工作日不能交货的，甲方可解除本合同。乙方因逾期交货或因其他违约行为导致甲方解除合同的，乙方应向甲方支付合同总值</w:t>
            </w:r>
            <w:r>
              <w:rPr>
                <w:rFonts w:hint="eastAsia" w:ascii="宋体" w:hAnsi="宋体" w:cs="宋体"/>
                <w:sz w:val="24"/>
                <w:szCs w:val="20"/>
                <w:u w:val="single"/>
              </w:rPr>
              <w:t xml:space="preserve">5% </w:t>
            </w:r>
            <w:r>
              <w:rPr>
                <w:rFonts w:hint="eastAsia" w:ascii="宋体" w:hAnsi="宋体" w:cs="宋体"/>
                <w:sz w:val="24"/>
                <w:szCs w:val="20"/>
              </w:rPr>
              <w:t xml:space="preserve">的违约金，如造成甲方损失超过违约金的，超出部分由乙方继续承担赔偿责任。 </w:t>
            </w:r>
            <w:r/>
          </w:p>
          <w:p>
            <w:pPr>
              <w:ind w:firstLine="482"/>
              <w:jc w:val="left"/>
              <w:spacing w:line="560" w:lineRule="exact"/>
              <w:widowControl/>
              <w:rPr>
                <w:rFonts w:ascii="宋体" w:hAnsi="宋体"/>
                <w:sz w:val="24"/>
                <w:u w:val="single"/>
              </w:rPr>
            </w:pPr>
            <w:r>
              <w:rPr>
                <w:rFonts w:hint="eastAsia" w:ascii="宋体" w:hAnsi="宋体" w:cs="宋体"/>
                <w:sz w:val="24"/>
                <w:szCs w:val="20"/>
              </w:rPr>
              <w:t xml:space="preserve">4.如乙方不能交付货物，或者有违法转包他人情形，乙方应向甲方支付合同总价</w:t>
            </w:r>
            <w:r>
              <w:rPr>
                <w:rFonts w:hint="eastAsia" w:ascii="宋体" w:hAnsi="宋体" w:cs="宋体"/>
                <w:sz w:val="24"/>
                <w:szCs w:val="20"/>
                <w:u w:val="single"/>
              </w:rPr>
              <w:t xml:space="preserve"> 5% </w:t>
            </w:r>
            <w:r>
              <w:rPr>
                <w:rFonts w:hint="eastAsia" w:ascii="宋体" w:hAnsi="宋体" w:cs="宋体"/>
                <w:sz w:val="24"/>
                <w:szCs w:val="20"/>
              </w:rPr>
              <w:t xml:space="preserve">的滞纳金。</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逾期付款利息</w:t>
            </w:r>
            <w:r/>
          </w:p>
        </w:tc>
        <w:tc>
          <w:tcPr>
            <w:tcW w:w="5991" w:type="dxa"/>
            <w:vAlign w:val="center"/>
            <w:textDirection w:val="lrTb"/>
            <w:noWrap w:val="false"/>
          </w:tcPr>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1.甲方无正当理由拒收货物的，甲方向乙方偿付拒收货款总值</w:t>
            </w:r>
            <w:r>
              <w:rPr>
                <w:rFonts w:hint="eastAsia" w:ascii="宋体" w:hAnsi="宋体" w:cs="宋体"/>
                <w:sz w:val="24"/>
                <w:szCs w:val="20"/>
                <w:u w:val="single"/>
              </w:rPr>
              <w:t xml:space="preserve">5%</w:t>
            </w:r>
            <w:r>
              <w:rPr>
                <w:rFonts w:hint="eastAsia" w:ascii="宋体" w:hAnsi="宋体" w:cs="宋体"/>
                <w:sz w:val="24"/>
                <w:szCs w:val="20"/>
              </w:rPr>
              <w:t xml:space="preserve">的违约金。</w:t>
            </w:r>
            <w:r/>
          </w:p>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2.甲方无故逾期验收和办理货款支付手续的,甲方应按逾期付款总额每日</w:t>
            </w:r>
            <w:r>
              <w:rPr>
                <w:rFonts w:hint="eastAsia" w:ascii="宋体" w:hAnsi="宋体" w:cs="宋体"/>
                <w:sz w:val="24"/>
                <w:szCs w:val="20"/>
                <w:u w:val="single"/>
              </w:rPr>
              <w:t xml:space="preserve">5‰</w:t>
            </w:r>
            <w:r>
              <w:rPr>
                <w:rFonts w:hint="eastAsia" w:ascii="宋体" w:hAnsi="宋体" w:cs="宋体"/>
                <w:sz w:val="24"/>
                <w:szCs w:val="20"/>
              </w:rPr>
              <w:t xml:space="preserve">向乙方支付违约金。</w:t>
            </w:r>
            <w:r/>
          </w:p>
        </w:tc>
      </w:tr>
      <w:tr>
        <w:trPr>
          <w:jc w:val="center"/>
        </w:trPr>
        <w:tc>
          <w:tcPr>
            <w:tcBorders>
              <w:bottom w:val="single" w:color="000000" w:sz="2" w:space="0"/>
              <w:right w:val="single" w:color="000000" w:sz="2" w:space="0"/>
            </w:tcBorders>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right w:val="single" w:color="000000" w:sz="2" w:space="0"/>
            </w:tcBorders>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1.因本合同及合同有关事项发生的争议，由双方协商解决，协商不成时，按下列第</w:t>
            </w:r>
            <w:r>
              <w:rPr>
                <w:rFonts w:hint="eastAsia" w:ascii="宋体" w:hAnsi="宋体" w:cs="宋体"/>
                <w:sz w:val="24"/>
                <w:szCs w:val="20"/>
                <w:u w:val="single"/>
              </w:rPr>
              <w:t xml:space="preserve"> 2 </w:t>
            </w:r>
            <w:r>
              <w:rPr>
                <w:rFonts w:hint="eastAsia" w:ascii="宋体" w:hAnsi="宋体" w:cs="宋体"/>
                <w:sz w:val="24"/>
                <w:szCs w:val="20"/>
              </w:rPr>
              <w:t xml:space="preserve">种方式解决：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（1）向仲裁委员会申请仲裁，仲裁地点为</w:t>
            </w:r>
            <w:r>
              <w:rPr>
                <w:rFonts w:hint="eastAsia" w:ascii="宋体" w:hAnsi="宋体" w:cs="宋体"/>
                <w:sz w:val="24"/>
                <w:szCs w:val="20"/>
                <w:u w:val="single"/>
              </w:rPr>
              <w:t xml:space="preserve">盐城市</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（2）向甲方所在地人民法院起诉。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 纠纷解决办法</w:t>
            </w:r>
            <w:r/>
          </w:p>
          <w:p>
            <w:pPr>
              <w:ind w:firstLine="482"/>
              <w:jc w:val="left"/>
              <w:spacing w:line="560" w:lineRule="exact"/>
              <w:widowControl/>
              <w:rPr>
                <w:rFonts w:ascii="宋体" w:hAnsi="宋体"/>
                <w:sz w:val="24"/>
              </w:rPr>
            </w:pPr>
            <w:r>
              <w:rPr>
                <w:rFonts w:hint="eastAsia" w:ascii="宋体" w:hAnsi="宋体" w:cs="宋体"/>
                <w:sz w:val="24"/>
                <w:szCs w:val="20"/>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其他专用条款</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sz w:val="24"/>
              </w:rPr>
              <w:t xml:space="preserve">1</w:t>
            </w:r>
            <w:r>
              <w:rPr>
                <w:rFonts w:hint="eastAsia" w:ascii="宋体" w:hAnsi="宋体" w:cs="宋体"/>
                <w:sz w:val="24"/>
                <w:szCs w:val="20"/>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3.验收不合格的货物，乙方应在</w:t>
            </w:r>
            <w:r>
              <w:rPr>
                <w:rFonts w:hint="eastAsia" w:ascii="宋体" w:hAnsi="宋体" w:cs="宋体"/>
                <w:sz w:val="24"/>
                <w:szCs w:val="20"/>
                <w:u w:val="single"/>
              </w:rPr>
              <w:t xml:space="preserve">三个工作日</w:t>
            </w:r>
            <w:r>
              <w:rPr>
                <w:rFonts w:hint="eastAsia" w:ascii="宋体" w:hAnsi="宋体" w:cs="宋体"/>
                <w:sz w:val="24"/>
                <w:szCs w:val="20"/>
              </w:rPr>
              <w:t xml:space="preserve">内予以更换，逾期按交货延误予以处罚。乙方所交付的货物品种、型号、规格不符合合同规定的，甲方有权拒收。甲方拒收的，乙方向甲方支付货款总额</w:t>
            </w:r>
            <w:r>
              <w:rPr>
                <w:rFonts w:hint="eastAsia" w:ascii="宋体" w:hAnsi="宋体" w:cs="宋体"/>
                <w:sz w:val="24"/>
                <w:szCs w:val="20"/>
                <w:u w:val="single"/>
              </w:rPr>
              <w:t xml:space="preserve"> 5 %</w:t>
            </w:r>
            <w:r>
              <w:rPr>
                <w:rFonts w:hint="eastAsia" w:ascii="宋体" w:hAnsi="宋体" w:cs="宋体"/>
                <w:sz w:val="24"/>
                <w:szCs w:val="20"/>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4.货物验收要求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（1）依照招标文件要求对全部货物、型号、规格、数量、外型、外观、包装及资料、文件（如装箱单、保修单、随箱介质等）进行验收。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（2）甲方与乙方对货物到货后共同进行开箱检查，出现损坏、数量不全或产品不对等问题时，由乙方负责解决。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（4）乙方应按照本合同规定的时间、地点和方式向乙方交付货物。</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交货时间：</w:t>
            </w:r>
            <w:r>
              <w:rPr>
                <w:rFonts w:hint="eastAsia" w:ascii="宋体" w:hAnsi="宋体" w:cs="宋体"/>
                <w:color w:val="000000"/>
                <w:sz w:val="24"/>
                <w:u w:val="single"/>
                <w:lang w:bidi="ar"/>
              </w:rPr>
              <w:t xml:space="preserve">合同签订后60个日历天内完成到货、安装、调试工作并交付使用</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交货地点：</w:t>
            </w:r>
            <w:r>
              <w:rPr>
                <w:rFonts w:hint="eastAsia" w:ascii="宋体" w:hAnsi="宋体" w:cs="宋体"/>
                <w:sz w:val="24"/>
                <w:szCs w:val="20"/>
                <w:u w:val="single"/>
              </w:rPr>
              <w:t xml:space="preserve">甲方</w:t>
            </w:r>
            <w:r>
              <w:rPr>
                <w:rFonts w:hint="eastAsia"/>
                <w:sz w:val="24"/>
                <w:u w:val="single"/>
              </w:rPr>
              <w:t xml:space="preserve">指定地点</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sz w:val="24"/>
              </w:rPr>
              <w:t xml:space="preserve">（</w:t>
            </w:r>
            <w:r>
              <w:rPr>
                <w:rFonts w:hint="eastAsia" w:ascii="宋体" w:hAnsi="宋体" w:cs="宋体"/>
                <w:sz w:val="24"/>
                <w:szCs w:val="20"/>
              </w:rPr>
              <w:t xml:space="preserve">5）甲方应在全部货物到货安装完毕后的</w:t>
            </w:r>
            <w:r>
              <w:rPr>
                <w:rFonts w:hint="eastAsia" w:ascii="宋体" w:hAnsi="宋体" w:cs="宋体"/>
                <w:sz w:val="24"/>
                <w:szCs w:val="20"/>
                <w:u w:val="single"/>
              </w:rPr>
              <w:t xml:space="preserve">五个工作日</w:t>
            </w:r>
            <w:r>
              <w:rPr>
                <w:rFonts w:hint="eastAsia" w:ascii="宋体" w:hAnsi="宋体" w:cs="宋体"/>
                <w:sz w:val="24"/>
                <w:szCs w:val="20"/>
              </w:rPr>
              <w:t xml:space="preserve">内进行验收，验收包括：型号、规格、数量、外观是否完好，安装调试是否合格等。验收合格后甲方应在验收报告上签字盖章，初步验收合格且项目运行满一 个月后，甲方组织对货物的质量及使用状况等进行最终验收。</w:t>
            </w:r>
            <w:r/>
          </w:p>
          <w:p>
            <w:pPr>
              <w:ind w:firstLine="482"/>
              <w:jc w:val="left"/>
              <w:spacing w:line="560" w:lineRule="exact"/>
              <w:widowControl/>
              <w:rPr>
                <w:rFonts w:ascii="宋体" w:hAnsi="宋体"/>
                <w:sz w:val="24"/>
              </w:rPr>
            </w:pPr>
            <w:r>
              <w:rPr>
                <w:rFonts w:hint="eastAsia" w:ascii="宋体" w:hAnsi="宋体" w:cs="宋体"/>
                <w:sz w:val="24"/>
                <w:szCs w:val="20"/>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bCs/>
                <w:sz w:val="24"/>
              </w:rPr>
              <w:t xml:space="preserve">税费</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sz w:val="24"/>
              </w:rPr>
            </w:pPr>
            <w:r>
              <w:rPr>
                <w:rFonts w:hint="eastAsia" w:ascii="宋体" w:hAnsi="宋体" w:cs="宋体"/>
                <w:sz w:val="24"/>
                <w:szCs w:val="20"/>
              </w:rPr>
              <w:t xml:space="preserve">2.中国政府根据现行税法规定对乙方征收的与本合同有关的一切税费均由乙方负担（免税部分除外）。</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bCs/>
                <w:sz w:val="24"/>
              </w:rPr>
              <w:t xml:space="preserve">伴随服务</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1.乙方应按照国家“</w:t>
            </w:r>
            <w:r>
              <w:rPr>
                <w:rFonts w:hint="eastAsia" w:ascii="宋体" w:hAnsi="宋体" w:cs="宋体"/>
                <w:b/>
                <w:bCs/>
                <w:sz w:val="24"/>
                <w:szCs w:val="20"/>
              </w:rPr>
              <w:t xml:space="preserve">新三包</w:t>
            </w:r>
            <w:r>
              <w:rPr>
                <w:rFonts w:hint="eastAsia" w:ascii="宋体" w:hAnsi="宋体" w:cs="宋体"/>
                <w:sz w:val="24"/>
                <w:szCs w:val="20"/>
              </w:rPr>
              <w:t xml:space="preserve">”规定和合同中所附的服务承诺提供服务。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2.除第1条规定外，乙方还应提供下列服务：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w:t>
            </w:r>
            <w:r>
              <w:rPr>
                <w:rFonts w:hint="eastAsia" w:ascii="宋体" w:hAnsi="宋体" w:cs="宋体"/>
                <w:b/>
                <w:bCs/>
                <w:sz w:val="24"/>
                <w:szCs w:val="20"/>
              </w:rPr>
              <w:t xml:space="preserve">(1) 招标文件中的“服务要求”所规定的服务内容以及投标文件承诺提供的其他服务内容；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(2) 负责货物的开孔，货物的现场安装；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(3) 提供货物组装和维修所需的工具；</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(4) 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(5) 在货物交货现场就货物的安装、启用、维护等对甲方人员进行培训。</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3.伴随服务的费用应含在合同价中，不单独进行支付。</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索赔</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1.甲方有权根据当地质检部门出具的检验报告，向乙方提出索赔。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 根据货物的低劣程度、损坏程度以及甲方所遭受损失的数额，乙方必须降低货物的价格。</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eastAsia="Arial" w:cs="宋体"/>
                <w:sz w:val="24"/>
                <w:szCs w:val="20"/>
              </w:rPr>
              <w:t xml:space="preserve">合同生效及其它</w:t>
            </w:r>
            <w:r/>
          </w:p>
        </w:tc>
        <w:tc>
          <w:tcPr>
            <w:tcW w:w="5991" w:type="dxa"/>
            <w:vAlign w:val="center"/>
            <w:textDirection w:val="lrTb"/>
            <w:noWrap w:val="false"/>
          </w:tcPr>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1.合同经甲方、乙方盖章后生效。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2.货物交付使用后所发生的合同纠纷，由甲方与乙方协商处理。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sz w:val="24"/>
              </w:rPr>
            </w:pPr>
            <w:r>
              <w:rPr>
                <w:rFonts w:hint="eastAsia" w:ascii="宋体" w:hAnsi="宋体" w:eastAsia="Arial" w:cs="宋体"/>
                <w:sz w:val="24"/>
                <w:szCs w:val="20"/>
              </w:rPr>
              <w:t xml:space="preserve">4.本合同应按照中华人民共和国的现行法律进行解释。本合同未尽事宜，遵照《中华人民共和国民法典》、《中华人民共和国政府采购法》等有关条文执行。</w:t>
            </w:r>
            <w:r/>
          </w:p>
        </w:tc>
      </w:tr>
    </w:tbl>
    <w:p>
      <w:pPr>
        <w:pStyle w:val="706"/>
        <w:ind w:firstLine="220"/>
        <w:jc w:val="center"/>
        <w:spacing w:before="120" w:beforeAutospacing="0" w:after="120" w:afterAutospacing="0" w:line="0" w:lineRule="atLeast"/>
        <w:widowControl/>
        <w:rPr>
          <w:rFonts w:ascii="黑体" w:hAnsi="宋体" w:eastAsia="黑体" w:cs="黑体"/>
          <w:sz w:val="44"/>
          <w:szCs w:val="44"/>
        </w:rPr>
        <w:outlineLvl w:val="0"/>
      </w:pPr>
      <w:r>
        <w:rPr>
          <w:rFonts w:hint="eastAsia" w:ascii="黑体" w:hAnsi="宋体" w:eastAsia="黑体" w:cs="黑体"/>
          <w:sz w:val="44"/>
          <w:szCs w:val="44"/>
        </w:rPr>
        <w:br w:type="page" w:clear="all"/>
      </w:r>
      <w:bookmarkEnd w:id="150"/>
      <w:r/>
      <w:bookmarkEnd w:id="151"/>
      <w:r/>
      <w:bookmarkEnd w:id="152"/>
      <w:r/>
      <w:bookmarkEnd w:id="153"/>
      <w:r/>
      <w:bookmarkEnd w:id="154"/>
      <w:r/>
      <w:bookmarkEnd w:id="155"/>
      <w:r/>
      <w:bookmarkStart w:id="159" w:name="_Toc10439"/>
      <w:r/>
      <w:bookmarkStart w:id="160" w:name="_Toc120614281"/>
      <w:r>
        <w:rPr>
          <w:rFonts w:hint="eastAsia" w:ascii="黑体" w:hAnsi="宋体" w:eastAsia="黑体" w:cs="黑体"/>
          <w:sz w:val="44"/>
          <w:szCs w:val="44"/>
        </w:rPr>
        <w:t xml:space="preserve">第四章 采购需求</w:t>
      </w:r>
      <w:bookmarkEnd w:id="159"/>
      <w:r/>
      <w:r/>
    </w:p>
    <w:p>
      <w:pPr>
        <w:ind w:firstLine="482"/>
        <w:jc w:val="left"/>
        <w:spacing w:line="560" w:lineRule="exact"/>
        <w:widowControl/>
        <w:rPr>
          <w:rFonts w:ascii="宋体" w:hAnsi="宋体" w:eastAsia="宋体" w:cs="宋体"/>
          <w:b/>
          <w:bCs/>
          <w:sz w:val="24"/>
          <w:szCs w:val="20"/>
          <w:lang w:val="zh-CN"/>
        </w:rPr>
      </w:pPr>
      <w:r>
        <w:rPr>
          <w:rFonts w:hint="eastAsia" w:ascii="宋体" w:hAnsi="宋体" w:eastAsia="宋体" w:cs="宋体"/>
          <w:b/>
          <w:bCs/>
          <w:sz w:val="24"/>
          <w:szCs w:val="20"/>
          <w:lang w:val="zh-CN"/>
        </w:rPr>
        <w:t xml:space="preserve">项目属性：货物类项目</w:t>
      </w:r>
      <w:r/>
    </w:p>
    <w:p>
      <w:pPr>
        <w:ind w:firstLine="482"/>
        <w:spacing w:line="500" w:lineRule="exact"/>
        <w:rPr>
          <w:rFonts w:ascii="宋体" w:hAnsi="宋体"/>
          <w:b/>
          <w:color w:val="000000"/>
          <w:sz w:val="24"/>
          <w:szCs w:val="21"/>
        </w:rPr>
      </w:pPr>
      <w:r/>
      <w:bookmarkStart w:id="161" w:name="_Toc8766"/>
      <w:r>
        <w:rPr>
          <w:rFonts w:hint="eastAsia" w:ascii="宋体" w:hAnsi="宋体"/>
          <w:b/>
          <w:color w:val="000000"/>
          <w:sz w:val="24"/>
          <w:szCs w:val="21"/>
          <w:lang w:val="zh-CN"/>
        </w:rPr>
        <w:t xml:space="preserve">一、</w:t>
      </w:r>
      <w:r>
        <w:rPr>
          <w:rFonts w:hint="eastAsia" w:ascii="宋体" w:hAnsi="宋体"/>
          <w:b/>
          <w:color w:val="000000"/>
          <w:sz w:val="24"/>
          <w:szCs w:val="21"/>
        </w:rPr>
        <w:t xml:space="preserve">项目概况</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1.项目名称：江苏省盐城技师学院海洋路校区心理健康活动中心和学生职业生涯规划中心采购项目</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2.最高限价：109.7万</w:t>
      </w:r>
      <w:r/>
    </w:p>
    <w:p>
      <w:pPr>
        <w:ind w:firstLine="480"/>
        <w:spacing w:line="500" w:lineRule="exact"/>
        <w:rPr>
          <w:rFonts w:ascii="宋体" w:hAnsi="宋体" w:cs="宋体"/>
          <w:bCs/>
          <w:color w:val="000000"/>
          <w:sz w:val="24"/>
          <w:szCs w:val="21"/>
        </w:rPr>
      </w:pPr>
      <w:r>
        <w:rPr>
          <w:rFonts w:hint="eastAsia" w:ascii="宋体" w:hAnsi="宋体"/>
          <w:bCs/>
          <w:color w:val="000000"/>
          <w:sz w:val="24"/>
          <w:szCs w:val="21"/>
        </w:rPr>
        <w:t xml:space="preserve">3.采购内容</w:t>
      </w:r>
      <w:r>
        <w:rPr>
          <w:rFonts w:hint="eastAsia" w:ascii="宋体" w:hAnsi="宋体" w:cs="宋体"/>
          <w:bCs/>
          <w:color w:val="000000"/>
          <w:sz w:val="24"/>
          <w:szCs w:val="21"/>
        </w:rPr>
        <w:t xml:space="preserve">：江苏省盐城技师学院海洋路校区心理健康活动中心和学生职业生涯规划中心采购项目</w:t>
      </w:r>
      <w:r>
        <w:rPr>
          <w:rFonts w:hint="eastAsia" w:ascii="宋体" w:hAnsi="宋体" w:cs="宋体"/>
          <w:color w:val="000000"/>
          <w:sz w:val="24"/>
        </w:rPr>
        <w:t xml:space="preserve">。</w:t>
      </w:r>
      <w:r/>
    </w:p>
    <w:p>
      <w:pPr>
        <w:ind w:firstLine="480"/>
        <w:spacing w:line="500" w:lineRule="exact"/>
        <w:rPr>
          <w:rFonts w:ascii="宋体" w:hAnsi="宋体" w:cs="宋体"/>
          <w:bCs/>
          <w:color w:val="000000"/>
          <w:sz w:val="24"/>
          <w:highlight w:val="white"/>
        </w:rPr>
      </w:pPr>
      <w:r>
        <w:rPr>
          <w:rFonts w:hint="eastAsia" w:ascii="宋体" w:hAnsi="宋体" w:cs="宋体"/>
          <w:bCs/>
          <w:color w:val="000000"/>
          <w:sz w:val="24"/>
          <w:szCs w:val="21"/>
        </w:rPr>
        <w:t xml:space="preserve">4.</w:t>
      </w:r>
      <w:r>
        <w:rPr>
          <w:rFonts w:hint="eastAsia" w:ascii="宋体" w:hAnsi="宋体" w:cs="宋体"/>
          <w:color w:val="000000"/>
          <w:sz w:val="24"/>
          <w:lang w:bidi="ar"/>
        </w:rPr>
        <w:t xml:space="preserve">必须在合同签订后60个日历天内完成到货、安装、调试工作并交付使用，中标价包</w:t>
      </w:r>
      <w:r>
        <w:rPr>
          <w:rFonts w:hint="eastAsia" w:ascii="宋体" w:hAnsi="宋体" w:cs="宋体"/>
          <w:color w:val="000000"/>
          <w:sz w:val="24"/>
          <w:highlight w:val="white"/>
          <w:lang w:bidi="ar"/>
        </w:rPr>
        <w:t xml:space="preserve">括安装调试过程中产生的一切费用</w:t>
      </w:r>
      <w:r>
        <w:rPr>
          <w:rFonts w:hint="eastAsia" w:ascii="宋体" w:hAnsi="宋体" w:cs="宋体"/>
          <w:bCs/>
          <w:color w:val="000000"/>
          <w:sz w:val="24"/>
          <w:highlight w:val="white"/>
        </w:rPr>
        <w:t xml:space="preserve">。</w:t>
      </w:r>
      <w:r/>
    </w:p>
    <w:p>
      <w:pPr>
        <w:numPr>
          <w:ilvl w:val="0"/>
          <w:numId w:val="5"/>
        </w:numPr>
        <w:spacing w:line="500" w:lineRule="exact"/>
        <w:rPr>
          <w:rFonts w:ascii="宋体" w:hAnsi="宋体"/>
          <w:b/>
          <w:color w:val="000000"/>
          <w:sz w:val="24"/>
          <w:szCs w:val="21"/>
          <w:highlight w:val="white"/>
        </w:rPr>
      </w:pPr>
      <w:r>
        <w:rPr>
          <w:rFonts w:hint="eastAsia" w:ascii="宋体" w:hAnsi="宋体"/>
          <w:b/>
          <w:color w:val="000000"/>
          <w:sz w:val="24"/>
          <w:szCs w:val="21"/>
          <w:highlight w:val="white"/>
        </w:rPr>
        <w:t xml:space="preserve">项目</w:t>
      </w:r>
      <w:r>
        <w:rPr>
          <w:rFonts w:ascii="宋体" w:hAnsi="宋体"/>
          <w:b/>
          <w:color w:val="000000"/>
          <w:sz w:val="24"/>
          <w:szCs w:val="21"/>
          <w:highlight w:val="white"/>
        </w:rPr>
        <w:t xml:space="preserve">明细表</w:t>
      </w:r>
      <w:r>
        <w:rPr>
          <w:rFonts w:hint="eastAsia" w:ascii="宋体" w:hAnsi="宋体"/>
          <w:b/>
          <w:color w:val="000000"/>
          <w:sz w:val="24"/>
          <w:szCs w:val="21"/>
          <w:highlight w:val="white"/>
        </w:rPr>
        <w:t xml:space="preserve">（核心产品：身心反馈放松训练系统</w:t>
      </w:r>
      <w:r>
        <w:rPr>
          <w:rFonts w:hint="eastAsia" w:ascii="宋体" w:hAnsi="宋体"/>
          <w:b/>
          <w:color w:val="000000"/>
          <w:sz w:val="24"/>
          <w:szCs w:val="21"/>
          <w:highlight w:val="white"/>
          <w:lang w:eastAsia="zh-CN"/>
        </w:rPr>
        <w:t xml:space="preserve">、</w:t>
      </w:r>
      <w:r>
        <w:rPr>
          <w:rFonts w:hint="eastAsia" w:ascii="宋体" w:hAnsi="宋体"/>
          <w:b/>
          <w:color w:val="000000"/>
          <w:sz w:val="24"/>
          <w:szCs w:val="21"/>
          <w:highlight w:val="white"/>
        </w:rPr>
        <w:t xml:space="preserve">数字化团体正念训练系统）</w:t>
      </w:r>
      <w:r/>
    </w:p>
    <w:tbl>
      <w:tblPr>
        <w:tblStyle w:val="680"/>
        <w:tblW w:w="8855" w:type="dxa"/>
        <w:tblInd w:w="11" w:type="dxa"/>
        <w:tblLayout w:type="fixed"/>
        <w:tblCellMar>
          <w:left w:w="108" w:type="dxa"/>
          <w:top w:w="0" w:type="dxa"/>
          <w:right w:w="108" w:type="dxa"/>
          <w:bottom w:w="0" w:type="dxa"/>
        </w:tblCellMar>
        <w:tblLook w:val="04A0" w:firstRow="1" w:lastRow="0" w:firstColumn="1" w:lastColumn="0" w:noHBand="0" w:noVBand="1"/>
      </w:tblPr>
      <w:tblGrid>
        <w:gridCol w:w="500"/>
        <w:gridCol w:w="675"/>
        <w:gridCol w:w="6780"/>
        <w:gridCol w:w="510"/>
        <w:gridCol w:w="390"/>
      </w:tblGrid>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bookmarkStart w:id="162" w:name="OLE_LINK7"/>
            <w:r>
              <w:rPr>
                <w:rFonts w:hint="eastAsia" w:ascii="宋体" w:hAnsi="宋体" w:eastAsia="宋体" w:cs="宋体"/>
                <w:b/>
                <w:bCs/>
                <w:i w:val="0"/>
                <w:iCs w:val="0"/>
                <w:color w:val="auto"/>
                <w:sz w:val="22"/>
                <w:szCs w:val="22"/>
                <w:u w:val="none"/>
              </w:rPr>
              <w:t xml:space="preserve">序号</w:t>
            </w:r>
            <w:bookmarkEnd w:id="162"/>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品目名称</w:t>
            </w:r>
            <w:r/>
          </w:p>
        </w:tc>
        <w:tc>
          <w:tcPr>
            <w:shd w:val="clear" w:color="auto" w:fill="ffffff"/>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技术参数</w:t>
            </w:r>
            <w:r/>
          </w:p>
        </w:tc>
        <w:tc>
          <w:tcPr>
            <w:shd w:val="clear" w:color="auto" w:fill="ffffff"/>
            <w:tcBorders>
              <w:top w:val="single" w:color="000000" w:sz="4" w:space="0"/>
              <w:left w:val="none" w:color="000000" w:sz="4" w:space="0"/>
              <w:bottom w:val="single" w:color="000000" w:sz="4" w:space="0"/>
              <w:right w:val="single" w:color="auto"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sz w:val="22"/>
                <w:szCs w:val="22"/>
                <w:u w:val="none"/>
              </w:rPr>
              <w:suppressLineNumbers w:val="0"/>
            </w:pPr>
            <w:r>
              <w:rPr>
                <w:rFonts w:hint="eastAsia" w:ascii="宋体" w:hAnsi="宋体" w:eastAsia="宋体" w:cs="宋体"/>
                <w:b/>
                <w:bCs/>
                <w:i w:val="0"/>
                <w:iCs w:val="0"/>
                <w:sz w:val="22"/>
                <w:szCs w:val="22"/>
                <w:u w:val="none"/>
              </w:rPr>
              <w:t xml:space="preserve">数量</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一、沙盘游戏室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t xml:space="preserve">心理沙盘3000含沙盘管理软件</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1.个体沙箱2个：规格长度72cm*宽度57cm*高度7cm（误差允许±2cm），实木，内侧蓝色。</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2.团体沙箱1个：规格长度114cm*宽度72cm*高度10cm(误差允许±2cm），实木，内侧蓝色。</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3.沙具3000件：由人物类、宗教类、死亡类、文体类、食物类、家居类、交通类、军事类、建筑类、动物类、植物类、自然物类、名胜古迹类、颜色形状类、符号及钱币类15大类组成。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4.沙具摆放架2个：高度约160cm*宽度约80cm*深度约30cm；樟子松实木，9层设计。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5.细沙60KG：天然细沙、颗粒光滑、大小均匀、手感好。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6.要求提供至少30课时的沙盘培训微课一套，课程以双人访谈QA一对一解答的方式，分主题讲解沙盘游戏咨询的理论背景、实操技术，能让初学者迅速入门。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7.心理沙盘档案管理系统1套：系统功能包含沙盘介绍、来访者信息管理、沙盘档案管理、查询、沙具意象词典、沙盘记录表等功能。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7.1沙盘介绍：通过图文的方式展现沙盘功能，帮助初学者理解沙盘游戏。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7.2来访者信息管理：添加来访者；批量导入来访者信息，修改来访者信息。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7.3沙盘档案管理：可以添加图片加评语，视频加评语，心理老师可以后期沙盘游戏分析与档案的调取。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7.4查询：可以根据学号或者学生姓名调用档案记录。心理老师可以查询历史记录。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7.5沙盘意象词典：意象类型不少于十大类；总意象数量不少于60个，系统具备自主添加沙具意象功能，心理老师可以根据自己的经验添加对沙具投射意象的理解。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7.6沙盘记录表：系统可以自动分析并生成沙盘记录表，系统可以根据来访者操作的沙盘游戏情况，把沙具相关数据在系统配置好即可一键自动分析，并生成团体沙盘记录表或者个体沙盘记录表。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8.心理沙盘游戏视频剪辑1套 （最少含有4课时的沙盘游戏指导课程便于心理老师参考学习）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9.沙具选取框3个+沙刷3个+沙扒3个（用于沙具选取及清理)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10.情绪投射套装1套：4个为一套；代表着喜怒哀乐4种心理状态。</w:t>
            </w:r>
            <w:r/>
          </w:p>
        </w:tc>
        <w:tc>
          <w:tcPr>
            <w:shd w:val="clear" w:color="auto" w:fill="ffffff"/>
            <w:tcBorders>
              <w:top w:val="single" w:color="000000" w:sz="4" w:space="0"/>
              <w:left w:val="none" w:color="000000" w:sz="4" w:space="0"/>
              <w:bottom w:val="single" w:color="000000" w:sz="4" w:space="0"/>
              <w:right w:val="single" w:color="auto"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auto" w:sz="4" w:space="0"/>
              <w:left w:val="none" w:color="000000" w:sz="4" w:space="0"/>
              <w:bottom w:val="single" w:color="auto" w:sz="4" w:space="0"/>
              <w:right w:val="single" w:color="auto"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i w:val="0"/>
                <w:iCs w:val="0"/>
                <w:sz w:val="22"/>
                <w:szCs w:val="22"/>
                <w:u w:val="none"/>
              </w:rPr>
              <w:suppressLineNumbers w:val="0"/>
            </w:pPr>
            <w:r>
              <w:rPr>
                <w:rFonts w:hint="eastAsia" w:ascii="宋体" w:hAnsi="宋体" w:eastAsia="宋体" w:cs="宋体"/>
                <w:i w:val="0"/>
                <w:iCs w:val="0"/>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沙具柜</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存放沙具，1700*500*350mm，带遮尘帘，5层。</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台</w:t>
            </w:r>
            <w:r/>
          </w:p>
        </w:tc>
        <w:tc>
          <w:tcPr>
            <w:shd w:val="clear" w:color="auto" w:fill="ffffff"/>
            <w:tcBorders>
              <w:top w:val="single" w:color="auto"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AI心理沙盘解析系统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产品构成：包含心理沙盘AI动态识别分析软件、显示终端、摄像头、沙具、沙子、沙箱及放置架等。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AI心理沙盘解析系统是一款引领心理健康评估领域创新的前沿产品。该系统深度融合了人工智能与大数据分析技术，为心理咨询师、教育工作者及心理健康领域专业人士提供数据报告以及参考数据。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二、报告维度：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报告包含学生基础信息、关注提醒、测试背景、测试内容等。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2.1用户基础信息：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2.1.1用户基础信息：ID、性别、联系方式、紧急联系人等信息。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2.1.2家庭信息：直系/旁系亲属关系、医学诊断等信息、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2.1.3学业信息：入学时间、学业状态、学号等信息。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2.2关注提醒：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2.2.1提醒描述：对心理沙盘解析结果中发现的潜在问题或值得关注的方面进行概括性说明。用于提醒用户及心理咨询师的注意，以便进一步了解并采取相应措施。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2.2.2干预建议：基于提醒描述提出的干预建议具体措施。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2.3测验背景：详细阐述学生选择进行心理沙盘测试的具体原因及其相关的个人背景信息。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2.4测验内容：记录沙盘作品的名称，并描述沙盘中的场景、布局及所蕴含的心理意义。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eastAsia="zh-CN"/>
              </w:rPr>
              <w:suppressLineNumbers w:val="0"/>
            </w:pPr>
            <w:r>
              <w:rPr>
                <w:rFonts w:hint="eastAsia" w:ascii="宋体" w:hAnsi="宋体" w:eastAsia="宋体" w:cs="宋体"/>
                <w:bCs/>
                <w:i w:val="0"/>
                <w:iCs w:val="0"/>
                <w:color w:val="auto"/>
                <w:sz w:val="22"/>
                <w:szCs w:val="22"/>
                <w:u w:val="none"/>
              </w:rPr>
              <w:t xml:space="preserve">2.5维度分析：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2.5.1情绪分析：识别并分析用户在沙盘作品中表现出的情绪状态，如快乐、悲伤、愤怒、恐惧、困扰、混乱、冲突以及不安等情绪状态，且解析用户的沙盘作品中各沙具的情感状态的详细解读。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2.5.2心理能量：通过对用户在沙盘游戏中的行为和创作进行观察，系统评估其心理活力和能量水平。分析用户在面对挑战时展现的韧性、积极性和动力，从而获取其心理能量的直观读数。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2.5.3色彩分析：色彩在沙盘疗法中有着特别的意义，系统将根据用户在沙盘中的色彩选择和组合来解析其心理状态和性格特质。色彩的使用能够揭示个体的情感倾向、性格特征以及对环境的感受和反应。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2.5.4自我发展分析：考察用户的自我认知、自尊和自我效能的水平。系统通过分析用户在沙盘游戏中的表现来评估其自我概念的成熟度和自我价值的感知，以及他们实现目标的能力。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2.5.5心理安全感：系统评估用户在所处环境中感受到的安全和信任程度。分析用户在沙盘中创建的空间布局和场景，以探究他们的内在安全感和对周围环境的信任。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2.5.6整合性：评价用户内在思想的一致性和内心可能的冲突。通过观察用户如何整合不同的沙具和符号来创造一个连贯的沙盘世界，系统分析他们的内心整合性和可能存在的心理冲突。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2.5.7充实性：反映用户的生活满意度和幸福感。通过用户在沙盘中表现出的创造力和参与度，系统评估他们的生活充实感和整体幸福状态。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2.5.8流畅性：观察用户在沙盘游戏中的行为表现，评估其心理状态的连贯性。系统关注用户活动的顺畅程度和过程中的适应性，作为心理流畅性的一个指标。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2.5.9动力性：测定用户的内在驱动力和积极程度。通过分析用户对沙盘活动的投入和反应，系统评估他们的动力源和积极性水平。</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ff0000"/>
                <w:sz w:val="22"/>
                <w:szCs w:val="22"/>
                <w:u w:val="none"/>
              </w:rPr>
              <w:suppressLineNumbers w:val="0"/>
            </w:pPr>
            <w:r>
              <w:rPr>
                <w:rFonts w:hint="eastAsia" w:ascii="宋体" w:hAnsi="宋体" w:eastAsia="宋体" w:cs="宋体"/>
                <w:bCs/>
                <w:i w:val="0"/>
                <w:iCs w:val="0"/>
                <w:color w:val="ff0000"/>
                <w:sz w:val="22"/>
                <w:szCs w:val="22"/>
                <w:u w:val="none"/>
                <w:lang w:val="en-US" w:eastAsia="zh-CN" w:bidi="ar"/>
              </w:rPr>
              <w:t xml:space="preserve">★2.5.10动态识别：通过数字化手段实时记录沙盘游戏过程中实物沙具的选择、摆放、时间间隔以及最终作品等信息，复现沙盘游戏的每一步骤（复盘）。（需提供视频演示此功能）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2.5.11</w:t>
            </w:r>
            <w:r>
              <w:rPr>
                <w:rFonts w:hint="eastAsia" w:ascii="宋体" w:hAnsi="宋体" w:eastAsia="宋体" w:cs="宋体"/>
                <w:bCs/>
                <w:i w:val="0"/>
                <w:iCs w:val="0"/>
                <w:color w:val="auto"/>
                <w:sz w:val="22"/>
                <w:szCs w:val="22"/>
                <w:u w:val="none"/>
              </w:rPr>
              <w:t xml:space="preserve">辅助记录：提供记录和建议功能，记录咨询师的分析评估文字，可追加记录，可在固定时间轨插入点评，辅助咨询师进行工作。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2.5.12</w:t>
            </w:r>
            <w:r>
              <w:rPr>
                <w:rFonts w:hint="eastAsia" w:ascii="宋体" w:hAnsi="宋体" w:eastAsia="宋体" w:cs="宋体"/>
                <w:bCs/>
                <w:i w:val="0"/>
                <w:iCs w:val="0"/>
                <w:color w:val="auto"/>
                <w:sz w:val="22"/>
                <w:szCs w:val="22"/>
                <w:u w:val="none"/>
              </w:rPr>
              <w:t xml:space="preserve">自动生成沙具选择、沙盘布局分析报告，帮助心理咨询师更好地解读沙盘场景，辅助分析个体的情感状态、性格特质、心理冲突等。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2.5.13</w:t>
            </w:r>
            <w:r>
              <w:rPr>
                <w:rFonts w:hint="eastAsia" w:ascii="宋体" w:hAnsi="宋体" w:eastAsia="宋体" w:cs="宋体"/>
                <w:bCs/>
                <w:i w:val="0"/>
                <w:iCs w:val="0"/>
                <w:color w:val="auto"/>
                <w:sz w:val="22"/>
                <w:szCs w:val="22"/>
                <w:u w:val="none"/>
              </w:rPr>
              <w:t xml:space="preserve">建立用户档案，整合用户相关个体沙盘与团体沙盘信息，具有快速查找、批量管理等功能；允许心理咨询师在线察看用户过往作品，以便对比历史变化。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2.5.14</w:t>
            </w:r>
            <w:r>
              <w:rPr>
                <w:rFonts w:hint="eastAsia" w:ascii="宋体" w:hAnsi="宋体" w:eastAsia="宋体" w:cs="宋体"/>
                <w:bCs/>
                <w:i w:val="0"/>
                <w:iCs w:val="0"/>
                <w:color w:val="auto"/>
                <w:sz w:val="22"/>
                <w:szCs w:val="22"/>
                <w:u w:val="none"/>
              </w:rPr>
              <w:t xml:space="preserve">沙具管理：提供沙具分类管理功能，用户可以对沙具进行科学的分类和整理，包括但不限于沙盘的类别、颜色以及意向等相关信息，方便后续的查找和使用。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2.5.15</w:t>
            </w:r>
            <w:r>
              <w:rPr>
                <w:rFonts w:hint="eastAsia" w:ascii="宋体" w:hAnsi="宋体" w:eastAsia="宋体" w:cs="宋体"/>
                <w:bCs/>
                <w:i w:val="0"/>
                <w:iCs w:val="0"/>
                <w:color w:val="auto"/>
                <w:sz w:val="22"/>
                <w:szCs w:val="22"/>
                <w:u w:val="none"/>
              </w:rPr>
              <w:t xml:space="preserve">标准版沙具：1000件，造型接近于现实之物，包括人物、动物、植物、各种车船、飞行物、建筑物、桥、栏杆、石头等，共计12大类54小类。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2.5.16</w:t>
            </w:r>
            <w:r>
              <w:rPr>
                <w:rFonts w:hint="eastAsia" w:ascii="宋体" w:hAnsi="宋体" w:eastAsia="宋体" w:cs="宋体"/>
                <w:bCs/>
                <w:i w:val="0"/>
                <w:iCs w:val="0"/>
                <w:color w:val="auto"/>
                <w:sz w:val="22"/>
                <w:szCs w:val="22"/>
                <w:u w:val="none"/>
              </w:rPr>
              <w:t xml:space="preserve">沙子：不少于12.5公斤，白色石英砂或黄色海沙，颗粒光滑、大小均匀、高温消毒。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2.5.17</w:t>
            </w:r>
            <w:r>
              <w:rPr>
                <w:rFonts w:hint="eastAsia" w:ascii="宋体" w:hAnsi="宋体" w:eastAsia="宋体" w:cs="宋体"/>
                <w:bCs/>
                <w:i w:val="0"/>
                <w:iCs w:val="0"/>
                <w:color w:val="auto"/>
                <w:sz w:val="22"/>
                <w:szCs w:val="22"/>
                <w:u w:val="none"/>
              </w:rPr>
              <w:t xml:space="preserve">沙箱1个，内径尺寸720mm*570mm*70mm，外侧为木本色，内侧为蓝色，具有防水设计；放置架1个。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2.5.18</w:t>
            </w:r>
            <w:r>
              <w:rPr>
                <w:rFonts w:hint="eastAsia" w:ascii="宋体" w:hAnsi="宋体" w:eastAsia="宋体" w:cs="宋体"/>
                <w:bCs/>
                <w:i w:val="0"/>
                <w:iCs w:val="0"/>
                <w:color w:val="auto"/>
                <w:sz w:val="22"/>
                <w:szCs w:val="22"/>
                <w:u w:val="none"/>
              </w:rPr>
              <w:t xml:space="preserve">配套工具：沙刷、沙耙、沙具篮、喷水壶四件套。</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二</w:t>
            </w:r>
            <w:r>
              <w:rPr>
                <w:rFonts w:hint="eastAsia" w:ascii="宋体" w:hAnsi="宋体" w:eastAsia="宋体" w:cs="宋体"/>
                <w:bCs/>
                <w:i w:val="0"/>
                <w:iCs w:val="0"/>
                <w:color w:val="auto"/>
                <w:sz w:val="22"/>
                <w:szCs w:val="22"/>
                <w:u w:val="none"/>
              </w:rPr>
              <w:t xml:space="preserve">、VR训练室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VR虚拟现实心理舱</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利用VR技术与心理健康教育主题融合打造的一款9D带震动高仿真心理蛋椅产品。本产品的使用目的是以多种类型的VR心理资源软件（如：宣泄、解压、疏导、冥想、脱敏、应激训练、生理测评与分析等）为体验者达成实际干预、缓解疏导作用。产品以VR心理干预软件资源为主、使用功能为辅，减少使用者繁杂无用的功能操作，追求为体验者带来本质的内容干预实用性效果。并以不断提升VR干预软件类型与内容质量、高效便捷操作为产品核心进化理念。体验者佩戴VR头盔进入半封闭震动蛋舱中可身临其境起到舒缓压力、漫游放松、宣泄解压、应激训练等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产品含120类VR软件：VR心理沉浸互动旅行、冥想漫游、心理疏导、克服恐高体验、沙尘暴、暴雨、台风、地震、Texas社交行为调查量表、阿森斯失眠量表(AIS)、工作压力自测问卷、焦虑测评量表（SAS）、精神压力自测问卷、人际关系综合诊断量表、同学关系测验问卷、显性焦虑量表（MAS）、性格倾向测试、自我压力测试量表、空袭空难爆炸逃生、排雷、拆弹、美好人生、并附带100款VR科普放松娱乐软件，包含专业的VR心理资源的基础上配备了成体系的《VR大数据可视化平台》工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3.档案建立模块：体验者可在主界面输入用户名可快速、便捷的建立个人心理档案；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4.账号登录模块：用户可在平台中输入用户名登录个人账号（支持模糊查询、拼音查询功能）可进入个人心理训练数据分析页面。并具备多人数据对比功能；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心理训练数据分析模块：通过生物反馈仪与本系统模块得出各项数据，功能包含：用户姓名模块、日期模块、血压血氧、心率、协调度、放松度、压力指数并以条形图的形式呈现出来，同时可将每人的训练数据进行下载保存、刷新数据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6.VR生理数据监测功能：体验者可在VR主界面进行多项内容选择、档案建立、心率、血压、血氧展示等功能；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7.可兼容多轴电动缸硬件套装，俯仰多角度震动给体验者身临其境的9D体验。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8.VR心理舱硬件介绍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8.1高性能可随动虚拟现实VR1套；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8.2支持心理健康软件结合搭配使用；</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bCs/>
                <w:i w:val="0"/>
                <w:iCs w:val="0"/>
                <w:color w:val="auto"/>
                <w:sz w:val="22"/>
                <w:szCs w:val="22"/>
                <w:u w:val="none"/>
              </w:rPr>
              <w:outlineLvl w:val="1"/>
            </w:pPr>
            <w:r>
              <w:rPr>
                <w:rFonts w:hint="eastAsia" w:ascii="宋体" w:hAnsi="宋体" w:eastAsia="宋体" w:cs="宋体"/>
                <w:bCs/>
                <w:i w:val="0"/>
                <w:iCs w:val="0"/>
                <w:color w:val="auto"/>
                <w:sz w:val="22"/>
                <w:szCs w:val="22"/>
                <w:u w:val="none"/>
              </w:rPr>
              <w:t xml:space="preserve">8.3高仿真随动固件源：</w:t>
            </w:r>
            <w:r>
              <w:rPr>
                <w:rFonts w:hint="eastAsia" w:ascii="宋体" w:hAnsi="宋体" w:eastAsia="宋体" w:cs="宋体"/>
                <w:color w:val="000000"/>
                <w:sz w:val="24"/>
                <w:szCs w:val="24"/>
                <w:lang w:val="en-US" w:eastAsia="zh-CN" w:bidi="ar-SA"/>
              </w:rPr>
              <w:t xml:space="preserve">高仿真随动固件源：电压：AC220V、功率：≤1500W</w:t>
            </w:r>
            <w:r>
              <w:rPr>
                <w:rFonts w:hint="eastAsia" w:ascii="宋体" w:hAnsi="宋体" w:eastAsia="宋体" w:cs="宋体"/>
                <w:bCs/>
                <w:i w:val="0"/>
                <w:iCs w:val="0"/>
                <w:color w:val="auto"/>
                <w:sz w:val="22"/>
                <w:szCs w:val="22"/>
                <w:u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8.4载人舱：符合基本人体工学座椅舱，支持体验者身临其境体验；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8.5工作站：CPU性能要求不低于四核心八线程处理器，主频≥2.4GHZ，显卡≥4GB GDDR5，隐藏式主机；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8.6虚拟现实随动硬件系统：反馈控制系统1套；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8.7中控软硬件：可建立VR软硬件相关控制体系，达成统一管理等作用；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8.8其它配套：音响1套、鼠标键盘1套、光学灯带1套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8.9外形尺寸：不小于L1000mm*W1000mm*H1800mm、占地约1平米。</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8.10同时可佩戴VR心理手表检测：心率、血压、血氧等相关数据，数据可自动备份记录用于心理研究。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9.VR心理内容：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9.1天空场景：身处天空中可撞碎云朵，每一个云朵都代表着生活中的生活压力、经济压力、情感压力、学业压力，撞碎云朵后会有文字语音的提示，从而实现解压效果；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9.2森林场景：身处森林场景中配有铁轨、小动物等模型，在不同环节中体验者可向小动物寻求帮助（小鹿、小兔子、小熊、小猫）通过小动物的帮助解决相关心理问题，达到脱敏解压的效果；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9.3海边场景：身处海边场景中，到海边捡贝壳、漂流瓶、垃圾等互动功能回答相关问题，并解决心理焦虑问题。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9.4冥想漫游：</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冥想漫游VR软件可使用户身临其境的在宇宙、星云、粒子中进行深度漫游冥想，全程带有放松音乐。冥想可以有效的提升专注力、记忆力、工作效率和创造力。冥想也可助于抵御老化带来的脑体积损失。冥想被视为一种脑体操,能够键脑、延缓其衰老。VR深度冥想漫游更是能为冥想活动提供一种高科技新放松。</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9.5心理疏导：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疏导VR软件由正念、解压、放松、疏导、四个心理模块组成，用户可选择所需的疏导模块，沉浸式进行心理疏导解压体验，全程带有专业的心理舒缓音乐与语音疏导师。VR心理疏导内容通过沉浸式身临其境体验的高科技方式对个人的情绪、心理等问题进行疏泄和引导。VR心理健康不但可快速起到舒缓解压的作用，还为心理健康治疗体验方式提供了一项全新的趣味选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9.6VR克服恐高体验：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通过VR虚拟现实技术打造VR城市高楼高空体验场景。体验者身临其境在城市高楼顶端，通过一系列高空体验动作任务，从而达到从适应高空到克服恐高的心理转变。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9.7VR心理应激训练：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多种VR自然灾难场景打造VR虚拟应激训练软件。体验者通过沙尘暴、暴雨、台风、地震等灾难场景的虚拟体验提升应激反应能力，场景中包含多种高仿真灾难动画提升真实感，当灾难真实来临时，可让体验者具备成熟的应对心态与正确逃生动作应对各类自然灾害与应激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9.8心理测评量表模块：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Texas社交行为调查量表、阿森斯失眠量表(AIS)、工作压力自测问卷、焦虑测评量表（SAS）、精神压力自测问卷、人际关系综合诊断量表、同学关系测验问卷、显性焦虑量表（MAS）、性格倾向测试、自我压力测试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9.9军事应激训练：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包含三维动画空袭空难爆炸逃生场景、三维动画排雷侦察场景、三维动画拆弹防恐场景；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9.10美好人生：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体验者可亲身经历他人对美好人生的精彩瞬间、生活体验，而后领悟什么样的生活才可能叫做“美好人生”，激发体验者对于美好生活的向往。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9.11 100款VR训练资源，投标时需提供详细清单。</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三</w:t>
            </w:r>
            <w:r>
              <w:rPr>
                <w:rFonts w:hint="eastAsia" w:ascii="宋体" w:hAnsi="宋体" w:eastAsia="宋体" w:cs="宋体"/>
                <w:bCs/>
                <w:i w:val="0"/>
                <w:iCs w:val="0"/>
                <w:color w:val="auto"/>
                <w:sz w:val="22"/>
                <w:szCs w:val="22"/>
                <w:u w:val="none"/>
              </w:rPr>
              <w:t xml:space="preserve">、音乐放松室</w:t>
            </w:r>
            <w:r/>
          </w:p>
        </w:tc>
      </w:tr>
      <w:tr>
        <w:trPr>
          <w:trHeight w:val="584"/>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身心反馈放松训练系统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1.要求系统须具有脑电生物反馈监测功能，由脑机额带和磁吸可拆卸的脑电监测仪组成，自带蓝牙无需蓝牙适配器。要求可</w:t>
            </w:r>
            <w:r>
              <w:rPr>
                <w:rFonts w:hint="eastAsia" w:ascii="宋体" w:hAnsi="宋体" w:eastAsia="宋体" w:cs="宋体"/>
                <w:bCs/>
                <w:i w:val="0"/>
                <w:iCs w:val="0"/>
                <w:color w:val="auto"/>
                <w:sz w:val="22"/>
                <w:szCs w:val="22"/>
                <w:u w:val="none"/>
              </w:rPr>
              <w:t xml:space="preserve">实时采集训练者的8个脑电波：delta波、theta波、low alpha波、high alpha波、low beta波、high beta波、low gamma波、high gamma波，以柱状图形式显示，5个心理指标：专注度、放松度、疲劳度、压力指数和脑龄等生物反馈参数，须提供以柱状图和折线图两种形式显示，专注度/放松度/疲劳度/压力指数0-100取值，脑龄-5~5取值，常模可分5个等级。要求监测界面中具有反馈参数的详细介绍信息，且数据实时刷新显示。监测结束后，可生成详细的监测报告，支持导出为文档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2.要求系统具有心理评估功能，提供如焦虑自评量表SAS、SCL-90，抑郁自评量表SDS等不少于10款心理测评量表，测评过程中监测训练者生物反馈指标，测评结束后出具详细的测评报告。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要求系统须具有如呼吸放松训练、肌肉放松训练、冥想放松训练等减压放松训练项目，要求提供呼吸助手，可自定义呼吸助手的呼吸时间节律。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要求系统须具有系统内置放松减压、专注力冥想、情绪管理、催眠放松、自我成长等5个主题，25个真人语音引导的冥想训练内容。冥想训练中可实时监测8个脑电生理指标和5个心理指标，每秒更新2次，以柱状图和数值形式显示。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系统须包含至少8个类型的放松音乐，可通过音乐播放列表自由进行音乐放松训练。要求具有音乐管理模式，可自定义添加音乐分类、音乐文件。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6.系统须具有设置功能：可设置静息监测时长，可选范围00:01~59:59。</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7.要求系统具有档案分为四类，静息监测、心理评估、冥想训练和音乐训练。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静息监测报告内容包含：测试时间、测试时长、个人基本信息、脑机监测分析（8波段以直方图/饼图/折线图三种形式显示），专注度/放松度/疲劳度/压力指数/脑龄分析（平均</w:t>
            </w:r>
            <w:r>
              <w:rPr>
                <w:rFonts w:hint="eastAsia" w:ascii="宋体" w:hAnsi="宋体" w:eastAsia="宋体" w:cs="宋体"/>
                <w:bCs/>
                <w:i w:val="0"/>
                <w:iCs w:val="0"/>
                <w:color w:val="auto"/>
                <w:sz w:val="22"/>
                <w:szCs w:val="22"/>
                <w:u w:val="none"/>
              </w:rPr>
              <w:t xml:space="preserve">值/最大值/最小值/标准差/差异系数/结果分析/指导意见，以饼图和折线图两种形式展示），报告支持导出PDF文件。心理评估报告包含：测试时间、测试时长、个人基本信息、心理测评分析（总分/所属类别/分析说明/指导建议/因子得分折线图）、脑机监测分析（8波段以直方图/饼图/折线图三种形式显示），专注度/放松度/疲劳度/压力指数/脑龄分析（平均值/最大值/最小值/标准差/差异系数/结果分析/指导意见，以饼图和折线图两种形式展示），13个指标折线图的横坐标均为题目，报告支持导出PDF文件。冥想训练报告包含：训练时间、</w:t>
            </w:r>
            <w:r>
              <w:rPr>
                <w:rFonts w:hint="eastAsia" w:ascii="宋体" w:hAnsi="宋体" w:eastAsia="宋体" w:cs="宋体"/>
                <w:bCs/>
                <w:i w:val="0"/>
                <w:iCs w:val="0"/>
                <w:color w:val="auto"/>
                <w:sz w:val="22"/>
                <w:szCs w:val="22"/>
                <w:u w:val="none"/>
              </w:rPr>
              <w:t xml:space="preserve">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音乐训练报告包含：训练时间、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8.系统须具备如大海、草原、森林、山峰、星空、雪景、沙漠等至少14个放松主题。训练过程中实时监控训练者各项生理指标，训练结束后出具详细的训练报告。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要求系统须具有心理训练报告数据管理功能，支持多用户档案管理，采用分级权限保护，具有管理员和训练者角色权限，管理员可查看所有训练者生物反馈指标、训练记录数据、训练成绩等，支持导出训练记录结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系统具有智能物联功能，当用户具备心理云平台时，可通过智能物联技术与硬件设备进行互联互通，实现云端身份验证、云端数据保存、云端数据管理等功能，平台可实时监测设备的运行状态，终端可将训练报告推送至云平台，打破平台与设备间数据孤立的状态，实现数据互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11.要求系统须具备智能椅控功能，支持智能匹配与手动匹配双模式，可自主选择坐姿、头罩状态、光疗、热敷、训练模式等，要求具备安全设置可在突发情况下紧急制动，保障用户的训练安全。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12.要求系统须具备智能匹配按摩模式，可根据不同的训练内容自动匹配最合适的按摩训练状态，包括按摩模式和强度级别，能够帮助用户更有针对性地调节身心压力，舒缓身体紧张。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要求系统须具备手动匹配按摩模式，可自主选择悬浮位、固定位、坐姿位3个姿态，支持智能按摩、自由按摩、气压按摩3种模式，可自由打开/关闭头罩，开启光疗、热敷功能，帮助用户缓解腰背酸疼、缓解紧张、焦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二、产品组成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1.要求包含AI智能脑机监测与训练系统1套（预置安装）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供货时须包含产品使用手册，产品合格证等产品标识作为验收标准。</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bookmarkStart w:id="178" w:name="_GoBack"/>
            <w:r>
              <w:rPr>
                <w:rFonts w:hint="eastAsia" w:ascii="宋体" w:hAnsi="宋体" w:eastAsia="宋体" w:cs="宋体"/>
                <w:bCs/>
                <w:i w:val="0"/>
                <w:iCs w:val="0"/>
                <w:color w:val="auto"/>
                <w:sz w:val="22"/>
                <w:szCs w:val="22"/>
                <w:u w:val="none"/>
              </w:rPr>
              <w:t xml:space="preserve">音波床</w:t>
            </w:r>
            <w:bookmarkEnd w:id="178"/>
            <w:r>
              <w:rPr>
                <w:rFonts w:hint="eastAsia" w:ascii="宋体" w:hAnsi="宋体" w:eastAsia="宋体" w:cs="宋体"/>
                <w:bCs/>
                <w:i w:val="0"/>
                <w:iCs w:val="0"/>
                <w:color w:val="auto"/>
                <w:sz w:val="22"/>
                <w:szCs w:val="22"/>
                <w:u w:val="none"/>
              </w:rPr>
              <w:t xml:space="preserve">设备</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bookmarkStart w:id="163" w:name="智能体感音乐催眠床"/>
            <w:r>
              <w:rPr>
                <w:rFonts w:hint="eastAsia" w:ascii="宋体" w:hAnsi="宋体" w:eastAsia="宋体" w:cs="宋体"/>
                <w:bCs/>
                <w:i w:val="0"/>
                <w:iCs w:val="0"/>
                <w:color w:val="auto"/>
                <w:sz w:val="22"/>
                <w:szCs w:val="22"/>
                <w:u w:val="none"/>
              </w:rPr>
              <w:t xml:space="preserve">采用体感音波顶级音频谐振系统，与人体的器官，组织，细胞等产生广泛的“同频谐振”，使细胞有序的振动增加活性，同时音乐低频律动会诱导大脑产生相应频率的脑波，召唤α波（疲劳和昏睡的状态下产生的波段）为主导，从而摆脱失眠并进入睡眠。</w:t>
            </w:r>
            <w:bookmarkEnd w:id="163"/>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产品组成：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1、体感音乐催眠床1台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2、不小于12.3寸平板电脑1台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3、平板支架1套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4、体感控制器1个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5、催眠眼罩2个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6、音乐治疗导论1本</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7、安装工具1套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硬件详情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1、产品尺寸约为：146cm*94cm*108cm（收起）±3cm；205cm*94cm*62cm（展开）±3cm；产品重量：60KG±2KG，工作电压：12V5A；</w:t>
            </w:r>
            <w:r/>
          </w:p>
          <w:p>
            <w:pPr>
              <w:ind w:right="0" w:firstLine="440"/>
              <w:keepLines w:val="0"/>
              <w:keepNext w:val="0"/>
              <w:pageBreakBefore w:val="0"/>
              <w:spacing w:beforeAutospacing="0" w:afterAutospacing="0" w:line="360" w:lineRule="auto"/>
              <w:widowControl/>
              <w:rPr>
                <w:rFonts w:hint="eastAsia" w:ascii="宋体" w:hAnsi="宋体" w:eastAsia="宋体" w:cs="宋体"/>
                <w:bCs/>
                <w:i w:val="0"/>
                <w:iCs w:val="0"/>
                <w:color w:val="auto"/>
                <w:sz w:val="22"/>
                <w:szCs w:val="22"/>
                <w:u w:val="none"/>
              </w:rPr>
            </w:pPr>
            <w:r>
              <w:rPr>
                <w:rFonts w:hint="eastAsia" w:ascii="宋体" w:hAnsi="宋体" w:eastAsia="宋体" w:cs="宋体"/>
                <w:bCs/>
                <w:i w:val="0"/>
                <w:iCs w:val="0"/>
                <w:color w:val="auto"/>
                <w:sz w:val="22"/>
                <w:szCs w:val="22"/>
                <w:u w:val="none"/>
              </w:rPr>
              <w:t xml:space="preserve">2、设备材质组成：高规格加粗木方做骨架，加密弓字簧+进口牛皮筋+中软海棉+无纺布+坐架布，坐垫使用高密度海绵，</w:t>
            </w:r>
            <w:r>
              <w:rPr>
                <w:rFonts w:hint="eastAsia" w:ascii="宋体" w:hAnsi="宋体" w:eastAsia="宋体" w:cs="宋体"/>
                <w:color w:val="000000"/>
                <w:sz w:val="24"/>
                <w:szCs w:val="24"/>
                <w:highlight w:val="none"/>
                <w:lang w:val="en-US" w:eastAsia="zh-CN"/>
              </w:rPr>
              <w:t xml:space="preserve">靠背、扶手内胆填充3A公仔棉，含羽绒棉填充抱枕一个；</w:t>
            </w:r>
            <w:r>
              <w:rPr>
                <w:rFonts w:hint="eastAsia" w:ascii="宋体" w:hAnsi="宋体" w:eastAsia="宋体" w:cs="宋体"/>
                <w:bCs/>
                <w:i w:val="0"/>
                <w:iCs w:val="0"/>
                <w:color w:val="auto"/>
                <w:sz w:val="22"/>
                <w:szCs w:val="22"/>
                <w:u w:val="none"/>
              </w:rPr>
              <w:t xml:space="preserve">含羽绒棉填充抱枕一个，沙发表皮材质：超纤皮，颜色为：米黄，最高承重：100KG,最高承重：100KG；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3、电动控制系统：靠背可进行最大180度任意调节;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4、高清传输控制模式；播放控制：系统开机 ，音量、振动大小调节，上下曲切换，播放暂停，静音，振停，定时，蓝牙模式切换等；喇叭2个：规格：4欧3瓦；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集成一键电源开启，接收控制器输入信号，音频输出至喇叭，并提取音频中的15-150赫兹低频经放大输出至换能器。播放模式(MAP3格式)：SD卡、蓝牙、USB、3.5MM音频输入；3.5MM音频输出至耳机，内置扶手右侧，两个USB充电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6、换能器 6个：规格：8欧15瓦；靠背2个，坐垫4个；Mini SD卡1张，256M存储音乐文件（内置主机）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7、系统采用12.3寸平板系统1套（含平板支架）：约9.76m</w:t>
            </w:r>
            <w:r>
              <w:rPr>
                <w:rFonts w:hint="eastAsia" w:ascii="宋体" w:hAnsi="宋体" w:eastAsia="宋体" w:cs="宋体"/>
                <w:bCs/>
                <w:i w:val="0"/>
                <w:iCs w:val="0"/>
                <w:color w:val="auto"/>
                <w:sz w:val="22"/>
                <w:szCs w:val="22"/>
                <w:u w:val="none"/>
              </w:rPr>
              <w:t xml:space="preserve">m轻薄金属机身，约860g重量，内存容量8GB，储存容量256GB，12.3寸平板电脑，10点触控，1920*1280高清屏，防眩光。平板系统内置4大类型高清心理视频，视频全程配有文字字幕，方便来访者及心理咨询师观看，（含催眠放松训练真人视频，时长不低于16分钟。肌肉放松训练真人视频，时长不低于11分钟，渐进式催眠训练真人视频，时长不低于16分钟。冥想放松训练真人视频，时长不低于6分钟。）含专业心理催眠图片（错觉图，不可能图形等），α脑波音乐，冥想音乐，中国五行音乐，催眠减压音乐，大自然背景音乐等音乐资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8、配备音乐治疗导论书籍1本：中国心理学会推荐用书（涵盖音乐治疗的历史，音乐治疗的定义及基本原理，音乐治疗的形式等。）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9、催眠眼罩2个 23*7CM±2CM,黑色，透风棉质，带耳机通风口，带松紧调节扣.</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4"/>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四、办公室</w:t>
            </w:r>
            <w:r/>
          </w:p>
        </w:tc>
      </w:tr>
      <w:tr>
        <w:trPr>
          <w:trHeight w:val="484"/>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心理自助服务系统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心理自助服务系统，软件系统镶嵌在硬件中，以软件为主。包含硬件和软件：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一、硬件系统：触控一体机1台；控制主机1台。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1.显示端≥55英寸；分辨率：1920*1080；</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2.表面处理：钢制机壳，金属烤漆；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3.工作温度： -20℃～50℃；湿度：10%～80%；</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4.工作寿命：3000万次以上（单点击）；重量：40KG～50KG；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5.电压：AC220V(+/-10%) 50Hz(+/-10%)；最大功耗：220W；</w:t>
            </w:r>
            <w:r/>
          </w:p>
          <w:p>
            <w:pPr>
              <w:pStyle w:val="706"/>
              <w:numPr>
                <w:ilvl w:val="0"/>
                <w:numId w:val="0"/>
              </w:numPr>
              <w:keepLines w:val="0"/>
              <w:keepNext w:val="0"/>
              <w:pageBreakBefore w:val="0"/>
              <w:spacing w:before="0" w:beforeAutospacing="0" w:after="0" w:afterAutospacing="0" w:line="360" w:lineRule="auto"/>
              <w:widowControl/>
              <w:rPr>
                <w:rFonts w:hint="eastAsia" w:ascii="宋体" w:hAnsi="宋体" w:eastAsia="宋体" w:cs="宋体"/>
                <w:bCs/>
                <w:i w:val="0"/>
                <w:iCs w:val="0"/>
                <w:color w:val="auto"/>
                <w:sz w:val="24"/>
                <w:szCs w:val="24"/>
                <w:u w:val="none"/>
                <w:lang w:val="en-US" w:eastAsia="zh-CN"/>
              </w:rPr>
              <w:pBdr>
                <w:left w:val="none" w:color="auto" w:sz="0" w:space="0"/>
              </w:pBdr>
              <w:suppressLineNumbers w:val="0"/>
            </w:pPr>
            <w:r>
              <w:rPr>
                <w:rFonts w:hint="eastAsia" w:ascii="宋体" w:hAnsi="宋体" w:eastAsia="宋体" w:cs="宋体"/>
                <w:bCs/>
                <w:i w:val="0"/>
                <w:iCs w:val="0"/>
                <w:color w:val="auto"/>
                <w:sz w:val="22"/>
                <w:szCs w:val="22"/>
                <w:u w:val="none"/>
              </w:rPr>
              <w:t xml:space="preserve">6.音响：</w:t>
            </w:r>
            <w:r>
              <w:rPr>
                <w:rFonts w:hint="eastAsia" w:ascii="宋体" w:hAnsi="宋体" w:eastAsia="宋体" w:cs="宋体"/>
                <w:bCs/>
                <w:i w:val="0"/>
                <w:iCs w:val="0"/>
                <w:color w:val="auto"/>
                <w:sz w:val="24"/>
                <w:szCs w:val="24"/>
                <w:u w:val="none"/>
                <w:lang w:val="en-US" w:eastAsia="zh-CN"/>
              </w:rPr>
              <w:t xml:space="preserve">防磁立体声音响系统.软件系统：支持远程管理。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多媒体：集音频、视频、图像管理于一体。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7.要求功率: 65W以上。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8.要求CPU：性能要求不低于四核心八线程处理器，主频≥2.4GHZ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9.显卡：显存≥4GB GDDR5</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10.要求内存：≥2*DDR4 16GB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11.系统硬盘：≥SSD 256G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12.素材硬盘：≥SATA 1T</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检测与解压调节系统设计来源于东方美学，界面设计融合了东方美学的精髓呈现出独特的视觉艺术，用户在使用过程中能够体验到国风艺术与数字技术的完美结合。基于“教育为本、预防为主”的教育理念，集心理科普、能力训练、心理健康活动宣传、减压调节的一体化平台。该系统可以推进心理健康知识的普及，帮助用户提高维护心理健康的意识和责任感，掌握简单的自我心理调节手段和方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心理自助检测与解压调节系统整体包含十三大功能模块，各模块下支持管理员无限添加二级栏目，文章无限扩充，支持视频，文章、图片、音频等格式上传。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系统支持管理员新增、修改、删除和导出用户信息，支持通过角色名称、权限字符、状态、创建时间进行快速检索。支持管理员模块菜单栏管理，菜单名称包含设备管理、用户管理、初始内容、设备内容、系统管理、系统监控及系统工具等模块新增、修改、删除权限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心理自助检测与解压调节系统十三个功能模块包含：心理测评；心理学库；心理解惑；自助方案；冥想空间；咨询留言；心语心声；咨询中心；心理能力训练；学生讲堂；家长讲堂；教师讲堂；自助热线。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心理测评：采用先进的算法和心理学原理，为用户提供全面的心理状态评估，帮助用户了解自己的心理健康状况。测评量表包含心理健康、人际交往、个性人格、家庭情感、学习能力、自我成长等内容不少于150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2.心理学库：汇集丰富的心理学理论、案例研究和最新研究成果，为专业人士和普通用户提供深度学习资源。模块内容包含心理专家、心理词汇、心理效应、心理实验、心理科普、心理图库等内容不少于170余项。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心理解惑：通过智能分析用户的问题，提供专业的心理学解答和建议，帮助用户解决心理困惑。模块内容包含直面学习、环境适应、同伴交往、亲子关系、情绪管理、青春情感、自我认识、升学规划、心理咨询等模块，资源内容不少于110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4.自助方案：根据用户的心理测评结果，提供个性化的自助改善方案，包括行为建议和心理练习。模块内容包含人际关系、习惯培养、学习管理、情绪管理、接纳自我、重塑自我等，资源内容不少于40余项。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5.冥想空间：提供多种冥想引导音频和视觉辅助，帮助用户放松身心，提升自我意识。模块内容包含放松减压、提升专注、情绪管理、催眠减压、自我成长、白噪声等，资源内容不少于30余项。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6.咨询留言：用户可以在此板块留下自己的心理疑问或分享心得，与其他用户或专家进行互动交流，模块内容包含心理预约、心理留言、社会咨询师等。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7.心语心声：提供一个安全的环境，让用户自由表达自己的情感和想法，同时得到他人的倾听和支持。模块内容包含情绪释放、能力提升、心理电台、养心怡神、自然环境、振奋激励等，资源内容不少于68余项。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8.咨询中心：由资深心理咨询师提供一对一咨询服务，帮助用户解决深层次的心理问题，根据学校心理健康中心建设情况定制中心案例及中心新闻。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心理能力训练：通过一系列科学的训练方法，提升用户的情绪管理、压力应对等心理能力。模块内容包含记忆空间、专注提升、反应强化、逻辑思维等，训练项目包含彩球闯迷宫、六角拼拼乐、排序大师、数字绘画、跳跃篮球、数字降落、数独、拼图滚球等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10.学生讲堂：专为青少年设计，提供心理健康知识讲座和互动活动，促进青少年的心理健康成长。模块内容包含青春不迷茫、网络防沉迷、校园防欺凌等，资源内容不少于15余项。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11.家长讲堂：为家长提供如何理解和支持孩子心理健康的指导和建议，加强家庭的心理支持系统。模块内容包含父母的主体责任、依法带好娃、青春期亲子教育、习惯养成方法等，资源内容不少于50余项。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12.教师讲堂：帮助教师了解学生心理发展特点，提供有效的心理教育策略和应对方法。模块内容包含家庭教育政策解读、家校共育方法指导、家校共育专题研究、教师心理健康等，资源内容不少于50余项。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13.自助热线：提供24小时紧急心理支持服务，为处于心理危机中的用户提供即时帮助和支持，热线内容包含全国心理危机干预热线名单及所在区域心理援助热线。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14.心理自助系统的后台管理主要是对展示所显示资料进行编辑的功能。运行于局域网或互联网，支持远程管理，支持一键关机。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15.多媒体：集音频、视频、图像管理于一体，对教学影像、心理影片、减压音乐、心理文章和图片提供完美支持。</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AI心理机器人</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操作系统：支持电脑端操作系统，基于通用框架构建；采用容器化技术实现运行环境隔离，满足采购文件中操作系统相关要求。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处理器：性能要求不低于八核64位，8nm 先进工艺，主频≥2.4GHz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内存：运行内存不小于16G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存储：不小于64G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尺寸：不小于39cm(L)*38cm(W)*103cm(H)</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导航速度：0~1.2m/s 自主变速，默认为0.6～0.8m/s（常规安全速度）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转向参数：原地差速转向，底盘轮廓旋转半径：29cm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爬坡：不大于5°</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激光雷达：最远测距：40m；测距精度：Max ±3cm；扫描范围（水平）：360°，角度分辨率0.4°；扫描频率：10Hz；激光雷达波长：905nm；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网络：尺寸2.4GHZ+5GHz 双频 Wi-Fi</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交互方式：支持语音控制、屏幕控制、感应控制；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高清摄像头：800W高清Camera</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触控屏：不小于13.3英寸触摸屏（分辨率1920*1080）</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支持语音交互功能：支持自定义唤醒词、昵称，多种播报音色；支持自定义问答，支持自动泛化问答，支持设置相似问题和多种回答；支持语音、屏幕触控两种方式实现语音交互；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电池：24V 18Ah，动力锂电池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充电桩功率：300W，对机器人充电最大电流：5A</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扬声器：2 x 20W 立体声高保真音响模块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麦克风：环形耳麦，Bottom收音型麦克风，该模块结合语音算法可以实现：远场拾音、声源定位、语音唤醒、语音增强、回声消除、语音打断等；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软件功能参数：</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▲1.AI心理测评：利用先进的机器学习算法进行心理状态评估。支持多种心理测评工具和量表。提供至少 38 种简单易懂的心理测试，包括情绪评估（如焦虑、家庭环境测试）、性格测试。所有测试题目需支持屏幕文字和语音播报方式出题，用户可以语音回答。（提供截图等相关证明材料）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2.答疑解惑：提供基于AI的实时问答服务。支持自然语言处理和理解。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3.冥想内观：引导用户进行冥想和放松练习。支持个性化冥想计划。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4.心语知心：通过语音交互提供情感支持。支持情感识别和响应。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▲5.心理科普：提供心理健康和心理学知识。支持多媒体内容展示。（提供截图等相关证明材料）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6.自助调节：提供自我调节技巧和工具。支持个性化调解计划。</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7.心理咨询：提供在线心理咨询服务。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8.心理讲堂：提供心理健康教育课程。</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ff0000"/>
                <w:sz w:val="21"/>
                <w:szCs w:val="21"/>
                <w:highlight w:val="none"/>
                <w:lang w:val="en-US" w:eastAsia="zh-CN"/>
              </w:rPr>
              <w:suppressLineNumbers w:val="0"/>
            </w:pPr>
            <w:r>
              <w:rPr>
                <w:rFonts w:hint="eastAsia" w:ascii="宋体" w:hAnsi="宋体" w:eastAsia="宋体" w:cs="宋体"/>
                <w:color w:val="ff0000"/>
                <w:sz w:val="21"/>
                <w:szCs w:val="21"/>
                <w:highlight w:val="none"/>
                <w:lang w:val="en-US" w:eastAsia="zh-CN"/>
              </w:rPr>
              <w:t xml:space="preserve">★9.多模态行为分析技术：通过多模态传感器（摄像头）实时捕捉用户行为和微表情数据，结合面部特征等多种行为数据进行情感和心理状态的分析。利用 AI 算法对收集到的数据进行处理和分析，识别用户的行为模式。必要时能对异常行为自动预警，提醒关注心理健康情况。（需提供视频演示此功能）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10.设备支持在线心理咨询，支持两种咨询方式，一种是通过语音与心理虚拟AI 机器人进行交流，另一种是通过语音远程与真人心理专家进行实时交流。支持用户查看电子心理档案，心理档案包含但不限于：用户信息、量表简介、数据有效性、心理健康结果、维度画像、维度分析、基于 AI 态度的心理健康问题分析。</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五、生涯指导室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职业生涯规划认知机</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一、设备参数：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1.支持外置USB设备连接,支持HDMI输出，支持红外触控技术，触摸点数≥10点，内置专业定制软件；内置无线wifi模块，支持无线连接。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2.CPU：性能要求不低于四核心八线程处理器，主频≥2.4GHZ，运行内存：≧16GB，硬盘容量：≧256GB固态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3.屏幕参数：屏幕尺寸：≥55英寸，分辨率：≥1920(H)×1080(V) ，刷新率≥60Hz，支持1080P 的视频图片；显示屏类型：LED液晶可触控显示屏；亮度≥350cd/m²，对比度≥5000:1，响应时间≤8ms。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4.要求提供生涯专项测评：至少包含职业兴趣、工作价值观、多元能力、人格、通用职业能力及领导力六套量表，测评完成能够在线生成并查看专业的解读报告。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4.1支持学生登录个人账号进行施测，测评报告存储并与生涯信息系统数据同步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4.2支持游客模式测评，测评完成支持一键发送至手机查看相关信息。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4.3不限次测评、不限次生成测评报告，系统存储报告为最新数据。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5.要求提供生涯课程资源，至少包含生涯唤醒与时间观、生涯测评工具简介、面向未来的生涯职业、兴趣量表有什么用、生涯就是说故事、兴趣双码 36 招等生涯相关视频内容。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6.软件需持续不定期更新迭代；</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职业生涯探索机构</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一、设备参数：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1.支持外置USB设备连接,支持HDMI输出，支持红外触控技术，触摸点数≥10点，内置专业定制软件；内置无线wifi模块，支持无线连接。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2.CPU：性能要求不低于四核心八线程处理器，主频≥2.4GHZ，运行内存：≧16GB，硬盘容量：≧256GB固态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3.屏幕参数：屏幕尺寸：≥55英寸，分辨率：≥1920(H)×1080(V) ，刷新率≥60Hz，支持1080P 的视频图片；显示屏类型：LED液晶可触控显示屏；亮度≥350cd/m²，对比度≥5000:1，响应时间≤8ms。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需符合《中华人民共和国职业分类大典》，展示职业的工作内容、职业技能、具备知识、职业活动、推荐专业、职业说明、从业、职业能力、职业素养、发展路径等内容。支持分类检索查询和精准查询，并能够根据官方数据同步更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2.针对重点和热门职业提供原创视频解说，包含职业的工作内容、职业能力、发展路径、薪酬范围以及未来前景等。</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就业指导综合服务机构</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一、设备参数：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1.支持外置USB设备连接,支持HDMI输出，支持红外触控技术，触摸点数≥10点，计算机操作系统系统，内置专业定制软件；内置无线wifi模块，支持无线连接。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2.CPU：性能要求不低于四核心八线程处理器，主频≥2.4GHZ，运行内存：≧16GB，硬盘容量：≧256GB固态。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3.屏幕参数：屏幕尺寸：≥55英寸，分辨率：≥1920(H)×1080(V) ，刷新率≥60Hz，支持1080P 的视频图片；显示屏类型：LED液晶可触控显示屏；亮度≥350cd/m²，对比度≥5000:1，响应时间≤8ms。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二、软件功能：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需支持提供从职业的诸多能力进行分析的专项测评，帮助学生充分了解各个职业的要求以及自身能力的匹配度。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1.提供专业、职业、就业及理想教育视频资源。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提供不少于180个职业微视频，通过观看职业微视频，让学生短时间全面了解这些职业的工作内容、工作场景、工作特点、职业前景、职业技能，以及从事该职业所需要的专业、学历等入职条件。增强学生对感兴趣职业的初步认识，帮助学生认识身边的行业与职业，把学科学习中的行业职业专业相关知识和未来发展联系起来，为后续学生的职业决策做准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专业百科：提供不少于200个专业微视频，通过观看专业微视频，让学生短时间全面了解这些专业的专业介绍、培养目标、开设课程、需要具备的能力、未来的就业方向、推荐的相关职业、未来的就业前景、近10年的平均薪资、主要的职业分布、主要的行业分布、主要的就业地区分布以及开设该专业的相关院校，可实现专业库与职业库、院校库的互通。增强学生对感兴趣专业的初步认识，帮助学生认识身边的职业与专业，把学科学习中的学科相关知识和未来可能就读的专业联系起来，为后续学生的专业决策做准备。要求专业微视频自主研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1.3提供就业指导课程，至少包含就业形势、职业生涯规划、求职准备、权益保护、职业素养、创新创业等就业相关视频内容。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要求提供围绕国家十四五规划建议中涉及到的战略性新兴产业作为大学生理想引领课程，至少提供人工智能、量子信息技术、集成电路、生命健康、生物育种、空天科技、脑科学、航空航天、互联网等不同领域内容的介绍视频，包含每个产业涉及的工作内容及未来趋势。</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认知能力评估训练系统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对学生的注意力、记忆力、思维力、反应时、感知觉、观察力等六大认知能力进行评估与训练的仪器。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三、液晶按键参数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ff0000"/>
                <w:sz w:val="22"/>
                <w:szCs w:val="22"/>
                <w:u w:val="none"/>
              </w:rPr>
              <w:suppressLineNumbers w:val="0"/>
            </w:pPr>
            <w:r>
              <w:rPr>
                <w:rFonts w:hint="eastAsia" w:ascii="宋体" w:hAnsi="宋体" w:cs="宋体"/>
                <w:color w:val="ff0000"/>
                <w:sz w:val="24"/>
                <w:lang w:val="en-US" w:eastAsia="zh-CN"/>
              </w:rPr>
              <w:t xml:space="preserve">★</w:t>
            </w:r>
            <w:r>
              <w:rPr>
                <w:rFonts w:hint="eastAsia" w:ascii="宋体" w:hAnsi="宋体" w:eastAsia="宋体" w:cs="宋体"/>
                <w:bCs/>
                <w:i w:val="0"/>
                <w:iCs w:val="0"/>
                <w:color w:val="ff0000"/>
                <w:sz w:val="22"/>
                <w:szCs w:val="22"/>
                <w:u w:val="none"/>
              </w:rPr>
              <w:t xml:space="preserve">该按键带液晶显示，可根据不同应用显示相应的图案、字母、数字、汉字等。</w:t>
            </w:r>
            <w:r>
              <w:rPr>
                <w:rFonts w:hint="eastAsia" w:ascii="宋体" w:hAnsi="宋体" w:eastAsia="宋体" w:cs="宋体"/>
                <w:bCs/>
                <w:i w:val="0"/>
                <w:iCs w:val="0"/>
                <w:color w:val="ff0000"/>
                <w:sz w:val="24"/>
                <w:szCs w:val="24"/>
                <w:u w:val="none"/>
                <w:lang w:val="en-US" w:eastAsia="zh-CN"/>
              </w:rPr>
              <w:t xml:space="preserve">（需提供视频演示此功能）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1.显示屏尺寸：不小于1.22英寸（对角线）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 240×240(RGB)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3.色彩 ：262K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四、设备特点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七、仪器功能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1.注意力：线索提示、整体局部、目标追踪、警戒、注意广度、划消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2.记忆力：长时记忆、短时记忆、空间记忆、倒序记忆、N-Back</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3.思维力：Stroop 任务、任务转换、学习-判断错误记忆、叶克斯、分类学习、短时记忆搜索、河内塔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4.反应时：听觉简单反应时、视觉简单反应时、视觉辨别反应时、视觉选择反应时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5.感知觉：时间知觉、音调辨别力、辨色力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6.观察力</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1089"/>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操作能力评估训练系统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该设备对学生的手眼协调、四肢协调、精细动作水平、表象操作等操作能力进行评估与训练的专业仪器。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  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三、操作面板参数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1.九孔型为孔径渐次缩减的九个空洞，孔眼边有以mm为单位的孔径值，孔径13-2.5mm；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2.其中的3.5mm孔眼专用于测试手悬空时的稳定能力；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3.插拔、翻转、旋转三组手指灵活测试区；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4.2组测试按键，按键反应力260gf。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5.2组无极旋钮，任意调节；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四、功能特点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七、系统功能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1.填写必要信息并确认后，可自行创建账号，且可自主登录；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2.联网状态下，仪器的全部数据可自动上传至云端；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3.用户可自主进行测评或训练任务；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4.自动生成包含基本信息、图表、结果说明等的评估报告；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5.每一项任务均有对应的报告；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6.最近7次评估或训练曲线图、动态变化；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7.部分任务设置不同的难易等级，便于不同用户水平使用。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8.手眼协调：旋转仪器上的左、右旋钮，在规定时间内使红色小球沿轨道运行一周，尽量不要碰到轨道。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9.四肢协调：将优势手的食指按住屏幕下方的黑色按键，当屏幕上出现小红圆点，立即离开黑色按键去按小红圆下方对应的按键，然后再回到黑色按钮。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动作稳定：将测笔按由大到小顺序，快速准确插入仪器相应区域的九个孔中，尽量保持测笔居中且不碰孔壁。准确插入到底时，面板上指示灯点亮，碰壁时指示灯不亮，需重新插入直至指示灯点亮，三次碰壁，测试结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11.手指灵活：在规定时间内，用优势手分别完成插拔、翻转和旋转测试。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eastAsia="zh-CN"/>
              </w:rPr>
              <w:suppressLineNumbers w:val="0"/>
            </w:pPr>
            <w:r>
              <w:rPr>
                <w:rFonts w:hint="eastAsia" w:ascii="宋体" w:hAnsi="宋体" w:eastAsia="宋体" w:cs="宋体"/>
                <w:bCs/>
                <w:i w:val="0"/>
                <w:iCs w:val="0"/>
                <w:color w:val="auto"/>
                <w:sz w:val="22"/>
                <w:szCs w:val="22"/>
                <w:u w:val="none"/>
              </w:rPr>
              <w:t xml:space="preserve">12.表象操作：对屏幕呈现的不同角度的图形作出反应，认为是正像的，按“+”号键；认为是镜像的，按“-”号键</w:t>
            </w:r>
            <w:r>
              <w:rPr>
                <w:rFonts w:hint="eastAsia" w:ascii="宋体" w:hAnsi="宋体" w:eastAsia="宋体" w:cs="宋体"/>
                <w:bCs/>
                <w:i w:val="0"/>
                <w:iCs w:val="0"/>
                <w:color w:val="auto"/>
                <w:sz w:val="22"/>
                <w:szCs w:val="22"/>
                <w:u w:val="none"/>
                <w:lang w:eastAsia="zh-CN"/>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学习态度引导训练系统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对学生的学习动机、学习情绪，以及学习中的自我意识进行评估，引导学生树立积极的学习态度的仪器。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   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三、液晶按键参数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该按键带液晶显示，可根据不同应用显示相应的图案、字母、数字、汉字等。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1.显示屏尺寸：不小于1.22英寸（对角线）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 240×240(RGB)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3.色彩 ：262K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四、设备特点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七、仪器功能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1.填写必要信息并确认后，可自行创建账号，且可自主登录；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2.联网状态下，仪器的全部数据可自动上传至云端；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3.用户可自主进行测评或训练任务；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4.自动生成包含基本信息、图表、结果说明等的评估报告；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5.每一项任务均有对应的报告；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6.最近7次评估或训练曲线图、动态变化；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7.部分任务设置不同的难易等级，便于不同用户水平使用。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8.学习动机：学习动机测验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9.学习情绪：情绪稳定性、情绪敏感性、情绪词记忆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10.自我意识：自我服务偏差、IAT任务、自我参照效应</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学习策略发展训练系统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对学生的学习风格、元认知、应试技巧等进行评估，帮助学生找到适合自己的学习策略的仪器。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一、外型尺寸：长×宽×高  不小于340mm×380mm×95mm。</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二、液晶触控屏幕参数：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1.显示屏尺寸：不小于13.3英寸（对角线）；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2.分辨率：1920 × 1080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3.亮度：350～400 cd/m2</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4.电容触摸屏；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5.触摸模式：手指；</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6.触点数量：10点；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7.响应时间：≤50ms。</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三、操作面板参数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 4组测试按键，按键反应力260gf。</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 1组无极旋钮，任意调节；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四、产品特点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屏幕0~180°翻转，前后可以移动，操作者可以根据自己的视角以及操作习惯调节角度和距离。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1.屏幕翻转到0°，可闭合整个仪器，方便存储以及运输。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2.测试者可在90°~180°范围内可调节适合自己的角度。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3.180°水平摆放时，可方便书写等一些特殊操作。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4.具备收纳盒，摆放配件。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5.后置音频输出、USB、HDMI、以及专用扩展接口。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6.可升级内存与硬盘。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五、主机参数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1.操作系统：电脑操作系统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2.处理器：性能要求不低于四核心八线程处理器，主频≥2.4GHZ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3.内存：≥DDR4 16G</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4.硬盘：≧SSD固态硬盘 256GB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六、系统供电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1.电压：交流220VK22V；</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2.频率：50HzK2.5Hz；</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3.功率：75W。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七、仪器功能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1.填写必要信息并确认后，可自行创建账号，且可自主登录；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2.联网状态下，仪器的全部数据可自动上传至云端；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3.用户可自主进行测评或训练任务；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4.自动生成包含基本信息、图表、结果说明等的评估报告；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5.每一项任务均有对应的报告；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6.最近7次评估或训练曲线图、动态变化；</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7.部分任务设置不同的难易等级，便于不同用户水平使用。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8.学习风格：平面棒框、镶嵌图形、</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9.元认知：预估偏差、策略习得、视听双任务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10.应试技巧：量表测评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11.发展建议</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学生情绪分析系统、情绪压力筛查及危机干预平台</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部署一套心理情绪压力筛查测评系统，与心理压力测评手表和心理压力分析模型数据对接，输出相应心理监测指标和情绪特征指标，系统应支持不少于1万人测评及数据管理。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一、功能要求：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1.用户管理：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1.1提供全面的用户添加、删除与灵活修改功能。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1.2支持批量操作，便于高效管理大量用户。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1.3实现用户与设备的绑定、重置、绑定关系核对与查看，确保数据的准确性和一致性。</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2.设备管理：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2.1包含设备入库功能，便于新设备的快速录入。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2.2支持设备信息的修改、删除，以及设备数据的批量导出，满足多样化的数据管理需求。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3.心理测评功能：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3.1提供名单批量测评功能，适用于可以提供测评者名单的团体测评场景。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3.2提供编号快速测评，实现高效快速便捷筛查。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3.3实时测评展示功能，团体测评过程中可查看任一个体详细指标包含心率、状态值、情绪表情及波动曲线。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4.测评报告生成功能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4.1测量结束即刻生成个体测评报告，报告包含SDNN、rMSSD、压力指数等多项指标值及评估标尺图，状态走势图，饱满、焦虑、低沉等5种情绪心境特征图等，包含总能量、放松度、情绪稳定性等1-5级评价星级及相关建议和情绪寄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4.2测量结束即刻生成校级、年级、班级报告。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5.账号管理：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5.1细化角色与权限管理，支持自定义创建不同角色，并根据角色特点分配相应权限。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5.2支持创建子账号并灵活分配角色，实现多级账号管理。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6.层级管理：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6.1允许创建多样化的层级结构，满足复杂的组织结构需求。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6.2支持根据实际需求建立子层级，并为不同层级选择适合的测试方式。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7.测评计划调度功能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支持计划模板下载与上传计划表，自动呈现测评计划调度结果。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心理大数据动态展示功能，实时动态展示心理大数据地图，滚动展示心理测评动态。展示内容分为数字展示和图文展示两部分，包含心理健康档案数、危机数、线下服务数、分布地图、活动图片等，用一个大数据及展示页面，即可直观呈现心理健康整体工作情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二、系统服务要求：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1.提供用户管理、设备管理、账号管理、层级管理、开始测评、团体报告等模块；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2.支持500人同时在线测评</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1904"/>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情绪测评手环</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精密光电手腕采集器，采集用户每一瞬间的心率变化、心率间期变化，连续脉搏分析，实时监测心率，与情绪压力筛查及危机预警系统连接，呈现自主神经活性、副交感神经活性、压力指数、情绪心境特征、情绪稳定性等情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2.支持团体PC端使用，支持个体移动端独立使用动态反馈训练功能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训练过程实时显示心率、实时状态值及能量波动。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二、产品参数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连续脉搏分析、RAWDATA输出、绿光动态心率G-sensor传感器、屏幕可显示：年级、班级、手环编号等运行内存（RAM）：64kB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Flash：512kB、蓝牙：BT4.2、材质：表带硅胶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主体：塑胶、防水：IP67、电池容量：60MAH</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待机时间：不少于10天</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个</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60</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房树人绘画系统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房树人绘画系统，包含硬件和软件，软硬件必须兼容。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液晶显示屏一体机:32寸液晶显示屏，最佳分辨率为1920X1080；防爆电容触摸屏，单点寿命超50000万次，分辨率：4096*4096;主机配置：内存4G，硬盘SSD固态硬盘64G，配置喇叭，USB网络接口，内置70W恒压供放，左右2个声道喇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测验系统：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1.测验过程采用软件统一选择管理，数据统计一电脑汇总统计，报告自动得出。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2.具有档案管理功能，强大的档案管理功能。能够保存和导出测验档案，对每个受测者的档案能够按照时间完整记录，随时可以按照姓名等条件筛选快速查询和管理被测试者的测验报告。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3.专业的绘画投射测验，突破语言交流的局限，避开测试者的理性意识，适用于不善于语言表达或是不愿意表达以及防御性强的来访者。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4.提供咨询师自由联想问题提问，专业化应用房树人测验，进一步了解被测者内心和潜意识，充分发挥投射测验功效。其中“房”联想题目、“树”联想题目、“人”联想题目均不少于20道。</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5.测验完成后可以迅速生成报告，根据大量客户实际验证数据资料首次推出初步心理分析诊断。测验项目更少受到文化、教育背景或生活环境的影响。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6.报告必须包括图形描述性报告和心理分析报告。</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7.拥有实木道具模型，可以直接在测试端快速选择受测者房树人图画内容。测验分析项目不少于60项，实木道具模型不少于120件。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8.测验结果管理功能。测验后生成每位受测者的测验报告，报告包括被测者信息、实验特征描述、对受测者的人格特征描述和测验结论，咨询师也可以添加各种对来访者情况的评判。</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9.图片上传保存。能够保存被试手画的图，供咨询师调用报告时作为实时参考，保证测试报告有据可循。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10.整合心理问题筛查测试模块，可以批量进行人格缺陷和智力缺陷测查，能够人才选拔或者其他内部的心理问题测查。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所有道具均采用木制材质，坚固耐用。分别包含：房子拼板、房顶拼板、窗户拼板、门拼板、墙拼板等，树拼板包含：树冠拼板、树干拼板、树树拼板、果实拼板、人拼板头部拼板、躯干拼板、手拼板、腿拼板等，不少于120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12.数据导出与分析：系统将每位用户历次活动数据全部储存，并可将数据导出word存档或直接打印。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硬件加密确保数据安全：系统采用硬件加密的方式对测评数据进行加密，最大程度的保证用户数据的安全性。每套软件所配有的加密锁均为该套软件专用且唯一的硬件加密锁。同时，加密锁上的唯一数字ID也是判评用户所使用的软件是否为正版软件的权威有效依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14.一键式快速备份：系统提供了本机数据备份服务，可以将本机测评数据进行一键备份和一键还原。 </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数字化团体正念训练系统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产品概述：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系统包含管理端和客户端两个部分。管理端需要安装到专用服务器上，客户端安装到笔记本电脑或平板电脑里。具有丰富的筛查测评量表（40份以上），可供心理咨询师进行包括情绪状态、精神障碍、人格特质、社会认知与行为、躯体症状、睡眠、认知功能、生活能力等涉及精神健康、情绪状态、生活与社会功能、以及认知功能等方面的测评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训练内容有：情绪调节训练、放松减压训练、睡眠管理训练、穴</w:t>
            </w:r>
            <w:r>
              <w:rPr>
                <w:rFonts w:hint="eastAsia" w:ascii="宋体" w:hAnsi="宋体" w:eastAsia="宋体" w:cs="宋体"/>
                <w:bCs/>
                <w:i w:val="0"/>
                <w:iCs w:val="0"/>
                <w:color w:val="auto"/>
                <w:sz w:val="22"/>
                <w:szCs w:val="22"/>
                <w:u w:val="none"/>
              </w:rPr>
              <w:t xml:space="preserve">位自助按摩等四大模块内容，不少于40余项训练程序。以上五大训练模块在以正念技术为主的同时，融合经典认知行为、催眠、冥想等各类心理治疗方法。各模块既可独立使用，以提升个体情绪调节、压力管理、睡眠改善等技能，又可科学组合实现对各类心理与精神障碍用户身心健康及社会适应功能的有效提升。系统根据评估结果自动生成详细的治疗方案，咨询师也可根据用户情况自行勾选训练范式，同时支持自定义训练方案的制定和调整管理｡系统支持团体测评与干预训练，同时支持多人同时测评和心理干预，为心理咨询师提供团体成员训练进程的实时监测与反馈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参数描述：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1.咨询师工作平台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1.1可提供咨询师对来访心理健康状况评估，以及心理测评、干预训练内容与训练进度、训练效果等数据和信息的管理、追踪、 统计分析等功能。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1.2平台包括管理端、用户端。平台使用操作简便，各端口用户均可以迅速上手开展测评与训练工作。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1.3测评、干预、监测、管理等功能通过局域网实现，且支持台式计算机、笔记本、平板电脑、智能手机等多终端登录与数据传输，可实现用户的评估过程、训练记录等信息快速便捷收集。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1.4帮助系统：包括评估方法的文字信息帮助，图片信息帮助，方便学习与运用评估方法｡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1.5系统可根据需要生成和打印个性化的个人报告结果｡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1.6系统可对干预训练前、中、后的用户进行量化的疗效分析对比管理｡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1.7具有资料存储与统计功能，所有测评资料均可通过姓名、账号等信息进行检索、统计。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1.8系统带有自动备份恢复功能｡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2.评估体系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通过使用心理学量表采集来访者心理、生理等指标，为精准评估来访者身心健康状态、制定合理高效的干预方案，客观评估干预效果，科学预测预后情况提供多维度大数据模型基础。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2.1以正念减压疗法（MBSR）、正念认知疗法（MBCT）、接纳与承诺疗法（ACT）和辩证行为疗法（DBT）等正念疗法为主的同时，兼容认知行为疗法、催眠放松疗法、心理动力学等心理治疗理论设计针对各类心理问题与精神疾病的干预课程体系。（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2.2智能动态采用基于大数据模型和神经网络原理的AI 算法，基于多维身心评估体系，智能推送干预方案，并在干预过程中 实时监测受训者身心指标，动态调整干预计划，提高工作效率和治疗效果。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2.3完备的档案数据库与心身数据实时追踪，采用大型数据库架构，建立全面完整的心理档案，方便查询。同时全程记录来访者的心理训练过程、生理指标和精神心理状态的变化过程，可作为治疗师进行深入分析的全面而完整的参考资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2.4参照临床干预中“测评—干预—效果评估 ”的标准流程，制定智能一体化闭环系统，方便干预治疗数据追踪，为制定更优良的干预方案和探索干预效果相关科学机制提供保证。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2.5多维测评体系里的心理量表以及干预模块的正念解压、催眠放松、认知矫正、指压按摩等干预程序等均为模块化设计，各模块既可单独使用，又可以集成一个系统，还可以与当前主流干预系统无缝衔接。</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3.心理测评系统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3.1具有筛查评估量表、结果报告及打印、档案管理等功能｡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3.2筛查评估量表管理：具有丰富的筛查测评量表，可供心理咨询师对用户进行全面客观的评估和筛查管理｡具体量 表包括情绪状态、精神障碍、人格特质、社会认知与行为、躯体症状、睡眠、认知功能、生活能力等涉及精神健康、情绪状态、生活与社会功能以及认知功能等方面的测评管理｡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3.3具有资料存储与统计功能，所有测评资料均可通过姓名、账号等信息进行检索、统计，有利于资料收集及科研需要｡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3.4包括至少40个量表管理功能，其中必须具有如下量表：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（1）情绪状态评估量表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HAMD汉密尔顿抑郁量表，HAMA 汉密尔顿焦虑量表 SDS，抑郁自评量表，SAS 焦虑自评量表，抑郁和躯体化症状量表(DSSS)，BDI 贝克抑郁量表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（2）躯体症状评定量表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SCL-90 症状自评量表，躯体化症状自评量表，精神障碍评定量表，简明精神量表，精神衰弱量表，轻躁狂量表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（3）人格测验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16PF卡特尔16种人格因素问卷，EPQ艾森克人格问卷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（4）生活与社会功能评定量表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家庭亲密程度和适应性量表中文版（FACES），ADL日常生活能力评定，SAD 社交回避及苦恼量表，个人与社会功能量表，压力应对方式问卷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（5）睡眠评定管理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Epworth 嗜睡量表，阿森斯失眠量表，清晨型和夜晚型自评量表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（6）认知功能评定管理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简易精神状态检查表，蒙特利尔认知评估量表，AD8 认知障碍自评量表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4.正念心理训练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4.1 训练模块具有档案管理、正念训练管理等模块｡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4.2 训练内容有：情绪调节训练、放松减压训练、睡眠管理训练、穴位自助按摩等四大模块内容，共计30余项训练程序。以上四大训练模块在以正念技术为主的同时，融合经典认知行为、催眠、冥想等各类心理治疗方法，为问题的解决提供全方位干预备方案。各模块内的训练程序均以10-15分钟/节的音频或视频引导课程形式呈现，提供原理讲解、课程提要、训练引导、学习总结、反馈报告等环节相应内容。各模块既可独立使用，以提升个体情绪调节、压力管理、睡眠改善等技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4.3系统中所有训练程序均可根据来访者的测评结果与训练情况自动调整训练程序的难度与频次｡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4.4系统可进行10种以上常见心理问题的管理｡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4.5系统带有查看功能：可将来访者训练情况、训练时间、训练方案等信息根据心理咨询师或系统默认推荐的设定值自动发给学校心理健康中心负责人，以便提高训练效果｡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4.6本系统支持团体干预训练，提供团体成员训练进程实时监测与反馈信息。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4.7屏幕尺寸≥10英寸；分辨率1920*1080；系统：电脑操作系统；内存容量≥64GB；运行内存≥4GB。</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4.8测试记录模块：管理员可通过学号、姓名、测试项目、测试时间进行单条件查询和复核查询，查找到想要的数据。数据模块：在测试记录页面可以集体导出数据到Excel表中，也可以查看每条数据的详细信息，包括学号、姓名、参数设置、测试时间，以及平均反应时间和错误次数。可以对应的每条数据导出到每个实验对应的Excel表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5.客户端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5.1可进行用户个人信息保护，包括登录密码、用户名等；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5.2可自动按推送方案进行测评；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5.3可自动按推送方案进行训练；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5.4可查看用户个人在系统中的训练计划和训练记录。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6.产品组成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包含正念训练前测系统1套、正念心理评估管理系统1套、正念训练客户端系统4套</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rPr>
              <w:t xml:space="preserve">疲劳度测试仪1套。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本系统是一套从评估到训练可一体化操作的系统，各子系统之间可实现底层数据互动，并非多个系统的组合。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highlight w:val="none"/>
                <w:lang w:val="en-US" w:eastAsia="zh-CN"/>
              </w:rPr>
              <w:suppressLineNumbers w:val="0"/>
            </w:pPr>
            <w:r>
              <w:rPr>
                <w:rFonts w:hint="eastAsia" w:ascii="宋体" w:hAnsi="宋体" w:eastAsia="宋体" w:cs="宋体"/>
                <w:color w:val="ff0000"/>
                <w:sz w:val="21"/>
                <w:szCs w:val="21"/>
                <w:highlight w:val="none"/>
                <w:lang w:val="en-US" w:eastAsia="zh-CN"/>
              </w:rPr>
              <w:t xml:space="preserve">★7.ECG检测功能：可以用于检测来访者心电数据，并生成心电报告，心电报告包含：QT间期、HRV指标、心率数据、心电图以及心电图（P波、P-R间期、QRS波群、ST段、T波、U波）的解读分析，并自动分析生成检测结果。（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8</w:t>
            </w:r>
            <w:r>
              <w:rPr>
                <w:rFonts w:hint="eastAsia" w:ascii="宋体" w:hAnsi="宋体" w:eastAsia="宋体" w:cs="宋体"/>
                <w:bCs/>
                <w:i w:val="0"/>
                <w:iCs w:val="0"/>
                <w:color w:val="auto"/>
                <w:sz w:val="22"/>
                <w:szCs w:val="22"/>
                <w:u w:val="none"/>
              </w:rPr>
              <w:t xml:space="preserve">.闪烁频率范围：4.0---60.0 Hz，最小调节区间：0.1Hz，LED显示窗口显示频率数字。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9</w:t>
            </w:r>
            <w:r>
              <w:rPr>
                <w:rFonts w:hint="eastAsia" w:ascii="宋体" w:hAnsi="宋体" w:eastAsia="宋体" w:cs="宋体"/>
                <w:bCs/>
                <w:i w:val="0"/>
                <w:iCs w:val="0"/>
                <w:color w:val="auto"/>
                <w:sz w:val="22"/>
                <w:szCs w:val="22"/>
                <w:u w:val="none"/>
              </w:rPr>
              <w:t xml:space="preserve">.无线遥控操控：采用无线遥控开关控制光线亮度和切换颜色组合:红、绿、蓝、红绿、红蓝、蓝绿、红绿蓝。</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10.</w:t>
            </w:r>
            <w:r>
              <w:rPr>
                <w:rFonts w:hint="eastAsia" w:ascii="宋体" w:hAnsi="宋体" w:eastAsia="宋体" w:cs="宋体"/>
                <w:bCs/>
                <w:i w:val="0"/>
                <w:iCs w:val="0"/>
                <w:color w:val="auto"/>
                <w:sz w:val="22"/>
                <w:szCs w:val="22"/>
                <w:u w:val="none"/>
              </w:rPr>
              <w:t xml:space="preserve">售后服务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同版本同模块提供终身免费升级。</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六</w:t>
            </w:r>
            <w:r>
              <w:rPr>
                <w:rFonts w:hint="eastAsia" w:ascii="宋体" w:hAnsi="宋体" w:eastAsia="宋体" w:cs="宋体"/>
                <w:bCs/>
                <w:i w:val="0"/>
                <w:iCs w:val="0"/>
                <w:color w:val="auto"/>
                <w:sz w:val="22"/>
                <w:szCs w:val="22"/>
                <w:u w:val="none"/>
              </w:rPr>
              <w:t xml:space="preserve">、情绪宣泄室</w:t>
            </w:r>
            <w:r/>
          </w:p>
        </w:tc>
      </w:tr>
      <w:tr>
        <w:trPr>
          <w:trHeight w:val="482"/>
        </w:trPr>
        <w:tc>
          <w:tcPr>
            <w:shd w:val="clear" w:color="auto" w:fill="ffffff"/>
            <w:tcBorders>
              <w:top w:val="single" w:color="000000" w:sz="4" w:space="0"/>
              <w:left w:val="single" w:color="000000" w:sz="4" w:space="0"/>
              <w:bottom w:val="single" w:color="000000" w:sz="4" w:space="0"/>
              <w:right w:val="non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HRV减压放松生理平衡系统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w:t>
            </w:r>
            <w:r>
              <w:rPr>
                <w:rFonts w:hint="eastAsia" w:ascii="宋体" w:hAnsi="宋体" w:eastAsia="宋体" w:cs="宋体"/>
                <w:bCs/>
                <w:i w:val="0"/>
                <w:iCs w:val="0"/>
                <w:color w:val="auto"/>
                <w:sz w:val="22"/>
                <w:szCs w:val="22"/>
                <w:u w:val="none"/>
              </w:rPr>
              <w:t xml:space="preserve">分别以两种曲线显示正常HRV信号和伪信号；含显示用平板监测心率变化曲线、压力指数、自主协调状况等各项指标，并通过人机互动的训练工具帮助使用者学习对情绪和压力进行自我管理；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w:t>
            </w:r>
            <w:r>
              <w:rPr>
                <w:rFonts w:hint="eastAsia" w:ascii="宋体" w:hAnsi="宋体" w:eastAsia="宋体" w:cs="宋体"/>
                <w:bCs/>
                <w:i w:val="0"/>
                <w:iCs w:val="0"/>
                <w:color w:val="auto"/>
                <w:sz w:val="22"/>
                <w:szCs w:val="22"/>
                <w:u w:val="none"/>
              </w:rPr>
              <w:t xml:space="preserve">以心率变异性作为时间的函数，并对该函数进行频域分析，从中获取能够表征心率变异性模式的数据，并根据SPCS的原理给出定性的评价。整体测试过程采集到的数据以及分析结果都被输出到显示单元，呈现给受检对象以及数据分析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3.</w:t>
            </w:r>
            <w:r>
              <w:rPr>
                <w:rFonts w:hint="eastAsia" w:ascii="宋体" w:hAnsi="宋体" w:eastAsia="宋体" w:cs="宋体"/>
                <w:bCs/>
                <w:i w:val="0"/>
                <w:iCs w:val="0"/>
                <w:color w:val="auto"/>
                <w:sz w:val="22"/>
                <w:szCs w:val="22"/>
                <w:u w:val="none"/>
              </w:rPr>
              <w:t xml:space="preserve">通过生物反馈芯片传感器采集人体的心率变异信号（HRV），通过USB接口将受测者的每一秒的心率变化、交感神经、副交感神经活动频谱变化、压力指数等生理信号传输到电脑终端；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4.</w:t>
            </w:r>
            <w:r>
              <w:rPr>
                <w:rFonts w:hint="eastAsia" w:ascii="宋体" w:hAnsi="宋体" w:eastAsia="宋体" w:cs="宋体"/>
                <w:bCs/>
                <w:i w:val="0"/>
                <w:iCs w:val="0"/>
                <w:color w:val="auto"/>
                <w:sz w:val="22"/>
                <w:szCs w:val="22"/>
                <w:u w:val="none"/>
              </w:rPr>
              <w:t xml:space="preserve">通过心率变异性监测系统软件统计分析生理数据，形成监测报告能提供丰富的研究数据，包括心率的最大值、最小值、平均值、频谱的高频、低频，低频高频比等，为科学研究提供充分的量化分析基础；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5.</w:t>
            </w:r>
            <w:r>
              <w:rPr>
                <w:rFonts w:hint="eastAsia" w:ascii="宋体" w:hAnsi="宋体" w:eastAsia="宋体" w:cs="宋体"/>
                <w:bCs/>
                <w:i w:val="0"/>
                <w:iCs w:val="0"/>
                <w:color w:val="auto"/>
                <w:sz w:val="22"/>
                <w:szCs w:val="22"/>
                <w:u w:val="none"/>
              </w:rPr>
              <w:t xml:space="preserve">具有8个不同类型的训练方案，分别进行帮助和训练。（菩提树、射箭、心灵手巧、记忆风暴、神笔马良、快拳手、神笔马良、魔力速配、冒险岛）进行帮助和训练。</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智能交互呐喊宣泄仪</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1.该系统基于“人体互动”概念设计，具支撑底座、音柱（包括：声控（声音传感器）模块、话筒、LED灯柱、工控系统）组成；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2.功能特点：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通过仪器音柱上的话筒及声音传感器模块，测定和分析宣泄时呐喊声音信号的强弱、频度、持续时间等，自动匹配有针对性的宣泄指导语，为宣泄者提供有针对性的正向引导与激励，从而潜移默化的影响宣泄者的心理状态，以达到更有效、更舒心的宣泄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2.2系统针对不同个体呐喊声音的强弱，特别设计了三档难易度（高、中、低），个体可根据自身的情况选择更适合自己的档位，以达到更好地宣泄疏导效果；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2.3声音传感器将实时测定宣泄者的不同强度的声音，并将其以不同等级、不同方式的指示灯柱分组在视觉上（LED灯颜色自下向上为绿—黄—红）呈现给宣泄者。而宣泄者可以根据声音强度指示灯显示信号，实时调节自身的呐喊声音，进行更为合理有效的宣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2.4系统采用流行的触控计算机操作平台，且将自主研发的系统软件置入其中，不需任何人引导，即可进行随心所欲的宣泄，增加了宣泄仪使用的私密性；</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▲2.5包括多个宣泄主题，宣泄者可根据需要自主进入宣泄模式、场景音乐、难易度等项的选择；（提供截图等相关证明材料）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3.主要功能：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▲3.1正向情绪疏导系统：准确测定和分析宣泄者呐喊声音信号强弱、频率和持续时间，从而自动匹配有针对性的宣泄指导语，为宣泄者提供更为针对性的正向引导与激励；（提供截图等相关证明材料）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3.2两大主题宣泄系统：趣味宣泄，主题宣泄；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▲3.3趣味宣泄：一鼓作气，再接再厉，持续不断，智勇双全；（提供截图等相关证明材料）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▲3.4主题宣泄：学习压力、家庭关系、人际交往、莫名烦恼、情感困惑、自我意识、考试焦虑、环境适应、数值型、音效反馈；（提供截图等相关证明材料）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3.5四种场景音乐选择，营造呐喊氛围，包括草原冥想、高山悟语、大海遐想、小溪吟诵；</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3.6三色灯柱显示声音强度级别：实时测定并显示宣泄者不同强度的声音，以不同等级用不同方式的指示灯柱分组呈现给宣泄者。宣泄者可以根据声音强度指示灯柱显示信号，实时调节自身的呐喊声音，进行更为合理有效的宣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▲3.7难易度调节系统：系统针对不同个体呐喊声音的强弱，特别设计了三档难易度（高、中、低），个体可根据自身的情况选择更适合自己的档位；（提供截图等相关证明材料）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▲3.8宣泄完毕，系统会自动给出相应的数据、图表。（提供截图等相关证明材料）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3.9系统能对多个宣泄者完成的同一宣泄主题的成绩进行系统排名。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4.硬件参数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机身尺寸不小于：179cm*88cm*24cm，钢质金属箱体，外表面烤漆，白蓝色设计，落地式。配触摸式操作台，尺寸不小于：107cm*55cm*40cm，钢质金属箱体，外表面烤漆，白色设计，落地式。重量不小于50KG，配有脑波传感器。</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AI</w:t>
            </w:r>
            <w:r>
              <w:rPr>
                <w:rFonts w:hint="eastAsia" w:ascii="宋体" w:hAnsi="宋体" w:eastAsia="宋体" w:cs="宋体"/>
                <w:bCs/>
                <w:i w:val="0"/>
                <w:iCs w:val="0"/>
                <w:color w:val="auto"/>
                <w:sz w:val="22"/>
                <w:szCs w:val="22"/>
                <w:u w:val="none"/>
              </w:rPr>
              <w:t xml:space="preserve">情绪疏导系统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w:t>
            </w:r>
            <w:r>
              <w:rPr>
                <w:rFonts w:hint="eastAsia" w:ascii="宋体" w:hAnsi="宋体" w:eastAsia="宋体" w:cs="宋体"/>
                <w:bCs/>
                <w:i w:val="0"/>
                <w:iCs w:val="0"/>
                <w:color w:val="auto"/>
                <w:sz w:val="22"/>
                <w:szCs w:val="22"/>
                <w:u w:val="none"/>
              </w:rPr>
              <w:t xml:space="preserve">AI心理陪伴，助力个性化情绪疏导。沉浸式自助的情绪疏导空间，针对愤怒、忧伤、沮丧、焦虑等常见的消极情绪，按照情绪唤醒——合理宣泄——认知调整等步骤，通过多种方法引导用户疏导不良情绪，建立合理信念，获得积极的生活态度；探索了心理学理论驱动大语言模型的对话生成方法，融合了认知行为疗法、情绪聚焦疗法、共情支持等，实现个性化情绪疏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2.</w:t>
            </w:r>
            <w:r>
              <w:rPr>
                <w:rFonts w:hint="eastAsia" w:ascii="宋体" w:hAnsi="宋体" w:eastAsia="宋体" w:cs="宋体"/>
                <w:bCs/>
                <w:i w:val="0"/>
                <w:iCs w:val="0"/>
                <w:color w:val="auto"/>
                <w:sz w:val="22"/>
                <w:szCs w:val="22"/>
                <w:u w:val="none"/>
              </w:rPr>
              <w:t xml:space="preserve">本系统由情绪小屋、</w:t>
            </w:r>
            <w:r>
              <w:rPr>
                <w:rFonts w:hint="eastAsia" w:ascii="宋体" w:hAnsi="宋体" w:eastAsia="宋体" w:cs="宋体"/>
                <w:bCs/>
                <w:i w:val="0"/>
                <w:iCs w:val="0"/>
                <w:color w:val="auto"/>
                <w:sz w:val="22"/>
                <w:szCs w:val="22"/>
                <w:u w:val="none"/>
                <w:lang w:val="en-US" w:eastAsia="zh-CN"/>
              </w:rPr>
              <w:t xml:space="preserve">AI情绪疏导软件、</w:t>
            </w:r>
            <w:r>
              <w:rPr>
                <w:rFonts w:hint="eastAsia" w:ascii="宋体" w:hAnsi="宋体" w:eastAsia="宋体" w:cs="宋体"/>
                <w:bCs/>
                <w:i w:val="0"/>
                <w:iCs w:val="0"/>
                <w:color w:val="auto"/>
                <w:sz w:val="22"/>
                <w:szCs w:val="22"/>
                <w:u w:val="none"/>
              </w:rPr>
              <w:t xml:space="preserve">触控计算机、头戴式耳机（带麦）等组成。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c00000"/>
                <w:sz w:val="21"/>
                <w:szCs w:val="21"/>
                <w:highlight w:val="none"/>
                <w:lang w:val="en-US" w:eastAsia="zh-CN"/>
              </w:rPr>
              <w:suppressLineNumbers w:val="0"/>
            </w:pPr>
            <w:r>
              <w:rPr>
                <w:rFonts w:hint="eastAsia" w:ascii="宋体" w:hAnsi="宋体" w:eastAsia="宋体" w:cs="宋体"/>
                <w:color w:val="c00000"/>
                <w:sz w:val="21"/>
                <w:szCs w:val="21"/>
                <w:highlight w:val="none"/>
                <w:lang w:val="en-US" w:eastAsia="zh-CN"/>
              </w:rPr>
              <w:t xml:space="preserve">★3.大模型须支持纯文本对话交互，可进行实时语音转换，记录对话过程，覆盖但不限于以下情感支持场景：学业压力下的情绪疏导、考试焦虑中的陪伴式调节、同伴关系/师生沟通/亲子互动中的理解与支持。模型具有良好的共情能力，逻辑清晰，且提供不低于 4 种角色来模拟不同的人物陪伴用户。（需提供视频演示此功能）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4.大模型须具备共情式回应能力，能识别用户情绪状态并给予情感接纳；同时提供中立、清晰的梳理引导，协助用户厘清问题脉络，不得替代专业心理咨询或医疗诊断。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5.</w:t>
            </w:r>
            <w:r>
              <w:rPr>
                <w:rFonts w:hint="eastAsia" w:ascii="宋体" w:hAnsi="宋体" w:eastAsia="宋体" w:cs="宋体"/>
                <w:bCs/>
                <w:i w:val="0"/>
                <w:iCs w:val="0"/>
                <w:color w:val="auto"/>
                <w:sz w:val="22"/>
                <w:szCs w:val="22"/>
                <w:u w:val="none"/>
              </w:rPr>
              <w:t xml:space="preserve">具有AI心理陪伴、情绪主题疏导、趣味宣泄、认知朗读、心情涂鸦、情绪体验、档案管理等模块。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6.</w:t>
            </w:r>
            <w:r>
              <w:rPr>
                <w:rFonts w:hint="eastAsia" w:ascii="宋体" w:hAnsi="宋体" w:eastAsia="宋体" w:cs="宋体"/>
                <w:bCs/>
                <w:i w:val="0"/>
                <w:iCs w:val="0"/>
                <w:color w:val="auto"/>
                <w:sz w:val="22"/>
                <w:szCs w:val="22"/>
                <w:u w:val="none"/>
              </w:rPr>
              <w:t xml:space="preserve">AI心理陪伴：通过自然语言交流，为用户提供情感上的支持与安慰；系统可进行实时语音转换，记录对话过程。模型具有良好的共情能力，逻辑清晰，且同时可以提供不同类型的角色扮演来模拟不同的人物来陪伴用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7.</w:t>
            </w:r>
            <w:r>
              <w:rPr>
                <w:rFonts w:hint="eastAsia" w:ascii="宋体" w:hAnsi="宋体" w:eastAsia="宋体" w:cs="宋体"/>
                <w:bCs/>
                <w:i w:val="0"/>
                <w:iCs w:val="0"/>
                <w:color w:val="auto"/>
                <w:sz w:val="22"/>
                <w:szCs w:val="22"/>
                <w:u w:val="none"/>
              </w:rPr>
              <w:t xml:space="preserve">智能引导式的自助情绪疏导系统，针对愤怒、忧伤、沮丧、焦虑等常见的消极情绪，按照情绪唤醒——合理宣泄——认知调整等步骤，通过多种方法引导用户疏导不良情绪，建立合理信念，获得积极的生活态度。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▲8.具有情绪主题疏导、趣味宣泄、认知朗读、心情涂鸦、情绪体验、档案管理等模块</w:t>
            </w:r>
            <w:r>
              <w:rPr>
                <w:rFonts w:hint="eastAsia" w:ascii="宋体" w:hAnsi="宋体" w:eastAsia="宋体" w:cs="宋体"/>
                <w:color w:val="0000ff"/>
                <w:sz w:val="21"/>
                <w:szCs w:val="21"/>
                <w:highlight w:val="none"/>
                <w:lang w:val="en-US" w:eastAsia="zh-CN"/>
              </w:rPr>
              <w:t xml:space="preserve">。</w:t>
            </w:r>
            <w:r>
              <w:rPr>
                <w:rFonts w:hint="eastAsia" w:ascii="宋体" w:hAnsi="宋体" w:eastAsia="宋体" w:cs="宋体"/>
                <w:color w:val="0000ff"/>
                <w:sz w:val="21"/>
                <w:szCs w:val="21"/>
                <w:highlight w:val="none"/>
                <w:lang w:val="en-US" w:eastAsia="zh-CN"/>
              </w:rPr>
              <w:t xml:space="preserve">（提供截图等相关证明材料）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9.</w:t>
            </w:r>
            <w:r>
              <w:rPr>
                <w:rFonts w:hint="eastAsia" w:ascii="宋体" w:hAnsi="宋体" w:eastAsia="宋体" w:cs="宋体"/>
                <w:bCs/>
                <w:i w:val="0"/>
                <w:iCs w:val="0"/>
                <w:color w:val="auto"/>
                <w:sz w:val="22"/>
                <w:szCs w:val="22"/>
                <w:u w:val="none"/>
              </w:rPr>
              <w:t xml:space="preserve">不少于180个心理引导库，模拟心理咨询互动，给予实时反馈和专业引导。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10.</w:t>
            </w:r>
            <w:r>
              <w:rPr>
                <w:rFonts w:hint="eastAsia" w:ascii="宋体" w:hAnsi="宋体" w:eastAsia="宋体" w:cs="宋体"/>
                <w:bCs/>
                <w:i w:val="0"/>
                <w:iCs w:val="0"/>
                <w:color w:val="auto"/>
                <w:sz w:val="22"/>
                <w:szCs w:val="22"/>
                <w:u w:val="none"/>
              </w:rPr>
              <w:t xml:space="preserve">智能采集声音的实时分贝值，计算能量值，评估宣泄指数等。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11.情绪主题疏导：提供常见的五大情绪问题（愤怒、忧伤、沮丧、焦虑和烦躁）的应对疏导方案，通过场景再现——合理宣泄——认知调整等步骤，智能引导用户疏导不良情绪，并自动生成报告。能在短时间内实现智能化检测，并给出对应情绪疏导方案；（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12.</w:t>
            </w:r>
            <w:r>
              <w:rPr>
                <w:rFonts w:hint="eastAsia" w:ascii="宋体" w:hAnsi="宋体" w:eastAsia="宋体" w:cs="宋体"/>
                <w:bCs/>
                <w:i w:val="0"/>
                <w:iCs w:val="0"/>
                <w:color w:val="auto"/>
                <w:sz w:val="22"/>
                <w:szCs w:val="22"/>
                <w:u w:val="none"/>
              </w:rPr>
              <w:t xml:space="preserve">认知朗读：通过朗读引发用户思考，建立合理认知。内含丰富的朗读素材，支持素材自添加，并可自动生成跟读模式。</w:t>
            </w:r>
            <w:r>
              <w:rPr>
                <w:rFonts w:hint="eastAsia" w:ascii="宋体" w:hAnsi="宋体" w:eastAsia="宋体" w:cs="宋体"/>
                <w:bCs/>
                <w:i w:val="0"/>
                <w:iCs w:val="0"/>
                <w:color w:val="auto"/>
                <w:sz w:val="22"/>
                <w:szCs w:val="22"/>
                <w:u w:val="none"/>
                <w:lang w:val="en-US" w:eastAsia="zh-CN"/>
              </w:rPr>
              <w:t xml:space="preserve">提供不少于 40 个朗读素材，涉及愤怒、忧伤、沮丧、焦虑和烦躁等五大情绪主题，朗诵文章时，“跟读模式”下， 能够自动滚动展示文章；文章朗诵时，耳机中能实时听到自己所发出的声音 ，提升用户的表演自信和声音控制能力，确保演唱或朗读都能达到理想效果。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ff"/>
                <w:sz w:val="21"/>
                <w:szCs w:val="21"/>
                <w:highlight w:val="none"/>
                <w:lang w:val="en-US" w:eastAsia="zh-CN"/>
              </w:rPr>
              <w:suppressLineNumbers w:val="0"/>
            </w:pPr>
            <w:r>
              <w:rPr>
                <w:rFonts w:hint="eastAsia" w:ascii="宋体" w:hAnsi="宋体" w:eastAsia="宋体" w:cs="宋体"/>
                <w:color w:val="0000ff"/>
                <w:sz w:val="21"/>
                <w:szCs w:val="21"/>
                <w:highlight w:val="none"/>
                <w:lang w:val="en-US" w:eastAsia="zh-CN"/>
              </w:rPr>
              <w:t xml:space="preserve">▲13.心情涂鸦：分为自由涂鸦和模板涂鸦两种方式，支持用户自添加涂鸦模板，具有发布、查看、互动、对作品进行查询、点播、点赞、留言等功能；涂鸦提供底图数量不少于 20 张，并支持用户自导入底图功能；（提供截图等相关证明材料）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color w:val="c00000"/>
                <w:sz w:val="21"/>
                <w:szCs w:val="21"/>
                <w:highlight w:val="none"/>
                <w:lang w:val="en-US" w:eastAsia="zh-CN"/>
              </w:rPr>
              <w:t xml:space="preserve">14.提供表情模仿与拍摄， 体验相应的情绪，包括“烦躁”、“愤怒”、“害怕”，“焦虑”， “沮丧”，“忧伤”6 种情绪；</w:t>
            </w:r>
            <w:r>
              <w:rPr>
                <w:rFonts w:hint="eastAsia" w:ascii="宋体" w:hAnsi="宋体" w:eastAsia="宋体" w:cs="宋体"/>
                <w:bCs/>
                <w:i w:val="0"/>
                <w:iCs w:val="0"/>
                <w:color w:val="ff0000"/>
                <w:sz w:val="22"/>
                <w:szCs w:val="22"/>
                <w:u w:val="none"/>
                <w:lang w:val="en-US" w:eastAsia="zh-CN" w:bidi="ar"/>
              </w:rPr>
              <w:br/>
            </w:r>
            <w:r>
              <w:rPr>
                <w:rFonts w:hint="eastAsia" w:ascii="宋体" w:hAnsi="宋体" w:eastAsia="宋体" w:cs="宋体"/>
                <w:bCs/>
                <w:i w:val="0"/>
                <w:iCs w:val="0"/>
                <w:color w:val="auto"/>
                <w:sz w:val="22"/>
                <w:szCs w:val="22"/>
                <w:u w:val="none"/>
                <w:lang w:val="en-US" w:eastAsia="zh-CN"/>
              </w:rPr>
              <w:t xml:space="preserve">15.</w:t>
            </w:r>
            <w:r>
              <w:rPr>
                <w:rFonts w:hint="eastAsia" w:ascii="宋体" w:hAnsi="宋体" w:eastAsia="宋体" w:cs="宋体"/>
                <w:bCs/>
                <w:i w:val="0"/>
                <w:iCs w:val="0"/>
                <w:color w:val="auto"/>
                <w:sz w:val="22"/>
                <w:szCs w:val="22"/>
                <w:u w:val="none"/>
              </w:rPr>
              <w:t xml:space="preserve">档案管理：具有个人资料修改、历史足迹记录等功能。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16.云端登录管理平台，可以查看用户档案、朗读作品、涂鸦作品、情绪自拍、疏导报告等数据.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17.档案管理：具有个人资料修改、历史足迹记录等功能。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18.情绪小屋，内置静音新风循环系统、沙发、氛围灯，具有良好的隔音效果。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19.情感陪伴类智能体采用大语言模型，且该大语言模型通过《生成式人工智能服务管理暂行办法》备案，可在互联网信息服务算法备案系统（https://beian.cac.gov.cn/）中查询到生成合成类的算法备案。</w:t>
            </w:r>
            <w:r/>
          </w:p>
          <w:p>
            <w:pPr>
              <w:pStyle w:val="706"/>
              <w:keepLines w:val="0"/>
              <w:keepNext w:val="0"/>
              <w:pageBreakBefore w:val="0"/>
              <w:spacing w:before="0" w:beforeAutospacing="0" w:after="0" w:afterAutospacing="0" w:line="360" w:lineRule="auto"/>
              <w:widowControl/>
              <w:rPr>
                <w:rFonts w:hint="default" w:ascii="宋体" w:hAnsi="宋体" w:eastAsia="宋体" w:cs="宋体"/>
                <w:bCs/>
                <w:i w:val="0"/>
                <w:iCs w:val="0"/>
                <w:color w:val="auto"/>
                <w:sz w:val="22"/>
                <w:szCs w:val="22"/>
                <w:u w:val="none"/>
                <w:lang w:val="en-US" w:eastAsia="zh-CN"/>
              </w:rPr>
              <w:pBdr>
                <w:left w:val="none" w:color="auto" w:sz="0" w:space="0"/>
              </w:pBdr>
              <w:suppressLineNumbers w:val="0"/>
            </w:pPr>
            <w:r>
              <w:rPr>
                <w:rFonts w:hint="eastAsia" w:ascii="宋体" w:hAnsi="宋体" w:eastAsia="宋体" w:cs="宋体"/>
                <w:bCs/>
                <w:i w:val="0"/>
                <w:iCs w:val="0"/>
                <w:color w:val="auto"/>
                <w:sz w:val="22"/>
                <w:szCs w:val="22"/>
                <w:u w:val="none"/>
                <w:lang w:val="en-US" w:eastAsia="zh-CN"/>
              </w:rPr>
              <w:t xml:space="preserve">20.</w:t>
            </w:r>
            <w:r>
              <w:rPr>
                <w:rFonts w:hint="eastAsia" w:ascii="宋体" w:hAnsi="宋体" w:eastAsia="宋体" w:cs="宋体"/>
                <w:bCs/>
                <w:i w:val="0"/>
                <w:iCs w:val="0"/>
                <w:color w:val="auto"/>
                <w:sz w:val="24"/>
                <w:szCs w:val="24"/>
                <w:u w:val="none"/>
                <w:lang w:val="en-US" w:eastAsia="zh-CN"/>
              </w:rPr>
              <w:t xml:space="preserve">该大模型通过国家网信办的大模型备案，</w:t>
            </w:r>
            <w:r>
              <w:rPr>
                <w:rFonts w:hint="eastAsia" w:cs="宋体"/>
                <w:bCs/>
                <w:i w:val="0"/>
                <w:iCs w:val="0"/>
                <w:color w:val="auto"/>
                <w:sz w:val="24"/>
                <w:szCs w:val="24"/>
                <w:u w:val="none"/>
                <w:lang w:val="en-US" w:eastAsia="zh-CN"/>
              </w:rPr>
              <w:t xml:space="preserve">并</w:t>
            </w:r>
            <w:r>
              <w:rPr>
                <w:rFonts w:hint="eastAsia" w:ascii="宋体" w:hAnsi="宋体" w:eastAsia="宋体" w:cs="宋体"/>
                <w:bCs/>
                <w:i w:val="0"/>
                <w:iCs w:val="0"/>
                <w:color w:val="auto"/>
                <w:sz w:val="24"/>
                <w:szCs w:val="24"/>
                <w:u w:val="none"/>
                <w:lang w:val="en-US" w:eastAsia="zh-CN"/>
              </w:rPr>
              <w:t xml:space="preserve">提供备案编号及官方公示截图。</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智能VR运动宣泄系统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VR心理骑行平台功能介绍：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简介：利用VR技术与心理健康教育主题融合打造的一款VR心理单车骑行产品。本产品的使用目的是以多种类型的VR心理资源软件（如：宣泄、解压、疏导、冥想、脱敏、应激训练、生理测评与分析等）为体验者达成实际干预、缓解疏导作用。产品以VR心理干预软件资源为主、使用功能为辅，减少使用者繁杂无用的功能操作，追求为体验者带来本质的内容干预实用性效果。并以不断提升VR干预软件类型与内容质量、高效便捷操作为产品核心进化理念。体验者佩戴VR头盔，身骑动感单车可身临其境起到舒缓压力、漫游放松、宣泄解压、应激训练等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产品含不少于18类VR心理骑行软件：VR心理沉浸骑行之旅、心情治愈骑行、解压放松骑行、动感音乐骑行、宣泄打击骑行、克服社交恐惧骑行、高空骑行、克服恐高体验、冥想漫游、心理疏导、车辆快速行驶避障、战场爆炸、沙尘暴、暴雨、台风、地震、极光、美好人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本款VR骑行设备在包含专业的VR心理资源的基础上配备了成体系的《VR大数据可视化平台》工具，包含以下功能模块：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3.《档案建立模块》：体验者可在主界面输入用户名可快速、便捷的建立个人心理档案；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4.《账号登录模块》：用户可在平台中输入用户名登录个人账号（支持模糊查询、拼音查询功能）可进入个人心理训练数据分析页面。并具备多人数据对比功能；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心理训练数据分析模块》：通过生物反馈仪与本系统模块得出各项数据，功能包含：用户姓名模块、日期模块、血压血氧、心率、协调度、放松度、压力指数并以条形图的形式呈现出来，同时可将每人的训练数据进行下载保存、刷新数据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6.《VR生理数据监测功能》：体验者可在VR主界面进行多项内容选择、档案建立、心率、血压、血氧展示等功能；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7.VR骑行软件平台与自行车硬件高度匹配，实际自行车脚蹬骑行时VR头盔中的软件场景也可随动骑行。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VR心理骑行软件介绍：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7.《VR心理沉浸骑行之旅》：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7.1天空场景：身处天空中可撞碎云朵，每一个云朵都代表着生活中的生活压力、经济压力、情感压力、学业压力，撞碎云朵后会有文字语音的提示，从而实现解压效果；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7.2森林场景：身处森林场景中配有多种小动物模型，在不同环节中体验者可向小动物寻求帮助（小鹿、小兔子、小熊、小猫）通过小动物的帮助解决相关心理问题，达到脱敏解压的效果；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7.3海边场景：身处海边场景中，到海边捡贝壳、漂流瓶、垃圾等互动功能回答相关问题，并解决心理焦虑问题。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8.1《宣泄打击骑行》：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太空的科技场景中可选择生活压力与学习压力两种模块，在骑行打击压力场景中会遇到不同类型的压力陨石，骑行者通过眼控将各类压力陨石击碎，如被压力陨石撞击会自动消耗血条。看看你是否能打破击败压力的魔咒吧！</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8.2《动感音乐骑行》：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在时空隧道虚拟场景中全程播放一段动感力十足的解压节奏音乐，跟随音乐节奏进入骑行状态，当音乐鼓点来临时会遇到一些需要瞬间避障的生活障碍，通过骑行技巧躲避障碍完成动感音乐骑行之旅。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8.3《克服社交恐惧骑行》：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在生活中你会有过于内向，不善于社交的情况吗？通过VR克服社交恐惧骑行可在虚拟城市场景中遇见各类NPC需求人物，通过与人物沟通对话与帮助完成一段骑行交流之旅。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8.4《心情治愈骑行》：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在优美的大自然的场景下，配上快乐治愈的音乐完成一段自由骑行之旅，旅途中会配有心情治愈导师语音安抚，让情绪低落的体验者瞬间治愈心情；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8.5《解压放松骑行》：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在舒缓放松的自然场景中配上解压轻快的节奏音乐完成一段自由骑行之旅，骑行途中无场景限制，可任意骑行并在途中配有解压放松相关引导语，让压力无处宣泄的体验者起到解压放松的作用；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8.6《克服恐高体验》：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通过VR虚拟现实技术打造VR城市高楼高空体验场景。体验者身临其境在城市高楼顶端，通过一系列高空体验动作任务，从而达到从适应高空到克服恐高的心理转变。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8.7《冥想漫游》：</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冥想漫游VR软件可使用户身临其境的在宇宙、星云、粒子中进行深度漫游冥想，全程带有放松音乐。冥想可以有效的提升专注力、记忆力、工作效率和创造力。冥想也可助于抵御老化带来的脑体积损失。冥想被视为一种脑体操,能够健脑、延缓其衰老。VR深度冥想漫游更是能为冥想活动提供一种高科技新放松。</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9.《心理疏导》：</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心理疏导VR软件由正念、解压、放松、疏导、四个心理模块组成，用户可选择所需的疏导模块，沉浸式进行心理疏导解压体验，全程带有专业的心理舒缓音乐与语音疏导师。VR心理疏导内容通过沉浸式身临其境体验的高科技方式对个人的情绪、心理等问题进行疏泄和引导。VR心理健康不但可快速起到舒缓解压的作用，还为心理健康治疗体验方式提供了一项全新的趣味选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10.《战场环境心理训练模块》：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通过VR技术复原战场虚拟场景，在虚拟战场中体验爆炸、战争等高仿真场景，并在军事场景中通过VR骑行训练快速避障与逃生能力，从而训练体验者的战场应激适应能力与专注力。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11.《VR心理应激训练》：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通过多种VR自然灾难场景打造VR虚拟应激训练软件。体验者通过沙尘暴、暴雨、台风、地震等灾难场景的虚拟体验提升应激反应能力，场景中包含多种高仿真灾难动画提升真实感，当灾难真实来临时，可让体验者具备成熟的应对心态与正确逃生动作应对各类自然灾害与应激场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12.《美好人生》：</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体验者可身临其境进入多种美好生活场景中体验快乐瞬间，如：家人聚会、毕业、旅游、进入海洋等。从中领悟什么样的生活才可能叫做“美好人生”，激发体验者对于美好生活的向往。</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硬件参数（结合VR软件方可使用）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简介：通过此硬件套装结合上述VR心理软件可达成沉浸式VR心理骑行体验；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1.高性能骑行虚拟现实VR头盔*1套；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2.支持心理健康软件结合搭配使用；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3.骑行随动固件源：电压：AC220V、功率：1000W；</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4骑行单车：高仿真动感车架，支持体验者身临其境骑行体验；</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5.骑行工作站：CPU性能要求不低于四核心八线程处理器，主频≥2.4GHZ，显存≥4GB GDDR5，隐藏式主机；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6.虚拟现实骑行硬件系统：骑行反馈控制系统:1套；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7.其它配套：屏幕:1套、鼠标键盘:1套、光学灯带1套；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8.外形尺寸：不小于于L1600mm*W1000mm*H2100mm、占地约1.5平米；</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9.同时可佩戴VR心理手表检测：心率、血压、血氧等相关数据，数据可自动备份记录用于心理研究。</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眼疾手快系统</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手眼并用，测试人体的反应速度，协调视觉、听觉、中枢神经系统、神经肌肉之间的关系。多种玩法，趣味性强，随机模式，随机掉落，无迹可寻；手眼并用，数码显示屏掉示掉落棒子序号，测试手眼反应；难度设置，挑战极限，通过调节圆棒掉落速度来控制难易程度；自带音乐，活跃气氛，全程游戏都有紧张刺激音乐播报，增强活动氛围。加厚五金，产品重量不小于40公斤，外形尺寸不小于140*205CM。</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七</w:t>
            </w:r>
            <w:r>
              <w:rPr>
                <w:rFonts w:hint="eastAsia" w:ascii="宋体" w:hAnsi="宋体" w:eastAsia="宋体" w:cs="宋体"/>
                <w:bCs/>
                <w:i w:val="0"/>
                <w:iCs w:val="0"/>
                <w:color w:val="auto"/>
                <w:sz w:val="22"/>
                <w:szCs w:val="22"/>
                <w:u w:val="none"/>
              </w:rPr>
              <w:t xml:space="preserve">、团体活动室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团体心理辅导活动器材箱</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（专业版）</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产品概述：以团体游戏为主的一种游戏道具，里面的游戏需要多人配合才能完成，可以开发使用者的智力，团体合作能力，还能增加使用者的人与人之间的交际关系。借助团体游戏活动促进团队成员的互动交流，帮助个体获得成长，适用于大中小各级院校开展心理健康活动课程，及企事业单位开展团体建设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2.产品构成：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2.1主要由团体心理辅导活动手册、活动道具、道具收纳箱等构成。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2.2提供合格证、产品说明书、装箱清单、全部活动所需道具清单。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3.主要功能：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3.1活动方案：内容涵盖认识自我、学会学习、人际交往、情绪调适、升学择业以及生活和社会适应等六大主题，每个主题提供不少于10个活动方案，总活动方案不少于60个。</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3.2每个活动均详细说明活动的设计理念、活动目标、活动时间、活动场地、所需道具、活动过程、注意事项、心理学依据等。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3.3活动形式多样，包括心理游戏、心理训练、问题辨析、情境设计、角色扮演，以及绘画、音乐等艺术心理辅导形式，特别添加了室外拓展项目。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3.4活动道具：提供至少60个活动方案所需配套道具，包括文具类、创意玩具类、模拟生活类、室外拓展类、心理卡片类、辅助教案类、心理影音类等七大类约78种道具，总数不少于1000件。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3.5每个活动所提供道具至少可同时满足50人参与。</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3.6内含腰带式便携扩音机，便于开展户外活动。</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校园心理情景剧套装</w:t>
            </w:r>
            <w:r/>
          </w:p>
        </w:tc>
        <w:tc>
          <w:tcPr>
            <w:shd w:val="clear" w:color="auto" w:fill="ffffff"/>
            <w:tcBorders>
              <w:top w:val="single" w:color="000000" w:sz="4" w:space="0"/>
              <w:left w:val="none" w:color="000000" w:sz="4" w:space="0"/>
              <w:bottom w:val="single" w:color="000000" w:sz="4" w:space="0"/>
              <w:right w:val="single" w:color="auto"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是以情景剧的形式反应学生常见的心理问题。通过情境设计、角色扮演、讨论分析等，学生可体验他人的感受，理解生活，同时认识自我，释放压力。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1.产品构成：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（1）校园心理情景剧剧本、心理剧示范视频光盘、配套道具、道具收纳箱（拉杆箱）等。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（2）提供产品合格证、装箱清单、每个活动所需道具清单。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（3）附赠正规出版物1本，作为辅助参考资料。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2.主要功能：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（1）创伤以及疗愈相关的主题，帮助遭受创伤者面对自己的问题，获得解决问题的力量与勇气。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（2）拯救和力量相关的超人故事，将善良与正义的主题展现出来，引发对价值观和信念的思考。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（3）环境适应的主题，再现初来乍到对环境的各种不适应的表现以及苦恼，并带动观看者一起去感受、思考解决问题的办法，从而促进新生积极的适应环境。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（4）人际交往与表达的相关主题，通过演出领悟到人际交往的原则，学习人际交往与比我表达的技术。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（5）择业就业困扰相关的主题，展现主角面临的择业的两难情境与家庭冲突，最后发现真相，取得相互理解，化解冲突。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（6）两性交往与恋爱相关的主题。主要面向高中生和大学生，通过居中主角演示自己的烦恼，启发青少年对恋爱问题的思考，平衡恋爱和自己学业任务。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（7）自卑与超越，展现主人公的自卑与习得性无助的行为模式，通过与现实做检验以及其他人的接纳，领悟到自我的价值，走出自我贬抑的困境。</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（8）自我成长的主题，构建一个沉迷于网络自我麻醉的主人公形象，通过自我对话，发现真相，最终勇敢地直面自己，重拾斗志。</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r>
      <w:tr>
        <w:trPr>
          <w:trHeight w:val="482"/>
        </w:trPr>
        <w:tc>
          <w:tcPr>
            <w:gridSpan w:val="5"/>
            <w:shd w:val="clear" w:color="auto" w:fill="ffffff"/>
            <w:tcBorders>
              <w:top w:val="single" w:color="000000" w:sz="4" w:space="0"/>
              <w:left w:val="single" w:color="000000" w:sz="4" w:space="0"/>
              <w:bottom w:val="single" w:color="000000" w:sz="4" w:space="0"/>
              <w:right w:val="single" w:color="000000" w:sz="4" w:space="0"/>
            </w:tcBorders>
            <w:tcW w:w="88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lang w:val="en-US" w:eastAsia="zh-CN"/>
              </w:rPr>
              <w:t xml:space="preserve">八</w:t>
            </w:r>
            <w:r>
              <w:rPr>
                <w:rFonts w:hint="eastAsia" w:ascii="宋体" w:hAnsi="宋体" w:eastAsia="宋体" w:cs="宋体"/>
                <w:bCs/>
                <w:i w:val="0"/>
                <w:iCs w:val="0"/>
                <w:color w:val="auto"/>
                <w:sz w:val="22"/>
                <w:szCs w:val="22"/>
                <w:u w:val="none"/>
              </w:rPr>
              <w:t xml:space="preserve">、其它</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rPr>
              <w:suppressLineNumbers w:val="0"/>
            </w:pPr>
            <w:r>
              <w:rPr>
                <w:rFonts w:hint="eastAsia" w:ascii="宋体" w:hAnsi="宋体" w:eastAsia="宋体" w:cs="宋体"/>
                <w:bCs/>
                <w:i w:val="0"/>
                <w:iCs w:val="0"/>
                <w:color w:val="auto"/>
                <w:sz w:val="22"/>
                <w:szCs w:val="22"/>
                <w:u w:val="none"/>
              </w:rPr>
              <w:t xml:space="preserve">培训服务</w:t>
            </w:r>
            <w:r/>
          </w:p>
        </w:tc>
        <w:tc>
          <w:tcPr>
            <w:shd w:val="clear" w:color="auto" w:fill="ffffff"/>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包含但不限于：</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线上课程：</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1、青少年心理健康基础知识</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2、青少年心理特征</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不少于4课时）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3、青少年身心发展规律</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4、自我类问题的识别与应对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5、学习类问题的识别与应对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6、情绪类问题的识别与应对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7、行为类问题的识别与应对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8、人际类问题的识别与应对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9、危机类问题的识别与应对</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10、建立良好的师生关系</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11、家校沟通的原则和技巧</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12、教师的压力和情绪管理</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不少于2课时）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13、教师的职业幸福感</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14、教师的职业倦怠</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15、生涯规划主题活动的设计与实施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16、青春期主题活动的设计与实施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17、生命教育主题活动的设计与实施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18、人际交往主题活动的设计与实施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19、考前减压主题活动的设计与实施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20、挫折教育主题活动的设计与实施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21、情绪主题活动的设计与实施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22、自我认识主题活动的设计与实施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23、社会适应主题活动的设计与实施</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24学生常用心理测量工具的应用</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不少于1课时）25、抑郁的评估与处置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26、焦虑障碍的评估与处置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27、注意力缺陷/多动障碍(ADHD)的评估与处置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28、强迫的评估与处置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29、游戏障碍的评估与处置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30、双相情感障碍的评估与处置</w:t>
            </w:r>
            <w:r>
              <w:rPr>
                <w:rFonts w:hint="eastAsia" w:ascii="宋体" w:hAnsi="宋体" w:eastAsia="宋体" w:cs="宋体"/>
                <w:bCs/>
                <w:i w:val="0"/>
                <w:iCs w:val="0"/>
                <w:color w:val="auto"/>
                <w:sz w:val="22"/>
                <w:szCs w:val="22"/>
                <w:u w:val="none"/>
                <w:lang w:eastAsia="zh-CN"/>
              </w:rPr>
              <w:t xml:space="preserve">（</w:t>
            </w:r>
            <w:r>
              <w:rPr>
                <w:rFonts w:hint="eastAsia" w:ascii="宋体" w:hAnsi="宋体" w:eastAsia="宋体" w:cs="宋体"/>
                <w:bCs/>
                <w:i w:val="0"/>
                <w:iCs w:val="0"/>
                <w:color w:val="auto"/>
                <w:sz w:val="22"/>
                <w:szCs w:val="22"/>
                <w:u w:val="none"/>
                <w:lang w:val="en-US" w:eastAsia="zh-CN"/>
              </w:rPr>
              <w:t xml:space="preserve">不少于1课时）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线下课程：</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所招标心理设备使用及应用培训（不少于16课时）</w:t>
            </w:r>
            <w:r/>
          </w:p>
        </w:tc>
        <w:tc>
          <w:tcPr>
            <w:shd w:val="clear" w:color="auto" w:fill="ffffff"/>
            <w:tcBorders>
              <w:top w:val="single" w:color="000000" w:sz="4" w:space="0"/>
              <w:left w:val="none" w:color="000000" w:sz="4" w:space="0"/>
              <w:bottom w:val="single" w:color="000000" w:sz="4" w:space="0"/>
              <w:right w:val="single" w:color="000000" w:sz="4" w:space="0"/>
            </w:tcBorders>
            <w:tcW w:w="51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eastAsia="zh-CN"/>
              </w:rPr>
              <w:suppressLineNumbers w:val="0"/>
            </w:pPr>
            <w:r>
              <w:rPr>
                <w:rFonts w:hint="eastAsia" w:ascii="宋体" w:hAnsi="宋体" w:eastAsia="宋体" w:cs="宋体"/>
                <w:bCs/>
                <w:i w:val="0"/>
                <w:iCs w:val="0"/>
                <w:color w:val="auto"/>
                <w:sz w:val="22"/>
                <w:szCs w:val="22"/>
                <w:u w:val="none"/>
                <w:lang w:val="en-US" w:eastAsia="zh-CN"/>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i w:val="0"/>
                <w:iCs w:val="0"/>
                <w:color w:val="auto"/>
                <w:sz w:val="22"/>
                <w:szCs w:val="22"/>
                <w:u w:val="none"/>
                <w:lang w:val="en-US" w:eastAsia="zh-CN"/>
              </w:rPr>
              <w:suppressLineNumbers w:val="0"/>
            </w:pPr>
            <w:r>
              <w:rPr>
                <w:rFonts w:hint="eastAsia" w:ascii="宋体" w:hAnsi="宋体" w:eastAsia="宋体" w:cs="宋体"/>
                <w:bCs/>
                <w:i w:val="0"/>
                <w:iCs w:val="0"/>
                <w:color w:val="auto"/>
                <w:sz w:val="22"/>
                <w:szCs w:val="22"/>
                <w:u w:val="none"/>
                <w:lang w:val="en-US" w:eastAsia="zh-CN"/>
              </w:rPr>
              <w:t xml:space="preserve">1</w:t>
            </w:r>
            <w:r/>
          </w:p>
        </w:tc>
      </w:tr>
    </w:tbl>
    <w:p>
      <w:r/>
      <w:r/>
    </w:p>
    <w:p>
      <w:pPr>
        <w:ind w:firstLine="482"/>
        <w:jc w:val="left"/>
        <w:spacing w:line="480" w:lineRule="exact"/>
        <w:widowControl/>
        <w:rPr>
          <w:rFonts w:ascii="宋体" w:hAnsi="宋体" w:cs="宋体"/>
          <w:b/>
          <w:i/>
          <w:iCs/>
          <w:sz w:val="24"/>
          <w:szCs w:val="21"/>
          <w:u w:val="single"/>
        </w:rPr>
      </w:pPr>
      <w:r>
        <w:rPr>
          <w:rFonts w:hint="eastAsia" w:ascii="宋体" w:hAnsi="宋体" w:cs="宋体"/>
          <w:b/>
          <w:i/>
          <w:iCs/>
          <w:sz w:val="24"/>
          <w:u w:val="single"/>
        </w:rPr>
        <w:t xml:space="preserve">注：</w:t>
      </w:r>
      <w:r>
        <w:rPr>
          <w:rFonts w:hint="eastAsia" w:ascii="宋体" w:hAnsi="宋体" w:cs="宋体"/>
          <w:b/>
          <w:i/>
          <w:iCs/>
          <w:color w:val="0000ff"/>
          <w:sz w:val="24"/>
          <w:u w:val="single"/>
        </w:rPr>
        <w:t xml:space="preserve">供应商须针对本项目“技术参数要求”中未标注“★”和“▲”</w:t>
      </w:r>
      <w:r>
        <w:rPr>
          <w:rFonts w:hint="eastAsia" w:ascii="宋体" w:hAnsi="宋体" w:cs="宋体"/>
          <w:b/>
          <w:i/>
          <w:iCs/>
          <w:sz w:val="24"/>
          <w:u w:val="single"/>
        </w:rPr>
        <w:t xml:space="preserve">所有条款，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spacing w:line="500" w:lineRule="exact"/>
        <w:rPr>
          <w:rFonts w:ascii="宋体" w:hAnsi="宋体" w:cs="Courier New"/>
          <w:b/>
          <w:bCs/>
          <w:color w:val="000000"/>
          <w:sz w:val="24"/>
          <w:szCs w:val="21"/>
        </w:rPr>
      </w:pPr>
      <w:r>
        <w:rPr>
          <w:rFonts w:hint="eastAsia" w:ascii="宋体" w:hAnsi="宋体" w:cs="Courier New"/>
          <w:b/>
          <w:bCs/>
          <w:color w:val="000000"/>
          <w:sz w:val="24"/>
          <w:szCs w:val="21"/>
        </w:rPr>
        <w:t xml:space="preserve">二、商务条款</w:t>
      </w:r>
      <w:r/>
    </w:p>
    <w:p>
      <w:pPr>
        <w:ind w:firstLine="482"/>
        <w:spacing w:line="500" w:lineRule="exact"/>
        <w:rPr>
          <w:rFonts w:ascii="宋体" w:hAnsi="宋体" w:cs="宋体"/>
          <w:bCs/>
          <w:i/>
          <w:color w:val="000000"/>
          <w:sz w:val="24"/>
          <w:u w:val="single"/>
        </w:rPr>
      </w:pPr>
      <w:r>
        <w:rPr>
          <w:rFonts w:hint="eastAsia" w:ascii="宋体" w:hAnsi="宋体"/>
          <w:b/>
          <w:i/>
          <w:color w:val="000000"/>
          <w:sz w:val="24"/>
          <w:szCs w:val="21"/>
          <w:u w:val="single"/>
        </w:rPr>
        <w:t xml:space="preserve">1、</w:t>
      </w:r>
      <w:r>
        <w:rPr>
          <w:rFonts w:ascii="宋体" w:hAnsi="宋体"/>
          <w:b/>
          <w:i/>
          <w:color w:val="000000"/>
          <w:sz w:val="24"/>
          <w:szCs w:val="21"/>
          <w:u w:val="single"/>
          <w:lang w:val="zh-CN"/>
        </w:rPr>
        <w:t xml:space="preserve">交货</w:t>
      </w:r>
      <w:r>
        <w:rPr>
          <w:rFonts w:hint="eastAsia" w:ascii="宋体" w:hAnsi="宋体" w:cs="宋体"/>
          <w:b/>
          <w:i/>
          <w:color w:val="000000"/>
          <w:sz w:val="24"/>
          <w:szCs w:val="21"/>
          <w:u w:val="single"/>
          <w:lang w:val="zh-CN"/>
        </w:rPr>
        <w:t xml:space="preserve">期：</w:t>
      </w:r>
      <w:r>
        <w:rPr>
          <w:rFonts w:hint="eastAsia" w:ascii="宋体" w:hAnsi="宋体" w:cs="宋体"/>
          <w:bCs/>
          <w:i/>
          <w:color w:val="000000"/>
          <w:sz w:val="24"/>
          <w:u w:val="single"/>
        </w:rPr>
        <w:t xml:space="preserve">必须在合同签订后60个日历天内完成到货、安装、调试工作并交付使用，中标价包括安装调试过程中产生的一切费用。</w:t>
      </w:r>
      <w:r/>
    </w:p>
    <w:p>
      <w:pPr>
        <w:ind w:firstLine="482"/>
        <w:spacing w:line="500" w:lineRule="exact"/>
        <w:rPr>
          <w:rFonts w:ascii="宋体" w:hAnsi="宋体" w:cs="宋体"/>
          <w:b/>
          <w:i/>
          <w:color w:val="000000"/>
          <w:sz w:val="24"/>
          <w:szCs w:val="21"/>
          <w:u w:val="single"/>
          <w:lang w:val="zh-CN"/>
        </w:rPr>
      </w:pPr>
      <w:r>
        <w:rPr>
          <w:rFonts w:hint="eastAsia" w:ascii="宋体" w:hAnsi="宋体" w:cs="宋体"/>
          <w:b/>
          <w:i/>
          <w:color w:val="000000"/>
          <w:sz w:val="24"/>
          <w:szCs w:val="21"/>
          <w:u w:val="single"/>
        </w:rPr>
        <w:t xml:space="preserve">2、</w:t>
      </w:r>
      <w:r>
        <w:rPr>
          <w:rFonts w:hint="eastAsia" w:ascii="宋体" w:hAnsi="宋体" w:cs="宋体"/>
          <w:b/>
          <w:i/>
          <w:color w:val="000000"/>
          <w:sz w:val="24"/>
          <w:szCs w:val="21"/>
          <w:u w:val="single"/>
          <w:lang w:val="zh-CN"/>
        </w:rPr>
        <w:t xml:space="preserve">交货方式：</w:t>
      </w:r>
      <w:r>
        <w:rPr>
          <w:rFonts w:hint="eastAsia" w:ascii="宋体" w:hAnsi="宋体" w:cs="宋体"/>
          <w:bCs/>
          <w:i/>
          <w:color w:val="000000"/>
          <w:sz w:val="24"/>
          <w:szCs w:val="21"/>
          <w:u w:val="single"/>
        </w:rPr>
        <w:t xml:space="preserve">送货到招标单位指定地点并安装调试</w:t>
      </w:r>
      <w:r>
        <w:rPr>
          <w:rFonts w:hint="eastAsia" w:ascii="宋体" w:hAnsi="宋体" w:cs="宋体"/>
          <w:bCs/>
          <w:i/>
          <w:color w:val="000000"/>
          <w:sz w:val="24"/>
          <w:szCs w:val="21"/>
          <w:u w:val="single"/>
          <w:lang w:val="zh-CN"/>
        </w:rPr>
        <w:t xml:space="preserve">。</w:t>
      </w:r>
      <w:r/>
    </w:p>
    <w:p>
      <w:pPr>
        <w:ind w:firstLine="482"/>
        <w:spacing w:line="500" w:lineRule="exact"/>
        <w:rPr>
          <w:rFonts w:ascii="宋体" w:hAnsi="宋体" w:cs="宋体"/>
          <w:bCs/>
          <w:i/>
          <w:color w:val="000000"/>
          <w:sz w:val="24"/>
          <w:szCs w:val="21"/>
          <w:u w:val="single"/>
        </w:rPr>
      </w:pPr>
      <w:r>
        <w:rPr>
          <w:rFonts w:hint="eastAsia" w:ascii="宋体" w:hAnsi="宋体" w:cs="宋体"/>
          <w:b/>
          <w:i/>
          <w:color w:val="000000"/>
          <w:sz w:val="24"/>
          <w:szCs w:val="21"/>
          <w:u w:val="single"/>
        </w:rPr>
        <w:t xml:space="preserve">3、</w:t>
      </w:r>
      <w:r>
        <w:rPr>
          <w:rFonts w:hint="eastAsia" w:ascii="宋体" w:hAnsi="宋体" w:cs="宋体"/>
          <w:b/>
          <w:i/>
          <w:color w:val="000000"/>
          <w:sz w:val="24"/>
          <w:szCs w:val="21"/>
          <w:u w:val="single"/>
          <w:lang w:val="zh-CN"/>
        </w:rPr>
        <w:t xml:space="preserve">交货地点：</w:t>
      </w:r>
      <w:r>
        <w:rPr>
          <w:rFonts w:hint="eastAsia" w:ascii="宋体" w:hAnsi="宋体" w:cs="宋体"/>
          <w:i/>
          <w:color w:val="000000"/>
          <w:sz w:val="24"/>
          <w:u w:val="single"/>
        </w:rPr>
        <w:t xml:space="preserve">甲方指定地点。</w:t>
      </w:r>
      <w:r/>
    </w:p>
    <w:p>
      <w:pPr>
        <w:ind w:firstLine="482"/>
        <w:spacing w:line="500" w:lineRule="exact"/>
        <w:rPr>
          <w:rFonts w:ascii="宋体" w:hAnsi="宋体"/>
          <w:b/>
          <w:i/>
          <w:color w:val="000000"/>
          <w:sz w:val="24"/>
          <w:szCs w:val="21"/>
          <w:u w:val="single"/>
          <w:lang w:val="en"/>
        </w:rPr>
      </w:pPr>
      <w:r>
        <w:rPr>
          <w:rFonts w:hint="eastAsia" w:ascii="宋体" w:hAnsi="宋体"/>
          <w:b/>
          <w:i/>
          <w:color w:val="000000"/>
          <w:sz w:val="24"/>
          <w:szCs w:val="21"/>
          <w:u w:val="single"/>
          <w:lang w:val="en"/>
        </w:rPr>
        <w:t xml:space="preserve">4、维保期及售后技术服务要求</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.3.提供7×24小时的故障受理及技术咨询服务，接到报修电话通知后，在2小时内响应并在24小时内安排处理，对于七天内不能修复的设备，提供同型号或性能相近的备用设备。</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500" w:lineRule="exact"/>
        <w:tabs>
          <w:tab w:val="left" w:pos="851" w:leader="none"/>
        </w:tabs>
        <w:rPr>
          <w:rFonts w:ascii="宋体" w:hAnsi="宋体"/>
          <w:b/>
          <w:bCs/>
          <w:i/>
          <w:color w:val="000000"/>
          <w:sz w:val="24"/>
          <w:szCs w:val="21"/>
          <w:u w:val="single"/>
          <w:lang w:val="en"/>
        </w:rPr>
      </w:pPr>
      <w:r>
        <w:rPr>
          <w:rFonts w:ascii="宋体" w:hAnsi="宋体"/>
          <w:b/>
          <w:bCs/>
          <w:i/>
          <w:color w:val="000000"/>
          <w:sz w:val="24"/>
          <w:szCs w:val="21"/>
          <w:u w:val="single"/>
          <w:lang w:val="en"/>
        </w:rPr>
        <w:t xml:space="preserve">5</w:t>
      </w:r>
      <w:r>
        <w:rPr>
          <w:rFonts w:hint="eastAsia" w:ascii="宋体" w:hAnsi="宋体"/>
          <w:b/>
          <w:bCs/>
          <w:i/>
          <w:color w:val="000000"/>
          <w:sz w:val="24"/>
          <w:szCs w:val="21"/>
          <w:u w:val="single"/>
          <w:lang w:val="en"/>
        </w:rPr>
        <w:t xml:space="preserve">.培训服务要求:</w:t>
      </w:r>
      <w:r/>
    </w:p>
    <w:p>
      <w:pPr>
        <w:ind w:firstLine="480"/>
        <w:spacing w:line="500" w:lineRule="exact"/>
        <w:tabs>
          <w:tab w:val="left" w:pos="851" w:leader="none"/>
        </w:tabs>
        <w:rPr>
          <w:rFonts w:ascii="宋体" w:hAnsi="宋体"/>
          <w:bCs/>
          <w:i/>
          <w:color w:val="000000"/>
          <w:sz w:val="24"/>
          <w:szCs w:val="21"/>
          <w:u w:val="single"/>
          <w:lang w:val="en"/>
        </w:rPr>
      </w:pPr>
      <w:r>
        <w:rPr>
          <w:rFonts w:hint="eastAsia" w:ascii="宋体" w:hAnsi="宋体"/>
          <w:bCs/>
          <w:i/>
          <w:color w:val="000000"/>
          <w:sz w:val="24"/>
          <w:szCs w:val="21"/>
          <w:u w:val="single"/>
          <w:lang w:val="en"/>
        </w:rPr>
        <w:t xml:space="preserve">5</w:t>
      </w:r>
      <w:r>
        <w:rPr>
          <w:rFonts w:ascii="宋体" w:hAnsi="宋体"/>
          <w:bCs/>
          <w:i/>
          <w:color w:val="000000"/>
          <w:sz w:val="24"/>
          <w:szCs w:val="21"/>
          <w:u w:val="single"/>
          <w:lang w:val="en"/>
        </w:rPr>
        <w:t xml:space="preserve">.1</w:t>
      </w:r>
      <w:r>
        <w:rPr>
          <w:rFonts w:hint="eastAsia" w:ascii="宋体" w:hAnsi="宋体"/>
          <w:bCs/>
          <w:i/>
          <w:color w:val="000000"/>
          <w:sz w:val="24"/>
          <w:szCs w:val="21"/>
          <w:u w:val="single"/>
          <w:lang w:val="en"/>
        </w:rPr>
        <w:t xml:space="preserve">包括技术、维修和操作培训，含工作原理，设备的编程、操作使用和维护方法，达到正确检修、维护和排除故障的水平。保证受培训人员能独立操作，培训费用由中标单位承担。</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5.2</w:t>
      </w:r>
      <w:r>
        <w:rPr>
          <w:rFonts w:hint="eastAsia" w:ascii="宋体" w:hAnsi="宋体"/>
          <w:bCs/>
          <w:i/>
          <w:color w:val="000000"/>
          <w:sz w:val="24"/>
          <w:szCs w:val="21"/>
          <w:u w:val="single"/>
          <w:lang w:val="en"/>
        </w:rPr>
        <w:t xml:space="preserve">设备保修期满以后，中标单位依然能提供广泛而优惠的技术支持及备件供应。</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5.3</w:t>
      </w:r>
      <w:r>
        <w:rPr>
          <w:rFonts w:hint="eastAsia" w:ascii="宋体" w:hAnsi="宋体"/>
          <w:bCs/>
          <w:i/>
          <w:color w:val="000000"/>
          <w:sz w:val="24"/>
          <w:szCs w:val="21"/>
          <w:u w:val="single"/>
          <w:lang w:val="en"/>
        </w:rPr>
        <w:t xml:space="preserve">由于中标单位提供的产品质量问题造成采购单位的财产损失或使用安全问题，由中标单位负责。</w:t>
      </w:r>
      <w:r/>
    </w:p>
    <w:p>
      <w:pPr>
        <w:ind w:firstLine="482"/>
        <w:spacing w:line="500" w:lineRule="exact"/>
        <w:tabs>
          <w:tab w:val="left" w:pos="851" w:leader="none"/>
        </w:tabs>
        <w:rPr>
          <w:rFonts w:ascii="宋体" w:hAnsi="宋体"/>
          <w:b/>
          <w:i/>
          <w:color w:val="000000"/>
          <w:sz w:val="24"/>
          <w:szCs w:val="21"/>
          <w:u w:val="single"/>
          <w:lang w:val="en"/>
        </w:rPr>
      </w:pPr>
      <w:r>
        <w:rPr>
          <w:rFonts w:ascii="宋体" w:hAnsi="宋体"/>
          <w:b/>
          <w:i/>
          <w:color w:val="000000"/>
          <w:sz w:val="24"/>
          <w:szCs w:val="21"/>
          <w:u w:val="single"/>
          <w:lang w:val="en"/>
        </w:rPr>
        <w:t xml:space="preserve">6</w:t>
      </w:r>
      <w:r>
        <w:rPr>
          <w:rFonts w:hint="eastAsia" w:ascii="宋体" w:hAnsi="宋体"/>
          <w:b/>
          <w:bCs/>
          <w:i/>
          <w:color w:val="000000"/>
          <w:sz w:val="24"/>
          <w:szCs w:val="21"/>
          <w:u w:val="single"/>
          <w:lang w:val="en"/>
        </w:rPr>
        <w:t xml:space="preserve">.</w:t>
      </w:r>
      <w:r>
        <w:rPr>
          <w:rFonts w:hint="eastAsia" w:ascii="宋体" w:hAnsi="宋体"/>
          <w:b/>
          <w:i/>
          <w:color w:val="000000"/>
          <w:sz w:val="24"/>
          <w:szCs w:val="21"/>
          <w:u w:val="single"/>
          <w:lang w:val="en"/>
        </w:rPr>
        <w:t xml:space="preserve">质量标准：</w:t>
      </w:r>
      <w:r/>
    </w:p>
    <w:p>
      <w:pPr>
        <w:ind w:firstLine="480"/>
        <w:spacing w:line="500" w:lineRule="exact"/>
        <w:tabs>
          <w:tab w:val="left" w:pos="851" w:leader="none"/>
        </w:tabs>
        <w:rPr>
          <w:rFonts w:ascii="宋体" w:hAnsi="宋体"/>
          <w:bCs/>
          <w:i/>
          <w:color w:val="000000"/>
          <w:sz w:val="24"/>
          <w:szCs w:val="21"/>
          <w:u w:val="single"/>
          <w:lang w:val="en"/>
        </w:rPr>
      </w:pPr>
      <w:r>
        <w:rPr>
          <w:rFonts w:hint="eastAsia" w:ascii="宋体" w:hAnsi="宋体"/>
          <w:bCs/>
          <w:i/>
          <w:color w:val="000000"/>
          <w:sz w:val="24"/>
          <w:szCs w:val="21"/>
          <w:u w:val="single"/>
          <w:lang w:val="en"/>
        </w:rPr>
        <w:t xml:space="preserve">符合国家现行相关规范标准及有关部门颁布的相应的最新标准，并满足招标人的使用需求。</w:t>
      </w:r>
      <w:r/>
    </w:p>
    <w:p>
      <w:pPr>
        <w:ind w:firstLine="482"/>
        <w:spacing w:line="500" w:lineRule="exact"/>
        <w:rPr>
          <w:i/>
          <w:color w:val="000000"/>
          <w:szCs w:val="21"/>
          <w:u w:val="single"/>
        </w:rPr>
      </w:pPr>
      <w:r>
        <w:rPr>
          <w:rFonts w:ascii="宋体" w:hAnsi="宋体"/>
          <w:b/>
          <w:i/>
          <w:color w:val="000000"/>
          <w:sz w:val="24"/>
          <w:szCs w:val="21"/>
          <w:u w:val="single"/>
        </w:rPr>
        <w:t xml:space="preserve">7</w:t>
      </w:r>
      <w:r>
        <w:rPr>
          <w:rFonts w:hint="eastAsia" w:ascii="宋体" w:hAnsi="宋体"/>
          <w:b/>
          <w:bCs/>
          <w:i/>
          <w:color w:val="000000"/>
          <w:sz w:val="24"/>
          <w:szCs w:val="21"/>
          <w:u w:val="single"/>
          <w:lang w:val="en"/>
        </w:rPr>
        <w:t xml:space="preserve">.</w:t>
      </w:r>
      <w:r>
        <w:rPr>
          <w:rFonts w:hint="eastAsia" w:ascii="宋体" w:hAnsi="宋体"/>
          <w:b/>
          <w:i/>
          <w:color w:val="000000"/>
          <w:sz w:val="24"/>
          <w:szCs w:val="21"/>
          <w:u w:val="single"/>
        </w:rPr>
        <w:t xml:space="preserve">合同款</w:t>
      </w:r>
      <w:r>
        <w:rPr>
          <w:rFonts w:ascii="宋体" w:hAnsi="宋体"/>
          <w:b/>
          <w:i/>
          <w:color w:val="000000"/>
          <w:sz w:val="24"/>
          <w:szCs w:val="21"/>
          <w:u w:val="single"/>
          <w:lang w:val="zh-CN"/>
        </w:rPr>
        <w:t xml:space="preserve">支付</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w:t>
      </w:r>
      <w:r>
        <w:rPr>
          <w:rFonts w:hint="eastAsia" w:ascii="宋体" w:hAnsi="宋体"/>
          <w:bCs/>
          <w:i/>
          <w:color w:val="000000"/>
          <w:sz w:val="24"/>
          <w:szCs w:val="21"/>
          <w:u w:val="single"/>
          <w:lang w:val="zh-CN"/>
        </w:rPr>
        <w:t xml:space="preserve">合同款项的支付方式及进度安排：</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7.1.1</w:t>
      </w:r>
      <w:r>
        <w:rPr>
          <w:rFonts w:hint="eastAsia" w:ascii="宋体" w:hAnsi="宋体"/>
          <w:bCs/>
          <w:i/>
          <w:color w:val="000000"/>
          <w:sz w:val="24"/>
          <w:szCs w:val="21"/>
          <w:u w:val="single"/>
          <w:lang w:val="zh-CN"/>
        </w:rPr>
        <w:t xml:space="preserve">预付款支付时间：自合同签订生效之日起，收到乙方发票10个工作日内，预付款支付比例：合同金额的30%。（</w:t>
      </w:r>
      <w:r>
        <w:rPr>
          <w:rFonts w:hint="eastAsia" w:ascii="宋体" w:hAnsi="宋体" w:cs="宋体"/>
          <w:i/>
          <w:color w:val="000000"/>
          <w:sz w:val="24"/>
          <w:u w:val="single"/>
        </w:rPr>
        <w:t xml:space="preserve">在签订合同时，供应商明确表示无需预付款或者主动要求降低预付款比例的，采购人可不适用前述规定</w:t>
      </w:r>
      <w:r>
        <w:rPr>
          <w:rFonts w:hint="eastAsia" w:ascii="宋体" w:hAnsi="宋体"/>
          <w:bCs/>
          <w:i/>
          <w:color w:val="000000"/>
          <w:sz w:val="24"/>
          <w:szCs w:val="21"/>
          <w:u w:val="single"/>
          <w:lang w:val="zh-CN"/>
        </w:rPr>
        <w:t xml:space="preserve">）</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7.1.2</w:t>
      </w:r>
      <w:r>
        <w:rPr>
          <w:rFonts w:hint="eastAsia" w:ascii="宋体" w:hAnsi="宋体"/>
          <w:bCs/>
          <w:i/>
          <w:color w:val="000000"/>
          <w:sz w:val="24"/>
          <w:szCs w:val="21"/>
          <w:u w:val="single"/>
          <w:lang w:val="zh-CN"/>
        </w:rPr>
        <w:t xml:space="preserve">尾款支付时间：产品验收通过,采购人收到发票后10个工作日内，尾款支付比例：合同金额的70%。</w:t>
      </w:r>
      <w:r/>
    </w:p>
    <w:p>
      <w:pPr>
        <w:ind w:firstLine="482"/>
        <w:spacing w:line="500" w:lineRule="exact"/>
        <w:rPr>
          <w:rFonts w:ascii="宋体" w:hAnsi="宋体" w:cs="宋体"/>
          <w:b/>
          <w:i/>
          <w:iCs/>
          <w:sz w:val="24"/>
          <w:u w:val="single"/>
        </w:rPr>
      </w:pPr>
      <w:r>
        <w:rPr>
          <w:rFonts w:hint="eastAsia" w:ascii="宋体" w:hAnsi="宋体" w:cs="宋体"/>
          <w:b/>
          <w:i/>
          <w:iCs/>
          <w:sz w:val="24"/>
          <w:u w:val="single"/>
        </w:rPr>
        <w:t xml:space="preserve">注：商务条款中斜体且有下划线部分为为实质性要求，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p>
    <w:p>
      <w:pPr>
        <w:numPr>
          <w:ilvl w:val="0"/>
          <w:numId w:val="6"/>
        </w:numPr>
        <w:ind w:firstLine="482"/>
        <w:jc w:val="left"/>
        <w:spacing w:line="500" w:lineRule="exact"/>
        <w:rPr>
          <w:rFonts w:ascii="宋体" w:hAnsi="宋体"/>
          <w:b/>
          <w:color w:val="000000"/>
          <w:sz w:val="24"/>
          <w:szCs w:val="21"/>
        </w:rPr>
      </w:pPr>
      <w:r>
        <w:rPr>
          <w:rFonts w:hint="eastAsia" w:ascii="宋体" w:hAnsi="宋体"/>
          <w:b/>
          <w:color w:val="000000"/>
          <w:sz w:val="24"/>
          <w:szCs w:val="21"/>
        </w:rPr>
        <w:t xml:space="preserve">其他要求</w:t>
      </w:r>
      <w:r/>
    </w:p>
    <w:p>
      <w:pPr>
        <w:ind w:firstLine="480"/>
        <w:spacing w:line="560" w:lineRule="exact"/>
        <w:widowControl/>
        <w:rPr>
          <w:rFonts w:ascii="宋体" w:hAnsi="宋体"/>
          <w:b/>
          <w:color w:val="000000"/>
          <w:sz w:val="24"/>
          <w:szCs w:val="21"/>
          <w:lang w:val="en"/>
        </w:rPr>
      </w:pPr>
      <w:r>
        <w:rPr>
          <w:rFonts w:hint="eastAsia" w:ascii="宋体" w:hAnsi="宋体" w:cs="宋体"/>
          <w:b/>
          <w:color w:val="000000"/>
          <w:sz w:val="28"/>
        </w:rPr>
        <w:t xml:space="preserve">1.</w:t>
      </w:r>
      <w:r>
        <w:rPr>
          <w:rFonts w:ascii="宋体" w:hAnsi="宋体" w:cs="宋体"/>
          <w:b/>
          <w:color w:val="000000"/>
          <w:sz w:val="28"/>
        </w:rPr>
        <w:t xml:space="preserve">方案要求</w:t>
      </w:r>
      <w:r/>
    </w:p>
    <w:p>
      <w:pPr>
        <w:ind w:firstLine="480"/>
        <w:spacing w:line="500" w:lineRule="exact"/>
        <w:rPr>
          <w:rFonts w:ascii="宋体" w:hAnsi="宋体" w:cs="宋体"/>
          <w:sz w:val="24"/>
          <w:szCs w:val="21"/>
        </w:rPr>
      </w:pPr>
      <w:r>
        <w:rPr>
          <w:rFonts w:hint="eastAsia" w:ascii="宋体" w:hAnsi="宋体" w:cs="宋体"/>
          <w:color w:val="000000"/>
          <w:sz w:val="24"/>
        </w:rPr>
        <w:t xml:space="preserve">1.</w:t>
      </w:r>
      <w:r>
        <w:rPr>
          <w:rFonts w:hint="eastAsia" w:ascii="宋体" w:hAnsi="宋体" w:cs="宋体"/>
          <w:b/>
          <w:color w:val="000000"/>
          <w:sz w:val="24"/>
        </w:rPr>
        <w:t xml:space="preserve">实施进度及技术：</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本次项目的进度及设备技术</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firstLine="480"/>
        <w:spacing w:line="500" w:lineRule="exact"/>
        <w:rPr>
          <w:rFonts w:ascii="宋体" w:hAnsi="宋体" w:cs="宋体"/>
          <w:sz w:val="24"/>
          <w:szCs w:val="21"/>
        </w:rPr>
      </w:pPr>
      <w:r>
        <w:rPr>
          <w:rFonts w:hint="eastAsia" w:ascii="宋体" w:hAnsi="宋体" w:cs="宋体"/>
          <w:sz w:val="24"/>
          <w:szCs w:val="21"/>
        </w:rPr>
        <w:t xml:space="preserve">（1）投标人应根据采购需求和本项目实际，提供本项目实施方案，方案应包括：进度安排</w:t>
      </w:r>
      <w:r>
        <w:rPr>
          <w:rFonts w:hint="eastAsia" w:ascii="宋体" w:hAnsi="宋体" w:cs="宋体"/>
          <w:bCs/>
          <w:color w:val="000000"/>
          <w:sz w:val="24"/>
        </w:rPr>
        <w:t xml:space="preserve">必须在合同签订后60个日历天内完成到货、安装、调试工作并交付使用，中标价包括安装调试过程中产生的一切费用并提供</w:t>
      </w:r>
      <w:r>
        <w:rPr>
          <w:rFonts w:hint="eastAsia" w:ascii="宋体" w:hAnsi="宋体" w:cs="宋体"/>
          <w:sz w:val="24"/>
          <w:szCs w:val="21"/>
        </w:rPr>
        <w:t xml:space="preserve">进度计划表。</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设备保修期满以后，中标单位依然能提供广泛而优惠的技术支持及备件供应。符合国家现行相关规范标准及有关部门颁布的相应的最新标准，并满足招标人的使用需求。</w:t>
      </w:r>
      <w:r/>
    </w:p>
    <w:p>
      <w:pPr>
        <w:ind w:firstLine="482"/>
        <w:spacing w:before="60" w:after="60" w:line="440" w:lineRule="exact"/>
        <w:rPr>
          <w:rFonts w:ascii="宋体" w:hAnsi="宋体"/>
          <w:bCs/>
          <w:color w:val="000000"/>
          <w:sz w:val="24"/>
          <w:szCs w:val="21"/>
          <w:lang w:val="en"/>
        </w:rPr>
      </w:pPr>
      <w:r>
        <w:rPr>
          <w:rFonts w:hint="eastAsia" w:ascii="宋体" w:hAnsi="宋体"/>
          <w:b/>
          <w:bCs/>
          <w:color w:val="000000"/>
          <w:sz w:val="24"/>
          <w:szCs w:val="21"/>
          <w:lang w:val="en"/>
        </w:rPr>
        <w:t xml:space="preserve">2．售后服务方案；</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w:t>
      </w:r>
      <w:r>
        <w:rPr>
          <w:rFonts w:hint="eastAsia" w:ascii="宋体" w:hAnsi="宋体" w:cs="宋体"/>
          <w:color w:val="000000"/>
          <w:sz w:val="24"/>
        </w:rPr>
        <w:t xml:space="preserve">售后服务具体实施</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3</w:t>
      </w:r>
      <w:r>
        <w:rPr>
          <w:rFonts w:hint="eastAsia" w:ascii="宋体" w:hAnsi="宋体"/>
          <w:bCs/>
          <w:color w:val="000000"/>
          <w:sz w:val="24"/>
          <w:szCs w:val="21"/>
          <w:lang w:val="en"/>
        </w:rPr>
        <w:t xml:space="preserve">）提供7×24小时的故障受理及技术咨询服务，接到报修电话通知后，在2小时内响应并在24小时内安排处理，对于七天内不能修复的设备，提供同型号或性能相近的备用设备。</w:t>
      </w:r>
      <w:r/>
    </w:p>
    <w:p>
      <w:pPr>
        <w:ind w:firstLine="482"/>
        <w:spacing w:before="60" w:after="60" w:line="440" w:lineRule="exact"/>
        <w:rPr>
          <w:rFonts w:ascii="宋体" w:hAnsi="宋体"/>
          <w:bCs/>
          <w:color w:val="000000"/>
          <w:sz w:val="24"/>
          <w:szCs w:val="21"/>
          <w:lang w:val="en"/>
        </w:rPr>
      </w:pPr>
      <w:r>
        <w:rPr>
          <w:rFonts w:hint="eastAsia" w:ascii="宋体" w:hAnsi="宋体" w:cs="宋体"/>
          <w:b/>
          <w:color w:val="000000"/>
          <w:sz w:val="24"/>
        </w:rPr>
        <w:t xml:space="preserve">3.培训方案</w:t>
      </w:r>
      <w:r>
        <w:rPr>
          <w:rFonts w:hint="eastAsia" w:ascii="宋体" w:hAnsi="宋体"/>
          <w:b/>
          <w:color w:val="000000"/>
          <w:sz w:val="24"/>
          <w:szCs w:val="21"/>
          <w:lang w:val="en"/>
        </w:rPr>
        <w:t xml:space="preserve">包括</w:t>
      </w:r>
      <w:r>
        <w:rPr>
          <w:rFonts w:hint="eastAsia" w:ascii="宋体" w:hAnsi="宋体"/>
          <w:bCs/>
          <w:color w:val="000000"/>
          <w:sz w:val="24"/>
          <w:szCs w:val="21"/>
          <w:lang w:val="en"/>
        </w:rPr>
        <w:t xml:space="preserve">：</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w:t>
      </w:r>
      <w:r>
        <w:rPr>
          <w:rFonts w:hint="eastAsia" w:ascii="宋体" w:hAnsi="宋体" w:cs="宋体"/>
          <w:color w:val="000000"/>
          <w:sz w:val="24"/>
        </w:rPr>
        <w:t xml:space="preserve">培训方案具体实施</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left="420"/>
        <w:spacing w:line="500" w:lineRule="exact"/>
        <w:tabs>
          <w:tab w:val="left" w:pos="851" w:leader="none"/>
        </w:tabs>
        <w:rPr>
          <w:rFonts w:ascii="宋体" w:hAnsi="宋体"/>
          <w:color w:val="000000"/>
          <w:sz w:val="24"/>
          <w:lang w:val="en"/>
        </w:rPr>
      </w:pP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hint="eastAsia" w:ascii="宋体" w:hAnsi="宋体"/>
          <w:bCs/>
          <w:color w:val="000000"/>
          <w:sz w:val="24"/>
          <w:szCs w:val="21"/>
          <w:lang w:val="en"/>
        </w:rPr>
        <w:t xml:space="preserve">包括技术、维修和操作培训，含工作原理，设备的编程、操作使用和维护方法</w:t>
      </w:r>
      <w:r>
        <w:rPr>
          <w:rFonts w:ascii="宋体" w:hAnsi="宋体"/>
          <w:bCs/>
          <w:color w:val="000000"/>
          <w:sz w:val="24"/>
          <w:szCs w:val="21"/>
          <w:lang w:val="en"/>
        </w:rPr>
        <w:t xml:space="preserve"> </w:t>
      </w:r>
      <w:r>
        <w:rPr>
          <w:rFonts w:hint="eastAsia" w:ascii="宋体" w:hAnsi="宋体"/>
          <w:bCs/>
          <w:color w:val="000000"/>
          <w:sz w:val="24"/>
          <w:szCs w:val="21"/>
          <w:lang w:val="en"/>
        </w:rPr>
        <w:t xml:space="preserve">。</w:t>
      </w:r>
      <w:r/>
    </w:p>
    <w:p>
      <w:pPr>
        <w:ind w:left="420"/>
        <w:spacing w:line="500" w:lineRule="exact"/>
        <w:tabs>
          <w:tab w:val="left" w:pos="851" w:leader="none"/>
        </w:tabs>
        <w:rPr>
          <w:rFonts w:ascii="宋体" w:hAnsi="宋体"/>
          <w:color w:val="000000"/>
          <w:sz w:val="24"/>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p>
    <w:p>
      <w:pPr>
        <w:ind w:firstLine="480"/>
        <w:jc w:val="left"/>
        <w:spacing w:line="500" w:lineRule="exact"/>
        <w:rPr>
          <w:rFonts w:ascii="宋体" w:hAnsi="宋体"/>
          <w:bCs/>
          <w:color w:val="000000"/>
          <w:sz w:val="24"/>
          <w:szCs w:val="21"/>
          <w:lang w:val="en"/>
        </w:rPr>
      </w:pPr>
      <w:r/>
      <w:bookmarkStart w:id="164" w:name="OLE_LINK63"/>
      <w:r/>
      <w:bookmarkStart w:id="165" w:name="OLE_LINK62"/>
      <w:r>
        <w:rPr>
          <w:rFonts w:hint="eastAsia" w:ascii="宋体" w:hAnsi="宋体"/>
          <w:bCs/>
          <w:color w:val="000000"/>
          <w:sz w:val="24"/>
          <w:szCs w:val="21"/>
        </w:rPr>
        <w:t xml:space="preserve">4.</w:t>
      </w:r>
      <w:r>
        <w:rPr>
          <w:rFonts w:hint="eastAsia" w:ascii="宋体" w:hAnsi="宋体"/>
          <w:bCs/>
          <w:color w:val="000000"/>
          <w:sz w:val="24"/>
          <w:szCs w:val="21"/>
          <w:lang w:val="en"/>
        </w:rPr>
        <w:t xml:space="preserve">投标人需具有</w:t>
      </w:r>
      <w:r>
        <w:rPr>
          <w:rFonts w:hint="eastAsia" w:ascii="宋体" w:hAnsi="宋体" w:cs="宋体"/>
          <w:sz w:val="24"/>
        </w:rPr>
        <w:t xml:space="preserve">（</w:t>
      </w:r>
      <w:r>
        <w:rPr>
          <w:rFonts w:hint="eastAsia" w:ascii="宋体" w:hAnsi="宋体" w:cs="宋体"/>
          <w:color w:val="000000"/>
          <w:sz w:val="24"/>
        </w:rPr>
        <w:t xml:space="preserve">心理健康相关设备</w:t>
      </w:r>
      <w:r>
        <w:rPr>
          <w:rFonts w:hint="eastAsia" w:ascii="宋体" w:hAnsi="宋体" w:cs="宋体"/>
          <w:sz w:val="24"/>
        </w:rPr>
        <w:t xml:space="preserve">）</w:t>
      </w:r>
      <w:r>
        <w:rPr>
          <w:rFonts w:hint="eastAsia" w:ascii="宋体" w:hAnsi="宋体"/>
          <w:bCs/>
          <w:color w:val="000000"/>
          <w:sz w:val="24"/>
          <w:szCs w:val="21"/>
          <w:lang w:val="en"/>
        </w:rPr>
        <w:t xml:space="preserve">相关承接经验，为了确保项目的顺利实施，投标人自202</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年1月1日（以合同签订时间为准）起</w:t>
      </w:r>
      <w:r>
        <w:rPr>
          <w:rFonts w:hint="eastAsia" w:ascii="宋体" w:hAnsi="宋体" w:cs="宋体"/>
          <w:color w:val="000000"/>
          <w:sz w:val="24"/>
        </w:rPr>
        <w:t xml:space="preserve">类</w:t>
      </w:r>
      <w:r>
        <w:rPr>
          <w:rFonts w:hint="eastAsia" w:ascii="宋体" w:hAnsi="宋体"/>
          <w:bCs/>
          <w:color w:val="000000"/>
          <w:sz w:val="24"/>
          <w:szCs w:val="21"/>
          <w:lang w:val="en"/>
        </w:rPr>
        <w:t xml:space="preserve">似案例（</w:t>
      </w:r>
      <w:r>
        <w:rPr>
          <w:rFonts w:hint="eastAsia" w:ascii="宋体" w:hAnsi="宋体" w:cs="宋体"/>
          <w:color w:val="000000"/>
          <w:sz w:val="24"/>
        </w:rPr>
        <w:t xml:space="preserve">心理健康相关设备</w:t>
      </w:r>
      <w:r>
        <w:rPr>
          <w:rFonts w:hint="eastAsia" w:ascii="宋体" w:hAnsi="宋体"/>
          <w:bCs/>
          <w:color w:val="000000"/>
          <w:sz w:val="24"/>
          <w:szCs w:val="21"/>
          <w:lang w:val="en"/>
        </w:rPr>
        <w:t xml:space="preserve">）业绩的优先。</w:t>
      </w:r>
      <w:bookmarkEnd w:id="164"/>
      <w:r/>
      <w:bookmarkEnd w:id="165"/>
      <w:r/>
      <w:r/>
    </w:p>
    <w:p>
      <w:pPr>
        <w:ind w:firstLine="480"/>
        <w:jc w:val="left"/>
        <w:spacing w:line="500" w:lineRule="exact"/>
        <w:rPr>
          <w:rFonts w:ascii="宋体" w:hAnsi="宋体"/>
          <w:bCs/>
          <w:color w:val="000000"/>
          <w:sz w:val="24"/>
          <w:szCs w:val="21"/>
        </w:rPr>
      </w:pPr>
      <w:r>
        <w:rPr>
          <w:rFonts w:hint="eastAsia" w:ascii="宋体" w:hAnsi="宋体"/>
          <w:bCs/>
          <w:color w:val="000000"/>
          <w:sz w:val="24"/>
          <w:szCs w:val="21"/>
          <w:lang w:val="en-US" w:eastAsia="zh-CN"/>
        </w:rPr>
        <w:t xml:space="preserve">5</w:t>
      </w:r>
      <w:r>
        <w:rPr>
          <w:rFonts w:hint="eastAsia" w:ascii="宋体" w:hAnsi="宋体"/>
          <w:bCs/>
          <w:color w:val="000000"/>
          <w:sz w:val="24"/>
          <w:szCs w:val="21"/>
        </w:rPr>
        <w:t xml:space="preserve">.</w:t>
      </w:r>
      <w:r>
        <w:rPr>
          <w:rFonts w:hint="eastAsia" w:ascii="宋体" w:hAnsi="宋体" w:cs="宋体"/>
          <w:color w:val="000000"/>
          <w:sz w:val="24"/>
        </w:rPr>
        <w:t xml:space="preserve">在三年质保服务期的基础上，每增加质保的优先。</w:t>
      </w:r>
      <w:r/>
    </w:p>
    <w:p>
      <w:pPr>
        <w:ind w:firstLine="480"/>
        <w:jc w:val="left"/>
        <w:spacing w:line="500" w:lineRule="exact"/>
        <w:rPr>
          <w:rFonts w:hint="eastAsia" w:ascii="宋体" w:hAnsi="宋体" w:cs="宋体"/>
          <w:sz w:val="24"/>
        </w:rPr>
      </w:pPr>
      <w:r>
        <w:rPr>
          <w:rFonts w:hint="eastAsia" w:ascii="宋体" w:hAnsi="宋体"/>
          <w:bCs/>
          <w:color w:val="000000"/>
          <w:sz w:val="24"/>
          <w:szCs w:val="21"/>
          <w:lang w:val="en-US" w:eastAsia="zh-CN"/>
        </w:rPr>
        <w:t xml:space="preserve">6</w:t>
      </w:r>
      <w:r>
        <w:rPr>
          <w:rFonts w:hint="eastAsia" w:ascii="宋体" w:hAnsi="宋体"/>
          <w:bCs/>
          <w:color w:val="000000"/>
          <w:sz w:val="24"/>
          <w:szCs w:val="21"/>
        </w:rPr>
        <w:t xml:space="preserve">.</w:t>
      </w:r>
      <w:r>
        <w:rPr>
          <w:rFonts w:hint="eastAsia" w:ascii="宋体" w:hAnsi="宋体"/>
          <w:bCs/>
          <w:color w:val="000000"/>
          <w:sz w:val="24"/>
          <w:szCs w:val="21"/>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rPr>
        <w:t xml:space="preserve">有效的是指开标当日有效的证书。</w:t>
      </w:r>
      <w:r/>
    </w:p>
    <w:p>
      <w:pPr>
        <w:ind w:firstLine="480"/>
        <w:jc w:val="left"/>
        <w:spacing w:line="500" w:lineRule="exact"/>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szCs w:val="32"/>
          <w:lang w:val="en-US" w:eastAsia="zh-CN"/>
        </w:rPr>
        <w:t xml:space="preserve">7.</w:t>
      </w:r>
      <w:r>
        <w:rPr>
          <w:rFonts w:ascii="宋体" w:hAnsi="宋体" w:eastAsia="宋体" w:cs="宋体"/>
          <w:b w:val="0"/>
          <w:bCs/>
          <w:color w:val="auto"/>
          <w:sz w:val="24"/>
          <w:szCs w:val="32"/>
        </w:rPr>
        <w:t xml:space="preserve">供应商需按照招标文件规定的演示内容进行功能演示（视频画面须清晰，如不清晰导致评委无法评审的，责任由投标人自负），视频文件的格式为*.mp4或*.avi，供应商须将视频文件分段压缩为*.zip文件上传（单个文件不得大于50M，所有文件总共不得大于300M）。</w:t>
      </w:r>
      <w:r/>
    </w:p>
    <w:p>
      <w:pPr>
        <w:ind w:firstLine="420"/>
        <w:rPr>
          <w:rFonts w:hint="eastAsia" w:ascii="宋体" w:hAnsi="宋体"/>
          <w:b/>
          <w:color w:val="000000"/>
          <w:sz w:val="24"/>
          <w:szCs w:val="21"/>
        </w:rPr>
      </w:pPr>
      <w:r>
        <w:rPr>
          <w:rFonts w:hint="eastAsia" w:ascii="宋体" w:hAnsi="宋体"/>
          <w:b/>
          <w:color w:val="000000"/>
          <w:sz w:val="24"/>
          <w:szCs w:val="21"/>
        </w:rPr>
      </w:r>
      <w:r/>
    </w:p>
    <w:p>
      <w:pPr>
        <w:ind w:firstLine="420"/>
        <w:rPr>
          <w:rFonts w:ascii="宋体" w:hAnsi="宋体"/>
          <w:b/>
          <w:color w:val="000000"/>
          <w:sz w:val="24"/>
          <w:szCs w:val="21"/>
          <w:lang w:val="en"/>
        </w:rPr>
      </w:pPr>
      <w:r>
        <w:rPr>
          <w:rFonts w:hint="eastAsia" w:ascii="宋体" w:hAnsi="宋体"/>
          <w:b/>
          <w:color w:val="000000"/>
          <w:sz w:val="24"/>
          <w:szCs w:val="21"/>
        </w:rPr>
        <w:t xml:space="preserve">四.</w:t>
      </w:r>
      <w:r>
        <w:rPr>
          <w:rFonts w:hint="eastAsia" w:ascii="宋体" w:hAnsi="宋体"/>
          <w:b/>
          <w:color w:val="000000"/>
          <w:sz w:val="24"/>
          <w:szCs w:val="21"/>
          <w:lang w:val="en"/>
        </w:rPr>
        <w:t xml:space="preserve">采购标的对应的中小企业划分标准所属行业一览表</w:t>
      </w:r>
      <w:r/>
    </w:p>
    <w:p>
      <w:pPr>
        <w:rPr>
          <w:szCs w:val="21"/>
          <w:lang w:val="en"/>
        </w:rPr>
      </w:pPr>
      <w:r>
        <w:rPr>
          <w:szCs w:val="21"/>
          <w:lang w:val="en"/>
        </w:rPr>
      </w:r>
      <w:r/>
    </w:p>
    <w:tbl>
      <w:tblPr>
        <w:tblStyle w:val="680"/>
        <w:tblW w:w="933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63"/>
        <w:gridCol w:w="4422"/>
        <w:gridCol w:w="3653"/>
      </w:tblGrid>
      <w:tr>
        <w:trPr>
          <w:jc w:val="center"/>
          <w:tblCellSpacing w:w="0" w:type="dxa"/>
          <w:trHeight w:val="108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对应中小企业划分标准所属行业</w:t>
            </w:r>
            <w:r/>
          </w:p>
        </w:tc>
      </w:tr>
      <w:tr>
        <w:trPr>
          <w:jc w:val="center"/>
          <w:tblCellSpacing w:w="0" w:type="dxa"/>
          <w:trHeight w:val="116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1</w:t>
            </w:r>
            <w:r/>
          </w:p>
        </w:tc>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rPr>
              <w:t xml:space="preserve">江苏省盐城技师学院海洋路校区心理健康活动中心和学生职业生涯规划中心采购项目</w:t>
            </w:r>
            <w:r/>
          </w:p>
        </w:tc>
        <w:tc>
          <w:tcPr>
            <w:tcBorders>
              <w:top w:val="single" w:color="000000" w:sz="4" w:space="0"/>
              <w:left w:val="single" w:color="000000" w:sz="4" w:space="0"/>
              <w:bottom w:val="single" w:color="000000" w:sz="4" w:space="0"/>
              <w:right w:val="single" w:color="000000" w:sz="4" w:space="0"/>
            </w:tcBorders>
            <w:tcW w:w="3653"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工业</w:t>
            </w:r>
            <w:r/>
          </w:p>
        </w:tc>
      </w:tr>
    </w:tbl>
    <w:p>
      <w:pPr>
        <w:jc w:val="left"/>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ascii="黑体" w:hAnsi="宋体" w:eastAsia="黑体" w:cs="黑体"/>
          <w:color w:val="000000"/>
          <w:sz w:val="44"/>
          <w:szCs w:val="44"/>
        </w:rPr>
      </w:r>
      <w:r/>
    </w:p>
    <w:p>
      <w:pPr>
        <w:jc w:val="left"/>
        <w:spacing w:line="500" w:lineRule="exact"/>
        <w:rPr>
          <w:rFonts w:asciiTheme="minorEastAsia" w:hAnsiTheme="minorEastAsia" w:cstheme="minorEastAsia"/>
          <w:sz w:val="24"/>
        </w:rPr>
      </w:pPr>
      <w:r>
        <w:rPr>
          <w:rFonts w:hint="eastAsia" w:ascii="黑体" w:hAnsi="宋体" w:eastAsia="黑体" w:cs="黑体"/>
          <w:color w:val="000000"/>
          <w:sz w:val="44"/>
          <w:szCs w:val="44"/>
        </w:rPr>
        <w:br w:type="page" w:clear="all"/>
      </w:r>
      <w:r/>
    </w:p>
    <w:p>
      <w:pPr>
        <w:rPr>
          <w:rFonts w:ascii="黑体" w:hAnsi="宋体" w:eastAsia="黑体" w:cs="黑体"/>
          <w:color w:val="000000"/>
          <w:sz w:val="44"/>
          <w:szCs w:val="44"/>
        </w:rPr>
      </w:pPr>
      <w:r>
        <w:rPr>
          <w:rFonts w:ascii="黑体" w:hAnsi="宋体" w:eastAsia="黑体" w:cs="黑体"/>
          <w:color w:val="000000"/>
          <w:sz w:val="44"/>
          <w:szCs w:val="44"/>
        </w:rPr>
      </w:r>
      <w:r/>
    </w:p>
    <w:p>
      <w:pPr>
        <w:pStyle w:val="706"/>
        <w:ind w:firstLine="220"/>
        <w:jc w:val="center"/>
        <w:keepNext/>
        <w:spacing w:beforeAutospacing="0" w:afterAutospacing="0"/>
        <w:widowControl/>
        <w:outlineLvl w:val="0"/>
      </w:pPr>
      <w:r>
        <w:rPr>
          <w:rFonts w:hint="eastAsia" w:ascii="黑体" w:hAnsi="宋体" w:eastAsia="黑体" w:cs="黑体"/>
          <w:sz w:val="44"/>
          <w:szCs w:val="44"/>
        </w:rPr>
        <w:t xml:space="preserve">第五章 评标方法与评标标准</w:t>
      </w:r>
      <w:bookmarkEnd w:id="161"/>
      <w:r/>
      <w:r/>
    </w:p>
    <w:p>
      <w:pPr>
        <w:pStyle w:val="706"/>
        <w:jc w:val="both"/>
        <w:spacing w:beforeAutospacing="0" w:afterAutospacing="0"/>
        <w:widowControl/>
      </w:pPr>
      <w:r/>
      <w:r/>
    </w:p>
    <w:p>
      <w:pPr>
        <w:ind w:firstLine="482"/>
        <w:jc w:val="left"/>
        <w:spacing w:line="560" w:lineRule="exact"/>
        <w:widowControl/>
        <w:rPr>
          <w:rFonts w:ascii="宋体" w:hAnsi="宋体" w:eastAsia="宋体" w:cs="宋体"/>
          <w:b/>
          <w:bCs/>
          <w:sz w:val="24"/>
        </w:rPr>
        <w:outlineLvl w:val="1"/>
      </w:pPr>
      <w:r>
        <w:rPr>
          <w:rFonts w:hint="eastAsia" w:ascii="宋体" w:hAnsi="宋体" w:eastAsia="宋体" w:cs="宋体"/>
          <w:b/>
          <w:bCs/>
          <w:sz w:val="24"/>
        </w:rPr>
        <w:t xml:space="preserve">一、定标原则</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本项目采用</w:t>
      </w:r>
      <w:r>
        <w:rPr>
          <w:rFonts w:hint="eastAsia" w:ascii="宋体" w:hAnsi="宋体" w:eastAsia="宋体" w:cs="宋体"/>
          <w:sz w:val="24"/>
          <w:u w:val="single"/>
        </w:rPr>
        <w:t xml:space="preserve"> 综合评分 </w:t>
      </w:r>
      <w:r>
        <w:rPr>
          <w:rFonts w:hint="eastAsia" w:ascii="宋体" w:hAnsi="宋体" w:eastAsia="宋体" w:cs="宋体"/>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宋体" w:cs="宋体"/>
          <w:b/>
          <w:bCs/>
          <w:sz w:val="24"/>
        </w:rPr>
        <w:outlineLvl w:val="2"/>
      </w:pPr>
      <w:r>
        <w:rPr>
          <w:rFonts w:hint="eastAsia" w:ascii="宋体" w:hAnsi="宋体" w:eastAsia="宋体" w:cs="宋体"/>
          <w:b/>
          <w:bCs/>
          <w:sz w:val="24"/>
        </w:rPr>
        <w:t xml:space="preserve">政府采购政策功能落实</w:t>
      </w:r>
      <w:r/>
    </w:p>
    <w:p>
      <w:pPr>
        <w:ind w:firstLine="482"/>
        <w:jc w:val="left"/>
        <w:spacing w:line="560" w:lineRule="exact"/>
        <w:widowControl/>
        <w:rPr>
          <w:rFonts w:ascii="宋体" w:hAnsi="宋体" w:eastAsia="宋体" w:cs="宋体"/>
          <w:b/>
          <w:bCs/>
          <w:sz w:val="24"/>
        </w:rPr>
        <w:outlineLvl w:val="2"/>
      </w:pPr>
      <w:r>
        <w:rPr>
          <w:rFonts w:hint="eastAsia" w:ascii="宋体" w:hAnsi="宋体" w:eastAsia="宋体" w:cs="宋体"/>
          <w:b/>
          <w:bCs/>
          <w:sz w:val="24"/>
        </w:rPr>
        <w:t xml:space="preserve">1、小微型企业价格扣除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（1）本项目不专门面向中小企业采购，对小型和微型企业报价给予20%价格扣除，用扣除后的价格参与评审。</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2、残疾人福利单位价格扣除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（1）本项目对残疾人福利性单位视同小型、微型企业，给予20%的价格扣除。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3、监狱和戒毒企业价格扣除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（1）本项目对监狱和戒毒企业（简称监狱企业）视同小型、微型企业，给予20%的价格扣除。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5、采购本国产品的支持政策</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5.3 供应商需按照招标文件的要求提供《关于符合本国产品标准的声明函》（以下简称《声明函》），如不提供将不享受本国产品价格评审优惠。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二、评标方法与评标标准</w:t>
      </w:r>
      <w:r/>
    </w:p>
    <w:p>
      <w:pPr>
        <w:ind w:firstLine="482"/>
        <w:jc w:val="left"/>
        <w:spacing w:line="560" w:lineRule="exact"/>
        <w:widowControl/>
        <w:rPr>
          <w:rFonts w:ascii="宋体" w:hAnsi="宋体" w:eastAsia="宋体" w:cs="宋体"/>
          <w:sz w:val="24"/>
        </w:rPr>
      </w:pPr>
      <w:r>
        <w:rPr>
          <w:rFonts w:hint="eastAsia" w:ascii="宋体" w:hAnsi="宋体" w:eastAsia="宋体" w:cs="宋体"/>
          <w:sz w:val="24"/>
        </w:rPr>
        <w:t xml:space="preserve">本项目评分总分值为100分。</w:t>
      </w:r>
      <w:r/>
    </w:p>
    <w:tbl>
      <w:tblPr>
        <w:tblStyle w:val="680"/>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jc w:val="center"/>
          <w:trHeight w:val="930"/>
        </w:trPr>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评分项目</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分值</w:t>
            </w:r>
            <w:r/>
          </w:p>
        </w:tc>
        <w:tc>
          <w:tcPr>
            <w:tcBorders>
              <w:top w:val="single" w:color="auto" w:sz="4" w:space="0"/>
              <w:left w:val="single" w:color="auto" w:sz="4" w:space="0"/>
              <w:bottom w:val="single" w:color="auto" w:sz="4" w:space="0"/>
              <w:right w:val="single" w:color="auto" w:sz="4" w:space="0"/>
            </w:tcBorders>
            <w:tcW w:w="7486"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投标报价</w:t>
            </w:r>
            <w:r/>
          </w:p>
        </w:tc>
        <w:tc>
          <w:tcPr>
            <w:tcW w:w="847" w:type="dxa"/>
            <w:vAlign w:val="center"/>
            <w:textDirection w:val="lrTb"/>
            <w:noWrap w:val="false"/>
          </w:tcPr>
          <w:p>
            <w:pPr>
              <w:jc w:val="center"/>
              <w:spacing w:line="500" w:lineRule="exact"/>
              <w:rPr>
                <w:rFonts w:hint="default" w:ascii="宋体" w:hAnsi="宋体" w:eastAsia="宋体" w:cs="宋体"/>
                <w:color w:val="000000"/>
                <w:sz w:val="24"/>
                <w:lang w:val="en-US" w:eastAsia="zh-CN"/>
              </w:rPr>
            </w:pPr>
            <w:r>
              <w:rPr>
                <w:rFonts w:hint="eastAsia" w:ascii="宋体" w:hAnsi="宋体" w:cs="宋体"/>
                <w:color w:val="ff0000"/>
                <w:sz w:val="24"/>
                <w:lang w:val="en-US" w:eastAsia="zh-CN"/>
              </w:rPr>
              <w:t xml:space="preserve">30</w:t>
            </w:r>
            <w:r/>
          </w:p>
        </w:tc>
        <w:tc>
          <w:tcPr>
            <w:tcW w:w="7486" w:type="dxa"/>
            <w:vAlign w:val="center"/>
            <w:textDirection w:val="lrTb"/>
            <w:noWrap w:val="false"/>
          </w:tcPr>
          <w:p>
            <w:pPr>
              <w:ind w:firstLine="480"/>
              <w:spacing w:line="500" w:lineRule="exact"/>
              <w:rPr>
                <w:rFonts w:ascii="宋体" w:hAnsi="宋体" w:cs="宋体"/>
                <w:color w:val="000000"/>
                <w:sz w:val="24"/>
              </w:rPr>
            </w:pPr>
            <w:r/>
            <w:bookmarkStart w:id="166" w:name="OLE_LINK43"/>
            <w:r>
              <w:rPr>
                <w:rFonts w:hint="eastAsia" w:ascii="宋体" w:hAnsi="宋体" w:cs="宋体"/>
                <w:color w:val="000000"/>
                <w:sz w:val="24"/>
              </w:rPr>
              <w:t xml:space="preserve">满足招标文件要求且投标报价最低的投标报价为评标基准价，其价格为满分。其他投标人的价格分按照公式计算：投标报价得分＝（评标基准价/投标报价）</w:t>
            </w:r>
            <w:r>
              <w:rPr>
                <w:rFonts w:hint="eastAsia" w:ascii="宋体" w:hAnsi="宋体" w:cs="宋体"/>
                <w:color w:val="ff0000"/>
                <w:sz w:val="24"/>
              </w:rPr>
              <w:t xml:space="preserve">×</w:t>
            </w:r>
            <w:r>
              <w:rPr>
                <w:rFonts w:hint="eastAsia" w:ascii="宋体" w:hAnsi="宋体" w:cs="宋体"/>
                <w:color w:val="ff0000"/>
                <w:sz w:val="24"/>
                <w:lang w:val="en-US" w:eastAsia="zh-CN"/>
              </w:rPr>
              <w:t xml:space="preserve">3</w:t>
            </w:r>
            <w:r>
              <w:rPr>
                <w:rFonts w:hint="eastAsia" w:ascii="宋体" w:hAnsi="宋体" w:cs="宋体"/>
                <w:color w:val="ff0000"/>
                <w:sz w:val="24"/>
              </w:rPr>
              <w:t xml:space="preserve">0分</w:t>
            </w:r>
            <w:bookmarkEnd w:id="166"/>
            <w:r>
              <w:rPr>
                <w:rFonts w:hint="eastAsia" w:ascii="宋体" w:hAnsi="宋体" w:cs="宋体"/>
                <w:color w:val="ff0000"/>
                <w:sz w:val="24"/>
              </w:rPr>
              <w:t xml:space="preserve">。</w:t>
            </w:r>
            <w:r/>
          </w:p>
        </w:tc>
      </w:tr>
      <w:tr>
        <w:trPr>
          <w:jc w:val="center"/>
          <w:trHeight w:val="993"/>
        </w:trPr>
        <w:tc>
          <w:tcPr>
            <w:tcW w:w="1259" w:type="dxa"/>
            <w:vAlign w:val="center"/>
            <w:textDirection w:val="lrTb"/>
            <w:noWrap w:val="false"/>
          </w:tcPr>
          <w:p>
            <w:pPr>
              <w:ind w:firstLine="240"/>
              <w:rPr>
                <w:rFonts w:ascii="宋体" w:hAnsi="宋体"/>
                <w:sz w:val="24"/>
              </w:rPr>
            </w:pPr>
            <w:r>
              <w:rPr>
                <w:rFonts w:hint="eastAsia" w:ascii="宋体" w:hAnsi="宋体"/>
                <w:sz w:val="24"/>
              </w:rPr>
              <w:t xml:space="preserve">业绩</w:t>
            </w:r>
            <w:r/>
          </w:p>
        </w:tc>
        <w:tc>
          <w:tcPr>
            <w:tcW w:w="847" w:type="dxa"/>
            <w:vAlign w:val="center"/>
            <w:textDirection w:val="lrTb"/>
            <w:noWrap w:val="false"/>
          </w:tcPr>
          <w:p>
            <w:pPr>
              <w:jc w:val="center"/>
              <w:spacing w:line="5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szCs w:val="21"/>
                <w:lang w:bidi="ar"/>
              </w:rPr>
            </w:pPr>
            <w:r/>
            <w:bookmarkStart w:id="167" w:name="OLE_LINK25"/>
            <w:r/>
            <w:bookmarkStart w:id="168" w:name="OLE_LINK26"/>
            <w:r/>
            <w:bookmarkStart w:id="169" w:name="OLE_LINK61"/>
            <w:r>
              <w:rPr>
                <w:rFonts w:hint="eastAsia" w:ascii="宋体" w:hAnsi="宋体" w:cs="宋体"/>
                <w:color w:val="000000"/>
                <w:sz w:val="24"/>
              </w:rPr>
              <w:t xml:space="preserve">投标人提供自202</w:t>
            </w:r>
            <w:r>
              <w:rPr>
                <w:rFonts w:ascii="宋体" w:hAnsi="宋体" w:cs="宋体"/>
                <w:color w:val="000000"/>
                <w:sz w:val="24"/>
              </w:rPr>
              <w:t xml:space="preserve">2</w:t>
            </w:r>
            <w:r>
              <w:rPr>
                <w:rFonts w:hint="eastAsia" w:ascii="宋体" w:hAnsi="宋体" w:cs="宋体"/>
                <w:color w:val="000000"/>
                <w:sz w:val="24"/>
              </w:rPr>
              <w:t xml:space="preserve">年1月1日以来（以合同签订时间为准）承担过（心理健康相关设备）类似项目业绩，每提供一份有效合同得</w:t>
            </w:r>
            <w:r>
              <w:rPr>
                <w:rFonts w:ascii="宋体" w:hAnsi="宋体" w:cs="宋体"/>
                <w:color w:val="000000"/>
                <w:sz w:val="24"/>
              </w:rPr>
              <w:t xml:space="preserve">3分</w:t>
            </w:r>
            <w:r>
              <w:rPr>
                <w:rFonts w:hint="eastAsia" w:ascii="宋体" w:hAnsi="宋体" w:cs="宋体"/>
                <w:color w:val="000000"/>
                <w:sz w:val="24"/>
              </w:rPr>
              <w:t xml:space="preserve">，最高得1</w:t>
            </w:r>
            <w:r>
              <w:rPr>
                <w:rFonts w:ascii="宋体" w:hAnsi="宋体" w:cs="宋体"/>
                <w:color w:val="000000"/>
                <w:sz w:val="24"/>
              </w:rPr>
              <w:t xml:space="preserve">2</w:t>
            </w:r>
            <w:r>
              <w:rPr>
                <w:rFonts w:hint="eastAsia" w:ascii="宋体" w:hAnsi="宋体" w:cs="宋体"/>
                <w:color w:val="000000"/>
                <w:sz w:val="24"/>
              </w:rPr>
              <w:t xml:space="preserve">分。</w:t>
            </w:r>
            <w:r/>
          </w:p>
          <w:p>
            <w:pPr>
              <w:ind w:firstLine="482"/>
              <w:spacing w:line="400" w:lineRule="exact"/>
              <w:rPr>
                <w:rFonts w:ascii="宋体" w:hAnsi="宋体"/>
                <w:sz w:val="24"/>
              </w:rPr>
            </w:pPr>
            <w:r>
              <w:rPr>
                <w:rFonts w:hint="eastAsia" w:ascii="宋体" w:hAnsi="宋体" w:cs="宋体"/>
                <w:b/>
                <w:sz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67"/>
            <w:r/>
            <w:bookmarkEnd w:id="168"/>
            <w:r/>
            <w:bookmarkEnd w:id="169"/>
            <w:r/>
            <w:r/>
          </w:p>
        </w:tc>
      </w:tr>
      <w:tr>
        <w:trPr>
          <w:jc w:val="center"/>
          <w:trHeight w:val="1108"/>
        </w:trPr>
        <w:tc>
          <w:tcPr>
            <w:tcW w:w="1259" w:type="dxa"/>
            <w:vAlign w:val="center"/>
            <w:textDirection w:val="lrTb"/>
            <w:noWrap w:val="false"/>
          </w:tcPr>
          <w:p>
            <w:pPr>
              <w:jc w:val="center"/>
              <w:rPr>
                <w:rFonts w:ascii="宋体" w:hAnsi="宋体"/>
                <w:sz w:val="24"/>
              </w:rPr>
            </w:pPr>
            <w:r>
              <w:rPr>
                <w:rFonts w:hint="eastAsia" w:ascii="宋体" w:hAnsi="宋体" w:cs="宋体"/>
                <w:color w:val="auto"/>
                <w:sz w:val="21"/>
                <w:szCs w:val="21"/>
                <w:highlight w:val="none"/>
                <w:u w:val="none"/>
                <w:lang w:val="en-US" w:eastAsia="zh-CN"/>
              </w:rPr>
              <w:t xml:space="preserve">质保期承诺</w:t>
            </w:r>
            <w:r/>
          </w:p>
        </w:tc>
        <w:tc>
          <w:tcPr>
            <w:tcW w:w="847" w:type="dxa"/>
            <w:vAlign w:val="center"/>
            <w:textDirection w:val="lrTb"/>
            <w:noWrap w:val="false"/>
          </w:tcPr>
          <w:p>
            <w:pPr>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rFonts w:ascii="宋体" w:hAnsi="宋体"/>
                <w:sz w:val="24"/>
                <w:szCs w:val="21"/>
              </w:rPr>
            </w:pPr>
            <w:r>
              <w:rPr>
                <w:rFonts w:hint="eastAsia" w:ascii="宋体" w:hAnsi="宋体" w:cs="宋体"/>
                <w:color w:val="000000"/>
                <w:sz w:val="24"/>
              </w:rPr>
              <w:t xml:space="preserve">质保期限。在三年质保服务期的基础上，每增加一年质保得</w:t>
            </w:r>
            <w:r>
              <w:rPr>
                <w:rFonts w:ascii="宋体" w:hAnsi="宋体" w:cs="宋体"/>
                <w:color w:val="000000"/>
                <w:sz w:val="24"/>
              </w:rPr>
              <w:t xml:space="preserve">1</w:t>
            </w:r>
            <w:r>
              <w:rPr>
                <w:rFonts w:hint="eastAsia" w:ascii="宋体" w:hAnsi="宋体" w:cs="宋体"/>
                <w:color w:val="000000"/>
                <w:sz w:val="24"/>
              </w:rPr>
              <w:t xml:space="preserve">分，最多得</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bCs/>
                <w:color w:val="000000"/>
                <w:sz w:val="24"/>
              </w:rPr>
              <w:t xml:space="preserve">。</w:t>
            </w:r>
            <w:r>
              <w:rPr>
                <w:rFonts w:hint="eastAsia" w:ascii="宋体" w:hAnsi="宋体" w:cs="宋体"/>
                <w:color w:val="000000"/>
                <w:sz w:val="24"/>
              </w:rPr>
              <w:t xml:space="preserve">（</w:t>
            </w:r>
            <w:r>
              <w:rPr>
                <w:rFonts w:hint="eastAsia" w:ascii="宋体" w:hAnsi="宋体" w:cs="宋体"/>
                <w:b/>
                <w:color w:val="000000"/>
                <w:sz w:val="24"/>
              </w:rPr>
              <w:t xml:space="preserve">以商务响应表中的质保期为准）</w:t>
            </w:r>
            <w:r/>
          </w:p>
        </w:tc>
      </w:tr>
      <w:tr>
        <w:trPr>
          <w:jc w:val="center"/>
          <w:trHeight w:val="841"/>
        </w:trPr>
        <w:tc>
          <w:tcPr>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技术参数</w:t>
            </w:r>
            <w:r/>
          </w:p>
          <w:p>
            <w:pPr>
              <w:rPr>
                <w:szCs w:val="21"/>
              </w:rPr>
            </w:pPr>
            <w:r>
              <w:rPr>
                <w:szCs w:val="21"/>
              </w:rPr>
            </w:r>
            <w:r/>
          </w:p>
        </w:tc>
        <w:tc>
          <w:tcPr>
            <w:tcW w:w="847" w:type="dxa"/>
            <w:vAlign w:val="center"/>
            <w:textDirection w:val="lrTb"/>
            <w:noWrap w:val="false"/>
          </w:tcPr>
          <w:p>
            <w:pPr>
              <w:jc w:val="center"/>
              <w:spacing w:line="500" w:lineRule="exact"/>
              <w:rPr>
                <w:rFonts w:hint="default" w:ascii="宋体" w:hAnsi="宋体" w:eastAsia="宋体" w:cs="宋体"/>
                <w:color w:val="000000"/>
                <w:sz w:val="24"/>
                <w:lang w:val="en-US" w:eastAsia="zh-CN"/>
              </w:rPr>
            </w:pPr>
            <w:r>
              <w:rPr>
                <w:rFonts w:hint="eastAsia" w:ascii="宋体" w:hAnsi="宋体" w:cs="宋体"/>
                <w:color w:val="ff0000"/>
                <w:sz w:val="24"/>
                <w:lang w:val="en-US" w:eastAsia="zh-CN"/>
              </w:rPr>
              <w:t xml:space="preserve">24</w:t>
            </w:r>
            <w:r/>
          </w:p>
        </w:tc>
        <w:tc>
          <w:tcPr>
            <w:tcW w:w="7486" w:type="dxa"/>
            <w:vAlign w:val="center"/>
            <w:textDirection w:val="lrTb"/>
            <w:noWrap w:val="false"/>
          </w:tcPr>
          <w:p>
            <w:pPr>
              <w:ind w:left="0" w:right="0" w:firstLine="480"/>
              <w:keepLines w:val="0"/>
              <w:keepNext w:val="0"/>
              <w:pageBreakBefore w:val="0"/>
              <w:spacing w:before="0" w:beforeAutospacing="0" w:after="0" w:afterAutospacing="0" w:line="360" w:lineRule="auto"/>
              <w:widowControl w:val="off"/>
              <w:rPr>
                <w:rFonts w:hint="eastAsia" w:ascii="宋体" w:hAnsi="宋体" w:cs="宋体"/>
                <w:color w:val="ff0000"/>
                <w:sz w:val="24"/>
                <w:lang w:val="en-US" w:eastAsia="zh-CN"/>
              </w:rPr>
              <w:suppressLineNumbers w:val="0"/>
            </w:pPr>
            <w:r>
              <w:rPr>
                <w:rFonts w:hint="eastAsia" w:ascii="宋体" w:hAnsi="宋体" w:cs="宋体"/>
                <w:color w:val="ff0000"/>
                <w:sz w:val="24"/>
                <w:lang w:val="en-US" w:eastAsia="zh-CN"/>
              </w:rPr>
              <w:t xml:space="preserve">采购需求中标注“▲”的技术参数为重要技术指标，共12项，有一项满足的得2分，本项最高加24分。</w:t>
            </w:r>
            <w:r/>
          </w:p>
          <w:p>
            <w:pPr>
              <w:ind w:left="0" w:right="0" w:firstLine="480"/>
              <w:keepLines w:val="0"/>
              <w:keepNext w:val="0"/>
              <w:pageBreakBefore w:val="0"/>
              <w:spacing w:before="0" w:beforeAutospacing="0" w:after="0" w:afterAutospacing="0" w:line="360" w:lineRule="auto"/>
              <w:widowControl w:val="off"/>
              <w:rPr>
                <w:rFonts w:ascii="宋体" w:hAnsi="宋体" w:cs="宋体"/>
                <w:b/>
                <w:color w:val="000000"/>
                <w:sz w:val="24"/>
              </w:rPr>
              <w:suppressLineNumbers w:val="0"/>
            </w:pPr>
            <w:r>
              <w:rPr>
                <w:rFonts w:hint="eastAsia" w:ascii="宋体" w:hAnsi="宋体" w:cs="宋体"/>
                <w:color w:val="ff0000"/>
                <w:sz w:val="24"/>
                <w:lang w:val="en-US" w:eastAsia="zh-CN"/>
              </w:rPr>
              <w:t xml:space="preserve">注：供应商须针对该部分条款提供有效证明材料，形式可包括：招标文件指定的证明文件（如有）、产品官方彩页（需注明发布日期）、原厂说明书、产品技术白皮书（须由产品研发主体出具）或承诺在中标后合同签订前提供具备相应认证资质的第三方检测机构出具的检验报告（承诺函格式自拟，相关检测费用由中标人承担）。</w:t>
            </w:r>
            <w:r/>
          </w:p>
        </w:tc>
      </w:tr>
      <w:tr>
        <w:trPr>
          <w:jc w:val="center"/>
          <w:trHeight w:val="841"/>
        </w:trPr>
        <w:tc>
          <w:tcPr>
            <w:tcW w:w="1259" w:type="dxa"/>
            <w:vAlign w:val="center"/>
            <w:textDirection w:val="lrTb"/>
            <w:noWrap w:val="false"/>
          </w:tcPr>
          <w:p>
            <w:pPr>
              <w:rPr>
                <w:rFonts w:hint="default" w:eastAsia="宋体"/>
                <w:szCs w:val="21"/>
                <w:lang w:val="en-US" w:eastAsia="zh-CN"/>
              </w:rPr>
            </w:pPr>
            <w:r>
              <w:rPr>
                <w:rFonts w:hint="eastAsia"/>
                <w:szCs w:val="21"/>
                <w:lang w:val="en-US" w:eastAsia="zh-CN"/>
              </w:rPr>
              <w:t xml:space="preserve">视频演示</w:t>
            </w:r>
            <w:r/>
          </w:p>
        </w:tc>
        <w:tc>
          <w:tcPr>
            <w:tcW w:w="847" w:type="dxa"/>
            <w:vAlign w:val="center"/>
            <w:textDirection w:val="lrTb"/>
            <w:noWrap w:val="false"/>
          </w:tcPr>
          <w:p>
            <w:pPr>
              <w:jc w:val="center"/>
              <w:spacing w:line="500" w:lineRule="exact"/>
              <w:rPr>
                <w:rFonts w:hint="default" w:ascii="宋体" w:hAnsi="宋体" w:cs="宋体"/>
                <w:color w:val="ff0000"/>
                <w:sz w:val="24"/>
                <w:lang w:val="en-US" w:eastAsia="zh-CN"/>
              </w:rPr>
            </w:pPr>
            <w:r>
              <w:rPr>
                <w:rFonts w:hint="eastAsia" w:ascii="宋体" w:hAnsi="宋体" w:cs="宋体"/>
                <w:color w:val="ff0000"/>
                <w:sz w:val="24"/>
                <w:lang w:val="en-US" w:eastAsia="zh-CN"/>
              </w:rPr>
              <w:t xml:space="preserve">10</w:t>
            </w:r>
            <w:r/>
          </w:p>
        </w:tc>
        <w:tc>
          <w:tcPr>
            <w:tcW w:w="7486" w:type="dxa"/>
            <w:vAlign w:val="center"/>
            <w:textDirection w:val="lrTb"/>
            <w:noWrap w:val="false"/>
          </w:tcPr>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1.演示一（2分）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供应商根据本项目第四章采购需求中“★”项，产品名称：AI心理沙盘解析系统</w:t>
            </w:r>
            <w:r>
              <w:rPr>
                <w:rFonts w:hint="eastAsia" w:ascii="宋体" w:hAnsi="宋体" w:cs="宋体"/>
                <w:color w:val="000000"/>
                <w:sz w:val="24"/>
                <w:lang w:val="en-US" w:eastAsia="zh-CN"/>
              </w:rPr>
              <w:br/>
            </w:r>
            <w:r>
              <w:rPr>
                <w:rFonts w:hint="eastAsia" w:ascii="宋体" w:hAnsi="宋体" w:cs="宋体"/>
                <w:color w:val="000000"/>
                <w:sz w:val="24"/>
                <w:lang w:val="en-US" w:eastAsia="zh-CN"/>
              </w:rPr>
              <w:t xml:space="preserve">★通过数字化手段实时记录沙盘游戏过程中实物沙具的选择、摆放、时间间隔以及最终作品等信息，复现沙盘游戏的每一步骤（复盘）。提供演示，并能满足参数要求的得2分，不满足参数要求或缺少演示点或不提供演示的得0分，本项最高得2分。</w:t>
            </w:r>
            <w:r/>
          </w:p>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2.演示二（2分）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供应商根据本项目第四章采购需求中“★”项，产品名称：AI心理机器人</w:t>
            </w:r>
            <w:r>
              <w:rPr>
                <w:rFonts w:hint="eastAsia" w:ascii="宋体" w:hAnsi="宋体" w:cs="宋体"/>
                <w:color w:val="000000"/>
                <w:sz w:val="24"/>
                <w:lang w:val="en-US" w:eastAsia="zh-CN"/>
              </w:rPr>
              <w:br/>
            </w:r>
            <w:r>
              <w:rPr>
                <w:rFonts w:hint="eastAsia" w:ascii="宋体" w:hAnsi="宋体" w:cs="宋体"/>
                <w:color w:val="000000"/>
                <w:sz w:val="24"/>
                <w:lang w:val="en-US" w:eastAsia="zh-CN"/>
              </w:rPr>
              <w:t xml:space="preserve">★多模态行为分析技术：通过多模态传感器（摄像头）实时捕捉用户行为和微表情数据，结合面部特征等多种行为数据进行情感和心理状态的分析。利用 AI 算法对收集到的数据进行处理和分析，识别用户的行为模式。必要时能对异常行为自动预警，提醒关注心理健康情况。提供演示，并能满足参数要求的得2分，不满足参数要求或缺少演示点或不提供演示的得0分，本项最高得2分。</w:t>
            </w:r>
            <w:r/>
          </w:p>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3.演示三（2分）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供应商根据本项目第四章采购需求中“★”项，产品名称：认知能力评估训练系统</w:t>
            </w:r>
            <w:r>
              <w:rPr>
                <w:rFonts w:hint="eastAsia" w:ascii="宋体" w:hAnsi="宋体" w:eastAsia="宋体" w:cs="宋体"/>
                <w:i w:val="0"/>
                <w:iCs w:val="0"/>
                <w:spacing w:val="22"/>
                <w:sz w:val="22"/>
                <w:szCs w:val="22"/>
                <w:u w:val="none"/>
              </w:rPr>
              <w:br/>
            </w:r>
            <w:r>
              <w:rPr>
                <w:rFonts w:hint="eastAsia" w:ascii="宋体" w:hAnsi="宋体" w:cs="宋体"/>
                <w:color w:val="000000"/>
                <w:sz w:val="24"/>
                <w:lang w:val="en-US" w:eastAsia="zh-CN"/>
              </w:rPr>
              <w:t xml:space="preserve">★液晶按键参数：该按键带液晶显示，可根据不同应用显示相应的图案、字母、数字、汉字等。提供演示，并能满足参数要求的得2分，不满足参数要求或缺少演示点或不提供演示的得0分，本项最高得2分。</w:t>
            </w:r>
            <w:r>
              <w:rPr>
                <w:rFonts w:hint="eastAsia" w:ascii="宋体" w:hAnsi="宋体" w:cs="宋体"/>
                <w:color w:val="000000"/>
                <w:sz w:val="24"/>
                <w:lang w:val="en-US" w:eastAsia="zh-CN"/>
              </w:rPr>
              <w:br/>
            </w:r>
            <w:r>
              <w:rPr>
                <w:rFonts w:hint="eastAsia" w:ascii="宋体" w:hAnsi="宋体" w:cs="宋体"/>
                <w:color w:val="000000"/>
                <w:sz w:val="24"/>
                <w:lang w:val="en-US" w:eastAsia="zh-CN"/>
              </w:rPr>
              <w:t xml:space="preserve">4.演示四（2分）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供应商根据本项目第四章采购需求中“★”项，产品名称：数字化团体正念训练系统</w:t>
            </w:r>
            <w:r>
              <w:rPr>
                <w:rFonts w:hint="eastAsia" w:ascii="宋体" w:hAnsi="宋体" w:eastAsia="宋体" w:cs="宋体"/>
                <w:i w:val="0"/>
                <w:iCs w:val="0"/>
                <w:spacing w:val="8"/>
                <w:sz w:val="22"/>
                <w:szCs w:val="22"/>
                <w:u w:val="none"/>
                <w:lang w:val="en-US" w:eastAsia="zh-CN" w:bidi="ar"/>
              </w:rPr>
              <w:br/>
            </w:r>
            <w:r>
              <w:rPr>
                <w:rFonts w:hint="eastAsia" w:ascii="宋体" w:hAnsi="宋体" w:cs="宋体"/>
                <w:color w:val="000000"/>
                <w:sz w:val="24"/>
                <w:lang w:val="en-US" w:eastAsia="zh-CN"/>
              </w:rPr>
              <w:t xml:space="preserve">★ECG检测功能：可以用于检测来访者心电数据，并生成心电报告，心电报告包含：QT间期、HRV指标、心率数据、心电图以及心电图（P波、P-R间期、QRS波群、ST段、T波、U波）的解读分析，并自动分析生成检测结果。提供演示，并能满足参数要求的得2分，不满足参数要求或缺少演示点或不提供演示的得0分，本项最高得2分。</w:t>
            </w:r>
            <w:r/>
          </w:p>
          <w:p>
            <w:pPr>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5.演示五（2分）</w:t>
            </w:r>
            <w:r/>
          </w:p>
          <w:p>
            <w:pPr>
              <w:ind w:firstLine="480"/>
              <w:spacing w:line="5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供应商根据本项目第四章采购需求中“★”项，产品名称：AI情绪疏导系统</w:t>
            </w:r>
            <w:r>
              <w:rPr>
                <w:rFonts w:hint="eastAsia" w:ascii="宋体" w:hAnsi="宋体" w:eastAsia="宋体" w:cs="宋体"/>
                <w:i w:val="0"/>
                <w:iCs w:val="0"/>
                <w:spacing w:val="8"/>
                <w:sz w:val="22"/>
                <w:szCs w:val="22"/>
                <w:u w:val="none"/>
                <w:lang w:val="en-US" w:eastAsia="zh-CN" w:bidi="ar"/>
              </w:rPr>
              <w:br/>
            </w:r>
            <w:r>
              <w:rPr>
                <w:rFonts w:hint="eastAsia" w:ascii="宋体" w:hAnsi="宋体" w:cs="宋体"/>
                <w:color w:val="000000"/>
                <w:sz w:val="24"/>
                <w:lang w:val="en-US" w:eastAsia="zh-CN"/>
              </w:rPr>
              <w:t xml:space="preserve">★大模型须支持纯文本对话交互，可进行实时语音转换，记录对话过程，覆盖但不限于以下情感支持场景：学业压力下的情绪疏导、考试焦虑中的陪伴式调节、同伴关系/师生沟通/亲子互动中的理解与支持。模型具有良好的共情能力，逻辑清晰，且提供不低于 4 种角色来模拟不同的人物陪伴用户。提供演示，并能满足参数要求的得2分，不满足参数要求或缺少演示点或不提供演示的得0分，本项最高得2分。</w:t>
            </w:r>
            <w:r/>
          </w:p>
          <w:p>
            <w:pPr>
              <w:ind w:left="0" w:right="0" w:firstLine="422"/>
              <w:jc w:val="both"/>
              <w:spacing w:before="0" w:after="0" w:line="36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4"/>
                <w:szCs w:val="32"/>
              </w:rPr>
              <w:t xml:space="preserve">供应商需按照招标文件规定的演示内容进行功能演示（视频画面须清晰，如不清晰导致评委无法评审的，责任由投标人自负），视频文件的格式为*.mp4或*.avi，供应商须将视频文件分段压缩为*.zip文件上传（单个文件不得大于50M，所有文件总共不得大于300M）。文件上传方式见</w:t>
            </w:r>
            <w:r>
              <w:rPr>
                <w:rFonts w:hint="eastAsia" w:ascii="宋体" w:hAnsi="宋体" w:eastAsia="宋体" w:cs="宋体"/>
                <w:b/>
                <w:color w:val="0000ff"/>
                <w:sz w:val="24"/>
                <w:szCs w:val="24"/>
                <w:highlight w:val="none"/>
                <w:lang w:val="en-US" w:eastAsia="zh-CN"/>
              </w:rPr>
              <w:t xml:space="preserve">《苏采云供应商操作手册》</w:t>
            </w:r>
            <w:r>
              <w:rPr>
                <w:rFonts w:ascii="宋体" w:hAnsi="宋体" w:eastAsia="宋体" w:cs="宋体"/>
                <w:b/>
                <w:color w:val="0000ff"/>
                <w:sz w:val="24"/>
                <w:szCs w:val="32"/>
              </w:rPr>
              <w:t xml:space="preserve">规定，上传的演示视频将作为投标文件的组成部分，每个项目根据演示点进行评分。</w:t>
            </w:r>
            <w:r/>
          </w:p>
        </w:tc>
      </w:tr>
      <w:tr>
        <w:trPr>
          <w:jc w:val="center"/>
        </w:trPr>
        <w:tc>
          <w:tcPr>
            <w:tcW w:w="1259" w:type="dxa"/>
            <w:vAlign w:val="center"/>
            <w:vMerge w:val="restart"/>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服务方案</w:t>
            </w:r>
            <w:r/>
          </w:p>
        </w:tc>
        <w:tc>
          <w:tcPr>
            <w:tcW w:w="847" w:type="dxa"/>
            <w:vAlign w:val="center"/>
            <w:vMerge w:val="restart"/>
            <w:textDirection w:val="lrTb"/>
            <w:noWrap w:val="false"/>
          </w:tcPr>
          <w:p>
            <w:pPr>
              <w:jc w:val="center"/>
              <w:spacing w:line="500" w:lineRule="exac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20</w:t>
            </w:r>
            <w:r/>
          </w:p>
        </w:tc>
        <w:tc>
          <w:tcPr>
            <w:tcW w:w="7486" w:type="dxa"/>
            <w:vAlign w:val="center"/>
            <w:textDirection w:val="lrTb"/>
            <w:noWrap w:val="false"/>
          </w:tcPr>
          <w:p>
            <w:pPr>
              <w:ind w:firstLine="480"/>
              <w:spacing w:line="560" w:lineRule="exact"/>
              <w:widowControl/>
              <w:rPr>
                <w:rFonts w:ascii="宋体" w:hAnsi="宋体"/>
                <w:sz w:val="24"/>
                <w:szCs w:val="21"/>
              </w:rPr>
            </w:pPr>
            <w:r/>
            <w:bookmarkStart w:id="170" w:name="OLE_LINK47"/>
            <w:r/>
            <w:bookmarkStart w:id="171" w:name="OLE_LINK48"/>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b/>
                <w:color w:val="000000"/>
                <w:sz w:val="24"/>
              </w:rPr>
              <w:t xml:space="preserve">实施进度及技术</w:t>
            </w:r>
            <w:r>
              <w:rPr>
                <w:rFonts w:hint="eastAsia" w:ascii="宋体" w:hAnsi="宋体" w:cs="宋体"/>
                <w:color w:val="000000"/>
                <w:sz w:val="24"/>
                <w:szCs w:val="21"/>
              </w:rPr>
              <w:t xml:space="preserve">”提供</w:t>
            </w:r>
            <w:r>
              <w:rPr>
                <w:rFonts w:hint="eastAsia" w:ascii="宋体" w:hAnsi="宋体" w:cs="宋体"/>
                <w:bCs/>
                <w:sz w:val="24"/>
                <w:lang w:val="zh-CN"/>
              </w:rPr>
              <w:t xml:space="preserve">有针对性的、科学有效的</w:t>
            </w:r>
            <w:r>
              <w:rPr>
                <w:rFonts w:hint="eastAsia" w:ascii="宋体" w:hAnsi="宋体" w:cs="宋体"/>
                <w:bCs/>
                <w:sz w:val="24"/>
              </w:rPr>
              <w:t xml:space="preserve">进度及设备技术</w:t>
            </w:r>
            <w:r>
              <w:rPr>
                <w:rFonts w:hint="eastAsia" w:hAnsi="宋体"/>
                <w:color w:val="000000"/>
                <w:sz w:val="24"/>
                <w:szCs w:val="21"/>
              </w:rPr>
              <w:t xml:space="preserve">措施</w:t>
            </w:r>
            <w:r>
              <w:rPr>
                <w:rFonts w:hint="eastAsia" w:ascii="宋体" w:hAnsi="宋体" w:cs="宋体"/>
                <w:color w:val="000000"/>
                <w:sz w:val="24"/>
                <w:szCs w:val="21"/>
                <w:lang w:val="zh-TW" w:eastAsia="zh-TW"/>
              </w:rPr>
              <w:t xml:space="preserve">至少包含：</w:t>
            </w:r>
            <w:r>
              <w:rPr>
                <w:rFonts w:hint="eastAsia" w:ascii="宋体" w:hAnsi="宋体" w:cs="宋体"/>
                <w:sz w:val="24"/>
                <w:szCs w:val="21"/>
              </w:rPr>
              <w:t xml:space="preserve">（1）进度安排；</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技术支持及备件供应</w:t>
            </w:r>
            <w:r>
              <w:rPr>
                <w:rFonts w:hint="eastAsia" w:ascii="宋体" w:hAnsi="宋体" w:cs="宋体"/>
                <w:color w:val="000000"/>
                <w:sz w:val="24"/>
              </w:rPr>
              <w:t xml:space="preserve">方案</w:t>
            </w:r>
            <w:r>
              <w:rPr>
                <w:rFonts w:hint="eastAsia" w:ascii="宋体" w:hAnsi="宋体"/>
                <w:bCs/>
                <w:color w:val="000000"/>
                <w:sz w:val="24"/>
                <w:szCs w:val="21"/>
                <w:lang w:val="en"/>
              </w:rPr>
              <w:t xml:space="preserve">等</w:t>
            </w:r>
            <w:r>
              <w:rPr>
                <w:rFonts w:hint="eastAsia" w:ascii="宋体" w:hAnsi="宋体" w:cs="宋体"/>
                <w:color w:val="000000"/>
                <w:sz w:val="24"/>
              </w:rPr>
              <w:t xml:space="preserve">内容</w:t>
            </w:r>
            <w:r>
              <w:rPr>
                <w:rFonts w:hint="eastAsia" w:ascii="宋体" w:hAnsi="宋体"/>
                <w:sz w:val="24"/>
                <w:szCs w:val="21"/>
              </w:rPr>
              <w:t xml:space="preserve">。</w:t>
            </w:r>
            <w:r/>
          </w:p>
          <w:p>
            <w:pPr>
              <w:ind w:firstLine="480"/>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6</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70"/>
            <w:r/>
            <w:bookmarkEnd w:id="171"/>
            <w:r/>
            <w:r/>
          </w:p>
        </w:tc>
      </w:tr>
      <w:tr>
        <w:trPr>
          <w:jc w:val="center"/>
        </w:trPr>
        <w:tc>
          <w:tcPr>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rPr>
            </w:pPr>
            <w:r>
              <w:rPr>
                <w:rFonts w:ascii="宋体" w:hAnsi="宋体" w:cs="宋体"/>
                <w:bCs/>
                <w:color w:val="000000"/>
                <w:sz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172" w:name="OLE_LINK50"/>
            <w:r/>
            <w:bookmarkStart w:id="173" w:name="OLE_LINK49"/>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b/>
                <w:bCs/>
                <w:color w:val="000000"/>
                <w:sz w:val="24"/>
                <w:szCs w:val="21"/>
                <w:lang w:val="en"/>
              </w:rPr>
              <w:t xml:space="preserve">售后服务方案</w:t>
            </w:r>
            <w:r>
              <w:rPr>
                <w:rFonts w:hint="eastAsia" w:ascii="宋体" w:hAnsi="宋体" w:cs="宋体"/>
                <w:color w:val="000000"/>
                <w:sz w:val="24"/>
                <w:szCs w:val="21"/>
              </w:rPr>
              <w:t xml:space="preserve">”提供</w:t>
            </w:r>
            <w:r>
              <w:rPr>
                <w:rFonts w:hint="eastAsia" w:ascii="宋体" w:hAnsi="宋体" w:cs="宋体"/>
                <w:bCs/>
                <w:sz w:val="24"/>
                <w:lang w:val="zh-CN"/>
              </w:rPr>
              <w:t xml:space="preserve">有针对性的、科学有效的</w:t>
            </w:r>
            <w:r>
              <w:rPr>
                <w:rFonts w:hint="eastAsia" w:ascii="宋体" w:hAnsi="宋体" w:cs="宋体"/>
                <w:color w:val="000000"/>
                <w:sz w:val="24"/>
              </w:rPr>
              <w:t xml:space="preserve">售后服务具体实施</w:t>
            </w:r>
            <w:r>
              <w:rPr>
                <w:rFonts w:hint="eastAsia" w:ascii="宋体" w:hAnsi="宋体" w:cs="宋体"/>
                <w:bCs/>
                <w:sz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bCs/>
                <w:color w:val="000000"/>
                <w:sz w:val="24"/>
                <w:szCs w:val="21"/>
                <w:lang w:val="en"/>
              </w:rPr>
              <w:t xml:space="preserve">（1）质保期相关服务；</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在保修期内免费提供零件及服务；</w:t>
            </w: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w:t>
            </w:r>
            <w:r>
              <w:rPr>
                <w:rFonts w:hint="eastAsia" w:ascii="宋体" w:hAnsi="宋体"/>
                <w:bCs/>
                <w:color w:val="000000"/>
                <w:sz w:val="24"/>
                <w:szCs w:val="21"/>
                <w:lang w:val="en"/>
              </w:rPr>
              <w:t xml:space="preserve">故障受理及技术咨询服务</w:t>
            </w:r>
            <w:r>
              <w:rPr>
                <w:rFonts w:hint="eastAsia" w:ascii="宋体" w:hAnsi="宋体"/>
                <w:sz w:val="24"/>
                <w:szCs w:val="21"/>
              </w:rPr>
              <w:t xml:space="preserve">等内容。</w:t>
            </w:r>
            <w:r/>
          </w:p>
          <w:p>
            <w:pPr>
              <w:ind w:firstLine="480"/>
              <w:jc w:val="left"/>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9</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72"/>
            <w:r/>
            <w:bookmarkEnd w:id="173"/>
            <w:r/>
            <w:r/>
          </w:p>
        </w:tc>
      </w:tr>
      <w:tr>
        <w:trPr>
          <w:jc w:val="center"/>
          <w:trHeight w:val="3977"/>
        </w:trPr>
        <w:tc>
          <w:tcPr>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rPr>
            </w:pPr>
            <w:r>
              <w:rPr>
                <w:rFonts w:ascii="宋体" w:hAnsi="宋体" w:cs="宋体"/>
                <w:bCs/>
                <w:color w:val="000000"/>
                <w:sz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174" w:name="OLE_LINK52"/>
            <w:r/>
            <w:bookmarkStart w:id="175" w:name="OLE_LINK51"/>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color w:val="000000"/>
                <w:sz w:val="24"/>
              </w:rPr>
              <w:t xml:space="preserve">“</w:t>
            </w:r>
            <w:r>
              <w:rPr>
                <w:rFonts w:hint="eastAsia" w:ascii="宋体" w:hAnsi="宋体" w:cs="宋体"/>
                <w:b/>
                <w:color w:val="000000"/>
                <w:sz w:val="24"/>
              </w:rPr>
              <w:t xml:space="preserve">培训方案</w:t>
            </w:r>
            <w:r>
              <w:rPr>
                <w:rFonts w:hint="eastAsia" w:ascii="宋体" w:hAnsi="宋体" w:cs="宋体"/>
                <w:color w:val="000000"/>
                <w:sz w:val="24"/>
              </w:rPr>
              <w:t xml:space="preserve">”提供</w:t>
            </w:r>
            <w:r>
              <w:rPr>
                <w:rFonts w:hint="eastAsia" w:ascii="宋体" w:hAnsi="宋体" w:cs="宋体"/>
                <w:bCs/>
                <w:sz w:val="24"/>
                <w:lang w:val="zh-CN"/>
              </w:rPr>
              <w:t xml:space="preserve">有针对性的、科学有效的</w:t>
            </w:r>
            <w:r>
              <w:rPr>
                <w:rFonts w:hint="eastAsia" w:ascii="宋体" w:hAnsi="宋体" w:cs="宋体"/>
                <w:color w:val="000000"/>
                <w:sz w:val="24"/>
              </w:rPr>
              <w:t xml:space="preserve">培训方案具体实施</w:t>
            </w:r>
            <w:r>
              <w:rPr>
                <w:rFonts w:hint="eastAsia" w:ascii="宋体" w:hAnsi="宋体" w:cs="宋体"/>
                <w:bCs/>
                <w:sz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cs="宋体"/>
                <w:color w:val="000000"/>
                <w:sz w:val="24"/>
              </w:rPr>
              <w:t xml:space="preserve">（1）</w:t>
            </w:r>
            <w:r>
              <w:rPr>
                <w:rFonts w:hint="eastAsia" w:ascii="宋体" w:hAnsi="宋体"/>
                <w:bCs/>
                <w:color w:val="000000"/>
                <w:sz w:val="24"/>
                <w:szCs w:val="21"/>
                <w:lang w:val="en"/>
              </w:rPr>
              <w:t xml:space="preserve">包括技术方法等；</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检修、维护和排除故障等</w:t>
            </w:r>
            <w:r>
              <w:rPr>
                <w:rFonts w:hint="eastAsia" w:ascii="宋体" w:hAnsi="宋体" w:cs="宋体"/>
                <w:color w:val="000000"/>
                <w:sz w:val="24"/>
              </w:rPr>
              <w:t xml:space="preserve">内容</w:t>
            </w:r>
            <w:r>
              <w:rPr>
                <w:rFonts w:hint="eastAsia" w:ascii="宋体" w:hAnsi="宋体"/>
                <w:sz w:val="24"/>
                <w:szCs w:val="21"/>
              </w:rPr>
              <w:t xml:space="preserve">。</w:t>
            </w:r>
            <w:r/>
          </w:p>
          <w:p>
            <w:pPr>
              <w:ind w:firstLine="480"/>
              <w:jc w:val="left"/>
              <w:spacing w:line="500" w:lineRule="exact"/>
              <w:rPr>
                <w:rFonts w:ascii="宋体" w:hAnsi="宋体" w:cs="宋体"/>
                <w:color w:val="000000"/>
                <w:sz w:val="24"/>
              </w:rPr>
            </w:pPr>
            <w:r>
              <w:rPr>
                <w:rFonts w:ascii="宋体" w:hAnsi="宋体"/>
                <w:sz w:val="24"/>
                <w:szCs w:val="21"/>
                <w:highlight w:val="none"/>
              </w:rPr>
              <w:t xml:space="preserve">以上方案内容完整</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分，每有一项内容缺失的扣</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分；每有一处存在缺陷（缺陷是指不适用于本项目，表述前后不一致或</w:t>
            </w:r>
            <w:r>
              <w:rPr>
                <w:rFonts w:hint="eastAsia" w:ascii="宋体" w:hAnsi="宋体" w:cs="宋体"/>
                <w:color w:val="000000"/>
                <w:sz w:val="24"/>
              </w:rPr>
              <w:t xml:space="preserve">内容矛盾，语句有歧义，仅有框架或标题，涉及的规范及标准错误，套用其他项目内容等任意一种情形）扣</w:t>
            </w:r>
            <w:r>
              <w:rPr>
                <w:rFonts w:ascii="宋体" w:hAnsi="宋体" w:cs="宋体"/>
                <w:color w:val="000000"/>
                <w:sz w:val="24"/>
              </w:rPr>
              <w:t xml:space="preserve">1.</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分，直至该项分值</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分扣完为止，不提供本项不得分。</w:t>
            </w:r>
            <w:bookmarkEnd w:id="174"/>
            <w:r/>
            <w:bookmarkEnd w:id="175"/>
            <w:r/>
            <w:r/>
          </w:p>
        </w:tc>
      </w:tr>
      <w:tr>
        <w:trPr>
          <w:jc w:val="center"/>
          <w:trHeight w:val="1209"/>
        </w:trPr>
        <w:tc>
          <w:tcPr>
            <w:tcBorders>
              <w:bottom w:val="single" w:color="auto" w:sz="4" w:space="0"/>
            </w:tcBorders>
            <w:tcW w:w="1259" w:type="dxa"/>
            <w:vAlign w:val="center"/>
            <w:textDirection w:val="lrTb"/>
            <w:noWrap w:val="false"/>
          </w:tcPr>
          <w:p>
            <w:pPr>
              <w:jc w:val="center"/>
              <w:spacing w:line="340" w:lineRule="exact"/>
              <w:rPr>
                <w:rFonts w:ascii="宋体" w:hAnsi="宋体" w:cs="宋体"/>
                <w:color w:val="000000"/>
                <w:sz w:val="24"/>
              </w:rPr>
            </w:pPr>
            <w:r>
              <w:rPr>
                <w:rFonts w:hint="eastAsia" w:ascii="宋体" w:hAnsi="宋体" w:cs="宋体"/>
                <w:color w:val="000000"/>
                <w:sz w:val="24"/>
              </w:rPr>
              <w:t xml:space="preserve">节能环保</w:t>
            </w:r>
            <w:r/>
          </w:p>
          <w:p>
            <w:pPr>
              <w:jc w:val="center"/>
              <w:spacing w:line="500" w:lineRule="exact"/>
              <w:rPr>
                <w:rFonts w:ascii="宋体" w:hAnsi="宋体" w:cs="宋体"/>
                <w:color w:val="000000"/>
                <w:sz w:val="24"/>
              </w:rPr>
            </w:pPr>
            <w:r>
              <w:rPr>
                <w:rFonts w:ascii="宋体" w:hAnsi="宋体" w:cs="宋体"/>
                <w:color w:val="000000"/>
                <w:sz w:val="24"/>
              </w:rPr>
            </w:r>
            <w:r/>
          </w:p>
        </w:tc>
        <w:tc>
          <w:tcPr>
            <w:tcBorders>
              <w:bottom w:val="single" w:color="auto" w:sz="4" w:space="0"/>
            </w:tcBorders>
            <w:tcW w:w="847"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2</w:t>
            </w:r>
            <w:r/>
          </w:p>
        </w:tc>
        <w:tc>
          <w:tcPr>
            <w:tcW w:w="7486" w:type="dxa"/>
            <w:vAlign w:val="center"/>
            <w:textDirection w:val="lrTb"/>
            <w:noWrap w:val="false"/>
          </w:tcPr>
          <w:p>
            <w:pPr>
              <w:ind w:firstLine="480"/>
              <w:spacing w:line="500" w:lineRule="exact"/>
              <w:rPr>
                <w:rFonts w:ascii="宋体" w:hAnsi="宋体" w:cs="宋体"/>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 xml:space="preserve">0.5</w:t>
            </w:r>
            <w:r>
              <w:rPr>
                <w:rFonts w:hint="eastAsia" w:ascii="宋体" w:hAnsi="宋体" w:cs="宋体"/>
                <w:color w:val="000000"/>
                <w:sz w:val="24"/>
              </w:rPr>
              <w:t xml:space="preserve">分，最多得1分。如投标产品均属于政府强制采购节能产品品目清单范围内，本项不得分；注：</w:t>
            </w:r>
            <w:r>
              <w:rPr>
                <w:rFonts w:hint="eastAsia" w:ascii="宋体" w:hAnsi="宋体" w:cs="宋体"/>
                <w:sz w:val="24"/>
              </w:rPr>
              <w:t xml:space="preserve">有效的是指开标当日有效的证书。</w:t>
            </w:r>
            <w:r/>
          </w:p>
          <w:p>
            <w:pPr>
              <w:ind w:firstLine="420"/>
              <w:spacing w:line="500" w:lineRule="exact"/>
              <w:rPr>
                <w:rFonts w:ascii="宋体" w:hAnsi="宋体" w:cs="宋体"/>
                <w:color w:val="000000"/>
                <w:sz w:val="24"/>
              </w:rPr>
            </w:pP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rPr>
              <w:t xml:space="preserve">0.5</w:t>
            </w:r>
            <w:r>
              <w:rPr>
                <w:rFonts w:hint="eastAsia" w:ascii="宋体" w:hAnsi="宋体" w:cs="宋体"/>
                <w:color w:val="000000"/>
                <w:sz w:val="24"/>
              </w:rPr>
              <w:t xml:space="preserve">分，最多得1分。注</w:t>
            </w:r>
            <w:r>
              <w:rPr>
                <w:rFonts w:hint="eastAsia" w:ascii="宋体" w:hAnsi="宋体" w:cs="宋体"/>
                <w:b/>
                <w:bCs/>
                <w:color w:val="000000"/>
                <w:sz w:val="24"/>
              </w:rPr>
              <w:t xml:space="preserve">：</w:t>
            </w:r>
            <w:r>
              <w:rPr>
                <w:rFonts w:hint="eastAsia" w:ascii="宋体" w:hAnsi="宋体" w:cs="宋体"/>
                <w:sz w:val="24"/>
              </w:rPr>
              <w:t xml:space="preserve">有效的是指开标当日有效的证书。</w:t>
            </w:r>
            <w:r/>
          </w:p>
        </w:tc>
      </w:tr>
      <w:tr>
        <w:trPr>
          <w:jc w:val="center"/>
        </w:trPr>
        <w:tc>
          <w:tcPr>
            <w:tcBorders>
              <w:bottom w:val="single" w:color="auto" w:sz="4" w:space="0"/>
            </w:tcBorders>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总分</w:t>
            </w:r>
            <w:r/>
          </w:p>
        </w:tc>
        <w:tc>
          <w:tcPr>
            <w:gridSpan w:val="2"/>
            <w:tcBorders>
              <w:bottom w:val="single" w:color="auto" w:sz="4" w:space="0"/>
            </w:tcBorders>
            <w:tcW w:w="8333" w:type="dxa"/>
            <w:vAlign w:val="center"/>
            <w:textDirection w:val="lrTb"/>
            <w:noWrap w:val="false"/>
          </w:tcPr>
          <w:p>
            <w:pPr>
              <w:jc w:val="center"/>
              <w:spacing w:before="120" w:after="120" w:line="500" w:lineRule="exact"/>
              <w:rPr>
                <w:rFonts w:ascii="宋体" w:hAnsi="宋体" w:cs="宋体"/>
                <w:color w:val="000000"/>
                <w:sz w:val="24"/>
              </w:rPr>
            </w:pPr>
            <w:r>
              <w:rPr>
                <w:rFonts w:hint="eastAsia" w:ascii="宋体" w:hAnsi="宋体" w:cs="宋体"/>
                <w:color w:val="000000"/>
                <w:sz w:val="24"/>
              </w:rPr>
              <w:t xml:space="preserve">100分</w:t>
            </w:r>
            <w:r/>
          </w:p>
        </w:tc>
      </w:tr>
    </w:tbl>
    <w:p>
      <w:pPr>
        <w:widowControl/>
        <w:rPr>
          <w:rFonts w:ascii="黑体" w:hAnsi="宋体" w:eastAsia="黑体" w:cs="黑体"/>
          <w:sz w:val="44"/>
          <w:szCs w:val="44"/>
        </w:rPr>
      </w:pPr>
      <w:r>
        <w:rPr>
          <w:rFonts w:ascii="黑体" w:hAnsi="宋体" w:eastAsia="黑体" w:cs="黑体"/>
          <w:sz w:val="44"/>
          <w:szCs w:val="44"/>
        </w:rPr>
      </w:r>
      <w:r/>
    </w:p>
    <w:p>
      <w:pPr>
        <w:rPr>
          <w:rFonts w:ascii="黑体" w:hAnsi="黑体" w:eastAsia="黑体" w:cs="黑体"/>
          <w:sz w:val="44"/>
          <w:szCs w:val="44"/>
        </w:rPr>
        <w:outlineLvl w:val="0"/>
      </w:pPr>
      <w:r>
        <w:rPr>
          <w:rFonts w:ascii="黑体" w:hAnsi="黑体" w:eastAsia="黑体" w:cs="黑体"/>
          <w:sz w:val="44"/>
          <w:szCs w:val="44"/>
        </w:rPr>
        <w:br w:type="page" w:clear="all"/>
      </w:r>
      <w:r/>
    </w:p>
    <w:p>
      <w:pPr>
        <w:jc w:val="center"/>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bookmarkStart w:id="176" w:name="_Toc4818"/>
      <w:r/>
      <w:r/>
    </w:p>
    <w:p>
      <w:pPr>
        <w:jc w:val="center"/>
        <w:widowControl/>
        <w:rPr>
          <w:rFonts w:ascii="微软雅黑" w:eastAsia="微软雅黑" w:cs="宋体" w:hAnsiTheme="minorEastAsia"/>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t xml:space="preserve">第六章 投标文件格式</w:t>
      </w:r>
      <w:bookmarkEnd w:id="176"/>
      <w:r/>
      <w:r/>
    </w:p>
    <w:p>
      <w:pPr>
        <w:widowControl/>
        <w:rPr>
          <w:rFonts w:cs="Times New Roman" w:asciiTheme="minorEastAsia" w:hAnsiTheme="minorEastAsia"/>
          <w:b/>
          <w:sz w:val="72"/>
          <w:szCs w:val="72"/>
        </w:rPr>
      </w:pPr>
      <w:r>
        <w:rPr>
          <w:rFonts w:cs="Times New Roman" w:asciiTheme="minorEastAsia" w:hAnsiTheme="minorEastAsia"/>
          <w:b/>
          <w:sz w:val="72"/>
          <w:szCs w:val="72"/>
        </w:rPr>
      </w:r>
      <w:r/>
    </w:p>
    <w:p>
      <w:pPr>
        <w:widowControl/>
        <w:rPr>
          <w:rFonts w:cs="Times New Roman" w:asciiTheme="minorEastAsia" w:hAnsiTheme="minorEastAsia"/>
          <w:b/>
          <w:sz w:val="72"/>
          <w:szCs w:val="72"/>
        </w:rPr>
      </w:pPr>
      <w:r>
        <w:rPr>
          <w:rFonts w:cs="Times New Roman" w:asciiTheme="minorEastAsia" w:hAnsiTheme="minorEastAsia"/>
          <w:b/>
          <w:sz w:val="72"/>
          <w:szCs w:val="72"/>
        </w:rPr>
      </w:r>
      <w:r/>
    </w:p>
    <w:p>
      <w:pPr>
        <w:pStyle w:val="686"/>
      </w:pPr>
      <w:r/>
      <w:r/>
    </w:p>
    <w:p>
      <w:pPr>
        <w:jc w:val="center"/>
        <w:widowControl/>
        <w:rPr>
          <w:rFonts w:asciiTheme="minorEastAsia" w:hAnsiTheme="minorEastAsia" w:cstheme="minorEastAsia"/>
          <w:b/>
          <w:sz w:val="84"/>
          <w:szCs w:val="84"/>
        </w:rPr>
      </w:pPr>
      <w:r>
        <w:rPr>
          <w:rFonts w:hint="eastAsia" w:asciiTheme="minorEastAsia" w:hAnsiTheme="minorEastAsia" w:cstheme="minorEastAsia"/>
          <w:b/>
          <w:sz w:val="84"/>
          <w:szCs w:val="84"/>
        </w:rPr>
        <w:t xml:space="preserve">投 标 文 件</w:t>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pStyle w:val="686"/>
        <w:rPr>
          <w:rFonts w:asciiTheme="minorEastAsia" w:hAnsiTheme="minorEastAsia"/>
          <w:sz w:val="24"/>
        </w:rPr>
      </w:pPr>
      <w:r>
        <w:rPr>
          <w:rFonts w:asciiTheme="minorEastAsia" w:hAnsiTheme="minorEastAsia"/>
          <w:sz w:val="24"/>
        </w:rPr>
      </w:r>
      <w:r/>
    </w:p>
    <w:p>
      <w:r/>
      <w:r/>
    </w:p>
    <w:p>
      <w:pPr>
        <w:pStyle w:val="686"/>
        <w:rPr>
          <w:rFonts w:asciiTheme="minorEastAsia" w:hAnsiTheme="minorEastAsia"/>
          <w:sz w:val="24"/>
        </w:rPr>
      </w:pPr>
      <w:r>
        <w:rPr>
          <w:rFonts w:asciiTheme="minorEastAsia" w:hAnsiTheme="minorEastAsia"/>
          <w:sz w:val="24"/>
        </w:rPr>
      </w:r>
      <w:r/>
    </w:p>
    <w:p>
      <w:pPr>
        <w:pStyle w:val="686"/>
      </w:pPr>
      <w:r/>
      <w:r/>
    </w:p>
    <w:p>
      <w:pPr>
        <w:widowControl/>
        <w:rPr>
          <w:rFonts w:cs="Times New Roman" w:asciiTheme="minorEastAsia" w:hAnsiTheme="minorEastAsia"/>
          <w:sz w:val="24"/>
        </w:rPr>
      </w:pPr>
      <w:r>
        <w:rPr>
          <w:rFonts w:cs="Times New Roman" w:asciiTheme="minorEastAsia" w:hAnsiTheme="minorEastAsia"/>
          <w:sz w:val="24"/>
        </w:rPr>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jc w:val="left"/>
        <w:widowControl/>
        <w:rPr>
          <w:rFonts w:cs="Times New Roman" w:asciiTheme="minorEastAsia" w:hAnsiTheme="minorEastAsia"/>
          <w:b/>
          <w:bCs/>
          <w:sz w:val="36"/>
          <w:szCs w:val="36"/>
        </w:rPr>
      </w:pPr>
      <w:r>
        <w:rPr>
          <w:rFonts w:cs="Times New Roman" w:asciiTheme="minorEastAsia" w:hAnsiTheme="minorEastAsia"/>
          <w:b/>
          <w:bCs/>
          <w:sz w:val="36"/>
          <w:szCs w:val="36"/>
        </w:rPr>
        <w:br w:type="page" w:clear="all"/>
      </w:r>
      <w:r/>
    </w:p>
    <w:p>
      <w:pPr>
        <w:jc w:val="center"/>
        <w:spacing w:before="12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二、上一年度的财务状况报告（至少提供资产负债表、利润表、现金流量表，投标人成立不满一年无需提供）</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十一、关于符合本国产品标准的声明函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十三、技术要求响应及偏离表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十四、商务要求响应及偏离表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十六、</w:t>
      </w:r>
      <w:r>
        <w:rPr>
          <w:rFonts w:hint="eastAsia" w:ascii="宋体" w:hAnsi="宋体" w:eastAsia="宋体" w:cs="宋体"/>
          <w:sz w:val="24"/>
        </w:rPr>
        <w:t xml:space="preserve">技术方案、服务承诺、培训承诺等</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十七、盐城市政府</w:t>
      </w:r>
      <w:r>
        <w:rPr>
          <w:rFonts w:hint="eastAsia" w:ascii="宋体" w:hAnsi="宋体" w:eastAsia="宋体" w:cs="宋体"/>
          <w:sz w:val="24"/>
        </w:rPr>
        <w:t xml:space="preserve">采购</w:t>
      </w:r>
      <w:r>
        <w:rPr>
          <w:rFonts w:hint="eastAsia" w:asciiTheme="minorEastAsia" w:hAnsiTheme="minorEastAsia" w:cstheme="minorEastAsia"/>
          <w:sz w:val="24"/>
        </w:rPr>
        <w:t xml:space="preserve">事前信用承诺书</w:t>
      </w:r>
      <w:r/>
    </w:p>
    <w:p>
      <w:pPr>
        <w:rPr>
          <w:rFonts w:asciiTheme="minorEastAsia" w:hAnsiTheme="minorEastAsia" w:cstheme="minorEastAsia"/>
          <w:sz w:val="24"/>
        </w:rPr>
      </w:pPr>
      <w:r>
        <w:rPr>
          <w:rFonts w:hint="eastAsia" w:asciiTheme="minorEastAsia" w:hAnsiTheme="minorEastAsia" w:cstheme="minorEastAsia"/>
          <w:sz w:val="24"/>
        </w:rPr>
        <w:br w:type="page" w:clear="all"/>
      </w:r>
      <w:r/>
    </w:p>
    <w:p>
      <w:pPr>
        <w:pStyle w:val="936"/>
        <w:jc w:val="center"/>
        <w:spacing w:beforeAutospacing="0" w:afterAutospacing="0" w:line="4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一、法人或者其他组织的营业执照等证明文件，自然人的   身份证明</w:t>
      </w:r>
      <w:r/>
    </w:p>
    <w:p>
      <w:pPr>
        <w:spacing w:before="120"/>
        <w:widowControl/>
        <w:rPr>
          <w:rFonts w:asciiTheme="minorEastAsia" w:hAnsiTheme="minorEastAsia" w:cstheme="minorEastAsia"/>
          <w:b/>
          <w:bCs/>
          <w:sz w:val="32"/>
          <w:szCs w:val="32"/>
        </w:rPr>
      </w:pPr>
      <w:r>
        <w:rPr>
          <w:rFonts w:asciiTheme="minorEastAsia" w:hAnsiTheme="minorEastAsia" w:cstheme="minorEastAsia"/>
          <w:b/>
          <w:bCs/>
          <w:sz w:val="32"/>
          <w:szCs w:val="32"/>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line="360" w:lineRule="auto"/>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二、上一年度的财务状况报告</w:t>
      </w:r>
      <w:r/>
    </w:p>
    <w:p>
      <w:pPr>
        <w:jc w:val="center"/>
        <w:spacing w:line="360" w:lineRule="auto"/>
        <w:widowControl/>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06"/>
        <w:jc w:val="both"/>
        <w:spacing w:line="360" w:lineRule="auto"/>
        <w:widowControl/>
        <w:rPr>
          <w:rFonts w:ascii="宋体" w:hAnsi="宋体" w:eastAsia="宋体" w:cs="宋体"/>
        </w:rPr>
      </w:pPr>
      <w:r>
        <w:rPr>
          <w:rFonts w:ascii="宋体" w:hAnsi="宋体" w:eastAsia="宋体" w:cs="宋体"/>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706"/>
        <w:ind w:firstLine="480"/>
        <w:jc w:val="both"/>
        <w:spacing w:line="560" w:lineRule="exact"/>
        <w:widowControl/>
        <w:rPr>
          <w:rFonts w:asciiTheme="minorEastAsia" w:hAnsiTheme="minorEastAsia" w:cstheme="minorEastAsia"/>
        </w:rPr>
      </w:pPr>
      <w:r>
        <w:rPr>
          <w:rFonts w:hint="eastAsia" w:asciiTheme="minorEastAsia" w:hAnsi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706"/>
        <w:ind w:firstLine="480"/>
        <w:jc w:val="both"/>
        <w:widowControl/>
        <w:rPr>
          <w:rFonts w:asciiTheme="minorEastAsia" w:hAnsiTheme="minorEastAsia" w:cstheme="minorEastAsia"/>
        </w:rPr>
      </w:pPr>
      <w:r>
        <w:rPr>
          <w:rFonts w:hint="eastAsia" w:asciiTheme="minorEastAsia" w:hAnsiTheme="minorEastAsia" w:cstheme="minorEastAsia"/>
        </w:rPr>
        <w:t xml:space="preserve">主要设备有：</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p>
      <w:pPr>
        <w:pStyle w:val="706"/>
        <w:ind w:firstLine="480"/>
        <w:jc w:val="both"/>
        <w:widowControl/>
        <w:rPr>
          <w:rFonts w:ascii="微软雅黑" w:hAnsi="宋体" w:eastAsia="微软雅黑" w:cs="宋体"/>
          <w:iCs/>
        </w:rPr>
      </w:pPr>
      <w:r>
        <w:rPr>
          <w:rFonts w:hint="eastAsia" w:asciiTheme="minorEastAsia" w:hAnsiTheme="minorEastAsia" w:cstheme="minorEastAsia"/>
        </w:rPr>
        <w:t xml:space="preserve">主要专业技术能力有：</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06"/>
        <w:ind w:firstLine="480"/>
        <w:jc w:val="both"/>
        <w:spacing w:beforeAutospacing="0" w:afterAutospacing="0" w:line="500" w:lineRule="exact"/>
        <w:widowControl/>
        <w:rPr>
          <w:rFonts w:ascii="宋体" w:hAnsi="宋体" w:eastAsia="宋体" w:cs="宋体"/>
        </w:rPr>
      </w:pPr>
      <w:r>
        <w:rPr>
          <w:rFonts w:hint="eastAsia" w:asciiTheme="minorEastAsia" w:hAnsi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jc w:val="left"/>
        <w:spacing w:line="500" w:lineRule="exac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706"/>
        <w:jc w:val="center"/>
        <w:spacing w:line="500" w:lineRule="exact"/>
        <w:widowControl/>
        <w:rPr>
          <w:rFonts w:asciiTheme="minorEastAsia" w:hAnsiTheme="minorEastAsia" w:cstheme="minorEastAsia"/>
          <w:b/>
        </w:rPr>
      </w:pPr>
      <w:r>
        <w:rPr>
          <w:rFonts w:hint="eastAsia" w:asciiTheme="minorEastAsia" w:hAnsiTheme="minorEastAsia" w:cstheme="minorEastAsia"/>
          <w:b/>
          <w:sz w:val="44"/>
          <w:szCs w:val="44"/>
        </w:rPr>
        <w:t xml:space="preserve">声  明</w:t>
      </w:r>
      <w:r/>
    </w:p>
    <w:p>
      <w:pPr>
        <w:pStyle w:val="706"/>
        <w:ind w:firstLine="480"/>
        <w:jc w:val="both"/>
        <w:spacing w:line="500" w:lineRule="exact"/>
        <w:widowControl/>
        <w:rPr>
          <w:rFonts w:asciiTheme="minorEastAsia" w:hAnsiTheme="minorEastAsia" w:cstheme="minorEastAsia"/>
        </w:rPr>
      </w:pPr>
      <w:r>
        <w:rPr>
          <w:rFonts w:hint="eastAsia" w:asciiTheme="minorEastAsia" w:hAnsiTheme="minorEastAsia" w:cs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06"/>
        <w:jc w:val="both"/>
        <w:spacing w:line="560" w:lineRule="exact"/>
        <w:widowControl/>
        <w:rPr>
          <w:rFonts w:asciiTheme="minorEastAsia" w:hAnsiTheme="minorEastAsia" w:cstheme="minorEastAsia"/>
        </w:rPr>
      </w:pPr>
      <w:r>
        <w:rPr>
          <w:rFonts w:asciiTheme="minorEastAsia" w:hAnsiTheme="minorEastAsia" w:cstheme="minorEastAsia"/>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line="36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六、特定资格要求的证明文件</w:t>
      </w:r>
      <w:r/>
    </w:p>
    <w:p>
      <w:pPr>
        <w:pStyle w:val="706"/>
        <w:jc w:val="center"/>
        <w:spacing w:afterAutospacing="0" w:line="360" w:lineRule="exact"/>
        <w:widowControl/>
        <w:rPr>
          <w:rFonts w:ascii="宋体" w:hAnsi="宋体" w:eastAsia="宋体" w:cs="宋体"/>
        </w:rPr>
      </w:pPr>
      <w:r>
        <w:rPr>
          <w:rFonts w:hint="eastAsia" w:ascii="宋体" w:hAnsi="宋体" w:eastAsia="宋体" w:cs="宋体"/>
        </w:rPr>
        <w:t xml:space="preserve">如果本项目申请人的特定资格要求中要求提供的，必须提供。</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七、法人授权书</w:t>
      </w:r>
      <w:r/>
    </w:p>
    <w:p>
      <w:pPr>
        <w:pStyle w:val="706"/>
        <w:ind w:firstLine="480"/>
        <w:jc w:val="both"/>
        <w:spacing w:line="560" w:lineRule="exact"/>
        <w:widowControl/>
        <w:rPr>
          <w:rFonts w:asciiTheme="minorEastAsia" w:hAnsiTheme="minorEastAsia" w:cstheme="minorEastAsia"/>
        </w:rPr>
      </w:pPr>
      <w:r>
        <w:rPr>
          <w:rFonts w:hint="eastAsia" w:asciiTheme="minorEastAsia" w:hAnsiTheme="minorEastAsia" w:cstheme="minorEastAsia"/>
        </w:rPr>
        <w:t xml:space="preserve">本授权书声明：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（供应商名称）授权</w:t>
      </w:r>
      <w:r>
        <w:rPr>
          <w:rFonts w:hint="eastAsia" w:asciiTheme="minorEastAsia" w:hAnsiTheme="minorEastAsia" w:cstheme="minorEastAsia"/>
          <w:u w:val="single"/>
        </w:rPr>
        <w:t xml:space="preserve">            </w:t>
      </w:r>
      <w:r>
        <w:rPr>
          <w:rFonts w:hint="eastAsia" w:asciiTheme="minorEastAsia" w:hAnsiTheme="minorEastAsia" w:cstheme="minorEastAsia"/>
        </w:rPr>
        <w:t xml:space="preserve">（被授权人的姓名）为我方就</w:t>
      </w:r>
      <w:r>
        <w:rPr>
          <w:rFonts w:hint="eastAsia" w:asciiTheme="minorEastAsia" w:hAnsiTheme="minorEastAsia" w:cstheme="minorEastAsia"/>
          <w:u w:val="single"/>
          <w:lang w:eastAsia="zh-CN"/>
        </w:rPr>
        <w:t xml:space="preserve">JSZC-320900-JZCG-G2026-0062</w:t>
      </w:r>
      <w:r>
        <w:rPr>
          <w:rFonts w:hint="eastAsia" w:asciiTheme="minorEastAsia" w:hAnsiTheme="minorEastAsia" w:cstheme="minorEastAsia"/>
        </w:rPr>
        <w:t xml:space="preserve">号</w:t>
      </w:r>
      <w:r>
        <w:rPr>
          <w:rFonts w:hint="eastAsia" w:asciiTheme="minorEastAsia" w:hAnsiTheme="minorEastAsia" w:cstheme="minorEastAsia"/>
          <w:u w:val="single"/>
          <w:lang w:eastAsia="zh-CN"/>
        </w:rPr>
        <w:t xml:space="preserve">江苏省盐城技师学院海洋路校区心理健康活动中心和学生职业生涯规划中心采购项目</w:t>
      </w:r>
      <w:r>
        <w:rPr>
          <w:rFonts w:hint="eastAsia" w:asciiTheme="minorEastAsia" w:hAnsiTheme="minorEastAsia" w:cstheme="minorEastAsia"/>
        </w:rPr>
        <w:t xml:space="preserve">采购活动的合法代理人，以本单位名义全权处理一切与该项目采购有关的事务。</w:t>
      </w:r>
      <w:r/>
    </w:p>
    <w:p>
      <w:pPr>
        <w:pStyle w:val="706"/>
        <w:ind w:firstLine="480"/>
        <w:jc w:val="both"/>
        <w:spacing w:line="400" w:lineRule="exact"/>
        <w:widowControl/>
        <w:rPr>
          <w:rFonts w:asciiTheme="minorEastAsia" w:hAnsiTheme="minorEastAsia" w:cstheme="minorEastAsia"/>
        </w:rPr>
      </w:pPr>
      <w:r>
        <w:rPr>
          <w:rFonts w:hint="eastAsia" w:asciiTheme="minorEastAsia" w:hAnsiTheme="minorEastAsia" w:cstheme="minorEastAsia"/>
        </w:rPr>
        <w:t xml:space="preserve">本授权书于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年</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月</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日起生效，特此声明。</w:t>
      </w:r>
      <w:r/>
    </w:p>
    <w:p>
      <w:pPr>
        <w:pStyle w:val="706"/>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p>
    <w:p>
      <w:pPr>
        <w:pStyle w:val="706"/>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被授权人联系电话：</w:t>
      </w:r>
      <w:r>
        <w:rPr>
          <w:rFonts w:hint="eastAsia" w:asciiTheme="minorEastAsia" w:hAnsiTheme="minorEastAsia" w:cstheme="minorEastAsia"/>
          <w:u w:val="single"/>
        </w:rPr>
        <w:t xml:space="preserve">（手机）               </w:t>
      </w:r>
      <w:r/>
    </w:p>
    <w:p>
      <w:pPr>
        <w:pStyle w:val="706"/>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    （加盖CA电子公章）         </w:t>
      </w:r>
      <w:r/>
    </w:p>
    <w:p>
      <w:pPr>
        <w:pStyle w:val="706"/>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706"/>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日    期：</w:t>
      </w:r>
      <w:r>
        <w:rPr>
          <w:rFonts w:hint="eastAsia" w:asciiTheme="minorEastAsia" w:hAnsiTheme="minorEastAsia" w:cstheme="minorEastAsia"/>
          <w:u w:val="single"/>
        </w:rPr>
        <w:t xml:space="preserve">                                   </w:t>
      </w:r>
      <w:r/>
    </w:p>
    <w:p>
      <w:pPr>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八、投标函</w:t>
      </w:r>
      <w:r/>
    </w:p>
    <w:p>
      <w:pPr>
        <w:jc w:val="left"/>
        <w:spacing w:line="500" w:lineRule="exact"/>
        <w:widowControl/>
        <w:rPr>
          <w:rFonts w:ascii="宋体" w:hAnsi="宋体" w:cs="宋体"/>
          <w:sz w:val="24"/>
        </w:rPr>
      </w:pPr>
      <w:r>
        <w:rPr>
          <w:rFonts w:hint="eastAsia" w:ascii="宋体" w:hAnsi="宋体" w:cs="宋体"/>
          <w:sz w:val="24"/>
        </w:rPr>
        <w:t xml:space="preserve">致：盐城市政府采购中心</w:t>
      </w:r>
      <w:r/>
    </w:p>
    <w:p>
      <w:pPr>
        <w:ind w:firstLine="480"/>
        <w:jc w:val="left"/>
        <w:spacing w:line="500" w:lineRule="exact"/>
        <w:widowControl/>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 </w:t>
      </w:r>
      <w:r>
        <w:rPr>
          <w:rFonts w:hint="eastAsia" w:ascii="宋体" w:hAnsi="宋体" w:cs="宋体"/>
          <w:sz w:val="24"/>
          <w:u w:val="single"/>
          <w:lang w:eastAsia="zh-CN"/>
        </w:rPr>
        <w:t xml:space="preserve">JSZC-320900-JZCG-G2026-0062 </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widowControl/>
        <w:rPr>
          <w:rFonts w:ascii="宋体" w:hAnsi="宋体" w:cs="宋体"/>
          <w:sz w:val="24"/>
        </w:rPr>
      </w:pPr>
      <w:r>
        <w:rPr>
          <w:rFonts w:hint="eastAsia" w:ascii="宋体" w:hAnsi="宋体" w:cs="宋体"/>
          <w:sz w:val="24"/>
        </w:rPr>
        <w:t xml:space="preserve">据此函，__________签字人兹宣布同意如下：</w:t>
      </w:r>
      <w:r/>
    </w:p>
    <w:p>
      <w:pPr>
        <w:ind w:firstLine="480"/>
        <w:spacing w:line="500" w:lineRule="exact"/>
        <w:widowControl/>
        <w:rPr>
          <w:rFonts w:ascii="宋体" w:hAnsi="宋体" w:cs="宋体"/>
          <w:sz w:val="24"/>
        </w:rPr>
      </w:pPr>
      <w:r>
        <w:rPr>
          <w:rFonts w:hint="eastAsia" w:ascii="宋体" w:hAnsi="宋体" w:cs="宋体"/>
          <w:sz w:val="24"/>
        </w:rPr>
        <w:t xml:space="preserve">1.按招标文件规定的各项要求，向买方提供所需货物（包含与货物相关的服务）。</w:t>
      </w:r>
      <w:r/>
    </w:p>
    <w:p>
      <w:pPr>
        <w:ind w:firstLine="480"/>
        <w:spacing w:line="500" w:lineRule="exact"/>
        <w:widowControl/>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spacing w:line="500" w:lineRule="exact"/>
        <w:widowControl/>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widowControl/>
        <w:rPr>
          <w:rFonts w:ascii="宋体" w:hAnsi="宋体" w:cs="宋体"/>
          <w:sz w:val="24"/>
        </w:rPr>
      </w:pPr>
      <w:r>
        <w:rPr>
          <w:rFonts w:hint="eastAsia" w:ascii="宋体" w:hAnsi="宋体" w:cs="宋体"/>
          <w:sz w:val="24"/>
        </w:rPr>
        <w:t xml:space="preserve">地      址：</w:t>
      </w:r>
      <w:r/>
    </w:p>
    <w:p>
      <w:pPr>
        <w:ind w:firstLine="480"/>
        <w:jc w:val="left"/>
        <w:spacing w:line="500" w:lineRule="exact"/>
        <w:widowControl/>
        <w:rPr>
          <w:rFonts w:ascii="宋体" w:hAnsi="宋体" w:cs="宋体"/>
          <w:sz w:val="24"/>
        </w:rPr>
      </w:pPr>
      <w:r>
        <w:rPr>
          <w:rFonts w:hint="eastAsia" w:ascii="宋体" w:hAnsi="宋体" w:cs="宋体"/>
          <w:sz w:val="24"/>
        </w:rPr>
        <w:t xml:space="preserve">邮      编：</w:t>
      </w:r>
      <w:r/>
    </w:p>
    <w:p>
      <w:pPr>
        <w:ind w:firstLine="480"/>
        <w:jc w:val="left"/>
        <w:spacing w:line="500" w:lineRule="exact"/>
        <w:widowControl/>
        <w:rPr>
          <w:rFonts w:ascii="宋体" w:hAnsi="宋体" w:cs="宋体"/>
          <w:sz w:val="24"/>
        </w:rPr>
      </w:pPr>
      <w:r>
        <w:rPr>
          <w:rFonts w:hint="eastAsia" w:ascii="宋体" w:hAnsi="宋体" w:cs="宋体"/>
          <w:sz w:val="24"/>
        </w:rPr>
        <w:t xml:space="preserve">电      话：</w:t>
      </w:r>
      <w:r/>
    </w:p>
    <w:p>
      <w:pPr>
        <w:ind w:firstLine="480"/>
        <w:jc w:val="left"/>
        <w:spacing w:line="500" w:lineRule="exact"/>
        <w:widowControl/>
        <w:rPr>
          <w:rFonts w:ascii="宋体" w:hAnsi="宋体" w:cs="宋体"/>
          <w:sz w:val="24"/>
        </w:rPr>
      </w:pPr>
      <w:r>
        <w:rPr>
          <w:rFonts w:hint="eastAsia" w:ascii="宋体" w:hAnsi="宋体" w:cs="宋体"/>
          <w:sz w:val="24"/>
        </w:rPr>
        <w:t xml:space="preserve">传       真：</w:t>
      </w:r>
      <w:r/>
    </w:p>
    <w:p>
      <w:pPr>
        <w:ind w:firstLine="480"/>
        <w:jc w:val="left"/>
        <w:spacing w:line="500" w:lineRule="exact"/>
        <w:widowControl/>
        <w:rPr>
          <w:rFonts w:ascii="宋体" w:hAnsi="宋体" w:cs="宋体"/>
          <w:sz w:val="24"/>
        </w:rPr>
      </w:pPr>
      <w:r>
        <w:rPr>
          <w:rFonts w:hint="eastAsia" w:ascii="宋体" w:hAnsi="宋体" w:cs="宋体"/>
          <w:sz w:val="24"/>
        </w:rPr>
        <w:t xml:space="preserve">投标人开户行：</w:t>
      </w:r>
      <w:r/>
    </w:p>
    <w:p>
      <w:pPr>
        <w:ind w:firstLine="480"/>
        <w:jc w:val="left"/>
        <w:spacing w:line="500" w:lineRule="exact"/>
        <w:widowControl/>
        <w:rPr>
          <w:rFonts w:ascii="宋体" w:hAnsi="宋体" w:cs="宋体"/>
          <w:sz w:val="24"/>
        </w:rPr>
      </w:pPr>
      <w:r>
        <w:rPr>
          <w:rFonts w:hint="eastAsia" w:ascii="宋体" w:hAnsi="宋体" w:cs="宋体"/>
          <w:sz w:val="24"/>
        </w:rPr>
        <w:t xml:space="preserve">账       号：</w:t>
      </w:r>
      <w:r/>
    </w:p>
    <w:p>
      <w:pPr>
        <w:ind w:firstLine="480"/>
        <w:jc w:val="left"/>
        <w:spacing w:line="500" w:lineRule="exact"/>
        <w:widowControl/>
      </w:pPr>
      <w:r>
        <w:rPr>
          <w:rFonts w:hint="eastAsia" w:ascii="宋体" w:hAnsi="宋体" w:cs="宋体"/>
          <w:sz w:val="24"/>
        </w:rPr>
        <w:t xml:space="preserve">日      期：______年____月____日</w:t>
      </w:r>
      <w:r>
        <w:t xml:space="preserve"> </w:t>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九、中小企业声明函（货物）</w:t>
      </w:r>
      <w:r/>
    </w:p>
    <w:p>
      <w:pPr>
        <w:ind w:firstLine="480"/>
        <w:spacing w:line="519" w:lineRule="atLeas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eastAsia="宋体" w:cs="宋体"/>
          <w:sz w:val="24"/>
          <w:szCs w:val="20"/>
          <w:u w:val="single"/>
          <w:lang w:eastAsia="zh-CN"/>
        </w:rPr>
        <w:t xml:space="preserve">江苏省盐城技师学院</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JSZC-320900-JZCG-G2026-0062 </w:t>
      </w:r>
      <w:r>
        <w:rPr>
          <w:rFonts w:ascii="宋体" w:hAnsi="宋体" w:cs="宋体"/>
          <w:sz w:val="24"/>
        </w:rPr>
        <w:t xml:space="preserve">，</w:t>
      </w:r>
      <w:r>
        <w:rPr>
          <w:rFonts w:hint="eastAsia" w:ascii="宋体" w:hAnsi="宋体" w:cs="宋体"/>
          <w:sz w:val="24"/>
          <w:u w:val="single"/>
          <w:lang w:eastAsia="zh-CN"/>
        </w:rPr>
        <w:t xml:space="preserve">江苏省盐城技师学院海洋路校区心理健康活动中心和学生职业生涯规划中心采购项目</w:t>
      </w:r>
      <w:r>
        <w:rPr>
          <w:rFonts w:ascii="宋体" w:hAnsi="宋体" w:cs="宋体"/>
          <w:sz w:val="24"/>
        </w:rPr>
        <w:t xml:space="preserve">的采购活动，提供的货物全部由符合政策要</w:t>
      </w:r>
      <w:r>
        <w:rPr>
          <w:rFonts w:hint="eastAsia" w:ascii="宋体" w:hAnsi="宋体" w:cs="宋体"/>
          <w:sz w:val="24"/>
        </w:rPr>
        <w:t xml:space="preserve">求的</w:t>
      </w:r>
      <w:r>
        <w:rPr>
          <w:rFonts w:ascii="宋体" w:hAnsi="宋体" w:cs="宋体"/>
          <w:sz w:val="24"/>
        </w:rPr>
        <w:t xml:space="preserve">中小企业制造。根据《工业和信息化部、国家统计局、国家发展和改革委员会、财政部关于印发中小企业划型标准规定的通知》(工信部联企业</w:t>
      </w:r>
      <w:r>
        <w:rPr>
          <w:rFonts w:hint="eastAsia" w:ascii="宋体" w:hAnsi="宋体" w:cs="宋体"/>
          <w:sz w:val="24"/>
        </w:rPr>
        <w:t xml:space="preserve">〔2011〕300号</w:t>
      </w:r>
      <w:r>
        <w:rPr>
          <w:rFonts w:ascii="宋体" w:hAnsi="宋体" w:cs="宋体"/>
          <w:sz w:val="24"/>
        </w:rPr>
        <w:t xml:space="preserve">)的规定，相关企业（含联合体中的小微企业、签订分包意向协议的小微企业）的具体情况如下：</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widowControl/>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rPr>
          <w:rFonts w:hint="eastAsia"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ind w:firstLine="480"/>
        <w:spacing w:line="49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pStyle w:val="706"/>
        <w:ind w:right="1560" w:firstLine="120"/>
        <w:jc w:val="center"/>
        <w:spacing w:line="0" w:lineRule="atLeast"/>
        <w:widowControl/>
        <w:tabs>
          <w:tab w:val="left" w:pos="4864" w:leader="none"/>
        </w:tabs>
        <w:rPr>
          <w:rFonts w:ascii="黑体" w:hAnsi="黑体" w:eastAsia="黑体" w:cs="黑体"/>
          <w:i/>
          <w:sz w:val="32"/>
          <w:szCs w:val="32"/>
        </w:rPr>
      </w:pPr>
      <w:r>
        <w:rPr>
          <w:rFonts w:ascii="黑体" w:hAnsi="黑体" w:eastAsia="黑体" w:cs="黑体"/>
          <w:i/>
          <w:sz w:val="32"/>
          <w:szCs w:val="32"/>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十、残疾人福利性单位声明函</w:t>
      </w:r>
      <w:r/>
    </w:p>
    <w:p>
      <w:pPr>
        <w:ind w:firstLine="480"/>
        <w:jc w:val="left"/>
        <w:spacing w:line="560" w:lineRule="exact"/>
        <w:widowControl/>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0"/>
          <w:u w:val="single"/>
          <w:lang w:eastAsia="zh-CN"/>
        </w:rPr>
        <w:t xml:space="preserve">江苏省盐城技师学院</w:t>
      </w:r>
      <w:r>
        <w:rPr>
          <w:rFonts w:hint="eastAsia" w:ascii="宋体" w:hAnsi="宋体" w:cs="宋体"/>
          <w:sz w:val="24"/>
        </w:rPr>
        <w:t xml:space="preserve">单位的采购文件编号为</w:t>
      </w:r>
      <w:r>
        <w:rPr>
          <w:rFonts w:hint="eastAsia" w:ascii="宋体" w:hAnsi="宋体" w:cs="宋体"/>
          <w:sz w:val="24"/>
          <w:u w:val="single"/>
          <w:lang w:eastAsia="zh-CN"/>
        </w:rPr>
        <w:t xml:space="preserve">JSZC-320900-JZCG-G2026-0062 </w:t>
      </w:r>
      <w:r>
        <w:rPr>
          <w:rFonts w:hint="eastAsia" w:ascii="宋体" w:hAnsi="宋体" w:cs="宋体"/>
          <w:sz w:val="24"/>
        </w:rPr>
        <w:t xml:space="preserve">的</w:t>
      </w:r>
      <w:r>
        <w:rPr>
          <w:rFonts w:hint="eastAsia" w:ascii="宋体" w:hAnsi="宋体" w:cs="宋体"/>
          <w:sz w:val="24"/>
          <w:u w:val="single"/>
          <w:lang w:eastAsia="zh-CN"/>
        </w:rPr>
        <w:t xml:space="preserve">江苏省盐城技师学院海洋路校区心理健康活动中心和学生职业生涯规划中心采购项目</w:t>
      </w:r>
      <w:r>
        <w:rPr>
          <w:rFonts w:hint="eastAsia" w:ascii="宋体" w:hAnsi="宋体" w:cs="宋体"/>
          <w:sz w:val="24"/>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60" w:lineRule="exact"/>
        <w:widowControl/>
        <w:rPr>
          <w:rFonts w:ascii="宋体" w:hAnsi="宋体" w:cs="宋体"/>
          <w:sz w:val="24"/>
        </w:rPr>
      </w:pPr>
      <w:r>
        <w:rPr>
          <w:rFonts w:ascii="宋体" w:hAnsi="宋体" w:cs="宋体"/>
          <w:sz w:val="24"/>
        </w:rPr>
      </w:r>
      <w:r/>
    </w:p>
    <w:p>
      <w:pPr>
        <w:ind w:firstLine="480"/>
        <w:spacing w:line="49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sz w:val="24"/>
        </w:rPr>
        <w:t xml:space="preserve">。</w:t>
      </w:r>
      <w:r/>
    </w:p>
    <w:p>
      <w:pPr>
        <w:ind w:firstLine="480"/>
        <w:jc w:val="left"/>
        <w:spacing w:line="520" w:lineRule="exact"/>
        <w:widowControl/>
        <w:rPr>
          <w:rFonts w:ascii="宋体" w:hAnsi="宋体" w:cs="宋体"/>
          <w:sz w:val="24"/>
        </w:rPr>
      </w:pPr>
      <w:r>
        <w:rPr>
          <w:rFonts w:ascii="宋体" w:hAnsi="宋体" w:cs="宋体"/>
          <w:sz w:val="24"/>
        </w:rPr>
      </w:r>
      <w:r/>
    </w:p>
    <w:p>
      <w:pPr>
        <w:ind w:firstLine="480"/>
        <w:jc w:val="left"/>
        <w:spacing w:line="520" w:lineRule="exact"/>
        <w:widowControl/>
        <w:rPr>
          <w:rFonts w:ascii="宋体" w:hAnsi="宋体" w:cs="宋体"/>
          <w:sz w:val="24"/>
        </w:rPr>
      </w:pPr>
      <w:r>
        <w:rPr>
          <w:rFonts w:ascii="宋体" w:hAnsi="宋体" w:cs="宋体"/>
          <w:sz w:val="24"/>
        </w:rPr>
      </w:r>
      <w:r/>
    </w:p>
    <w:p>
      <w:pPr>
        <w:ind w:right="480" w:firstLine="480"/>
        <w:jc w:val="right"/>
        <w:spacing w:line="520" w:lineRule="exact"/>
        <w:widowControl/>
        <w:rPr>
          <w:rFonts w:ascii="宋体" w:hAnsi="宋体" w:cs="宋体"/>
          <w:sz w:val="24"/>
        </w:rPr>
      </w:pPr>
      <w:r>
        <w:rPr>
          <w:rFonts w:hint="eastAsia" w:ascii="宋体" w:hAnsi="宋体" w:cs="宋体"/>
          <w:sz w:val="24"/>
        </w:rPr>
        <w:t xml:space="preserve">企业名称（加盖CA电子公章）：</w:t>
      </w:r>
      <w:r/>
    </w:p>
    <w:p>
      <w:pPr>
        <w:ind w:right="480" w:firstLine="480"/>
        <w:jc w:val="right"/>
        <w:spacing w:line="520" w:lineRule="exact"/>
        <w:widowControl/>
      </w:pPr>
      <w:r>
        <w:rPr>
          <w:rFonts w:hint="eastAsia" w:ascii="宋体" w:hAnsi="宋体" w:cs="宋体"/>
          <w:sz w:val="24"/>
        </w:rPr>
        <w:t xml:space="preserve">日  期：</w:t>
      </w:r>
      <w:r/>
    </w:p>
    <w:p>
      <w:pPr>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pStyle w:val="706"/>
        <w:jc w:val="center"/>
        <w:spacing w:beforeAutospacing="0" w:afterAutospacing="0"/>
      </w:pPr>
      <w:r>
        <w:rPr>
          <w:rFonts w:hint="eastAsia" w:ascii="黑体" w:hAnsi="黑体" w:eastAsia="黑体" w:cs="黑体"/>
          <w:i/>
          <w:sz w:val="32"/>
          <w:szCs w:val="32"/>
          <w:u w:val="single"/>
        </w:rPr>
        <w:t xml:space="preserve">十一、关于符合本国产品标准的声明函</w:t>
      </w:r>
      <w:r/>
    </w:p>
    <w:p>
      <w:pPr>
        <w:pStyle w:val="706"/>
        <w:ind w:firstLine="420"/>
        <w:jc w:val="both"/>
        <w:spacing w:beforeAutospacing="0" w:afterAutospacing="0"/>
      </w:pPr>
      <w:r>
        <w:rPr>
          <w:rFonts w:ascii="Arial" w:hAnsi="Arial" w:cs="Arial"/>
          <w:color w:val="ff0000"/>
        </w:rPr>
        <w:t xml:space="preserve"> </w:t>
      </w:r>
      <w:r/>
    </w:p>
    <w:p>
      <w:pPr>
        <w:pStyle w:val="706"/>
        <w:ind w:firstLine="420"/>
        <w:jc w:val="both"/>
        <w:spacing w:beforeAutospacing="0" w:afterAutospacing="0" w:line="360" w:lineRule="auto"/>
      </w:pPr>
      <w:r>
        <w:rPr>
          <w:rFonts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6"/>
        <w:ind w:firstLine="420"/>
        <w:jc w:val="both"/>
        <w:spacing w:before="30" w:beforeAutospacing="0" w:after="30" w:afterAutospacing="0" w:line="360" w:lineRule="auto"/>
      </w:pPr>
      <w:r>
        <w:rPr>
          <w:rFonts w:ascii="宋体" w:hAnsi="宋体" w:eastAsia="宋体" w:cs="宋体"/>
          <w:shd w:val="clear" w:color="auto" w:fill="ffffff"/>
        </w:rPr>
        <w:t xml:space="preserve">1.</w:t>
      </w:r>
      <w:r>
        <w:rPr>
          <w:rFonts w:ascii="宋体" w:hAnsi="宋体" w:eastAsia="宋体" w:cs="宋体"/>
          <w:u w:val="single"/>
          <w:shd w:val="clear" w:color="auto" w:fill="ffffff"/>
        </w:rPr>
        <w:t xml:space="preserve">（产品名称1）</w:t>
      </w:r>
      <w:r>
        <w:rPr>
          <w:rFonts w:ascii="宋体" w:hAnsi="宋体" w:eastAsia="宋体" w:cs="宋体"/>
          <w:shd w:val="clear" w:color="auto" w:fill="ffffff"/>
          <w:vertAlign w:val="superscript"/>
        </w:rPr>
        <w:t xml:space="preserve">1</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vertAlign w:val="superscript"/>
        </w:rPr>
        <w:t xml:space="preserve">2</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 （产品名称1）</w:t>
      </w:r>
      <w:r>
        <w:rPr>
          <w:rFonts w:ascii="宋体" w:hAnsi="宋体" w:eastAsia="宋体" w:cs="宋体"/>
          <w:u w:val="single"/>
          <w:shd w:val="clear" w:color="auto" w:fill="ffffff"/>
        </w:rPr>
        <w:t xml:space="preserve"> </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trike/>
          <w:shd w:val="clear" w:color="auto" w:fill="ffffff"/>
          <w:vertAlign w:val="superscript"/>
        </w:rPr>
        <w:t xml:space="preserve">3</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trike/>
          <w:shd w:val="clear" w:color="auto" w:fill="ffffff"/>
          <w:vertAlign w:val="superscript"/>
        </w:rPr>
        <w:t xml:space="preserve">4</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trike/>
          <w:shd w:val="clear" w:color="auto" w:fill="ffffff"/>
          <w:vertAlign w:val="superscript"/>
        </w:rPr>
        <w:t xml:space="preserve">5</w:t>
      </w:r>
      <w:r>
        <w:rPr>
          <w:rFonts w:ascii="宋体" w:hAnsi="宋体" w:eastAsia="宋体" w:cs="宋体"/>
          <w:shd w:val="clear" w:color="auto" w:fill="ffffff"/>
        </w:rPr>
        <w:t xml:space="preserve">在中国境内完成。</w:t>
      </w:r>
      <w:r/>
    </w:p>
    <w:p>
      <w:pPr>
        <w:pStyle w:val="706"/>
        <w:ind w:firstLine="420"/>
        <w:jc w:val="both"/>
        <w:spacing w:before="30" w:beforeAutospacing="0" w:after="30" w:afterAutospacing="0" w:line="360" w:lineRule="auto"/>
      </w:pPr>
      <w:r>
        <w:rPr>
          <w:rFonts w:ascii="宋体" w:hAnsi="宋体" w:eastAsia="宋体" w:cs="宋体"/>
          <w:shd w:val="clear" w:color="auto" w:fill="ffffff"/>
        </w:rPr>
        <w:t xml:space="preserve">2.</w:t>
      </w:r>
      <w:r>
        <w:rPr>
          <w:rFonts w:ascii="宋体" w:hAnsi="宋体" w:eastAsia="宋体" w:cs="宋体"/>
          <w:u w:val="single"/>
          <w:shd w:val="clear" w:color="auto" w:fill="ffffff"/>
        </w:rPr>
        <w:t xml:space="preserve">（产品名称2）</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hd w:val="clear" w:color="auto" w:fill="ffffff"/>
        </w:rPr>
        <w:t xml:space="preserve">在中国境内完成。</w:t>
      </w:r>
      <w:r/>
    </w:p>
    <w:p>
      <w:pPr>
        <w:pStyle w:val="706"/>
        <w:ind w:firstLine="420"/>
        <w:jc w:val="both"/>
        <w:spacing w:before="30" w:beforeAutospacing="0" w:after="30" w:afterAutospacing="0" w:line="360" w:lineRule="auto"/>
      </w:pPr>
      <w:r>
        <w:rPr>
          <w:rFonts w:ascii="宋体" w:hAnsi="宋体" w:eastAsia="宋体" w:cs="宋体"/>
          <w:shd w:val="clear" w:color="auto" w:fill="ffffff"/>
        </w:rPr>
        <w:t xml:space="preserve">……</w:t>
      </w:r>
      <w:r/>
    </w:p>
    <w:p>
      <w:pPr>
        <w:pStyle w:val="706"/>
        <w:ind w:right="480"/>
        <w:spacing w:before="30" w:beforeAutospacing="0" w:after="30" w:afterAutospacing="0" w:line="360" w:lineRule="auto"/>
        <w:rPr>
          <w:rFonts w:ascii="宋体" w:hAnsi="宋体" w:eastAsia="宋体" w:cs="宋体"/>
          <w:shd w:val="clear" w:color="auto" w:fill="ffffff"/>
        </w:rPr>
      </w:pPr>
      <w:r>
        <w:rPr>
          <w:rFonts w:ascii="宋体" w:hAnsi="宋体" w:eastAsia="宋体" w:cs="宋体"/>
          <w:shd w:val="clear" w:color="auto" w:fill="ffffff"/>
        </w:rPr>
        <w:t xml:space="preserve">本公司（单位）对上述声明内容的真实性负责。如有虚假，愿承担相应法律责任。</w:t>
      </w:r>
      <w:r>
        <w:rPr>
          <w:rFonts w:hint="eastAsia" w:ascii="宋体" w:hAnsi="宋体" w:eastAsia="宋体" w:cs="宋体"/>
          <w:shd w:val="clear" w:color="auto" w:fill="ffffff"/>
        </w:rPr>
        <w:t xml:space="preserve"> </w:t>
      </w:r>
      <w:r/>
    </w:p>
    <w:p>
      <w:pPr>
        <w:pStyle w:val="706"/>
        <w:ind w:right="480"/>
        <w:jc w:val="center"/>
        <w:spacing w:before="30" w:beforeAutospacing="0" w:after="30" w:afterAutospacing="0" w:line="360" w:lineRule="auto"/>
      </w:pPr>
      <w:r>
        <w:rPr>
          <w:rFonts w:hint="eastAsia" w:ascii="宋体" w:hAnsi="宋体" w:eastAsia="宋体" w:cs="宋体"/>
          <w:shd w:val="clear" w:color="auto" w:fill="ffffff"/>
        </w:rPr>
        <w:t xml:space="preserve">          </w:t>
      </w:r>
      <w:r>
        <w:rPr>
          <w:rFonts w:ascii="宋体" w:hAnsi="宋体" w:eastAsia="宋体" w:cs="宋体"/>
          <w:shd w:val="clear" w:color="auto" w:fill="ffffff"/>
        </w:rPr>
        <w:t xml:space="preserve">公司（单位）名称（盖章）：</w:t>
      </w:r>
      <w:r/>
    </w:p>
    <w:p>
      <w:pPr>
        <w:pStyle w:val="706"/>
        <w:jc w:val="both"/>
        <w:spacing w:before="30" w:beforeAutospacing="0" w:after="30" w:afterAutospacing="0" w:line="360" w:lineRule="auto"/>
      </w:pPr>
      <w:r>
        <w:rPr>
          <w:rFonts w:ascii="宋体" w:hAnsi="宋体" w:eastAsia="宋体" w:cs="宋体"/>
          <w:shd w:val="clear" w:color="auto" w:fill="ffffff"/>
        </w:rPr>
        <w:t xml:space="preserve">                       日期：　   年　  月　  日</w:t>
      </w:r>
      <w:r/>
    </w:p>
    <w:p>
      <w:pPr>
        <w:pStyle w:val="706"/>
        <w:jc w:val="both"/>
        <w:spacing w:before="30" w:beforeAutospacing="0" w:after="30" w:afterAutospacing="0" w:line="360" w:lineRule="auto"/>
        <w:rPr>
          <w:b/>
          <w:bCs/>
        </w:rPr>
      </w:pPr>
      <w:r>
        <w:rPr>
          <w:rFonts w:ascii="宋体" w:hAnsi="宋体" w:eastAsia="宋体" w:cs="宋体"/>
          <w:b/>
          <w:bCs/>
          <w:shd w:val="clear" w:color="auto" w:fill="ffffff"/>
        </w:rPr>
        <w:t xml:space="preserve">1.产品如有型号，请在“产品名称”栏一并填写。</w:t>
      </w:r>
      <w:r/>
    </w:p>
    <w:p>
      <w:pPr>
        <w:pStyle w:val="706"/>
        <w:jc w:val="both"/>
        <w:spacing w:before="30" w:beforeAutospacing="0" w:after="30" w:afterAutospacing="0" w:line="360" w:lineRule="auto"/>
        <w:rPr>
          <w:b/>
          <w:bCs/>
        </w:rPr>
      </w:pPr>
      <w:r>
        <w:rPr>
          <w:rFonts w:ascii="宋体" w:hAnsi="宋体" w:eastAsia="宋体" w:cs="宋体"/>
          <w:b/>
          <w:bCs/>
          <w:shd w:val="clear" w:color="auto" w:fill="ffffff"/>
        </w:rPr>
        <w:t xml:space="preserve">2.生产厂名与厂址应与生产厂营业执照载明的相关信息保持一致。</w:t>
      </w:r>
      <w:r/>
    </w:p>
    <w:p>
      <w:pPr>
        <w:pStyle w:val="706"/>
        <w:jc w:val="both"/>
        <w:spacing w:before="30" w:beforeAutospacing="0" w:after="30" w:afterAutospacing="0" w:line="360" w:lineRule="auto"/>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06"/>
        <w:jc w:val="both"/>
        <w:spacing w:before="30" w:beforeAutospacing="0" w:after="30" w:afterAutospacing="0" w:line="360" w:lineRule="auto"/>
        <w:rPr>
          <w:b/>
          <w:bCs/>
        </w:rPr>
      </w:pPr>
      <w:r>
        <w:rPr>
          <w:rFonts w:ascii="宋体" w:hAnsi="宋体" w:eastAsia="宋体" w:cs="宋体"/>
          <w:b/>
          <w:bCs/>
          <w:shd w:val="clear" w:color="auto" w:fill="ffffff"/>
        </w:rPr>
        <w:t xml:space="preserve">4.该产品的关键组件要求实施前，“关键组件”栏可不填，下同。</w:t>
      </w:r>
      <w:r/>
    </w:p>
    <w:p>
      <w:pPr>
        <w:pStyle w:val="706"/>
        <w:jc w:val="both"/>
        <w:spacing w:before="30" w:beforeAutospacing="0" w:after="30" w:afterAutospacing="0" w:line="360" w:lineRule="auto"/>
        <w:rPr>
          <w:b/>
          <w:bCs/>
        </w:rPr>
      </w:pPr>
      <w:r>
        <w:rPr>
          <w:rFonts w:ascii="宋体" w:hAnsi="宋体" w:eastAsia="宋体" w:cs="宋体"/>
          <w:b/>
          <w:bCs/>
          <w:shd w:val="clear" w:color="auto" w:fill="ffffff"/>
        </w:rPr>
        <w:t xml:space="preserve">5.该产品的关键工序要求实施前，“关键工序”栏可不填，下同。</w:t>
      </w:r>
      <w:r/>
    </w:p>
    <w:p>
      <w:pPr>
        <w:pStyle w:val="706"/>
        <w:jc w:val="both"/>
        <w:spacing w:before="30" w:beforeAutospacing="0" w:after="30" w:afterAutospacing="0" w:line="360" w:lineRule="auto"/>
        <w:rPr>
          <w:rFonts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spacing w:line="360" w:lineRule="auto"/>
        <w:rPr>
          <w:b/>
          <w:bCs/>
        </w:rPr>
      </w:pPr>
      <w:r>
        <w:rPr>
          <w:rFonts w:hint="eastAsia" w:ascii="宋体" w:hAnsi="宋体" w:eastAsia="宋体" w:cs="宋体"/>
          <w:b/>
          <w:bCs/>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86"/>
      </w:pPr>
      <w:r/>
      <w:r/>
    </w:p>
    <w:tbl>
      <w:tblPr>
        <w:tblStyle w:val="680"/>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68"/>
        <w:gridCol w:w="980"/>
        <w:gridCol w:w="980"/>
        <w:gridCol w:w="980"/>
        <w:gridCol w:w="1280"/>
        <w:gridCol w:w="1157"/>
        <w:gridCol w:w="1012"/>
      </w:tblGrid>
      <w:tr>
        <w:trPr>
          <w:jc w:val="center"/>
          <w:trHeight w:val="700"/>
        </w:trPr>
        <w:tc>
          <w:tcPr>
            <w:shd w:val="clear" w:color="auto" w:fill="auto"/>
            <w:tcW w:w="739" w:type="dxa"/>
            <w:vAlign w:val="center"/>
            <w:textDirection w:val="lrTb"/>
            <w:noWrap w:val="false"/>
          </w:tcPr>
          <w:p>
            <w:pPr>
              <w:widowControl/>
              <w:rPr>
                <w:rFonts w:ascii="Calibri" w:hAnsi="Calibri" w:eastAsia="宋体" w:cs="宋体"/>
                <w:color w:val="000000"/>
                <w:sz w:val="24"/>
              </w:rPr>
            </w:pPr>
            <w:r/>
            <w:bookmarkStart w:id="177" w:name="RANGE!A2"/>
            <w:r/>
            <w:bookmarkEnd w:id="177"/>
            <w:r>
              <w:rPr>
                <w:rFonts w:hint="eastAsia" w:ascii="宋体" w:hAnsi="宋体" w:eastAsia="宋体" w:cs="宋体"/>
                <w:color w:val="000000"/>
                <w:sz w:val="24"/>
              </w:rPr>
              <w:t xml:space="preserve">序号</w:t>
            </w:r>
            <w:r/>
          </w:p>
        </w:tc>
        <w:tc>
          <w:tcPr>
            <w:shd w:val="clear" w:color="auto" w:fill="auto"/>
            <w:tcW w:w="1568"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产品名称</w:t>
            </w:r>
            <w:r/>
          </w:p>
        </w:tc>
        <w:tc>
          <w:tcPr>
            <w:shd w:val="clear" w:color="auto" w:fill="auto"/>
            <w:tcW w:w="9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品牌及型号</w:t>
            </w:r>
            <w:r/>
          </w:p>
        </w:tc>
        <w:tc>
          <w:tcPr>
            <w:shd w:val="clear" w:color="auto" w:fill="auto"/>
            <w:tcW w:w="9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交付期</w:t>
            </w:r>
            <w:r/>
          </w:p>
        </w:tc>
        <w:tc>
          <w:tcPr>
            <w:shd w:val="clear" w:color="auto" w:fill="auto"/>
            <w:tcW w:w="9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数量</w:t>
            </w:r>
            <w:r/>
          </w:p>
        </w:tc>
        <w:tc>
          <w:tcPr>
            <w:shd w:val="clear" w:color="auto" w:fill="auto"/>
            <w:tcW w:w="128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分项单价</w:t>
            </w:r>
            <w:r/>
          </w:p>
        </w:tc>
        <w:tc>
          <w:tcPr>
            <w:shd w:val="clear" w:color="auto" w:fill="auto"/>
            <w:tcW w:w="115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分项</w:t>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总价</w:t>
            </w:r>
            <w:r/>
          </w:p>
        </w:tc>
        <w:tc>
          <w:tcPr>
            <w:shd w:val="clear" w:color="auto" w:fill="auto"/>
            <w:tcW w:w="1012"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700"/>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1033"/>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1033"/>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700"/>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700"/>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1568"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980" w:type="dxa"/>
            <w:vAlign w:val="center"/>
            <w:textDirection w:val="lrTb"/>
            <w:noWrap w:val="false"/>
          </w:tcPr>
          <w:p>
            <w:r/>
            <w:r/>
          </w:p>
        </w:tc>
        <w:tc>
          <w:tcPr>
            <w:shd w:val="clear" w:color="auto" w:fill="auto"/>
            <w:tcW w:w="1280" w:type="dxa"/>
            <w:vAlign w:val="center"/>
            <w:textDirection w:val="lrTb"/>
            <w:noWrap w:val="false"/>
          </w:tcPr>
          <w:p>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367"/>
        </w:trPr>
        <w:tc>
          <w:tcPr>
            <w:shd w:val="clear" w:color="auto" w:fill="auto"/>
            <w:tcW w:w="73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w:t>
            </w:r>
            <w:r/>
          </w:p>
        </w:tc>
        <w:tc>
          <w:tcPr>
            <w:shd w:val="clear" w:color="auto" w:fill="auto"/>
            <w:tcW w:w="1568"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w:t>
            </w:r>
            <w:r/>
          </w:p>
        </w:tc>
        <w:tc>
          <w:tcPr>
            <w:shd w:val="clear" w:color="auto" w:fill="auto"/>
            <w:tcW w:w="9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9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9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280"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157"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599"/>
        </w:trPr>
        <w:tc>
          <w:tcPr>
            <w:gridSpan w:val="7"/>
            <w:shd w:val="clear" w:color="auto" w:fill="auto"/>
            <w:tcW w:w="7684"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投标总报价（人民币：元）</w:t>
            </w:r>
            <w:r/>
          </w:p>
        </w:tc>
        <w:tc>
          <w:tcPr>
            <w:shd w:val="clear" w:color="auto" w:fill="auto"/>
            <w:tcW w:w="1012" w:type="dxa"/>
            <w:vAlign w:val="center"/>
            <w:textDirection w:val="lrTb"/>
            <w:noWrap w:val="false"/>
          </w:tcPr>
          <w:p>
            <w:pPr>
              <w:jc w:val="center"/>
              <w:widowControl/>
              <w:rPr>
                <w:rFonts w:ascii="Calibri" w:hAnsi="Calibri" w:eastAsia="宋体" w:cs="宋体"/>
                <w:color w:val="000000"/>
                <w:sz w:val="24"/>
              </w:rPr>
            </w:pPr>
            <w:r>
              <w:rPr>
                <w:rFonts w:ascii="Calibri" w:hAnsi="Calibri" w:eastAsia="宋体" w:cs="宋体"/>
                <w:color w:val="000000"/>
                <w:sz w:val="24"/>
              </w:rPr>
            </w:r>
            <w:r/>
          </w:p>
        </w:tc>
      </w:tr>
      <w:tr>
        <w:trPr>
          <w:jc w:val="center"/>
          <w:trHeight w:val="863"/>
        </w:trPr>
        <w:tc>
          <w:tcPr>
            <w:gridSpan w:val="8"/>
            <w:shd w:val="clear" w:color="auto" w:fill="auto"/>
            <w:tcW w:w="8696" w:type="dxa"/>
            <w:vAlign w:val="center"/>
            <w:textDirection w:val="lrTb"/>
            <w:noWrap w:val="false"/>
          </w:tcPr>
          <w:p>
            <w:pPr>
              <w:widowControl/>
              <w:rPr>
                <w:rFonts w:ascii="宋体" w:hAnsi="宋体" w:eastAsia="宋体" w:cs="宋体"/>
                <w:color w:val="ff0000"/>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w:t>
            </w:r>
            <w:r>
              <w:rPr>
                <w:rFonts w:hint="eastAsia" w:ascii="宋体" w:hAnsi="宋体" w:eastAsia="宋体" w:cs="宋体"/>
                <w:sz w:val="24"/>
              </w:rPr>
              <w:t xml:space="preserve">%。</w:t>
            </w:r>
            <w:r/>
          </w:p>
        </w:tc>
      </w:tr>
    </w:tbl>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备注：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2.“投标分项报价表”中“投标总报价”数额应当与“开标一览表”中“投标总报价”数额一致。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tbl>
      <w:tblPr>
        <w:tblStyle w:val="680"/>
        <w:tblpPr w:horzAnchor="page" w:tblpXSpec="center" w:vertAnchor="text" w:tblpY="390" w:leftFromText="180" w:topFromText="0" w:rightFromText="180" w:bottomFromText="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260"/>
        <w:gridCol w:w="2031"/>
        <w:gridCol w:w="1555"/>
        <w:gridCol w:w="1323"/>
      </w:tblGrid>
      <w:tr>
        <w:trPr>
          <w:jc w:val="center"/>
          <w:trHeight w:val="1396"/>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326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3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投标响应情况</w:t>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3260" w:type="dxa"/>
            <w:vAlign w:val="center"/>
            <w:textDirection w:val="lrTb"/>
            <w:noWrap w:val="false"/>
          </w:tcPr>
          <w:p>
            <w:pPr>
              <w:jc w:val="center"/>
              <w:spacing w:line="5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31" w:type="dxa"/>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1555"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323"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706"/>
        <w:widowControl/>
        <w:rPr>
          <w:rFonts w:asciiTheme="minorEastAsia" w:hAnsiTheme="minorEastAsia" w:cstheme="minorEastAsia"/>
        </w:rPr>
      </w:pPr>
      <w:r>
        <w:rPr>
          <w:rFonts w:hint="eastAsia" w:asciiTheme="minorEastAsia" w:hAnsiTheme="minorEastAsia" w:cstheme="minorEastAsia"/>
        </w:rPr>
        <w:t xml:space="preserve">注：行数不够，可自行添加。</w:t>
      </w: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十四、商务要求响应及偏离表</w:t>
      </w:r>
      <w:r/>
    </w:p>
    <w:tbl>
      <w:tblPr>
        <w:tblStyle w:val="680"/>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投标响应情况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706"/>
        <w:widowControl/>
        <w:rPr>
          <w:rFonts w:ascii="微软雅黑" w:hAnsi="宋体" w:eastAsia="微软雅黑" w:cs="黑体"/>
          <w:iCs/>
          <w:sz w:val="30"/>
          <w:szCs w:val="30"/>
        </w:rPr>
      </w:pPr>
      <w:r>
        <w:rPr>
          <w:rFonts w:hint="eastAsia" w:asciiTheme="minorEastAsia" w:hAnsiTheme="minorEastAsia" w:cstheme="minorEastAsia"/>
        </w:rPr>
        <w:t xml:space="preserve">注：行数不够，可自行添加。</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十五、开标一览表</w:t>
      </w:r>
      <w:r/>
    </w:p>
    <w:p>
      <w:pPr>
        <w:jc w:val="center"/>
        <w:spacing w:before="50" w:after="50"/>
        <w:widowControl/>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100" w:after="100" w:line="360" w:lineRule="auto"/>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投标人全称（CA公章）：供应商名称</w:t>
      </w:r>
      <w:r/>
    </w:p>
    <w:p>
      <w:pPr>
        <w:spacing w:before="100" w:after="100" w:line="360" w:lineRule="auto"/>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江苏省盐城技师学院海洋路校区心理健康活动中心和学生职业生涯规划中心采购项目</w:t>
      </w:r>
      <w:r/>
    </w:p>
    <w:p>
      <w:pPr>
        <w:spacing w:before="100" w:after="100" w:line="360" w:lineRule="auto"/>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JSZC-320900-JZCG-G2026- 0062</w:t>
      </w:r>
      <w:r/>
    </w:p>
    <w:p>
      <w:pPr>
        <w:spacing w:before="100" w:after="100" w:line="360" w:lineRule="auto"/>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分包号：/</w:t>
      </w:r>
      <w:r/>
    </w:p>
    <w:tbl>
      <w:tblPr>
        <w:tblStyle w:val="710"/>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spacing w:before="100" w:after="100"/>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r>
    </w:tbl>
    <w:p>
      <w:pPr>
        <w:spacing w:before="100" w:after="100"/>
        <w:widowControl/>
        <w:pBdr>
          <w:top w:val="none" w:color="000000" w:sz="0" w:space="0"/>
          <w:left w:val="none" w:color="000000" w:sz="0" w:space="0"/>
          <w:bottom w:val="none" w:color="000000" w:sz="0" w:space="0"/>
          <w:right w:val="none" w:color="000000" w:sz="0" w:space="0"/>
        </w:pBdr>
      </w:pPr>
      <w:r/>
      <w:r/>
    </w:p>
    <w:p>
      <w:pPr>
        <w:jc w:val="right"/>
        <w:spacing w:before="100" w:after="100"/>
        <w:widowControl/>
        <w:rPr>
          <w:rFonts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hint="eastAsia" w:ascii="Calibri" w:hAnsi="Calibri" w:eastAsia="宋体" w:cs="Calibri"/>
          <w:color w:val="000000"/>
          <w:sz w:val="24"/>
        </w:rPr>
        <w:t xml:space="preserve">  </w:t>
      </w:r>
      <w:r>
        <w:rPr>
          <w:rFonts w:ascii="宋体" w:hAnsi="宋体" w:eastAsia="宋体" w:cs="宋体"/>
          <w:color w:val="000000"/>
          <w:sz w:val="24"/>
        </w:rPr>
        <w:t xml:space="preserve">年   月   日</w:t>
      </w:r>
      <w:r/>
    </w:p>
    <w:p>
      <w:pPr>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十六、技术方案、服务承诺、培训承诺等</w:t>
      </w:r>
      <w:r/>
    </w:p>
    <w:p>
      <w:pPr>
        <w:jc w:val="center"/>
        <w:spacing w:before="120" w:line="400" w:lineRule="exact"/>
        <w:widowControl/>
        <w:rPr>
          <w:rFonts w:ascii="黑体" w:hAnsi="黑体" w:eastAsia="黑体" w:cs="黑体"/>
          <w:i/>
          <w:sz w:val="32"/>
          <w:szCs w:val="32"/>
          <w:u w:val="single"/>
        </w:rPr>
      </w:pPr>
      <w:r>
        <w:rPr>
          <w:rFonts w:ascii="黑体" w:hAnsi="黑体" w:eastAsia="黑体" w:cs="黑体"/>
          <w:i/>
          <w:sz w:val="32"/>
          <w:szCs w:val="32"/>
          <w:u w:val="single"/>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widowControl/>
        <w:rPr>
          <w:rFonts w:cs="Times New Roman" w:asciiTheme="minorEastAsia" w:hAnsiTheme="minorEastAsia"/>
          <w:sz w:val="32"/>
          <w:szCs w:val="32"/>
        </w:rPr>
      </w:pPr>
      <w:r>
        <w:rPr>
          <w:rFonts w:cs="Times New Roman" w:asciiTheme="minorEastAsia" w:hAnsiTheme="minorEastAsia"/>
          <w:sz w:val="32"/>
          <w:szCs w:val="32"/>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w:t>
      </w:r>
      <w:r/>
    </w:p>
    <w:p>
      <w:pPr>
        <w:ind w:firstLine="440"/>
        <w:jc w:val="right"/>
        <w:spacing w:line="520" w:lineRule="exact"/>
        <w:widowControl/>
        <w:rPr>
          <w:sz w:val="24"/>
        </w:rPr>
      </w:pPr>
      <w:r>
        <w:rPr>
          <w:rFonts w:hint="eastAsia"/>
          <w:sz w:val="24"/>
        </w:rPr>
        <w:t xml:space="preserve">单位名称（盖章）：</w:t>
      </w:r>
      <w:r/>
    </w:p>
    <w:p>
      <w:pPr>
        <w:jc w:val="center"/>
        <w:spacing w:line="520" w:lineRule="exact"/>
        <w:widowControl/>
        <w:rPr>
          <w:sz w:val="24"/>
        </w:rPr>
      </w:pPr>
      <w:r>
        <w:rPr>
          <w:rFonts w:hint="eastAsia"/>
          <w:sz w:val="24"/>
        </w:rPr>
        <w:t xml:space="preserve">                                                          年  月  日</w:t>
      </w:r>
      <w:r/>
    </w:p>
    <w:p>
      <w:pPr>
        <w:spacing w:line="520" w:lineRule="exac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06"/>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一、质疑供应商基本信息</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质疑供应商：</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地址：</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rPr>
      </w:pPr>
      <w:r>
        <w:rPr>
          <w:rFonts w:hint="eastAsia" w:asciiTheme="minorEastAsia" w:hAnsiTheme="minorEastAsia" w:cstheme="minorEastAsia"/>
          <w:bCs/>
        </w:rPr>
        <w:t xml:space="preserve">邮编：</w:t>
      </w:r>
      <w:r>
        <w:rPr>
          <w:rFonts w:hint="eastAsia" w:asciiTheme="minorEastAsia" w:hAnsiTheme="minorEastAsia" w:cstheme="minorEastAsia"/>
          <w:u w:val="single"/>
        </w:rPr>
        <w:t xml:space="preserve">                                                              </w:t>
      </w:r>
      <w:r/>
    </w:p>
    <w:p>
      <w:pPr>
        <w:pStyle w:val="706"/>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联系人：</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联系电话：</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授权代表：</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联系电话：</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地址：</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邮编：</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二、质疑项目基本情况</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质疑项目的名称：</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质疑项目的编号：</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包号：</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采购人名称：</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采购文件获取日期：</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三、质疑事项具体内容</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质疑事项1：</w:t>
      </w:r>
      <w:r>
        <w:rPr>
          <w:rFonts w:hint="eastAsia" w:asciiTheme="minorEastAsia" w:hAnsiTheme="minorEastAsia" w:cstheme="minorEastAsia"/>
          <w:bCs/>
          <w:u w:val="single"/>
        </w:rPr>
        <w:t xml:space="preserve">                                              </w:t>
      </w:r>
      <w:r/>
    </w:p>
    <w:p>
      <w:pPr>
        <w:pStyle w:val="706"/>
        <w:ind w:firstLine="482"/>
        <w:widowControl/>
        <w:rPr>
          <w:rFonts w:asciiTheme="minorEastAsia" w:hAnsiTheme="minorEastAsia" w:cstheme="minorEastAsia"/>
          <w:b/>
          <w:bCs/>
        </w:rPr>
      </w:pPr>
      <w:r>
        <w:rPr>
          <w:rFonts w:hint="eastAsia" w:asciiTheme="minorEastAsia" w:hAnsiTheme="minorEastAsia" w:cstheme="minorEastAsia"/>
          <w:bCs/>
        </w:rPr>
        <w:t xml:space="preserve">事实依据：</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法律依据：</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质疑事项2</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w:t>
      </w:r>
      <w:r/>
    </w:p>
    <w:p>
      <w:pPr>
        <w:pStyle w:val="706"/>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四、与质疑事项相关的质疑请求</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请求：</w:t>
      </w:r>
      <w:r>
        <w:rPr>
          <w:rFonts w:hint="eastAsia" w:asciiTheme="minorEastAsia" w:hAnsiTheme="minorEastAsia" w:cstheme="minorEastAsia"/>
          <w:bCs/>
          <w:u w:val="single"/>
        </w:rPr>
        <w:t xml:space="preserve">                                                              </w:t>
      </w:r>
      <w:r/>
    </w:p>
    <w:p>
      <w:pPr>
        <w:pStyle w:val="706"/>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签字（签章）：        公章：             日期：   </w:t>
      </w:r>
      <w:r/>
    </w:p>
    <w:p>
      <w:pPr>
        <w:ind w:firstLine="440"/>
        <w:spacing w:line="520" w:lineRule="exact"/>
        <w:widowControl/>
        <w:rPr>
          <w:sz w:val="24"/>
        </w:rPr>
      </w:pPr>
      <w:r>
        <w:rPr>
          <w:rFonts w:hint="eastAsia"/>
          <w:sz w:val="24"/>
        </w:rPr>
        <w:t xml:space="preserve">质疑函制作说明：</w:t>
      </w:r>
      <w:r/>
    </w:p>
    <w:p>
      <w:pPr>
        <w:ind w:firstLine="440"/>
        <w:spacing w:line="520" w:lineRule="exact"/>
        <w:widowControl/>
        <w:rPr>
          <w:rFonts w:ascii="宋体" w:hAnsi="宋体" w:eastAsia="宋体" w:cs="宋体"/>
          <w:sz w:val="24"/>
        </w:rPr>
        <w:outlineLvl w:val="2"/>
      </w:pPr>
      <w:r>
        <w:rPr>
          <w:rFonts w:hint="eastAsia" w:ascii="宋体" w:hAnsi="宋体" w:eastAsia="宋体" w:cs="宋体"/>
          <w:sz w:val="24"/>
        </w:rPr>
        <w:t xml:space="preserve">1.供应商提出质疑时，应提交质疑函和必要的证明材料。</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40"/>
        <w:spacing w:line="520" w:lineRule="exact"/>
        <w:widowControl/>
        <w:rPr>
          <w:rFonts w:ascii="宋体" w:hAnsi="宋体" w:eastAsia="宋体" w:cs="宋体"/>
          <w:sz w:val="24"/>
        </w:rPr>
        <w:outlineLvl w:val="2"/>
      </w:pPr>
      <w:r>
        <w:rPr>
          <w:rFonts w:hint="eastAsia" w:ascii="宋体" w:hAnsi="宋体" w:eastAsia="宋体" w:cs="宋体"/>
          <w:sz w:val="24"/>
        </w:rPr>
        <w:t xml:space="preserve">5.质疑函的质疑请求应与质疑事项相关。</w:t>
      </w:r>
      <w:r/>
    </w:p>
    <w:p>
      <w:pPr>
        <w:ind w:firstLine="440"/>
        <w:spacing w:line="520" w:lineRule="exact"/>
        <w:widowControl/>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bookmarkEnd w:id="6"/>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156"/>
      <w:r/>
      <w:bookmarkEnd w:id="160"/>
      <w:r/>
      <w:r/>
    </w:p>
    <w:sectPr>
      <w:footerReference w:type="default" r:id="rId11"/>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仿宋">
    <w:panose1 w:val="02010609060101010101"/>
  </w:font>
  <w:font w:name="等线">
    <w:panose1 w:val="02010600030101010101"/>
  </w:font>
  <w:font w:name="Courier New">
    <w:panose1 w:val="02070309020205020404"/>
  </w:font>
  <w:font w:name="Symbol">
    <w:panose1 w:val="05050102010706020507"/>
  </w:font>
  <w:font w:name="楷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2110"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46952" cy="139526"/>
                      </a:xfrm>
                      <a:prstGeom prst="rect">
                        <a:avLst/>
                      </a:prstGeom>
                      <a:noFill/>
                      <a:ln w="6350">
                        <a:noFill/>
                      </a:ln>
                      <a:effectLst/>
                    </wps:spPr>
                    <wps:txbx>
                      <w:txbxContent>
                        <w:p>
                          <w:pPr>
                            <w:pStyle w:val="695"/>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9.3pt;height:11.6pt;mso-wrap-distance-left:9.0pt;mso-wrap-distance-top:0.0pt;mso-wrap-distance-right:9.0pt;mso-wrap-distance-bottom:0.0pt;v-text-anchor:top;visibility:visible;" filled="f" stroked="f" strokeweight="0.50pt">
              <v:textbox inset="0,0,0,0">
                <w:txbxContent>
                  <w:p>
                    <w:pPr>
                      <w:pStyle w:val="695"/>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JSZC-320900-JZCG-G2026-</w:t>
    </w:r>
    <w:r>
      <w:rPr>
        <w:rFonts w:hint="eastAsia" w:ascii="宋体" w:hAnsi="宋体" w:eastAsia="宋体" w:cs="宋体"/>
        <w:b/>
        <w:bCs/>
        <w:sz w:val="22"/>
        <w:szCs w:val="22"/>
        <w:lang w:val="en-US" w:eastAsia="zh-CN"/>
      </w:rPr>
      <w:t xml:space="preserve">0062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none"/>
      <w:isLgl w:val="false"/>
      <w:suff w:val="tab"/>
      <w:lvlText w:val="二、"/>
      <w:lvlJc w:val="left"/>
      <w:pPr>
        <w:ind w:left="992" w:hanging="510"/>
      </w:pPr>
      <w:rPr>
        <w:rFonts w:hint="default"/>
      </w:rPr>
    </w:lvl>
    <w:lvl w:ilvl="1">
      <w:start w:val="1"/>
      <w:numFmt w:val="japaneseCounting"/>
      <w:isLgl w:val="false"/>
      <w:suff w:val="tab"/>
      <w:lvlText w:val="%2、"/>
      <w:lvlJc w:val="left"/>
      <w:pPr>
        <w:ind w:left="1322" w:hanging="420"/>
      </w:pPr>
      <w:rPr>
        <w:rFonts w:hint="default"/>
      </w:r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0">
    <w:name w:val="Heading 1"/>
    <w:basedOn w:val="669"/>
    <w:next w:val="669"/>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uiPriority w:val="9"/>
    <w:unhideWhenUsed/>
    <w:qFormat/>
    <w:pPr>
      <w:keepLines/>
      <w:keepNext/>
      <w:spacing w:before="360" w:after="200"/>
      <w:outlineLvl w:val="1"/>
    </w:pPr>
    <w:rPr>
      <w:rFonts w:ascii="Arial" w:hAnsi="Arial" w:eastAsia="Arial" w:cs="Arial"/>
      <w:sz w:val="34"/>
    </w:rPr>
  </w:style>
  <w:style w:type="paragraph" w:styleId="672">
    <w:name w:val="Heading 3"/>
    <w:basedOn w:val="669"/>
    <w:next w:val="669"/>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uiPriority w:val="9"/>
    <w:unhideWhenUsed/>
    <w:qFormat/>
    <w:pPr>
      <w:keepLines/>
      <w:keepNext/>
      <w:spacing w:before="320" w:after="200"/>
      <w:outlineLvl w:val="4"/>
    </w:pPr>
    <w:rPr>
      <w:rFonts w:ascii="Arial" w:hAnsi="Arial" w:eastAsia="Arial" w:cs="Arial"/>
      <w:b/>
      <w:bCs/>
      <w:sz w:val="24"/>
    </w:rPr>
  </w:style>
  <w:style w:type="paragraph" w:styleId="675">
    <w:name w:val="Heading 6"/>
    <w:basedOn w:val="669"/>
    <w:next w:val="669"/>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uiPriority w:val="9"/>
    <w:unhideWhenUsed/>
    <w:qFormat/>
    <w:pPr>
      <w:keepLines/>
      <w:keepNext/>
      <w:spacing w:before="320" w:after="200"/>
      <w:outlineLvl w:val="8"/>
    </w:pPr>
    <w:rPr>
      <w:rFonts w:ascii="Arial" w:hAnsi="Arial" w:eastAsia="Arial" w:cs="Arial"/>
      <w:i/>
      <w:iCs/>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toc 7"/>
    <w:basedOn w:val="669"/>
    <w:next w:val="669"/>
    <w:uiPriority w:val="39"/>
    <w:unhideWhenUsed/>
    <w:qFormat/>
    <w:pPr>
      <w:ind w:left="1701"/>
      <w:spacing w:after="57"/>
    </w:pPr>
  </w:style>
  <w:style w:type="paragraph" w:styleId="682">
    <w:name w:val="Normal Indent"/>
    <w:basedOn w:val="669"/>
    <w:link w:val="916"/>
    <w:uiPriority w:val="0"/>
    <w:unhideWhenUsed/>
    <w:qFormat/>
    <w:pPr>
      <w:ind w:firstLine="420"/>
    </w:pPr>
    <w:rPr>
      <w:rFonts w:ascii="Calibri" w:hAnsi="Calibri" w:eastAsia="宋体" w:cs="Times New Roman"/>
      <w:sz w:val="20"/>
      <w:szCs w:val="20"/>
    </w:rPr>
  </w:style>
  <w:style w:type="paragraph" w:styleId="683">
    <w:name w:val="Caption"/>
    <w:basedOn w:val="669"/>
    <w:next w:val="6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4">
    <w:name w:val="toa heading"/>
    <w:basedOn w:val="669"/>
    <w:next w:val="669"/>
    <w:uiPriority w:val="99"/>
    <w:unhideWhenUsed/>
    <w:qFormat/>
    <w:pPr>
      <w:spacing w:before="120"/>
    </w:pPr>
    <w:rPr>
      <w:rFonts w:ascii="Cambria" w:hAnsi="Cambria" w:eastAsia="宋体" w:cs="Times New Roman"/>
      <w:sz w:val="24"/>
      <w:szCs w:val="21"/>
    </w:rPr>
  </w:style>
  <w:style w:type="paragraph" w:styleId="685">
    <w:name w:val="annotation text"/>
    <w:basedOn w:val="669"/>
    <w:uiPriority w:val="99"/>
    <w:semiHidden/>
    <w:unhideWhenUsed/>
    <w:qFormat/>
    <w:pPr>
      <w:jc w:val="left"/>
    </w:pPr>
  </w:style>
  <w:style w:type="paragraph" w:styleId="686">
    <w:name w:val="Body Text"/>
    <w:basedOn w:val="669"/>
    <w:next w:val="669"/>
    <w:link w:val="918"/>
    <w:uiPriority w:val="99"/>
    <w:unhideWhenUsed/>
    <w:qFormat/>
    <w:rPr>
      <w:rFonts w:ascii="楷体" w:hAnsi="Arial" w:eastAsia="楷体" w:cs="Times New Roman"/>
      <w:sz w:val="28"/>
      <w:szCs w:val="28"/>
    </w:rPr>
  </w:style>
  <w:style w:type="paragraph" w:styleId="687">
    <w:name w:val="Body Text Indent"/>
    <w:basedOn w:val="669"/>
    <w:uiPriority w:val="0"/>
    <w:qFormat/>
    <w:pPr>
      <w:ind w:left="420"/>
      <w:spacing w:after="120"/>
    </w:pPr>
  </w:style>
  <w:style w:type="paragraph" w:styleId="688">
    <w:name w:val="index 4"/>
    <w:basedOn w:val="669"/>
    <w:next w:val="669"/>
    <w:uiPriority w:val="0"/>
    <w:qFormat/>
    <w:pPr>
      <w:ind w:left="600"/>
      <w:spacing w:line="360" w:lineRule="auto"/>
    </w:pPr>
    <w:rPr>
      <w:sz w:val="24"/>
    </w:rPr>
  </w:style>
  <w:style w:type="paragraph" w:styleId="689">
    <w:name w:val="toc 5"/>
    <w:basedOn w:val="669"/>
    <w:next w:val="669"/>
    <w:uiPriority w:val="39"/>
    <w:unhideWhenUsed/>
    <w:qFormat/>
    <w:pPr>
      <w:ind w:left="1134"/>
      <w:spacing w:after="57"/>
    </w:pPr>
  </w:style>
  <w:style w:type="paragraph" w:styleId="690">
    <w:name w:val="toc 3"/>
    <w:basedOn w:val="669"/>
    <w:next w:val="669"/>
    <w:uiPriority w:val="39"/>
    <w:unhideWhenUsed/>
    <w:qFormat/>
    <w:pPr>
      <w:ind w:left="567"/>
      <w:spacing w:after="57"/>
    </w:pPr>
  </w:style>
  <w:style w:type="paragraph" w:styleId="691">
    <w:name w:val="Plain Text"/>
    <w:basedOn w:val="669"/>
    <w:link w:val="915"/>
    <w:uiPriority w:val="0"/>
    <w:unhideWhenUsed/>
    <w:qFormat/>
    <w:rPr>
      <w:rFonts w:ascii="宋体" w:hAnsi="Courier New" w:eastAsia="宋体" w:cs="Times New Roman"/>
      <w:szCs w:val="21"/>
    </w:rPr>
  </w:style>
  <w:style w:type="paragraph" w:styleId="692">
    <w:name w:val="toc 8"/>
    <w:basedOn w:val="669"/>
    <w:next w:val="669"/>
    <w:uiPriority w:val="39"/>
    <w:unhideWhenUsed/>
    <w:qFormat/>
    <w:pPr>
      <w:ind w:left="1984"/>
      <w:spacing w:after="57"/>
    </w:pPr>
  </w:style>
  <w:style w:type="paragraph" w:styleId="693">
    <w:name w:val="endnote text"/>
    <w:basedOn w:val="669"/>
    <w:link w:val="906"/>
    <w:uiPriority w:val="99"/>
    <w:semiHidden/>
    <w:unhideWhenUsed/>
    <w:qFormat/>
    <w:rPr>
      <w:sz w:val="20"/>
    </w:rPr>
  </w:style>
  <w:style w:type="paragraph" w:styleId="694">
    <w:name w:val="Balloon Text"/>
    <w:basedOn w:val="669"/>
    <w:link w:val="920"/>
    <w:uiPriority w:val="0"/>
    <w:qFormat/>
    <w:rPr>
      <w:sz w:val="18"/>
      <w:szCs w:val="18"/>
    </w:rPr>
  </w:style>
  <w:style w:type="paragraph" w:styleId="695">
    <w:name w:val="Footer"/>
    <w:basedOn w:val="669"/>
    <w:uiPriority w:val="99"/>
    <w:unhideWhenUsed/>
    <w:qFormat/>
    <w:pPr>
      <w:jc w:val="left"/>
      <w:tabs>
        <w:tab w:val="center" w:pos="4153" w:leader="none"/>
        <w:tab w:val="right" w:pos="8306" w:leader="none"/>
      </w:tabs>
    </w:pPr>
    <w:rPr>
      <w:sz w:val="18"/>
      <w:szCs w:val="18"/>
    </w:rPr>
  </w:style>
  <w:style w:type="paragraph" w:styleId="696">
    <w:name w:val="envelope return"/>
    <w:basedOn w:val="669"/>
    <w:uiPriority w:val="0"/>
    <w:qFormat/>
    <w:pPr>
      <w:spacing w:line="360" w:lineRule="auto"/>
    </w:pPr>
    <w:rPr>
      <w:rFonts w:ascii="Arial" w:hAnsi="Arial" w:eastAsia="仿宋" w:cs="Arial"/>
      <w:sz w:val="28"/>
      <w:szCs w:val="21"/>
    </w:rPr>
  </w:style>
  <w:style w:type="paragraph" w:styleId="697">
    <w:name w:val="Header"/>
    <w:basedOn w:val="669"/>
    <w:uiPriority w:val="99"/>
    <w:semiHidden/>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8">
    <w:name w:val="toc 1"/>
    <w:basedOn w:val="669"/>
    <w:next w:val="669"/>
    <w:uiPriority w:val="39"/>
    <w:unhideWhenUsed/>
    <w:qFormat/>
    <w:pPr>
      <w:spacing w:after="57"/>
    </w:pPr>
  </w:style>
  <w:style w:type="paragraph" w:styleId="699">
    <w:name w:val="toc 4"/>
    <w:basedOn w:val="669"/>
    <w:next w:val="669"/>
    <w:uiPriority w:val="39"/>
    <w:unhideWhenUsed/>
    <w:qFormat/>
    <w:pPr>
      <w:ind w:left="850"/>
      <w:spacing w:after="57"/>
    </w:pPr>
  </w:style>
  <w:style w:type="paragraph" w:styleId="700">
    <w:name w:val="Subtitle"/>
    <w:basedOn w:val="669"/>
    <w:next w:val="669"/>
    <w:link w:val="771"/>
    <w:uiPriority w:val="11"/>
    <w:qFormat/>
    <w:pPr>
      <w:spacing w:before="200" w:after="200"/>
    </w:pPr>
    <w:rPr>
      <w:sz w:val="24"/>
    </w:rPr>
  </w:style>
  <w:style w:type="paragraph" w:styleId="701">
    <w:name w:val="footnote text"/>
    <w:basedOn w:val="669"/>
    <w:link w:val="905"/>
    <w:uiPriority w:val="99"/>
    <w:semiHidden/>
    <w:unhideWhenUsed/>
    <w:qFormat/>
    <w:pPr>
      <w:spacing w:after="40"/>
    </w:pPr>
    <w:rPr>
      <w:sz w:val="18"/>
    </w:rPr>
  </w:style>
  <w:style w:type="paragraph" w:styleId="702">
    <w:name w:val="toc 6"/>
    <w:basedOn w:val="669"/>
    <w:next w:val="669"/>
    <w:uiPriority w:val="39"/>
    <w:unhideWhenUsed/>
    <w:qFormat/>
    <w:pPr>
      <w:ind w:left="1417"/>
      <w:spacing w:after="57"/>
    </w:pPr>
  </w:style>
  <w:style w:type="paragraph" w:styleId="703">
    <w:name w:val="table of figures"/>
    <w:basedOn w:val="669"/>
    <w:next w:val="669"/>
    <w:uiPriority w:val="99"/>
    <w:unhideWhenUsed/>
    <w:qFormat/>
  </w:style>
  <w:style w:type="paragraph" w:styleId="704">
    <w:name w:val="toc 2"/>
    <w:basedOn w:val="669"/>
    <w:next w:val="669"/>
    <w:uiPriority w:val="39"/>
    <w:unhideWhenUsed/>
    <w:qFormat/>
    <w:pPr>
      <w:ind w:left="283"/>
      <w:spacing w:after="57"/>
    </w:pPr>
  </w:style>
  <w:style w:type="paragraph" w:styleId="705">
    <w:name w:val="toc 9"/>
    <w:basedOn w:val="669"/>
    <w:next w:val="669"/>
    <w:uiPriority w:val="39"/>
    <w:unhideWhenUsed/>
    <w:qFormat/>
    <w:pPr>
      <w:ind w:left="2268"/>
      <w:spacing w:after="57"/>
    </w:pPr>
  </w:style>
  <w:style w:type="paragraph" w:styleId="706">
    <w:name w:val="Normal (Web)"/>
    <w:basedOn w:val="669"/>
    <w:uiPriority w:val="0"/>
    <w:qFormat/>
    <w:pPr>
      <w:jc w:val="left"/>
      <w:spacing w:beforeAutospacing="1" w:afterAutospacing="1"/>
    </w:pPr>
    <w:rPr>
      <w:rFonts w:cs="Times New Roman"/>
      <w:sz w:val="24"/>
    </w:rPr>
  </w:style>
  <w:style w:type="paragraph" w:styleId="707">
    <w:name w:val="Title"/>
    <w:basedOn w:val="669"/>
    <w:next w:val="669"/>
    <w:link w:val="770"/>
    <w:uiPriority w:val="10"/>
    <w:qFormat/>
    <w:pPr>
      <w:contextualSpacing/>
      <w:spacing w:before="300" w:after="200"/>
    </w:pPr>
    <w:rPr>
      <w:sz w:val="48"/>
      <w:szCs w:val="48"/>
    </w:rPr>
  </w:style>
  <w:style w:type="paragraph" w:styleId="708">
    <w:name w:val="Body Text First Indent"/>
    <w:basedOn w:val="686"/>
    <w:next w:val="669"/>
    <w:uiPriority w:val="0"/>
    <w:qFormat/>
    <w:pPr>
      <w:ind w:firstLine="200"/>
      <w:spacing w:line="360" w:lineRule="auto"/>
    </w:pPr>
    <w:rPr>
      <w:rFonts w:ascii="仿宋" w:hAnsi="Times New Roman" w:eastAsia="仿宋"/>
      <w:sz w:val="30"/>
      <w:szCs w:val="30"/>
    </w:rPr>
  </w:style>
  <w:style w:type="paragraph" w:styleId="709">
    <w:name w:val="Body Text First Indent 2"/>
    <w:basedOn w:val="687"/>
    <w:link w:val="940"/>
    <w:uiPriority w:val="0"/>
    <w:qFormat/>
    <w:pPr>
      <w:ind w:firstLine="420"/>
      <w:spacing w:line="360" w:lineRule="auto"/>
    </w:pPr>
    <w:rPr>
      <w:rFonts w:ascii="宋体" w:eastAsia="仿宋"/>
      <w:sz w:val="24"/>
      <w:szCs w:val="21"/>
    </w:rPr>
  </w:style>
  <w:style w:type="table" w:styleId="710">
    <w:name w:val="Table Grid"/>
    <w:basedOn w:val="6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79"/>
    <w:uiPriority w:val="22"/>
    <w:qFormat/>
    <w:rPr>
      <w:b/>
      <w:bCs/>
    </w:rPr>
  </w:style>
  <w:style w:type="character" w:styleId="712">
    <w:name w:val="endnote reference"/>
    <w:basedOn w:val="679"/>
    <w:uiPriority w:val="99"/>
    <w:semiHidden/>
    <w:unhideWhenUsed/>
    <w:qFormat/>
    <w:rPr>
      <w:vertAlign w:val="superscript"/>
    </w:rPr>
  </w:style>
  <w:style w:type="character" w:styleId="713">
    <w:name w:val="Hyperlink"/>
    <w:uiPriority w:val="99"/>
    <w:unhideWhenUsed/>
    <w:qFormat/>
    <w:rPr>
      <w:color w:val="0563c1" w:themeColor="hyperlink"/>
      <w:u w:val="single"/>
      <w14:textFill>
        <w14:solidFill>
          <w14:schemeClr w14:val="hlink"/>
        </w14:solidFill>
      </w14:textFill>
    </w:rPr>
  </w:style>
  <w:style w:type="character" w:styleId="714">
    <w:name w:val="footnote reference"/>
    <w:basedOn w:val="679"/>
    <w:uiPriority w:val="99"/>
    <w:unhideWhenUsed/>
    <w:qFormat/>
    <w:rPr>
      <w:vertAlign w:val="superscript"/>
    </w:rPr>
  </w:style>
  <w:style w:type="paragraph" w:styleId="715" w:customStyle="1">
    <w:name w:val="TOC Heading"/>
    <w:uiPriority w:val="39"/>
    <w:unhideWhenUsed/>
    <w:qFormat/>
    <w:rPr>
      <w:rFonts w:hint="default" w:ascii="Times New Roman" w:hAnsi="Times New Roman" w:eastAsia="宋体" w:cs="Times New Roman"/>
    </w:rPr>
  </w:style>
  <w:style w:type="paragraph" w:styleId="716" w:customStyle="1">
    <w:name w:val="样式 标题 3 + (中文) 黑体 小四 非加粗 段前: 7.8 磅 段后: 0 磅 行距: 固定值 20 磅_0"/>
    <w:basedOn w:val="669"/>
    <w:uiPriority w:val="0"/>
    <w:qFormat/>
    <w:pPr>
      <w:keepLines/>
      <w:keepNext/>
      <w:spacing w:line="400" w:lineRule="exact"/>
      <w:outlineLvl w:val="2"/>
    </w:pPr>
    <w:rPr>
      <w:rFonts w:eastAsia="黑体" w:cs="宋体"/>
      <w:szCs w:val="21"/>
    </w:rPr>
  </w:style>
  <w:style w:type="table" w:styleId="717" w:customStyle="1">
    <w:name w:val="Plain Table 1"/>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3"/>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5 Dark"/>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6 Colorful"/>
    <w:basedOn w:val="6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7 Colorful"/>
    <w:basedOn w:val="6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List Table 1 Light"/>
    <w:basedOn w:val="6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2"/>
    <w:basedOn w:val="6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1" w:customStyle="1">
    <w:name w:val="List Table 3"/>
    <w:basedOn w:val="6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w:basedOn w:val="6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5 Dark"/>
    <w:basedOn w:val="6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4" w:customStyle="1">
    <w:name w:val="List Table 6 Colorful"/>
    <w:basedOn w:val="6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5" w:customStyle="1">
    <w:name w:val="List Table 7 Colorful"/>
    <w:basedOn w:val="6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6" w:customStyle="1">
    <w:name w:val="TOC 标题1"/>
    <w:uiPriority w:val="39"/>
    <w:unhideWhenUsed/>
    <w:qFormat/>
    <w:rPr>
      <w:rFonts w:hint="default" w:ascii="Times New Roman" w:hAnsi="Times New Roman" w:eastAsia="宋体" w:cs="Times New Roman"/>
      <w:lang w:val="en-US" w:eastAsia="zh-CN" w:bidi="ar-SA"/>
    </w:rPr>
  </w:style>
  <w:style w:type="paragraph" w:styleId="737" w:customStyle="1">
    <w:name w:val="style4"/>
    <w:basedOn w:val="669"/>
    <w:next w:val="738"/>
    <w:uiPriority w:val="0"/>
    <w:qFormat/>
    <w:pPr>
      <w:spacing w:before="280" w:after="280"/>
      <w:widowControl/>
    </w:pPr>
    <w:rPr>
      <w:rFonts w:ascii="宋体" w:hAnsi="Calibri" w:eastAsia="宋体" w:cs="Times New Roman"/>
      <w:sz w:val="18"/>
    </w:rPr>
  </w:style>
  <w:style w:type="paragraph" w:styleId="738" w:customStyle="1">
    <w:name w:val="2"/>
    <w:next w:val="669"/>
    <w:uiPriority w:val="0"/>
    <w:qFormat/>
    <w:pPr>
      <w:jc w:val="both"/>
      <w:widowControl w:val="off"/>
    </w:pPr>
    <w:rPr>
      <w:rFonts w:hint="default" w:ascii="Calibri" w:hAnsi="Calibri" w:eastAsia="宋体" w:cs="Times New Roman"/>
      <w:sz w:val="21"/>
      <w:szCs w:val="22"/>
      <w:lang w:val="en-US" w:eastAsia="zh-CN" w:bidi="ar-SA"/>
    </w:rPr>
  </w:style>
  <w:style w:type="character" w:styleId="739" w:customStyle="1">
    <w:name w:val="标题 3 Char"/>
    <w:basedOn w:val="679"/>
    <w:uiPriority w:val="0"/>
    <w:semiHidden/>
    <w:qFormat/>
    <w:rPr>
      <w:rFonts w:asciiTheme="minorHAnsi" w:hAnsiTheme="minorHAnsi" w:eastAsiaTheme="minorEastAsia" w:cstheme="minorBidi"/>
      <w:b/>
      <w:bCs/>
      <w:sz w:val="32"/>
      <w:szCs w:val="32"/>
    </w:rPr>
  </w:style>
  <w:style w:type="character" w:styleId="740" w:customStyle="1">
    <w:name w:val="Heading 1 Char"/>
    <w:basedOn w:val="679"/>
    <w:link w:val="741"/>
    <w:uiPriority w:val="9"/>
    <w:qFormat/>
    <w:rPr>
      <w:rFonts w:ascii="Arial" w:hAnsi="Arial" w:eastAsia="Arial" w:cs="Arial"/>
      <w:sz w:val="40"/>
      <w:szCs w:val="40"/>
    </w:rPr>
  </w:style>
  <w:style w:type="paragraph" w:styleId="741" w:customStyle="1">
    <w:name w:val="Heading 11"/>
    <w:basedOn w:val="669"/>
    <w:next w:val="669"/>
    <w:link w:val="740"/>
    <w:uiPriority w:val="9"/>
    <w:qFormat/>
    <w:pPr>
      <w:keepLines/>
      <w:keepNext/>
      <w:spacing w:before="480" w:after="200"/>
      <w:outlineLvl w:val="0"/>
    </w:pPr>
    <w:rPr>
      <w:rFonts w:ascii="Arial" w:hAnsi="Arial" w:eastAsia="Arial" w:cs="Arial"/>
      <w:sz w:val="40"/>
      <w:szCs w:val="40"/>
    </w:rPr>
  </w:style>
  <w:style w:type="paragraph" w:styleId="742" w:customStyle="1">
    <w:name w:val="正文首行缩进11"/>
    <w:basedOn w:val="669"/>
    <w:next w:val="669"/>
    <w:uiPriority w:val="99"/>
    <w:unhideWhenUsed/>
    <w:qFormat/>
    <w:pPr>
      <w:ind w:firstLine="420"/>
    </w:pPr>
    <w:rPr>
      <w:rFonts w:ascii="Times New Roman" w:hAnsi="Times New Roman"/>
    </w:rPr>
  </w:style>
  <w:style w:type="paragraph" w:styleId="743" w:customStyle="1">
    <w:name w:val="TOC 标题111"/>
    <w:uiPriority w:val="39"/>
    <w:unhideWhenUsed/>
    <w:qFormat/>
    <w:rPr>
      <w:rFonts w:hint="default" w:ascii="Times New Roman" w:hAnsi="Times New Roman" w:eastAsia="宋体" w:cs="Times New Roman"/>
      <w:lang w:val="en-US" w:eastAsia="zh-CN" w:bidi="ar-SA"/>
    </w:rPr>
  </w:style>
  <w:style w:type="character" w:styleId="744" w:customStyle="1">
    <w:name w:val="Title Char"/>
    <w:basedOn w:val="679"/>
    <w:uiPriority w:val="10"/>
    <w:qFormat/>
    <w:rPr>
      <w:sz w:val="48"/>
      <w:szCs w:val="48"/>
    </w:rPr>
  </w:style>
  <w:style w:type="character" w:styleId="745" w:customStyle="1">
    <w:name w:val="Subtitle Char"/>
    <w:basedOn w:val="679"/>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标题 11"/>
    <w:basedOn w:val="669"/>
    <w:next w:val="669"/>
    <w:uiPriority w:val="9"/>
    <w:qFormat/>
    <w:pPr>
      <w:keepLines/>
      <w:keepNext/>
      <w:spacing w:before="340" w:after="330" w:line="576" w:lineRule="auto"/>
      <w:outlineLvl w:val="0"/>
    </w:pPr>
    <w:rPr>
      <w:b/>
      <w:sz w:val="44"/>
    </w:rPr>
  </w:style>
  <w:style w:type="paragraph" w:styleId="751" w:customStyle="1">
    <w:name w:val="标题 21"/>
    <w:basedOn w:val="669"/>
    <w:link w:val="925"/>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52" w:customStyle="1">
    <w:name w:val="页脚1"/>
    <w:basedOn w:val="669"/>
    <w:link w:val="924"/>
    <w:uiPriority w:val="99"/>
    <w:semiHidden/>
    <w:unhideWhenUsed/>
    <w:qFormat/>
    <w:pPr>
      <w:jc w:val="left"/>
      <w:tabs>
        <w:tab w:val="center" w:pos="4153" w:leader="none"/>
        <w:tab w:val="right" w:pos="8306" w:leader="none"/>
      </w:tabs>
    </w:pPr>
    <w:rPr>
      <w:sz w:val="18"/>
      <w:szCs w:val="18"/>
    </w:rPr>
  </w:style>
  <w:style w:type="paragraph" w:styleId="753" w:customStyle="1">
    <w:name w:val="页眉1"/>
    <w:basedOn w:val="669"/>
    <w:link w:val="92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54" w:customStyle="1">
    <w:name w:val="Heading 2 Char"/>
    <w:basedOn w:val="679"/>
    <w:uiPriority w:val="9"/>
    <w:qFormat/>
    <w:rPr>
      <w:rFonts w:ascii="Arial" w:hAnsi="Arial" w:eastAsia="Arial" w:cs="Arial"/>
      <w:sz w:val="34"/>
    </w:rPr>
  </w:style>
  <w:style w:type="character" w:styleId="755" w:customStyle="1">
    <w:name w:val="Heading 3 Char"/>
    <w:basedOn w:val="679"/>
    <w:uiPriority w:val="9"/>
    <w:qFormat/>
    <w:rPr>
      <w:rFonts w:ascii="Arial" w:hAnsi="Arial" w:eastAsia="Arial" w:cs="Arial"/>
      <w:sz w:val="30"/>
      <w:szCs w:val="30"/>
    </w:rPr>
  </w:style>
  <w:style w:type="paragraph" w:styleId="756" w:customStyle="1">
    <w:name w:val="标题 41"/>
    <w:basedOn w:val="669"/>
    <w:next w:val="669"/>
    <w:link w:val="757"/>
    <w:uiPriority w:val="9"/>
    <w:unhideWhenUsed/>
    <w:qFormat/>
    <w:pPr>
      <w:keepLines/>
      <w:keepNext/>
      <w:spacing w:before="320" w:after="200"/>
      <w:outlineLvl w:val="3"/>
    </w:pPr>
    <w:rPr>
      <w:rFonts w:ascii="Arial" w:hAnsi="Arial" w:eastAsia="Arial" w:cs="Arial"/>
      <w:b/>
      <w:bCs/>
      <w:sz w:val="26"/>
      <w:szCs w:val="26"/>
    </w:rPr>
  </w:style>
  <w:style w:type="character" w:styleId="757" w:customStyle="1">
    <w:name w:val="Heading 4 Char"/>
    <w:basedOn w:val="679"/>
    <w:link w:val="756"/>
    <w:uiPriority w:val="9"/>
    <w:qFormat/>
    <w:rPr>
      <w:rFonts w:ascii="Arial" w:hAnsi="Arial" w:eastAsia="Arial" w:cs="Arial"/>
      <w:b/>
      <w:bCs/>
      <w:sz w:val="26"/>
      <w:szCs w:val="26"/>
    </w:rPr>
  </w:style>
  <w:style w:type="paragraph" w:styleId="758" w:customStyle="1">
    <w:name w:val="标题 51"/>
    <w:basedOn w:val="669"/>
    <w:next w:val="669"/>
    <w:link w:val="759"/>
    <w:uiPriority w:val="9"/>
    <w:unhideWhenUsed/>
    <w:qFormat/>
    <w:pPr>
      <w:keepLines/>
      <w:keepNext/>
      <w:spacing w:before="320" w:after="200"/>
      <w:outlineLvl w:val="4"/>
    </w:pPr>
    <w:rPr>
      <w:rFonts w:ascii="Arial" w:hAnsi="Arial" w:eastAsia="Arial" w:cs="Arial"/>
      <w:b/>
      <w:bCs/>
      <w:sz w:val="24"/>
    </w:rPr>
  </w:style>
  <w:style w:type="character" w:styleId="759" w:customStyle="1">
    <w:name w:val="Heading 5 Char"/>
    <w:basedOn w:val="679"/>
    <w:link w:val="758"/>
    <w:uiPriority w:val="9"/>
    <w:qFormat/>
    <w:rPr>
      <w:rFonts w:ascii="Arial" w:hAnsi="Arial" w:eastAsia="Arial" w:cs="Arial"/>
      <w:b/>
      <w:bCs/>
      <w:sz w:val="24"/>
      <w:szCs w:val="24"/>
    </w:rPr>
  </w:style>
  <w:style w:type="paragraph" w:styleId="760" w:customStyle="1">
    <w:name w:val="标题 61"/>
    <w:basedOn w:val="669"/>
    <w:next w:val="669"/>
    <w:link w:val="761"/>
    <w:uiPriority w:val="9"/>
    <w:unhideWhenUsed/>
    <w:qFormat/>
    <w:pPr>
      <w:keepLines/>
      <w:keepNext/>
      <w:spacing w:before="320" w:after="200"/>
      <w:outlineLvl w:val="5"/>
    </w:pPr>
    <w:rPr>
      <w:rFonts w:ascii="Arial" w:hAnsi="Arial" w:eastAsia="Arial" w:cs="Arial"/>
      <w:b/>
      <w:bCs/>
      <w:sz w:val="22"/>
      <w:szCs w:val="22"/>
    </w:rPr>
  </w:style>
  <w:style w:type="character" w:styleId="761" w:customStyle="1">
    <w:name w:val="Heading 6 Char"/>
    <w:basedOn w:val="679"/>
    <w:link w:val="760"/>
    <w:uiPriority w:val="9"/>
    <w:qFormat/>
    <w:rPr>
      <w:rFonts w:ascii="Arial" w:hAnsi="Arial" w:eastAsia="Arial" w:cs="Arial"/>
      <w:b/>
      <w:bCs/>
      <w:sz w:val="22"/>
      <w:szCs w:val="22"/>
    </w:rPr>
  </w:style>
  <w:style w:type="paragraph" w:styleId="762" w:customStyle="1">
    <w:name w:val="标题 71"/>
    <w:basedOn w:val="669"/>
    <w:next w:val="669"/>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customStyle="1">
    <w:name w:val="Heading 7 Char"/>
    <w:basedOn w:val="679"/>
    <w:link w:val="762"/>
    <w:uiPriority w:val="9"/>
    <w:qFormat/>
    <w:rPr>
      <w:rFonts w:ascii="Arial" w:hAnsi="Arial" w:eastAsia="Arial" w:cs="Arial"/>
      <w:b/>
      <w:bCs/>
      <w:i/>
      <w:iCs/>
      <w:sz w:val="22"/>
      <w:szCs w:val="22"/>
    </w:rPr>
  </w:style>
  <w:style w:type="paragraph" w:styleId="764" w:customStyle="1">
    <w:name w:val="标题 81"/>
    <w:basedOn w:val="669"/>
    <w:next w:val="669"/>
    <w:link w:val="765"/>
    <w:uiPriority w:val="9"/>
    <w:unhideWhenUsed/>
    <w:qFormat/>
    <w:pPr>
      <w:keepLines/>
      <w:keepNext/>
      <w:spacing w:before="320" w:after="200"/>
      <w:outlineLvl w:val="7"/>
    </w:pPr>
    <w:rPr>
      <w:rFonts w:ascii="Arial" w:hAnsi="Arial" w:eastAsia="Arial" w:cs="Arial"/>
      <w:i/>
      <w:iCs/>
      <w:sz w:val="22"/>
      <w:szCs w:val="22"/>
    </w:rPr>
  </w:style>
  <w:style w:type="character" w:styleId="765" w:customStyle="1">
    <w:name w:val="Heading 8 Char"/>
    <w:basedOn w:val="679"/>
    <w:link w:val="764"/>
    <w:uiPriority w:val="9"/>
    <w:qFormat/>
    <w:rPr>
      <w:rFonts w:ascii="Arial" w:hAnsi="Arial" w:eastAsia="Arial" w:cs="Arial"/>
      <w:i/>
      <w:iCs/>
      <w:sz w:val="22"/>
      <w:szCs w:val="22"/>
    </w:rPr>
  </w:style>
  <w:style w:type="paragraph" w:styleId="766" w:customStyle="1">
    <w:name w:val="标题 91"/>
    <w:basedOn w:val="669"/>
    <w:next w:val="669"/>
    <w:link w:val="767"/>
    <w:uiPriority w:val="9"/>
    <w:unhideWhenUsed/>
    <w:qFormat/>
    <w:pPr>
      <w:keepLines/>
      <w:keepNext/>
      <w:spacing w:before="320" w:after="200"/>
      <w:outlineLvl w:val="8"/>
    </w:pPr>
    <w:rPr>
      <w:rFonts w:ascii="Arial" w:hAnsi="Arial" w:eastAsia="Arial" w:cs="Arial"/>
      <w:i/>
      <w:iCs/>
      <w:szCs w:val="21"/>
    </w:rPr>
  </w:style>
  <w:style w:type="character" w:styleId="767" w:customStyle="1">
    <w:name w:val="Heading 9 Char"/>
    <w:basedOn w:val="679"/>
    <w:link w:val="766"/>
    <w:uiPriority w:val="9"/>
    <w:qFormat/>
    <w:rPr>
      <w:rFonts w:ascii="Arial" w:hAnsi="Arial" w:eastAsia="Arial" w:cs="Arial"/>
      <w:i/>
      <w:iCs/>
      <w:sz w:val="21"/>
      <w:szCs w:val="21"/>
    </w:rPr>
  </w:style>
  <w:style w:type="paragraph" w:styleId="768">
    <w:name w:val="List Paragraph"/>
    <w:basedOn w:val="669"/>
    <w:uiPriority w:val="34"/>
    <w:qFormat/>
    <w:pPr>
      <w:contextualSpacing/>
      <w:ind w:left="720"/>
    </w:pPr>
  </w:style>
  <w:style w:type="paragraph" w:styleId="769">
    <w:name w:val="No Spacing"/>
    <w:uiPriority w:val="1"/>
    <w:qFormat/>
    <w:rPr>
      <w:rFonts w:hint="default" w:ascii="Times New Roman" w:hAnsi="Times New Roman" w:eastAsia="宋体" w:cs="Times New Roman"/>
      <w:lang w:val="en-US" w:eastAsia="zh-CN" w:bidi="ar-SA"/>
    </w:rPr>
  </w:style>
  <w:style w:type="character" w:styleId="770" w:customStyle="1">
    <w:name w:val="标题 Char"/>
    <w:basedOn w:val="679"/>
    <w:link w:val="707"/>
    <w:uiPriority w:val="10"/>
    <w:qFormat/>
    <w:rPr>
      <w:sz w:val="48"/>
      <w:szCs w:val="48"/>
    </w:rPr>
  </w:style>
  <w:style w:type="character" w:styleId="771" w:customStyle="1">
    <w:name w:val="副标题 Char"/>
    <w:basedOn w:val="679"/>
    <w:link w:val="700"/>
    <w:uiPriority w:val="11"/>
    <w:qFormat/>
    <w:rPr>
      <w:sz w:val="24"/>
      <w:szCs w:val="24"/>
    </w:rPr>
  </w:style>
  <w:style w:type="paragraph" w:styleId="772">
    <w:name w:val="Quote"/>
    <w:basedOn w:val="669"/>
    <w:next w:val="669"/>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669"/>
    <w:next w:val="669"/>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Header Char"/>
    <w:basedOn w:val="679"/>
    <w:uiPriority w:val="99"/>
    <w:qFormat/>
  </w:style>
  <w:style w:type="character" w:styleId="777" w:customStyle="1">
    <w:name w:val="Footer Char"/>
    <w:basedOn w:val="679"/>
    <w:uiPriority w:val="99"/>
    <w:qFormat/>
  </w:style>
  <w:style w:type="paragraph" w:styleId="778" w:customStyle="1">
    <w:name w:val="题注1"/>
    <w:basedOn w:val="669"/>
    <w:next w:val="669"/>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779" w:customStyle="1">
    <w:name w:val="Caption Char"/>
    <w:uiPriority w:val="99"/>
    <w:qFormat/>
  </w:style>
  <w:style w:type="table" w:styleId="780" w:customStyle="1">
    <w:name w:val="Table Grid Light"/>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无格式表格 11"/>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6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6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6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6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6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6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6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68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68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网格表 31"/>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6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6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6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6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68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68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6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6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6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6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6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6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6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网格表 5 深色1"/>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网格表 6 彩色1"/>
    <w:basedOn w:val="6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6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6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6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5" w:customStyle="1">
    <w:name w:val="Grid Table 6 Colorful - Accent 4"/>
    <w:basedOn w:val="6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6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6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网格表 7 彩色1"/>
    <w:basedOn w:val="6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6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6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6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6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6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6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6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68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8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8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8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8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8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清单表 21"/>
    <w:basedOn w:val="6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6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6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6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6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6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6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清单表 31"/>
    <w:basedOn w:val="6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6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6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6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6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6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6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清单表 41"/>
    <w:basedOn w:val="6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6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6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6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6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6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6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清单表 5 深色1"/>
    <w:basedOn w:val="6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6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6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6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6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6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6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6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68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68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68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68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68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68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清单表 7 彩色1"/>
    <w:basedOn w:val="6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68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68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68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68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68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68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6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6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6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6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6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6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6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6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6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6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6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6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6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6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脚注文本 Char"/>
    <w:link w:val="701"/>
    <w:uiPriority w:val="99"/>
    <w:qFormat/>
    <w:rPr>
      <w:sz w:val="18"/>
    </w:rPr>
  </w:style>
  <w:style w:type="character" w:styleId="906" w:customStyle="1">
    <w:name w:val="尾注文本 Char"/>
    <w:link w:val="693"/>
    <w:uiPriority w:val="99"/>
    <w:qFormat/>
    <w:rPr>
      <w:sz w:val="20"/>
    </w:rPr>
  </w:style>
  <w:style w:type="paragraph" w:styleId="907" w:customStyle="1">
    <w:name w:val="TOC 标题11"/>
    <w:uiPriority w:val="39"/>
    <w:unhideWhenUsed/>
    <w:qFormat/>
    <w:rPr>
      <w:rFonts w:hint="default" w:ascii="Times New Roman" w:hAnsi="Times New Roman" w:eastAsia="宋体" w:cs="Times New Roman"/>
      <w:lang w:val="en-US" w:eastAsia="zh-CN" w:bidi="ar-SA"/>
    </w:rPr>
  </w:style>
  <w:style w:type="paragraph" w:styleId="908" w:customStyle="1">
    <w:name w:val="Heading 21"/>
    <w:basedOn w:val="669"/>
    <w:next w:val="669"/>
    <w:link w:val="92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09" w:customStyle="1">
    <w:name w:val="标题 31"/>
    <w:basedOn w:val="669"/>
    <w:next w:val="682"/>
    <w:link w:val="91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0" w:customStyle="1">
    <w:name w:val="Footer1"/>
    <w:basedOn w:val="669"/>
    <w:link w:val="913"/>
    <w:uiPriority w:val="99"/>
    <w:qFormat/>
    <w:pPr>
      <w:jc w:val="left"/>
      <w:tabs>
        <w:tab w:val="center" w:pos="4153" w:leader="none"/>
        <w:tab w:val="right" w:pos="8306" w:leader="none"/>
      </w:tabs>
    </w:pPr>
    <w:rPr>
      <w:sz w:val="18"/>
      <w:szCs w:val="18"/>
    </w:rPr>
  </w:style>
  <w:style w:type="paragraph" w:styleId="911" w:customStyle="1">
    <w:name w:val="Header1"/>
    <w:basedOn w:val="669"/>
    <w:link w:val="912"/>
    <w:uiPriority w:val="99"/>
    <w:qFormat/>
    <w:pPr>
      <w:jc w:val="center"/>
      <w:tabs>
        <w:tab w:val="center" w:pos="4153" w:leader="none"/>
        <w:tab w:val="right" w:pos="8306" w:leader="none"/>
      </w:tabs>
      <w:pBdr>
        <w:bottom w:val="single" w:color="auto" w:sz="6" w:space="1"/>
      </w:pBdr>
    </w:pPr>
    <w:rPr>
      <w:sz w:val="18"/>
      <w:szCs w:val="18"/>
    </w:rPr>
  </w:style>
  <w:style w:type="character" w:styleId="912" w:customStyle="1">
    <w:name w:val="页眉 Char"/>
    <w:basedOn w:val="679"/>
    <w:link w:val="911"/>
    <w:uiPriority w:val="99"/>
    <w:qFormat/>
    <w:rPr>
      <w:rFonts w:asciiTheme="minorHAnsi" w:hAnsiTheme="minorHAnsi" w:eastAsiaTheme="minorEastAsia" w:cstheme="minorBidi"/>
      <w:sz w:val="18"/>
      <w:szCs w:val="18"/>
    </w:rPr>
  </w:style>
  <w:style w:type="character" w:styleId="913" w:customStyle="1">
    <w:name w:val="页脚 Char"/>
    <w:basedOn w:val="679"/>
    <w:link w:val="910"/>
    <w:uiPriority w:val="99"/>
    <w:qFormat/>
    <w:rPr>
      <w:rFonts w:asciiTheme="minorHAnsi" w:hAnsiTheme="minorHAnsi" w:eastAsiaTheme="minorEastAsia" w:cstheme="minorBidi"/>
      <w:sz w:val="18"/>
      <w:szCs w:val="18"/>
    </w:rPr>
  </w:style>
  <w:style w:type="paragraph" w:styleId="914" w:customStyle="1">
    <w:name w:val="!BECC正文"/>
    <w:basedOn w:val="669"/>
    <w:uiPriority w:val="0"/>
    <w:qFormat/>
    <w:pPr>
      <w:contextualSpacing/>
      <w:ind w:firstLine="200"/>
      <w:spacing w:line="360" w:lineRule="auto"/>
      <w:tabs>
        <w:tab w:val="left" w:pos="0" w:leader="none"/>
      </w:tabs>
    </w:pPr>
    <w:rPr>
      <w:rFonts w:ascii="Times New Roman" w:hAnsi="Times New Roman" w:eastAsia="宋体" w:cs="Times New Roman"/>
      <w:sz w:val="24"/>
    </w:rPr>
  </w:style>
  <w:style w:type="character" w:styleId="915" w:customStyle="1">
    <w:name w:val="纯文本 Char"/>
    <w:basedOn w:val="679"/>
    <w:link w:val="691"/>
    <w:uiPriority w:val="0"/>
    <w:qFormat/>
    <w:rPr>
      <w:rFonts w:ascii="宋体" w:hAnsi="Courier New"/>
      <w:sz w:val="21"/>
      <w:szCs w:val="21"/>
    </w:rPr>
  </w:style>
  <w:style w:type="character" w:styleId="916" w:customStyle="1">
    <w:name w:val="正文缩进 Char"/>
    <w:link w:val="682"/>
    <w:uiPriority w:val="0"/>
    <w:qFormat/>
    <w:rPr>
      <w:rFonts w:ascii="Calibri" w:hAnsi="Calibri"/>
    </w:rPr>
  </w:style>
  <w:style w:type="character" w:styleId="917" w:customStyle="1">
    <w:name w:val="标题 3 Char1"/>
    <w:link w:val="909"/>
    <w:uiPriority w:val="0"/>
    <w:qFormat/>
    <w:rPr>
      <w:b/>
      <w:bCs/>
      <w:sz w:val="32"/>
      <w:szCs w:val="32"/>
    </w:rPr>
  </w:style>
  <w:style w:type="character" w:styleId="918" w:customStyle="1">
    <w:name w:val="正文文本 Char"/>
    <w:basedOn w:val="679"/>
    <w:link w:val="686"/>
    <w:uiPriority w:val="99"/>
    <w:qFormat/>
    <w:rPr>
      <w:rFonts w:ascii="楷体" w:hAnsi="Arial" w:eastAsia="楷体"/>
      <w:sz w:val="28"/>
      <w:szCs w:val="28"/>
    </w:rPr>
  </w:style>
  <w:style w:type="paragraph" w:styleId="919" w:customStyle="1">
    <w:name w:val="*正文"/>
    <w:basedOn w:val="669"/>
    <w:uiPriority w:val="0"/>
    <w:qFormat/>
    <w:pPr>
      <w:ind w:firstLine="480"/>
      <w:jc w:val="left"/>
      <w:spacing w:line="300" w:lineRule="auto"/>
      <w:widowControl/>
    </w:pPr>
    <w:rPr>
      <w:rFonts w:ascii="宋体" w:hAnsi="宋体" w:eastAsia="宋体" w:cs="Times New Roman"/>
      <w:sz w:val="20"/>
    </w:rPr>
  </w:style>
  <w:style w:type="character" w:styleId="920" w:customStyle="1">
    <w:name w:val="批注框文本 Char"/>
    <w:basedOn w:val="679"/>
    <w:link w:val="694"/>
    <w:uiPriority w:val="0"/>
    <w:qFormat/>
    <w:rPr>
      <w:rFonts w:asciiTheme="minorHAnsi" w:hAnsiTheme="minorHAnsi" w:eastAsiaTheme="minorEastAsia" w:cstheme="minorBidi"/>
      <w:sz w:val="18"/>
      <w:szCs w:val="18"/>
    </w:rPr>
  </w:style>
  <w:style w:type="paragraph" w:styleId="92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22" w:customStyle="1">
    <w:name w:val="标题 2 Char"/>
    <w:basedOn w:val="679"/>
    <w:link w:val="908"/>
    <w:uiPriority w:val="9"/>
    <w:qFormat/>
    <w:rPr>
      <w:rFonts w:ascii="宋体" w:hAnsi="宋体"/>
      <w:b/>
      <w:bCs/>
      <w:sz w:val="36"/>
      <w:szCs w:val="36"/>
    </w:rPr>
  </w:style>
  <w:style w:type="character" w:styleId="923" w:customStyle="1">
    <w:name w:val="页眉 Char1"/>
    <w:basedOn w:val="679"/>
    <w:link w:val="753"/>
    <w:uiPriority w:val="99"/>
    <w:semiHidden/>
    <w:qFormat/>
    <w:rPr>
      <w:rFonts w:asciiTheme="minorHAnsi" w:hAnsiTheme="minorHAnsi" w:eastAsiaTheme="minorEastAsia" w:cstheme="minorBidi"/>
      <w:sz w:val="18"/>
      <w:szCs w:val="18"/>
    </w:rPr>
  </w:style>
  <w:style w:type="character" w:styleId="924" w:customStyle="1">
    <w:name w:val="页脚 Char1"/>
    <w:basedOn w:val="679"/>
    <w:link w:val="752"/>
    <w:uiPriority w:val="99"/>
    <w:semiHidden/>
    <w:qFormat/>
    <w:rPr>
      <w:rFonts w:asciiTheme="minorHAnsi" w:hAnsiTheme="minorHAnsi" w:eastAsiaTheme="minorEastAsia" w:cstheme="minorBidi"/>
      <w:sz w:val="18"/>
      <w:szCs w:val="18"/>
    </w:rPr>
  </w:style>
  <w:style w:type="character" w:styleId="925" w:customStyle="1">
    <w:name w:val="标题 2 Char1"/>
    <w:basedOn w:val="679"/>
    <w:link w:val="751"/>
    <w:uiPriority w:val="9"/>
    <w:semiHidden/>
    <w:qFormat/>
    <w:rPr>
      <w:rFonts w:asciiTheme="majorHAnsi" w:hAnsiTheme="majorHAnsi" w:eastAsiaTheme="majorEastAsia" w:cstheme="majorBidi"/>
      <w:b/>
      <w:bCs/>
      <w:sz w:val="32"/>
      <w:szCs w:val="32"/>
    </w:rPr>
  </w:style>
  <w:style w:type="paragraph" w:styleId="926" w:customStyle="1">
    <w:name w:val="text"/>
    <w:basedOn w:val="669"/>
    <w:uiPriority w:val="0"/>
    <w:qFormat/>
    <w:pPr>
      <w:jc w:val="left"/>
      <w:spacing w:before="100" w:beforeAutospacing="1" w:after="100" w:afterAutospacing="1"/>
      <w:widowControl/>
    </w:pPr>
    <w:rPr>
      <w:rFonts w:ascii="宋体" w:hAnsi="宋体" w:eastAsia="宋体" w:cs="宋体"/>
      <w:sz w:val="24"/>
    </w:rPr>
  </w:style>
  <w:style w:type="paragraph" w:styleId="927" w:customStyle="1">
    <w:name w:val="正文首行缩进 21"/>
    <w:basedOn w:val="669"/>
    <w:uiPriority w:val="0"/>
    <w:qFormat/>
    <w:pPr>
      <w:ind w:left="420" w:firstLine="420"/>
      <w:spacing w:after="120"/>
    </w:pPr>
  </w:style>
  <w:style w:type="paragraph" w:styleId="928" w:customStyle="1">
    <w:name w:val="正文缩进1"/>
    <w:basedOn w:val="669"/>
    <w:uiPriority w:val="0"/>
    <w:qFormat/>
    <w:pPr>
      <w:ind w:firstLine="420"/>
      <w:jc w:val="left"/>
      <w:widowControl/>
    </w:pPr>
  </w:style>
  <w:style w:type="paragraph" w:styleId="929" w:customStyle="1">
    <w:name w:val="Default"/>
    <w:basedOn w:val="669"/>
    <w:uiPriority w:val="0"/>
    <w:qFormat/>
    <w:pPr>
      <w:jc w:val="left"/>
    </w:pPr>
    <w:rPr>
      <w:rFonts w:ascii="宋体" w:hAnsi="Calibri" w:cs="宋体"/>
      <w:color w:val="000000"/>
      <w:sz w:val="24"/>
    </w:rPr>
  </w:style>
  <w:style w:type="paragraph" w:styleId="930" w:customStyle="1">
    <w:name w:val="TOC 71"/>
    <w:next w:val="669"/>
    <w:uiPriority w:val="0"/>
    <w:qFormat/>
    <w:pPr>
      <w:ind w:left="2550"/>
      <w:jc w:val="both"/>
    </w:pPr>
    <w:rPr>
      <w:rFonts w:hint="default" w:ascii="Times New Roman" w:hAnsi="Times New Roman" w:eastAsia="宋体" w:cs="Times New Roman"/>
      <w:sz w:val="21"/>
      <w:szCs w:val="22"/>
      <w:lang w:val="en-US" w:eastAsia="zh-CN" w:bidi="ar-SA"/>
    </w:rPr>
  </w:style>
  <w:style w:type="paragraph" w:styleId="931" w:customStyle="1">
    <w:name w:val="Table Text"/>
    <w:basedOn w:val="669"/>
    <w:uiPriority w:val="0"/>
    <w:semiHidden/>
    <w:qFormat/>
    <w:rPr>
      <w:rFonts w:ascii="宋体" w:hAnsi="宋体" w:eastAsia="宋体" w:cs="宋体"/>
      <w:sz w:val="24"/>
    </w:rPr>
  </w:style>
  <w:style w:type="table" w:styleId="932" w:customStyle="1">
    <w:name w:val="Table Normal"/>
    <w:uiPriority w:val="0"/>
    <w:unhideWhenUsed/>
    <w:qFormat/>
    <w:tblPr>
      <w:tblCellMar>
        <w:left w:w="0" w:type="dxa"/>
        <w:top w:w="0" w:type="dxa"/>
        <w:right w:w="0" w:type="dxa"/>
        <w:bottom w:w="0" w:type="dxa"/>
      </w:tblCellMar>
    </w:tblPr>
  </w:style>
  <w:style w:type="paragraph" w:styleId="933" w:customStyle="1">
    <w:name w:val="页眉12"/>
    <w:basedOn w:val="669"/>
    <w:uiPriority w:val="0"/>
    <w:qFormat/>
    <w:pPr>
      <w:jc w:val="center"/>
      <w:tabs>
        <w:tab w:val="center" w:pos="4153" w:leader="none"/>
        <w:tab w:val="right" w:pos="8306" w:leader="none"/>
      </w:tabs>
      <w:pBdr>
        <w:bottom w:val="single" w:color="000000" w:sz="6" w:space="1"/>
      </w:pBdr>
    </w:pPr>
    <w:rPr>
      <w:sz w:val="18"/>
      <w:szCs w:val="18"/>
    </w:rPr>
  </w:style>
  <w:style w:type="paragraph" w:styleId="934" w:customStyle="1">
    <w:name w:val="正文文本 2111"/>
    <w:basedOn w:val="669"/>
    <w:uiPriority w:val="99"/>
    <w:qFormat/>
    <w:pPr>
      <w:jc w:val="center"/>
    </w:pPr>
    <w:rPr>
      <w:b/>
      <w:bCs/>
      <w:sz w:val="20"/>
      <w:szCs w:val="20"/>
    </w:rPr>
  </w:style>
  <w:style w:type="paragraph" w:styleId="935" w:customStyle="1">
    <w:name w:val="普通正文"/>
    <w:basedOn w:val="669"/>
    <w:uiPriority w:val="0"/>
    <w:qFormat/>
    <w:pPr>
      <w:ind w:firstLine="480"/>
      <w:jc w:val="left"/>
      <w:spacing w:before="120" w:after="120" w:line="360" w:lineRule="auto"/>
    </w:pPr>
    <w:rPr>
      <w:rFonts w:ascii="Arial" w:hAnsi="Arial" w:eastAsia="等线" w:cs="Arial"/>
      <w:sz w:val="24"/>
    </w:rPr>
  </w:style>
  <w:style w:type="paragraph" w:styleId="936" w:customStyle="1">
    <w:name w:val="普通(网站)1"/>
    <w:basedOn w:val="669"/>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37" w:customStyle="1">
    <w:name w:val="Normal1"/>
    <w:uiPriority w:val="0"/>
    <w:qFormat/>
    <w:pPr>
      <w:spacing w:line="360" w:lineRule="atLeast"/>
      <w:widowControl w:val="off"/>
    </w:pPr>
    <w:rPr>
      <w:rFonts w:hint="default" w:ascii="宋体" w:hAnsi="Calibri" w:eastAsia="宋体" w:cs="Times New Roman"/>
      <w:b/>
      <w:position w:val="-10"/>
      <w:sz w:val="24"/>
      <w:lang w:val="en-US" w:eastAsia="zh-CN" w:bidi="ar-SA"/>
    </w:rPr>
  </w:style>
  <w:style w:type="paragraph" w:styleId="938" w:customStyle="1">
    <w:name w:val="正文文本1"/>
    <w:basedOn w:val="669"/>
    <w:uiPriority w:val="0"/>
    <w:qFormat/>
    <w:pPr>
      <w:spacing w:after="120"/>
    </w:pPr>
    <w:rPr>
      <w:rFonts w:ascii="Times New Roman" w:hAnsi="Times New Roman" w:eastAsia="宋体" w:cs="Times New Roman"/>
      <w:szCs w:val="21"/>
    </w:rPr>
  </w:style>
  <w:style w:type="paragraph" w:styleId="939" w:customStyle="1">
    <w:name w:val="批注文字1"/>
    <w:basedOn w:val="669"/>
    <w:uiPriority w:val="0"/>
    <w:qFormat/>
    <w:pPr>
      <w:jc w:val="left"/>
    </w:pPr>
    <w:rPr>
      <w:rFonts w:ascii="Times New Roman" w:hAnsi="Times New Roman" w:eastAsia="宋体" w:cs="Times New Roman"/>
    </w:rPr>
  </w:style>
  <w:style w:type="character" w:styleId="940" w:customStyle="1">
    <w:name w:val="正文首行缩进 2 Char"/>
    <w:basedOn w:val="679"/>
    <w:link w:val="709"/>
    <w:uiPriority w:val="0"/>
    <w:qFormat/>
    <w:rPr>
      <w:rFonts w:ascii="宋体" w:eastAsia="仿宋" w:hAnsiTheme="minorHAnsi" w:cstheme="minorBidi"/>
      <w:sz w:val="24"/>
      <w:szCs w:val="21"/>
    </w:rPr>
  </w:style>
  <w:style w:type="paragraph" w:styleId="941" w:customStyle="1">
    <w:name w:val="宋体正文排版"/>
    <w:basedOn w:val="669"/>
    <w:link w:val="942"/>
    <w:uiPriority w:val="0"/>
    <w:qFormat/>
    <w:pPr>
      <w:ind w:firstLine="883"/>
      <w:spacing w:line="360" w:lineRule="auto"/>
      <w:widowControl/>
    </w:pPr>
    <w:rPr>
      <w:rFonts w:ascii="宋体" w:hAnsi="宋体" w:eastAsia="宋体" w:cs="Times New Roman"/>
      <w:color w:val="000000"/>
      <w:sz w:val="28"/>
      <w:szCs w:val="28"/>
      <w:lang w:eastAsia="en-US"/>
    </w:rPr>
  </w:style>
  <w:style w:type="character" w:styleId="942" w:customStyle="1">
    <w:name w:val="我的正文排版四号字 Char"/>
    <w:link w:val="941"/>
    <w:uiPriority w:val="0"/>
    <w:qFormat/>
    <w:rPr>
      <w:rFonts w:ascii="宋体" w:hAnsi="宋体"/>
      <w:color w:val="000000"/>
      <w:sz w:val="28"/>
      <w:szCs w:val="28"/>
      <w:lang w:eastAsia="en-US"/>
    </w:rPr>
  </w:style>
  <w:style w:type="numbering" w:styleId="14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15</cp:revision>
  <dcterms:created xsi:type="dcterms:W3CDTF">2026-08-09T14:44:00Z</dcterms:created>
  <dcterms:modified xsi:type="dcterms:W3CDTF">2026-09-30T09:00:32Z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1B167974EDBC42FCB57733EAD1699A30_13</vt:lpwstr>
  </property>
  <property fmtid="{D5CDD505-2E9C-101B-9397-08002B2CF9AE}" pid="4" name="KSOTemplateDocerSaveRecord">
    <vt:lpwstr>eyJoZGlkIjoiZTM5NjQ4MDViNzI1OGY2YzE4MzhiZmY5ZTY1YTkxNGYiLCJ1c2VySWQiOiIxNjcxMTcxMDA3In0=</vt:lpwstr>
  </property>
</Properties>
</file>