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pageBreakBefore w:val="0"/>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84"/>
          <w:highlight w:val="none"/>
          <w14:textFill>
            <w14:solidFill>
              <w14:schemeClr w14:val="tx1"/>
            </w14:solidFill>
          </w14:textFill>
        </w:rPr>
        <w:t xml:space="preserve">招 标 文 件</w:t>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left="0" w:right="0" w:firstLine="0"/>
        <w:jc w:val="both"/>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0" w:right="0" w:firstLine="2692"/>
        <w:jc w:val="both"/>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t xml:space="preserve"> </w:t>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1606" w:right="0" w:hanging="1606"/>
        <w:jc w:val="both"/>
        <w:pageBreakBefore w:val="0"/>
        <w:spacing w:before="0" w:after="0"/>
        <w:rPr>
          <w:rFonts w:hint="eastAsia"/>
        </w:rPr>
        <w:pBdr>
          <w:top w:val="none" w:color="000000" w:sz="0" w:space="0"/>
          <w:left w:val="none" w:color="000000" w:sz="0" w:space="0"/>
          <w:bottom w:val="none" w:color="000000" w:sz="0" w:space="0"/>
          <w:right w:val="none" w:color="000000" w:sz="0" w:space="0"/>
        </w:pBdr>
      </w:pPr>
      <w:r/>
      <w:bookmarkStart w:id="0" w:name="_Toc14894"/>
      <w:r/>
      <w:bookmarkStart w:id="1" w:name="_Toc8275"/>
      <w:r>
        <w:rPr>
          <w:rFonts w:hint="eastAsia" w:ascii="宋体" w:hAnsi="宋体" w:eastAsia="宋体" w:cs="宋体"/>
          <w:b/>
          <w:color w:val="000000" w:themeColor="text1"/>
          <w:sz w:val="32"/>
          <w:highlight w:val="none"/>
          <w14:textFill>
            <w14:solidFill>
              <w14:schemeClr w14:val="tx1"/>
            </w14:solidFill>
          </w14:textFill>
        </w:rPr>
        <w:t xml:space="preserve">项目名称：</w:t>
      </w:r>
      <w:bookmarkEnd w:id="0"/>
      <w:r/>
      <w:bookmarkEnd w:id="1"/>
      <w:r>
        <w:rPr>
          <w:rFonts w:hint="eastAsia" w:ascii="宋体" w:hAnsi="宋体" w:cs="宋体"/>
          <w:b/>
          <w:color w:val="000000" w:themeColor="text1"/>
          <w:sz w:val="24"/>
          <w:szCs w:val="20"/>
          <w:highlight w:val="none"/>
          <w:lang w:eastAsia="zh-CN"/>
          <w14:textFill>
            <w14:solidFill>
              <w14:schemeClr w14:val="tx1"/>
            </w14:solidFill>
          </w14:textFill>
        </w:rPr>
        <w:t xml:space="preserve">南洋镇正东、才堂、兴隆新型社区物业管理服务采购项目</w:t>
      </w:r>
      <w:r>
        <w:rPr>
          <w:rFonts w:hint="eastAsia" w:ascii="宋体" w:hAnsi="宋体" w:eastAsia="宋体" w:cs="宋体"/>
          <w:b/>
          <w:color w:val="000000" w:themeColor="text1"/>
          <w:sz w:val="24"/>
          <w:szCs w:val="20"/>
          <w:highlight w:val="none"/>
          <w14:textFill>
            <w14:solidFill>
              <w14:schemeClr w14:val="tx1"/>
            </w14:solidFill>
          </w14:textFill>
        </w:rPr>
        <w:t xml:space="preserve"> </w:t>
      </w:r>
      <w:r/>
    </w:p>
    <w:p>
      <w:pPr>
        <w:ind w:right="0"/>
        <w:jc w:val="both"/>
        <w:pageBreakBefore w:val="0"/>
        <w:spacing w:before="0" w:after="0"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szCs w:val="21"/>
          <w:highlight w:val="none"/>
          <w14:textFill>
            <w14:solidFill>
              <w14:schemeClr w14:val="tx1"/>
            </w14:solidFill>
          </w14:textFill>
        </w:rPr>
        <w:t xml:space="preserve">项目编号：</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JSZC-320902-JZCG-G2025-</w:t>
      </w:r>
      <w:r>
        <w:rPr>
          <w:rFonts w:hint="eastAsia" w:ascii="宋体" w:hAnsi="宋体" w:cs="宋体"/>
          <w:color w:val="000000" w:themeColor="text1"/>
          <w:sz w:val="28"/>
          <w:szCs w:val="28"/>
          <w:highlight w:val="none"/>
          <w:lang w:val="en-US" w:eastAsia="zh-CN"/>
          <w14:textFill>
            <w14:solidFill>
              <w14:schemeClr w14:val="tx1"/>
            </w14:solidFill>
          </w14:textFill>
        </w:rPr>
        <w:t xml:space="preserve">0068</w:t>
      </w:r>
      <w:r/>
    </w:p>
    <w:p>
      <w:pPr>
        <w:ind w:left="0" w:right="0" w:firstLine="480"/>
        <w:jc w:val="both"/>
        <w:pageBreakBefore w:val="0"/>
        <w:spacing w:before="0" w:after="0"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left="0" w:right="0" w:firstLine="0"/>
        <w:jc w:val="both"/>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left="0" w:right="0" w:firstLine="0"/>
        <w:jc w:val="both"/>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0" w:right="0" w:firstLine="0"/>
        <w:jc w:val="both"/>
        <w:pageBreakBefore w:val="0"/>
        <w:spacing w:before="0" w:after="0"/>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ind w:left="0" w:right="0" w:firstLine="0"/>
        <w:jc w:val="both"/>
        <w:pageBreakBefore w:val="0"/>
        <w:spacing w:before="0" w:after="0"/>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ind w:left="0" w:right="0" w:firstLine="0"/>
        <w:jc w:val="both"/>
        <w:pageBreakBefore w:val="0"/>
        <w:spacing w:before="0" w:after="0"/>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ind w:left="0" w:right="0" w:firstLine="0"/>
        <w:jc w:val="both"/>
        <w:pageBreakBefore w:val="0"/>
        <w:spacing w:before="0" w:after="0"/>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ind w:left="0" w:right="0" w:firstLine="0"/>
        <w:jc w:val="both"/>
        <w:pageBreakBefore w:val="0"/>
        <w:spacing w:before="0" w:after="0"/>
        <w:rPr>
          <w:rFonts w:hint="eastAsia" w:ascii="宋体" w:hAnsi="宋体" w:cs="宋体"/>
          <w:b/>
          <w:bCs/>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6"/>
          <w:highlight w:val="none"/>
          <w:lang w:eastAsia="zh-CN"/>
          <w14:textFill>
            <w14:solidFill>
              <w14:schemeClr w14:val="tx1"/>
            </w14:solidFill>
          </w14:textFill>
        </w:rPr>
      </w:r>
      <w:r/>
    </w:p>
    <w:p>
      <w:pPr>
        <w:ind w:left="0" w:right="0" w:firstLine="0"/>
        <w:jc w:val="center"/>
        <w:pageBreakBefore w:val="0"/>
        <w:spacing w:before="0" w:after="0"/>
        <w:rPr>
          <w:rFonts w:hint="eastAsia" w:ascii="宋体" w:hAnsi="宋体" w:cs="宋体"/>
          <w:b/>
          <w:bCs/>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6"/>
          <w:highlight w:val="none"/>
          <w:lang w:eastAsia="zh-CN"/>
          <w14:textFill>
            <w14:solidFill>
              <w14:schemeClr w14:val="tx1"/>
            </w14:solidFill>
          </w14:textFill>
        </w:rPr>
      </w:r>
      <w:r/>
    </w:p>
    <w:p>
      <w:pPr>
        <w:ind w:left="0" w:right="0" w:firstLine="0"/>
        <w:jc w:val="center"/>
        <w:pageBreakBefore w:val="0"/>
        <w:spacing w:before="0" w:after="0"/>
        <w:rPr>
          <w:rFonts w:hint="eastAsia" w:ascii="宋体" w:hAnsi="宋体" w:cs="宋体"/>
          <w:b/>
          <w:bCs/>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6"/>
          <w:highlight w:val="none"/>
          <w:lang w:eastAsia="zh-CN"/>
          <w14:textFill>
            <w14:solidFill>
              <w14:schemeClr w14:val="tx1"/>
            </w14:solidFill>
          </w14:textFill>
        </w:rPr>
      </w:r>
      <w:r/>
    </w:p>
    <w:p>
      <w:pPr>
        <w:ind w:left="0" w:right="0" w:firstLine="0"/>
        <w:jc w:val="center"/>
        <w:pageBreakBefore w:val="0"/>
        <w:spacing w:before="0" w:after="0"/>
        <w:rPr>
          <w:rFonts w:hint="eastAsia" w:ascii="宋体" w:hAnsi="宋体" w:eastAsia="宋体" w:cs="宋体"/>
          <w:b/>
          <w:bCs/>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6"/>
          <w:highlight w:val="none"/>
          <w:lang w:eastAsia="zh-CN"/>
          <w14:textFill>
            <w14:solidFill>
              <w14:schemeClr w14:val="tx1"/>
            </w14:solidFill>
          </w14:textFill>
        </w:rPr>
        <w:t xml:space="preserve">盐城市亭湖区南洋镇人民政府</w:t>
      </w:r>
      <w:r/>
    </w:p>
    <w:p>
      <w:pPr>
        <w:ind w:left="0" w:right="0" w:firstLine="0"/>
        <w:jc w:val="center"/>
        <w:pageBreakBefore w:val="0"/>
        <w:spacing w:before="0" w:after="0" w:line="360" w:lineRule="auto"/>
        <w:rPr>
          <w:rFonts w:hint="eastAsia" w:ascii="宋体" w:hAnsi="宋体" w:eastAsia="宋体" w:cs="宋体"/>
          <w:b/>
          <w:bCs/>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6"/>
          <w:highlight w:val="none"/>
          <w14:textFill>
            <w14:solidFill>
              <w14:schemeClr w14:val="tx1"/>
            </w14:solidFill>
          </w14:textFill>
        </w:rPr>
        <w:t xml:space="preserve">202</w:t>
      </w:r>
      <w:r>
        <w:rPr>
          <w:rFonts w:hint="eastAsia" w:ascii="宋体" w:hAnsi="宋体" w:eastAsia="宋体" w:cs="宋体"/>
          <w:b/>
          <w:bCs/>
          <w:color w:val="000000" w:themeColor="text1"/>
          <w:sz w:val="36"/>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36"/>
          <w:highlight w:val="none"/>
          <w14:textFill>
            <w14:solidFill>
              <w14:schemeClr w14:val="tx1"/>
            </w14:solidFill>
          </w14:textFill>
        </w:rPr>
        <w:t xml:space="preserve">年</w:t>
      </w:r>
      <w:r>
        <w:rPr>
          <w:rFonts w:hint="eastAsia" w:ascii="宋体" w:hAnsi="宋体" w:cs="宋体"/>
          <w:b/>
          <w:bCs/>
          <w:color w:val="000000" w:themeColor="text1"/>
          <w:sz w:val="36"/>
          <w:highlight w:val="none"/>
          <w:lang w:val="en-US" w:eastAsia="zh-CN"/>
          <w14:textFill>
            <w14:solidFill>
              <w14:schemeClr w14:val="tx1"/>
            </w14:solidFill>
          </w14:textFill>
        </w:rPr>
        <w:t xml:space="preserve">12</w:t>
      </w:r>
      <w:r>
        <w:rPr>
          <w:rFonts w:hint="eastAsia" w:ascii="宋体" w:hAnsi="宋体" w:eastAsia="宋体" w:cs="宋体"/>
          <w:b/>
          <w:bCs/>
          <w:color w:val="000000" w:themeColor="text1"/>
          <w:sz w:val="36"/>
          <w:highlight w:val="none"/>
          <w14:textFill>
            <w14:solidFill>
              <w14:schemeClr w14:val="tx1"/>
            </w14:solidFill>
          </w14:textFill>
        </w:rPr>
        <w:t xml:space="preserve">月</w:t>
      </w:r>
      <w:r/>
    </w:p>
    <w:p>
      <w:pPr>
        <w:rPr>
          <w:rFonts w:hint="eastAsia" w:ascii="宋体" w:hAnsi="宋体" w:eastAsia="宋体" w:cs="宋体"/>
          <w:b/>
          <w:bCs/>
          <w:color w:val="000000" w:themeColor="text1"/>
          <w:sz w:val="36"/>
          <w:highlight w:val="none"/>
          <w14:textFill>
            <w14:solidFill>
              <w14:schemeClr w14:val="tx1"/>
            </w14:solidFill>
          </w14:textFill>
        </w:rPr>
      </w:pPr>
      <w:r>
        <w:rPr>
          <w:rFonts w:hint="eastAsia" w:ascii="宋体" w:hAnsi="宋体" w:eastAsia="宋体" w:cs="宋体"/>
          <w:b/>
          <w:bCs/>
          <w:color w:val="000000" w:themeColor="text1"/>
          <w:sz w:val="36"/>
          <w:highlight w:val="none"/>
          <w14:textFill>
            <w14:solidFill>
              <w14:schemeClr w14:val="tx1"/>
            </w14:solidFill>
          </w14:textFill>
        </w:rPr>
        <w:br w:type="page" w:clear="all"/>
      </w:r>
      <w:r/>
    </w:p>
    <w:sdt>
      <w:sdtPr>
        <w15:appearance w15:val="boundingBox"/>
        <w15:color w:val="dbdbdb"/>
        <w:id w:val="147457139"/>
        <w:docPartObj>
          <w:docPartGallery w:val="Table of Contents"/>
          <w:docPartUnique w:val="true"/>
        </w:docPartObj>
        <w:rPr>
          <w:rFonts w:ascii="宋体" w:hAnsi="宋体" w:eastAsia="宋体" w:cs="Times New Roman"/>
          <w:color w:val="000000" w:themeColor="text1"/>
          <w:sz w:val="44"/>
          <w:szCs w:val="48"/>
          <w:lang w:val="en-US" w:eastAsia="zh-CN" w:bidi="ar-SA"/>
          <w14:textFill>
            <w14:solidFill>
              <w14:schemeClr w14:val="tx1"/>
            </w14:solidFill>
          </w14:textFill>
        </w:rPr>
      </w:sdtPr>
      <w:sdtContent>
        <w:p>
          <w:pPr>
            <w:ind w:left="0" w:right="0" w:firstLine="0"/>
            <w:jc w:val="center"/>
            <w:spacing w:before="0" w:after="0" w:line="240" w:lineRule="auto"/>
            <w:rPr>
              <w:color w:val="000000" w:themeColor="text1"/>
              <w:sz w:val="56"/>
              <w:szCs w:val="48"/>
              <w14:textFill>
                <w14:solidFill>
                  <w14:schemeClr w14:val="tx1"/>
                </w14:solidFill>
              </w14:textFill>
            </w:rPr>
          </w:pPr>
          <w:r>
            <w:rPr>
              <w:rFonts w:ascii="宋体" w:hAnsi="宋体" w:eastAsia="宋体"/>
              <w:color w:val="000000" w:themeColor="text1"/>
              <w:sz w:val="44"/>
              <w:szCs w:val="48"/>
              <w14:textFill>
                <w14:solidFill>
                  <w14:schemeClr w14:val="tx1"/>
                </w14:solidFill>
              </w14:textFill>
            </w:rPr>
            <w:t xml:space="preserve">目</w:t>
          </w:r>
          <w:r>
            <w:rPr>
              <w:rFonts w:hint="eastAsia" w:ascii="宋体" w:hAnsi="宋体" w:eastAsia="宋体"/>
              <w:color w:val="000000" w:themeColor="text1"/>
              <w:sz w:val="44"/>
              <w:szCs w:val="48"/>
              <w:lang w:val="en-US" w:eastAsia="zh-CN"/>
              <w14:textFill>
                <w14:solidFill>
                  <w14:schemeClr w14:val="tx1"/>
                </w14:solidFill>
              </w14:textFill>
            </w:rPr>
            <w:t xml:space="preserve">  </w:t>
          </w:r>
          <w:r>
            <w:rPr>
              <w:rFonts w:ascii="宋体" w:hAnsi="宋体" w:eastAsia="宋体"/>
              <w:color w:val="000000" w:themeColor="text1"/>
              <w:sz w:val="44"/>
              <w:szCs w:val="48"/>
              <w14:textFill>
                <w14:solidFill>
                  <w14:schemeClr w14:val="tx1"/>
                </w14:solidFill>
              </w14:textFill>
            </w:rPr>
            <w:t xml:space="preserve">录</w:t>
          </w:r>
          <w:r/>
        </w:p>
        <w:p>
          <w:pPr>
            <w:pStyle w:val="757"/>
            <w:spacing w:line="600" w:lineRule="auto"/>
            <w:tabs>
              <w:tab w:val="right" w:pos="9069" w:leader="dot"/>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TOC \o "1-1" \h \u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_Toc8511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第一章 招标公告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_Toc8511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r/>
        </w:p>
        <w:p>
          <w:pPr>
            <w:pStyle w:val="757"/>
            <w:spacing w:line="600" w:lineRule="auto"/>
            <w:tabs>
              <w:tab w:val="right" w:pos="9069" w:leader="dot"/>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_Toc157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第二章 投标人须知</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fldChar w:fldCharType="end"/>
          </w:r>
          <w:r/>
        </w:p>
        <w:p>
          <w:pPr>
            <w:pStyle w:val="757"/>
            <w:spacing w:line="600" w:lineRule="auto"/>
            <w:tabs>
              <w:tab w:val="right" w:pos="9069" w:leader="dot"/>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_Toc31813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第三章 合同文本</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 xml:space="preserve">0</w:t>
          </w:r>
          <w:r/>
        </w:p>
        <w:p>
          <w:pPr>
            <w:pStyle w:val="757"/>
            <w:spacing w:line="600" w:lineRule="auto"/>
            <w:tabs>
              <w:tab w:val="right" w:pos="9069" w:leader="dot"/>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_Toc30134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第四章 采购需求</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3</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 xml:space="preserve">0</w:t>
          </w:r>
          <w:r/>
        </w:p>
        <w:p>
          <w:pPr>
            <w:pStyle w:val="757"/>
            <w:spacing w:line="600" w:lineRule="auto"/>
            <w:tabs>
              <w:tab w:val="right" w:pos="9069" w:leader="dot"/>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_Toc22299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第五章 评标方法与评标标准</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 xml:space="preserve">7</w:t>
          </w:r>
          <w:r/>
        </w:p>
        <w:p>
          <w:pPr>
            <w:pStyle w:val="757"/>
            <w:spacing w:line="600" w:lineRule="auto"/>
            <w:tabs>
              <w:tab w:val="right" w:pos="9069" w:leader="dot"/>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_Toc20724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第六章 投标文件格式</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 xml:space="preserve">1</w:t>
          </w:r>
          <w:r/>
        </w:p>
        <w:p>
          <w:pPr>
            <w:pStyle w:val="922"/>
            <w:rPr>
              <w:rFonts w:hint="eastAsia" w:ascii="仿宋_GB2312" w:hAnsi="Times New Roman" w:eastAsia="仿宋_GB2312" w:cs="仿宋_GB2312"/>
              <w:color w:val="000000" w:themeColor="text1"/>
              <w:sz w:val="24"/>
              <w:szCs w:val="24"/>
              <w:lang w:val="en-US" w:eastAsia="zh-CN" w:bidi="ar-SA"/>
              <w14:textFill>
                <w14:solidFill>
                  <w14:schemeClr w14:val="tx1"/>
                </w14:solidFill>
              </w14:textFill>
            </w:rPr>
          </w:pPr>
          <w:r>
            <w:rPr>
              <w:rFonts w:hint="eastAsia"/>
              <w:color w:val="000000" w:themeColor="text1"/>
              <w14:textFill>
                <w14:solidFill>
                  <w14:schemeClr w14:val="tx1"/>
                </w14:solidFill>
              </w14:textFill>
            </w:rPr>
            <w:fldChar w:fldCharType="end"/>
          </w:r>
          <w:r/>
        </w:p>
      </w:sdtContent>
    </w:sdt>
    <w:p>
      <w:pPr>
        <w:pStyle w:val="922"/>
        <w:rPr>
          <w:rFonts w:hint="eastAsia" w:ascii="仿宋_GB2312" w:hAnsi="Times New Roman" w:eastAsia="仿宋_GB2312" w:cs="仿宋_GB2312"/>
          <w:color w:val="000000" w:themeColor="text1"/>
          <w:sz w:val="24"/>
          <w:szCs w:val="24"/>
          <w:lang w:val="en-US" w:eastAsia="zh-CN" w:bidi="ar-SA"/>
          <w14:textFill>
            <w14:solidFill>
              <w14:schemeClr w14:val="tx1"/>
            </w14:solidFill>
          </w14:textFill>
        </w:rPr>
      </w:pPr>
      <w:r>
        <w:rPr>
          <w:rFonts w:hint="eastAsia" w:ascii="仿宋_GB2312" w:hAnsi="Times New Roman" w:eastAsia="仿宋_GB2312" w:cs="仿宋_GB2312"/>
          <w:color w:val="000000" w:themeColor="text1"/>
          <w:sz w:val="24"/>
          <w:szCs w:val="24"/>
          <w:lang w:val="en-US" w:eastAsia="zh-CN" w:bidi="ar-SA"/>
          <w14:textFill>
            <w14:solidFill>
              <w14:schemeClr w14:val="tx1"/>
            </w14:solidFill>
          </w14:textFill>
        </w:rPr>
      </w:r>
      <w:r/>
    </w:p>
    <w:p>
      <w:pPr>
        <w:rPr>
          <w:rFonts w:ascii="黑体" w:hAnsi="Arial" w:eastAsia="黑体"/>
          <w:b/>
          <w:color w:val="000000" w:themeColor="text1"/>
          <w:sz w:val="44"/>
          <w:highlight w:val="none"/>
          <w14:textFill>
            <w14:solidFill>
              <w14:schemeClr w14:val="tx1"/>
            </w14:solidFill>
          </w14:textFill>
        </w:rPr>
      </w:pPr>
      <w:r>
        <w:rPr>
          <w:rFonts w:ascii="黑体" w:hAnsi="Arial" w:eastAsia="黑体"/>
          <w:b/>
          <w:color w:val="000000" w:themeColor="text1"/>
          <w:sz w:val="44"/>
          <w:highlight w:val="none"/>
          <w14:textFill>
            <w14:solidFill>
              <w14:schemeClr w14:val="tx1"/>
            </w14:solidFill>
          </w14:textFill>
        </w:rPr>
        <w:br w:type="page" w:clear="all"/>
      </w:r>
      <w:r/>
    </w:p>
    <w:p>
      <w:pPr>
        <w:pStyle w:val="732"/>
        <w:jc w:val="center"/>
        <w:rPr>
          <w:rFonts w:hint="eastAsia"/>
          <w:color w:val="000000" w:themeColor="text1"/>
          <w14:textFill>
            <w14:solidFill>
              <w14:schemeClr w14:val="tx1"/>
            </w14:solidFill>
          </w14:textFill>
        </w:rPr>
      </w:pPr>
      <w:r/>
      <w:bookmarkStart w:id="2" w:name="_Toc8511"/>
      <w:r/>
      <w:bookmarkStart w:id="3" w:name="_Toc16633"/>
      <w:r>
        <w:rPr>
          <w:rFonts w:hint="eastAsia"/>
          <w:color w:val="000000" w:themeColor="text1"/>
          <w14:textFill>
            <w14:solidFill>
              <w14:schemeClr w14:val="tx1"/>
            </w14:solidFill>
          </w14:textFill>
        </w:rPr>
        <w:t xml:space="preserve">第一章 招标公告</w:t>
      </w:r>
      <w:bookmarkEnd w:id="2"/>
      <w:r/>
      <w:bookmarkEnd w:id="3"/>
      <w:r/>
      <w:r/>
    </w:p>
    <w:p>
      <w:pPr>
        <w:ind w:left="0" w:right="0" w:firstLine="560"/>
        <w:jc w:val="both"/>
        <w:pageBreakBefore w:val="0"/>
        <w:spacing w:before="0" w:after="0" w:line="430" w:lineRule="atLeast"/>
        <w:rPr>
          <w:rFonts w:hint="eastAsia" w:ascii="宋体" w:hAnsi="宋体" w:eastAsia="宋体" w:cs="宋体"/>
          <w:color w:val="000000" w:themeColor="text1"/>
          <w:sz w:val="21"/>
          <w:szCs w:val="2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1"/>
          <w:szCs w:val="21"/>
          <w:highlight w:val="none"/>
          <w14:textFill>
            <w14:solidFill>
              <w14:schemeClr w14:val="tx1"/>
            </w14:solidFill>
          </w14:textFill>
        </w:rPr>
        <w:t xml:space="preserve">项目概况</w:t>
      </w:r>
      <w:r/>
    </w:p>
    <w:p>
      <w:pPr>
        <w:ind w:left="0" w:right="0" w:firstLine="560"/>
        <w:jc w:val="both"/>
        <w:pageBreakBefore w:val="0"/>
        <w:spacing w:before="0" w:after="0" w:line="430" w:lineRule="atLeast"/>
        <w:rPr>
          <w:rFonts w:hint="eastAsia" w:ascii="宋体" w:hAnsi="宋体" w:eastAsia="宋体" w:cs="宋体"/>
          <w:color w:val="000000" w:themeColor="text1"/>
          <w:sz w:val="21"/>
          <w:szCs w:val="2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1"/>
          <w:szCs w:val="21"/>
          <w:highlight w:val="none"/>
          <w:u w:val="single"/>
          <w:lang w:eastAsia="zh-CN"/>
          <w14:textFill>
            <w14:solidFill>
              <w14:schemeClr w14:val="tx1"/>
            </w14:solidFill>
          </w14:textFill>
        </w:rPr>
        <w:t xml:space="preserve">南洋镇正东、才堂、兴隆新型社区物业管理</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服务</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采购项目</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的潜在投标人应在“苏采云”系统内免费下载获取招标文件（投标人必须在苏采云系统中获取招标文件，方能参与政府采购项目），并于</w:t>
      </w:r>
      <w:r>
        <w:rPr>
          <w:rFonts w:hint="eastAsia" w:ascii="宋体" w:hAnsi="宋体" w:eastAsia="宋体" w:cs="宋体"/>
          <w:b/>
          <w:color w:val="auto"/>
          <w:sz w:val="21"/>
          <w:szCs w:val="21"/>
          <w:highlight w:val="none"/>
          <w:u w:val="single"/>
        </w:rPr>
        <w:t xml:space="preserve">202</w:t>
      </w:r>
      <w:r>
        <w:rPr>
          <w:rFonts w:hint="eastAsia" w:ascii="宋体" w:hAnsi="宋体" w:cs="宋体"/>
          <w:b/>
          <w:color w:val="auto"/>
          <w:sz w:val="21"/>
          <w:szCs w:val="21"/>
          <w:highlight w:val="none"/>
          <w:u w:val="single"/>
          <w:lang w:val="en-US" w:eastAsia="zh-CN"/>
        </w:rPr>
        <w:t xml:space="preserve">6</w:t>
      </w:r>
      <w:r>
        <w:rPr>
          <w:rFonts w:hint="eastAsia" w:ascii="宋体" w:hAnsi="宋体" w:eastAsia="宋体" w:cs="宋体"/>
          <w:b/>
          <w:color w:val="auto"/>
          <w:sz w:val="21"/>
          <w:szCs w:val="21"/>
          <w:highlight w:val="none"/>
          <w:u w:val="single"/>
        </w:rPr>
        <w:t xml:space="preserve">年</w:t>
      </w:r>
      <w:r>
        <w:rPr>
          <w:rFonts w:hint="eastAsia" w:ascii="宋体" w:hAnsi="宋体" w:cs="宋体"/>
          <w:b/>
          <w:color w:val="auto"/>
          <w:sz w:val="21"/>
          <w:szCs w:val="21"/>
          <w:highlight w:val="none"/>
          <w:u w:val="single"/>
          <w:lang w:val="en-US" w:eastAsia="zh-CN"/>
        </w:rPr>
        <w:t xml:space="preserve"> 1 </w:t>
      </w:r>
      <w:r>
        <w:rPr>
          <w:rFonts w:hint="eastAsia" w:ascii="宋体" w:hAnsi="宋体" w:eastAsia="宋体" w:cs="宋体"/>
          <w:b/>
          <w:color w:val="auto"/>
          <w:sz w:val="21"/>
          <w:szCs w:val="21"/>
          <w:highlight w:val="none"/>
          <w:u w:val="single"/>
        </w:rPr>
        <w:t xml:space="preserve">月</w:t>
      </w:r>
      <w:r>
        <w:rPr>
          <w:rFonts w:hint="eastAsia" w:ascii="宋体" w:hAnsi="宋体" w:cs="宋体"/>
          <w:b/>
          <w:color w:val="auto"/>
          <w:sz w:val="21"/>
          <w:szCs w:val="21"/>
          <w:highlight w:val="none"/>
          <w:u w:val="single"/>
          <w:lang w:val="en-US" w:eastAsia="zh-CN"/>
        </w:rPr>
        <w:t xml:space="preserve"> 26 </w:t>
      </w:r>
      <w:r>
        <w:rPr>
          <w:rFonts w:hint="eastAsia" w:ascii="宋体" w:hAnsi="宋体" w:eastAsia="宋体" w:cs="宋体"/>
          <w:b/>
          <w:color w:val="auto"/>
          <w:sz w:val="21"/>
          <w:szCs w:val="21"/>
          <w:highlight w:val="none"/>
          <w:u w:val="single"/>
        </w:rPr>
        <w:t xml:space="preserve">日</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u w:val="single"/>
          <w:lang w:val="en-US" w:eastAsia="zh-CN"/>
        </w:rPr>
        <w:t xml:space="preserve">9</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点</w:t>
      </w:r>
      <w:r>
        <w:rPr>
          <w:rFonts w:hint="eastAsia" w:ascii="宋体" w:hAnsi="宋体" w:cs="宋体"/>
          <w:b/>
          <w:color w:val="000000" w:themeColor="text1"/>
          <w:sz w:val="21"/>
          <w:szCs w:val="21"/>
          <w:highlight w:val="none"/>
          <w:u w:val="single"/>
          <w:lang w:val="en-US" w:eastAsia="zh-CN"/>
          <w14:textFill>
            <w14:solidFill>
              <w14:schemeClr w14:val="tx1"/>
            </w14:solidFill>
          </w14:textFill>
        </w:rPr>
        <w:t xml:space="preserve"> 00 </w:t>
      </w:r>
      <w:r>
        <w:rPr>
          <w:rFonts w:hint="eastAsia" w:ascii="宋体" w:hAnsi="宋体" w:eastAsia="宋体" w:cs="宋体"/>
          <w:color w:val="000000" w:themeColor="text1"/>
          <w:sz w:val="21"/>
          <w:szCs w:val="21"/>
          <w:highlight w:val="none"/>
          <w:u w:val="single"/>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北京时间）前递交投标文件。</w:t>
      </w:r>
      <w:r/>
    </w:p>
    <w:p>
      <w:pPr>
        <w:pStyle w:val="733"/>
        <w:ind w:left="0" w:right="0" w:firstLine="48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一、项目基本情况</w:t>
      </w:r>
      <w:r/>
    </w:p>
    <w:p>
      <w:pPr>
        <w:ind w:firstLine="480"/>
        <w:spacing w:after="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1、项目编号：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JSZC-320902-JZCG-G2025-</w:t>
      </w:r>
      <w:r>
        <w:rPr>
          <w:rFonts w:hint="eastAsia" w:ascii="宋体" w:hAnsi="宋体" w:cs="宋体"/>
          <w:color w:val="000000" w:themeColor="text1"/>
          <w:sz w:val="21"/>
          <w:szCs w:val="21"/>
          <w:highlight w:val="none"/>
          <w:lang w:eastAsia="zh-CN"/>
          <w14:textFill>
            <w14:solidFill>
              <w14:schemeClr w14:val="tx1"/>
            </w14:solidFill>
          </w14:textFill>
        </w:rPr>
        <w:t xml:space="preserve">0068</w:t>
      </w:r>
      <w:r/>
    </w:p>
    <w:p>
      <w:pPr>
        <w:ind w:firstLine="480"/>
        <w:spacing w:after="0" w:line="360" w:lineRule="auto"/>
        <w:rPr>
          <w:rFonts w:hint="default"/>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 xml:space="preserve">2、项目名称：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南洋镇正东、才堂、兴隆新型社区物业管理服务采购项目</w:t>
      </w:r>
      <w:r/>
    </w:p>
    <w:p>
      <w:pPr>
        <w:ind w:firstLine="480"/>
        <w:spacing w:after="0" w:line="360" w:lineRule="auto"/>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采购方式：公开招标</w:t>
      </w:r>
      <w:r/>
    </w:p>
    <w:p>
      <w:pPr>
        <w:ind w:firstLine="480"/>
        <w:spacing w:after="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预算金额：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115</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p>
    <w:p>
      <w:pPr>
        <w:ind w:firstLine="48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、最高限价：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115</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投标报价高于最高限价的，采购人将不予接受，视为无效标书。</w:t>
      </w:r>
      <w:r/>
    </w:p>
    <w:p>
      <w:pPr>
        <w:ind w:firstLine="480"/>
        <w:spacing w:after="0"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、采购需求：</w:t>
      </w:r>
      <w:r>
        <w:rPr>
          <w:rFonts w:hint="eastAsia" w:ascii="宋体" w:hAnsi="宋体" w:cs="宋体"/>
          <w:color w:val="000000" w:themeColor="text1"/>
          <w:sz w:val="21"/>
          <w:szCs w:val="21"/>
          <w:highlight w:val="none"/>
          <w:lang w:eastAsia="zh-CN"/>
          <w14:textFill>
            <w14:solidFill>
              <w14:schemeClr w14:val="tx1"/>
            </w14:solidFill>
          </w14:textFill>
        </w:rPr>
        <w:t xml:space="preserve">南洋镇正东、才堂、兴隆新型社区物业管理</w:t>
      </w:r>
      <w:r>
        <w:rPr>
          <w:rFonts w:hint="eastAsia" w:ascii="宋体" w:hAnsi="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cs="宋体"/>
          <w:color w:val="000000" w:themeColor="text1"/>
          <w:sz w:val="21"/>
          <w:szCs w:val="21"/>
          <w:highlight w:val="none"/>
          <w:lang w:eastAsia="zh-CN"/>
          <w14:textFill>
            <w14:solidFill>
              <w14:schemeClr w14:val="tx1"/>
            </w14:solidFill>
          </w14:textFill>
        </w:rPr>
        <w:t xml:space="preserve">采购项目</w:t>
      </w:r>
      <w:r>
        <w:rPr>
          <w:rFonts w:hint="eastAsia" w:ascii="宋体" w:hAnsi="宋体" w:eastAsia="宋体" w:cs="宋体"/>
          <w:color w:val="000000" w:themeColor="text1"/>
          <w:sz w:val="21"/>
          <w:szCs w:val="21"/>
          <w:highlight w:val="none"/>
          <w14:textFill>
            <w14:solidFill>
              <w14:schemeClr w14:val="tx1"/>
            </w14:solidFill>
          </w14:textFill>
        </w:rPr>
        <w:t xml:space="preserve">，盐城市亭湖区南洋镇正东、兴隆、才堂三个新型社区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物业管理服务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正东1-4期，建筑面积为60873m²,共470户；兴隆建筑面积约32423 m²,272户，才堂建筑面积约21495 m²平方米，150户，才堂和兴隆两新型社区离得较近，建筑面积53918m²,共422户，可作为一个管理对象进行物业管理。三个新型社区建筑面积共114791m²</w:t>
      </w:r>
      <w:r>
        <w:rPr>
          <w:rFonts w:hint="eastAsia" w:ascii="宋体" w:hAnsi="宋体" w:cs="宋体"/>
          <w:color w:val="000000" w:themeColor="text1"/>
          <w:sz w:val="21"/>
          <w:szCs w:val="21"/>
          <w:highlight w:val="none"/>
          <w:lang w:val="en-US" w:eastAsia="zh-CN"/>
          <w14:textFill>
            <w14:solidFill>
              <w14:schemeClr w14:val="tx1"/>
            </w14:solidFill>
          </w14:textFill>
        </w:rPr>
        <w:t xml:space="preserve">进行日常物业管理服务（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详见采购文件第四章</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ind w:firstLine="420"/>
        <w:spacing w:after="0" w:line="360" w:lineRule="auto"/>
        <w:rPr>
          <w:rFonts w:hint="eastAsia" w:ascii="宋体" w:hAnsi="宋体" w:eastAsia="宋体" w:cs="宋体"/>
          <w:sz w:val="21"/>
          <w:szCs w:val="21"/>
          <w:highlight w:val="none"/>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合同履行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期限: 物业管理服务合同期限一年，开始时间以签订合同日期为准。</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、本项目不接受联合体投标。</w:t>
      </w:r>
      <w:r/>
    </w:p>
    <w:p>
      <w:pPr>
        <w:ind w:left="479" w:right="0" w:firstLine="0"/>
        <w:jc w:val="both"/>
        <w:pageBreakBefore w:val="0"/>
        <w:spacing w:before="0" w:after="0" w:line="360" w:lineRule="auto"/>
        <w:rPr>
          <w:rFonts w:hint="eastAsia" w:ascii="宋体" w:hAnsi="宋体" w:eastAsia="宋体" w:cs="宋体"/>
          <w:b/>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highlight w:val="none"/>
          <w14:textFill>
            <w14:solidFill>
              <w14:schemeClr w14:val="tx1"/>
            </w14:solidFill>
          </w14:textFill>
        </w:rPr>
        <w:t xml:space="preserve">二、申请人的资格要求：</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1.满足《中华人民共和国政府采购法》第二十二条规定，并提供下列材料：</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 法人或者其他组织的营业执照等证明文件，自然人的身份证明；</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1.2上一年度的财务状况</w:t>
      </w:r>
      <w:r>
        <w:rPr>
          <w:rFonts w:hint="eastAsia" w:ascii="宋体" w:hAnsi="宋体" w:cs="宋体"/>
          <w:color w:val="000000" w:themeColor="text1"/>
          <w:sz w:val="21"/>
          <w:szCs w:val="21"/>
          <w:highlight w:val="none"/>
          <w:lang w:val="en-US" w:eastAsia="zh-CN"/>
          <w14:textFill>
            <w14:solidFill>
              <w14:schemeClr w14:val="tx1"/>
            </w14:solidFill>
          </w14:textFill>
        </w:rPr>
        <w:t xml:space="preserve">报告</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至少提供资产负债表、利润表、现金流量表，投标人</w:t>
      </w:r>
      <w:r>
        <w:rPr>
          <w:rFonts w:hint="eastAsia" w:ascii="宋体" w:hAnsi="宋体" w:eastAsia="宋体" w:cs="宋体"/>
          <w:color w:val="000000" w:themeColor="text1"/>
          <w:sz w:val="21"/>
          <w:szCs w:val="21"/>
          <w:highlight w:val="none"/>
          <w14:textFill>
            <w14:solidFill>
              <w14:schemeClr w14:val="tx1"/>
            </w14:solidFill>
          </w14:textFill>
        </w:rPr>
        <w:t xml:space="preserve">成立不满一年无需提供）；</w:t>
      </w:r>
      <w:r/>
    </w:p>
    <w:p>
      <w:pPr>
        <w:ind w:right="0" w:firstLine="420"/>
        <w:jc w:val="both"/>
        <w:pageBreakBefore w:val="0"/>
        <w:spacing w:before="0" w:after="0"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具备履行合同所必需的设备和专业技术能力的书面声明；</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1.5参加政府采购活动前3年内在经营活动中没有重大违法记录的书面声明。</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1.6法律、行政法规规定的其他条件。</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1.8单位负责人为同一人或者存在直接控股、管理关系的不同供应商，不得参加同一合同项下的政府采购活动。</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落实政府采购政策需满足的资格要求：</w:t>
      </w:r>
      <w:r>
        <w:rPr>
          <w:rFonts w:hint="eastAsia" w:ascii="宋体" w:hAnsi="宋体" w:eastAsia="宋体" w:cs="宋体"/>
          <w:b/>
          <w:bCs/>
          <w:color w:val="000000" w:themeColor="text1"/>
          <w:sz w:val="21"/>
          <w:szCs w:val="21"/>
          <w:highlight w:val="none"/>
          <w14:textFill>
            <w14:solidFill>
              <w14:schemeClr w14:val="tx1"/>
            </w14:solidFill>
          </w14:textFill>
        </w:rPr>
        <w:t xml:space="preserve">本项目专门面向中小微企业采购，不接受非中小型企业参与本项目投标。采购标的的所属行业为物业管理，投标人需按照招标文件的要求提供相应的《企业声明函》。企业标准请参照《关于印发中小企业划型标准规定的通知》（工信部联企业〔2011〕300号）文件规定自行填写。</w:t>
      </w:r>
      <w:r/>
    </w:p>
    <w:p>
      <w:pPr>
        <w:numPr>
          <w:ilvl w:val="0"/>
          <w:numId w:val="0"/>
        </w:numPr>
        <w:ind w:right="0" w:firstLine="420"/>
        <w:pageBreakBefore w:val="0"/>
        <w:spacing w:before="0" w:after="0" w:line="360"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.本项目的特定资格要求：</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无</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p>
    <w:p>
      <w:pPr>
        <w:numPr>
          <w:ilvl w:val="0"/>
          <w:numId w:val="0"/>
        </w:numPr>
        <w:ind w:left="482" w:right="0"/>
        <w:pageBreakBefore w:val="0"/>
        <w:spacing w:before="0" w:after="0" w:line="360" w:lineRule="auto"/>
        <w:shd w:val="clear" w:color="ffffff" w:fill="ffffff"/>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三、获取</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文件</w:t>
      </w:r>
      <w:r/>
    </w:p>
    <w:p>
      <w:pPr>
        <w:numPr>
          <w:ilvl w:val="0"/>
          <w:numId w:val="0"/>
        </w:numPr>
        <w:ind w:left="482" w:right="0"/>
        <w:pageBreakBefore w:val="0"/>
        <w:spacing w:before="0" w:after="0" w:line="360"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1.时间：自招标文件公告发布之日起5个工作日。</w:t>
      </w:r>
      <w:r/>
    </w:p>
    <w:p>
      <w:pPr>
        <w:numPr>
          <w:ilvl w:val="0"/>
          <w:numId w:val="0"/>
        </w:numPr>
        <w:ind w:left="482" w:right="0"/>
        <w:pageBreakBefore w:val="0"/>
        <w:spacing w:before="0" w:after="0" w:line="360"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2.地点：“苏采云”系统内免费下载（投标人必须在苏采云系统中获取招标文件，方能参与政府采购项目）。</w:t>
      </w:r>
      <w:r/>
    </w:p>
    <w:p>
      <w:pPr>
        <w:numPr>
          <w:ilvl w:val="0"/>
          <w:numId w:val="0"/>
        </w:numPr>
        <w:ind w:left="482" w:right="0"/>
        <w:pageBreakBefore w:val="0"/>
        <w:spacing w:before="0" w:after="0" w:line="360"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3.方式：本项目采用网上注册登记方式。 </w:t>
      </w:r>
      <w:r/>
    </w:p>
    <w:p>
      <w:pPr>
        <w:numPr>
          <w:ilvl w:val="0"/>
          <w:numId w:val="0"/>
        </w:numPr>
        <w:ind w:left="482" w:right="0"/>
        <w:pageBreakBefore w:val="0"/>
        <w:spacing w:before="0" w:after="0" w:line="360"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4.售价：0元。</w:t>
      </w:r>
      <w:r/>
    </w:p>
    <w:p>
      <w:pPr>
        <w:ind w:left="0" w:right="0" w:firstLine="482"/>
        <w:pageBreakBefore w:val="0"/>
        <w:spacing w:before="0" w:after="0" w:line="360" w:lineRule="auto"/>
        <w:shd w:val="clear" w:color="ffffff" w:fill="ffff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四、提交投标文件截止时间、开标时间和地点</w:t>
      </w:r>
      <w:r/>
    </w:p>
    <w:p>
      <w:pPr>
        <w:ind w:left="0" w:right="0" w:firstLine="482"/>
        <w:jc w:val="both"/>
        <w:pageBreakBefore w:val="0"/>
        <w:spacing w:before="0" w:after="0" w:line="360" w:lineRule="auto"/>
        <w:rPr>
          <w:rFonts w:hint="eastAsia" w:ascii="宋体" w:hAnsi="宋体" w:eastAsia="宋体" w:cs="宋体"/>
          <w:b w:val="0"/>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1、时间：</w:t>
      </w:r>
      <w:r>
        <w:rPr>
          <w:rFonts w:hint="eastAsia" w:ascii="宋体" w:hAnsi="宋体" w:eastAsia="宋体" w:cs="宋体"/>
          <w:b/>
          <w:bCs w:val="0"/>
          <w:color w:val="auto"/>
          <w:sz w:val="21"/>
          <w:szCs w:val="21"/>
          <w:highlight w:val="none"/>
          <w:u w:val="single"/>
        </w:rPr>
        <w:t xml:space="preserve">202</w:t>
      </w:r>
      <w:r>
        <w:rPr>
          <w:rFonts w:hint="eastAsia" w:ascii="宋体" w:hAnsi="宋体" w:cs="宋体"/>
          <w:b/>
          <w:bCs w:val="0"/>
          <w:color w:val="auto"/>
          <w:sz w:val="21"/>
          <w:szCs w:val="21"/>
          <w:highlight w:val="none"/>
          <w:u w:val="single"/>
          <w:lang w:val="en-US" w:eastAsia="zh-CN"/>
        </w:rPr>
        <w:t xml:space="preserve">6</w:t>
      </w:r>
      <w:r>
        <w:rPr>
          <w:rFonts w:hint="eastAsia" w:ascii="宋体" w:hAnsi="宋体" w:eastAsia="宋体" w:cs="宋体"/>
          <w:b/>
          <w:bCs w:val="0"/>
          <w:color w:val="auto"/>
          <w:sz w:val="21"/>
          <w:szCs w:val="21"/>
          <w:highlight w:val="none"/>
          <w:u w:val="single"/>
        </w:rPr>
        <w:t xml:space="preserve">年</w:t>
      </w:r>
      <w:r>
        <w:rPr>
          <w:rFonts w:hint="eastAsia" w:ascii="宋体" w:hAnsi="宋体" w:cs="宋体"/>
          <w:b/>
          <w:bCs w:val="0"/>
          <w:color w:val="auto"/>
          <w:sz w:val="21"/>
          <w:szCs w:val="21"/>
          <w:highlight w:val="none"/>
          <w:u w:val="single"/>
          <w:lang w:val="en-US" w:eastAsia="zh-CN"/>
        </w:rPr>
        <w:t xml:space="preserve">1</w:t>
      </w:r>
      <w:r>
        <w:rPr>
          <w:rFonts w:hint="eastAsia" w:ascii="宋体" w:hAnsi="宋体" w:eastAsia="宋体" w:cs="宋体"/>
          <w:b/>
          <w:bCs w:val="0"/>
          <w:color w:val="auto"/>
          <w:sz w:val="21"/>
          <w:szCs w:val="21"/>
          <w:highlight w:val="none"/>
          <w:u w:val="single"/>
        </w:rPr>
        <w:t xml:space="preserve">月</w:t>
      </w:r>
      <w:r>
        <w:rPr>
          <w:rFonts w:hint="eastAsia" w:ascii="宋体" w:hAnsi="宋体" w:cs="宋体"/>
          <w:b/>
          <w:bCs w:val="0"/>
          <w:color w:val="auto"/>
          <w:sz w:val="21"/>
          <w:szCs w:val="21"/>
          <w:highlight w:val="none"/>
          <w:u w:val="single"/>
          <w:lang w:val="en-US" w:eastAsia="zh-CN"/>
        </w:rPr>
        <w:t xml:space="preserve">26</w:t>
      </w:r>
      <w:r>
        <w:rPr>
          <w:rFonts w:hint="eastAsia" w:ascii="宋体" w:hAnsi="宋体" w:eastAsia="宋体" w:cs="宋体"/>
          <w:b/>
          <w:bCs w:val="0"/>
          <w:color w:val="auto"/>
          <w:sz w:val="21"/>
          <w:szCs w:val="21"/>
          <w:highlight w:val="none"/>
          <w:u w:val="single"/>
        </w:rPr>
        <w:t xml:space="preserve">日</w:t>
      </w:r>
      <w:r>
        <w:rPr>
          <w:rFonts w:hint="eastAsia" w:ascii="宋体" w:hAnsi="宋体" w:eastAsia="宋体" w:cs="宋体"/>
          <w:b/>
          <w:bCs w:val="0"/>
          <w:color w:val="auto"/>
          <w:sz w:val="21"/>
          <w:szCs w:val="21"/>
          <w:highlight w:val="none"/>
          <w:u w:val="single"/>
          <w:lang w:val="en-US" w:eastAsia="zh-CN"/>
        </w:rPr>
        <w:t xml:space="preserve"> </w:t>
      </w:r>
      <w:r>
        <w:rPr>
          <w:rFonts w:hint="eastAsia" w:ascii="宋体" w:hAnsi="宋体" w:cs="宋体"/>
          <w:b/>
          <w:bCs w:val="0"/>
          <w:color w:val="auto"/>
          <w:sz w:val="21"/>
          <w:szCs w:val="21"/>
          <w:highlight w:val="none"/>
          <w:u w:val="single"/>
          <w:lang w:val="en-US" w:eastAsia="zh-CN"/>
        </w:rPr>
        <w:t xml:space="preserve">9 </w:t>
      </w:r>
      <w:r>
        <w:rPr>
          <w:rFonts w:hint="eastAsia" w:ascii="宋体" w:hAnsi="宋体" w:eastAsia="宋体" w:cs="宋体"/>
          <w:b/>
          <w:bCs w:val="0"/>
          <w:color w:val="auto"/>
          <w:sz w:val="21"/>
          <w:szCs w:val="21"/>
          <w:highlight w:val="none"/>
          <w:u w:val="single"/>
        </w:rPr>
        <w:t xml:space="preserve">点</w:t>
      </w:r>
      <w:r>
        <w:rPr>
          <w:rFonts w:hint="eastAsia" w:ascii="宋体" w:hAnsi="宋体" w:eastAsia="宋体" w:cs="宋体"/>
          <w:b/>
          <w:bCs w:val="0"/>
          <w:color w:val="auto"/>
          <w:sz w:val="21"/>
          <w:szCs w:val="21"/>
          <w:highlight w:val="none"/>
          <w:u w:val="single"/>
          <w:lang w:val="en-US" w:eastAsia="zh-CN"/>
        </w:rPr>
        <w:t xml:space="preserve">0</w:t>
      </w:r>
      <w:r>
        <w:rPr>
          <w:rFonts w:hint="eastAsia" w:ascii="宋体" w:hAnsi="宋体" w:eastAsia="宋体" w:cs="宋体"/>
          <w:b/>
          <w:bCs w:val="0"/>
          <w:color w:val="auto"/>
          <w:sz w:val="21"/>
          <w:szCs w:val="21"/>
          <w:highlight w:val="none"/>
          <w:u w:val="single"/>
        </w:rPr>
        <w:t xml:space="preserve">0分</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000000" w:themeColor="text1"/>
          <w:sz w:val="21"/>
          <w:szCs w:val="21"/>
          <w:highlight w:val="none"/>
          <w14:textFill>
            <w14:solidFill>
              <w14:schemeClr w14:val="tx1"/>
            </w14:solidFill>
          </w14:textFill>
        </w:rPr>
        <w:t xml:space="preserve">北京时间）</w:t>
      </w:r>
      <w:r/>
    </w:p>
    <w:p>
      <w:pPr>
        <w:ind w:left="0" w:right="0" w:firstLine="480"/>
        <w:jc w:val="both"/>
        <w:pageBreakBefore w:val="0"/>
        <w:spacing w:before="0" w:after="0" w:line="360" w:lineRule="auto"/>
        <w:rPr>
          <w:rFonts w:hint="eastAsia" w:ascii="宋体" w:hAnsi="宋体" w:eastAsia="宋体" w:cs="宋体"/>
          <w:b w:val="0"/>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1"/>
          <w:szCs w:val="21"/>
          <w:highlight w:val="none"/>
          <w14:textFill>
            <w14:solidFill>
              <w14:schemeClr w14:val="tx1"/>
            </w14:solidFill>
          </w14:textFill>
        </w:rPr>
        <w:t xml:space="preserve">地点：苏采云“</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不见面</w:t>
      </w:r>
      <w:r>
        <w:rPr>
          <w:rFonts w:hint="eastAsia" w:ascii="宋体" w:hAnsi="宋体" w:eastAsia="宋体" w:cs="宋体"/>
          <w:b w:val="0"/>
          <w:bCs/>
          <w:color w:val="000000" w:themeColor="text1"/>
          <w:sz w:val="21"/>
          <w:szCs w:val="21"/>
          <w:highlight w:val="none"/>
          <w14:textFill>
            <w14:solidFill>
              <w14:schemeClr w14:val="tx1"/>
            </w14:solidFill>
          </w14:textFill>
        </w:rPr>
        <w:t xml:space="preserve">”开标大厅。</w:t>
      </w:r>
      <w:r/>
    </w:p>
    <w:p>
      <w:pPr>
        <w:ind w:left="0" w:right="0" w:firstLine="482"/>
        <w:pageBreakBefore w:val="0"/>
        <w:spacing w:before="0" w:after="0" w:line="360" w:lineRule="auto"/>
        <w:shd w:val="clear" w:color="ffffff" w:fill="ffff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五、公告期限</w:t>
      </w:r>
      <w:r/>
    </w:p>
    <w:p>
      <w:pPr>
        <w:ind w:left="0" w:right="0" w:firstLine="48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自本公告发布之日起5个工作日。</w:t>
      </w:r>
      <w:r/>
    </w:p>
    <w:p>
      <w:pPr>
        <w:ind w:left="0" w:right="0" w:firstLine="48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六、其他补充事宜</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2.潜在供应商访问电子招标响应交易平台的网络地址和方法： </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2.2 潜在投标人访问“苏采云”系统方法：江苏省政府采购网首页-“苏采云”链接。 </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2.3 采购文件（后缀名为“.kedt”）、供应商操作手册及政府采购客户端 工具可通过“苏采云”系统相应链接进行下载。 </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2.4 采购代理机构将数据电文形式的采购文件加载至“苏采云”系统，供潜在供应商下载或者查阅。 </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numPr>
          <w:ilvl w:val="0"/>
          <w:numId w:val="0"/>
        </w:numPr>
        <w:ind w:left="482" w:right="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如潜在投标人未按上述要求操作，将自行承担所产生的风险。</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3.有关本次招标的事项若存在变动或修改，敬请及时关</w:t>
      </w:r>
      <w:r>
        <w:rPr>
          <w:rFonts w:hint="eastAsia" w:ascii="宋体" w:hAnsi="宋体" w:eastAsia="宋体" w:cs="宋体"/>
          <w:b w:val="0"/>
          <w:bCs/>
          <w:color w:val="auto"/>
          <w:sz w:val="21"/>
          <w:szCs w:val="21"/>
          <w:highlight w:val="none"/>
          <w:lang w:val="en-US" w:eastAsia="zh-CN"/>
        </w:rPr>
        <w:t xml:space="preserve">注</w:t>
      </w:r>
      <w:r>
        <w:rPr>
          <w:rFonts w:hint="eastAsia" w:ascii="宋体" w:hAnsi="宋体" w:cs="宋体"/>
          <w:b w:val="0"/>
          <w:bCs/>
          <w:color w:val="auto"/>
          <w:sz w:val="21"/>
          <w:szCs w:val="21"/>
          <w:highlight w:val="none"/>
          <w:lang w:val="en-US" w:eastAsia="zh-CN"/>
        </w:rPr>
        <w:t xml:space="preserve">盐</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城市亭湖区公共资源交易中心</w:t>
      </w:r>
      <w:r>
        <w:rPr>
          <w:rFonts w:hint="eastAsia" w:ascii="宋体" w:hAnsi="宋体" w:eastAsia="宋体" w:cs="宋体"/>
          <w:b w:val="0"/>
          <w:bCs/>
          <w:color w:val="auto"/>
          <w:sz w:val="21"/>
          <w:szCs w:val="21"/>
          <w:highlight w:val="none"/>
          <w:lang w:val="en-US" w:eastAsia="zh-CN"/>
        </w:rPr>
        <w:t xml:space="preserve">在</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“中国政府采购网”、“江苏政府采购网”“盐城市政府采购网”发布的更正公告。</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4.本次招标不收取投标保证金，不收取质量保证金。</w:t>
      </w:r>
      <w:r/>
    </w:p>
    <w:p>
      <w:pPr>
        <w:pStyle w:val="733"/>
        <w:ind w:left="0" w:right="0" w:firstLine="782"/>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七、对本次招标提出询问，请按以下方式联系。</w:t>
      </w:r>
      <w:r/>
    </w:p>
    <w:p>
      <w:pPr>
        <w:ind w:firstLine="735"/>
        <w:spacing w:line="440" w:lineRule="exact"/>
        <w:rPr>
          <w:rFonts w:hint="eastAsia" w:ascii="宋体" w:hAnsi="宋体" w:cs="宋体"/>
          <w:sz w:val="21"/>
          <w:szCs w:val="21"/>
        </w:rPr>
      </w:pPr>
      <w:r>
        <w:rPr>
          <w:rFonts w:hint="eastAsia" w:ascii="宋体" w:hAnsi="宋体" w:cs="宋体"/>
          <w:sz w:val="21"/>
          <w:szCs w:val="21"/>
        </w:rPr>
        <w:t xml:space="preserve">1、采购人信息</w:t>
      </w:r>
      <w:r/>
    </w:p>
    <w:p>
      <w:pPr>
        <w:ind w:firstLine="735"/>
        <w:jc w:val="left"/>
        <w:spacing w:line="440" w:lineRule="exact"/>
        <w:widowControl/>
        <w:rPr>
          <w:rFonts w:hint="eastAsia" w:ascii="宋体" w:hAnsi="宋体" w:cs="宋体"/>
          <w:sz w:val="21"/>
          <w:szCs w:val="21"/>
        </w:rPr>
      </w:pPr>
      <w:r>
        <w:rPr>
          <w:rFonts w:hint="eastAsia" w:ascii="宋体" w:hAnsi="宋体" w:cs="宋体"/>
          <w:sz w:val="21"/>
          <w:szCs w:val="21"/>
        </w:rPr>
        <w:t xml:space="preserve">名 称：</w:t>
      </w:r>
      <w:r>
        <w:rPr>
          <w:rFonts w:hint="eastAsia" w:ascii="宋体" w:hAnsi="宋体" w:cs="宋体"/>
          <w:bCs/>
          <w:sz w:val="21"/>
          <w:szCs w:val="21"/>
        </w:rPr>
        <w:t xml:space="preserve">盐城市亭湖区南洋镇人民政府</w:t>
      </w:r>
      <w:r/>
    </w:p>
    <w:p>
      <w:pPr>
        <w:ind w:firstLine="735"/>
        <w:spacing w:line="440" w:lineRule="exact"/>
        <w:rPr>
          <w:rFonts w:hint="eastAsia" w:ascii="宋体" w:hAnsi="宋体" w:cs="宋体"/>
          <w:spacing w:val="15"/>
          <w:sz w:val="21"/>
          <w:szCs w:val="21"/>
        </w:rPr>
      </w:pPr>
      <w:r>
        <w:rPr>
          <w:rFonts w:hint="eastAsia" w:ascii="宋体" w:hAnsi="宋体" w:cs="宋体"/>
          <w:sz w:val="21"/>
          <w:szCs w:val="21"/>
        </w:rPr>
        <w:t xml:space="preserve">地址：</w:t>
      </w:r>
      <w:r>
        <w:rPr>
          <w:rFonts w:hint="eastAsia" w:ascii="宋体" w:hAnsi="宋体" w:cs="宋体"/>
          <w:bCs/>
          <w:sz w:val="21"/>
          <w:szCs w:val="21"/>
        </w:rPr>
        <w:t xml:space="preserve">江苏省盐城市亭湖区南洋镇</w:t>
      </w:r>
      <w:r/>
    </w:p>
    <w:p>
      <w:pPr>
        <w:ind w:firstLine="779"/>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联系方式：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董建国</w:t>
      </w:r>
      <w:r/>
    </w:p>
    <w:p>
      <w:pPr>
        <w:ind w:firstLine="779"/>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联系电话：13921874398</w:t>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2、采购代理机构信息</w:t>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  称：盐城市亭湖区公共资源交易中心</w:t>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　 址：盐城市亭湖区希望大道中路18号四楼</w:t>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 系人：纪先生</w:t>
      </w:r>
      <w:r>
        <w:rPr>
          <w:rFonts w:hint="eastAsia" w:ascii="宋体" w:hAnsi="宋体" w:eastAsia="宋体" w:cs="宋体"/>
          <w:color w:val="000000" w:themeColor="text1"/>
          <w:sz w:val="21"/>
          <w:szCs w:val="21"/>
          <w:highlight w:val="none"/>
          <w:lang w:eastAsia="zh-CN"/>
          <w14:textFill>
            <w14:solidFill>
              <w14:schemeClr w14:val="tx1"/>
            </w14:solidFill>
          </w14:textFill>
        </w:rPr>
        <w:tab/>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联系方式：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0515-89802019</w:t>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3、项目联系方式</w:t>
      </w:r>
      <w:r/>
    </w:p>
    <w:p>
      <w:pPr>
        <w:ind w:firstLine="779"/>
        <w:pageBreakBefore w:val="0"/>
        <w:spacing w:before="0" w:after="0" w:line="360" w:lineRule="auto"/>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bookmarkStart w:id="4" w:name="_Toc157"/>
      <w:r>
        <w:rPr>
          <w:rFonts w:hint="eastAsia" w:ascii="宋体" w:hAnsi="宋体" w:eastAsia="宋体" w:cs="宋体"/>
          <w:color w:val="000000" w:themeColor="text1"/>
          <w:sz w:val="21"/>
          <w:szCs w:val="21"/>
          <w:highlight w:val="none"/>
          <w14:textFill>
            <w14:solidFill>
              <w14:schemeClr w14:val="tx1"/>
            </w14:solidFill>
          </w14:textFill>
        </w:rPr>
        <w:t xml:space="preserve">联系方式：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纪先生</w:t>
      </w: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联系电话：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0515-89802019</w:t>
      </w: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pStyle w:val="732"/>
        <w:ind w:firstLine="0"/>
        <w:jc w:val="center"/>
        <w:rPr>
          <w:rFonts w:hint="eastAsia"/>
          <w:color w:val="000000" w:themeColor="text1"/>
          <w14:textFill>
            <w14:solidFill>
              <w14:schemeClr w14:val="tx1"/>
            </w14:solidFill>
          </w14:textFill>
        </w:rPr>
      </w:pPr>
      <w:r/>
      <w:bookmarkStart w:id="5" w:name="_Toc120614214"/>
      <w:r/>
      <w:bookmarkStart w:id="6" w:name="_Toc513029203"/>
      <w:r/>
      <w:bookmarkStart w:id="7" w:name="_Toc16938519"/>
      <w:r/>
      <w:bookmarkStart w:id="8" w:name="_Toc20823275"/>
      <w:r>
        <w:rPr>
          <w:rFonts w:hint="eastAsia"/>
          <w:color w:val="000000" w:themeColor="text1"/>
          <w14:textFill>
            <w14:solidFill>
              <w14:schemeClr w14:val="tx1"/>
            </w14:solidFill>
          </w14:textFill>
        </w:rPr>
        <w:t xml:space="preserve">第二章  投标人须知</w:t>
      </w:r>
      <w:r/>
    </w:p>
    <w:p>
      <w:pPr>
        <w:ind w:firstLine="420"/>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一、总则</w:t>
      </w:r>
      <w:bookmarkEnd w:id="5"/>
      <w:r/>
      <w:bookmarkEnd w:id="6"/>
      <w:r/>
      <w:bookmarkEnd w:id="7"/>
      <w:r/>
      <w:bookmarkEnd w:id="8"/>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9" w:name="_Hlt16619475"/>
      <w:r/>
      <w:bookmarkEnd w:id="9"/>
      <w:r/>
      <w:bookmarkStart w:id="10" w:name="_Toc513029204"/>
      <w:r/>
      <w:bookmarkStart w:id="11" w:name="_Toc16938520"/>
      <w:r/>
      <w:bookmarkStart w:id="12" w:name="_Toc458694821"/>
      <w:r/>
      <w:bookmarkStart w:id="13" w:name="_Toc20823276"/>
      <w:r>
        <w:rPr>
          <w:rFonts w:hint="eastAsia" w:ascii="宋体" w:hAnsi="宋体" w:eastAsia="宋体" w:cs="宋体"/>
          <w:color w:val="000000" w:themeColor="text1"/>
          <w:sz w:val="21"/>
          <w:szCs w:val="21"/>
          <w:highlight w:val="none"/>
          <w14:textFill>
            <w14:solidFill>
              <w14:schemeClr w14:val="tx1"/>
            </w14:solidFill>
          </w14:textFill>
        </w:rPr>
        <w:t xml:space="preserve">1</w:t>
      </w:r>
      <w:bookmarkEnd w:id="10"/>
      <w:r/>
      <w:bookmarkEnd w:id="11"/>
      <w:r/>
      <w:bookmarkEnd w:id="12"/>
      <w:r/>
      <w:bookmarkEnd w:id="13"/>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方式</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 本次招标采取公开招标方式，本招标文件仅适用于招标公告中所述项目。</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14" w:name="_Toc16938521"/>
      <w:r/>
      <w:bookmarkStart w:id="15" w:name="_Toc20823277"/>
      <w:r/>
      <w:bookmarkStart w:id="16" w:name="_Toc513029205"/>
      <w:r>
        <w:rPr>
          <w:rFonts w:hint="eastAsia" w:ascii="宋体" w:hAnsi="宋体" w:eastAsia="宋体" w:cs="宋体"/>
          <w:color w:val="000000" w:themeColor="text1"/>
          <w:sz w:val="21"/>
          <w:szCs w:val="21"/>
          <w:highlight w:val="none"/>
          <w14:textFill>
            <w14:solidFill>
              <w14:schemeClr w14:val="tx1"/>
            </w14:solidFill>
          </w14:textFill>
        </w:rPr>
        <w:t xml:space="preserve">2.合格的</w:t>
      </w:r>
      <w:bookmarkEnd w:id="14"/>
      <w:r/>
      <w:bookmarkEnd w:id="15"/>
      <w:r/>
      <w:bookmarkEnd w:id="16"/>
      <w:r>
        <w:rPr>
          <w:rFonts w:hint="eastAsia" w:ascii="宋体" w:hAnsi="宋体" w:eastAsia="宋体" w:cs="宋体"/>
          <w:color w:val="000000" w:themeColor="text1"/>
          <w:sz w:val="21"/>
          <w:szCs w:val="21"/>
          <w:highlight w:val="none"/>
          <w14:textFill>
            <w14:solidFill>
              <w14:schemeClr w14:val="tx1"/>
            </w14:solidFill>
          </w14:textFill>
        </w:rPr>
        <w:t xml:space="preserve">投标人</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2.1满足招标公告中投标人的资格要求的规定。</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 满足本文件实质性条款的规定。</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17" w:name="_Toc16938522"/>
      <w:r/>
      <w:bookmarkStart w:id="18" w:name="_Toc20823278"/>
      <w:r/>
      <w:bookmarkStart w:id="19" w:name="_Toc513029206"/>
      <w:r>
        <w:rPr>
          <w:rFonts w:hint="eastAsia" w:ascii="宋体" w:hAnsi="宋体" w:eastAsia="宋体" w:cs="宋体"/>
          <w:color w:val="000000" w:themeColor="text1"/>
          <w:sz w:val="21"/>
          <w:szCs w:val="21"/>
          <w:highlight w:val="none"/>
          <w14:textFill>
            <w14:solidFill>
              <w14:schemeClr w14:val="tx1"/>
            </w14:solidFill>
          </w14:textFill>
        </w:rPr>
        <w:t xml:space="preserve">3.适用法律</w:t>
      </w:r>
      <w:bookmarkEnd w:id="17"/>
      <w:r/>
      <w:bookmarkEnd w:id="18"/>
      <w:r/>
      <w:bookmarkEnd w:id="19"/>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 本次招标及由此产生的合同受中华人民共和国有关的法律法规制约和保护。</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20" w:name="_Toc513029207"/>
      <w:r/>
      <w:bookmarkStart w:id="21" w:name="_Toc16938523"/>
      <w:r/>
      <w:bookmarkStart w:id="22" w:name="_Toc462564067"/>
      <w:r/>
      <w:bookmarkStart w:id="23" w:name="_Toc20823279"/>
      <w:r>
        <w:rPr>
          <w:rFonts w:hint="eastAsia" w:ascii="宋体" w:hAnsi="宋体" w:eastAsia="宋体" w:cs="宋体"/>
          <w:color w:val="000000" w:themeColor="text1"/>
          <w:sz w:val="21"/>
          <w:szCs w:val="21"/>
          <w:highlight w:val="none"/>
          <w14:textFill>
            <w14:solidFill>
              <w14:schemeClr w14:val="tx1"/>
            </w14:solidFill>
          </w14:textFill>
        </w:rPr>
        <w:t xml:space="preserve">4.投标费用</w:t>
      </w:r>
      <w:bookmarkEnd w:id="20"/>
      <w:r/>
      <w:bookmarkEnd w:id="21"/>
      <w:r/>
      <w:bookmarkEnd w:id="22"/>
      <w:r/>
      <w:bookmarkEnd w:id="23"/>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 投标人应自行承担所有与参加投标有关的费用，无论投标过程中的做法和结果如何，</w:t>
      </w:r>
      <w:r>
        <w:rPr>
          <w:rFonts w:hint="eastAsia" w:ascii="宋体" w:hAnsi="宋体" w:cs="宋体"/>
          <w:color w:val="000000" w:themeColor="text1"/>
          <w:sz w:val="21"/>
          <w:szCs w:val="21"/>
          <w:highlight w:val="none"/>
          <w:lang w:val="en-US" w:eastAsia="zh-CN"/>
          <w14:textFill>
            <w14:solidFill>
              <w14:schemeClr w14:val="tx1"/>
            </w14:solidFill>
          </w14:textFill>
        </w:rPr>
        <w:t xml:space="preserve">盐</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城市亭湖区公共资源交易中心</w:t>
      </w:r>
      <w:r>
        <w:rPr>
          <w:rFonts w:hint="eastAsia" w:ascii="宋体" w:hAnsi="宋体" w:eastAsia="宋体" w:cs="宋体"/>
          <w:color w:val="000000" w:themeColor="text1"/>
          <w:sz w:val="21"/>
          <w:szCs w:val="21"/>
          <w:highlight w:val="none"/>
          <w14:textFill>
            <w14:solidFill>
              <w14:schemeClr w14:val="tx1"/>
            </w14:solidFill>
          </w14:textFill>
        </w:rPr>
        <w:t xml:space="preserve">（以下简称采购中心）在任何情况下均无义务和责任承担这些费用。</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4.2本次招标</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采购中心</w:t>
      </w:r>
      <w:r>
        <w:rPr>
          <w:rFonts w:hint="eastAsia" w:ascii="宋体" w:hAnsi="宋体" w:eastAsia="宋体" w:cs="宋体"/>
          <w:color w:val="000000" w:themeColor="text1"/>
          <w:sz w:val="21"/>
          <w:szCs w:val="21"/>
          <w:highlight w:val="none"/>
          <w14:textFill>
            <w14:solidFill>
              <w14:schemeClr w14:val="tx1"/>
            </w14:solidFill>
          </w14:textFill>
        </w:rPr>
        <w:t xml:space="preserve">和采购人不收取标书工本费</w:t>
      </w:r>
      <w:r>
        <w:rPr>
          <w:rFonts w:hint="eastAsia" w:ascii="宋体" w:hAnsi="宋体" w:cs="宋体"/>
          <w:color w:val="000000" w:themeColor="text1"/>
          <w:sz w:val="21"/>
          <w:szCs w:val="21"/>
          <w:highlight w:val="none"/>
          <w:lang w:val="en-US" w:eastAsia="zh-CN"/>
          <w14:textFill>
            <w14:solidFill>
              <w14:schemeClr w14:val="tx1"/>
            </w14:solidFill>
          </w14:textFill>
        </w:rPr>
        <w:t xml:space="preserve">与中标服务费</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招标文件的约束力</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5.1 投标人一旦参加本项目采购活动，即被认为接受了本招标文件的规定和约束</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20"/>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24" w:name="_Toc16938525"/>
      <w:r/>
      <w:bookmarkStart w:id="25" w:name="_Toc20823281"/>
      <w:r/>
      <w:bookmarkStart w:id="26" w:name="_Toc120614215"/>
      <w:r/>
      <w:bookmarkStart w:id="27" w:name="_Toc513029209"/>
      <w:r>
        <w:rPr>
          <w:rFonts w:hint="eastAsia" w:ascii="宋体" w:hAnsi="宋体" w:eastAsia="宋体" w:cs="宋体"/>
          <w:b/>
          <w:bCs/>
          <w:color w:val="000000" w:themeColor="text1"/>
          <w:sz w:val="21"/>
          <w:szCs w:val="21"/>
          <w:highlight w:val="none"/>
          <w14:textFill>
            <w14:solidFill>
              <w14:schemeClr w14:val="tx1"/>
            </w14:solidFill>
          </w14:textFill>
        </w:rPr>
        <w:t xml:space="preserve">二、招标文件</w:t>
      </w:r>
      <w:bookmarkEnd w:id="24"/>
      <w:r/>
      <w:bookmarkEnd w:id="25"/>
      <w:r/>
      <w:bookmarkEnd w:id="26"/>
      <w:r/>
      <w:bookmarkEnd w:id="27"/>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28" w:name="_Toc513029210"/>
      <w:r/>
      <w:bookmarkStart w:id="29" w:name="_Toc20823282"/>
      <w:r/>
      <w:bookmarkStart w:id="30" w:name="_Toc16938526"/>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招标文件构成</w:t>
      </w:r>
      <w:bookmarkEnd w:id="28"/>
      <w:r/>
      <w:bookmarkEnd w:id="29"/>
      <w:r/>
      <w:bookmarkEnd w:id="30"/>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.1 招标文件有以下部分组成：</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（1）招标公告</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（2）投标人须知</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（3）合同文本</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（4）采购需求</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（5）评标方法与评标标准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（6）投标文件格式</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请仔细检查招标文件是否齐全，如有缺漏请立即与采购代理机构联系解决。</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31" w:name="_Toc462564070"/>
      <w:r/>
      <w:bookmarkStart w:id="32" w:name="_Toc513029211"/>
      <w:r/>
      <w:bookmarkStart w:id="33" w:name="_Toc20823283"/>
      <w:r/>
      <w:bookmarkStart w:id="34" w:name="_Toc16938527"/>
      <w:r/>
      <w:r/>
    </w:p>
    <w:p>
      <w:pPr>
        <w:ind w:firstLine="420"/>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招标文件的</w:t>
      </w:r>
      <w:bookmarkEnd w:id="31"/>
      <w:r/>
      <w:bookmarkEnd w:id="32"/>
      <w:r/>
      <w:bookmarkEnd w:id="33"/>
      <w:r/>
      <w:bookmarkEnd w:id="34"/>
      <w:r>
        <w:rPr>
          <w:rFonts w:hint="eastAsia" w:ascii="宋体" w:hAnsi="宋体" w:cs="宋体"/>
          <w:color w:val="000000" w:themeColor="text1"/>
          <w:sz w:val="21"/>
          <w:szCs w:val="21"/>
          <w:highlight w:val="none"/>
          <w:lang w:val="en-US" w:eastAsia="zh-CN"/>
          <w14:textFill>
            <w14:solidFill>
              <w14:schemeClr w14:val="tx1"/>
            </w14:solidFill>
          </w14:textFill>
        </w:rPr>
        <w:t xml:space="preserve">澄清</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.1 任何要求对招标文件进行</w:t>
      </w:r>
      <w:r>
        <w:rPr>
          <w:rFonts w:hint="eastAsia" w:ascii="宋体" w:hAnsi="宋体" w:cs="宋体"/>
          <w:color w:val="000000" w:themeColor="text1"/>
          <w:sz w:val="21"/>
          <w:szCs w:val="21"/>
          <w:highlight w:val="none"/>
          <w:lang w:val="en-US" w:eastAsia="zh-CN"/>
          <w14:textFill>
            <w14:solidFill>
              <w14:schemeClr w14:val="tx1"/>
            </w14:solidFill>
          </w14:textFill>
        </w:rPr>
        <w:t xml:space="preserve">澄清</w:t>
      </w:r>
      <w:r>
        <w:rPr>
          <w:rFonts w:hint="eastAsia" w:ascii="宋体" w:hAnsi="宋体" w:eastAsia="宋体" w:cs="宋体"/>
          <w:color w:val="000000" w:themeColor="text1"/>
          <w:sz w:val="21"/>
          <w:szCs w:val="21"/>
          <w:highlight w:val="none"/>
          <w14:textFill>
            <w14:solidFill>
              <w14:schemeClr w14:val="tx1"/>
            </w14:solidFill>
          </w14:textFill>
        </w:rPr>
        <w:t xml:space="preserve">的投标人，应在投标截止日期十日前按招标公告中的通讯地址，以书面形式</w:t>
      </w:r>
      <w:r>
        <w:rPr>
          <w:rFonts w:hint="eastAsia" w:ascii="宋体" w:hAnsi="宋体" w:cs="宋体"/>
          <w:color w:val="000000" w:themeColor="text1"/>
          <w:sz w:val="21"/>
          <w:szCs w:val="21"/>
          <w:highlight w:val="none"/>
          <w:lang w:val="en-US" w:eastAsia="zh-CN"/>
          <w14:textFill>
            <w14:solidFill>
              <w14:schemeClr w14:val="tx1"/>
            </w14:solidFill>
          </w14:textFill>
        </w:rPr>
        <w:t xml:space="preserve">通知采购中心</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招标文件的修改</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.1 在投标截止时间前，</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采购中心</w:t>
      </w:r>
      <w:r>
        <w:rPr>
          <w:rFonts w:hint="eastAsia" w:ascii="宋体" w:hAnsi="宋体" w:eastAsia="宋体" w:cs="宋体"/>
          <w:color w:val="000000" w:themeColor="text1"/>
          <w:sz w:val="21"/>
          <w:szCs w:val="21"/>
          <w:highlight w:val="none"/>
          <w14:textFill>
            <w14:solidFill>
              <w14:schemeClr w14:val="tx1"/>
            </w14:solidFill>
          </w14:textFill>
        </w:rPr>
        <w:t xml:space="preserve">可以对招标文件进行修改。</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.2采购</w:t>
      </w:r>
      <w:r>
        <w:rPr>
          <w:rFonts w:hint="eastAsia" w:ascii="宋体" w:hAnsi="宋体" w:cs="宋体"/>
          <w:color w:val="000000" w:themeColor="text1"/>
          <w:sz w:val="21"/>
          <w:szCs w:val="21"/>
          <w:highlight w:val="none"/>
          <w:lang w:val="en-US" w:eastAsia="zh-CN"/>
          <w14:textFill>
            <w14:solidFill>
              <w14:schemeClr w14:val="tx1"/>
            </w14:solidFill>
          </w14:textFill>
        </w:rPr>
        <w:t xml:space="preserve">中心</w:t>
      </w:r>
      <w:r>
        <w:rPr>
          <w:rFonts w:hint="eastAsia" w:ascii="宋体" w:hAnsi="宋体" w:eastAsia="宋体" w:cs="宋体"/>
          <w:color w:val="000000" w:themeColor="text1"/>
          <w:sz w:val="21"/>
          <w:szCs w:val="21"/>
          <w:highlight w:val="none"/>
          <w14:textFill>
            <w14:solidFill>
              <w14:schemeClr w14:val="tx1"/>
            </w14:solidFill>
          </w14:textFill>
        </w:rPr>
        <w:t xml:space="preserve">有权</w:t>
      </w:r>
      <w:r>
        <w:rPr>
          <w:rFonts w:hint="eastAsia" w:ascii="宋体" w:hAnsi="宋体" w:cs="宋体"/>
          <w:color w:val="000000" w:themeColor="text1"/>
          <w:sz w:val="21"/>
          <w:szCs w:val="21"/>
          <w:highlight w:val="none"/>
          <w:lang w:val="en-US" w:eastAsia="zh-CN"/>
          <w14:textFill>
            <w14:solidFill>
              <w14:schemeClr w14:val="tx1"/>
            </w14:solidFill>
          </w14:textFill>
        </w:rPr>
        <w:t xml:space="preserve">按照法定的要求</w:t>
      </w:r>
      <w:r>
        <w:rPr>
          <w:rFonts w:hint="eastAsia" w:ascii="宋体" w:hAnsi="宋体" w:eastAsia="宋体" w:cs="宋体"/>
          <w:color w:val="000000" w:themeColor="text1"/>
          <w:sz w:val="21"/>
          <w:szCs w:val="21"/>
          <w:highlight w:val="none"/>
          <w14:textFill>
            <w14:solidFill>
              <w14:schemeClr w14:val="tx1"/>
            </w14:solidFill>
          </w14:textFill>
        </w:rPr>
        <w:t xml:space="preserve">推迟投标截止日期和开标日期。</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.3招标文件的修改将在</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中国政府采购网</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江苏省政府采购网</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盐城市政府采购网</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公布，补充文件将作为招标文件的组成部分，并对投标人具有约束力。</w:t>
      </w:r>
      <w:r/>
    </w:p>
    <w:p>
      <w:pPr>
        <w:ind w:firstLine="420"/>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35" w:name="_Toc20823285"/>
      <w:r/>
      <w:bookmarkStart w:id="36" w:name="_Toc513029213"/>
      <w:r/>
      <w:bookmarkStart w:id="37" w:name="_Toc16938529"/>
      <w:r/>
      <w:bookmarkStart w:id="38" w:name="_Toc120614216"/>
      <w:r/>
      <w:bookmarkStart w:id="39" w:name="_Toc462564072"/>
      <w:r>
        <w:rPr>
          <w:rFonts w:hint="eastAsia" w:ascii="宋体" w:hAnsi="宋体" w:eastAsia="宋体" w:cs="宋体"/>
          <w:b/>
          <w:bCs/>
          <w:color w:val="000000" w:themeColor="text1"/>
          <w:sz w:val="21"/>
          <w:szCs w:val="21"/>
          <w:highlight w:val="none"/>
          <w14:textFill>
            <w14:solidFill>
              <w14:schemeClr w14:val="tx1"/>
            </w14:solidFill>
          </w14:textFill>
        </w:rPr>
        <w:t xml:space="preserve">三、投标文件的编制</w:t>
      </w:r>
      <w:bookmarkEnd w:id="35"/>
      <w:r/>
      <w:bookmarkEnd w:id="36"/>
      <w:r/>
      <w:bookmarkEnd w:id="37"/>
      <w:r/>
      <w:bookmarkEnd w:id="38"/>
      <w:r/>
      <w:bookmarkEnd w:id="39"/>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40" w:name="_Toc20823286"/>
      <w:r/>
      <w:bookmarkStart w:id="41" w:name="_Toc462564073"/>
      <w:r/>
      <w:bookmarkStart w:id="42" w:name="_Toc16938530"/>
      <w:r/>
      <w:bookmarkStart w:id="43" w:name="_Toc513029214"/>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投标文件的语言及度量衡单位</w:t>
      </w:r>
      <w:bookmarkEnd w:id="40"/>
      <w:r/>
      <w:bookmarkEnd w:id="41"/>
      <w:r/>
      <w:bookmarkEnd w:id="42"/>
      <w:r/>
      <w:bookmarkEnd w:id="43"/>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.1 投标人提交的投标文件以及投标人与</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采购中心</w:t>
      </w:r>
      <w:r>
        <w:rPr>
          <w:rFonts w:hint="eastAsia" w:ascii="宋体" w:hAnsi="宋体" w:eastAsia="宋体" w:cs="宋体"/>
          <w:color w:val="000000" w:themeColor="text1"/>
          <w:sz w:val="21"/>
          <w:szCs w:val="21"/>
          <w:highlight w:val="none"/>
          <w14:textFill>
            <w14:solidFill>
              <w14:schemeClr w14:val="tx1"/>
            </w14:solidFill>
          </w14:textFill>
        </w:rPr>
        <w:t xml:space="preserve">就有关投标的所有来往通知、函件和文件均应使用</w:t>
      </w:r>
      <w:r>
        <w:rPr>
          <w:rFonts w:hint="eastAsia" w:ascii="宋体" w:hAnsi="宋体" w:eastAsia="宋体" w:cs="宋体"/>
          <w:b/>
          <w:bCs/>
          <w:color w:val="000000" w:themeColor="text1"/>
          <w:sz w:val="21"/>
          <w:szCs w:val="21"/>
          <w:highlight w:val="none"/>
          <w14:textFill>
            <w14:solidFill>
              <w14:schemeClr w14:val="tx1"/>
            </w14:solidFill>
          </w14:textFill>
        </w:rPr>
        <w:t xml:space="preserve">简体中文</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.2 除技术性能另有规定外，投标文件所使用的度量衡单位，均须采用国家法定计量单位。</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44" w:name="_Toc462564074"/>
      <w:r/>
      <w:bookmarkStart w:id="45" w:name="_Toc16938531"/>
      <w:r/>
      <w:bookmarkStart w:id="46" w:name="_Toc513029215"/>
      <w:r/>
      <w:bookmarkStart w:id="47" w:name="_Toc20823287"/>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投标文件构成</w:t>
      </w:r>
      <w:bookmarkEnd w:id="44"/>
      <w:r/>
      <w:bookmarkEnd w:id="45"/>
      <w:r/>
      <w:bookmarkEnd w:id="46"/>
      <w:r/>
      <w:bookmarkEnd w:id="47"/>
      <w:r/>
      <w:r/>
    </w:p>
    <w:p>
      <w:pPr>
        <w:ind w:firstLine="420"/>
        <w:spacing w:line="40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.1投标人编写的投标文件应包括资格证明文件、符合性证明文件、</w:t>
      </w:r>
      <w:r>
        <w:rPr>
          <w:rFonts w:hint="eastAsia" w:ascii="宋体" w:hAnsi="宋体" w:cs="宋体"/>
          <w:color w:val="000000" w:themeColor="text1"/>
          <w:sz w:val="21"/>
          <w:szCs w:val="21"/>
          <w:highlight w:val="none"/>
          <w:lang w:val="en-US" w:eastAsia="zh-CN"/>
          <w14:textFill>
            <w14:solidFill>
              <w14:schemeClr w14:val="tx1"/>
            </w14:solidFill>
          </w14:textFill>
        </w:rPr>
        <w:t xml:space="preserve">投标报价分项表、</w:t>
      </w:r>
      <w:r>
        <w:rPr>
          <w:rFonts w:hint="eastAsia" w:ascii="宋体" w:hAnsi="宋体" w:eastAsia="宋体" w:cs="宋体"/>
          <w:color w:val="000000" w:themeColor="text1"/>
          <w:sz w:val="21"/>
          <w:szCs w:val="21"/>
          <w:highlight w:val="none"/>
          <w14:textFill>
            <w14:solidFill>
              <w14:schemeClr w14:val="tx1"/>
            </w14:solidFill>
          </w14:textFill>
        </w:rPr>
        <w:t xml:space="preserve">技术</w:t>
      </w:r>
      <w:r>
        <w:rPr>
          <w:rFonts w:hint="eastAsia" w:ascii="宋体" w:hAnsi="宋体" w:cs="宋体"/>
          <w:color w:val="000000" w:themeColor="text1"/>
          <w:sz w:val="21"/>
          <w:szCs w:val="21"/>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1"/>
          <w:szCs w:val="21"/>
          <w:highlight w:val="none"/>
          <w14:textFill>
            <w14:solidFill>
              <w14:schemeClr w14:val="tx1"/>
            </w14:solidFill>
          </w14:textFill>
        </w:rPr>
        <w:t xml:space="preserve">响应及偏离表、商务</w:t>
      </w:r>
      <w:r>
        <w:rPr>
          <w:rFonts w:hint="eastAsia" w:ascii="宋体" w:hAnsi="宋体" w:cs="宋体"/>
          <w:color w:val="000000" w:themeColor="text1"/>
          <w:sz w:val="21"/>
          <w:szCs w:val="21"/>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1"/>
          <w:szCs w:val="21"/>
          <w:highlight w:val="none"/>
          <w14:textFill>
            <w14:solidFill>
              <w14:schemeClr w14:val="tx1"/>
            </w14:solidFill>
          </w14:textFill>
        </w:rPr>
        <w:t xml:space="preserve">响应及偏离表、其他证明文件、投标函、开标一览表</w:t>
      </w:r>
      <w:r>
        <w:rPr>
          <w:rFonts w:hint="eastAsia" w:ascii="宋体" w:hAnsi="宋体" w:cs="宋体"/>
          <w:color w:val="000000" w:themeColor="text1"/>
          <w:sz w:val="21"/>
          <w:szCs w:val="21"/>
          <w:highlight w:val="none"/>
          <w:lang w:val="en-US" w:eastAsia="zh-CN"/>
          <w14:textFill>
            <w14:solidFill>
              <w14:schemeClr w14:val="tx1"/>
            </w14:solidFill>
          </w14:textFill>
        </w:rPr>
        <w:t xml:space="preserve">等部分</w:t>
      </w:r>
      <w:bookmarkStart w:id="48" w:name="_Toc49090509"/>
      <w:r/>
      <w:bookmarkStart w:id="49" w:name="_Toc513029216"/>
      <w:r/>
      <w:bookmarkStart w:id="50" w:name="_Toc49090507"/>
      <w:r/>
      <w:bookmarkStart w:id="51" w:name="_Toc14577354"/>
      <w:r/>
      <w:bookmarkStart w:id="52" w:name="_Toc14577357"/>
      <w:r/>
      <w:bookmarkStart w:id="53" w:name="_Toc513029219"/>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2如标书制作工具中格式和内容与“中国政府采购网”、“江苏政府采购网”、“盐城市政府采购网”发布的招标文件不一致，请以“中国政府采购网”、“江苏政府采购网”、“盐城市政府采购网”发布的招标文件为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证明投标人资格及符合招标文件规定的文件</w:t>
      </w:r>
      <w:bookmarkEnd w:id="48"/>
      <w:r/>
      <w:bookmarkEnd w:id="49"/>
      <w:r/>
      <w:bookmarkEnd w:id="50"/>
      <w:r/>
      <w:bookmarkEnd w:id="51"/>
      <w:r/>
      <w:bookmarkEnd w:id="52"/>
      <w:r/>
      <w:bookmarkEnd w:id="53"/>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54" w:name="_Toc14577355"/>
      <w:r/>
      <w:bookmarkStart w:id="55" w:name="_Toc49090508"/>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.1投标人应按照法律、法规、规章和规范性文件以及招标文件要求提交证明文件，证明其及投标标的符合招标文件规定。</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.2招标文件对证明文件无明确形式要求的，证明文件可以以文字资料、图纸和数据等形式提交。</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bookmarkEnd w:id="54"/>
      <w:r/>
      <w:bookmarkEnd w:id="55"/>
      <w:r/>
      <w:bookmarkStart w:id="56" w:name="_Hlt26670373"/>
      <w:r/>
      <w:bookmarkEnd w:id="56"/>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投标分项报价表</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.1投标人应按照招标文件规定格式填报投标分项报价表。</w:t>
      </w:r>
      <w:r/>
    </w:p>
    <w:p>
      <w:pPr>
        <w:ind w:firstLine="420"/>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.2投标货币。投标文件中的单价和总价无特殊规定的采用人民币报价，以元为单位标注。招标文件中另有规定的按规定执行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.3投标配置和分项明细报价，不仅应包括（但不限于）所有配备人员工资</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法定</w:t>
      </w:r>
      <w:r>
        <w:rPr>
          <w:rFonts w:hint="eastAsia" w:ascii="宋体" w:hAnsi="宋体" w:eastAsia="宋体" w:cs="宋体"/>
          <w:color w:val="000000" w:themeColor="text1"/>
          <w:sz w:val="21"/>
          <w:szCs w:val="21"/>
          <w:highlight w:val="none"/>
          <w14:textFill>
            <w14:solidFill>
              <w14:schemeClr w14:val="tx1"/>
            </w14:solidFill>
          </w14:textFill>
        </w:rPr>
        <w:t xml:space="preserve">节假日加班费、社保、</w:t>
      </w:r>
      <w:r>
        <w:rPr>
          <w:rFonts w:hint="eastAsia" w:ascii="宋体" w:hAnsi="宋体" w:cs="宋体"/>
          <w:color w:val="000000" w:themeColor="text1"/>
          <w:sz w:val="21"/>
          <w:szCs w:val="21"/>
          <w:highlight w:val="none"/>
          <w:lang w:val="en-US" w:eastAsia="zh-CN"/>
          <w14:textFill>
            <w14:solidFill>
              <w14:schemeClr w14:val="tx1"/>
            </w14:solidFill>
          </w14:textFill>
        </w:rPr>
        <w:t xml:space="preserve">公积金、福利费、</w:t>
      </w:r>
      <w:r>
        <w:rPr>
          <w:rFonts w:hint="eastAsia" w:ascii="宋体" w:hAnsi="宋体" w:eastAsia="宋体" w:cs="宋体"/>
          <w:color w:val="000000" w:themeColor="text1"/>
          <w:sz w:val="21"/>
          <w:szCs w:val="21"/>
          <w:highlight w:val="none"/>
          <w14:textFill>
            <w14:solidFill>
              <w14:schemeClr w14:val="tx1"/>
            </w14:solidFill>
          </w14:textFill>
        </w:rPr>
        <w:t xml:space="preserve">区域清洁费、办公费、固定资产折旧费、法定税费及公众责任保险费和合理利润，还应包括：管理、劳务、培训、体检、服装、保修、特殊岗位补贴、宣传服务、</w:t>
      </w:r>
      <w:r>
        <w:rPr>
          <w:rFonts w:hint="eastAsia" w:ascii="宋体" w:hAnsi="宋体" w:cs="宋体"/>
          <w:color w:val="000000" w:themeColor="text1"/>
          <w:sz w:val="21"/>
          <w:szCs w:val="21"/>
          <w:highlight w:val="none"/>
          <w:lang w:eastAsia="zh-CN"/>
          <w14:textFill>
            <w14:solidFill>
              <w14:schemeClr w14:val="tx1"/>
            </w14:solidFill>
          </w14:textFill>
        </w:rPr>
        <w:t xml:space="preserve">咨询服务费、</w:t>
      </w:r>
      <w:r>
        <w:rPr>
          <w:rFonts w:hint="eastAsia" w:ascii="宋体" w:hAnsi="宋体" w:eastAsia="宋体" w:cs="宋体"/>
          <w:color w:val="000000" w:themeColor="text1"/>
          <w:sz w:val="21"/>
          <w:szCs w:val="21"/>
          <w:highlight w:val="none"/>
          <w14:textFill>
            <w14:solidFill>
              <w14:schemeClr w14:val="tx1"/>
            </w14:solidFill>
          </w14:textFill>
        </w:rPr>
        <w:t xml:space="preserve">风险</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政策性文件规定等各项应有费用，以及为完成招标文件规定服务工作所涉及到的一切相关费用。</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（1）所有人员的工作服装由投标人购置并承担费用。</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）由于各类活动、突击迎检、节假日期间等因素导致的费用，不论这些因素是可预测或不可预测的，均已包含在投标报价中。</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）各投标人自行根据招标人提供的服务内容、招标文件及答疑文件等资料要求，并根据市场行情、结合自身公司实力、管理水平等因素，按要求进行报价。</w:t>
      </w:r>
      <w:r/>
    </w:p>
    <w:p>
      <w:pPr>
        <w:ind w:firstLine="420"/>
        <w:spacing w:line="400" w:lineRule="exact"/>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所有</w:t>
      </w:r>
      <w:r>
        <w:rPr>
          <w:rFonts w:hint="eastAsia" w:ascii="宋体" w:hAnsi="宋体" w:cs="宋体"/>
          <w:b/>
          <w:bCs/>
          <w:color w:val="000000" w:themeColor="text1"/>
          <w:sz w:val="21"/>
          <w:szCs w:val="21"/>
          <w:lang w:val="zh-CN"/>
          <w14:textFill>
            <w14:solidFill>
              <w14:schemeClr w14:val="tx1"/>
            </w14:solidFill>
          </w14:textFill>
          <w14:ligatures w14:val="none"/>
        </w:rPr>
        <w:t xml:space="preserve">工作</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人员基本工资不低于本市最低工资标准2430元/人</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月，所有人员必须足额缴纳社保费用，社保（企业部分）不得低于</w:t>
      </w:r>
      <w:r>
        <w:rPr>
          <w:rFonts w:hint="eastAsia" w:ascii="宋体" w:hAnsi="宋体" w:eastAsia="宋体" w:cs="宋体"/>
          <w:b/>
          <w:bCs/>
          <w:color w:val="000000" w:themeColor="text1"/>
          <w:sz w:val="21"/>
          <w:szCs w:val="21"/>
          <w14:textFill>
            <w14:solidFill>
              <w14:schemeClr w14:val="tx1"/>
            </w14:solidFill>
          </w14:textFill>
          <w14:ligatures w14:val="none"/>
        </w:rPr>
        <w:t xml:space="preserve">1277.62</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元/人</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月，</w:t>
      </w:r>
      <w:r>
        <w:rPr>
          <w:rFonts w:hint="eastAsia" w:ascii="宋体" w:hAnsi="宋体" w:eastAsia="宋体" w:cs="宋体"/>
          <w:b/>
          <w:bCs/>
          <w:color w:val="000000" w:themeColor="text1"/>
          <w:sz w:val="21"/>
          <w:szCs w:val="21"/>
          <w:highlight w:val="none"/>
          <w:lang w:val="zh-CN"/>
          <w14:textFill>
            <w14:solidFill>
              <w14:schemeClr w14:val="tx1"/>
            </w14:solidFill>
          </w14:textFill>
          <w14:ligatures w14:val="none"/>
        </w:rPr>
        <w:t xml:space="preserve">住房公积金不得低于180.8元/人</w:t>
      </w:r>
      <w:r>
        <w:rPr>
          <w:rFonts w:hint="eastAsia" w:ascii="宋体" w:hAnsi="宋体" w:cs="宋体"/>
          <w:b/>
          <w:bCs/>
          <w:color w:val="000000" w:themeColor="text1"/>
          <w:sz w:val="21"/>
          <w:szCs w:val="21"/>
          <w:highlight w:val="none"/>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highlight w:val="none"/>
          <w:lang w:val="zh-CN"/>
          <w14:textFill>
            <w14:solidFill>
              <w14:schemeClr w14:val="tx1"/>
            </w14:solidFill>
          </w14:textFill>
          <w14:ligatures w14:val="none"/>
        </w:rPr>
        <w:t xml:space="preserve">月</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，法定节假日加班费不得低于</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4357.24</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元/人</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年（2430</w:t>
      </w:r>
      <w:r>
        <w:rPr>
          <w:rFonts w:hint="eastAsia" w:ascii="宋体" w:hAnsi="宋体" w:eastAsia="宋体" w:cs="宋体"/>
          <w:b/>
          <w:bCs/>
          <w:color w:val="000000" w:themeColor="text1"/>
          <w:sz w:val="21"/>
          <w:szCs w:val="21"/>
          <w14:textFill>
            <w14:solidFill>
              <w14:schemeClr w14:val="tx1"/>
            </w14:solidFill>
          </w14:textFill>
          <w14:ligatures w14:val="none"/>
        </w:rPr>
        <w:t xml:space="preserve">/21.75*3*1</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3</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），税金费率统一按6.72%进行</w:t>
      </w:r>
      <w:r>
        <w:rPr>
          <w:rFonts w:hint="eastAsia" w:ascii="宋体" w:hAnsi="宋体" w:eastAsia="宋体" w:cs="宋体"/>
          <w:b/>
          <w:bCs/>
          <w:color w:val="000000" w:themeColor="text1"/>
          <w:sz w:val="21"/>
          <w:szCs w:val="21"/>
          <w14:textFill>
            <w14:solidFill>
              <w14:schemeClr w14:val="tx1"/>
            </w14:solidFill>
          </w14:textFill>
          <w14:ligatures w14:val="none"/>
        </w:rPr>
        <w:t xml:space="preserve">计算。</w:t>
      </w:r>
      <w:r/>
      <w:r>
        <w:rPr>
          <w:rFonts w:hint="eastAsia" w:ascii="宋体" w:hAnsi="宋体" w:eastAsia="宋体" w:cs="宋体"/>
          <w:color w:val="000000" w:themeColor="text1"/>
          <w:sz w:val="21"/>
          <w:szCs w:val="21"/>
          <w:highlight w:val="none"/>
          <w14:textFill>
            <w14:solidFill>
              <w14:schemeClr w14:val="tx1"/>
            </w14:solidFill>
          </w14:textFill>
        </w:rPr>
      </w:r>
      <w:r/>
    </w:p>
    <w:p>
      <w:pPr>
        <w:ind w:firstLine="420"/>
        <w:spacing w:line="400" w:lineRule="exact"/>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采</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购</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人</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与</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中标人应按照最新政策文件规定执行。</w:t>
      </w:r>
      <w:r/>
      <w:r/>
    </w:p>
    <w:p>
      <w:pPr>
        <w:ind w:firstLine="409"/>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.5  投标人根据招标内容的要求准确报价，一经报出，不得更改。</w:t>
      </w:r>
      <w:r/>
    </w:p>
    <w:p>
      <w:pPr>
        <w:ind w:firstLine="409"/>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合同期满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并完成与后续物业服务</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企业的衔接后，方可退出，经本单位验收合格，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退出本物业管理时必须向本单位移交全套档案等资料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，同时退还履约保证金余额。</w:t>
      </w:r>
      <w:r/>
    </w:p>
    <w:p>
      <w:pPr>
        <w:ind w:firstLine="409"/>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.7对于超出招标文件的其他临时性服务项目，由甲乙双方协商解决。</w:t>
      </w:r>
      <w:r/>
    </w:p>
    <w:p>
      <w:pPr>
        <w:ind w:firstLine="409"/>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57" w:name="_Hlt26954848"/>
      <w:r/>
      <w:bookmarkEnd w:id="57"/>
      <w:r/>
      <w:bookmarkStart w:id="58" w:name="_Hlt26670482"/>
      <w:r/>
      <w:bookmarkEnd w:id="58"/>
      <w:r/>
      <w:bookmarkStart w:id="59" w:name="_Hlt26954846"/>
      <w:r/>
      <w:bookmarkEnd w:id="59"/>
      <w:r/>
      <w:bookmarkStart w:id="60" w:name="_Hlt26954731"/>
      <w:r/>
      <w:bookmarkEnd w:id="60"/>
      <w:r/>
      <w:bookmarkStart w:id="61" w:name="_Hlt26670486"/>
      <w:r/>
      <w:bookmarkEnd w:id="61"/>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技术</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1"/>
          <w:szCs w:val="21"/>
          <w:highlight w:val="none"/>
          <w14:textFill>
            <w14:solidFill>
              <w14:schemeClr w14:val="tx1"/>
            </w14:solidFill>
          </w14:textFill>
        </w:rPr>
        <w:t xml:space="preserve">响应及偏离表、商务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1"/>
          <w:szCs w:val="21"/>
          <w:highlight w:val="none"/>
          <w14:textFill>
            <w14:solidFill>
              <w14:schemeClr w14:val="tx1"/>
            </w14:solidFill>
          </w14:textFill>
        </w:rPr>
        <w:t xml:space="preserve">响应及偏离表</w:t>
      </w:r>
      <w:r/>
    </w:p>
    <w:p>
      <w:pPr>
        <w:ind w:firstLine="409"/>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13.1投标人需对招标文件中的技术要求与商务要求逐项作出响应或偏离，并说明原因。</w:t>
      </w:r>
      <w:r/>
    </w:p>
    <w:p>
      <w:pPr>
        <w:ind w:firstLine="409"/>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13.2投标人可在投标文件中提供认为需要的其他技术文件或说明。</w:t>
      </w:r>
      <w:r/>
    </w:p>
    <w:p>
      <w:pPr>
        <w:ind w:firstLine="409"/>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14、投标函和开标一览表</w:t>
      </w:r>
      <w:r/>
    </w:p>
    <w:p>
      <w:pPr>
        <w:ind w:firstLine="409"/>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14.1投标人应按照招标文件中提供的格式完整、正确填写投标函、开标一览表。</w:t>
      </w:r>
      <w:r/>
    </w:p>
    <w:p>
      <w:pPr>
        <w:ind w:firstLine="409"/>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p>
    <w:p>
      <w:pPr>
        <w:ind w:firstLine="409"/>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14.3投标文件的大写金额和小写金额不一致的，以大写金额为准；对不同文字文本投标的解释发生异议的，以中文文本为准。</w:t>
      </w:r>
      <w:r/>
    </w:p>
    <w:p>
      <w:pPr>
        <w:ind w:firstLine="409"/>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15、投标有效期</w:t>
      </w:r>
      <w:r/>
    </w:p>
    <w:p>
      <w:pPr>
        <w:ind w:firstLine="409"/>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15.1投标有效期为采购中心规定的开标之日后九十（90）天。投标有效期比规定短的将被视为未实质性响应招标文件而予以拒绝。</w:t>
      </w:r>
      <w:r/>
    </w:p>
    <w:p>
      <w:pPr>
        <w:ind w:firstLine="409"/>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16、投标有效期的延长</w:t>
      </w:r>
      <w:r/>
    </w:p>
    <w:p>
      <w:pPr>
        <w:ind w:firstLine="409"/>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22"/>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62" w:name="_Hlt26954739"/>
      <w:r/>
      <w:bookmarkEnd w:id="62"/>
      <w:r/>
      <w:bookmarkStart w:id="63" w:name="_Hlt26954852"/>
      <w:r/>
      <w:bookmarkEnd w:id="63"/>
      <w:r>
        <w:rPr>
          <w:rFonts w:hint="eastAsia" w:ascii="宋体" w:hAnsi="宋体" w:eastAsia="宋体" w:cs="宋体"/>
          <w:b/>
          <w:bCs/>
          <w:color w:val="000000" w:themeColor="text1"/>
          <w:sz w:val="21"/>
          <w:szCs w:val="21"/>
          <w:highlight w:val="none"/>
          <w14:textFill>
            <w14:solidFill>
              <w14:schemeClr w14:val="tx1"/>
            </w14:solidFill>
          </w14:textFill>
        </w:rPr>
        <w:t xml:space="preserve">四、投标文件的递交</w:t>
      </w:r>
      <w:r/>
    </w:p>
    <w:p>
      <w:pPr>
        <w:ind w:firstLine="420"/>
        <w:spacing w:line="400" w:lineRule="exact"/>
        <w:rPr>
          <w:rFonts w:hint="eastAsia" w:ascii="宋体" w:hAnsi="宋体" w:eastAsia="宋体" w:cs="宋体"/>
          <w:color w:val="auto"/>
          <w:sz w:val="21"/>
          <w:szCs w:val="21"/>
          <w:highlight w:val="none"/>
        </w:rPr>
      </w:pPr>
      <w:r/>
      <w:bookmarkStart w:id="64" w:name="_Toc120614218"/>
      <w:r/>
      <w:bookmarkStart w:id="65" w:name="_Toc16938545"/>
      <w:r/>
      <w:bookmarkStart w:id="66" w:name="_Toc20823301"/>
      <w:r/>
      <w:bookmarkStart w:id="67" w:name="_Toc513029229"/>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投标文件的递交</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.1 电子投标文件的递交</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投标人应当按照《操作手册》规定，在投标截止时间前制作并上传电子投标文件。</w:t>
      </w:r>
      <w:r/>
    </w:p>
    <w:p>
      <w:pPr>
        <w:ind w:firstLine="480"/>
        <w:spacing w:line="55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auto"/>
          <w:sz w:val="24"/>
          <w:szCs w:val="24"/>
          <w:highlight w:val="none"/>
          <w:u w:val="single"/>
          <w:lang w:val="en-US" w:eastAsia="zh-CN"/>
        </w:rPr>
        <w:t xml:space="preserve">上传的“明标”材料中不得出现与服务方案相关的内容，</w:t>
      </w:r>
      <w:r>
        <w:rPr>
          <w:rFonts w:hint="eastAsia" w:ascii="宋体" w:hAnsi="宋体" w:eastAsia="宋体" w:cs="宋体"/>
          <w:b/>
          <w:bCs/>
          <w:i/>
          <w:iCs/>
          <w:color w:val="auto"/>
          <w:sz w:val="24"/>
          <w:szCs w:val="24"/>
          <w:highlight w:val="none"/>
          <w:u w:val="single"/>
        </w:rPr>
        <w:t xml:space="preserve">违反上述内容的作无效标书处理。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投标截止时间</w:t>
      </w:r>
      <w:r/>
    </w:p>
    <w:p>
      <w:pPr>
        <w:ind w:firstLine="420"/>
        <w:spacing w:line="400" w:lineRule="exact"/>
        <w:rPr>
          <w:rFonts w:hint="eastAsia" w:ascii="宋体" w:hAnsi="宋体" w:eastAsia="宋体" w:cs="宋体"/>
          <w:i w:val="0"/>
          <w:iCs w:val="0"/>
          <w:color w:val="000000" w:themeColor="text1"/>
          <w:sz w:val="21"/>
          <w:szCs w:val="21"/>
          <w:highlight w:val="none"/>
          <w:u w:val="single"/>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8</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.1投标人上传电子投标文件的时间不得迟于招标公告中规定的投标截止时间</w:t>
      </w:r>
      <w:r>
        <w:rPr>
          <w:rFonts w:hint="eastAsia" w:ascii="宋体" w:hAnsi="宋体" w:eastAsia="宋体" w:cs="宋体"/>
          <w:i w:val="0"/>
          <w:iCs w:val="0"/>
          <w:color w:val="000000" w:themeColor="text1"/>
          <w:sz w:val="21"/>
          <w:szCs w:val="21"/>
          <w:highlight w:val="none"/>
          <w:u w:val="single"/>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.1.2条规定做无效投标处理。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18.2采购中心可以按照规定，通过修改招标文件酌情延长投标截止时间，在此情况下，投标人的所有权利和义务以及投标人受制的截止时间均应以延长后新的截止时间为准。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68" w:name="_Toc16938543"/>
      <w:r/>
      <w:bookmarkStart w:id="69" w:name="_Toc20823299"/>
      <w:r/>
      <w:bookmarkStart w:id="70" w:name="_Toc513029227"/>
      <w:r>
        <w:rPr>
          <w:rFonts w:hint="eastAsia" w:ascii="宋体" w:hAnsi="宋体" w:eastAsia="宋体" w:cs="宋体"/>
          <w:color w:val="000000" w:themeColor="text1"/>
          <w:sz w:val="21"/>
          <w:szCs w:val="21"/>
          <w:highlight w:val="none"/>
          <w14:textFill>
            <w14:solidFill>
              <w14:schemeClr w14:val="tx1"/>
            </w14:solidFill>
          </w14:textFill>
        </w:rPr>
        <w:t xml:space="preserve">19、投标文件</w:t>
      </w:r>
      <w:bookmarkEnd w:id="68"/>
      <w:r/>
      <w:bookmarkEnd w:id="69"/>
      <w:r/>
      <w:bookmarkEnd w:id="70"/>
      <w:r>
        <w:rPr>
          <w:rFonts w:hint="eastAsia" w:ascii="宋体" w:hAnsi="宋体" w:eastAsia="宋体" w:cs="宋体"/>
          <w:color w:val="000000" w:themeColor="text1"/>
          <w:sz w:val="21"/>
          <w:szCs w:val="21"/>
          <w:highlight w:val="none"/>
          <w14:textFill>
            <w14:solidFill>
              <w14:schemeClr w14:val="tx1"/>
            </w14:solidFill>
          </w14:textFill>
        </w:rPr>
        <w:t xml:space="preserve">的拒收</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19.1采购中心拒绝接收在其规定的投标截止时间后上传的任何投标文件。</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71" w:name="_Toc513029228"/>
      <w:r/>
      <w:bookmarkStart w:id="72" w:name="_Toc16938544"/>
      <w:r/>
      <w:bookmarkStart w:id="73" w:name="_Toc20823300"/>
      <w:r>
        <w:rPr>
          <w:rFonts w:hint="eastAsia" w:ascii="宋体" w:hAnsi="宋体" w:eastAsia="宋体" w:cs="宋体"/>
          <w:color w:val="000000" w:themeColor="text1"/>
          <w:sz w:val="21"/>
          <w:szCs w:val="21"/>
          <w:highlight w:val="none"/>
          <w14:textFill>
            <w14:solidFill>
              <w14:schemeClr w14:val="tx1"/>
            </w14:solidFill>
          </w14:textFill>
        </w:rPr>
        <w:t xml:space="preserve">20、投标文件的撤回和修改</w:t>
      </w:r>
      <w:bookmarkEnd w:id="71"/>
      <w:r/>
      <w:bookmarkEnd w:id="72"/>
      <w:r/>
      <w:bookmarkEnd w:id="73"/>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20.1投标文件的撤回</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.1.1电子投标文件的撤回</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投标人可在投标截止时间前，撤回其电子投标文件，具体操作方法见《操作手册》。</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.1.2投标人撤回电子投标文件，则认为其不再参与本项目投标活动。</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 投标文件的修改</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20.2.1投标人可在投标截止时间前，对其电子投标文件进行修改，具体操作方法见《操作手册》。</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20.2.2在投标截止时间之后，投标人不得对其电子投标文件作任何修改。</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20.3在投标截止时间至招标文件中规定的投标有效期满之间的这段时间内，投标人不得撤回其投标。</w:t>
      </w:r>
      <w:r/>
    </w:p>
    <w:p>
      <w:pPr>
        <w:ind w:firstLine="420"/>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五、开标与评标</w:t>
      </w:r>
      <w:bookmarkEnd w:id="64"/>
      <w:r/>
      <w:bookmarkEnd w:id="65"/>
      <w:r/>
      <w:bookmarkEnd w:id="66"/>
      <w:r/>
      <w:bookmarkEnd w:id="67"/>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74" w:name="_Toc513029230"/>
      <w:r/>
      <w:bookmarkStart w:id="75" w:name="_Toc16938546"/>
      <w:r/>
      <w:bookmarkStart w:id="76" w:name="_Toc20823302"/>
      <w:r>
        <w:rPr>
          <w:rFonts w:hint="eastAsia" w:ascii="宋体" w:hAnsi="宋体" w:eastAsia="宋体" w:cs="宋体"/>
          <w:color w:val="000000" w:themeColor="text1"/>
          <w:sz w:val="21"/>
          <w:szCs w:val="21"/>
          <w:highlight w:val="none"/>
          <w14:textFill>
            <w14:solidFill>
              <w14:schemeClr w14:val="tx1"/>
            </w14:solidFill>
          </w14:textFill>
        </w:rPr>
        <w:t xml:space="preserve">21、开标</w:t>
      </w:r>
      <w:bookmarkEnd w:id="74"/>
      <w:r/>
      <w:bookmarkEnd w:id="75"/>
      <w:r/>
      <w:bookmarkEnd w:id="76"/>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21.1采购中心将在招标公告中规定的时间和地点组织公开开标。投标人应当按照《操作手册》规定，参加开标活动和在苏采云系统规定的时间内对投标文件进行解密。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21.2开标仪式由采购中心组织。苏采云系统将自动对项目进行开标，并宣布各投标人名称和投标价格。</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21.3投标人在开标过程中涉及到的投标文件解密、开标结果确认等工作，应按照《操作手册》规定执行。</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77" w:name="_Toc16938547"/>
      <w:r/>
      <w:bookmarkStart w:id="78" w:name="_Toc20823303"/>
      <w:r/>
      <w:bookmarkStart w:id="79" w:name="_Toc513029231"/>
      <w:r>
        <w:rPr>
          <w:rFonts w:hint="eastAsia" w:ascii="宋体" w:hAnsi="宋体" w:eastAsia="宋体" w:cs="宋体"/>
          <w:color w:val="000000" w:themeColor="text1"/>
          <w:sz w:val="21"/>
          <w:szCs w:val="21"/>
          <w:highlight w:val="none"/>
          <w14:textFill>
            <w14:solidFill>
              <w14:schemeClr w14:val="tx1"/>
            </w14:solidFill>
          </w14:textFill>
        </w:rPr>
        <w:t xml:space="preserve">22、评标委员会</w:t>
      </w:r>
      <w:bookmarkEnd w:id="77"/>
      <w:r/>
      <w:bookmarkEnd w:id="78"/>
      <w:r/>
      <w:bookmarkEnd w:id="79"/>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22.1开标后，采购中心将立即组织评标委员会（以下简称评委会）进行评标。</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22.2评委会由采购人代表和有关技术、经济等方面的专家组成，且人员构成符合政府采购有关规定。</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22.3评委会独立工作，负责评审所有投标文件并确定中标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候选人</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23、评标过程的保密与公正</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23.1凡是与审查、澄清、评价和比较投标的有关资料以及授标建议等，采购人、评委、采购中心均不得向投标人或与评标无关的其他人员透露。</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23.2在评标过程中，投标人不得以任何行为影响评标过程，否则其投标文件将被作为无效投标文件。</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23.3采购中心和评标委员会不向未中标的投标人解释未中标原因，也不公布评标过程中的相关细节。</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23.4采用综合评分法的项目，未中标的投标人可于中标结果公告期限届满之日起通过苏采云系统查看自己的评审得分及排序情况。</w:t>
      </w:r>
      <w:bookmarkStart w:id="80" w:name="_Toc16938548"/>
      <w:r/>
      <w:bookmarkStart w:id="81" w:name="_Toc513029232"/>
      <w:r/>
      <w:bookmarkStart w:id="82" w:name="_Toc20823304"/>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24、投标文件的澄清</w:t>
      </w:r>
      <w:bookmarkEnd w:id="80"/>
      <w:r/>
      <w:bookmarkEnd w:id="81"/>
      <w:r/>
      <w:bookmarkEnd w:id="82"/>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委员会并非对每个投标人都做澄清要求。</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24.3接到评委会澄清、说明和补正要求的投标人如未按规定做出澄清、说明和补正，其风险由投标人自行承担。</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83" w:name="_Toc20823305"/>
      <w:r/>
      <w:bookmarkStart w:id="84" w:name="_Toc16938549"/>
      <w:r/>
      <w:bookmarkStart w:id="85" w:name="_Toc513029233"/>
      <w:r>
        <w:rPr>
          <w:rFonts w:hint="eastAsia" w:ascii="宋体" w:hAnsi="宋体" w:eastAsia="宋体" w:cs="宋体"/>
          <w:color w:val="000000" w:themeColor="text1"/>
          <w:sz w:val="21"/>
          <w:szCs w:val="21"/>
          <w:highlight w:val="none"/>
          <w14:textFill>
            <w14:solidFill>
              <w14:schemeClr w14:val="tx1"/>
            </w14:solidFill>
          </w14:textFill>
        </w:rPr>
        <w:t xml:space="preserve">25、对投标文件的初审</w:t>
      </w:r>
      <w:bookmarkEnd w:id="83"/>
      <w:r/>
      <w:bookmarkEnd w:id="84"/>
      <w:r/>
      <w:bookmarkEnd w:id="85"/>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25.1投标文件初审分为资格审查和符合性审查。</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25.3如果投标文件实质上没有响应招标文件的要求，评委会将予以拒绝，投标人不得通过修改或撤销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不符</w:t>
      </w:r>
      <w:r>
        <w:rPr>
          <w:rFonts w:hint="eastAsia" w:ascii="宋体" w:hAnsi="宋体" w:eastAsia="宋体" w:cs="宋体"/>
          <w:color w:val="000000" w:themeColor="text1"/>
          <w:sz w:val="21"/>
          <w:szCs w:val="21"/>
          <w:highlight w:val="none"/>
          <w14:textFill>
            <w14:solidFill>
              <w14:schemeClr w14:val="tx1"/>
            </w14:solidFill>
          </w14:textFill>
        </w:rPr>
        <w:t xml:space="preserve">合要求的偏离或保留而使其投标成为实质性响应的投标。</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25.4评委会将对确定为实质性响应的投标进行进一步审核，确定其是否有计算上或累加上的算术错误，修正错误的原则如下：</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（1）投标文件中开标一览表内容与投标文件中相应内容不一致的，以开标一览表为准。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（2）大写金额和小写金额不一致的，以大写金额为准。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（4）总价金额与按单价汇总金额不一致的，以单价金额计算结果为准。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同时出现两种以上错误的，按照前款规定的顺序修正。</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86" w:name="_Toc513029234"/>
      <w:r/>
      <w:bookmarkStart w:id="87" w:name="_Toc16938550"/>
      <w:r/>
      <w:bookmarkStart w:id="88" w:name="_Toc20823306"/>
      <w:r>
        <w:rPr>
          <w:rFonts w:hint="eastAsia" w:ascii="宋体" w:hAnsi="宋体" w:eastAsia="宋体" w:cs="宋体"/>
          <w:color w:val="000000" w:themeColor="text1"/>
          <w:sz w:val="21"/>
          <w:szCs w:val="21"/>
          <w:highlight w:val="none"/>
          <w14:textFill>
            <w14:solidFill>
              <w14:schemeClr w14:val="tx1"/>
            </w14:solidFill>
          </w14:textFill>
        </w:rPr>
        <w:t xml:space="preserve">25.6投标人在开、评标全过程中应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1"/>
          <w:szCs w:val="21"/>
          <w:highlight w:val="none"/>
          <w14:textFill>
            <w14:solidFill>
              <w14:schemeClr w14:val="tx1"/>
            </w14:solidFill>
          </w14:textFill>
        </w:rPr>
        <w:t xml:space="preserve">，及时登录苏采云系统查阅、答复相关信息，并安排专人与采购中心及评标委员会联系。</w:t>
      </w:r>
      <w:bookmarkEnd w:id="86"/>
      <w:r/>
      <w:bookmarkEnd w:id="87"/>
      <w:r/>
      <w:bookmarkEnd w:id="88"/>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26、无效投标条款和废标条款</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89" w:name="_Toc20823307"/>
      <w:r/>
      <w:bookmarkStart w:id="90" w:name="_Toc16938551"/>
      <w:r/>
      <w:bookmarkStart w:id="91" w:name="_Toc513029235"/>
      <w:r>
        <w:rPr>
          <w:rFonts w:hint="eastAsia" w:ascii="宋体" w:hAnsi="宋体" w:eastAsia="宋体" w:cs="宋体"/>
          <w:color w:val="000000" w:themeColor="text1"/>
          <w:sz w:val="21"/>
          <w:szCs w:val="21"/>
          <w:highlight w:val="none"/>
          <w14:textFill>
            <w14:solidFill>
              <w14:schemeClr w14:val="tx1"/>
            </w14:solidFill>
          </w14:textFill>
        </w:rPr>
        <w:t xml:space="preserve">26.1无效投标条款</w:t>
      </w:r>
      <w:bookmarkEnd w:id="89"/>
      <w:r/>
      <w:bookmarkEnd w:id="90"/>
      <w:r/>
      <w:bookmarkEnd w:id="91"/>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26.1.1投标人在苏采云系统规定的时间内未成功解密电子投标文件的。</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26.1.2投标人未按照招标文件要求上传电子投标文件的。</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26.1.3同一投标人提交两个（含两个）以上不同的投标报价的。</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26.1.4投标人不具备招标文件中规定资格要求的。</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26.1.5投标人的报价超过了采购预算或最高限价的。</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26.1.6未通过符合性审查的。</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26.1.7不符合招标文件中规定的实质性要求和条件的（本招标文件中斜体且有下划线部分为实质性要求和条件）。</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26.1.9投标文件含有采购人不能接受的附加条件的。</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26.1.10投标人不能证明其报价合理性的，评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标</w:t>
      </w:r>
      <w:r>
        <w:rPr>
          <w:rFonts w:hint="eastAsia" w:ascii="宋体" w:hAnsi="宋体" w:eastAsia="宋体" w:cs="宋体"/>
          <w:color w:val="000000" w:themeColor="text1"/>
          <w:sz w:val="21"/>
          <w:szCs w:val="21"/>
          <w:highlight w:val="none"/>
          <w14:textFill>
            <w14:solidFill>
              <w14:schemeClr w14:val="tx1"/>
            </w14:solidFill>
          </w14:textFill>
        </w:rPr>
        <w:t xml:space="preserve">委员会应当将其作为无效投标处理。</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（一）评审过程中出现下列情形之一的，评标委员会应当启动异常低价投标审查程序：</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1.投标报价低于采购项目预算50%的，即投标报价&lt;采购项目预算×50%；</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2.投标报价低于采购项目最高限价45%的，即投标报价&lt;采购项目最高限价×45%；</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3.评标委员会认定的供应商报价过低、有可能影响产品质量或者不能诚信履约的其他情形。</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26.1.11投标文件未按照招标文件要求加盖CA电子公章的。</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26.1.12其他法律、法规及本招标文件规定的属无效投标的情形。</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26.2废标条款</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26.2.1符合专业条件的供应商或者对招标文件作实质响应的供应商不足三家的。</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26.2.2出现影响采购公正的违法、违规行为的。</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26.2.3因重大变故，采购任务取消的。</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26.2.4评标委员会认定招标文件存在歧义、重大缺陷导致评审工作无法进行。</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26.2.5因苏采云系统系统故障原因造成开标不成功的。</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26.3 投标截止时间结束后参加投标的供应商不足三家的处理：</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六、定标</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bookmarkStart w:id="92" w:name="_Toc20823310"/>
      <w:r/>
      <w:bookmarkStart w:id="93" w:name="_Toc513029238"/>
      <w:r/>
      <w:bookmarkStart w:id="94" w:name="_Toc16938554"/>
      <w:r>
        <w:rPr>
          <w:rFonts w:hint="eastAsia" w:ascii="宋体" w:hAnsi="宋体" w:eastAsia="宋体" w:cs="宋体"/>
          <w:color w:val="000000" w:themeColor="text1"/>
          <w:sz w:val="21"/>
          <w:szCs w:val="21"/>
          <w:highlight w:val="none"/>
          <w14:textFill>
            <w14:solidFill>
              <w14:schemeClr w14:val="tx1"/>
            </w14:solidFill>
          </w14:textFill>
        </w:rPr>
        <w:t xml:space="preserve">27、</w:t>
      </w:r>
      <w:bookmarkEnd w:id="92"/>
      <w:r>
        <w:rPr>
          <w:rFonts w:hint="eastAsia" w:ascii="宋体" w:hAnsi="宋体" w:eastAsia="宋体" w:cs="宋体"/>
          <w:color w:val="000000" w:themeColor="text1"/>
          <w:sz w:val="21"/>
          <w:szCs w:val="21"/>
          <w:highlight w:val="none"/>
          <w14:textFill>
            <w14:solidFill>
              <w14:schemeClr w14:val="tx1"/>
            </w14:solidFill>
          </w14:textFill>
        </w:rPr>
        <w:t xml:space="preserve">确定</w:t>
      </w:r>
      <w:bookmarkEnd w:id="93"/>
      <w:r/>
      <w:bookmarkEnd w:id="94"/>
      <w:r>
        <w:rPr>
          <w:rFonts w:hint="eastAsia" w:ascii="宋体" w:hAnsi="宋体" w:eastAsia="宋体" w:cs="宋体"/>
          <w:color w:val="000000" w:themeColor="text1"/>
          <w:sz w:val="21"/>
          <w:szCs w:val="21"/>
          <w:highlight w:val="none"/>
          <w14:textFill>
            <w14:solidFill>
              <w14:schemeClr w14:val="tx1"/>
            </w14:solidFill>
          </w14:textFill>
        </w:rPr>
        <w:t xml:space="preserve">中标单位</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27.1中标候选人的选取原则和数量见招标文件第五章规定。 </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27.2采购人应根据评委会推荐的中标候选人确定中标人。</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27.3采购中心将在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“中国政府采购网”、“江苏政府采购网”、“盐城市政府采购网”</w:t>
      </w:r>
      <w:r>
        <w:rPr>
          <w:rFonts w:hint="eastAsia" w:ascii="宋体" w:hAnsi="宋体" w:eastAsia="宋体" w:cs="宋体"/>
          <w:color w:val="000000" w:themeColor="text1"/>
          <w:sz w:val="21"/>
          <w:szCs w:val="21"/>
          <w:highlight w:val="none"/>
          <w14:textFill>
            <w14:solidFill>
              <w14:schemeClr w14:val="tx1"/>
            </w14:solidFill>
          </w14:textFill>
        </w:rPr>
        <w:t xml:space="preserve">发布中标公告，公告期限为1个工作日。</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27.4若有充分证据证明，中标人出现下列情况之一的，一经查实，将被取消中标资格：</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27.4.1提供虚假材料谋取中标的。</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27.4.2向采购人、采购中心行贿或者提供其他不正当利益的。</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27.4.3属于本文件规定的无效条件，但在评标过程中又未被评委会发现的。</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27.4.4与采购人或者其他供应商恶意串通的。</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27.4.5采取不正当手段诋毁、排挤其他供应商的。</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bookmarkStart w:id="95" w:name="_Toc200451960"/>
      <w:r>
        <w:rPr>
          <w:rFonts w:hint="eastAsia" w:ascii="宋体" w:hAnsi="宋体" w:eastAsia="宋体" w:cs="宋体"/>
          <w:color w:val="000000" w:themeColor="text1"/>
          <w:sz w:val="21"/>
          <w:szCs w:val="21"/>
          <w:highlight w:val="none"/>
          <w14:textFill>
            <w14:solidFill>
              <w14:schemeClr w14:val="tx1"/>
            </w14:solidFill>
          </w14:textFill>
        </w:rPr>
        <w:t xml:space="preserve">27.5 有下列情形之一的，视为投标人串通投标，投标无效：</w:t>
      </w:r>
      <w:bookmarkEnd w:id="95"/>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27.5.1不同投标人的投标文件由同一单位或者个人编制。</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27.5.2不同投标人委托同一单位或者个人办理投标事宜。</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27.5.3不同投标人的投标文件载明的项目管理成员或者联系人员为同一人。</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27.5.4不同投标人的投标文件异常一致或者投标报价呈规律性差异。</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28、质疑处理</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28.2.1对可以质疑的采购文件提出质疑的，为收到采购文件之日或者采购文件公告期限届满之日；</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28.2.2对采购过程提出质疑的，为各采购程序环节结束之日；</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28.2.3对中标或者成交结果提出质疑的，为中标或者成交结果公告期限届满之日。</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采购中心及采购人只接收以纸质原件形式送达的质疑,采购人和采购中心不接受未填写快递运单的快件。质疑接收部门为公共资源交易中心业务受理处，联系地址：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盐城市亭湖区希望大道中路18号四楼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，联系电话：0515-89802019</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28.5 以下情形的质疑不予受理</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28.5.1内容不符合《政府采购质疑和投诉办法》第十二条规定的质疑。</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28.5.2超出政府采购法定期限的质疑。</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28.5.3以传真、电子邮件等方式递交的非原件形式的质疑。</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28.5.4未参加投标活动的供应商或在投标活动中自身权益未受到损害的供应商所提出的质疑。</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28.5.5供应商组成联合体参加投标，联合体中任何一方或多方未按要求签字、盖章、加盖公章的质疑。</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29、中标通知书</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ind w:firstLine="420"/>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七、授予合同</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签订合同</w:t>
      </w:r>
      <w:r/>
    </w:p>
    <w:p>
      <w:pPr>
        <w:ind w:firstLine="420"/>
        <w:spacing w:line="440" w:lineRule="exact"/>
        <w:rPr>
          <w:rFonts w:hint="eastAsia" w:ascii="宋体" w:hAnsi="宋体" w:eastAsia="宋体"/>
          <w:sz w:val="24"/>
          <w:szCs w:val="24"/>
          <w:lang w:eastAsia="zh-CN"/>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1"/>
          <w:szCs w:val="21"/>
          <w:highlight w:val="none"/>
          <w14:textFill>
            <w14:solidFill>
              <w14:schemeClr w14:val="tx1"/>
            </w14:solidFill>
          </w14:textFill>
        </w:rPr>
        <w:t xml:space="preserve">.l中标人应当在中标通知书发出之日起三十日内，按照招标文件确定的事项与采购人签订政府采购合同</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.2招标文件、中标人的投标文件及招标过程中有关澄清、承诺文件均应作为合同附件。</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30.3中标人分别签订服务合同，根据建筑面积划分费用，其中能耗费用划分暂定如下：正东42000元、兴隆23000元、才堂15000元。</w:t>
      </w:r>
      <w:r>
        <w:rPr>
          <w:rFonts w:hint="eastAsia" w:ascii="宋体" w:hAnsi="宋体" w:eastAsia="宋体" w:cs="宋体"/>
          <w:color w:val="000000" w:themeColor="text1"/>
          <w:sz w:val="21"/>
          <w:szCs w:val="21"/>
          <w:highlight w:val="none"/>
          <w14:textFill>
            <w14:solidFill>
              <w14:schemeClr w14:val="tx1"/>
            </w14:solidFill>
          </w14:textFill>
        </w:rPr>
        <w:t xml:space="preserve">签订合同后，</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中标人不得将合同标的进行转包</w:t>
      </w:r>
      <w:r>
        <w:rPr>
          <w:rFonts w:hint="eastAsia" w:ascii="宋体" w:hAnsi="宋体" w:eastAsia="宋体" w:cs="宋体"/>
          <w:color w:val="000000" w:themeColor="text1"/>
          <w:sz w:val="21"/>
          <w:szCs w:val="21"/>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服务（包含与服务相关的货物）的追加</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政府采购政策功能落实</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.1政府采购履约资金扶持政策</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根据《转发江苏省财政厅 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.2进口产品</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.3中小企业、监狱企业及残疾人福利性单位</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.3.1中小企业定义：</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中小企业是</w:t>
      </w:r>
      <w:r>
        <w:rPr>
          <w:rFonts w:hint="eastAsia" w:ascii="宋体" w:hAnsi="宋体" w:eastAsia="宋体" w:cs="宋体"/>
          <w:color w:val="000000" w:themeColor="text1"/>
          <w:sz w:val="2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.3.2供应商提供的货物、工程或者服务符合下列情形的，享受中小企业扶持政策：</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.3.2.1在货物采购项目中，货物由中小企业制造，即货物由中小企业生产且使用该中小企业商号或者注册商标；</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.3.2.2在工程采购项目中，工程由中小企业承建，即工程施工单位为中小企业；</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.3.2.3在服务采购项目中，服务由中小企业承接，即提供服务的人员为中小企业依照《中华人民共和国劳动合同法》订立劳动合同的从业人员。</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.3.3在货物采购项目中，供应商提供的货物既有中小企业制造货物，也有大型企业制造货物的，不享受中小企业扶持政策。</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.3.4以联合体形式参加政府采购活动，联合体各方均为中小企业的，联合体视同中小企业。其中，联合体各方均为小微企业的，联合体视同小微企业。</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.3.6残疾人福利单位定义：享受政府采购支持政策的残疾人福利性单位应当同时满足以下条件：</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.3.6.1安置的残疾人占本单位在职职工人数的比例不低于25%（含25%），并且安置的残疾人人数不少于10 人（含10 人）；</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.3.6.2依法与安置的每位残疾人签订了一年以上（含一年）的劳动合同或服务协议；</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.3.6.3为安置的每位残疾人按月足额缴纳了基本养老保险、基本医疗保险、失业保险、工伤保险和生育保险等社会保险费；</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.3.6.4通过银行等金融机构向安置的每位残疾人，按月支付了不低于单位所在区县适用的经省级人民政府批准的月最低工资标准的工资；</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.3.7本项目是否专门面向中小企业预留采购份额见第一章《招标公告》。</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.3.8采购标的对应的中小企业划分标准所属行业见第四章《采购需求》。</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.3.9小微企业价格评审优惠的政策：见第五章《评标方法和评标标准》。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.4政府采购节能产品、环境标志产品</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themeColor="text1"/>
          <w:sz w:val="21"/>
          <w:szCs w:val="21"/>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color w:val="000000" w:themeColor="text1"/>
          <w:sz w:val="21"/>
          <w:szCs w:val="21"/>
          <w:highlight w:val="none"/>
          <w14:textFill>
            <w14:solidFill>
              <w14:schemeClr w14:val="tx1"/>
            </w14:solidFill>
          </w14:textFill>
        </w:rPr>
        <w:t xml:space="preserve">其他条件相同情况下，应当优先采购节能产品、环境标志产品。</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.5绿色包装</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.6政府采购创新产品</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采购人优先采购各级政府部门公开发布的有效期内的创新产品、创新服务、首台套、首购首用等《目录》的创新产品。</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.7绿色数据中心政策 </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1"/>
          <w:szCs w:val="21"/>
          <w:highlight w:val="none"/>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.8履约保证金政策</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确需收取履约保证金的，履约保证金的缴纳形式：</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 预付款制度</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本项目落实预付款制度，预付款比例为_</w:t>
      </w:r>
      <w:r>
        <w:rPr>
          <w:rFonts w:hint="eastAsia" w:ascii="宋体" w:hAnsi="宋体" w:eastAsia="宋体" w:cs="宋体"/>
          <w:color w:val="000000" w:themeColor="text1"/>
          <w:sz w:val="21"/>
          <w:szCs w:val="21"/>
          <w:highlight w:val="none"/>
          <w:u w:val="single"/>
          <w14:textFill>
            <w14:solidFill>
              <w14:schemeClr w14:val="tx1"/>
            </w14:solidFill>
          </w14:textFill>
        </w:rPr>
        <w:t xml:space="preserve">30</w:t>
      </w:r>
      <w:r>
        <w:rPr>
          <w:rFonts w:hint="eastAsia" w:ascii="宋体" w:hAnsi="宋体" w:eastAsia="宋体" w:cs="宋体"/>
          <w:color w:val="000000" w:themeColor="text1"/>
          <w:sz w:val="21"/>
          <w:szCs w:val="21"/>
          <w:highlight w:val="none"/>
          <w14:textFill>
            <w14:solidFill>
              <w14:schemeClr w14:val="tx1"/>
            </w14:solidFill>
          </w14:textFill>
        </w:rPr>
        <w:t xml:space="preserve">_%。在签订合同时，中标、成交供应商明确书面表示无需预付款或者主动要求降低预付款比例的，采购人可就预付款比例作相应调整。</w:t>
      </w:r>
      <w:r/>
    </w:p>
    <w:p>
      <w:pPr>
        <w:rPr>
          <w:rFonts w:hint="eastAsia" w:ascii="黑体" w:hAnsi="Arial" w:eastAsia="黑体"/>
          <w:color w:val="000000" w:themeColor="text1"/>
          <w:szCs w:val="28"/>
          <w:highlight w:val="none"/>
          <w14:textFill>
            <w14:solidFill>
              <w14:schemeClr w14:val="tx1"/>
            </w14:solidFill>
          </w14:textFill>
        </w:rPr>
      </w:pPr>
      <w:r>
        <w:rPr>
          <w:rFonts w:hint="eastAsia" w:ascii="黑体" w:hAnsi="Arial" w:eastAsia="黑体"/>
          <w:color w:val="000000" w:themeColor="text1"/>
          <w:szCs w:val="28"/>
          <w:highlight w:val="none"/>
          <w14:textFill>
            <w14:solidFill>
              <w14:schemeClr w14:val="tx1"/>
            </w14:solidFill>
          </w14:textFill>
        </w:rPr>
        <w:br w:type="page" w:clear="all"/>
      </w:r>
      <w:r/>
    </w:p>
    <w:p>
      <w:pPr>
        <w:pStyle w:val="732"/>
        <w:numPr>
          <w:ilvl w:val="0"/>
          <w:numId w:val="1"/>
        </w:numPr>
        <w:jc w:val="center"/>
        <w:rPr>
          <w:rFonts w:hint="eastAsia"/>
          <w:color w:val="000000" w:themeColor="text1"/>
          <w14:textFill>
            <w14:solidFill>
              <w14:schemeClr w14:val="tx1"/>
            </w14:solidFill>
          </w14:textFill>
        </w:rPr>
      </w:pPr>
      <w:r/>
      <w:bookmarkStart w:id="96" w:name="_Toc31813"/>
      <w:r>
        <w:rPr>
          <w:rFonts w:hint="eastAsia"/>
          <w:color w:val="000000" w:themeColor="text1"/>
          <w14:textFill>
            <w14:solidFill>
              <w14:schemeClr w14:val="tx1"/>
            </w14:solidFill>
          </w14:textFill>
        </w:rPr>
        <w:t xml:space="preserve">合同文本</w:t>
      </w:r>
      <w:bookmarkEnd w:id="96"/>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97" w:name="_Toc20823315"/>
      <w:r/>
      <w:bookmarkStart w:id="98" w:name="_Toc16938559"/>
      <w:r/>
      <w:bookmarkStart w:id="99" w:name="_Toc513029243"/>
      <w:r>
        <w:rPr>
          <w:rFonts w:hint="eastAsia" w:ascii="宋体" w:hAnsi="宋体" w:eastAsia="宋体" w:cs="宋体"/>
          <w:color w:val="000000" w:themeColor="text1"/>
          <w:sz w:val="21"/>
          <w:szCs w:val="21"/>
          <w:highlight w:val="none"/>
          <w14:textFill>
            <w14:solidFill>
              <w14:schemeClr w14:val="tx1"/>
            </w14:solidFill>
          </w14:textFill>
        </w:rPr>
        <w:t xml:space="preserve">以下为中标后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签订</w:t>
      </w:r>
      <w:r>
        <w:rPr>
          <w:rFonts w:hint="eastAsia" w:ascii="宋体" w:hAnsi="宋体" w:eastAsia="宋体" w:cs="宋体"/>
          <w:color w:val="000000" w:themeColor="text1"/>
          <w:sz w:val="21"/>
          <w:szCs w:val="21"/>
          <w:highlight w:val="none"/>
          <w14:textFill>
            <w14:solidFill>
              <w14:schemeClr w14:val="tx1"/>
            </w14:solidFill>
          </w14:textFill>
        </w:rPr>
        <w:t xml:space="preserve">本项目合同的通用条款，中标人不得提出实质性的修改。</w:t>
      </w:r>
      <w:bookmarkEnd w:id="97"/>
      <w:r/>
      <w:bookmarkEnd w:id="98"/>
      <w:r/>
      <w:bookmarkEnd w:id="99"/>
      <w:r/>
      <w:r/>
    </w:p>
    <w:p>
      <w:pPr>
        <w:pStyle w:val="766"/>
        <w:jc w:val="center"/>
        <w:spacing w:before="145" w:beforeAutospacing="0" w:after="145" w:afterAutospacing="0"/>
        <w:rPr>
          <w:color w:val="auto"/>
          <w:highlight w:val="none"/>
        </w:rPr>
      </w:pPr>
      <w:r>
        <w:rPr>
          <w:rFonts w:hint="eastAsia" w:ascii="宋体" w:hAnsi="宋体" w:eastAsia="宋体" w:cs="宋体"/>
          <w:b/>
          <w:color w:val="auto"/>
          <w:sz w:val="30"/>
          <w:szCs w:val="30"/>
          <w:highlight w:val="none"/>
        </w:rPr>
        <w:t xml:space="preserve">盐城市政府采购合同（服务）（合同编号）</w:t>
      </w:r>
      <w:r/>
    </w:p>
    <w:p>
      <w:pP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                                                                 项目编号：</w:t>
      </w:r>
      <w:r/>
    </w:p>
    <w:p>
      <w:pPr>
        <w:spacing w:line="360" w:lineRule="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南洋镇正东、才堂、兴隆新型社区物业管理服务采购项目</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甲方（采购人）：</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盐城市亭湖区南洋镇人民政府</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乙方（中标人）：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numPr>
          <w:ilvl w:val="0"/>
          <w:numId w:val="2"/>
        </w:num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乙双方根据盐城市政府采购中心</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南洋镇正东、才堂、兴隆新型社区物业管理服务采购项目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公开招标结果，签署本合同。</w:t>
      </w:r>
      <w:bookmarkStart w:id="100" w:name="_Toc30134"/>
      <w:r/>
      <w:r/>
    </w:p>
    <w:p>
      <w:pPr>
        <w:numPr>
          <w:ilvl w:val="0"/>
          <w:numId w:val="3"/>
        </w:numPr>
        <w:ind w:firstLine="420"/>
        <w:spacing w:line="360" w:lineRule="auto"/>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合同内容</w:t>
      </w:r>
      <w:r/>
    </w:p>
    <w:p>
      <w:pPr>
        <w:numPr>
          <w:ilvl w:val="0"/>
          <w:numId w:val="0"/>
        </w:numPr>
        <w:ind w:firstLine="420"/>
        <w:spacing w:line="360" w:lineRule="auto"/>
        <w:rPr>
          <w:rFonts w:hint="eastAsia" w:ascii="宋体" w:hAnsi="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1.1标的</w:t>
      </w:r>
      <w:r>
        <w:rPr>
          <w:rFonts w:hint="eastAsia" w:ascii="宋体" w:hAnsi="宋体" w:eastAsia="宋体" w:cs="宋体"/>
          <w:color w:val="000000" w:themeColor="text1"/>
          <w:sz w:val="21"/>
          <w:szCs w:val="21"/>
          <w:highlight w:val="none"/>
          <w14:textFill>
            <w14:solidFill>
              <w14:schemeClr w14:val="tx1"/>
            </w14:solidFill>
          </w14:textFill>
        </w:rPr>
        <w:t xml:space="preserve">名称：</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南洋镇正东、才堂、兴隆新型社区物业管理服务采购项目</w:t>
      </w:r>
      <w:r/>
    </w:p>
    <w:p>
      <w:pPr>
        <w:ind w:firstLine="420"/>
        <w:spacing w:after="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1.2标的质量：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投标人中标后按采购人的委托管理事项和管理服务考核细则进行管理，服务人员能很好地履行岗位职责并完成</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分配的相关工作，服从</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管理，工作认真负责，服务质量能让</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满意。</w:t>
      </w:r>
      <w:r/>
    </w:p>
    <w:p>
      <w:pPr>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1.3标的数量</w:t>
      </w:r>
      <w:r>
        <w:rPr>
          <w:rFonts w:hint="eastAsia" w:ascii="宋体" w:hAnsi="宋体" w:eastAsia="宋体" w:cs="宋体"/>
          <w:color w:val="000000" w:themeColor="text1"/>
          <w:sz w:val="21"/>
          <w:szCs w:val="21"/>
          <w:highlight w:val="none"/>
          <w14:textFill>
            <w14:solidFill>
              <w14:schemeClr w14:val="tx1"/>
            </w14:solidFill>
          </w14:textFill>
        </w:rPr>
        <w:t xml:space="preserve">：盐城市亭湖区南洋镇正东、兴隆、才堂三个新型社区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物业管理服务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正东1-4期，建筑面积为60873m²,共470户；兴隆建筑面积约32423 m²,272户，才堂建筑面积约21495 m²平方米，150户，才堂和兴隆两新型社区离得较近，建筑面积53918m²,共422户，可作为一个管理对象进行物业管理。三个新型社区建筑面积共114791m²</w:t>
      </w:r>
      <w:r>
        <w:rPr>
          <w:rFonts w:hint="eastAsia" w:ascii="宋体" w:hAnsi="宋体" w:cs="宋体"/>
          <w:color w:val="000000" w:themeColor="text1"/>
          <w:sz w:val="21"/>
          <w:szCs w:val="21"/>
          <w:highlight w:val="none"/>
          <w:lang w:val="en-US" w:eastAsia="zh-CN"/>
          <w14:textFill>
            <w14:solidFill>
              <w14:schemeClr w14:val="tx1"/>
            </w14:solidFill>
          </w14:textFill>
        </w:rPr>
        <w:t xml:space="preserve">进行日常物业管理服务</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具体内容及要求详见招标文件</w:t>
      </w:r>
      <w:r>
        <w:rPr>
          <w:rFonts w:hint="eastAsia" w:ascii="宋体" w:hAnsi="宋体"/>
          <w:color w:val="000000" w:themeColor="text1"/>
          <w:sz w:val="21"/>
          <w:szCs w:val="21"/>
          <w:lang w:val="en-US" w:eastAsia="zh-CN"/>
          <w14:textFill>
            <w14:solidFill>
              <w14:schemeClr w14:val="tx1"/>
            </w14:solidFill>
          </w14:textFill>
        </w:rPr>
        <w:t xml:space="preserve">采购</w:t>
      </w:r>
      <w:r>
        <w:rPr>
          <w:rFonts w:hint="eastAsia" w:ascii="宋体" w:hAnsi="宋体"/>
          <w:color w:val="000000" w:themeColor="text1"/>
          <w:sz w:val="21"/>
          <w:szCs w:val="21"/>
          <w14:textFill>
            <w14:solidFill>
              <w14:schemeClr w14:val="tx1"/>
            </w14:solidFill>
          </w14:textFill>
        </w:rPr>
        <w:t xml:space="preserve">需求。</w:t>
      </w:r>
      <w:r/>
    </w:p>
    <w:p>
      <w:pPr>
        <w:ind w:firstLine="420"/>
        <w:spacing w:after="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1.4履行时间：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物业管理服务合同期限一年，开始时间以签订合同日期为准。</w:t>
      </w:r>
      <w:r/>
    </w:p>
    <w:p>
      <w:pPr>
        <w:ind w:firstLine="420"/>
        <w:spacing w:after="0"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1.5履行地点：南洋镇境内。</w:t>
      </w:r>
      <w:r/>
    </w:p>
    <w:p>
      <w:pPr>
        <w:ind w:firstLine="420"/>
        <w:spacing w:after="0"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1.6履行方式：公开招标</w:t>
      </w:r>
      <w:r/>
    </w:p>
    <w:p>
      <w:pPr>
        <w:numPr>
          <w:ilvl w:val="0"/>
          <w:numId w:val="3"/>
        </w:numPr>
        <w:ind w:left="0" w:firstLine="420"/>
        <w:spacing w:after="0" w:line="360" w:lineRule="auto"/>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合同金额</w:t>
      </w:r>
      <w:r/>
    </w:p>
    <w:p>
      <w:pPr>
        <w:ind w:firstLine="420"/>
        <w:spacing w:after="0" w:line="360" w:lineRule="auto"/>
        <w:rPr>
          <w:rFonts w:hint="eastAsia" w:ascii="宋体" w:hAnsi="宋体" w:eastAsia="宋体"/>
          <w:color w:val="000000" w:themeColor="text1"/>
          <w:sz w:val="21"/>
          <w:szCs w:val="21"/>
          <w:lang w:val="en-US" w:eastAsia="zh-CN"/>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2.1本合同金额为（大写）：____________________________________圆（_______________元）人民币或其他币种。</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三、技术资料</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3.1乙方应按招标文件规定的时间向甲方提供服务（包含与服务相关的货物）的有关技术资料。</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四、知识产权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五、产权担保</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5.1乙方保证所交付的服务（包含与服务相关的货物）的所有权完全属于乙方且无任何抵押、查封等产权瑕疵。</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六、履约保证金</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6.1乙方交纳人民币_________元作为本合同的履约保证金。</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（备注：不得超过合同金额的10%，采购人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应当</w:t>
      </w:r>
      <w:r>
        <w:rPr>
          <w:rFonts w:hint="eastAsia" w:ascii="宋体" w:hAnsi="宋体" w:eastAsia="宋体" w:cs="宋体"/>
          <w:color w:val="000000" w:themeColor="text1"/>
          <w:sz w:val="21"/>
          <w:szCs w:val="21"/>
          <w:highlight w:val="none"/>
          <w14:textFill>
            <w14:solidFill>
              <w14:schemeClr w14:val="tx1"/>
            </w14:solidFill>
          </w14:textFill>
        </w:rPr>
        <w:t xml:space="preserve">对AA评级及以上政府采购供应商（需提供信用管理部门备案的第三方信用报告）免收履约保证金或降低履约保证金缴纳比例。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2确需收取履约保证金的，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履约保证金的缴纳形式：</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6.2.1</w:t>
      </w:r>
      <w:r>
        <w:rPr>
          <w:rFonts w:hint="eastAsia" w:ascii="宋体" w:hAnsi="宋体" w:eastAsia="宋体" w:cs="宋体"/>
          <w:color w:val="000000" w:themeColor="text1"/>
          <w:sz w:val="21"/>
          <w:szCs w:val="21"/>
          <w:highlight w:val="none"/>
          <w14:textFill>
            <w14:solidFill>
              <w14:schemeClr w14:val="tx1"/>
            </w14:solidFill>
          </w14:textFill>
        </w:rPr>
        <w:t xml:space="preserve">供应商应当以支票、汇票、本票或者金融机构、担保机构出具的保函等非现金形式提交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履约保证金</w:t>
      </w:r>
      <w:r>
        <w:rPr>
          <w:rFonts w:hint="eastAsia" w:ascii="宋体" w:hAnsi="宋体" w:eastAsia="宋体" w:cs="宋体"/>
          <w:color w:val="000000" w:themeColor="text1"/>
          <w:sz w:val="21"/>
          <w:szCs w:val="21"/>
          <w:highlight w:val="none"/>
          <w14:textFill>
            <w14:solidFill>
              <w14:schemeClr w14:val="tx1"/>
            </w14:solidFill>
          </w14:textFill>
        </w:rPr>
        <w:t xml:space="preserve">。依据《关于在全省政府采购领域推行电子履约保函（保险）的通知》，鼓励供应商自愿使用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电子</w:t>
      </w:r>
      <w:r>
        <w:rPr>
          <w:rFonts w:hint="eastAsia" w:ascii="宋体" w:hAnsi="宋体" w:eastAsia="宋体" w:cs="宋体"/>
          <w:color w:val="000000" w:themeColor="text1"/>
          <w:sz w:val="21"/>
          <w:szCs w:val="21"/>
          <w:highlight w:val="none"/>
          <w14:textFill>
            <w14:solidFill>
              <w14:schemeClr w14:val="tx1"/>
            </w14:solidFill>
          </w14:textFill>
        </w:rPr>
        <w:t xml:space="preserve">履约保函（保险）代替缴纳履约保证金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6.2.2 如以履约保函（保险）形式缴纳履约保证金，供应商可通过政府采购电子履约保函（保险）平台（www.jsdzbh.com）在线申请履约保函（保险）。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合同履行结束后，甲方应及时退还交纳的履约保证金。</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履约保证金的退还：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.1方式：退还至投标人缴纳履约保证金的账户。如为保函，在到期时自行失效。</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.2时间：验收合格且采购人收到发票后30日内。</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.3条件：按合同要求全部履约完成并经采购人验收合格，且采购人收到中标人出具的发票。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.4不予退还情形：</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（2）中标人不履行与采购人订立的合同的；</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（3）中标人所供货物或服务不符合招标文件规定要求的；</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（4）中标人采取欺骗、弄虚作假方式投标的或与其它投标人串通投标的；</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（5）中标人将合同内容转包、违法分包的；</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（6）中标人故意捏造事实或伪造证明材料，进行虚假恶意投诉或反映的。</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信用管理部门备案的第三方信用报告）免收履约保证金或降低履约保证金缴纳比例。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七、合同转包或分包</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7.1乙方不得将合同标的转包给他人履行。</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7.2乙方不得将合同标的分包给他人履行。</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7.3乙方如有转包或未经甲方同意的分包行为，甲方有权解除合同。</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八、合同款项支付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8.1合同款项的支付方式及进度安排</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8.1.1 预付款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支付时间：合同签订后，采购人收到发票后10个工作日内，预付款支付比例：合同金额的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8.1.2 尾款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支付时间：按月计付服务费,采购人收到发票后10个工作日内，尾款支付比例：合同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金额</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由甲方成立的考核小组对乙方的服务每月进行一次考核，考核满意度达到85%为合格，90%为优良，如考核结果不合格的，一次扣当月服务费用的3%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九、税费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9.1本合同执行中相关的一切税费均由乙方负担。</w:t>
      </w:r>
      <w:r/>
    </w:p>
    <w:p>
      <w:pPr>
        <w:ind w:firstLine="422"/>
        <w:spacing w:line="36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十、  </w:t>
      </w:r>
      <w:r>
        <w:rPr>
          <w:rFonts w:hint="eastAsia" w:ascii="宋体" w:hAnsi="宋体" w:eastAsia="宋体" w:cs="宋体"/>
          <w:b/>
          <w:bCs/>
          <w:color w:val="000000" w:themeColor="text1"/>
          <w:sz w:val="21"/>
          <w:szCs w:val="21"/>
          <w:highlight w:val="none"/>
          <w14:textFill>
            <w14:solidFill>
              <w14:schemeClr w14:val="tx1"/>
            </w14:solidFill>
          </w14:textFill>
        </w:rPr>
        <w:t xml:space="preserve">委托管理主要</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人员配备</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1、项目经理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大专及以上学历，50周岁以内，三年以上工作经验，专业技能熟练，有较强的组织领导能力和协调能力。</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客服</w:t>
      </w:r>
      <w:r>
        <w:rPr>
          <w:rFonts w:hint="eastAsia" w:ascii="宋体" w:hAnsi="宋体" w:eastAsia="宋体" w:cs="宋体"/>
          <w:color w:val="000000" w:themeColor="text1"/>
          <w:sz w:val="21"/>
          <w:szCs w:val="21"/>
          <w:highlight w:val="none"/>
          <w14:textFill>
            <w14:solidFill>
              <w14:schemeClr w14:val="tx1"/>
            </w14:solidFill>
          </w14:textFill>
        </w:rPr>
        <w:t xml:space="preserve">人员要求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总人数不少于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客服</w:t>
      </w:r>
      <w:r>
        <w:rPr>
          <w:rFonts w:hint="eastAsia" w:ascii="宋体" w:hAnsi="宋体" w:eastAsia="宋体" w:cs="宋体"/>
          <w:color w:val="000000" w:themeColor="text1"/>
          <w:sz w:val="21"/>
          <w:szCs w:val="21"/>
          <w:highlight w:val="none"/>
          <w14:textFill>
            <w14:solidFill>
              <w14:schemeClr w14:val="tx1"/>
            </w14:solidFill>
          </w14:textFill>
        </w:rPr>
        <w:t xml:space="preserve">人员服装统一、仪表整洁、挂牌上岗、言行规范。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卫生保洁员要求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总人数不少于14</w:t>
      </w:r>
      <w:r>
        <w:rPr>
          <w:rFonts w:hint="eastAsia" w:ascii="宋体" w:hAnsi="宋体" w:eastAsia="宋体" w:cs="宋体"/>
          <w:color w:val="000000" w:themeColor="text1"/>
          <w:sz w:val="21"/>
          <w:szCs w:val="21"/>
          <w:highlight w:val="none"/>
          <w14:textFill>
            <w14:solidFill>
              <w14:schemeClr w14:val="tx1"/>
            </w14:solidFill>
          </w14:textFill>
        </w:rPr>
        <w:t xml:space="preserve">人，身体健康，工作认真负责并定期接受培训。上岗时佩戴统一标志，按需求穿戴统一制服，仪容仪表规范整齐。文明工作，训练有素，言语规范，认真负责。上岗时间满足采购人实际需求。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、水电工人员要求</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总人数不少于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、杂工人员要求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总人数不少于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人。</w:t>
      </w:r>
      <w:r/>
    </w:p>
    <w:p>
      <w:pPr>
        <w:ind w:firstLine="420"/>
        <w:spacing w:line="360" w:lineRule="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6、绿化工作人员要求</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总人数不少于1人。</w:t>
      </w:r>
      <w:r/>
    </w:p>
    <w:p>
      <w:pPr>
        <w:ind w:firstLine="420"/>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十一、</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其他</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服务要求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能耗费用80000元（其费用用于消防等设施设备专业维保费用、检测和运行水电费用、需更换材料的费用，以及所有设备设施维修服务过程中的材料消耗费用，此费用报价不可更改，最终由</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乙方根据相关凭证</w:t>
      </w:r>
      <w:r>
        <w:rPr>
          <w:rFonts w:hint="eastAsia" w:ascii="宋体" w:hAnsi="宋体" w:eastAsia="宋体" w:cs="宋体"/>
          <w:color w:val="000000" w:themeColor="text1"/>
          <w:sz w:val="21"/>
          <w:szCs w:val="21"/>
          <w:highlight w:val="none"/>
          <w14:textFill>
            <w14:solidFill>
              <w14:schemeClr w14:val="tx1"/>
            </w14:solidFill>
          </w14:textFill>
        </w:rPr>
        <w:t xml:space="preserve">按实与甲方结算</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多退少补</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2.正东、兴隆、才堂等三个新型社区在迎接上级检查、调研等大型接待活动时乙方主动承担社区环境卫生等相关方面的整理、保洁工作。</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lang w:val="en-US" w:eastAsia="zh-CN"/>
          <w14:textFill>
            <w14:solidFill>
              <w14:schemeClr w14:val="tx1"/>
            </w14:solidFill>
          </w14:textFill>
        </w:rPr>
        <w:t xml:space="preserve">.正东、兴隆、才堂等三个新型社区清理装修建筑垃圾和秸秆等费用由乙方承担。</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4.正东、兴隆、才堂等三个新型社区绿化管护由乙方负责。</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5.正东、兴隆、才堂等三个新型社区防汛排涝费用由乙方承担。</w:t>
      </w:r>
      <w:r/>
    </w:p>
    <w:p>
      <w:pPr>
        <w:ind w:firstLine="422"/>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 xml:space="preserve">十二、</w:t>
      </w:r>
      <w:r>
        <w:rPr>
          <w:rFonts w:hint="eastAsia" w:ascii="宋体" w:hAnsi="宋体" w:eastAsia="宋体" w:cs="宋体"/>
          <w:b/>
          <w:bCs/>
          <w:color w:val="000000" w:themeColor="text1"/>
          <w:sz w:val="21"/>
          <w:szCs w:val="21"/>
          <w14:textFill>
            <w14:solidFill>
              <w14:schemeClr w14:val="tx1"/>
            </w14:solidFill>
          </w14:textFill>
        </w:rPr>
        <w:t xml:space="preserve">甲方的权利和义务</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1、乙方招录员工须经培训合格并报甲方备案后上岗。甲方有权根据实际需要要求调整物业服务岗位，乙方应予执行。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2、对乙方管理服务情况实施监督检查，每月审议一次乙方物业管理工作。如乙方因管理不善，造成甲方重大经济损失或管理水平下降的，甲方有权终止合同。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3、协助乙方做好物业管理方面的工作，配合乙方对违反物业管理规定的行为进行处理。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4、积极配合乙方依法和依照本合同规定开展管理活动。</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5、法律法规规定的应由甲方承担的其他责任。</w:t>
      </w:r>
      <w:r/>
    </w:p>
    <w:p>
      <w:pPr>
        <w:ind w:firstLine="42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 xml:space="preserve">十三、</w:t>
      </w:r>
      <w:r>
        <w:rPr>
          <w:rFonts w:hint="eastAsia" w:ascii="宋体" w:hAnsi="宋体" w:eastAsia="宋体" w:cs="宋体"/>
          <w:b/>
          <w:bCs/>
          <w:color w:val="000000" w:themeColor="text1"/>
          <w:sz w:val="21"/>
          <w:szCs w:val="21"/>
          <w14:textFill>
            <w14:solidFill>
              <w14:schemeClr w14:val="tx1"/>
            </w14:solidFill>
          </w14:textFill>
        </w:rPr>
        <w:t xml:space="preserve">  乙方的权利和义务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1、依照有关法律、法规及本合同的规定，根据甲方的委托管理事项制定出本物业“管理分项标准”（各项管理服务的工作标准和考核办法），与甲方协商同意后作为本合同的必备附件</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对本物业实行统一管理，综合服务，开展各项管理服务活动。每月一次向甲方报告本物业管理服务工作情况，并根据甲方的审议要求做好相应整改、完善工作。</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、遵照有关法律、法规及物业管理有关规定，拟定本物业的管理规定、规章制度，实施方案和考核办法，提交甲方审议后执行。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4、对本物业公共设施不得擅自占用和改变使用功能，如需改变用途，须报甲方批准。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6、不得将本物业的管理责任转让给第三方，不得与任何一家物业管理公司进行合作管理本物业。</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7、乙方应加强对员工的教育管理，员工如出现违规、违纪行为，造成纠纷、财产损失、人员伤亡的（包括由于乙方工作人员保洁服务不及时，不彻底导致入院人员意外伤害的），乙方负全部责任。</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、乙方必须按《劳动合同法》和政府有关部门规定按时足额发放物业公司员工的工资，并为全体物业服务人员交纳所有相关的社会保险及其他相关费用，并在投标文件中作出明确承诺。</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、乙方所有服务人员上班时均统一着装并挂牌上岗。</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、法律法规规定的应由乙方承担的其他责任。</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、本合同终止后，乙方必须向甲方移交全部管理用房及物业管理的全部档案资料，甲方不负责乙方招聘人员的安排。</w:t>
      </w:r>
      <w:r/>
    </w:p>
    <w:p>
      <w:pPr>
        <w:numPr>
          <w:ilvl w:val="0"/>
          <w:numId w:val="0"/>
        </w:num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  </w:t>
      </w:r>
      <w:r>
        <w:rPr>
          <w:rFonts w:hint="eastAsia" w:ascii="宋体" w:hAnsi="宋体" w:cs="宋体"/>
          <w:b/>
          <w:bCs/>
          <w:color w:val="000000" w:themeColor="text1"/>
          <w:sz w:val="21"/>
          <w:szCs w:val="21"/>
          <w:lang w:val="en-US" w:eastAsia="zh-CN"/>
          <w14:textFill>
            <w14:solidFill>
              <w14:schemeClr w14:val="tx1"/>
            </w14:solidFill>
          </w14:textFill>
        </w:rPr>
        <w:t xml:space="preserve">  十四、</w:t>
      </w:r>
      <w:r>
        <w:rPr>
          <w:rFonts w:hint="eastAsia" w:ascii="宋体" w:hAnsi="宋体" w:eastAsia="宋体" w:cs="宋体"/>
          <w:b/>
          <w:bCs/>
          <w:color w:val="000000" w:themeColor="text1"/>
          <w:sz w:val="21"/>
          <w:szCs w:val="21"/>
          <w14:textFill>
            <w14:solidFill>
              <w14:schemeClr w14:val="tx1"/>
            </w14:solidFill>
          </w14:textFill>
        </w:rPr>
        <w:t xml:space="preserve"> 合同的构成</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1、本合同书；</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2、本招标文件；</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3、中标人投标文件；</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4、国家相关法律法规。</w:t>
      </w:r>
      <w:r/>
    </w:p>
    <w:p>
      <w:pPr>
        <w:ind w:firstLine="42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 xml:space="preserve">十五、</w:t>
      </w:r>
      <w:r>
        <w:rPr>
          <w:rFonts w:hint="eastAsia" w:ascii="宋体" w:hAnsi="宋体" w:eastAsia="宋体" w:cs="宋体"/>
          <w:b/>
          <w:bCs/>
          <w:color w:val="000000" w:themeColor="text1"/>
          <w:sz w:val="21"/>
          <w:szCs w:val="21"/>
          <w14:textFill>
            <w14:solidFill>
              <w14:schemeClr w14:val="tx1"/>
            </w14:solidFill>
          </w14:textFill>
        </w:rPr>
        <w:t xml:space="preserve"> 考核标准及履约办法</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甲方根据《考核办法》对乙方进行考核，乙方如在服务过程中管理指标未达到承诺标准，甲方有权单方面解除本合同。合同期满后，如未因故扣除履约保证金又不再续约，在双方交接后甲方无息退还履约保证金。</w:t>
      </w:r>
      <w:r/>
    </w:p>
    <w:p>
      <w:pPr>
        <w:ind w:firstLine="42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 xml:space="preserve">十六</w:t>
      </w:r>
      <w:r>
        <w:rPr>
          <w:rFonts w:hint="eastAsia" w:ascii="宋体" w:hAnsi="宋体" w:eastAsia="宋体" w:cs="宋体"/>
          <w:b/>
          <w:bCs/>
          <w:color w:val="000000" w:themeColor="text1"/>
          <w:sz w:val="21"/>
          <w:szCs w:val="21"/>
          <w14:textFill>
            <w14:solidFill>
              <w14:schemeClr w14:val="tx1"/>
            </w14:solidFill>
          </w14:textFill>
        </w:rPr>
        <w:t xml:space="preserve"> </w:t>
      </w:r>
      <w:r>
        <w:rPr>
          <w:rFonts w:hint="eastAsia" w:ascii="宋体" w:hAnsi="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违约责任</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1、因甲方违反本合同，造成乙方未完成规定管理目标或直接造成经济损失的，乙方可要求甲方限期整改或终止合同，并有权要求甲方给与赔偿。</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2、因乙方违反本合同，造成未完成管理目标或直接造成甲方经济损失的，甲方可要求乙方限期整改或终止合同，并有权要求乙方给与赔偿。</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3、因甲方房屋建筑、设施（设备）质量或安装技术不良等原因造成重大事故的，由甲方承担责任并作善后处理。事故的发生原因，以行业主管部门的调查鉴定结论为准。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4、在合同期内，乙方的项目负责人要保持稳定，不得随意调整或更换，确需调整或更换时，必须经过甲方同意后方可进行；甲方发现有擅自调整或更换的，扣履约保证金10%，且甲方有权终止合同。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5、合同履行期间，如遇不可抗力的因素造成经济损失的，双方应相互体谅，协调处理善后事宜。</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6、合同规定的管理期满，本合同自然终止。乙方在通知时间期满10内必须撤离甲方物业管理区，并将相关全部物业管理资料交还甲方，如因未及时提前书面通知对方给对方造成损失的，损失由过失方承担。</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十</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七</w:t>
      </w:r>
      <w:r>
        <w:rPr>
          <w:rFonts w:hint="eastAsia" w:ascii="宋体" w:hAnsi="宋体" w:eastAsia="宋体" w:cs="宋体"/>
          <w:b/>
          <w:bCs/>
          <w:color w:val="000000" w:themeColor="text1"/>
          <w:sz w:val="21"/>
          <w:szCs w:val="21"/>
          <w14:textFill>
            <w14:solidFill>
              <w14:schemeClr w14:val="tx1"/>
            </w14:solidFill>
          </w14:textFill>
        </w:rPr>
        <w:t xml:space="preserve">、不可抗力事件处理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在合同有效期内，任何一方因不可抗力事件导致不能履行合同，则合同履行期可延长，其延长期与不可抗力影响期相同。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不可抗力事件发生后，应立即通知对方，并寄送有关权威机构出具的证明。</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不可抗力事件延续120天以上，双方应通过友好协商，确定是否继续履行合同。</w:t>
      </w:r>
      <w:r/>
    </w:p>
    <w:p>
      <w:pPr>
        <w:ind w:firstLine="42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十八</w:t>
      </w:r>
      <w:r>
        <w:rPr>
          <w:rFonts w:hint="eastAsia" w:ascii="宋体" w:hAnsi="宋体" w:eastAsia="宋体" w:cs="宋体"/>
          <w:b/>
          <w:bCs/>
          <w:color w:val="000000" w:themeColor="text1"/>
          <w:sz w:val="21"/>
          <w:szCs w:val="21"/>
          <w14:textFill>
            <w14:solidFill>
              <w14:schemeClr w14:val="tx1"/>
            </w14:solidFill>
          </w14:textFill>
        </w:rPr>
        <w:t xml:space="preserve">、解决争议的方法</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双方在签订、履行合同中所发生的一切争议，应通过友好协商解决。如协商不成，由甲方住所地人民法院管辖。</w:t>
      </w:r>
      <w:r/>
    </w:p>
    <w:p>
      <w:pPr>
        <w:ind w:firstLine="42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十九</w:t>
      </w:r>
      <w:r>
        <w:rPr>
          <w:rFonts w:hint="eastAsia" w:ascii="宋体" w:hAnsi="宋体" w:eastAsia="宋体" w:cs="宋体"/>
          <w:b/>
          <w:bCs/>
          <w:color w:val="000000" w:themeColor="text1"/>
          <w:sz w:val="21"/>
          <w:szCs w:val="21"/>
          <w14:textFill>
            <w14:solidFill>
              <w14:schemeClr w14:val="tx1"/>
            </w14:solidFill>
          </w14:textFill>
        </w:rPr>
        <w:t xml:space="preserve">、合同生效及其</w:t>
      </w:r>
      <w:r>
        <w:rPr>
          <w:rFonts w:hint="eastAsia" w:ascii="宋体" w:hAnsi="宋体" w:eastAsia="宋体" w:cs="宋体"/>
          <w:b/>
          <w:bCs/>
          <w:color w:val="000000" w:themeColor="text1"/>
          <w:sz w:val="21"/>
          <w:szCs w:val="21"/>
          <w:lang w:eastAsia="zh-CN"/>
          <w14:textFill>
            <w14:solidFill>
              <w14:schemeClr w14:val="tx1"/>
            </w14:solidFill>
          </w14:textFill>
        </w:rPr>
        <w:t xml:space="preserve">他</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合同经双方法定代表人或授权委托代表人签字并加盖单位公章后生效。</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本合同未尽事宜，遵照《民法典》、《政府采购法》有关条文执行。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本合同正本一式两份，具有同等法律效力，甲方、乙方各执一份。</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p>
      <w:pPr>
        <w:pStyle w:val="766"/>
        <w:ind w:firstLine="420"/>
        <w:jc w:val="both"/>
        <w:spacing w:before="120" w:beforeAutospacing="0" w:after="120" w:afterAutospacing="0" w:line="0" w:lineRule="atLeas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甲方：                   乙方： </w:t>
      </w:r>
      <w:r/>
    </w:p>
    <w:p>
      <w:pPr>
        <w:pStyle w:val="766"/>
        <w:ind w:firstLine="420"/>
        <w:jc w:val="both"/>
        <w:spacing w:before="120" w:beforeAutospacing="0" w:after="120" w:afterAutospacing="0" w:line="0" w:lineRule="atLeas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地址：                   地址： </w:t>
      </w:r>
      <w:r/>
    </w:p>
    <w:p>
      <w:pPr>
        <w:pStyle w:val="766"/>
        <w:ind w:firstLine="420"/>
        <w:jc w:val="both"/>
        <w:spacing w:before="120" w:beforeAutospacing="0" w:after="120" w:afterAutospacing="0" w:line="0" w:lineRule="atLeas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法定代表人或授权代表：           法定代表人或授权代表：</w:t>
      </w:r>
      <w:r/>
    </w:p>
    <w:p>
      <w:pPr>
        <w:pStyle w:val="766"/>
        <w:ind w:firstLine="420"/>
        <w:jc w:val="both"/>
        <w:spacing w:before="120" w:beforeAutospacing="0" w:after="120" w:afterAutospacing="0" w:line="0" w:lineRule="atLeas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联系电话：                 联系电话：          </w:t>
      </w:r>
      <w:r/>
    </w:p>
    <w:p>
      <w:pPr>
        <w:ind w:firstLine="420"/>
        <w:spacing w:line="360" w:lineRule="auto"/>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                                         </w:t>
      </w:r>
      <w:r/>
    </w:p>
    <w:p>
      <w:pPr>
        <w:ind w:firstLine="3990"/>
        <w:spacing w:line="36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 签订日期：      年    月   日</w:t>
      </w:r>
      <w:r>
        <w:rPr>
          <w:rFonts w:hint="eastAsia" w:ascii="黑体" w:hAnsi="宋体" w:eastAsia="黑体" w:cs="黑体"/>
          <w:color w:val="auto"/>
          <w:sz w:val="44"/>
          <w:szCs w:val="44"/>
          <w:highlight w:val="none"/>
        </w:rPr>
        <w:br w:type="page" w:clear="all"/>
      </w:r>
      <w:r/>
    </w:p>
    <w:p>
      <w:pPr>
        <w:spacing w:line="480" w:lineRule="exact"/>
        <w:rPr>
          <w:rFonts w:ascii="宋体" w:hAnsi="宋体"/>
          <w:b/>
          <w:bCs/>
          <w:color w:val="000000" w:themeColor="text1"/>
          <w:sz w:val="30"/>
          <w:szCs w:val="30"/>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考核细则表</w:t>
      </w:r>
      <w:r/>
    </w:p>
    <w:p>
      <w:pPr>
        <w:jc w:val="center"/>
        <w:spacing w:line="480" w:lineRule="exact"/>
        <w:rPr>
          <w:rFonts w:ascii="宋体" w:hAnsi="宋体"/>
          <w:b/>
          <w:bCs/>
          <w:color w:val="000000" w:themeColor="text1"/>
          <w:sz w:val="30"/>
          <w:szCs w:val="30"/>
          <w14:textFill>
            <w14:solidFill>
              <w14:schemeClr w14:val="tx1"/>
            </w14:solidFill>
          </w14:textFill>
        </w:rPr>
      </w:pPr>
      <w:r>
        <w:rPr>
          <w:rFonts w:hint="eastAsia" w:ascii="宋体" w:hAnsi="宋体"/>
          <w:b/>
          <w:bCs/>
          <w:color w:val="000000" w:themeColor="text1"/>
          <w:sz w:val="30"/>
          <w:szCs w:val="30"/>
          <w14:textFill>
            <w14:solidFill>
              <w14:schemeClr w14:val="tx1"/>
            </w14:solidFill>
          </w14:textFill>
        </w:rPr>
        <w:t xml:space="preserve">考核检查表——卫生保洁</w:t>
      </w:r>
      <w:r/>
    </w:p>
    <w:tbl>
      <w:tblPr>
        <w:tblStyle w:val="742"/>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532"/>
        <w:gridCol w:w="3327"/>
        <w:gridCol w:w="636"/>
        <w:gridCol w:w="636"/>
        <w:gridCol w:w="846"/>
        <w:gridCol w:w="846"/>
        <w:gridCol w:w="846"/>
        <w:gridCol w:w="427"/>
      </w:tblGrid>
      <w:tr>
        <w:trPr>
          <w:trHeight w:val="1083"/>
        </w:trPr>
        <w:tc>
          <w:tcPr>
            <w:shd w:val="clear" w:color="auto" w:fill="d7d7d7"/>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序号</w:t>
            </w:r>
            <w:r/>
          </w:p>
        </w:tc>
        <w:tc>
          <w:tcPr>
            <w:shd w:val="clear" w:color="auto" w:fill="d7d7d7"/>
            <w:tcW w:w="312"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检查项目</w:t>
            </w:r>
            <w:r/>
          </w:p>
        </w:tc>
        <w:tc>
          <w:tcPr>
            <w:shd w:val="clear" w:color="auto" w:fill="d7d7d7"/>
            <w:tcW w:w="19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评分细则</w:t>
            </w:r>
            <w:r/>
          </w:p>
        </w:tc>
        <w:tc>
          <w:tcPr>
            <w:shd w:val="clear" w:color="auto" w:fill="d7d7d7"/>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扣分标准（分/次）</w:t>
            </w:r>
            <w:r/>
          </w:p>
        </w:tc>
        <w:tc>
          <w:tcPr>
            <w:shd w:val="clear" w:color="auto" w:fill="d7d7d7"/>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扣款标准（元/次）</w:t>
            </w:r>
            <w:r/>
          </w:p>
        </w:tc>
        <w:tc>
          <w:tcPr>
            <w:shd w:val="clear" w:color="auto" w:fill="d7d7d7"/>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处罚次数（次）</w:t>
            </w:r>
            <w:r/>
          </w:p>
        </w:tc>
        <w:tc>
          <w:tcPr>
            <w:shd w:val="clear" w:color="auto" w:fill="d7d7d7"/>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累计扣分（分）</w:t>
            </w:r>
            <w:r/>
          </w:p>
        </w:tc>
        <w:tc>
          <w:tcPr>
            <w:shd w:val="clear" w:color="auto" w:fill="d7d7d7"/>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累计扣款（元）</w:t>
            </w:r>
            <w:r/>
          </w:p>
        </w:tc>
        <w:tc>
          <w:tcPr>
            <w:shd w:val="clear" w:color="auto" w:fill="d7d7d7"/>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lang w:bidi="ar"/>
                <w14:textFill>
                  <w14:solidFill>
                    <w14:schemeClr w14:val="tx1"/>
                  </w14:solidFill>
                </w14:textFill>
              </w:rPr>
              <w:t xml:space="preserve">不合格原因描述</w:t>
            </w:r>
            <w:r/>
          </w:p>
        </w:tc>
      </w:tr>
      <w:tr>
        <w:trPr>
          <w:trHeight w:val="675"/>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w:t>
            </w:r>
            <w:r/>
          </w:p>
        </w:tc>
        <w:tc>
          <w:tcPr>
            <w:tcW w:w="312" w:type="pct"/>
            <w:vAlign w:val="center"/>
            <w:vMerge w:val="restart"/>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基本要求</w:t>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服务人员服从工作安排，及时完成工作任务；</w:t>
            </w:r>
            <w:r/>
          </w:p>
        </w:tc>
        <w:tc>
          <w:tcPr>
            <w:tcW w:w="373" w:type="pct"/>
            <w:vAlign w:val="center"/>
            <w:textDirection w:val="lrTb"/>
            <w:noWrap w:val="false"/>
          </w:tcPr>
          <w:p>
            <w:pPr>
              <w:jc w:val="center"/>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100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508"/>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2</w:t>
            </w:r>
            <w:r/>
          </w:p>
        </w:tc>
        <w:tc>
          <w:tcPr>
            <w:tcW w:w="312" w:type="pct"/>
            <w:vAlign w:val="center"/>
            <w:vMerge w:val="continue"/>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服务人员按要求统一服装，佩戴工牌，上下班按时签到；</w:t>
            </w:r>
            <w:r/>
          </w:p>
        </w:tc>
        <w:tc>
          <w:tcPr>
            <w:tcW w:w="373" w:type="pct"/>
            <w:vAlign w:val="center"/>
            <w:textDirection w:val="lrTb"/>
            <w:noWrap w:val="false"/>
          </w:tcPr>
          <w:p>
            <w:pPr>
              <w:jc w:val="center"/>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94"/>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3</w:t>
            </w:r>
            <w:r/>
          </w:p>
        </w:tc>
        <w:tc>
          <w:tcPr>
            <w:tcW w:w="312" w:type="pct"/>
            <w:vAlign w:val="center"/>
            <w:vMerge w:val="continue"/>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服务人员熟悉服务标准和操作规程，按保洁频率签到；</w:t>
            </w:r>
            <w:r/>
          </w:p>
        </w:tc>
        <w:tc>
          <w:tcPr>
            <w:tcW w:w="373" w:type="pct"/>
            <w:vAlign w:val="center"/>
            <w:textDirection w:val="lrTb"/>
            <w:noWrap w:val="false"/>
          </w:tcPr>
          <w:p>
            <w:pPr>
              <w:jc w:val="center"/>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94"/>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4</w:t>
            </w:r>
            <w:r/>
          </w:p>
        </w:tc>
        <w:tc>
          <w:tcPr>
            <w:tcW w:w="312" w:type="pct"/>
            <w:vAlign w:val="center"/>
            <w:vMerge w:val="continue"/>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按时制定提供区域责任分配表、清洁、消杀实施计划；</w:t>
            </w:r>
            <w:r/>
          </w:p>
        </w:tc>
        <w:tc>
          <w:tcPr>
            <w:tcW w:w="373" w:type="pct"/>
            <w:vAlign w:val="center"/>
            <w:textDirection w:val="lrTb"/>
            <w:noWrap w:val="false"/>
          </w:tcPr>
          <w:p>
            <w:pPr>
              <w:jc w:val="center"/>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392"/>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w:t>
            </w:r>
            <w:r/>
          </w:p>
        </w:tc>
        <w:tc>
          <w:tcPr>
            <w:tcW w:w="312" w:type="pct"/>
            <w:vAlign w:val="center"/>
            <w:vMerge w:val="continue"/>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日、周检记录规范，发现问题处理及时；</w:t>
            </w:r>
            <w:r/>
          </w:p>
        </w:tc>
        <w:tc>
          <w:tcPr>
            <w:tcW w:w="373" w:type="pct"/>
            <w:vAlign w:val="center"/>
            <w:textDirection w:val="lrTb"/>
            <w:noWrap w:val="false"/>
          </w:tcPr>
          <w:p>
            <w:pPr>
              <w:jc w:val="center"/>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100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94"/>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6</w:t>
            </w:r>
            <w:r/>
          </w:p>
        </w:tc>
        <w:tc>
          <w:tcPr>
            <w:tcW w:w="312" w:type="pct"/>
            <w:vAlign w:val="center"/>
            <w:vMerge w:val="restart"/>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公共区域</w:t>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公共部位地面、墙面、玻璃、门窗干净，无灰尘、污迹；</w:t>
            </w:r>
            <w:r/>
          </w:p>
        </w:tc>
        <w:tc>
          <w:tcPr>
            <w:tcW w:w="373" w:type="pct"/>
            <w:vAlign w:val="center"/>
            <w:textDirection w:val="lrTb"/>
            <w:noWrap w:val="false"/>
          </w:tcPr>
          <w:p>
            <w:pPr>
              <w:jc w:val="center"/>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23"/>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7</w:t>
            </w:r>
            <w:r/>
          </w:p>
        </w:tc>
        <w:tc>
          <w:tcPr>
            <w:tcW w:w="312" w:type="pct"/>
            <w:vAlign w:val="center"/>
            <w:vMerge w:val="continue"/>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公共设施、设备、物品、灯饰无锈迹、无灰尘；摆放整齐，干净；</w:t>
            </w:r>
            <w:r/>
          </w:p>
        </w:tc>
        <w:tc>
          <w:tcPr>
            <w:tcW w:w="373" w:type="pct"/>
            <w:vAlign w:val="center"/>
            <w:textDirection w:val="lrTb"/>
            <w:noWrap w:val="false"/>
          </w:tcPr>
          <w:p>
            <w:pPr>
              <w:jc w:val="center"/>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675"/>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8</w:t>
            </w:r>
            <w:r/>
          </w:p>
        </w:tc>
        <w:tc>
          <w:tcPr>
            <w:tcW w:w="312" w:type="pct"/>
            <w:vAlign w:val="center"/>
            <w:vMerge w:val="continue"/>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每天清扫室外场地的地面，巡回保洁，发现污染物应及时处理。对区域内各种设施、标识标牌进行抹尘和清洗，保持外围干净、整洁；</w:t>
            </w:r>
            <w:r/>
          </w:p>
        </w:tc>
        <w:tc>
          <w:tcPr>
            <w:tcW w:w="373" w:type="pct"/>
            <w:vAlign w:val="center"/>
            <w:textDirection w:val="lrTb"/>
            <w:noWrap w:val="false"/>
          </w:tcPr>
          <w:p>
            <w:pPr>
              <w:jc w:val="center"/>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675"/>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9</w:t>
            </w:r>
            <w:r/>
          </w:p>
        </w:tc>
        <w:tc>
          <w:tcPr>
            <w:tcW w:w="312" w:type="pct"/>
            <w:vAlign w:val="center"/>
            <w:vMerge w:val="continue"/>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垃圾堆放不超过桶身1/2；垃圾桶身无污渍、痰迹；大楼外垃圾桶日产日清；</w:t>
            </w:r>
            <w:r/>
          </w:p>
        </w:tc>
        <w:tc>
          <w:tcPr>
            <w:tcW w:w="373" w:type="pct"/>
            <w:vAlign w:val="center"/>
            <w:textDirection w:val="lrTb"/>
            <w:noWrap w:val="false"/>
          </w:tcPr>
          <w:p>
            <w:pPr>
              <w:jc w:val="center"/>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94"/>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10</w:t>
            </w:r>
            <w:r/>
          </w:p>
        </w:tc>
        <w:tc>
          <w:tcPr>
            <w:tcW w:w="312" w:type="pct"/>
            <w:vAlign w:val="center"/>
            <w:vMerge w:val="restart"/>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楼道</w:t>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楼道打扫干净，无杂物堆放，无乱贴乱放，无蜘蛛网；</w:t>
            </w:r>
            <w:r/>
          </w:p>
        </w:tc>
        <w:tc>
          <w:tcPr>
            <w:tcW w:w="373" w:type="pct"/>
            <w:vAlign w:val="center"/>
            <w:textDirection w:val="lrTb"/>
            <w:noWrap w:val="false"/>
          </w:tcPr>
          <w:p>
            <w:pPr>
              <w:jc w:val="center"/>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513"/>
        </w:trPr>
        <w:tc>
          <w:tcPr>
            <w:tcW w:w="249"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11</w:t>
            </w:r>
            <w:r/>
          </w:p>
        </w:tc>
        <w:tc>
          <w:tcPr>
            <w:tcW w:w="312" w:type="pct"/>
            <w:vAlign w:val="center"/>
            <w:vMerge w:val="continue"/>
            <w:textDirection w:val="lrTb"/>
            <w:noWrap w:val="false"/>
          </w:tcPr>
          <w:p>
            <w:pPr>
              <w:spacing w:line="240" w:lineRule="exact"/>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exact"/>
              <w:rPr>
                <w:rFonts w:ascii="宋体" w:hAnsi="宋体" w:cs="楷体"/>
                <w:color w:val="auto"/>
                <w:sz w:val="21"/>
                <w:szCs w:val="21"/>
              </w:rPr>
            </w:pPr>
            <w:r>
              <w:rPr>
                <w:rFonts w:hint="eastAsia" w:ascii="宋体" w:hAnsi="宋体" w:cs="楷体"/>
                <w:color w:val="auto"/>
                <w:sz w:val="21"/>
                <w:szCs w:val="21"/>
                <w:lang w:val="en-US" w:eastAsia="zh-CN"/>
              </w:rPr>
              <w:t xml:space="preserve">公共区域</w:t>
            </w:r>
            <w:r>
              <w:rPr>
                <w:rFonts w:hint="eastAsia" w:ascii="宋体" w:hAnsi="宋体" w:cs="楷体"/>
                <w:color w:val="auto"/>
                <w:sz w:val="21"/>
                <w:szCs w:val="21"/>
              </w:rPr>
              <w:t xml:space="preserve">楼道墙面、地面、护栏、扶手、玻璃、窗台干净，无</w:t>
            </w:r>
            <w:r>
              <w:rPr>
                <w:rFonts w:hint="eastAsia" w:ascii="宋体" w:hAnsi="宋体" w:cs="楷体"/>
                <w:color w:val="auto"/>
                <w:sz w:val="21"/>
                <w:szCs w:val="21"/>
                <w:lang w:val="en-US" w:eastAsia="zh-CN"/>
              </w:rPr>
              <w:t xml:space="preserve">灰尘</w:t>
            </w:r>
            <w:r>
              <w:rPr>
                <w:rFonts w:hint="eastAsia" w:ascii="宋体" w:hAnsi="宋体" w:cs="楷体"/>
                <w:color w:val="auto"/>
                <w:sz w:val="21"/>
                <w:szCs w:val="21"/>
              </w:rPr>
              <w:t xml:space="preserve">；</w:t>
            </w:r>
            <w:r/>
          </w:p>
        </w:tc>
        <w:tc>
          <w:tcPr>
            <w:tcW w:w="373"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675"/>
        </w:trPr>
        <w:tc>
          <w:tcPr>
            <w:tcW w:w="249"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12</w:t>
            </w:r>
            <w:r/>
          </w:p>
        </w:tc>
        <w:tc>
          <w:tcPr>
            <w:tcW w:w="312" w:type="pct"/>
            <w:vAlign w:val="center"/>
            <w:vMerge w:val="restart"/>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会议室</w:t>
            </w:r>
            <w:r/>
          </w:p>
        </w:tc>
        <w:tc>
          <w:tcPr>
            <w:tcW w:w="1950" w:type="pct"/>
            <w:vAlign w:val="center"/>
            <w:textDirection w:val="lrTb"/>
            <w:noWrap w:val="false"/>
          </w:tcPr>
          <w:p>
            <w:pPr>
              <w:jc w:val="left"/>
              <w:spacing w:line="240" w:lineRule="exact"/>
              <w:rPr>
                <w:rFonts w:ascii="宋体" w:hAnsi="宋体" w:cs="楷体"/>
                <w:color w:val="auto"/>
                <w:sz w:val="21"/>
                <w:szCs w:val="21"/>
              </w:rPr>
            </w:pPr>
            <w:r>
              <w:rPr>
                <w:rFonts w:hint="eastAsia" w:ascii="宋体" w:hAnsi="宋体" w:cs="楷体"/>
                <w:color w:val="auto"/>
                <w:sz w:val="21"/>
                <w:szCs w:val="21"/>
              </w:rPr>
              <w:t xml:space="preserve">会议桌打扫干净，无污迹、无灰尘；光亮，无手印、污迹，无异味；</w:t>
            </w:r>
            <w:r/>
          </w:p>
        </w:tc>
        <w:tc>
          <w:tcPr>
            <w:tcW w:w="373"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13</w:t>
            </w:r>
            <w:r/>
          </w:p>
        </w:tc>
        <w:tc>
          <w:tcPr>
            <w:tcW w:w="31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exact"/>
              <w:rPr>
                <w:rFonts w:ascii="宋体" w:hAnsi="宋体" w:cs="楷体"/>
                <w:color w:val="auto"/>
                <w:sz w:val="21"/>
                <w:szCs w:val="21"/>
              </w:rPr>
            </w:pPr>
            <w:r>
              <w:rPr>
                <w:rFonts w:hint="eastAsia" w:ascii="宋体" w:hAnsi="宋体" w:cs="楷体"/>
                <w:color w:val="auto"/>
                <w:sz w:val="21"/>
                <w:szCs w:val="21"/>
              </w:rPr>
              <w:t xml:space="preserve">天花板灯饰、灯具无灰尘，轨槽干净，无杂物、积灰；</w:t>
            </w:r>
            <w:r/>
          </w:p>
        </w:tc>
        <w:tc>
          <w:tcPr>
            <w:tcW w:w="373"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675"/>
        </w:trPr>
        <w:tc>
          <w:tcPr>
            <w:tcW w:w="249"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14</w:t>
            </w:r>
            <w:r/>
          </w:p>
        </w:tc>
        <w:tc>
          <w:tcPr>
            <w:tcW w:w="312"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停车场</w:t>
            </w:r>
            <w:r/>
          </w:p>
        </w:tc>
        <w:tc>
          <w:tcPr>
            <w:tcW w:w="1950" w:type="pct"/>
            <w:vAlign w:val="center"/>
            <w:textDirection w:val="lrTb"/>
            <w:noWrap w:val="false"/>
          </w:tcPr>
          <w:p>
            <w:pPr>
              <w:jc w:val="left"/>
              <w:spacing w:line="240" w:lineRule="exact"/>
              <w:rPr>
                <w:rFonts w:ascii="宋体" w:hAnsi="宋体" w:cs="楷体"/>
                <w:color w:val="auto"/>
                <w:sz w:val="21"/>
                <w:szCs w:val="21"/>
              </w:rPr>
            </w:pPr>
            <w:r>
              <w:rPr>
                <w:rFonts w:hint="eastAsia" w:ascii="宋体" w:hAnsi="宋体" w:cs="楷体"/>
                <w:color w:val="auto"/>
                <w:sz w:val="21"/>
                <w:szCs w:val="21"/>
              </w:rPr>
              <w:t xml:space="preserve">机动车、非机动车停车场地，雨雪特殊天气加强清扫力度造成路面无积水、泥土；</w:t>
            </w:r>
            <w:r/>
          </w:p>
        </w:tc>
        <w:tc>
          <w:tcPr>
            <w:tcW w:w="373" w:type="pct"/>
            <w:vAlign w:val="center"/>
            <w:textDirection w:val="lrTb"/>
            <w:noWrap w:val="false"/>
          </w:tcPr>
          <w:p>
            <w:pPr>
              <w:jc w:val="center"/>
              <w:rPr>
                <w:rFonts w:hint="eastAsia" w:ascii="宋体" w:hAnsi="宋体" w:eastAsia="宋体"/>
                <w:color w:val="auto"/>
                <w:sz w:val="21"/>
                <w:szCs w:val="21"/>
                <w:lang w:eastAsia="zh-CN"/>
              </w:rPr>
            </w:pPr>
            <w:r>
              <w:rPr>
                <w:rFonts w:hint="eastAsia" w:ascii="宋体" w:hAnsi="宋体" w:cs="楷体"/>
                <w:color w:val="auto"/>
                <w:sz w:val="21"/>
                <w:szCs w:val="21"/>
                <w:lang w:val="en-US" w:eastAsia="zh-CN"/>
              </w:rPr>
              <w:t xml:space="preserve">1</w:t>
            </w:r>
            <w:r/>
          </w:p>
        </w:tc>
        <w:tc>
          <w:tcPr>
            <w:tcW w:w="373"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exact"/>
              <w:rPr>
                <w:rFonts w:hint="eastAsia" w:ascii="宋体" w:hAnsi="宋体" w:eastAsia="宋体" w:cs="楷体"/>
                <w:color w:val="auto"/>
                <w:sz w:val="21"/>
                <w:szCs w:val="21"/>
                <w:lang w:eastAsia="zh-CN"/>
              </w:rPr>
            </w:pPr>
            <w:r>
              <w:rPr>
                <w:rFonts w:hint="eastAsia" w:ascii="宋体" w:hAnsi="宋体" w:cs="楷体"/>
                <w:color w:val="auto"/>
                <w:sz w:val="21"/>
                <w:szCs w:val="21"/>
              </w:rPr>
              <w:t xml:space="preserve">1</w:t>
            </w:r>
            <w:r>
              <w:rPr>
                <w:rFonts w:hint="eastAsia" w:ascii="宋体" w:hAnsi="宋体" w:cs="楷体"/>
                <w:color w:val="auto"/>
                <w:sz w:val="21"/>
                <w:szCs w:val="21"/>
                <w:lang w:val="en-US" w:eastAsia="zh-CN"/>
              </w:rPr>
              <w:t xml:space="preserve">5</w:t>
            </w:r>
            <w:r/>
          </w:p>
        </w:tc>
        <w:tc>
          <w:tcPr>
            <w:tcW w:w="312" w:type="pct"/>
            <w:vAlign w:val="center"/>
            <w:vMerge w:val="restart"/>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 公厕</w:t>
            </w:r>
            <w:r/>
          </w:p>
        </w:tc>
        <w:tc>
          <w:tcPr>
            <w:tcW w:w="1950" w:type="pct"/>
            <w:vAlign w:val="center"/>
            <w:textDirection w:val="lrTb"/>
            <w:noWrap w:val="false"/>
          </w:tcPr>
          <w:p>
            <w:pPr>
              <w:jc w:val="left"/>
              <w:spacing w:line="240" w:lineRule="exact"/>
              <w:rPr>
                <w:rFonts w:ascii="宋体" w:hAnsi="宋体" w:cs="楷体"/>
                <w:color w:val="auto"/>
                <w:sz w:val="21"/>
                <w:szCs w:val="21"/>
              </w:rPr>
            </w:pPr>
            <w:r>
              <w:rPr>
                <w:rFonts w:hint="eastAsia" w:ascii="宋体" w:hAnsi="宋体" w:cs="楷体"/>
                <w:color w:val="auto"/>
                <w:sz w:val="21"/>
                <w:szCs w:val="21"/>
              </w:rPr>
              <w:t xml:space="preserve">墙面、地面、台面、镜面打扫干净，无积水，无异味；</w:t>
            </w:r>
            <w:r/>
          </w:p>
        </w:tc>
        <w:tc>
          <w:tcPr>
            <w:tcW w:w="373"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513"/>
        </w:trPr>
        <w:tc>
          <w:tcPr>
            <w:tcW w:w="249" w:type="pct"/>
            <w:vAlign w:val="center"/>
            <w:textDirection w:val="lrTb"/>
            <w:noWrap w:val="false"/>
          </w:tcPr>
          <w:p>
            <w:pPr>
              <w:jc w:val="center"/>
              <w:spacing w:line="240" w:lineRule="exact"/>
              <w:rPr>
                <w:rFonts w:hint="eastAsia" w:ascii="宋体" w:hAnsi="宋体" w:eastAsia="宋体" w:cs="楷体"/>
                <w:color w:val="auto"/>
                <w:sz w:val="21"/>
                <w:szCs w:val="21"/>
                <w:lang w:eastAsia="zh-CN"/>
              </w:rPr>
            </w:pPr>
            <w:r>
              <w:rPr>
                <w:rFonts w:hint="eastAsia" w:ascii="宋体" w:hAnsi="宋体" w:cs="楷体"/>
                <w:color w:val="auto"/>
                <w:sz w:val="21"/>
                <w:szCs w:val="21"/>
              </w:rPr>
              <w:t xml:space="preserve">1</w:t>
            </w:r>
            <w:r>
              <w:rPr>
                <w:rFonts w:hint="eastAsia" w:ascii="宋体" w:hAnsi="宋体" w:cs="楷体"/>
                <w:color w:val="auto"/>
                <w:sz w:val="21"/>
                <w:szCs w:val="21"/>
                <w:lang w:val="en-US" w:eastAsia="zh-CN"/>
              </w:rPr>
              <w:t xml:space="preserve">6</w:t>
            </w:r>
            <w:r/>
          </w:p>
        </w:tc>
        <w:tc>
          <w:tcPr>
            <w:tcW w:w="31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exact"/>
              <w:rPr>
                <w:rFonts w:ascii="宋体" w:hAnsi="宋体" w:cs="楷体"/>
                <w:color w:val="auto"/>
                <w:sz w:val="21"/>
                <w:szCs w:val="21"/>
              </w:rPr>
            </w:pPr>
            <w:r>
              <w:rPr>
                <w:rFonts w:hint="eastAsia" w:ascii="宋体" w:hAnsi="宋体" w:cs="楷体"/>
                <w:color w:val="auto"/>
                <w:sz w:val="21"/>
                <w:szCs w:val="21"/>
              </w:rPr>
              <w:t xml:space="preserve">卫生间便器洁净，无色渍；</w:t>
            </w:r>
            <w:r/>
          </w:p>
        </w:tc>
        <w:tc>
          <w:tcPr>
            <w:tcW w:w="373"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exact"/>
              <w:rPr>
                <w:rFonts w:hint="eastAsia" w:ascii="宋体" w:hAnsi="宋体" w:eastAsia="宋体" w:cs="楷体"/>
                <w:color w:val="auto"/>
                <w:sz w:val="21"/>
                <w:szCs w:val="21"/>
                <w:lang w:eastAsia="zh-CN"/>
              </w:rPr>
            </w:pPr>
            <w:r>
              <w:rPr>
                <w:rFonts w:hint="eastAsia" w:ascii="宋体" w:hAnsi="宋体" w:cs="楷体"/>
                <w:color w:val="auto"/>
                <w:sz w:val="21"/>
                <w:szCs w:val="21"/>
              </w:rPr>
              <w:t xml:space="preserve">1</w:t>
            </w:r>
            <w:r>
              <w:rPr>
                <w:rFonts w:hint="eastAsia" w:ascii="宋体" w:hAnsi="宋体" w:cs="楷体"/>
                <w:color w:val="auto"/>
                <w:sz w:val="21"/>
                <w:szCs w:val="21"/>
                <w:lang w:val="en-US" w:eastAsia="zh-CN"/>
              </w:rPr>
              <w:t xml:space="preserve">7</w:t>
            </w:r>
            <w:r/>
          </w:p>
        </w:tc>
        <w:tc>
          <w:tcPr>
            <w:tcW w:w="312" w:type="pct"/>
            <w:vAlign w:val="center"/>
            <w:vMerge w:val="restart"/>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道路</w:t>
            </w:r>
            <w:r/>
          </w:p>
        </w:tc>
        <w:tc>
          <w:tcPr>
            <w:tcW w:w="1950" w:type="pct"/>
            <w:vAlign w:val="center"/>
            <w:textDirection w:val="lrTb"/>
            <w:noWrap w:val="false"/>
          </w:tcPr>
          <w:p>
            <w:pPr>
              <w:jc w:val="left"/>
              <w:spacing w:line="240" w:lineRule="exact"/>
              <w:rPr>
                <w:rFonts w:hint="default" w:ascii="宋体" w:hAnsi="宋体" w:eastAsia="宋体" w:cs="楷体"/>
                <w:color w:val="auto"/>
                <w:sz w:val="21"/>
                <w:szCs w:val="21"/>
                <w:lang w:val="en-US" w:eastAsia="zh-CN"/>
              </w:rPr>
            </w:pPr>
            <w:r>
              <w:rPr>
                <w:rFonts w:hint="eastAsia" w:ascii="宋体" w:hAnsi="宋体" w:cs="楷体"/>
                <w:color w:val="auto"/>
                <w:sz w:val="21"/>
                <w:szCs w:val="21"/>
              </w:rPr>
              <w:t xml:space="preserve">路面打扫干净，无杂物、油污、积水、污渍；</w:t>
            </w:r>
            <w:r>
              <w:rPr>
                <w:rFonts w:hint="eastAsia" w:ascii="宋体" w:hAnsi="宋体" w:cs="楷体"/>
                <w:color w:val="auto"/>
                <w:sz w:val="21"/>
                <w:szCs w:val="21"/>
                <w:lang w:val="en-US" w:eastAsia="zh-CN"/>
              </w:rPr>
              <w:t xml:space="preserve">楼外垃圾桶，周围无杂物；</w:t>
            </w:r>
            <w:r/>
          </w:p>
        </w:tc>
        <w:tc>
          <w:tcPr>
            <w:tcW w:w="373"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exact"/>
              <w:rPr>
                <w:rFonts w:hint="eastAsia" w:ascii="宋体" w:hAnsi="宋体" w:eastAsia="宋体" w:cs="楷体"/>
                <w:color w:val="auto"/>
                <w:sz w:val="21"/>
                <w:szCs w:val="21"/>
                <w:lang w:eastAsia="zh-CN"/>
              </w:rPr>
            </w:pPr>
            <w:r>
              <w:rPr>
                <w:rFonts w:hint="eastAsia" w:ascii="宋体" w:hAnsi="宋体" w:cs="楷体"/>
                <w:color w:val="auto"/>
                <w:sz w:val="21"/>
                <w:szCs w:val="21"/>
              </w:rPr>
              <w:t xml:space="preserve">1</w:t>
            </w:r>
            <w:r>
              <w:rPr>
                <w:rFonts w:hint="eastAsia" w:ascii="宋体" w:hAnsi="宋体" w:cs="楷体"/>
                <w:color w:val="auto"/>
                <w:sz w:val="21"/>
                <w:szCs w:val="21"/>
                <w:lang w:val="en-US" w:eastAsia="zh-CN"/>
              </w:rPr>
              <w:t xml:space="preserve">8</w:t>
            </w:r>
            <w:r/>
          </w:p>
        </w:tc>
        <w:tc>
          <w:tcPr>
            <w:tcW w:w="31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exact"/>
              <w:rPr>
                <w:rFonts w:ascii="宋体" w:hAnsi="宋体" w:cs="楷体"/>
                <w:color w:val="auto"/>
                <w:sz w:val="21"/>
                <w:szCs w:val="21"/>
              </w:rPr>
            </w:pPr>
            <w:r>
              <w:rPr>
                <w:rFonts w:hint="eastAsia" w:ascii="宋体" w:hAnsi="宋体" w:cs="楷体"/>
                <w:color w:val="auto"/>
                <w:sz w:val="21"/>
                <w:szCs w:val="21"/>
              </w:rPr>
              <w:t xml:space="preserve">地沟、沙井沟内无杂物、垃圾，井盖无缺损；</w:t>
            </w:r>
            <w:r/>
          </w:p>
        </w:tc>
        <w:tc>
          <w:tcPr>
            <w:tcW w:w="373"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exact"/>
              <w:rPr>
                <w:rFonts w:hint="default" w:ascii="宋体" w:hAnsi="宋体" w:eastAsia="宋体" w:cs="楷体"/>
                <w:color w:val="auto"/>
                <w:sz w:val="21"/>
                <w:szCs w:val="21"/>
                <w:lang w:val="en-US" w:eastAsia="zh-CN"/>
              </w:rPr>
            </w:pPr>
            <w:r>
              <w:rPr>
                <w:rFonts w:hint="eastAsia" w:ascii="宋体" w:hAnsi="宋体" w:cs="楷体"/>
                <w:color w:val="auto"/>
                <w:sz w:val="21"/>
                <w:szCs w:val="21"/>
                <w:lang w:val="en-US" w:eastAsia="zh-CN"/>
              </w:rPr>
              <w:t xml:space="preserve">19</w:t>
            </w:r>
            <w:r/>
          </w:p>
        </w:tc>
        <w:tc>
          <w:tcPr>
            <w:tcW w:w="31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exact"/>
              <w:rPr>
                <w:rFonts w:hint="default" w:ascii="宋体" w:hAnsi="宋体" w:eastAsia="宋体" w:cs="楷体"/>
                <w:color w:val="auto"/>
                <w:sz w:val="21"/>
                <w:szCs w:val="21"/>
                <w:lang w:val="en-US" w:eastAsia="zh-CN"/>
              </w:rPr>
            </w:pPr>
            <w:r>
              <w:rPr>
                <w:rFonts w:hint="eastAsia" w:ascii="宋体" w:hAnsi="宋体" w:cs="楷体"/>
                <w:color w:val="auto"/>
                <w:sz w:val="21"/>
                <w:szCs w:val="21"/>
                <w:lang w:val="en-US" w:eastAsia="zh-CN"/>
              </w:rPr>
              <w:t xml:space="preserve">公共部位绿植及时管护</w:t>
            </w:r>
            <w:r/>
          </w:p>
        </w:tc>
        <w:tc>
          <w:tcPr>
            <w:tcW w:w="373" w:type="pct"/>
            <w:vAlign w:val="center"/>
            <w:textDirection w:val="lrTb"/>
            <w:noWrap w:val="false"/>
          </w:tcPr>
          <w:p>
            <w:pPr>
              <w:jc w:val="center"/>
              <w:rPr>
                <w:rFonts w:hint="eastAsia" w:ascii="宋体" w:hAnsi="宋体" w:eastAsia="宋体"/>
                <w:color w:val="auto"/>
                <w:sz w:val="21"/>
                <w:szCs w:val="21"/>
                <w:lang w:eastAsia="zh-CN"/>
              </w:rPr>
            </w:pPr>
            <w:r>
              <w:rPr>
                <w:rFonts w:hint="eastAsia" w:ascii="宋体" w:hAnsi="宋体" w:cs="楷体"/>
                <w:color w:val="auto"/>
                <w:sz w:val="21"/>
                <w:szCs w:val="21"/>
                <w:lang w:val="en-US" w:eastAsia="zh-CN"/>
              </w:rPr>
              <w:t xml:space="preserve">1</w:t>
            </w:r>
            <w:r/>
          </w:p>
        </w:tc>
        <w:tc>
          <w:tcPr>
            <w:tcW w:w="373"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bl>
    <w:p>
      <w:pPr>
        <w:rPr>
          <w:rFonts w:ascii="宋体" w:hAnsi="宋体"/>
          <w:b/>
          <w:bCs/>
          <w:color w:val="auto"/>
          <w:sz w:val="21"/>
          <w:szCs w:val="21"/>
        </w:rPr>
      </w:pPr>
      <w:r>
        <w:rPr>
          <w:rFonts w:hint="eastAsia" w:ascii="宋体" w:hAnsi="宋体"/>
          <w:b/>
          <w:bCs/>
          <w:color w:val="auto"/>
          <w:sz w:val="21"/>
          <w:szCs w:val="21"/>
        </w:rPr>
        <w:t xml:space="preserve">注：1、每月进行考核，每年共计12次（每次不定时进行检查），每月每项检查按百分制考核。</w:t>
      </w:r>
      <w:r/>
    </w:p>
    <w:p>
      <w:pPr>
        <w:ind w:firstLine="422"/>
        <w:rPr>
          <w:rFonts w:ascii="宋体" w:hAnsi="宋体"/>
          <w:b/>
          <w:color w:val="auto"/>
          <w:sz w:val="21"/>
          <w:szCs w:val="21"/>
        </w:rPr>
      </w:pPr>
      <w:r>
        <w:rPr>
          <w:rFonts w:hint="eastAsia" w:ascii="宋体" w:hAnsi="宋体"/>
          <w:b/>
          <w:bCs/>
          <w:color w:val="auto"/>
          <w:sz w:val="21"/>
          <w:szCs w:val="21"/>
        </w:rPr>
        <w:t xml:space="preserve">2、具体考核条款不限定为上述内容，采购人保留对其适当调整的权利。</w:t>
      </w:r>
      <w:r/>
    </w:p>
    <w:p>
      <w:pPr>
        <w:pStyle w:val="768"/>
        <w:ind w:left="0" w:firstLine="0"/>
        <w:rPr>
          <w:rFonts w:hint="eastAsia" w:ascii="黑体" w:hAnsi="黑体" w:eastAsia="黑体"/>
          <w:color w:val="auto"/>
          <w:sz w:val="44"/>
          <w:szCs w:val="44"/>
        </w:rPr>
      </w:pPr>
      <w:r>
        <w:rPr>
          <w:rFonts w:hint="eastAsia" w:ascii="黑体" w:hAnsi="黑体" w:eastAsia="黑体"/>
          <w:color w:val="auto"/>
          <w:sz w:val="44"/>
          <w:szCs w:val="44"/>
        </w:rPr>
      </w:r>
      <w:r/>
    </w:p>
    <w:p>
      <w:pPr>
        <w:jc w:val="center"/>
        <w:spacing w:line="480" w:lineRule="exact"/>
        <w:rPr>
          <w:rFonts w:ascii="宋体" w:hAnsi="宋体"/>
          <w:b/>
          <w:bCs/>
          <w:color w:val="auto"/>
          <w:sz w:val="30"/>
          <w:szCs w:val="30"/>
        </w:rPr>
      </w:pPr>
      <w:r>
        <w:rPr>
          <w:rFonts w:hint="eastAsia" w:ascii="宋体" w:hAnsi="宋体"/>
          <w:b/>
          <w:bCs/>
          <w:color w:val="auto"/>
          <w:sz w:val="30"/>
          <w:szCs w:val="30"/>
        </w:rPr>
        <w:t xml:space="preserve">考核检查表——客服</w:t>
      </w:r>
      <w:r/>
    </w:p>
    <w:tbl>
      <w:tblPr>
        <w:tblStyle w:val="742"/>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533"/>
        <w:gridCol w:w="3324"/>
        <w:gridCol w:w="636"/>
        <w:gridCol w:w="636"/>
        <w:gridCol w:w="846"/>
        <w:gridCol w:w="847"/>
        <w:gridCol w:w="847"/>
        <w:gridCol w:w="427"/>
      </w:tblGrid>
      <w:tr>
        <w:trPr>
          <w:trHeight w:val="1083"/>
        </w:trPr>
        <w:tc>
          <w:tcPr>
            <w:shd w:val="clear" w:color="auto" w:fill="d7d7d7"/>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序号</w:t>
            </w:r>
            <w:r/>
          </w:p>
        </w:tc>
        <w:tc>
          <w:tcPr>
            <w:shd w:val="clear" w:color="auto" w:fill="d7d7d7"/>
            <w:tcW w:w="402"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检查项目</w:t>
            </w:r>
            <w:r/>
          </w:p>
        </w:tc>
        <w:tc>
          <w:tcPr>
            <w:shd w:val="clear" w:color="auto" w:fill="d7d7d7"/>
            <w:tcW w:w="2039"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评分细则</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扣分标准（分/次）</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扣款标准（元/次）</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处罚次数（次）</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累计扣分（分）</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累计扣款（元）</w:t>
            </w:r>
            <w:r/>
          </w:p>
        </w:tc>
        <w:tc>
          <w:tcPr>
            <w:shd w:val="clear" w:color="auto" w:fill="d7d7d7"/>
            <w:tcW w:w="331"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lang w:bidi="ar"/>
              </w:rPr>
              <w:t xml:space="preserve">不合格原因描述</w:t>
            </w:r>
            <w:r/>
          </w:p>
        </w:tc>
      </w:tr>
      <w:tr>
        <w:trPr>
          <w:trHeight w:val="675"/>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w:t>
            </w:r>
            <w:r/>
          </w:p>
        </w:tc>
        <w:tc>
          <w:tcPr>
            <w:tcW w:w="402" w:type="pct"/>
            <w:vAlign w:val="center"/>
            <w:vMerge w:val="restart"/>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基本要求</w:t>
            </w:r>
            <w:r/>
          </w:p>
        </w:tc>
        <w:tc>
          <w:tcPr>
            <w:tcW w:w="2039" w:type="pct"/>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rPr>
              <w:t xml:space="preserve">客服需做好接待工作，不得与来访人员发生冲突，不得引起投诉情况发生；</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1</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100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508"/>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2</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lang w:bidi="ar"/>
              </w:rPr>
              <w:t xml:space="preserve">客服人员需熟悉会议及活动流程，做好各项服务；</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494"/>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3</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rPr>
              <w:t xml:space="preserve">客服人员按要求统一服装，佩戴工牌，上下班按时签到；</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623"/>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4</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lang w:bidi="ar"/>
              </w:rPr>
            </w:pPr>
            <w:r>
              <w:rPr>
                <w:rFonts w:hint="eastAsia" w:ascii="宋体" w:hAnsi="宋体"/>
                <w:color w:val="auto"/>
                <w:sz w:val="21"/>
                <w:szCs w:val="21"/>
              </w:rPr>
              <w:t xml:space="preserve">员工未按规定统一着装，未佩戴统一标识，服装上有污渍、有破损，不注重仪表仪容，不注意文明用语等；</w:t>
            </w:r>
            <w:r/>
          </w:p>
        </w:tc>
        <w:tc>
          <w:tcPr>
            <w:tcW w:w="396" w:type="pct"/>
            <w:vAlign w:val="center"/>
            <w:textDirection w:val="lrTb"/>
            <w:noWrap w:val="false"/>
          </w:tcPr>
          <w:p>
            <w:pPr>
              <w:jc w:val="center"/>
              <w:rPr>
                <w:rFonts w:ascii="宋体" w:hAnsi="宋体" w:cs="楷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623"/>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lang w:bidi="ar"/>
              </w:rPr>
              <w:t xml:space="preserve">对各类会议及活动所用设备做到妥善保管并定期检查使用情况，不能正常使用及时上报；</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392"/>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6</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lang w:bidi="ar"/>
              </w:rPr>
            </w:pPr>
            <w:r>
              <w:rPr>
                <w:rFonts w:hint="eastAsia" w:ascii="宋体" w:hAnsi="宋体" w:cs="楷体"/>
                <w:color w:val="auto"/>
                <w:sz w:val="21"/>
                <w:szCs w:val="21"/>
                <w:lang w:bidi="ar"/>
              </w:rPr>
              <w:t xml:space="preserve">每周组织服务技能培训并形成台帐记录；</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392"/>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7</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jc w:val="left"/>
              <w:spacing w:line="240" w:lineRule="exact"/>
              <w:rPr>
                <w:rFonts w:ascii="宋体" w:hAnsi="宋体" w:cs="楷体"/>
                <w:color w:val="auto"/>
                <w:sz w:val="21"/>
                <w:szCs w:val="21"/>
              </w:rPr>
            </w:pPr>
            <w:r>
              <w:rPr>
                <w:rFonts w:hint="eastAsia" w:ascii="宋体" w:hAnsi="宋体" w:cs="楷体"/>
                <w:color w:val="auto"/>
                <w:sz w:val="21"/>
                <w:szCs w:val="21"/>
                <w:lang w:bidi="ar"/>
              </w:rPr>
              <w:t xml:space="preserve">在岗期间严格遵守甲方的各项规章制度；</w:t>
            </w:r>
            <w:r/>
          </w:p>
        </w:tc>
        <w:tc>
          <w:tcPr>
            <w:tcW w:w="396" w:type="pct"/>
            <w:vAlign w:val="center"/>
            <w:textDirection w:val="lrTb"/>
            <w:noWrap w:val="false"/>
          </w:tcPr>
          <w:p>
            <w:pPr>
              <w:jc w:val="center"/>
              <w:rPr>
                <w:rFonts w:ascii="宋体" w:hAnsi="宋体" w:cs="楷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bl>
    <w:p>
      <w:pPr>
        <w:rPr>
          <w:rFonts w:ascii="宋体" w:hAnsi="宋体"/>
          <w:b/>
          <w:bCs/>
          <w:color w:val="auto"/>
          <w:sz w:val="21"/>
          <w:szCs w:val="21"/>
        </w:rPr>
      </w:pPr>
      <w:r>
        <w:rPr>
          <w:rFonts w:hint="eastAsia" w:ascii="宋体" w:hAnsi="宋体"/>
          <w:b/>
          <w:bCs/>
          <w:color w:val="auto"/>
          <w:sz w:val="21"/>
          <w:szCs w:val="21"/>
        </w:rPr>
        <w:t xml:space="preserve">注：1、每月进行考核，每年共计12次（每次不定时进行检查），每月每项检查按百分制考核。</w:t>
      </w:r>
      <w:r/>
    </w:p>
    <w:p>
      <w:pPr>
        <w:ind w:firstLine="422"/>
        <w:rPr>
          <w:rFonts w:ascii="宋体" w:hAnsi="宋体"/>
          <w:b/>
          <w:color w:val="auto"/>
          <w:sz w:val="21"/>
          <w:szCs w:val="21"/>
        </w:rPr>
      </w:pPr>
      <w:r>
        <w:rPr>
          <w:rFonts w:hint="eastAsia" w:ascii="宋体" w:hAnsi="宋体"/>
          <w:b/>
          <w:bCs/>
          <w:color w:val="auto"/>
          <w:sz w:val="21"/>
          <w:szCs w:val="21"/>
        </w:rPr>
        <w:t xml:space="preserve">2、具体考核条款不限定为上述内容，采购人保留对其适当调整的权利。</w:t>
      </w:r>
      <w:r/>
    </w:p>
    <w:p>
      <w:pPr>
        <w:spacing w:line="480" w:lineRule="exact"/>
        <w:rPr>
          <w:rFonts w:ascii="宋体" w:hAnsi="宋体"/>
          <w:b/>
          <w:bCs/>
          <w:color w:val="auto"/>
          <w:sz w:val="30"/>
          <w:szCs w:val="30"/>
        </w:rPr>
      </w:pPr>
      <w:r>
        <w:rPr>
          <w:rFonts w:ascii="宋体" w:hAnsi="宋体"/>
          <w:b/>
          <w:bCs/>
          <w:color w:val="auto"/>
          <w:sz w:val="30"/>
          <w:szCs w:val="30"/>
        </w:rPr>
      </w:r>
      <w:r/>
    </w:p>
    <w:p>
      <w:pPr>
        <w:jc w:val="center"/>
        <w:spacing w:line="480" w:lineRule="exact"/>
        <w:rPr>
          <w:rFonts w:ascii="宋体" w:hAnsi="宋体"/>
          <w:b/>
          <w:bCs/>
          <w:color w:val="auto"/>
          <w:sz w:val="30"/>
          <w:szCs w:val="30"/>
        </w:rPr>
      </w:pPr>
      <w:r>
        <w:rPr>
          <w:rFonts w:hint="eastAsia" w:ascii="宋体" w:hAnsi="宋体"/>
          <w:b/>
          <w:bCs/>
          <w:color w:val="auto"/>
          <w:sz w:val="30"/>
          <w:szCs w:val="30"/>
        </w:rPr>
        <w:t xml:space="preserve">考核检查表——水电维修</w:t>
      </w:r>
      <w:r/>
    </w:p>
    <w:tbl>
      <w:tblPr>
        <w:tblStyle w:val="742"/>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0"/>
        <w:gridCol w:w="471"/>
        <w:gridCol w:w="2790"/>
        <w:gridCol w:w="735"/>
        <w:gridCol w:w="735"/>
        <w:gridCol w:w="907"/>
        <w:gridCol w:w="907"/>
        <w:gridCol w:w="907"/>
        <w:gridCol w:w="517"/>
      </w:tblGrid>
      <w:tr>
        <w:trPr>
          <w:trHeight w:val="1083"/>
        </w:trPr>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序号</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检查项目</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评分细则</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扣分标准（分/次）</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扣款标准（元/次）</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处罚次数（次）</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累计扣分（分）</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累计扣款（元）</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lang w:bidi="ar"/>
              </w:rPr>
              <w:t xml:space="preserve">不合格原因描述</w:t>
            </w:r>
            <w:r/>
          </w:p>
        </w:tc>
      </w:tr>
      <w:tr>
        <w:trPr>
          <w:trHeight w:val="499"/>
        </w:trPr>
        <w:tc>
          <w:tcPr>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w:t>
            </w:r>
            <w:r/>
          </w:p>
        </w:tc>
        <w:tc>
          <w:tcPr>
            <w:tcW w:w="0" w:type="auto"/>
            <w:vAlign w:val="center"/>
            <w:vMerge w:val="restart"/>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基本要求</w:t>
            </w:r>
            <w:r/>
          </w:p>
        </w:tc>
        <w:tc>
          <w:tcPr>
            <w:tcW w:w="0" w:type="auto"/>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lang w:bidi="ar"/>
              </w:rPr>
              <w:t xml:space="preserve">工作人员需熟悉各种设备性能及系统运行情况；</w:t>
            </w:r>
            <w:r/>
          </w:p>
        </w:tc>
        <w:tc>
          <w:tcPr>
            <w:tcW w:w="0" w:type="auto"/>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1</w:t>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100</w:t>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494"/>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2</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spacing w:line="240" w:lineRule="exact"/>
              <w:rPr>
                <w:rFonts w:ascii="宋体" w:hAnsi="宋体" w:cs="楷体"/>
                <w:sz w:val="21"/>
                <w:szCs w:val="21"/>
                <w:lang w:bidi="ar"/>
              </w:rPr>
            </w:pPr>
            <w:r>
              <w:rPr>
                <w:rFonts w:hint="eastAsia" w:ascii="宋体" w:hAnsi="宋体" w:cs="楷体"/>
                <w:sz w:val="21"/>
                <w:szCs w:val="21"/>
                <w:lang w:bidi="ar"/>
              </w:rPr>
              <w:t xml:space="preserve">对各类操作工具做到妥善保管并定期保养；</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07"/>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3</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严格遵守操作规程，正确使用手动和电动工具，发现问题及时调整维修；</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623"/>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4</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树立强烈的公共意识，文明维修，客户至上，公共区域施工必要时加设围栏，必须严格遵守时间，严格按计划时间施工。自觉做好施工场地的收尾工作，以保证环境优美；</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397"/>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对来人来电报修及时登记，维修迅速及时，并认真填写维修换件记录单；</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623"/>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6</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保外场区域公共照明、公共用电设施设备的正常使用、运行，负责其管理、巡查与维护工作，做到维护妥善、保障有力、响应迅速；</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623"/>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7</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每星期巡查1次以上，保持配电柜（箱）内外无积灰，确保设备房内配电柜（箱）内无异味焦味，无线头接线桩头烧焦和柜（箱）内开关无发热现象，如有上述问题，应及时检查原因，并及时处理，确保设备设施运行正常，保持配电柜（箱）内线路整齐规范。做好巡查记录，记录需填写端正详细；</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67"/>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8</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lang w:bidi="ar"/>
              </w:rPr>
              <w:t xml:space="preserve">在工作时间尽量不影响辖区内的正常工作、生活，严格准守时间</w:t>
            </w:r>
            <w:r>
              <w:rPr>
                <w:rFonts w:hint="eastAsia" w:ascii="宋体" w:hAnsi="宋体"/>
                <w:sz w:val="21"/>
                <w:szCs w:val="21"/>
              </w:rPr>
              <w:t xml:space="preserve">；</w:t>
            </w:r>
            <w:r/>
          </w:p>
        </w:tc>
        <w:tc>
          <w:tcPr>
            <w:tcW w:w="0" w:type="auto"/>
            <w:vAlign w:val="center"/>
            <w:textDirection w:val="lrTb"/>
            <w:noWrap w:val="false"/>
          </w:tcPr>
          <w:p>
            <w:pPr>
              <w:jc w:val="center"/>
              <w:rPr>
                <w:rFonts w:ascii="宋体" w:hAnsi="宋体" w:cs="楷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03"/>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9</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cs="楷体"/>
                <w:color w:val="auto"/>
                <w:sz w:val="21"/>
                <w:szCs w:val="21"/>
                <w:lang w:bidi="ar"/>
              </w:rPr>
              <w:t xml:space="preserve">对辖区内的水电设施、配电系统定期巡查，并做好巡查记录</w:t>
            </w:r>
            <w:r>
              <w:rPr>
                <w:rFonts w:hint="eastAsia" w:ascii="宋体" w:hAnsi="宋体"/>
                <w:color w:val="auto"/>
                <w:sz w:val="21"/>
                <w:szCs w:val="21"/>
              </w:rPr>
              <w:t xml:space="preserve">；</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392"/>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spacing w:line="240" w:lineRule="exact"/>
              <w:rPr>
                <w:rFonts w:ascii="宋体" w:hAnsi="宋体" w:cs="楷体"/>
                <w:sz w:val="21"/>
                <w:szCs w:val="21"/>
                <w:lang w:bidi="ar"/>
              </w:rPr>
            </w:pPr>
            <w:r>
              <w:rPr>
                <w:rFonts w:hint="eastAsia" w:ascii="宋体" w:hAnsi="宋体" w:cs="楷体"/>
                <w:sz w:val="21"/>
                <w:szCs w:val="21"/>
                <w:lang w:bidi="ar"/>
              </w:rPr>
              <w:t xml:space="preserve">每周组织服务技能培训并形成台帐记录；</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392"/>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11</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lang w:bidi="ar"/>
              </w:rPr>
              <w:t xml:space="preserve">在岗期间严格遵守甲方的各项规章制度；</w:t>
            </w:r>
            <w:r/>
          </w:p>
        </w:tc>
        <w:tc>
          <w:tcPr>
            <w:tcW w:w="0" w:type="auto"/>
            <w:vAlign w:val="center"/>
            <w:textDirection w:val="lrTb"/>
            <w:noWrap w:val="false"/>
          </w:tcPr>
          <w:p>
            <w:pPr>
              <w:jc w:val="center"/>
              <w:rPr>
                <w:rFonts w:ascii="宋体" w:hAnsi="宋体" w:cs="楷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bl>
    <w:p>
      <w:pPr>
        <w:rPr>
          <w:rFonts w:ascii="宋体" w:hAnsi="宋体"/>
          <w:b/>
          <w:bCs/>
          <w:sz w:val="21"/>
          <w:szCs w:val="21"/>
        </w:rPr>
      </w:pPr>
      <w:r>
        <w:rPr>
          <w:rFonts w:hint="eastAsia" w:ascii="宋体" w:hAnsi="宋体"/>
          <w:b/>
          <w:bCs/>
          <w:sz w:val="21"/>
          <w:szCs w:val="21"/>
        </w:rPr>
        <w:t xml:space="preserve">注：1、每月进行考核，每年共计12次（每次不定时进行检查），每月每项检查按百分制考核。</w:t>
      </w:r>
      <w:r/>
    </w:p>
    <w:p>
      <w:pPr>
        <w:ind w:firstLine="422"/>
        <w:rPr>
          <w:rFonts w:ascii="宋体" w:hAnsi="宋体"/>
          <w:b/>
          <w:color w:val="ff0000"/>
          <w:sz w:val="21"/>
          <w:szCs w:val="21"/>
        </w:rPr>
      </w:pPr>
      <w:r>
        <w:rPr>
          <w:rFonts w:hint="eastAsia" w:ascii="宋体" w:hAnsi="宋体"/>
          <w:b/>
          <w:bCs/>
          <w:sz w:val="21"/>
          <w:szCs w:val="21"/>
        </w:rPr>
        <w:t xml:space="preserve">2、具体考核条款不限定为上述内容，采购人保留对其适当调整的权利。</w:t>
      </w:r>
      <w:r/>
    </w:p>
    <w:p>
      <w:pPr>
        <w:jc w:val="center"/>
        <w:spacing w:line="480" w:lineRule="exact"/>
        <w:rPr>
          <w:rFonts w:ascii="宋体" w:hAnsi="宋体"/>
          <w:b/>
          <w:bCs/>
          <w:sz w:val="30"/>
          <w:szCs w:val="30"/>
        </w:rPr>
      </w:pPr>
      <w:r>
        <w:rPr>
          <w:rFonts w:ascii="宋体" w:hAnsi="宋体"/>
          <w:b/>
          <w:bCs/>
          <w:sz w:val="30"/>
          <w:szCs w:val="30"/>
        </w:rPr>
      </w:r>
      <w:r/>
    </w:p>
    <w:p>
      <w:pPr>
        <w:spacing w:line="480" w:lineRule="exact"/>
        <w:rPr>
          <w:rFonts w:ascii="宋体" w:hAnsi="宋体"/>
          <w:b/>
          <w:color w:val="ff0000"/>
          <w:sz w:val="21"/>
          <w:szCs w:val="21"/>
        </w:rPr>
      </w:pPr>
      <w:r>
        <w:rPr>
          <w:rFonts w:ascii="宋体" w:hAnsi="宋体"/>
          <w:b/>
          <w:color w:val="ff0000"/>
          <w:sz w:val="21"/>
          <w:szCs w:val="21"/>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32"/>
        <w:jc w:val="center"/>
        <w:spacing w:before="0" w:after="0" w:line="24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bookmarkEnd w:id="100"/>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240" w:lineRule="auto"/>
        <w:rPr>
          <w:rFonts w:ascii="黑体" w:hAnsi="黑体" w:eastAsia="黑体" w:cs="黑体"/>
          <w:sz w:val="21"/>
          <w:szCs w:val="21"/>
          <w:highlight w:val="none"/>
          <w14:textFill>
            <w14:solidFill>
              <w14:schemeClr w14:val="tx1"/>
            </w14:solidFill>
          </w14:textFill>
        </w:rPr>
      </w:pPr>
      <w:r>
        <w:rPr>
          <w:rFonts w:ascii="黑体" w:hAnsi="黑体" w:eastAsia="黑体" w:cs="黑体"/>
          <w:color w:val="000000" w:themeColor="text1"/>
          <w:sz w:val="21"/>
          <w:szCs w:val="21"/>
          <w:highlight w:val="none"/>
          <w14:textFill>
            <w14:solidFill>
              <w14:schemeClr w14:val="tx1"/>
            </w14:solidFill>
          </w14:textFill>
        </w:rPr>
      </w:r>
      <w:r>
        <w:rPr>
          <w:rFonts w:ascii="黑体" w:hAnsi="黑体" w:eastAsia="黑体" w:cs="黑体"/>
          <w:color w:val="000000" w:themeColor="text1"/>
          <w:sz w:val="21"/>
          <w:szCs w:val="21"/>
          <w:highlight w:val="none"/>
          <w14:textFill>
            <w14:solidFill>
              <w14:schemeClr w14:val="tx1"/>
            </w14:solidFill>
          </w14:textFill>
        </w:rPr>
      </w:r>
    </w:p>
    <w:p>
      <w:pPr>
        <w:spacing w:line="240" w:lineRule="auto"/>
        <w:rPr>
          <w:rFonts w:ascii="黑体" w:hAnsi="黑体" w:eastAsia="黑体" w:cs="黑体"/>
          <w:sz w:val="21"/>
          <w:szCs w:val="21"/>
          <w:highlight w:val="none"/>
          <w14:textFill>
            <w14:solidFill>
              <w14:schemeClr w14:val="tx1"/>
            </w14:solidFill>
          </w14:textFill>
        </w:rPr>
      </w:pPr>
      <w:r>
        <w:rPr>
          <w:rFonts w:ascii="黑体" w:hAnsi="黑体" w:eastAsia="黑体" w:cs="黑体"/>
          <w:sz w:val="21"/>
          <w:szCs w:val="21"/>
          <w:highlight w:val="none"/>
          <w14:textFill>
            <w14:solidFill>
              <w14:schemeClr w14:val="tx1"/>
            </w14:solidFill>
          </w14:textFill>
        </w:rPr>
      </w:r>
      <w:r>
        <w:rPr>
          <w:rFonts w:ascii="黑体" w:hAnsi="黑体" w:eastAsia="黑体" w:cs="黑体"/>
          <w:sz w:val="21"/>
          <w:szCs w:val="21"/>
          <w:highlight w:val="none"/>
          <w14:textFill>
            <w14:solidFill>
              <w14:schemeClr w14:val="tx1"/>
            </w14:solidFill>
          </w14:textFill>
        </w:rPr>
      </w:r>
    </w:p>
    <w:p>
      <w:pPr>
        <w:spacing w:line="240" w:lineRule="auto"/>
        <w:rPr>
          <w:rFonts w:ascii="黑体" w:hAnsi="黑体" w:eastAsia="黑体" w:cs="黑体"/>
          <w:sz w:val="21"/>
          <w:szCs w:val="21"/>
          <w:highlight w:val="none"/>
          <w14:textFill>
            <w14:solidFill>
              <w14:schemeClr w14:val="tx1"/>
            </w14:solidFill>
          </w14:textFill>
        </w:rPr>
      </w:pPr>
      <w:r>
        <w:rPr>
          <w:rFonts w:ascii="黑体" w:hAnsi="黑体" w:eastAsia="黑体" w:cs="黑体"/>
          <w:sz w:val="21"/>
          <w:szCs w:val="21"/>
          <w:highlight w:val="none"/>
          <w14:textFill>
            <w14:solidFill>
              <w14:schemeClr w14:val="tx1"/>
            </w14:solidFill>
          </w14:textFill>
        </w:rPr>
      </w:r>
      <w:r>
        <w:rPr>
          <w:rFonts w:ascii="黑体" w:hAnsi="黑体" w:eastAsia="黑体" w:cs="黑体"/>
          <w:sz w:val="21"/>
          <w:szCs w:val="21"/>
          <w:highlight w:val="none"/>
          <w14:textFill>
            <w14:solidFill>
              <w14:schemeClr w14:val="tx1"/>
            </w14:solidFill>
          </w14:textFill>
        </w:rPr>
      </w:r>
    </w:p>
    <w:p>
      <w:pPr>
        <w:spacing w:line="240" w:lineRule="auto"/>
        <w:rPr>
          <w:rFonts w:ascii="黑体" w:hAnsi="黑体" w:eastAsia="黑体" w:cs="黑体"/>
          <w:sz w:val="21"/>
          <w:szCs w:val="21"/>
          <w:highlight w:val="none"/>
          <w14:textFill>
            <w14:solidFill>
              <w14:schemeClr w14:val="tx1"/>
            </w14:solidFill>
          </w14:textFill>
        </w:rPr>
      </w:pPr>
      <w:r>
        <w:rPr>
          <w:rFonts w:ascii="黑体" w:hAnsi="黑体" w:eastAsia="黑体" w:cs="黑体"/>
          <w:sz w:val="21"/>
          <w:szCs w:val="21"/>
          <w:highlight w:val="none"/>
          <w14:textFill>
            <w14:solidFill>
              <w14:schemeClr w14:val="tx1"/>
            </w14:solidFill>
          </w14:textFill>
        </w:rPr>
      </w:r>
      <w:r>
        <w:rPr>
          <w:rFonts w:ascii="黑体" w:hAnsi="黑体" w:eastAsia="黑体" w:cs="黑体"/>
          <w:sz w:val="21"/>
          <w:szCs w:val="21"/>
          <w:highlight w:val="none"/>
          <w14:textFill>
            <w14:solidFill>
              <w14:schemeClr w14:val="tx1"/>
            </w14:solidFill>
          </w14:textFill>
        </w:rPr>
      </w:r>
    </w:p>
    <w:p>
      <w:pPr>
        <w:spacing w:line="240" w:lineRule="auto"/>
        <w:rPr>
          <w:rFonts w:ascii="黑体" w:hAnsi="黑体" w:eastAsia="黑体" w:cs="黑体"/>
          <w:sz w:val="21"/>
          <w:szCs w:val="21"/>
          <w:highlight w:val="none"/>
          <w14:textFill>
            <w14:solidFill>
              <w14:schemeClr w14:val="tx1"/>
            </w14:solidFill>
          </w14:textFill>
        </w:rPr>
      </w:pPr>
      <w:r>
        <w:rPr>
          <w:rFonts w:ascii="黑体" w:hAnsi="黑体" w:eastAsia="黑体" w:cs="黑体"/>
          <w:sz w:val="21"/>
          <w:szCs w:val="21"/>
          <w:highlight w:val="none"/>
          <w14:textFill>
            <w14:solidFill>
              <w14:schemeClr w14:val="tx1"/>
            </w14:solidFill>
          </w14:textFill>
        </w:rPr>
      </w:r>
      <w:r>
        <w:rPr>
          <w:rFonts w:ascii="黑体" w:hAnsi="黑体" w:eastAsia="黑体" w:cs="黑体"/>
          <w:sz w:val="21"/>
          <w:szCs w:val="21"/>
          <w:highlight w:val="none"/>
          <w14:textFill>
            <w14:solidFill>
              <w14:schemeClr w14:val="tx1"/>
            </w14:solidFill>
          </w14:textFill>
        </w:rPr>
      </w:r>
    </w:p>
    <w:p>
      <w:pPr>
        <w:spacing w:line="240" w:lineRule="auto"/>
        <w:rPr>
          <w:rFonts w:ascii="黑体" w:hAnsi="黑体" w:eastAsia="黑体" w:cs="黑体"/>
          <w:sz w:val="21"/>
          <w:szCs w:val="21"/>
          <w:highlight w:val="none"/>
          <w14:textFill>
            <w14:solidFill>
              <w14:schemeClr w14:val="tx1"/>
            </w14:solidFill>
          </w14:textFill>
        </w:rPr>
      </w:pPr>
      <w:r>
        <w:rPr>
          <w:rFonts w:ascii="黑体" w:hAnsi="黑体" w:eastAsia="黑体" w:cs="黑体"/>
          <w:sz w:val="21"/>
          <w:szCs w:val="21"/>
          <w:highlight w:val="none"/>
          <w14:textFill>
            <w14:solidFill>
              <w14:schemeClr w14:val="tx1"/>
            </w14:solidFill>
          </w14:textFill>
        </w:rPr>
      </w:r>
      <w:r>
        <w:rPr>
          <w:rFonts w:ascii="黑体" w:hAnsi="黑体" w:eastAsia="黑体" w:cs="黑体"/>
          <w:sz w:val="21"/>
          <w:szCs w:val="21"/>
          <w:highlight w:val="none"/>
          <w14:textFill>
            <w14:solidFill>
              <w14:schemeClr w14:val="tx1"/>
            </w14:solidFill>
          </w14:textFill>
        </w:rPr>
      </w:r>
    </w:p>
    <w:p>
      <w:pPr>
        <w:spacing w:line="240" w:lineRule="auto"/>
        <w:rPr>
          <w:rFonts w:ascii="黑体" w:hAnsi="黑体" w:eastAsia="黑体" w:cs="黑体"/>
          <w:sz w:val="21"/>
          <w:szCs w:val="21"/>
          <w:highlight w:val="none"/>
          <w14:textFill>
            <w14:solidFill>
              <w14:schemeClr w14:val="tx1"/>
            </w14:solidFill>
          </w14:textFill>
        </w:rPr>
      </w:pPr>
      <w:r>
        <w:rPr>
          <w:rFonts w:ascii="黑体" w:hAnsi="黑体" w:eastAsia="黑体" w:cs="黑体"/>
          <w:color w:val="000000" w:themeColor="text1"/>
          <w:sz w:val="21"/>
          <w:szCs w:val="21"/>
          <w:highlight w:val="none"/>
          <w14:textFill>
            <w14:solidFill>
              <w14:schemeClr w14:val="tx1"/>
            </w14:solidFill>
          </w14:textFill>
        </w:rPr>
      </w:r>
      <w:r/>
    </w:p>
    <w:p>
      <w:pPr>
        <w:numPr>
          <w:ilvl w:val="0"/>
          <w:numId w:val="4"/>
        </w:numPr>
        <w:ind w:left="140" w:firstLine="723"/>
        <w:jc w:val="center"/>
        <w:spacing w:line="460" w:lineRule="exact"/>
        <w:rPr>
          <w:rFonts w:hint="eastAsia"/>
          <w:b/>
          <w:bCs/>
          <w:color w:val="000000" w:themeColor="text1"/>
          <w:sz w:val="36"/>
          <w:szCs w:val="28"/>
          <w14:textFill>
            <w14:solidFill>
              <w14:schemeClr w14:val="tx1"/>
            </w14:solidFill>
          </w14:textFill>
        </w:rPr>
      </w:pPr>
      <w:r>
        <w:rPr>
          <w:rFonts w:hint="eastAsia"/>
          <w:b/>
          <w:bCs/>
          <w:color w:val="000000" w:themeColor="text1"/>
          <w:sz w:val="36"/>
          <w:szCs w:val="28"/>
          <w14:textFill>
            <w14:solidFill>
              <w14:schemeClr w14:val="tx1"/>
            </w14:solidFill>
          </w14:textFill>
        </w:rPr>
        <w:t xml:space="preserve">采购需求</w:t>
      </w:r>
      <w:r/>
    </w:p>
    <w:p>
      <w:pPr>
        <w:numPr>
          <w:ilvl w:val="0"/>
          <w:numId w:val="0"/>
        </w:numPr>
        <w:jc w:val="both"/>
        <w:spacing w:line="460" w:lineRule="exact"/>
        <w:rPr>
          <w:rFonts w:hint="eastAsia"/>
          <w:b/>
          <w:bCs/>
          <w:color w:val="000000" w:themeColor="text1"/>
          <w:sz w:val="36"/>
          <w:szCs w:val="28"/>
          <w14:textFill>
            <w14:solidFill>
              <w14:schemeClr w14:val="tx1"/>
            </w14:solidFill>
          </w14:textFill>
        </w:rPr>
      </w:pPr>
      <w:r>
        <w:rPr>
          <w:rFonts w:hint="eastAsia"/>
          <w:b/>
          <w:bCs/>
          <w:color w:val="000000" w:themeColor="text1"/>
          <w:sz w:val="36"/>
          <w:szCs w:val="28"/>
          <w14:textFill>
            <w14:solidFill>
              <w14:schemeClr w14:val="tx1"/>
            </w14:solidFill>
          </w14:textFill>
        </w:rPr>
      </w:r>
      <w:r/>
    </w:p>
    <w:p>
      <w:pPr>
        <w:ind w:firstLine="420"/>
        <w:spacing w:line="36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项目属性：服务类项目</w:t>
      </w:r>
      <w:r/>
    </w:p>
    <w:p>
      <w:pPr>
        <w:ind w:firstLine="420"/>
        <w:spacing w:line="360" w:lineRule="auto"/>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一、项目介绍</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南洋镇正东、才堂、兴隆新型社区物业管理</w:t>
      </w:r>
      <w:r>
        <w:rPr>
          <w:rFonts w:hint="eastAsia" w:ascii="宋体" w:hAnsi="宋体" w:eastAsia="宋体" w:cs="宋体"/>
          <w:color w:val="000000" w:themeColor="text1"/>
          <w:sz w:val="21"/>
          <w:szCs w:val="21"/>
          <w14:textFill>
            <w14:solidFill>
              <w14:schemeClr w14:val="tx1"/>
            </w14:solidFill>
          </w14:textFill>
        </w:rPr>
        <w:t xml:space="preserve">服务</w:t>
      </w:r>
      <w:r>
        <w:rPr>
          <w:rFonts w:hint="eastAsia" w:ascii="宋体" w:hAnsi="宋体" w:cs="宋体"/>
          <w:color w:val="000000" w:themeColor="text1"/>
          <w:sz w:val="21"/>
          <w:szCs w:val="21"/>
          <w:lang w:val="en-US" w:eastAsia="zh-CN"/>
          <w14:textFill>
            <w14:solidFill>
              <w14:schemeClr w14:val="tx1"/>
            </w14:solidFill>
          </w14:textFill>
        </w:rPr>
        <w:t xml:space="preserve">采购项目</w:t>
      </w:r>
      <w:r>
        <w:rPr>
          <w:rFonts w:hint="eastAsia" w:ascii="宋体" w:hAnsi="宋体" w:eastAsia="宋体" w:cs="宋体"/>
          <w:color w:val="000000" w:themeColor="text1"/>
          <w:sz w:val="21"/>
          <w:szCs w:val="21"/>
          <w14:textFill>
            <w14:solidFill>
              <w14:schemeClr w14:val="tx1"/>
            </w14:solidFill>
          </w14:textFill>
        </w:rPr>
        <w:t xml:space="preserve">，预算金额：</w:t>
      </w:r>
      <w:r>
        <w:rPr>
          <w:rFonts w:hint="eastAsia" w:ascii="宋体" w:hAnsi="宋体" w:eastAsia="宋体" w:cs="宋体"/>
          <w:color w:val="000000" w:themeColor="text1"/>
          <w:sz w:val="21"/>
          <w:szCs w:val="21"/>
          <w:lang w:val="en-US" w:eastAsia="zh-CN"/>
          <w14:textFill>
            <w14:solidFill>
              <w14:schemeClr w14:val="tx1"/>
            </w14:solidFill>
          </w14:textFill>
        </w:rPr>
        <w:t xml:space="preserve">115</w:t>
      </w:r>
      <w:r>
        <w:rPr>
          <w:rFonts w:hint="eastAsia" w:ascii="宋体" w:hAnsi="宋体" w:eastAsia="宋体" w:cs="宋体"/>
          <w:color w:val="000000" w:themeColor="text1"/>
          <w:sz w:val="21"/>
          <w:szCs w:val="21"/>
          <w14:textFill>
            <w14:solidFill>
              <w14:schemeClr w14:val="tx1"/>
            </w14:solidFill>
          </w14:textFill>
        </w:rPr>
        <w:t xml:space="preserve">万元（含8</w:t>
      </w:r>
      <w:r>
        <w:rPr>
          <w:rFonts w:hint="eastAsia" w:ascii="宋体" w:hAnsi="宋体" w:cs="宋体"/>
          <w:color w:val="000000" w:themeColor="text1"/>
          <w:sz w:val="21"/>
          <w:szCs w:val="21"/>
          <w:lang w:val="en-US" w:eastAsia="zh-CN"/>
          <w14:textFill>
            <w14:solidFill>
              <w14:schemeClr w14:val="tx1"/>
            </w14:solidFill>
          </w14:textFill>
        </w:rPr>
        <w:t xml:space="preserve">万元</w:t>
      </w:r>
      <w:r>
        <w:rPr>
          <w:rFonts w:hint="eastAsia" w:ascii="宋体" w:hAnsi="宋体" w:eastAsia="宋体" w:cs="宋体"/>
          <w:color w:val="000000" w:themeColor="text1"/>
          <w:sz w:val="21"/>
          <w:szCs w:val="21"/>
          <w14:textFill>
            <w14:solidFill>
              <w14:schemeClr w14:val="tx1"/>
            </w14:solidFill>
          </w14:textFill>
        </w:rPr>
        <w:t xml:space="preserve">公共水电费，设施设备维护、检测等费用）。</w:t>
      </w:r>
      <w:r>
        <w:rPr>
          <w:rFonts w:hint="eastAsia" w:ascii="宋体" w:hAnsi="宋体" w:eastAsia="宋体" w:cs="宋体"/>
          <w:color w:val="000000" w:themeColor="text1"/>
          <w:sz w:val="21"/>
          <w:szCs w:val="21"/>
          <w:highlight w:val="none"/>
          <w14:textFill>
            <w14:solidFill>
              <w14:schemeClr w14:val="tx1"/>
            </w14:solidFill>
          </w14:textFill>
        </w:rPr>
        <w:t xml:space="preserve">南洋镇正东、兴隆、才堂三个新型社区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物业管理服务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正东1-4期，建筑面积为60873m²,共470户；兴隆建筑面积约32423 m²,272户，才堂建筑面积约21495 m²平方米，150户，才堂和兴隆两新型社区离得较近，建筑面积53918m²,共422户，可作为一个管理对象进行物业管理。三个新型社区建筑面积共114791m²</w:t>
      </w:r>
      <w:r>
        <w:rPr>
          <w:rFonts w:hint="eastAsia" w:ascii="宋体" w:hAnsi="宋体" w:cs="宋体"/>
          <w:color w:val="000000" w:themeColor="text1"/>
          <w:sz w:val="21"/>
          <w:szCs w:val="21"/>
          <w:highlight w:val="none"/>
          <w:lang w:val="en-US" w:eastAsia="zh-CN"/>
          <w14:textFill>
            <w14:solidFill>
              <w14:schemeClr w14:val="tx1"/>
            </w14:solidFill>
          </w14:textFill>
        </w:rPr>
        <w:t xml:space="preserve">进行日常物业管理服务</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具体内容及要求详见招标文件</w:t>
      </w:r>
      <w:r>
        <w:rPr>
          <w:rFonts w:hint="eastAsia" w:ascii="宋体" w:hAnsi="宋体" w:cs="宋体"/>
          <w:color w:val="000000" w:themeColor="text1"/>
          <w:sz w:val="21"/>
          <w:szCs w:val="21"/>
          <w:lang w:val="en-US" w:eastAsia="zh-CN"/>
          <w14:textFill>
            <w14:solidFill>
              <w14:schemeClr w14:val="tx1"/>
            </w14:solidFill>
          </w14:textFill>
        </w:rPr>
        <w:t xml:space="preserve">采购</w:t>
      </w:r>
      <w:r>
        <w:rPr>
          <w:rFonts w:hint="eastAsia" w:ascii="宋体" w:hAnsi="宋体" w:eastAsia="宋体" w:cs="宋体"/>
          <w:color w:val="000000" w:themeColor="text1"/>
          <w:sz w:val="21"/>
          <w:szCs w:val="21"/>
          <w14:textFill>
            <w14:solidFill>
              <w14:schemeClr w14:val="tx1"/>
            </w14:solidFill>
          </w14:textFill>
        </w:rPr>
        <w:t xml:space="preserve">需求。</w:t>
      </w:r>
      <w:r/>
    </w:p>
    <w:p>
      <w:pPr>
        <w:ind w:firstLine="420"/>
        <w:spacing w:line="360" w:lineRule="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lang w:eastAsia="zh-CN"/>
          <w14:textFill>
            <w14:solidFill>
              <w14:schemeClr w14:val="tx1"/>
            </w14:solidFill>
          </w14:textFill>
        </w:rPr>
        <w:t xml:space="preserve">二、项目总体</w:t>
      </w:r>
      <w:r>
        <w:rPr>
          <w:rFonts w:hint="eastAsia" w:ascii="宋体" w:hAnsi="宋体" w:cs="宋体"/>
          <w:b/>
          <w:bCs/>
          <w:color w:val="000000" w:themeColor="text1"/>
          <w:sz w:val="21"/>
          <w:szCs w:val="21"/>
          <w:lang w:val="en-US" w:eastAsia="zh-CN"/>
          <w14:textFill>
            <w14:solidFill>
              <w14:schemeClr w14:val="tx1"/>
            </w14:solidFill>
          </w14:textFill>
        </w:rPr>
        <w:t xml:space="preserve">服务</w:t>
      </w:r>
      <w:r>
        <w:rPr>
          <w:rFonts w:hint="eastAsia" w:ascii="宋体" w:hAnsi="宋体" w:eastAsia="宋体" w:cs="宋体"/>
          <w:b/>
          <w:bCs/>
          <w:color w:val="000000" w:themeColor="text1"/>
          <w:sz w:val="21"/>
          <w:szCs w:val="21"/>
          <w:lang w:eastAsia="zh-CN"/>
          <w14:textFill>
            <w14:solidFill>
              <w14:schemeClr w14:val="tx1"/>
            </w14:solidFill>
          </w14:textFill>
        </w:rPr>
        <w:t xml:space="preserve">要求</w:t>
      </w:r>
      <w:r/>
    </w:p>
    <w:p>
      <w:pPr>
        <w:ind w:firstLine="420"/>
        <w:spacing w:after="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本项目使用人员均为专职人员，每天按时到岗上班，如遇特殊情况不能到岗的，必须向采购人申请并同意后方可离岗。所有人员年龄必须在20周岁—55周岁之间（采购人留用人员年龄可适当放宽），要求身体健康，能胜任其基本工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投标人中标后按采购人的委托管理事项和管理服务考核细则进行管理，服务人员能很好地履行岗位职责并完成</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分配的相关工作，服从</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管理，工作认真负责，服务质量能让</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满意。</w:t>
      </w:r>
      <w:r/>
    </w:p>
    <w:p>
      <w:pPr>
        <w:ind w:firstLine="420"/>
        <w:spacing w:line="360" w:lineRule="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 </w:t>
      </w:r>
      <w:r>
        <w:rPr>
          <w:rFonts w:hint="eastAsia" w:ascii="宋体" w:hAnsi="宋体" w:eastAsia="宋体" w:cs="宋体"/>
          <w:b/>
          <w:bCs/>
          <w:color w:val="000000" w:themeColor="text1"/>
          <w:sz w:val="21"/>
          <w:szCs w:val="21"/>
          <w:lang w:eastAsia="zh-CN"/>
          <w14:textFill>
            <w14:solidFill>
              <w14:schemeClr w14:val="tx1"/>
            </w14:solidFill>
          </w14:textFill>
        </w:rPr>
        <w:t xml:space="preserve">三、 物业管理服务内容及要求：</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01" w:name="_Toc39068838"/>
      <w:r/>
      <w:bookmarkStart w:id="102" w:name="_Toc79327200"/>
      <w:r/>
      <w:bookmarkStart w:id="103" w:name="_Toc6323182"/>
      <w:r>
        <w:rPr>
          <w:rFonts w:hint="eastAsia" w:ascii="宋体" w:hAnsi="宋体" w:eastAsia="宋体" w:cs="宋体"/>
          <w:color w:val="000000" w:themeColor="text1"/>
          <w:sz w:val="21"/>
          <w:szCs w:val="21"/>
          <w:lang w:eastAsia="zh-CN"/>
          <w14:textFill>
            <w14:solidFill>
              <w14:schemeClr w14:val="tx1"/>
            </w14:solidFill>
          </w14:textFill>
        </w:rPr>
        <w:t xml:space="preserve">1物业管理服务的内容</w:t>
      </w:r>
      <w:bookmarkEnd w:id="101"/>
      <w:r/>
      <w:bookmarkEnd w:id="102"/>
      <w:r/>
      <w:bookmarkEnd w:id="103"/>
      <w:r>
        <w:rPr>
          <w:rFonts w:hint="eastAsia" w:ascii="宋体" w:hAnsi="宋体" w:eastAsia="宋体" w:cs="宋体"/>
          <w:color w:val="000000" w:themeColor="text1"/>
          <w:sz w:val="21"/>
          <w:szCs w:val="21"/>
          <w:lang w:eastAsia="zh-CN"/>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1.1物业管理区域的公共秩序维护、日常安全巡查及防范服务；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1.2物业管理区域内物业共用部位、共用设施设备的管理；供水 、供电、供气、电信等专业单位在物业管理区域内对相关管线、设施维修养护时，进行必要的协调和管理；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1.3物业管理区域内环境卫生的维护；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1.4物业管理区域内的绿化管理，养护费用另计；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1.5物业管理区域内车辆（机动车和非机动车）行驶、停放及场所管理；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1.6物业档案资料的保管及有关物业服务费用的帐务管理；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1.7物业管理区域内业主、使用人装饰装修物业的管理和服务；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1.8对物业前期施工建设阶段全程跟踪监理，参与工程的竣工验收和交房服务管理。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1.9在业主或使用人在提出委托时，对其房屋自用部位、自用设施及设备进行养护，在技术能力范围内并在合理收费的基础上应接受委托服务。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1.10综合管理服务：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（1）根据项目情况，组织有效管理机构、制定完整严格的内部、管理制度和工作岗位考核标准；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（2）小区精神文明公约、业主公约、精神文明建设的服务制度等小区各项管理制度的制定、宣传及管理工作；</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（3）做好小区公共服务工作及时处理问题；</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（4）社区文化活动的组织和开展工作；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（5）制定出争创市、省级优秀管理项目的规划和具体实施方案。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04" w:name="_Toc6323183"/>
      <w:r/>
      <w:bookmarkStart w:id="105" w:name="_Toc79327201"/>
      <w:r/>
      <w:bookmarkStart w:id="106" w:name="_Toc39068839"/>
      <w:r>
        <w:rPr>
          <w:rFonts w:hint="eastAsia" w:ascii="宋体" w:hAnsi="宋体" w:eastAsia="宋体" w:cs="宋体"/>
          <w:color w:val="000000" w:themeColor="text1"/>
          <w:sz w:val="21"/>
          <w:szCs w:val="21"/>
          <w:lang w:eastAsia="zh-CN"/>
          <w14:textFill>
            <w14:solidFill>
              <w14:schemeClr w14:val="tx1"/>
            </w14:solidFill>
          </w14:textFill>
        </w:rPr>
        <w:t xml:space="preserve">2物业管理服务的要求</w:t>
      </w:r>
      <w:bookmarkEnd w:id="104"/>
      <w:r/>
      <w:bookmarkEnd w:id="105"/>
      <w:r/>
      <w:bookmarkEnd w:id="106"/>
      <w:r>
        <w:rPr>
          <w:rFonts w:hint="eastAsia" w:ascii="宋体" w:hAnsi="宋体" w:eastAsia="宋体" w:cs="宋体"/>
          <w:color w:val="000000" w:themeColor="text1"/>
          <w:sz w:val="21"/>
          <w:szCs w:val="21"/>
          <w:lang w:eastAsia="zh-CN"/>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07" w:name="_Toc39068840"/>
      <w:r/>
      <w:bookmarkStart w:id="108" w:name="_Toc39070347"/>
      <w:r>
        <w:rPr>
          <w:rFonts w:hint="eastAsia" w:ascii="宋体" w:hAnsi="宋体" w:eastAsia="宋体" w:cs="宋体"/>
          <w:color w:val="000000" w:themeColor="text1"/>
          <w:sz w:val="21"/>
          <w:szCs w:val="21"/>
          <w:lang w:eastAsia="zh-CN"/>
          <w14:textFill>
            <w14:solidFill>
              <w14:schemeClr w14:val="tx1"/>
            </w14:solidFill>
          </w14:textFill>
        </w:rPr>
        <w:t xml:space="preserve">2.1基本要求</w:t>
      </w:r>
      <w:bookmarkEnd w:id="107"/>
      <w:r/>
      <w:bookmarkEnd w:id="108"/>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（1）服务与被服务双方签订规范的物业服务合同，双方权利义务关系明确；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承接项目前期介入时，对前期开发建设全过程进行监督，协助管理，避免遗留问题；项目竣工承接时对住宅小区共用部位、共用设施设备进行认真查验，验收手续齐全；日常管理服务中对住宅小区共用部位、共用设施设备进行正常运行管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（3）管理人员、专业操作人员按照国家有关规定取得物业管理职业资格证书或者岗位证书；</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（4）有完善的物业管理方案，质量管理、财务管理、档案管理等制度健全；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（5）管理、服务人员统一着装、佩戴标志，行为规范，服务主动、热情；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（6）公示24小时服务电话。急修20分钟内、其它报修按双方约定时间到达现场，有报修、维修和回访记录；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（7）根据业主需求，提供物业服务合同之外的特约服务和代办服务的，公示服务项目与收费价目；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（8）按有关规定和合同约定公布物业服务费用或者物业服务资金的收支情况；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（9）按市局文件规定及合同约定规范使用住房专项维修资金；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（10）每年至少 1 次征询业主对物业服务的意见，业主满意率 95% 以上；</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（11）做好安全保卫工作，杜绝管理、服务失责引起的刑事案件的发生；</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（12）杜绝管理、服务失责引起的火灾责任事故，杜绝管理、服务失责引起的的恶性事件的发生；</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（13）环境卫生、清洁率达到98%；</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（14）正常情况下，消防设备、设施完好率100%；</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（15）房屋完好率95%；</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（16）正常情况下，绿化完好率达95%；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（17）零星维修、报修及时率100%，返修率≤10%；</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（18）服务有效投诉≤1%，处理率100%。</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09" w:name="_Toc39070348"/>
      <w:r/>
      <w:bookmarkStart w:id="110" w:name="_Toc39068841"/>
      <w:r>
        <w:rPr>
          <w:rFonts w:hint="eastAsia" w:ascii="宋体" w:hAnsi="宋体" w:eastAsia="宋体" w:cs="宋体"/>
          <w:color w:val="000000" w:themeColor="text1"/>
          <w:sz w:val="21"/>
          <w:szCs w:val="21"/>
          <w:lang w:eastAsia="zh-CN"/>
          <w14:textFill>
            <w14:solidFill>
              <w14:schemeClr w14:val="tx1"/>
            </w14:solidFill>
          </w14:textFill>
        </w:rPr>
        <w:t xml:space="preserve">2.2物业管理服务与收费质价相符。</w:t>
      </w:r>
      <w:bookmarkEnd w:id="109"/>
      <w:r/>
      <w:bookmarkEnd w:id="110"/>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11" w:name="_Toc39068842"/>
      <w:r/>
      <w:bookmarkStart w:id="112" w:name="_Toc39070349"/>
      <w:r>
        <w:rPr>
          <w:rFonts w:hint="eastAsia" w:ascii="宋体" w:hAnsi="宋体" w:eastAsia="宋体" w:cs="宋体"/>
          <w:color w:val="000000" w:themeColor="text1"/>
          <w:sz w:val="21"/>
          <w:szCs w:val="21"/>
          <w:lang w:eastAsia="zh-CN"/>
          <w14:textFill>
            <w14:solidFill>
              <w14:schemeClr w14:val="tx1"/>
            </w14:solidFill>
          </w14:textFill>
        </w:rPr>
        <w:t xml:space="preserve">2.3严格贯彻执行涉及物业管理的相关法律法规及文件。</w:t>
      </w:r>
      <w:bookmarkEnd w:id="111"/>
      <w:r/>
      <w:bookmarkEnd w:id="112"/>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13" w:name="_Toc39068843"/>
      <w:r/>
      <w:bookmarkStart w:id="114" w:name="_Toc6323184"/>
      <w:r/>
      <w:bookmarkStart w:id="115" w:name="_Toc79327202"/>
      <w:r>
        <w:rPr>
          <w:rFonts w:hint="eastAsia" w:ascii="宋体" w:hAnsi="宋体" w:eastAsia="宋体" w:cs="宋体"/>
          <w:color w:val="000000" w:themeColor="text1"/>
          <w:sz w:val="21"/>
          <w:szCs w:val="21"/>
          <w:lang w:eastAsia="zh-CN"/>
          <w14:textFill>
            <w14:solidFill>
              <w14:schemeClr w14:val="tx1"/>
            </w14:solidFill>
          </w14:textFill>
        </w:rPr>
        <w:t xml:space="preserve">3物业管理服务标准</w:t>
      </w:r>
      <w:bookmarkEnd w:id="113"/>
      <w:r/>
      <w:bookmarkEnd w:id="114"/>
      <w:r/>
      <w:bookmarkEnd w:id="115"/>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本物业管理服务应达到《盐城市区普通住宅物业管理服务等级标准》五 级服务等级，根据《江苏省住宅物业管理服务标准》和《盐城市普通住宅物业管理服务等级标准》五级服务等级，物业服务标准进一步规范如下：</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16" w:name="_Toc39068844"/>
      <w:r/>
      <w:bookmarkStart w:id="117" w:name="_Toc39070351"/>
      <w:r>
        <w:rPr>
          <w:rFonts w:hint="eastAsia" w:ascii="宋体" w:hAnsi="宋体" w:eastAsia="宋体" w:cs="宋体"/>
          <w:color w:val="000000" w:themeColor="text1"/>
          <w:sz w:val="21"/>
          <w:szCs w:val="21"/>
          <w:lang w:eastAsia="zh-CN"/>
          <w14:textFill>
            <w14:solidFill>
              <w14:schemeClr w14:val="tx1"/>
            </w14:solidFill>
          </w14:textFill>
        </w:rPr>
        <w:t xml:space="preserve">3.1综合管理</w:t>
      </w:r>
      <w:bookmarkEnd w:id="116"/>
      <w:r/>
      <w:bookmarkEnd w:id="117"/>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（1）组织管理机构：有完整的服务管理机构，管理人员、专业操作人员按照国家有关规定取得物业管理职业资格证书或者岗位证书。</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（2）管理制度及岗位考核标准：制定完整严格的内部管理制度和工作岗位考核标准。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（3）公共秩序制度：制定小区精神文明公约、业主公约、精神文明建设的服务制度等小区各项管理制度的制定、宣传及管理工作。</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（4）接待：按【《江苏省住宅物业管理服务标准》（DB32/T538-2002）接待标准】。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佩戴统一标志，仪表端庄、大方，衣着整洁，表情自然和蔼、亲切；对业主（使用人）一视同仁；接待时主动、热情、规范；迎送接待业主(使用人)时，用语准确，称呼恰当，问候亲切，语气诚恳，耐心细致；使用文明用语，不应使用服务忌语(详见《江苏省住宅物业管理服务标准》附录A-文明用语、附录B-服务忌语)。</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对业主（使用人）的报修与求助应耐心细致，对收费项目及时说明服务标准、服务方式、收费标准等事项，征求业主（使用人）的意见。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（5）值守：按《江苏省住宅物业管理服务标准》（DB32/T538-2002）值守标准执行。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具体标准：有完善的值班制度和交接班制度；工作有记录。</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（6）服务限时：按《江苏省住宅物业管理服务标准》（DB32/T538-2002）服务时限四级标准执行。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急修服务20分钟内到位，12小时内修复，若不能，要有紧急处理措施，并对业主（使用人）做出合理解释，做出限时承诺。小修原则上2日内修复，特殊情况必须做出说明和限时承诺。服务时限不得以节假日和休息时间顺延（居民预约、雨天筑漏可不受2日限制）。</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18" w:name="_Toc39068845"/>
      <w:r/>
      <w:bookmarkStart w:id="119" w:name="_Toc39070352"/>
      <w:r>
        <w:rPr>
          <w:rFonts w:hint="eastAsia" w:ascii="宋体" w:hAnsi="宋体" w:eastAsia="宋体" w:cs="宋体"/>
          <w:color w:val="000000" w:themeColor="text1"/>
          <w:sz w:val="21"/>
          <w:szCs w:val="21"/>
          <w:lang w:eastAsia="zh-CN"/>
          <w14:textFill>
            <w14:solidFill>
              <w14:schemeClr w14:val="tx1"/>
            </w14:solidFill>
          </w14:textFill>
        </w:rPr>
        <w:t xml:space="preserve">3.2房屋管理、共用设施、设备维护与管理</w:t>
      </w:r>
      <w:bookmarkEnd w:id="118"/>
      <w:r/>
      <w:bookmarkEnd w:id="119"/>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3.2.1房屋管理、共用设施、设备维护的巡检</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巡检：按《江苏省住宅物业管理服务标准》（DB32/T538-2002）巡检标准执行。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具体标准：每年年底或年初对房屋共用部位、设施设备、道路、绿地等进行全面检查1次，掌握房屋设施设备完损状况，对完损程度做出评价；</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每半年检查巡视1次房屋主体结构，发现质量问题及时向业主或业主委员会报告与建议；根据业主或业主委员会的委托，组织维修工作；</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在冬、雨季和天气异常时安排组织房屋设施巡视，对质量较差，易出问题的部位重点检查；每半年检查清除1次屋面、檐沟内落叶杂物树叶等，疏通雨水口、落水管等；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每日巡视1次小区楼房单元门、楼梯间通道部位以及其它共用部位的门窗、玻璃、路灯等；每年秋季对共用部位门窗做专项检修1次；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业主已委托管理的空置房，每周户外巡视1次，发现门窗损坏、锁具被撬、异味等异常情况及时通知业主，并采取必要的紧急处理措施；</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巡检有记录；</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巡检结束将检查情况、维修计划及需要进行大、中修或更新改造的项目报告业主或者业主委员会。</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3.2.2房屋管理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（1）装修管理：按《江苏省住宅物业管理服务标准》（DB32/T538-2002）装修管理标准执行。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①将住宅室内装饰装修工程的禁止行为和注意事项告知装修人；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②对业主（使用人）装修房屋的申请，应在2个工作日内给出同意意见或修改意见，并签定装饰装修管理服务协议；</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③业主（使用人）装修期间每日巡查装修施工情况；</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④装修结束组织验收；</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⑤验收合格2个月后组织复验；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⑥复验合格后3个工作日内退还装修保证金；</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⑦对装修中的违约行为及时劝阻；已造成事实后果或者拒不改正的，应当及时报告有关部门依法处理。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（2）油漆粉饰：按《江苏省住宅物业管理服务标准》（DB32/T538-2002）油漆粉饰五级标准执行。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具体标准：木门窗、百叶门窗、封檐板、木栏杆等油漆起皮、剥落或更换的新木件应油饰；5年油饰1次；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钢门窗、铁皮雨水斗、落水管、铁皮屋面、钢屋架及支撑或其他各类构件（铁栅栏、铁栏杆、铁门）其油漆起皮、剥落或铁件锈蚀应除锈、刷防锈涂料后再油饰；铸铁污水管、水管、煤气管在刷防锈漆后应刷两道银粉；上述部件应3年油饰1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楼梯间、共用走廊的室内墙面每5年应粉刷1次。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（3）建筑物外立面：按《江苏省住宅物业管理服务标准》（DB32/T538-2002）建筑物外立面标准执行。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建筑物外立面为玻璃幕墙、瓷砖、仿石、大理石的，至少每年清洗1次；外立面为水刷石、干粘石和喷涂材料的，原则上每5年粉饰1次；外立面为其他材质的，视材质情况定期清洗。因施工等原因致使建筑物、构筑物外立面有明显污迹的，应当及时进行清洗、粉饰。</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委托合同另有约定的按合同约定执行。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3.2.3给排水系统及其配套设施</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（1）给水设施：按《江苏省住宅物业管理服务标准》（DB32/T538-2002）给水设施标准五级执行。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保持泵房清洁卫生，良好的通风、照明和采暖，地面排水畅通，每3个月清洗1次泵房；水泵运行正常，每2小时巡查泵房1次，各种仪表指示稳定正常，阀门开关灵活，发现滴漏及时维修；消防泵、喷淋泵、污水泵等不经常启动的水泵，每月启动1次，保持水泵能正常运行，每月检查1次消防泵及管道阀门，使之处于完好和正常开启状态；水泵运转部件经常加油，保持润滑灵活；每年对水泵机组清洁保养1次；泵房内设备2年后，每年翻新1次，并标明各种标志；每日填写水泵运行记录，建档备查；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半年对共用明装给水管道进行1次全面检查维修，对轻度锈蚀应将脱皮清理干净，在管道干燥的情况下，涂刷防锈漆两遍，然后再刷两遍面漆。各类阀门定期开关，对出现故障的阀门及时修复，阀门应开关灵活；</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专业人员专人巡视，每日检查泵、管道、水箱、阀门、水表状况，定期保养、维护，出现问题随时处理。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（2）排水设施：按《江苏省住宅物业管理服务标准》（DB32/T538-2002）排水设施标准四级执行。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具体标准：化粪池每年清理2次，出入口畅通，井内无积物浮于面上，池盖无污渍、污物，清理后及时清洁现场；</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楼面落水管落水口等保持完好，开裂、破损等及时更换，定期检查，每5年全面更换1次；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每周清扫1次排水明沟内的泥沙、纸屑等垃圾，拔出沟内生长的杂草；无杂草，排水畅通，无积水；</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季度对地下管井清理1次，捞起井内泥沙和悬浮物；每半年对地下管井彻底疏通1次，清理结束地面冲洗干净。清理时地面竖警示牌，必要时加护拦。清理后达到目视管道内壁无明显粘附物，井底无沉淀物，水流畅通，井盖上无污渍、污物。</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3.2.4供配电系统</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（1）供配电系统：按《江苏省住宅物业管理服务标准》（DB32/T538-2002）供配电系统标准执行。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具体标准：建立和完善有关规章制度，包括电气设备运行操作规程、安全操作规程、事故处理规程、巡视检查制度、维护制度、安全及交接班制度；</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值班人员具备变配电运行知识和技能，具备上岗资格，持有上岗证书；</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保持配电房清洁卫生，每周清扫地面及擦拭配电柜表面，要求地面干燥无积灰，配电柜表面无污渍；</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每日检查变压器电压、电流互感器、断路器、隔离开关、高压熔断器及避雷器、配电箱、导线等供配电系统的运行状况，并定时抄表做好记录，出现异常及时处理；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年委托专业单位对变压器、高压开关柜进行1次测试、试验等项目的维修保养；每年对变压器外部、低压配电柜进行2次清洁、保养；保证正常电力供应，限电、停电按规定时间通知业主（使用人）；每年检测1次保安接地电阻；每年检测1次配电房主要电器设备的绝缘强度；每年检测2次配电房内消防器材，保持消防器材完好；妥善保管高压操作工具，并每年送供电部门检测1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潮湿天气时，采用安全有效措施，保持配电房内主要电器设备干燥；</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每月检测1次配电房内有无蛙、鼠、蚁等虫害，如发现马上采取措施杜绝；</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每日填写运行记录，建档备查。</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3.2.5弱电系统</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（1）弱电系统：按《江苏省住宅物业管理服务标准》（DB32/T538-2002）弱电系统标准执行。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具体标准：操作人员受过专业培训，持证上岗；</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工作时认真负责，精神集中，对异常情况能及时识别；发现异常，及时处理；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有切实可行的维修保养计划；保养、检修及时；</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对相关设备、设施定期进行调试，使系统处于最佳工作状态；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工作、维修、养护有记录，特殊系统、设备的进入经过授权，密码有有效保护；</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分系统定时检查和记录各部分、各监控点的工作及运行状态，定期对各类信息、数据进行统计分析，形成日、月报表。</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3.2.6避雷接地系统</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（1）避雷接地系统：按《江苏省住宅物业管理服务标准》（DB32/T538-2002）避雷接地系统标准执行。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具体标准：每年雨季来临之前，对整个避雷接地系统进行检查维护；在大雷雨过后也要及时对系统检查，发现严重腐蚀、松脱等立即更换或紧固。</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3.2.7道路、停车场（车棚、车库）及配套设施</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（1）道路、停车场（车棚、车库）及配套设施：按《江苏省住宅物业管理服务标准》（DB32/T538-2002）道路、停车场（车棚、车库）及配套设施标准执行。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具体标准：加强道路维修与养护，制定详细的道路维修养护计划，按照合同约定实施；</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保持居住区道路畅通，路面平坦整齐，排水畅通；</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设立报修渠道，并有巡查制度，专人负责，发现损坏及时修补；</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按照业管理规约的约定，劝阻人为损坏路面，制止在路面焚烧垃圾、落叶或其他杂物；</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停车场、棚、房完好无损，有大、中、小修计划；</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停车场内照明设施完好，通道畅通无阻，配备必要的消防设备，符合停车场规范要求，便于管理和车主停放车辆。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20" w:name="_Toc39068846"/>
      <w:r/>
      <w:bookmarkStart w:id="121" w:name="_Toc39070353"/>
      <w:r>
        <w:rPr>
          <w:rFonts w:hint="eastAsia" w:ascii="宋体" w:hAnsi="宋体" w:eastAsia="宋体" w:cs="宋体"/>
          <w:color w:val="000000" w:themeColor="text1"/>
          <w:sz w:val="21"/>
          <w:szCs w:val="21"/>
          <w:lang w:eastAsia="zh-CN"/>
          <w14:textFill>
            <w14:solidFill>
              <w14:schemeClr w14:val="tx1"/>
            </w14:solidFill>
          </w14:textFill>
        </w:rPr>
        <w:t xml:space="preserve">3.3清洁管理</w:t>
      </w:r>
      <w:bookmarkEnd w:id="120"/>
      <w:r/>
      <w:bookmarkEnd w:id="121"/>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3.3.1共用楼道保洁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（1）共用楼道保洁：按《江苏省住宅物业管理服务标准》（DB32/T538-2002）共用楼道保洁标准五级执行。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具体标准：每日打扫1次各楼层通道和楼梯台阶，每周拖洗2次；水磨石地面和水泥地面每月刷洗1次，大理石地面每季度抛光打蜡1次；每日</w:t>
      </w:r>
      <w:r>
        <w:rPr>
          <w:rFonts w:hint="eastAsia" w:ascii="宋体" w:hAnsi="宋体" w:eastAsia="宋体" w:cs="宋体"/>
          <w:color w:val="000000" w:themeColor="text1"/>
          <w:sz w:val="21"/>
          <w:szCs w:val="21"/>
          <w:lang w:eastAsia="zh-CN"/>
          <w14:textFill>
            <w14:solidFill>
              <w14:schemeClr w14:val="tx1"/>
            </w14:solidFill>
          </w14:textFill>
        </w:rPr>
        <w:t xml:space="preserve">收集2次业主（使用人）垃圾；每日清理1次通道摆放的烟灰缸内垃圾和烟头；每日用干净的抹布擦抹1次楼梯扶手；各层和通道的防火门、消防栓、玻璃箱内侧、灯具、墙面、地脚线、指示牌等公共设施每月循环清洁1次；各梯间墙面、天花板每月除尘1次；每月擦1次楼梯道共用门窗玻璃。地面、梯间基本干净，无垃圾、灰尘、杂物，污渍、水渍，无乱贴乱划，无擅自占用现象，无乱堆乱放；扶手护拦基本干净、光亮，清洁结束用干净纸巾擦拭检查20cm无显著脏污；梯间顶面无明显蜘蛛网、灰尘，地脚线无明显污渍，地面目视无明显杂物、污迹。楼梯道玻璃无灰尘。</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3.3.2共用卫生间保洁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（1）共用卫生间保洁：按《江苏省住宅物业管理服务标准》（DB32/T538-2002）共用卫生间保洁标准四级执行。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日早、晚对共用卫生间清洁2次，保洁时悬挂醒目标识；（清洁内容包括：通风换气；冲洗烟灰缸、洁具；清扫地面垃圾、清倒垃圾篓垃圾、换新的垃圾袋；用洗洁剂清洗大、小便器；用拖把拖干净地面；喷洒空气清新剂或香水，小便器内放置香球等）；每月1次用毛巾擦灯具；每月2次对共用卫生间进行消杀，发现墙壁有字及时清洁。室内无明显异味、臭味；地面无明显烟头、纸屑、污渍、积水，天花板、墙面无蜘蛛网和积灰，目视墙壁干净，便器洁净无黄渍。</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3.3.3停车场、共用车库或车棚保洁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（1）停车场、共用车库或车棚保洁：按《江苏省住宅物业管理服务标准》（DB32/T538-2002）停车场、共用车库或车棚保洁标准五级执行。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日清扫1次车库的纸屑和垃圾；及时清除地下室进出口的垃圾；发现油迹、污迹、锈迹，应及时擦洗干净；每月打开1次地下室、车库的集水坑和排水沟盖板，彻底疏通冲刷1次；每月擦洗1次门窗、消防栓、指示牌、指示灯、车位档、防火门等公共设施；每月清扫1次地下室管线；每月进行2次地下室消杀工作。地面无垃圾、果皮、纸屑、无积水、无油迹、无污迹和杂物；无异味、空气流通；管道油漆无脱落、无锈迹；标识、指示牌等公共设施目视无明显灰尘；墙面、管线基本无污迹、无积灰。</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3.3.4道路保洁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（1）道路清洁：按《江苏省住宅物业管理服务标准》（DB32/T538-2002）道路清洁标准五级执行。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日清扫2次，保洁时间不少于4小时，保洁人员往返一周时间不超过1小时，目视道路基本干净、整洁，无垃圾、杂物、浮砂，无污迹，无积水、积雪，每100m2痰迹、烟头、纸屑平均不超过5个，无直径1cm以上的石子；地面垃圾滞留时间不能超过1小时；每月清洁2次，目视灯具无灰尘，灯具内无蚊虫，灯盖、灯罩、灯座明亮清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3.3.5标识、宣传牌、雕塑、信报箱保洁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（1）标识、宣传牌、雕塑、信报箱保洁：按《江苏省住宅物业管理服务标准》（DB32/T538-2002）标识、宣传牌、雕塑、信报箱保洁标准五级执行。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具体标准：标识、宣传牌每3日擦拭1次，雕塑每月擦拭1次。清洁后检查无污渍、无积灰，不损伤被清洁物；每周擦拭1次业主（使用人）信报箱，擦拭后信报箱干净无灰尘、无污迹。</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3.3.6绿化带保洁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（1）绿化带保洁：按《江苏省住宅物业管理服务标准》（DB32/T538-2002）绿化带保洁标准五级执行。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日清扫2次绿化带、草地上垃圾，捡1次草地、绿化带上的烟头、棉签等小杂物，秋冬季节或落叶较多季节增加清洁次数，地面基本干净、无积尘、无污渍、无垃圾，每100m2痰迹、烟头、纸屑平均不超过5个，花坛表面洁净无污渍，地面垃圾滞留时间不超过1小时。</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3.3.7休闲、娱乐设施保洁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（1）休闲、娱乐设施保洁：按《江苏省住宅物业管理服务标准》（DB32/T538-2002）休闲、娱乐设施保洁标准四级执行。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日清洁1次（擦拭表面灰尘、用清洁剂擦拭污渍用清水冲洗干净用抹布抹干、清扫垃圾、擦拭座椅）；每月彻底刷洗消毒1次；设施表面基本干净，无灰尘污渍、锈迹，目视游乐场内及其周围无果皮、纸屑等垃圾，及时发现设施、设备脱焊、脱漆、断裂及其他安全隐患并报告处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3.3.8门卫、岗亭、监控探头保洁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（1）门卫、岗亭、监控探头保洁：按《江苏省住宅物业管理服务标准》（DB32/T538-2002）门卫、岗亭、监控探头保洁标准五级执行。</w:t>
      </w:r>
      <w:r/>
    </w:p>
    <w:p>
      <w:pPr>
        <w:ind w:firstLine="420"/>
        <w:spacing w:line="360" w:lineRule="auto"/>
        <w:rPr>
          <w:rStyle w:val="924"/>
          <w:rFonts w:hint="eastAsia" w:ascii="宋体" w:hAnsi="宋体"/>
          <w:sz w:val="24"/>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门卫、岗亭每日清洁2次，内外地面拖洗干净，擦洗干净内外门窗玻璃、窗台，及其他台面，室内外墙面每月清洁2次，发现不卫生随时处理，保持墙、地面干净、光亮、整洁，保安岗亭随时保洁，墙面、顶面无积灰；工、器具排放整齐、有序；监控探头每周擦拭1次，镜头用专用纸，探头外表用微湿的毛巾；擦拭不得刮伤镜片，清洁后镜头光亮洁净，探头外表干</w:t>
      </w:r>
      <w:r>
        <w:rPr>
          <w:rStyle w:val="924"/>
          <w:rFonts w:hint="eastAsia" w:ascii="宋体" w:hAnsi="宋体"/>
          <w:sz w:val="24"/>
        </w:rPr>
        <w:t xml:space="preserve">净无灰尘。</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3.3.9垃圾桶、果皮箱</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（1）垃圾桶、果皮箱：按《江苏省住宅物业管理服务标准》（DB32/T538-2002）垃圾桶、果皮箱标准四级执行。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具体标准：垃圾桶、果皮箱：每日清运2次；每3日抹布抹1次；垃圾桶、果皮箱周围地面无散落垃圾、无污水、无明显污迹；垃圾桶、果皮箱无明显污迹、油污。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3.3.10垃圾收集与处理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（1）垃圾收集与处理：按《江苏省住宅物业管理服务标准》（DB32/T538-2002）垃圾收集与处理标准三级执行。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生活垃圾由业主（使用人）自己送至楼下固定位置，由清扫人员每日收集生活垃圾2次；垃圾桶、果皮箱垃圾，每日收集垃圾2次；垃圾日产日清；建筑垃圾定点堆放；对有毒物质分离特殊处理；灰尘、泥沙等粉尘性垃圾在运送途中应加以遮挡，防止垃圾掉落或飞扬引起二次污染；废弃涂料、油漆等流质性垃圾在运送途中注意容器的封闭，防止溢流污染路面。</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3.3.11卫生消杀</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（1）卫生消杀：按《江苏省住宅物业管理服务标准》（DB32/T538-2002）卫生消杀标准四级执行。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针对灭蚊、蝇、蟑螂、灭鼠的实际需要和季节特点制定具体计划；灭鼠：每年至少进行3次；检查仓库、地下室，目视无明显蚊虫在飞；检查办公室、食堂，目视无明显苍蝇在飞；抽查楼道、业主（使用人）家无明显鼠迹，用布粉法检查老鼠密度，不超过5％。</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22" w:name="_Toc39070354"/>
      <w:r/>
      <w:bookmarkStart w:id="123" w:name="_Toc39068847"/>
      <w:r>
        <w:rPr>
          <w:rFonts w:hint="eastAsia" w:ascii="宋体" w:hAnsi="宋体" w:eastAsia="宋体" w:cs="宋体"/>
          <w:color w:val="000000" w:themeColor="text1"/>
          <w:sz w:val="21"/>
          <w:szCs w:val="21"/>
          <w:lang w:eastAsia="zh-CN"/>
          <w14:textFill>
            <w14:solidFill>
              <w14:schemeClr w14:val="tx1"/>
            </w14:solidFill>
          </w14:textFill>
        </w:rPr>
        <w:t xml:space="preserve">3.4园林绿化养护与管理</w:t>
      </w:r>
      <w:bookmarkEnd w:id="122"/>
      <w:r/>
      <w:bookmarkEnd w:id="123"/>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3.4.1草坪</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（1）草坪：按《江苏省住宅物业管理服务标准》（DB32/T538-2002）草坪标准五级执行。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具体标准：成活率在95％以上，生长茂盛；</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整块草地没有已开花杂草，整块草地没有明显阔叶杂草；</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无病虫害；</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绿期250日以上，草坪平整，留茬高度控制在60mm以下；</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绿地整洁，无堆物堆料、搭棚、侵占等现象；设施完好，无人为损坏，对违法行为能及时发现和处理；绿化生产垃圾及时清运；</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根据草坪种类、季节、生长周期、天气、土质等情况实施淋水、施肥、修剪和灭虫。</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3.4.2园林树木</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（1）园林树木：按《江苏省住宅物业管理服务标准》（DB32/T538-2002）园林树木标准四级执行。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具体标准：生长长势较好，生长与该树种、该树木的平均年生长量相当；</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树冠基本完整，主侧枝分布合理，树冠通风透光，没有死树和枯枝死杈；</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枝干无明显的机械损伤，叶色、叶片大小、厚度正常，有黄叶、焦叶、卷叶以及有虫屎、虫网、积尘叶的柱树在8％以下；乔木根部无20cm高以上荫蘖枝，无过长杂草、杂物；</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缺株在2％以下；</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管理期间树林基本无钉栓、捆绑现象；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绿篱生长造型正常，下部枝叶基本茂密，整形修剪表面平整，棱角线条基本统一收齐，叶色正常，修剪及时，有虫株率在10%以下；</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有蛀干害虫的株数在2%以下，介壳虫危害较轻。</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3.4.3花坛</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（1）花坛：按《江苏省住宅物业管理服务标准》（DB32/T538-2002）花坛标准四级执行。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具体标准：花卉长势良好，较好体现花坛设计要求；</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在花坛开花期间，每周剪残枝、花5～7次，保持清晰的图案和适宜的高度；</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宿根花卉管理及时，花期正常，缺株率在10%以下；</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有轻微病虫害及人为损害，处理后对花卉生长影响很小，泥面不开裂，花木不缺水枯萎现象；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叶色、大小正常，无非正常落叶、黄叶；</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株形丰满、整齐。</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3.4.4人工湖、喷水池</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Style w:val="924"/>
          <w:rFonts w:hint="eastAsia" w:ascii="宋体" w:hAnsi="宋体"/>
          <w:sz w:val="24"/>
        </w:rPr>
        <w:t xml:space="preserve">（</w:t>
      </w:r>
      <w:r>
        <w:rPr>
          <w:rFonts w:hint="eastAsia" w:ascii="宋体" w:hAnsi="宋体" w:eastAsia="宋体" w:cs="宋体"/>
          <w:color w:val="000000" w:themeColor="text1"/>
          <w:sz w:val="21"/>
          <w:szCs w:val="21"/>
          <w:lang w:eastAsia="zh-CN"/>
          <w14:textFill>
            <w14:solidFill>
              <w14:schemeClr w14:val="tx1"/>
            </w14:solidFill>
          </w14:textFill>
        </w:rPr>
        <w:t xml:space="preserve">1）人工湖、喷水池：按《江苏省住宅物业管理服务标准》（DB32/T538-2002）人工湖、喷水池标准三级执行。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周清洁1次，人工湖岸边持作业工具打捞湖面上的漂浮垃圾；每日用捞筛对喷水池水面漂浮物打捞清洁1次；每2个月对水池清洁1次（刷洗水池瓷砖；抹洗灯饰、水泵、喷头、电线、大石表层的青苔、污垢；清理池底脏物、垃圾；清洗水池地面、周围地面等）；目视池水清澈，水面无杂物，池边无污迹。</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 3.4.5假山、亭、廊、雕塑等建筑小品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（1）假山、亭、廊、雕塑等建筑小品：按《江苏省住宅物业管理服务标准》（DB32/T538-2002）假山、亭、廊、雕塑等建筑小品标准四级执行。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具体标准：每季度清洁1次，细致、认真、全面的检查1次，主要检查山石之间是否牢固；需要刷白或刷油漆的部位每2年粉刷1次，大理石雕塑每年擦洗1次。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24" w:name="_Toc39068848"/>
      <w:r/>
      <w:bookmarkStart w:id="125" w:name="_Toc39070355"/>
      <w:r>
        <w:rPr>
          <w:rFonts w:hint="eastAsia" w:ascii="宋体" w:hAnsi="宋体" w:eastAsia="宋体" w:cs="宋体"/>
          <w:color w:val="000000" w:themeColor="text1"/>
          <w:sz w:val="21"/>
          <w:szCs w:val="21"/>
          <w:lang w:eastAsia="zh-CN"/>
          <w14:textFill>
            <w14:solidFill>
              <w14:schemeClr w14:val="tx1"/>
            </w14:solidFill>
          </w14:textFill>
        </w:rPr>
        <w:t xml:space="preserve">3.5安全防范</w:t>
      </w:r>
      <w:bookmarkEnd w:id="124"/>
      <w:r/>
      <w:bookmarkEnd w:id="125"/>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3.5.1人员组织</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（1）人员组织：按《江苏省住宅物业管理服务标准》（DB32/T538-2002）人员组织标准四级执行。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具体标准：身体健康，责任心强，工作认真负责；</w:t>
      </w:r>
      <w:r/>
    </w:p>
    <w:p>
      <w:pPr>
        <w:ind w:firstLine="420"/>
        <w:spacing w:line="360" w:lineRule="auto"/>
        <w:rPr>
          <w:rFonts w:hint="eastAsia" w:ascii="宋体" w:hAnsi="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接受过相关</w:t>
      </w:r>
      <w:r>
        <w:rPr>
          <w:rFonts w:hint="eastAsia" w:ascii="宋体" w:hAnsi="宋体" w:cs="宋体"/>
          <w:color w:val="000000" w:themeColor="text1"/>
          <w:sz w:val="21"/>
          <w:szCs w:val="21"/>
          <w:lang w:val="en-US" w:eastAsia="zh-CN"/>
          <w14:textFill>
            <w14:solidFill>
              <w14:schemeClr w14:val="tx1"/>
            </w14:solidFill>
          </w14:textFill>
        </w:rPr>
        <w:t xml:space="preserve">岗位</w:t>
      </w:r>
      <w:r>
        <w:rPr>
          <w:rFonts w:hint="eastAsia" w:ascii="宋体" w:hAnsi="宋体" w:eastAsia="宋体" w:cs="宋体"/>
          <w:color w:val="000000" w:themeColor="text1"/>
          <w:sz w:val="21"/>
          <w:szCs w:val="21"/>
          <w:lang w:eastAsia="zh-CN"/>
          <w14:textFill>
            <w14:solidFill>
              <w14:schemeClr w14:val="tx1"/>
            </w14:solidFill>
          </w14:textFill>
        </w:rPr>
        <w:t xml:space="preserve">的知识与技能培训，训练有素，掌握基本</w:t>
      </w:r>
      <w:r>
        <w:rPr>
          <w:rFonts w:hint="eastAsia" w:ascii="宋体" w:hAnsi="宋体" w:cs="宋体"/>
          <w:color w:val="000000" w:themeColor="text1"/>
          <w:sz w:val="21"/>
          <w:szCs w:val="21"/>
          <w:lang w:val="en-US" w:eastAsia="zh-CN"/>
          <w14:textFill>
            <w14:solidFill>
              <w14:schemeClr w14:val="tx1"/>
            </w14:solidFill>
          </w14:textFill>
        </w:rPr>
        <w:t xml:space="preserve">工作</w:t>
      </w:r>
      <w:r>
        <w:rPr>
          <w:rFonts w:hint="eastAsia" w:ascii="宋体" w:hAnsi="宋体" w:eastAsia="宋体" w:cs="宋体"/>
          <w:color w:val="000000" w:themeColor="text1"/>
          <w:sz w:val="21"/>
          <w:szCs w:val="21"/>
          <w:lang w:eastAsia="zh-CN"/>
          <w14:textFill>
            <w14:solidFill>
              <w14:schemeClr w14:val="tx1"/>
            </w14:solidFill>
          </w14:textFill>
        </w:rPr>
        <w:t xml:space="preserve">技能，熟悉物业管理及有关法律法规，能恰当的处理和应对小区</w:t>
      </w:r>
      <w:r>
        <w:rPr>
          <w:rFonts w:hint="eastAsia" w:ascii="宋体" w:hAnsi="宋体" w:cs="宋体"/>
          <w:color w:val="000000" w:themeColor="text1"/>
          <w:sz w:val="21"/>
          <w:szCs w:val="21"/>
          <w:lang w:val="en-US" w:eastAsia="zh-CN"/>
          <w14:textFill>
            <w14:solidFill>
              <w14:schemeClr w14:val="tx1"/>
            </w14:solidFill>
          </w14:textFill>
        </w:rPr>
        <w:t xml:space="preserve">管理及各项</w:t>
      </w:r>
      <w:r>
        <w:rPr>
          <w:rFonts w:hint="eastAsia" w:ascii="宋体" w:hAnsi="宋体" w:eastAsia="宋体" w:cs="宋体"/>
          <w:color w:val="000000" w:themeColor="text1"/>
          <w:sz w:val="21"/>
          <w:szCs w:val="21"/>
          <w:lang w:eastAsia="zh-CN"/>
          <w14:textFill>
            <w14:solidFill>
              <w14:schemeClr w14:val="tx1"/>
            </w14:solidFill>
          </w14:textFill>
        </w:rPr>
        <w:t xml:space="preserve">工作</w:t>
      </w:r>
      <w:r>
        <w:rPr>
          <w:rFonts w:hint="eastAsia" w:ascii="宋体" w:hAnsi="宋体" w:cs="宋体"/>
          <w:color w:val="000000" w:themeColor="text1"/>
          <w:sz w:val="21"/>
          <w:szCs w:val="21"/>
          <w:lang w:val="en-US"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思想品质好，作风正派，热爱安全护卫工作，无犯罪记录；</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当班时应佩戴明显标志，仪容仪表规范整齐；</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上岗时精神振作，姿态良好，在执勤时不得吸烟、吃零食, 不袖手、背手、插腰或将手插入衣袋；</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举止应文明，礼貌待人，用语规范，讲普通话；</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每班工作时间不超过8小时，交接班制度完善，并有工作及交接班记录。</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3.5.</w:t>
      </w: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lang w:eastAsia="zh-CN"/>
          <w14:textFill>
            <w14:solidFill>
              <w14:schemeClr w14:val="tx1"/>
            </w14:solidFill>
          </w14:textFill>
        </w:rPr>
        <w:t xml:space="preserve">紧急事故反应</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（1）紧急事故反应：按《江苏省住宅物业管理服务标准》（DB32/T538-2002）紧急事故反应标准执行。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具体标准：制定紧急事故处理预案，至少包括：治安、环保、停电、停水、断气、火灾、防汛、雨雪、雷击、爆炸、地震、炸弹恐吓、安全疏散应急等；</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有紧急事件救护组织，并始终处于紧急事故反应状态；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书面描述紧急事故救护组织职责，并让每位成员了解，周期性地进行反应训练；</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高层住宅按消防要求组织进行疏散演习；</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对紧急事故做出快速、正确的反应；尽可能减少破坏和损失程度；</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按照业主或业主委员会的委托组织恢复生活秩序，如：帮助恢复电力供应、抢救财产等。</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3.5.</w:t>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lang w:eastAsia="zh-CN"/>
          <w14:textFill>
            <w14:solidFill>
              <w14:schemeClr w14:val="tx1"/>
            </w14:solidFill>
          </w14:textFill>
        </w:rPr>
        <w:t xml:space="preserve">其他防范措施</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（1）其他防范措施：按《江苏省住宅物业管理服务标准》（DB32/T538-2002）其他防范措施标准执行。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具体标准：设有业主（使用人）求助与报警电话，24小时有人值守；</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接到报警信号，确认后管理处应立即派人赶往现场查看，予以恰当的紧急处理；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涉及人身安全处，设有明显标志并有防护措施；</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协助有关部门维持小区正常生活秩序，防止不安全事件发生；</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对小区内外围边界、角落、车库、道路的照明设施加强维护，保持必要的照明；</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建立空置房屋、设备室、垃圾房、杂物房巡查、钥匙管理及登记备案制度。</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3.5.</w:t>
      </w: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lang w:eastAsia="zh-CN"/>
          <w14:textFill>
            <w14:solidFill>
              <w14:schemeClr w14:val="tx1"/>
            </w14:solidFill>
          </w14:textFill>
        </w:rPr>
        <w:t xml:space="preserve">交通、车辆管理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（1）交通、车辆管理：按《江苏省住宅物业管理服务标准》（DB32/T538-2002）交通、车辆管理标准执行。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具体标准：有较为完善的车辆管理制度；</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小区设置明显的交通标志；</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维持交通秩序，发现车辆未上锁及乱停乱放进行忠告或纠正，发现偷盗车辆、破坏交通设施等现象及时制止；设置露天停车场经过业主委员会批准并经过公安交管部门审批，符合规划要求；</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封闭停车场由专人管理，车辆进场、离场有检查、记录；管理人员责任心强，认真负责；停车场具有交管部门核发的停车场使用证，按照物价部门核发的收费标准收费；按照合同特别约定履行车辆保管责任。</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3.5.</w:t>
      </w:r>
      <w:r>
        <w:rPr>
          <w:rFonts w:hint="eastAsia" w:ascii="宋体" w:hAnsi="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lang w:eastAsia="zh-CN"/>
          <w14:textFill>
            <w14:solidFill>
              <w14:schemeClr w14:val="tx1"/>
            </w14:solidFill>
          </w14:textFill>
        </w:rPr>
        <w:t xml:space="preserve">消防</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（1）消防：按《江苏省住宅物业管理服务标准》（DB32/T538-2002）消防标准执行，并委托专业的消防维保单位进行维保。</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执行《中华人民共和国消防法》和其他有关消防法规；</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健全消防组织，建立消防责任制；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定期进行消防训练，保证有关人员掌握基本消防技能；熟练掌握防火、灭火知识和消防器材的使用方法，提高自防自救的能力。</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根据防火、灭火的需要，配置相应种类、数量的消防器材、设备和设施；保持消防通道畅通，禁止在消防通道设置路障；</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制定防火安全管理办法，指定专人维护、管理消防器材、设备和设施，</w:t>
      </w:r>
      <w:r>
        <w:rPr>
          <w:rStyle w:val="924"/>
          <w:rFonts w:hint="eastAsia" w:ascii="宋体" w:hAnsi="宋体"/>
          <w:sz w:val="24"/>
        </w:rPr>
        <w:t xml:space="preserve">保持完整好</w:t>
      </w:r>
      <w:r>
        <w:rPr>
          <w:rFonts w:hint="eastAsia" w:ascii="宋体" w:hAnsi="宋体" w:eastAsia="宋体" w:cs="宋体"/>
          <w:color w:val="000000" w:themeColor="text1"/>
          <w:sz w:val="21"/>
          <w:szCs w:val="21"/>
          <w:lang w:eastAsia="zh-CN"/>
          <w14:textFill>
            <w14:solidFill>
              <w14:schemeClr w14:val="tx1"/>
            </w14:solidFill>
          </w14:textFill>
        </w:rPr>
        <w:t xml:space="preserve">用；</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发现火警有义务迅速向消防队报警，并马上派人前往报警地点，迅速采取措施，组织力量救火，抢救生命和物资，派人接应消防车，服从火场总指挥员的统一指挥；</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每月1次巡查消防栓、箱、烟感头、喷淋头、消防水阀、消防标志等消防设备是否完好、齐全，并及时给予维修；发现设备故障时，必须及时修理或通知厂方处理，保证设备24小时正常运转；</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每日检测1次喷淋管网水压，发现压力不够，马上检修排除故障；</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每年模拟火灾操作1次，以熟悉操作和检查消防监控设备；</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消防监控室保持清洁，每周至少保洁1次，要求地面无积灰，监控箱表面无污渍；</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每日填写工作记录，建档备查。</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26" w:name="_Toc39068849"/>
      <w:r/>
      <w:bookmarkStart w:id="127" w:name="_Toc39070356"/>
      <w:r>
        <w:rPr>
          <w:rFonts w:hint="eastAsia" w:ascii="宋体" w:hAnsi="宋体" w:eastAsia="宋体" w:cs="宋体"/>
          <w:color w:val="000000" w:themeColor="text1"/>
          <w:sz w:val="21"/>
          <w:szCs w:val="21"/>
          <w:lang w:eastAsia="zh-CN"/>
          <w14:textFill>
            <w14:solidFill>
              <w14:schemeClr w14:val="tx1"/>
            </w14:solidFill>
          </w14:textFill>
        </w:rPr>
        <w:t xml:space="preserve">3.6档案资料</w:t>
      </w:r>
      <w:bookmarkEnd w:id="126"/>
      <w:r/>
      <w:bookmarkEnd w:id="127"/>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（1）档案资料：按《江苏省住宅物业管理服务标准》（DB32/T538-2002）档案资料标准执行。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具体标准：档案资料齐全完整；分类成册，管理完善，合理分类，查阅方便；及时变更登记，账物相符。</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28" w:name="_Toc39070357"/>
      <w:r/>
      <w:bookmarkStart w:id="129" w:name="_Toc39068850"/>
      <w:r>
        <w:rPr>
          <w:rFonts w:hint="eastAsia" w:ascii="宋体" w:hAnsi="宋体" w:eastAsia="宋体" w:cs="宋体"/>
          <w:color w:val="000000" w:themeColor="text1"/>
          <w:sz w:val="21"/>
          <w:szCs w:val="21"/>
          <w:lang w:eastAsia="zh-CN"/>
          <w14:textFill>
            <w14:solidFill>
              <w14:schemeClr w14:val="tx1"/>
            </w14:solidFill>
          </w14:textFill>
        </w:rPr>
        <w:t xml:space="preserve">3.7专项服务</w:t>
      </w:r>
      <w:bookmarkEnd w:id="128"/>
      <w:r/>
      <w:bookmarkEnd w:id="129"/>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（1）专项服务：按《江苏省住宅物业管理服务标准》（DB32/T538-2002）专项服务标准执行。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业主或业主委员会与物业管理企业在物业管理公共服务委托合同中未约定，根据全体业主的需要、小区条件及物业管理企业的能力，经双方协商，物业管理企业向全体业主提供娱乐、健身、商业、代缴费等属于上述公共服务内容之外的服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专项服务内容、标准、费用等由物业管理企业与业主或业主委员会，本着自愿、公平、等价有偿、诚实信用的原则达成服务协议，可以作为物业管理公共服务合同的附件，也可以另行单独签订。</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30" w:name="_Toc39068851"/>
      <w:r/>
      <w:bookmarkStart w:id="131" w:name="_Toc39070358"/>
      <w:r>
        <w:rPr>
          <w:rFonts w:hint="eastAsia" w:ascii="宋体" w:hAnsi="宋体" w:eastAsia="宋体" w:cs="宋体"/>
          <w:color w:val="000000" w:themeColor="text1"/>
          <w:sz w:val="21"/>
          <w:szCs w:val="21"/>
          <w:lang w:eastAsia="zh-CN"/>
          <w14:textFill>
            <w14:solidFill>
              <w14:schemeClr w14:val="tx1"/>
            </w14:solidFill>
          </w14:textFill>
        </w:rPr>
        <w:t xml:space="preserve">3.8特约服务</w:t>
      </w:r>
      <w:bookmarkEnd w:id="130"/>
      <w:r/>
      <w:bookmarkEnd w:id="131"/>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（1）特约服务：按《江苏省住宅物业管理服务标准》（DB32/T538-2002）特约服务标准执行。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业主或业主委员会与物业管理企业在物业管理公共服务委托合同中未约定，物业管理企业为满足部分业主（使用人）特别需要，经双方特别约定，有偿提供相关服务的活动，如老年、伤残病人的护理，接送子女上学等。</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特约服务内容、标准、费用等由物业管理企业和需要特约服务的业主（使用人）双方当事人本着自愿、公平、等价有偿、诚实信用的原则约定。</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32" w:name="_Toc39070359"/>
      <w:r/>
      <w:bookmarkStart w:id="133" w:name="_Toc39068852"/>
      <w:r>
        <w:rPr>
          <w:rFonts w:hint="eastAsia" w:ascii="宋体" w:hAnsi="宋体" w:eastAsia="宋体" w:cs="宋体"/>
          <w:color w:val="000000" w:themeColor="text1"/>
          <w:sz w:val="21"/>
          <w:szCs w:val="21"/>
          <w:lang w:eastAsia="zh-CN"/>
          <w14:textFill>
            <w14:solidFill>
              <w14:schemeClr w14:val="tx1"/>
            </w14:solidFill>
          </w14:textFill>
        </w:rPr>
        <w:t xml:space="preserve">3.9小区基本文体活动</w:t>
      </w:r>
      <w:bookmarkEnd w:id="132"/>
      <w:r/>
      <w:bookmarkEnd w:id="133"/>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（1）定期组织社区文化活动，社区文化活动每年不少于4次。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（2）定期组织健康文明的文体活动。</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（3）重大节假日（春节、五一、端午、国庆、中秋、元旦）对小区进行节日环境布置。</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（4）定期组织小区内老年人和适龄儿童举办相关娱乐活动。</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（5）做好便民信息、生活常识和物业管理相关宣传工作。</w:t>
      </w:r>
      <w:r/>
    </w:p>
    <w:p>
      <w:pPr>
        <w:ind w:firstLine="420"/>
        <w:spacing w:line="360" w:lineRule="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lang w:eastAsia="zh-CN"/>
          <w14:textFill>
            <w14:solidFill>
              <w14:schemeClr w14:val="tx1"/>
            </w14:solidFill>
          </w14:textFill>
        </w:rPr>
        <w:t xml:space="preserve">、人员要求：</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b w:val="0"/>
          <w:bCs w:val="0"/>
          <w:color w:val="000000" w:themeColor="text1"/>
          <w:sz w:val="21"/>
          <w:szCs w:val="21"/>
          <w:lang w:eastAsia="zh-CN"/>
          <w14:textFill>
            <w14:solidFill>
              <w14:schemeClr w14:val="tx1"/>
            </w14:solidFill>
          </w14:textFill>
        </w:rPr>
        <w:t xml:space="preserve">1、人员（服务）数量</w:t>
      </w:r>
      <w:r/>
    </w:p>
    <w:tbl>
      <w:tblPr>
        <w:tblStyle w:val="7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3"/>
        <w:gridCol w:w="1428"/>
        <w:gridCol w:w="4341"/>
        <w:gridCol w:w="1787"/>
      </w:tblGrid>
      <w:tr>
        <w:trPr>
          <w:jc w:val="center"/>
          <w:trHeight w:val="500"/>
        </w:trPr>
        <w:tc>
          <w:tcPr>
            <w:tcW w:w="565" w:type="pct"/>
            <w:vAlign w:val="center"/>
            <w:textDirection w:val="lrTb"/>
            <w:noWrap w:val="false"/>
          </w:tcPr>
          <w:p>
            <w:pPr>
              <w:ind w:firstLine="200"/>
              <w:jc w:val="center"/>
              <w:spacing w:line="560" w:lineRule="exact"/>
              <w:widowControl/>
              <w:rPr>
                <w:rFonts w:ascii="宋体" w:hAnsi="宋体"/>
                <w:sz w:val="21"/>
                <w:szCs w:val="18"/>
              </w:rPr>
            </w:pPr>
            <w:r>
              <w:rPr>
                <w:rFonts w:hint="eastAsia" w:ascii="宋体" w:hAnsi="宋体"/>
                <w:sz w:val="21"/>
                <w:szCs w:val="18"/>
              </w:rPr>
              <w:t xml:space="preserve">序号</w:t>
            </w:r>
            <w:r/>
          </w:p>
        </w:tc>
        <w:tc>
          <w:tcPr>
            <w:tcW w:w="838" w:type="pct"/>
            <w:vAlign w:val="center"/>
            <w:textDirection w:val="lrTb"/>
            <w:noWrap w:val="false"/>
          </w:tcPr>
          <w:p>
            <w:pPr>
              <w:ind w:firstLine="200"/>
              <w:jc w:val="center"/>
              <w:spacing w:line="560" w:lineRule="exact"/>
              <w:widowControl/>
              <w:rPr>
                <w:rFonts w:ascii="宋体" w:hAnsi="宋体"/>
                <w:sz w:val="21"/>
                <w:szCs w:val="18"/>
              </w:rPr>
            </w:pPr>
            <w:r>
              <w:rPr>
                <w:rFonts w:hint="eastAsia" w:ascii="宋体" w:hAnsi="宋体"/>
                <w:sz w:val="21"/>
                <w:szCs w:val="18"/>
              </w:rPr>
              <w:t xml:space="preserve">岗  位</w:t>
            </w:r>
            <w:r/>
          </w:p>
        </w:tc>
        <w:tc>
          <w:tcPr>
            <w:tcW w:w="2547" w:type="pct"/>
            <w:vAlign w:val="center"/>
            <w:textDirection w:val="lrTb"/>
            <w:noWrap w:val="false"/>
          </w:tcPr>
          <w:p>
            <w:pPr>
              <w:ind w:firstLine="200"/>
              <w:jc w:val="center"/>
              <w:spacing w:line="560" w:lineRule="exact"/>
              <w:widowControl/>
              <w:rPr>
                <w:rFonts w:hint="eastAsia" w:ascii="宋体" w:hAnsi="宋体"/>
                <w:sz w:val="21"/>
                <w:szCs w:val="18"/>
              </w:rPr>
            </w:pPr>
            <w:r>
              <w:rPr>
                <w:rFonts w:hint="eastAsia" w:ascii="宋体" w:hAnsi="宋体"/>
                <w:sz w:val="21"/>
                <w:szCs w:val="18"/>
              </w:rPr>
              <w:t xml:space="preserve">人员数量</w:t>
            </w:r>
            <w:r/>
          </w:p>
        </w:tc>
        <w:tc>
          <w:tcPr>
            <w:tcW w:w="1048" w:type="pct"/>
            <w:vAlign w:val="center"/>
            <w:textDirection w:val="lrTb"/>
            <w:noWrap w:val="false"/>
          </w:tcPr>
          <w:p>
            <w:pPr>
              <w:ind w:firstLine="200"/>
              <w:jc w:val="center"/>
              <w:spacing w:line="560" w:lineRule="exact"/>
              <w:widowControl/>
              <w:rPr>
                <w:rFonts w:ascii="宋体" w:hAnsi="宋体"/>
                <w:sz w:val="21"/>
                <w:szCs w:val="18"/>
              </w:rPr>
            </w:pPr>
            <w:r>
              <w:rPr>
                <w:rFonts w:hint="eastAsia" w:ascii="宋体" w:hAnsi="宋体"/>
                <w:sz w:val="21"/>
                <w:szCs w:val="18"/>
              </w:rPr>
              <w:t xml:space="preserve">备注</w:t>
            </w:r>
            <w:r/>
          </w:p>
        </w:tc>
      </w:tr>
      <w:tr>
        <w:trPr>
          <w:jc w:val="center"/>
          <w:trHeight w:val="500"/>
        </w:trPr>
        <w:tc>
          <w:tcPr>
            <w:tcW w:w="565" w:type="pct"/>
            <w:vAlign w:val="center"/>
            <w:textDirection w:val="lrTb"/>
            <w:noWrap w:val="false"/>
          </w:tcPr>
          <w:p>
            <w:pPr>
              <w:ind w:firstLine="200"/>
              <w:jc w:val="center"/>
              <w:spacing w:line="560" w:lineRule="exact"/>
              <w:widowControl/>
              <w:rPr>
                <w:rFonts w:ascii="宋体" w:hAnsi="宋体"/>
                <w:sz w:val="21"/>
                <w:szCs w:val="18"/>
              </w:rPr>
            </w:pPr>
            <w:r>
              <w:rPr>
                <w:rFonts w:hint="eastAsia" w:ascii="宋体" w:hAnsi="宋体"/>
                <w:sz w:val="21"/>
                <w:szCs w:val="18"/>
              </w:rPr>
              <w:t xml:space="preserve">1</w:t>
            </w:r>
            <w:r/>
          </w:p>
        </w:tc>
        <w:tc>
          <w:tcPr>
            <w:tcW w:w="838" w:type="pct"/>
            <w:vAlign w:val="center"/>
            <w:textDirection w:val="lrTb"/>
            <w:noWrap w:val="false"/>
          </w:tcPr>
          <w:p>
            <w:pPr>
              <w:ind w:firstLine="200"/>
              <w:jc w:val="center"/>
              <w:spacing w:line="560" w:lineRule="exact"/>
              <w:widowControl/>
              <w:rPr>
                <w:rFonts w:ascii="宋体" w:hAnsi="宋体"/>
                <w:sz w:val="21"/>
                <w:szCs w:val="18"/>
              </w:rPr>
            </w:pPr>
            <w:r>
              <w:rPr>
                <w:rFonts w:hint="eastAsia" w:ascii="宋体" w:hAnsi="宋体"/>
                <w:sz w:val="21"/>
                <w:szCs w:val="18"/>
              </w:rPr>
              <w:t xml:space="preserve">项目经理</w:t>
            </w:r>
            <w:r/>
          </w:p>
        </w:tc>
        <w:tc>
          <w:tcPr>
            <w:tcW w:w="2547" w:type="pct"/>
            <w:vAlign w:val="center"/>
            <w:textDirection w:val="lrTb"/>
            <w:noWrap w:val="false"/>
          </w:tcPr>
          <w:p>
            <w:pPr>
              <w:ind w:firstLine="200"/>
              <w:jc w:val="center"/>
              <w:spacing w:line="560" w:lineRule="exact"/>
              <w:widowControl/>
              <w:rPr>
                <w:rFonts w:hint="eastAsia" w:ascii="宋体" w:hAnsi="宋体"/>
                <w:sz w:val="22"/>
                <w:szCs w:val="18"/>
              </w:rPr>
            </w:pPr>
            <w:r>
              <w:rPr>
                <w:rFonts w:hint="eastAsia" w:ascii="宋体" w:hAnsi="宋体"/>
                <w:sz w:val="21"/>
                <w:szCs w:val="18"/>
              </w:rPr>
              <w:t xml:space="preserve">1人（</w:t>
            </w:r>
            <w:r>
              <w:rPr>
                <w:rFonts w:hint="eastAsia" w:ascii="宋体" w:hAnsi="宋体" w:cs="宋体"/>
                <w:color w:val="000000"/>
                <w:sz w:val="21"/>
                <w:szCs w:val="21"/>
                <w:shd w:val="clear" w:color="auto" w:fill="ffffff"/>
              </w:rPr>
              <w:t xml:space="preserve">必须具有相关资格证书，</w:t>
            </w:r>
            <w:r>
              <w:rPr>
                <w:rFonts w:hint="eastAsia" w:ascii="宋体" w:hAnsi="宋体" w:cs="宋体"/>
                <w:color w:val="auto"/>
                <w:sz w:val="21"/>
                <w:szCs w:val="21"/>
                <w:shd w:val="clear" w:color="auto" w:fill="ffffff"/>
                <w:lang w:val="en-US" w:eastAsia="zh-CN"/>
              </w:rPr>
              <w:t xml:space="preserve">5</w:t>
            </w:r>
            <w:r>
              <w:rPr>
                <w:rFonts w:hint="eastAsia" w:ascii="宋体" w:hAnsi="宋体" w:cs="宋体"/>
                <w:color w:val="000000"/>
                <w:sz w:val="21"/>
                <w:szCs w:val="21"/>
                <w:shd w:val="clear" w:color="auto" w:fill="ffffff"/>
              </w:rPr>
              <w:t xml:space="preserve">0周岁以下（含50周岁，以身份证上的出生年份来计算），三年以上工作经验，专业技能熟练，有较强的组织领导能力和协调能力</w:t>
            </w:r>
            <w:r>
              <w:rPr>
                <w:rFonts w:hint="eastAsia" w:ascii="宋体" w:hAnsi="宋体"/>
                <w:sz w:val="21"/>
                <w:szCs w:val="18"/>
              </w:rPr>
              <w:t xml:space="preserve">）</w:t>
            </w:r>
            <w:r/>
          </w:p>
        </w:tc>
        <w:tc>
          <w:tcPr>
            <w:tcW w:w="1048" w:type="pct"/>
            <w:vAlign w:val="center"/>
            <w:vMerge w:val="restart"/>
            <w:textDirection w:val="lrTb"/>
            <w:noWrap w:val="false"/>
          </w:tcPr>
          <w:p>
            <w:pPr>
              <w:ind w:firstLine="200"/>
              <w:spacing w:line="560" w:lineRule="exact"/>
              <w:widowControl/>
              <w:rPr>
                <w:rFonts w:ascii="宋体" w:hAnsi="宋体"/>
                <w:sz w:val="22"/>
                <w:szCs w:val="18"/>
              </w:rPr>
            </w:pPr>
            <w:r>
              <w:rPr>
                <w:rFonts w:hint="eastAsia" w:ascii="宋体" w:hAnsi="宋体"/>
                <w:sz w:val="22"/>
                <w:szCs w:val="18"/>
              </w:rPr>
              <w:t xml:space="preserve">因小区是开放式的，不设置保安。</w:t>
            </w:r>
            <w:r/>
          </w:p>
        </w:tc>
      </w:tr>
      <w:tr>
        <w:trPr>
          <w:jc w:val="center"/>
          <w:trHeight w:val="500"/>
        </w:trPr>
        <w:tc>
          <w:tcPr>
            <w:tcW w:w="565" w:type="pct"/>
            <w:vAlign w:val="center"/>
            <w:textDirection w:val="lrTb"/>
            <w:noWrap w:val="false"/>
          </w:tcPr>
          <w:p>
            <w:pPr>
              <w:ind w:firstLine="200"/>
              <w:jc w:val="center"/>
              <w:spacing w:line="560" w:lineRule="exact"/>
              <w:widowControl/>
              <w:rPr>
                <w:rFonts w:ascii="宋体" w:hAnsi="宋体"/>
                <w:sz w:val="22"/>
                <w:szCs w:val="20"/>
              </w:rPr>
            </w:pPr>
            <w:r>
              <w:rPr>
                <w:rFonts w:hint="eastAsia" w:ascii="宋体" w:hAnsi="宋体"/>
                <w:sz w:val="22"/>
                <w:szCs w:val="20"/>
              </w:rPr>
              <w:t xml:space="preserve">2</w:t>
            </w:r>
            <w:r/>
          </w:p>
        </w:tc>
        <w:tc>
          <w:tcPr>
            <w:tcW w:w="838" w:type="pct"/>
            <w:vAlign w:val="center"/>
            <w:textDirection w:val="lrTb"/>
            <w:noWrap w:val="false"/>
          </w:tcPr>
          <w:p>
            <w:pPr>
              <w:ind w:firstLine="200"/>
              <w:jc w:val="center"/>
              <w:spacing w:line="560" w:lineRule="exact"/>
              <w:widowControl/>
              <w:rPr>
                <w:rFonts w:hint="default" w:ascii="宋体" w:hAnsi="宋体" w:eastAsia="宋体"/>
                <w:sz w:val="22"/>
                <w:szCs w:val="20"/>
                <w:lang w:val="en-US" w:eastAsia="zh-CN"/>
              </w:rPr>
            </w:pPr>
            <w:r>
              <w:rPr>
                <w:rFonts w:hint="eastAsia" w:ascii="宋体" w:hAnsi="宋体"/>
                <w:sz w:val="22"/>
                <w:szCs w:val="20"/>
                <w:lang w:val="en-US" w:eastAsia="zh-CN"/>
              </w:rPr>
              <w:t xml:space="preserve">客服助理</w:t>
            </w:r>
            <w:r/>
          </w:p>
        </w:tc>
        <w:tc>
          <w:tcPr>
            <w:tcW w:w="2547"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lang w:val="en-US" w:eastAsia="zh-CN"/>
              </w:rPr>
              <w:t xml:space="preserve">1</w:t>
            </w:r>
            <w:r>
              <w:rPr>
                <w:rFonts w:hint="eastAsia" w:ascii="宋体" w:hAnsi="宋体"/>
                <w:sz w:val="22"/>
                <w:szCs w:val="20"/>
              </w:rPr>
              <w:t xml:space="preserve">人</w:t>
            </w:r>
            <w:r/>
          </w:p>
        </w:tc>
        <w:tc>
          <w:tcPr>
            <w:tcW w:w="1048" w:type="pct"/>
            <w:vAlign w:val="center"/>
            <w:vMerge w:val="continue"/>
            <w:textDirection w:val="lrTb"/>
            <w:noWrap w:val="false"/>
          </w:tcPr>
          <w:p>
            <w:pPr>
              <w:ind w:firstLine="200"/>
              <w:jc w:val="center"/>
              <w:spacing w:line="560" w:lineRule="exact"/>
              <w:widowControl/>
              <w:rPr>
                <w:rFonts w:ascii="宋体" w:hAnsi="宋体"/>
                <w:sz w:val="24"/>
                <w:szCs w:val="21"/>
              </w:rPr>
            </w:pPr>
            <w:r>
              <w:rPr>
                <w:rFonts w:ascii="宋体" w:hAnsi="宋体"/>
                <w:sz w:val="24"/>
                <w:szCs w:val="21"/>
              </w:rPr>
            </w:r>
            <w:r/>
          </w:p>
        </w:tc>
      </w:tr>
      <w:tr>
        <w:trPr>
          <w:jc w:val="center"/>
          <w:trHeight w:val="500"/>
        </w:trPr>
        <w:tc>
          <w:tcPr>
            <w:tcW w:w="565"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rPr>
              <w:t xml:space="preserve">3</w:t>
            </w:r>
            <w:r/>
          </w:p>
        </w:tc>
        <w:tc>
          <w:tcPr>
            <w:tcW w:w="838" w:type="pct"/>
            <w:vAlign w:val="center"/>
            <w:textDirection w:val="lrTb"/>
            <w:noWrap w:val="false"/>
          </w:tcPr>
          <w:p>
            <w:pPr>
              <w:ind w:firstLine="200"/>
              <w:jc w:val="center"/>
              <w:spacing w:line="560" w:lineRule="exact"/>
              <w:widowControl/>
              <w:rPr>
                <w:rFonts w:hint="eastAsia" w:ascii="宋体" w:hAnsi="宋体" w:eastAsia="宋体"/>
                <w:sz w:val="22"/>
                <w:szCs w:val="20"/>
                <w:lang w:val="en-US" w:eastAsia="zh-CN"/>
              </w:rPr>
            </w:pPr>
            <w:r>
              <w:rPr>
                <w:rFonts w:hint="eastAsia" w:ascii="宋体" w:hAnsi="宋体"/>
                <w:sz w:val="22"/>
                <w:szCs w:val="20"/>
              </w:rPr>
              <w:t xml:space="preserve">保洁</w:t>
            </w:r>
            <w:r>
              <w:rPr>
                <w:rFonts w:hint="eastAsia" w:ascii="宋体" w:hAnsi="宋体"/>
                <w:sz w:val="22"/>
                <w:szCs w:val="20"/>
                <w:lang w:val="en-US" w:eastAsia="zh-CN"/>
              </w:rPr>
              <w:t xml:space="preserve">人员</w:t>
            </w:r>
            <w:r/>
          </w:p>
        </w:tc>
        <w:tc>
          <w:tcPr>
            <w:tcW w:w="2547"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rPr>
              <w:t xml:space="preserve">1</w:t>
            </w:r>
            <w:r>
              <w:rPr>
                <w:rFonts w:hint="eastAsia" w:ascii="宋体" w:hAnsi="宋体"/>
                <w:sz w:val="22"/>
                <w:szCs w:val="20"/>
                <w:lang w:val="en-US" w:eastAsia="zh-CN"/>
              </w:rPr>
              <w:t xml:space="preserve">4</w:t>
            </w:r>
            <w:r>
              <w:rPr>
                <w:rFonts w:hint="eastAsia" w:ascii="宋体" w:hAnsi="宋体"/>
                <w:sz w:val="22"/>
                <w:szCs w:val="20"/>
              </w:rPr>
              <w:t xml:space="preserve">人</w:t>
            </w:r>
            <w:r/>
          </w:p>
        </w:tc>
        <w:tc>
          <w:tcPr>
            <w:tcW w:w="1048" w:type="pct"/>
            <w:vAlign w:val="center"/>
            <w:vMerge w:val="continue"/>
            <w:textDirection w:val="lrTb"/>
            <w:noWrap w:val="false"/>
          </w:tcPr>
          <w:p>
            <w:pPr>
              <w:ind w:firstLine="200"/>
              <w:jc w:val="center"/>
              <w:spacing w:line="560" w:lineRule="exact"/>
              <w:widowControl/>
              <w:rPr>
                <w:rFonts w:ascii="宋体" w:hAnsi="宋体"/>
                <w:sz w:val="24"/>
                <w:szCs w:val="21"/>
              </w:rPr>
            </w:pPr>
            <w:r>
              <w:rPr>
                <w:rFonts w:ascii="宋体" w:hAnsi="宋体"/>
                <w:sz w:val="24"/>
                <w:szCs w:val="21"/>
              </w:rPr>
            </w:r>
            <w:r/>
          </w:p>
        </w:tc>
      </w:tr>
      <w:tr>
        <w:trPr>
          <w:jc w:val="center"/>
          <w:trHeight w:val="500"/>
        </w:trPr>
        <w:tc>
          <w:tcPr>
            <w:tcW w:w="565"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rPr>
              <w:t xml:space="preserve">4</w:t>
            </w:r>
            <w:r/>
          </w:p>
        </w:tc>
        <w:tc>
          <w:tcPr>
            <w:tcW w:w="838"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lang w:val="en-US" w:eastAsia="zh-CN"/>
              </w:rPr>
              <w:t xml:space="preserve">水电</w:t>
            </w:r>
            <w:r>
              <w:rPr>
                <w:rFonts w:hint="eastAsia" w:ascii="宋体" w:hAnsi="宋体"/>
                <w:sz w:val="22"/>
                <w:szCs w:val="20"/>
              </w:rPr>
              <w:t xml:space="preserve">工</w:t>
            </w:r>
            <w:r/>
          </w:p>
        </w:tc>
        <w:tc>
          <w:tcPr>
            <w:tcW w:w="2547"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rPr>
              <w:t xml:space="preserve">1人</w:t>
            </w:r>
            <w:r/>
          </w:p>
        </w:tc>
        <w:tc>
          <w:tcPr>
            <w:tcW w:w="1048" w:type="pct"/>
            <w:vAlign w:val="center"/>
            <w:vMerge w:val="continue"/>
            <w:textDirection w:val="lrTb"/>
            <w:noWrap w:val="false"/>
          </w:tcPr>
          <w:p>
            <w:pPr>
              <w:ind w:firstLine="200"/>
              <w:jc w:val="center"/>
              <w:spacing w:line="560" w:lineRule="exact"/>
              <w:widowControl/>
              <w:rPr>
                <w:rFonts w:ascii="宋体" w:hAnsi="宋体"/>
                <w:sz w:val="24"/>
                <w:szCs w:val="21"/>
              </w:rPr>
            </w:pPr>
            <w:r>
              <w:rPr>
                <w:rFonts w:ascii="宋体" w:hAnsi="宋体"/>
                <w:sz w:val="24"/>
                <w:szCs w:val="21"/>
              </w:rPr>
            </w:r>
            <w:r/>
          </w:p>
        </w:tc>
      </w:tr>
      <w:tr>
        <w:trPr>
          <w:jc w:val="center"/>
          <w:trHeight w:val="500"/>
        </w:trPr>
        <w:tc>
          <w:tcPr>
            <w:tcW w:w="565"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rPr>
              <w:t xml:space="preserve">5</w:t>
            </w:r>
            <w:r/>
          </w:p>
        </w:tc>
        <w:tc>
          <w:tcPr>
            <w:tcW w:w="838"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lang w:val="en-US" w:eastAsia="zh-CN"/>
              </w:rPr>
              <w:t xml:space="preserve">杂</w:t>
            </w:r>
            <w:r>
              <w:rPr>
                <w:rFonts w:hint="eastAsia" w:ascii="宋体" w:hAnsi="宋体"/>
                <w:sz w:val="22"/>
                <w:szCs w:val="20"/>
              </w:rPr>
              <w:t xml:space="preserve">工</w:t>
            </w:r>
            <w:r/>
          </w:p>
        </w:tc>
        <w:tc>
          <w:tcPr>
            <w:tcW w:w="2547"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rPr>
              <w:t xml:space="preserve">1人</w:t>
            </w:r>
            <w:r/>
          </w:p>
        </w:tc>
        <w:tc>
          <w:tcPr>
            <w:tcW w:w="1048" w:type="pct"/>
            <w:vAlign w:val="center"/>
            <w:vMerge w:val="continue"/>
            <w:textDirection w:val="lrTb"/>
            <w:noWrap w:val="false"/>
          </w:tcPr>
          <w:p>
            <w:pPr>
              <w:ind w:firstLine="200"/>
              <w:jc w:val="center"/>
              <w:spacing w:line="560" w:lineRule="exact"/>
              <w:widowControl/>
              <w:rPr>
                <w:rFonts w:ascii="宋体" w:hAnsi="宋体"/>
                <w:sz w:val="24"/>
                <w:szCs w:val="21"/>
              </w:rPr>
            </w:pPr>
            <w:r>
              <w:rPr>
                <w:rFonts w:ascii="宋体" w:hAnsi="宋体"/>
                <w:sz w:val="24"/>
                <w:szCs w:val="21"/>
              </w:rPr>
            </w:r>
            <w:r/>
          </w:p>
        </w:tc>
      </w:tr>
      <w:tr>
        <w:trPr>
          <w:jc w:val="center"/>
          <w:trHeight w:val="500"/>
        </w:trPr>
        <w:tc>
          <w:tcPr>
            <w:tcW w:w="565"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rPr>
              <w:t xml:space="preserve">6</w:t>
            </w:r>
            <w:r/>
          </w:p>
        </w:tc>
        <w:tc>
          <w:tcPr>
            <w:tcW w:w="838" w:type="pct"/>
            <w:vAlign w:val="center"/>
            <w:textDirection w:val="lrTb"/>
            <w:noWrap w:val="false"/>
          </w:tcPr>
          <w:p>
            <w:pPr>
              <w:jc w:val="center"/>
              <w:spacing w:line="560" w:lineRule="exact"/>
              <w:widowControl/>
              <w:rPr>
                <w:rFonts w:hint="eastAsia" w:ascii="宋体" w:hAnsi="宋体"/>
                <w:sz w:val="22"/>
                <w:szCs w:val="20"/>
              </w:rPr>
            </w:pPr>
            <w:r>
              <w:rPr>
                <w:rFonts w:hint="eastAsia" w:ascii="宋体" w:hAnsi="宋体"/>
                <w:sz w:val="22"/>
                <w:szCs w:val="20"/>
                <w:lang w:val="en-US" w:eastAsia="zh-CN"/>
              </w:rPr>
              <w:t xml:space="preserve">绿化人员</w:t>
            </w:r>
            <w:r/>
          </w:p>
        </w:tc>
        <w:tc>
          <w:tcPr>
            <w:tcW w:w="2547" w:type="pct"/>
            <w:vAlign w:val="center"/>
            <w:textDirection w:val="lrTb"/>
            <w:noWrap w:val="false"/>
          </w:tcPr>
          <w:p>
            <w:pPr>
              <w:ind w:firstLine="200"/>
              <w:jc w:val="center"/>
              <w:spacing w:line="560" w:lineRule="exact"/>
              <w:widowControl/>
              <w:rPr>
                <w:rFonts w:ascii="宋体" w:hAnsi="宋体"/>
                <w:sz w:val="22"/>
                <w:szCs w:val="20"/>
              </w:rPr>
            </w:pPr>
            <w:r>
              <w:rPr>
                <w:rFonts w:hint="eastAsia" w:ascii="宋体" w:hAnsi="宋体"/>
                <w:sz w:val="22"/>
                <w:szCs w:val="20"/>
              </w:rPr>
              <w:t xml:space="preserve">1人</w:t>
            </w:r>
            <w:r/>
          </w:p>
        </w:tc>
        <w:tc>
          <w:tcPr>
            <w:tcW w:w="1048" w:type="pct"/>
            <w:vAlign w:val="center"/>
            <w:vMerge w:val="continue"/>
            <w:textDirection w:val="lrTb"/>
            <w:noWrap w:val="false"/>
          </w:tcPr>
          <w:p>
            <w:pPr>
              <w:ind w:firstLine="200"/>
              <w:jc w:val="center"/>
              <w:spacing w:line="560" w:lineRule="exact"/>
              <w:widowControl/>
              <w:rPr>
                <w:rFonts w:ascii="宋体" w:hAnsi="宋体"/>
                <w:sz w:val="24"/>
                <w:szCs w:val="21"/>
              </w:rPr>
            </w:pPr>
            <w:r>
              <w:rPr>
                <w:rFonts w:ascii="宋体" w:hAnsi="宋体"/>
                <w:sz w:val="24"/>
                <w:szCs w:val="21"/>
              </w:rPr>
            </w:r>
            <w:r/>
          </w:p>
        </w:tc>
      </w:tr>
      <w:tr>
        <w:trPr>
          <w:jc w:val="center"/>
          <w:trHeight w:val="506"/>
        </w:trPr>
        <w:tc>
          <w:tcPr>
            <w:gridSpan w:val="2"/>
            <w:tcW w:w="1403" w:type="pct"/>
            <w:vAlign w:val="center"/>
            <w:textDirection w:val="lrTb"/>
            <w:noWrap w:val="false"/>
          </w:tcPr>
          <w:p>
            <w:pPr>
              <w:ind w:firstLine="200"/>
              <w:jc w:val="center"/>
              <w:spacing w:line="560" w:lineRule="exact"/>
              <w:widowControl/>
              <w:rPr>
                <w:rFonts w:ascii="宋体" w:hAnsi="宋体"/>
                <w:sz w:val="22"/>
                <w:szCs w:val="20"/>
              </w:rPr>
            </w:pPr>
            <w:r>
              <w:rPr>
                <w:rFonts w:hint="eastAsia" w:ascii="宋体" w:hAnsi="宋体"/>
                <w:sz w:val="22"/>
                <w:szCs w:val="20"/>
              </w:rPr>
              <w:t xml:space="preserve">合  计</w:t>
            </w:r>
            <w:r/>
          </w:p>
        </w:tc>
        <w:tc>
          <w:tcPr>
            <w:tcW w:w="2547" w:type="pct"/>
            <w:vAlign w:val="center"/>
            <w:textDirection w:val="lrTb"/>
            <w:noWrap w:val="false"/>
          </w:tcPr>
          <w:p>
            <w:pPr>
              <w:ind w:firstLine="200"/>
              <w:jc w:val="center"/>
              <w:spacing w:line="560" w:lineRule="exact"/>
              <w:widowControl/>
              <w:rPr>
                <w:rFonts w:ascii="宋体" w:hAnsi="宋体"/>
                <w:sz w:val="22"/>
                <w:szCs w:val="20"/>
              </w:rPr>
            </w:pPr>
            <w:r>
              <w:rPr>
                <w:rFonts w:hint="eastAsia" w:ascii="宋体" w:hAnsi="宋体"/>
                <w:sz w:val="22"/>
                <w:szCs w:val="20"/>
                <w:lang w:val="en-US" w:eastAsia="zh-CN"/>
              </w:rPr>
              <w:t xml:space="preserve">19</w:t>
            </w:r>
            <w:r>
              <w:rPr>
                <w:rFonts w:hint="eastAsia" w:ascii="宋体" w:hAnsi="宋体"/>
                <w:sz w:val="22"/>
                <w:szCs w:val="20"/>
              </w:rPr>
              <w:t xml:space="preserve">人</w:t>
            </w:r>
            <w:r/>
          </w:p>
        </w:tc>
        <w:tc>
          <w:tcPr>
            <w:tcW w:w="1048" w:type="pct"/>
            <w:vAlign w:val="center"/>
            <w:vMerge w:val="continue"/>
            <w:textDirection w:val="lrTb"/>
            <w:noWrap w:val="false"/>
          </w:tcPr>
          <w:p>
            <w:pPr>
              <w:ind w:firstLine="200"/>
              <w:jc w:val="center"/>
              <w:spacing w:line="560" w:lineRule="exact"/>
              <w:widowControl/>
              <w:rPr>
                <w:rFonts w:ascii="宋体" w:hAnsi="宋体"/>
                <w:sz w:val="24"/>
                <w:szCs w:val="21"/>
              </w:rPr>
            </w:pPr>
            <w:r>
              <w:rPr>
                <w:rFonts w:ascii="宋体" w:hAnsi="宋体"/>
                <w:sz w:val="24"/>
                <w:szCs w:val="21"/>
              </w:rPr>
            </w:r>
            <w:r/>
          </w:p>
        </w:tc>
      </w:tr>
    </w:tbl>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21"/>
          <w:szCs w:val="21"/>
          <w:lang w:eastAsia="zh-CN"/>
          <w14:textFill>
            <w14:solidFill>
              <w14:schemeClr w14:val="tx1"/>
            </w14:solidFill>
          </w14:textFill>
        </w:rPr>
        <w:t xml:space="preserve">2、本项目使用人员均为专职人员，每天按时到岗上班，如遇特殊情况不能到岗的，必须向采购人申请并同意后方可离岗。所有人员年龄必须在20周岁—55周岁之间（采购人留用人员年龄可适当放宽），要求身体健康，能胜任其基本工作。</w:t>
      </w:r>
      <w:r/>
    </w:p>
    <w:p>
      <w:pPr>
        <w:ind w:firstLine="422"/>
        <w:jc w:val="both"/>
        <w:spacing w:after="120" w:line="480" w:lineRule="auto"/>
        <w:rPr>
          <w:rFonts w:hint="eastAsia" w:ascii="宋体" w:hAnsi="宋体" w:eastAsia="宋体" w:cs="宋体"/>
          <w:b/>
          <w:bCs/>
          <w:color w:val="000000" w:themeColor="text1"/>
          <w:sz w:val="21"/>
          <w:szCs w:val="21"/>
          <w14:textFill>
            <w14:solidFill>
              <w14:schemeClr w14:val="tx1"/>
            </w14:solidFill>
          </w14:textFill>
          <w14:ligatures w14:val="none"/>
        </w:rPr>
      </w:pP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5</w:t>
      </w:r>
      <w:r>
        <w:rPr>
          <w:rFonts w:hint="eastAsia" w:ascii="宋体" w:hAnsi="宋体" w:eastAsia="宋体" w:cs="宋体"/>
          <w:b/>
          <w:bCs/>
          <w:color w:val="000000" w:themeColor="text1"/>
          <w:sz w:val="21"/>
          <w:szCs w:val="21"/>
          <w14:textFill>
            <w14:solidFill>
              <w14:schemeClr w14:val="tx1"/>
            </w14:solidFill>
          </w14:textFill>
          <w14:ligatures w14:val="none"/>
        </w:rPr>
        <w:t xml:space="preserve">、投标报价</w:t>
      </w:r>
      <w:r/>
    </w:p>
    <w:p>
      <w:pPr>
        <w:ind w:firstLine="420"/>
        <w:jc w:val="both"/>
        <w:spacing w:after="0" w:line="480"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本项目设定投标报价的最高限价，年物业管理服务费最高限价为</w:t>
      </w:r>
      <w:r>
        <w:rPr>
          <w:rFonts w:hint="eastAsia" w:ascii="宋体" w:hAnsi="宋体" w:eastAsia="宋体" w:cs="宋体"/>
          <w:bCs/>
          <w:color w:val="auto"/>
          <w:sz w:val="21"/>
          <w:szCs w:val="21"/>
          <w14:ligatures w14:val="none"/>
        </w:rPr>
        <w:t xml:space="preserve">：</w:t>
      </w:r>
      <w:r>
        <w:rPr>
          <w:rFonts w:hint="eastAsia" w:ascii="宋体" w:hAnsi="宋体" w:cs="宋体"/>
          <w:bCs/>
          <w:color w:val="auto"/>
          <w:sz w:val="21"/>
          <w:szCs w:val="21"/>
          <w:u w:val="single"/>
          <w:lang w:val="en-US" w:eastAsia="zh-CN"/>
          <w14:ligatures w14:val="none"/>
        </w:rPr>
        <w:t xml:space="preserve">115</w:t>
      </w:r>
      <w:r>
        <w:rPr>
          <w:rFonts w:hint="eastAsia" w:ascii="宋体" w:hAnsi="宋体" w:eastAsia="宋体" w:cs="宋体"/>
          <w:bCs/>
          <w:color w:val="auto"/>
          <w:sz w:val="21"/>
          <w:szCs w:val="21"/>
          <w:u w:val="single"/>
          <w14:ligatures w14:val="none"/>
        </w:rPr>
        <w:t xml:space="preserve">万元，</w:t>
      </w:r>
      <w:r>
        <w:rPr>
          <w:rFonts w:hint="eastAsia" w:ascii="宋体" w:hAnsi="宋体" w:eastAsia="宋体" w:cs="宋体"/>
          <w:bCs/>
          <w:color w:val="auto"/>
          <w:sz w:val="21"/>
          <w:szCs w:val="21"/>
          <w14:ligatures w14:val="none"/>
        </w:rPr>
        <w:t xml:space="preserve">招</w:t>
      </w:r>
      <w:r>
        <w:rPr>
          <w:rFonts w:hint="eastAsia" w:ascii="宋体" w:hAnsi="宋体" w:eastAsia="宋体" w:cs="宋体"/>
          <w:bCs/>
          <w:color w:val="000000" w:themeColor="text1"/>
          <w:sz w:val="21"/>
          <w:szCs w:val="21"/>
          <w14:textFill>
            <w14:solidFill>
              <w14:schemeClr w14:val="tx1"/>
            </w14:solidFill>
          </w14:textFill>
          <w14:ligatures w14:val="none"/>
        </w:rPr>
        <w:t xml:space="preserve">标人将拒绝高于最高限价的投标报价。</w:t>
      </w:r>
      <w:r/>
    </w:p>
    <w:p>
      <w:pPr>
        <w:ind w:firstLine="420"/>
        <w:jc w:val="both"/>
        <w:spacing w:after="0" w:line="480"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投标报价采用总承包方式，投标人所报价格应包括（但不限于）所有配备人员工资及节假日加班费等补助、社保费、区域清洁费、办公费、固定资产折旧费、法定税费及公众责任保险费和合理利润，还应包括：管理、劳务、培训、体检、国家法定假日加班、服装、保修、特殊岗位补贴、宣传服务、</w:t>
      </w:r>
      <w:r>
        <w:rPr>
          <w:rFonts w:hint="eastAsia" w:ascii="宋体" w:hAnsi="宋体" w:cs="宋体"/>
          <w:bCs/>
          <w:color w:val="000000" w:themeColor="text1"/>
          <w:sz w:val="21"/>
          <w:szCs w:val="21"/>
          <w:lang w:eastAsia="zh-CN"/>
          <w14:textFill>
            <w14:solidFill>
              <w14:schemeClr w14:val="tx1"/>
            </w14:solidFill>
          </w14:textFill>
          <w14:ligatures w14:val="none"/>
        </w:rPr>
        <w:t xml:space="preserve">咨询服务费、</w:t>
      </w:r>
      <w:r>
        <w:rPr>
          <w:rFonts w:hint="eastAsia" w:ascii="宋体" w:hAnsi="宋体" w:eastAsia="宋体" w:cs="宋体"/>
          <w:bCs/>
          <w:color w:val="000000" w:themeColor="text1"/>
          <w:sz w:val="21"/>
          <w:szCs w:val="21"/>
          <w14:textFill>
            <w14:solidFill>
              <w14:schemeClr w14:val="tx1"/>
            </w14:solidFill>
          </w14:textFill>
          <w14:ligatures w14:val="none"/>
        </w:rPr>
        <w:t xml:space="preserve">风险、税金及政策性文件规定等各项应有费用，以及为完成招标文件规定服务工作所涉及到的一切相关费用。</w:t>
      </w:r>
      <w:r/>
    </w:p>
    <w:p>
      <w:pPr>
        <w:ind w:firstLine="420"/>
        <w:jc w:val="both"/>
        <w:spacing w:after="0" w:line="480"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（1）所有人员的工作服装由投标人购置并承担费用。</w:t>
      </w:r>
      <w:r/>
    </w:p>
    <w:p>
      <w:pPr>
        <w:ind w:firstLine="420"/>
        <w:jc w:val="both"/>
        <w:spacing w:after="0" w:line="480"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w:t>
      </w:r>
      <w:r>
        <w:rPr>
          <w:rFonts w:hint="eastAsia" w:ascii="宋体" w:hAnsi="宋体" w:cs="宋体"/>
          <w:bCs/>
          <w:color w:val="000000" w:themeColor="text1"/>
          <w:sz w:val="21"/>
          <w:szCs w:val="21"/>
          <w:lang w:val="en-US" w:eastAsia="zh-CN"/>
          <w14:textFill>
            <w14:solidFill>
              <w14:schemeClr w14:val="tx1"/>
            </w14:solidFill>
          </w14:textFill>
          <w14:ligatures w14:val="none"/>
        </w:rPr>
        <w:t xml:space="preserve">2</w:t>
      </w:r>
      <w:r>
        <w:rPr>
          <w:rFonts w:hint="eastAsia" w:ascii="宋体" w:hAnsi="宋体" w:eastAsia="宋体" w:cs="宋体"/>
          <w:bCs/>
          <w:color w:val="000000" w:themeColor="text1"/>
          <w:sz w:val="21"/>
          <w:szCs w:val="21"/>
          <w14:textFill>
            <w14:solidFill>
              <w14:schemeClr w14:val="tx1"/>
            </w14:solidFill>
          </w14:textFill>
          <w14:ligatures w14:val="none"/>
        </w:rPr>
        <w:t xml:space="preserve">）由于各类活动、突击迎检、节假日期间等因素导致的费用，不论这些因素是可预测或不可预测的，均已包含在投标报价中。</w:t>
      </w:r>
      <w:r>
        <w:rPr>
          <w:rFonts w:hint="eastAsia" w:ascii="宋体" w:hAnsi="宋体" w:eastAsia="宋体" w:cs="宋体"/>
          <w:bCs/>
          <w:color w:val="000000" w:themeColor="text1"/>
          <w:sz w:val="21"/>
          <w:szCs w:val="21"/>
          <w14:textFill>
            <w14:solidFill>
              <w14:schemeClr w14:val="tx1"/>
            </w14:solidFill>
          </w14:textFill>
          <w14:ligatures w14:val="none"/>
        </w:rPr>
      </w:r>
      <w:r/>
    </w:p>
    <w:p>
      <w:pPr>
        <w:ind w:firstLine="420"/>
        <w:jc w:val="both"/>
        <w:spacing w:after="0" w:line="480"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w:t>
      </w:r>
      <w:r>
        <w:rPr>
          <w:rFonts w:hint="eastAsia" w:ascii="宋体" w:hAnsi="宋体" w:cs="宋体"/>
          <w:bCs/>
          <w:color w:val="000000" w:themeColor="text1"/>
          <w:sz w:val="21"/>
          <w:szCs w:val="21"/>
          <w:lang w:val="en-US" w:eastAsia="zh-CN"/>
          <w14:textFill>
            <w14:solidFill>
              <w14:schemeClr w14:val="tx1"/>
            </w14:solidFill>
          </w14:textFill>
          <w14:ligatures w14:val="none"/>
        </w:rPr>
        <w:t xml:space="preserve">3</w:t>
      </w:r>
      <w:r>
        <w:rPr>
          <w:rFonts w:hint="eastAsia" w:ascii="宋体" w:hAnsi="宋体" w:eastAsia="宋体" w:cs="宋体"/>
          <w:bCs/>
          <w:color w:val="000000" w:themeColor="text1"/>
          <w:sz w:val="21"/>
          <w:szCs w:val="21"/>
          <w14:textFill>
            <w14:solidFill>
              <w14:schemeClr w14:val="tx1"/>
            </w14:solidFill>
          </w14:textFill>
          <w14:ligatures w14:val="none"/>
        </w:rPr>
        <w:t xml:space="preserve">）各投标人自行根据招标人提供的服务内容、招标文件及答疑文件等资料要求，并根据市场行情、结合自身公司实力、管理水平等因素，按要求进行报价。</w:t>
      </w:r>
      <w:r/>
    </w:p>
    <w:p>
      <w:pPr>
        <w:ind w:firstLine="420"/>
        <w:spacing w:line="480" w:lineRule="auto"/>
        <w:rPr>
          <w:rFonts w:hint="eastAsia" w:ascii="宋体" w:hAnsi="宋体" w:eastAsia="宋体" w:cs="宋体"/>
          <w:b/>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4</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）所有</w:t>
      </w:r>
      <w:r>
        <w:rPr>
          <w:rFonts w:hint="eastAsia" w:ascii="宋体" w:hAnsi="宋体" w:cs="宋体"/>
          <w:b/>
          <w:bCs/>
          <w:color w:val="000000" w:themeColor="text1"/>
          <w:sz w:val="21"/>
          <w:szCs w:val="21"/>
          <w:lang w:val="zh-CN"/>
          <w14:textFill>
            <w14:solidFill>
              <w14:schemeClr w14:val="tx1"/>
            </w14:solidFill>
          </w14:textFill>
          <w14:ligatures w14:val="none"/>
        </w:rPr>
        <w:t xml:space="preserve">工作</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人员基本工资不低于本市最低工资标准2430元/人</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月，所有人员必须足额缴纳社保费用，社保（企业部分）不得低于</w:t>
      </w:r>
      <w:r>
        <w:rPr>
          <w:rFonts w:hint="eastAsia" w:ascii="宋体" w:hAnsi="宋体" w:eastAsia="宋体" w:cs="宋体"/>
          <w:b/>
          <w:bCs/>
          <w:color w:val="000000" w:themeColor="text1"/>
          <w:sz w:val="21"/>
          <w:szCs w:val="21"/>
          <w14:textFill>
            <w14:solidFill>
              <w14:schemeClr w14:val="tx1"/>
            </w14:solidFill>
          </w14:textFill>
          <w14:ligatures w14:val="none"/>
        </w:rPr>
        <w:t xml:space="preserve">1277.62</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元/人</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月，住房公积金不得低于180.8元/人</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月，法定节假日加班费不得低于</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4357.24</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元/人</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年（2430</w:t>
      </w:r>
      <w:r>
        <w:rPr>
          <w:rFonts w:hint="eastAsia" w:ascii="宋体" w:hAnsi="宋体" w:eastAsia="宋体" w:cs="宋体"/>
          <w:b/>
          <w:bCs/>
          <w:color w:val="000000" w:themeColor="text1"/>
          <w:sz w:val="21"/>
          <w:szCs w:val="21"/>
          <w14:textFill>
            <w14:solidFill>
              <w14:schemeClr w14:val="tx1"/>
            </w14:solidFill>
          </w14:textFill>
          <w14:ligatures w14:val="none"/>
        </w:rPr>
        <w:t xml:space="preserve">/21.75*3*1</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3</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），税金费率统一按6.72%进行</w:t>
      </w:r>
      <w:r>
        <w:rPr>
          <w:rFonts w:hint="eastAsia" w:ascii="宋体" w:hAnsi="宋体" w:eastAsia="宋体" w:cs="宋体"/>
          <w:b/>
          <w:bCs/>
          <w:color w:val="000000" w:themeColor="text1"/>
          <w:sz w:val="21"/>
          <w:szCs w:val="21"/>
          <w14:textFill>
            <w14:solidFill>
              <w14:schemeClr w14:val="tx1"/>
            </w14:solidFill>
          </w14:textFill>
          <w14:ligatures w14:val="none"/>
        </w:rPr>
        <w:t xml:space="preserve">计算。</w:t>
      </w:r>
      <w:r/>
    </w:p>
    <w:p>
      <w:pPr>
        <w:ind w:firstLine="422"/>
        <w:jc w:val="both"/>
        <w:spacing w:after="0" w:line="480" w:lineRule="auto"/>
        <w:widowControl/>
        <w:rPr>
          <w:rFonts w:hint="eastAsia" w:ascii="宋体" w:hAnsi="宋体" w:eastAsia="宋体" w:cs="宋体"/>
          <w:b/>
          <w:bCs/>
          <w:color w:val="000000" w:themeColor="text1"/>
          <w:sz w:val="21"/>
          <w:szCs w:val="21"/>
          <w:lang w:val="zh-CN"/>
          <w14:textFill>
            <w14:solidFill>
              <w14:schemeClr w14:val="tx1"/>
            </w14:solidFill>
          </w14:textFill>
          <w14:ligatures w14:val="none"/>
        </w:rPr>
      </w:pP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5</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采</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购</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人</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与</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中标人应按照最新政策文件规定执行。</w:t>
      </w:r>
      <w:r>
        <w:rPr>
          <w:rFonts w:hint="eastAsia" w:ascii="宋体" w:hAnsi="宋体" w:eastAsia="宋体" w:cs="宋体"/>
          <w:b/>
          <w:bCs/>
          <w:color w:val="000000" w:themeColor="text1"/>
          <w:sz w:val="21"/>
          <w:szCs w:val="21"/>
          <w14:textFill>
            <w14:solidFill>
              <w14:schemeClr w14:val="tx1"/>
            </w14:solidFill>
          </w14:textFill>
          <w14:ligatures w14:val="none"/>
        </w:rPr>
        <w:t xml:space="preserve">中标人派驻现场的服务人员与中标人必须签订用工合同，同时服务人员必须经培训合格后方可上岗</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w:t>
      </w:r>
      <w:r/>
    </w:p>
    <w:p>
      <w:pPr>
        <w:ind w:firstLine="630"/>
        <w:jc w:val="both"/>
        <w:spacing w:after="0" w:line="480" w:lineRule="auto"/>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t xml:space="preserve">本项目日常工作中所有人员的风险及一切赔偿责任均由中标人负责。</w:t>
      </w:r>
      <w:r/>
    </w:p>
    <w:p>
      <w:r/>
      <w:r/>
    </w:p>
    <w:p>
      <w:pPr>
        <w:jc w:val="both"/>
        <w:rPr>
          <w:rFonts w:hint="eastAsia"/>
          <w:color w:val="000000" w:themeColor="text1"/>
          <w:sz w:val="36"/>
          <w:szCs w:val="28"/>
          <w14:textFill>
            <w14:solidFill>
              <w14:schemeClr w14:val="tx1"/>
            </w14:solidFill>
          </w14:textFill>
        </w:rPr>
      </w:pPr>
      <w:r/>
      <w:bookmarkStart w:id="134" w:name="OLE_LINK15"/>
      <w:r/>
      <w:bookmarkStart w:id="135" w:name="_Toc22299"/>
      <w:r/>
      <w:r/>
    </w:p>
    <w:p>
      <w:pPr>
        <w:jc w:val="both"/>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numPr>
          <w:ilvl w:val="0"/>
          <w:numId w:val="4"/>
        </w:numPr>
        <w:ind w:left="140" w:firstLine="720"/>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t xml:space="preserve"> 评标方法与评标标准</w:t>
      </w:r>
      <w:bookmarkEnd w:id="134"/>
      <w:r/>
      <w:bookmarkEnd w:id="135"/>
      <w:r/>
      <w:r/>
    </w:p>
    <w:p>
      <w:pPr>
        <w:numPr>
          <w:ilvl w:val="0"/>
          <w:numId w:val="0"/>
        </w:numPr>
        <w:jc w:val="both"/>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ind w:firstLine="420"/>
        <w:jc w:val="left"/>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一、定标原则</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136" w:name="OLE_LINK21"/>
      <w:r>
        <w:rPr>
          <w:rFonts w:hint="eastAsia" w:ascii="宋体" w:hAnsi="宋体" w:eastAsia="宋体" w:cs="宋体"/>
          <w:color w:val="000000" w:themeColor="text1"/>
          <w:sz w:val="21"/>
          <w:szCs w:val="21"/>
          <w:highlight w:val="none"/>
          <w14:textFill>
            <w14:solidFill>
              <w14:schemeClr w14:val="tx1"/>
            </w14:solidFill>
          </w14:textFill>
        </w:rPr>
        <w:t xml:space="preserve">本项目采用</w:t>
      </w:r>
      <w:r>
        <w:rPr>
          <w:rFonts w:hint="eastAsia" w:ascii="宋体" w:hAnsi="宋体" w:eastAsia="宋体" w:cs="宋体"/>
          <w:color w:val="000000" w:themeColor="text1"/>
          <w:sz w:val="21"/>
          <w:szCs w:val="21"/>
          <w:highlight w:val="none"/>
          <w:u w:val="single"/>
          <w14:textFill>
            <w14:solidFill>
              <w14:schemeClr w14:val="tx1"/>
            </w14:solidFill>
          </w14:textFill>
        </w:rPr>
        <w:t xml:space="preserve"> 综合评分 </w:t>
      </w:r>
      <w:r>
        <w:rPr>
          <w:rFonts w:hint="eastAsia" w:ascii="宋体" w:hAnsi="宋体" w:eastAsia="宋体" w:cs="宋体"/>
          <w:color w:val="000000" w:themeColor="text1"/>
          <w:sz w:val="21"/>
          <w:szCs w:val="21"/>
          <w:highlight w:val="none"/>
          <w14:textFill>
            <w14:solidFill>
              <w14:schemeClr w14:val="tx1"/>
            </w14:solidFill>
          </w14:textFill>
        </w:rPr>
        <w:t xml:space="preserve">法。评标结果按评审后得分由高到低顺序排列。得分相同的，按投标报价由低到高顺序排列。得分且投标报价相同的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并列</w:t>
      </w:r>
      <w:r>
        <w:rPr>
          <w:rFonts w:hint="eastAsia" w:ascii="宋体" w:hAnsi="宋体" w:eastAsia="宋体" w:cs="宋体"/>
          <w:color w:val="000000" w:themeColor="text1"/>
          <w:sz w:val="21"/>
          <w:szCs w:val="21"/>
          <w:highlight w:val="none"/>
          <w14:textFill>
            <w14:solidFill>
              <w14:schemeClr w14:val="tx1"/>
            </w14:solidFill>
          </w14:textFill>
        </w:rPr>
        <w:t xml:space="preserve">。投标文件满足招标文件全部实质性要求，且按照评审因素的量化指标评审得分最高的投标人为排名第一的中标候选人，本项目选取1名中标候选人。</w:t>
      </w:r>
      <w:r/>
    </w:p>
    <w:p>
      <w:pPr>
        <w:ind w:firstLine="420"/>
        <w:jc w:val="left"/>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政府采购政策功能落实</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1.小微型企业</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1.1本项目专门面向中小微企业采购，不再对小型和微型企业产品给予价格扣除。</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1.2投标人需按照招标文件的要求提供相应的《中小微企业声明函》。</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1.3企业标准请参照《关于印发中小企业划型标准规定的通知》（工信部联企业〔2011〕300号）文件规定自行填写。</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2.残疾人福利单位</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2.1本项目对残疾人福利性单位视同小型、微型企业。</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2.2残疾人福利单位需按照招标文件的要求提供《残疾人福利性单位声明函》。</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2.3残疾人福利单位标准请参照《关于促进残疾人就业政府采购政策的通知》（财库〔2017〕141号）。</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3.监狱和戒毒企业</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3.1本项目对监狱和戒毒企业（简称监狱企业）视同小型、微型企业。</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3.2监狱企业参加政府采购活动时，需提供由省级以上监狱管理局、戒毒管理局(含新疆生产建设兵团)出具的属于监狱企业的证明文件。</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3.3监狱企业标准请参照《关于政府采购支持监狱企业发展有关问题的通知》（财库[2014]68号）。</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4.残疾人福利单位、监狱企业属于小型、微型企业的，不重复享受政策。</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5.严格执行政府采购关于支持</w:t>
      </w:r>
      <w:r>
        <w:rPr>
          <w:rFonts w:hint="eastAsia" w:ascii="宋体" w:hAnsi="宋体" w:eastAsia="宋体" w:cs="宋体"/>
          <w:color w:val="000000" w:themeColor="text1"/>
          <w:sz w:val="21"/>
          <w:szCs w:val="21"/>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二、评标标准</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1.初步评审</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1.1资格审查</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依据法律法规和招标文件的规定，开标结束后，由采购</w:t>
      </w:r>
      <w:r>
        <w:rPr>
          <w:rFonts w:hint="eastAsia" w:ascii="宋体" w:hAnsi="宋体" w:cs="宋体"/>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1"/>
          <w:szCs w:val="21"/>
          <w:highlight w:val="none"/>
          <w14:textFill>
            <w14:solidFill>
              <w14:schemeClr w14:val="tx1"/>
            </w14:solidFill>
          </w14:textFill>
        </w:rPr>
        <w:t xml:space="preserve">对投标文件中的资格证明文件进行审查。资格审查的结论，采购人以书面形式向评委会进行反馈。（资格审查需提供的材料详见招标文件第六章 投标文件格式中资格证明文件）</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1.2符合性审查</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依据招标文件的规定，从投标文件的有效性、完整性和对招标文件的响应程度进行审查，以确定是否对招标文件的实质性要求作出响应。（审查标准主要有投标文件签字盖章、投标文件的组成、投标文件及报价唯一、工期、质量等方面）</w:t>
      </w:r>
      <w:r/>
    </w:p>
    <w:p>
      <w:pPr>
        <w:ind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注：未通过资格审查或符合性审查的投标人，</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将在苏采云系统中告知未通过资格审查或符合性审查的原因，评标结束后，</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将不再告知未通过资格审查和符合性审查的原因。</w:t>
      </w:r>
      <w:r/>
    </w:p>
    <w:p>
      <w:pPr>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2.评分标准</w:t>
      </w:r>
      <w:bookmarkEnd w:id="136"/>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评标时，评标委员会各成员独立对每个投标人的投标文件进行评价，并汇总每个投标人的得分。本项目评分总分值为100分。</w:t>
      </w:r>
      <w:r/>
    </w:p>
    <w:tbl>
      <w:tblPr>
        <w:tblStyle w:val="742"/>
        <w:tblW w:w="9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2"/>
        <w:gridCol w:w="7597"/>
        <w:gridCol w:w="843"/>
      </w:tblGrid>
      <w:tr>
        <w:trPr>
          <w:jc w:val="center"/>
          <w:trHeight w:val="956"/>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37" w:name="_Toc20724"/>
            <w:r>
              <w:rPr>
                <w:rFonts w:hint="eastAsia" w:ascii="宋体" w:hAnsi="宋体" w:cs="宋体"/>
                <w:b/>
                <w:color w:val="000000" w:themeColor="text1"/>
                <w:sz w:val="21"/>
                <w:szCs w:val="21"/>
                <w14:textFill>
                  <w14:solidFill>
                    <w14:schemeClr w14:val="tx1"/>
                  </w14:solidFill>
                </w14:textFill>
              </w:rPr>
              <w:t xml:space="preserve">评审</w:t>
            </w:r>
            <w:r/>
          </w:p>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14:textFill>
                  <w14:solidFill>
                    <w14:schemeClr w14:val="tx1"/>
                  </w14:solidFill>
                </w14:textFill>
              </w:rPr>
              <w:t xml:space="preserve">项目</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14:textFill>
                  <w14:solidFill>
                    <w14:schemeClr w14:val="tx1"/>
                  </w14:solidFill>
                </w14:textFill>
              </w:rPr>
              <w:t xml:space="preserve">分值</w:t>
            </w:r>
            <w:r/>
          </w:p>
        </w:tc>
      </w:tr>
      <w:tr>
        <w:trPr>
          <w:jc w:val="center"/>
          <w:trHeight w:val="439"/>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14:textFill>
                  <w14:solidFill>
                    <w14:schemeClr w14:val="tx1"/>
                  </w14:solidFill>
                </w14:textFill>
              </w:rPr>
              <w:t xml:space="preserve">投标报价</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14:textFill>
                  <w14:solidFill>
                    <w14:schemeClr w14:val="tx1"/>
                  </w14:solidFill>
                </w14:textFill>
              </w:rPr>
              <w:t xml:space="preserve">1.采用低价优先法，即满足招标文件要求且投标价格最低的投标报价为评标基准价，其价格分为满分。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14:textFill>
                  <w14:solidFill>
                    <w14:schemeClr w14:val="tx1"/>
                  </w14:solidFill>
                </w14:textFill>
              </w:rPr>
              <w:t xml:space="preserve">2.其他投标人的价格分统一按下列公式计算：投标报价得分＝（评标基准价/投标报价）×</w:t>
            </w:r>
            <w:r>
              <w:rPr>
                <w:rFonts w:hint="eastAsia" w:ascii="宋体" w:hAnsi="宋体" w:cs="宋体"/>
                <w:color w:val="000000" w:themeColor="text1"/>
                <w:sz w:val="21"/>
                <w:szCs w:val="21"/>
                <w14:textFill>
                  <w14:solidFill>
                    <w14:schemeClr w14:val="tx1"/>
                  </w14:solidFill>
                </w14:textFill>
              </w:rPr>
              <w:t xml:space="preserve">50</w:t>
            </w:r>
            <w:r>
              <w:rPr>
                <w:rFonts w:ascii="宋体" w:hAnsi="宋体" w:cs="宋体"/>
                <w:color w:val="000000" w:themeColor="text1"/>
                <w:sz w:val="21"/>
                <w:szCs w:val="21"/>
                <w14:textFill>
                  <w14:solidFill>
                    <w14:schemeClr w14:val="tx1"/>
                  </w14:solidFill>
                </w14:textFill>
              </w:rPr>
              <w:t xml:space="preserve">（小数点保留两位）</w:t>
            </w:r>
            <w:r/>
          </w:p>
        </w:tc>
        <w:tc>
          <w:tcPr>
            <w:tcBorders>
              <w:top w:val="single" w:color="auto" w:sz="4" w:space="0"/>
              <w:left w:val="none" w:color="000000" w:sz="4" w:space="0"/>
              <w:bottom w:val="single" w:color="auto" w:sz="4" w:space="0"/>
              <w:right w:val="single" w:color="auto" w:sz="4" w:space="0"/>
            </w:tcBorders>
            <w:tcW w:w="843"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50</w:t>
            </w:r>
            <w:r/>
          </w:p>
        </w:tc>
      </w:tr>
      <w:tr>
        <w:trPr>
          <w:jc w:val="center"/>
          <w:trHeight w:val="876"/>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14:textFill>
                  <w14:solidFill>
                    <w14:schemeClr w14:val="tx1"/>
                  </w14:solidFill>
                </w14:textFill>
              </w:rPr>
              <w:t xml:space="preserve">投标人业绩</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投标人自2021年1月1日以来（以合同签订日期为准）承接过类似物业管理项目，每有一个得2分，本项最高分得</w:t>
            </w:r>
            <w:r>
              <w:rPr>
                <w:rFonts w:hint="eastAsia" w:ascii="宋体" w:hAnsi="宋体" w:cs="宋体"/>
                <w:color w:val="000000" w:themeColor="text1"/>
                <w:sz w:val="21"/>
                <w:szCs w:val="21"/>
                <w:lang w:val="en-US" w:eastAsia="zh-CN"/>
                <w14:textFill>
                  <w14:solidFill>
                    <w14:schemeClr w14:val="tx1"/>
                  </w14:solidFill>
                </w14:textFill>
              </w:rPr>
              <w:t xml:space="preserve">6</w:t>
            </w:r>
            <w:r>
              <w:rPr>
                <w:rFonts w:hint="eastAsia" w:ascii="宋体" w:hAnsi="宋体" w:cs="宋体"/>
                <w:color w:val="000000" w:themeColor="text1"/>
                <w:sz w:val="21"/>
                <w:szCs w:val="21"/>
                <w14:textFill>
                  <w14:solidFill>
                    <w14:schemeClr w14:val="tx1"/>
                  </w14:solidFill>
                </w14:textFill>
              </w:rPr>
              <w:t xml:space="preserve">分，以有效的合同原件扫描件计分。（如同一项目续签多次合同，仅视为一个业绩。）</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85" w:lineRule="atLeast"/>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val="en-US" w:eastAsia="zh-CN"/>
                <w14:textFill>
                  <w14:solidFill>
                    <w14:schemeClr w14:val="tx1"/>
                  </w14:solidFill>
                </w14:textFill>
              </w:rPr>
              <w:t xml:space="preserve">6</w:t>
            </w:r>
            <w:r/>
          </w:p>
        </w:tc>
      </w:tr>
      <w:tr>
        <w:trPr>
          <w:jc w:val="center"/>
          <w:trHeight w:val="1726"/>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资质信誉</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1.取得有效期内的质量管理体系认证证书，得2分；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2.取得有效期内的环境管理体系认证证书，得2分；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3.取得有效期内的职业健康安全管理体系认证证书，得2分；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提供证书原件扫描件和认监委官网查询“有效”记录截图。</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6</w:t>
            </w:r>
            <w:r/>
          </w:p>
        </w:tc>
      </w:tr>
      <w:tr>
        <w:trPr>
          <w:jc w:val="center"/>
          <w:trHeight w:val="2518"/>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企业综合实力</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left="0" w:right="0" w:firstLine="420"/>
              <w:spacing w:before="0" w:after="0" w:line="400" w:lineRule="atLeast"/>
              <w:tabs>
                <w:tab w:val="left" w:pos="312" w:leader="none"/>
              </w:tabs>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投标人拟派驻项目经理具有本科及以上学历得</w:t>
            </w:r>
            <w:r>
              <w:rPr>
                <w:rFonts w:hint="eastAsia" w:ascii="宋体" w:hAnsi="宋体" w:cs="宋体"/>
                <w:sz w:val="22"/>
                <w:lang w:val="en-US" w:eastAsia="zh-CN"/>
              </w:rPr>
              <w:t xml:space="preserve">2</w:t>
            </w:r>
            <w:r>
              <w:rPr>
                <w:rFonts w:hint="eastAsia" w:ascii="宋体" w:hAnsi="宋体" w:cs="宋体"/>
                <w:sz w:val="22"/>
              </w:rPr>
              <w:t xml:space="preserve">分；具有</w:t>
            </w:r>
            <w:r>
              <w:rPr>
                <w:rFonts w:hint="eastAsia" w:ascii="宋体" w:hAnsi="宋体" w:cs="宋体"/>
                <w:sz w:val="22"/>
                <w:highlight w:val="none"/>
              </w:rPr>
              <w:t xml:space="preserve">中级</w:t>
            </w:r>
            <w:r>
              <w:rPr>
                <w:rFonts w:hint="eastAsia" w:ascii="宋体" w:hAnsi="宋体" w:cs="宋体"/>
                <w:sz w:val="22"/>
                <w:highlight w:val="none"/>
                <w:lang w:val="en-US" w:eastAsia="zh-CN"/>
              </w:rPr>
              <w:t xml:space="preserve">及以上</w:t>
            </w:r>
            <w:r>
              <w:rPr>
                <w:rFonts w:hint="eastAsia" w:ascii="宋体" w:hAnsi="宋体" w:cs="宋体"/>
                <w:sz w:val="22"/>
                <w:highlight w:val="none"/>
              </w:rPr>
              <w:t xml:space="preserve">职称</w:t>
            </w:r>
            <w:r>
              <w:rPr>
                <w:rFonts w:hint="eastAsia" w:ascii="宋体" w:hAnsi="宋体" w:cs="宋体"/>
                <w:sz w:val="22"/>
              </w:rPr>
              <w:t xml:space="preserve">证书得</w:t>
            </w:r>
            <w:r>
              <w:rPr>
                <w:rFonts w:hint="eastAsia" w:ascii="宋体" w:hAnsi="宋体" w:cs="宋体"/>
                <w:sz w:val="22"/>
                <w:lang w:val="en-US" w:eastAsia="zh-CN"/>
              </w:rPr>
              <w:t xml:space="preserve">2</w:t>
            </w:r>
            <w:r>
              <w:rPr>
                <w:rFonts w:hint="eastAsia" w:ascii="宋体" w:hAnsi="宋体" w:cs="宋体"/>
                <w:sz w:val="22"/>
              </w:rPr>
              <w:t xml:space="preserve">分；本项最高得</w:t>
            </w:r>
            <w:r>
              <w:rPr>
                <w:rFonts w:hint="eastAsia" w:ascii="宋体" w:hAnsi="宋体" w:cs="宋体"/>
                <w:sz w:val="22"/>
                <w:lang w:val="en-US" w:eastAsia="zh-CN"/>
              </w:rPr>
              <w:t xml:space="preserve">4</w:t>
            </w:r>
            <w:r>
              <w:rPr>
                <w:rFonts w:hint="eastAsia" w:ascii="宋体" w:hAnsi="宋体" w:cs="宋体"/>
                <w:sz w:val="22"/>
              </w:rPr>
              <w:t xml:space="preserve">分</w:t>
            </w:r>
            <w:r/>
          </w:p>
          <w:p>
            <w:pPr>
              <w:ind w:left="0" w:right="0" w:firstLine="420"/>
              <w:spacing w:before="0" w:after="0" w:line="400" w:lineRule="atLeast"/>
              <w:tabs>
                <w:tab w:val="left" w:pos="312" w:leader="none"/>
              </w:tabs>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2"/>
              </w:rPr>
              <w:t xml:space="preserve">学历需提供学信网在线验证报告扫描件</w:t>
            </w:r>
            <w:r>
              <w:rPr>
                <w:rFonts w:hint="eastAsia" w:ascii="宋体" w:hAnsi="宋体" w:cs="宋体"/>
                <w:b/>
                <w:bCs/>
                <w:sz w:val="22"/>
                <w:lang w:val="en-US" w:eastAsia="zh-CN"/>
              </w:rPr>
              <w:t xml:space="preserve">并加盖公章</w:t>
            </w:r>
            <w:r>
              <w:rPr>
                <w:rFonts w:hint="eastAsia" w:ascii="宋体" w:hAnsi="宋体" w:cs="宋体"/>
                <w:b/>
                <w:bCs/>
                <w:sz w:val="22"/>
              </w:rPr>
              <w:t xml:space="preserve">，其他提供证书原件彩色扫描件</w:t>
            </w:r>
            <w:r>
              <w:rPr>
                <w:rFonts w:hint="eastAsia" w:ascii="宋体" w:hAnsi="宋体" w:cs="宋体"/>
                <w:b/>
                <w:bCs/>
                <w:sz w:val="22"/>
                <w:lang w:val="en-US" w:eastAsia="zh-CN"/>
              </w:rPr>
              <w:t xml:space="preserve">并加</w:t>
            </w:r>
            <w:r>
              <w:rPr>
                <w:rFonts w:hint="eastAsia" w:ascii="宋体" w:hAnsi="宋体" w:cs="宋体"/>
                <w:b/>
                <w:bCs/>
                <w:sz w:val="22"/>
              </w:rPr>
              <w:t xml:space="preserve">盖</w:t>
            </w:r>
            <w:r>
              <w:rPr>
                <w:rFonts w:hint="eastAsia" w:ascii="宋体" w:hAnsi="宋体" w:cs="宋体"/>
                <w:b/>
                <w:bCs/>
                <w:sz w:val="22"/>
                <w:lang w:val="en-US" w:eastAsia="zh-CN"/>
              </w:rPr>
              <w:t xml:space="preserve">公</w:t>
            </w:r>
            <w:r>
              <w:rPr>
                <w:rFonts w:hint="eastAsia" w:ascii="宋体" w:hAnsi="宋体" w:cs="宋体"/>
                <w:b/>
                <w:bCs/>
                <w:sz w:val="22"/>
              </w:rPr>
              <w:t xml:space="preserve">章，未提供不得分。拟派驻项目经理须为投标人单位正式职工，须提供投标截止当月起前6个月</w:t>
            </w:r>
            <w:r>
              <w:rPr>
                <w:rFonts w:hint="eastAsia" w:ascii="宋体" w:hAnsi="宋体" w:cs="宋体"/>
                <w:b/>
                <w:bCs/>
                <w:sz w:val="22"/>
                <w:lang w:eastAsia="zh-CN"/>
              </w:rPr>
              <w:t xml:space="preserve">中任意</w:t>
            </w:r>
            <w:r>
              <w:rPr>
                <w:rFonts w:hint="eastAsia" w:ascii="宋体" w:hAnsi="宋体" w:cs="宋体"/>
                <w:b/>
                <w:bCs/>
                <w:sz w:val="22"/>
                <w:lang w:val="en-US" w:eastAsia="zh-CN"/>
              </w:rPr>
              <w:t xml:space="preserve">1个月</w:t>
            </w:r>
            <w:r>
              <w:rPr>
                <w:rFonts w:hint="eastAsia" w:ascii="宋体" w:hAnsi="宋体" w:cs="宋体"/>
                <w:b/>
                <w:bCs/>
                <w:sz w:val="22"/>
              </w:rPr>
              <w:t xml:space="preserve">的社保缴纳证明文件扫描件</w:t>
            </w:r>
            <w:r>
              <w:rPr>
                <w:rFonts w:hint="eastAsia" w:ascii="宋体" w:hAnsi="宋体" w:cs="宋体"/>
                <w:b/>
                <w:bCs/>
                <w:sz w:val="22"/>
                <w:lang w:eastAsia="zh-CN"/>
              </w:rPr>
              <w:t xml:space="preserve">加盖投标人公章。</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400" w:lineRule="atLeast"/>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val="en-US" w:eastAsia="zh-CN"/>
                <w14:textFill>
                  <w14:solidFill>
                    <w14:schemeClr w14:val="tx1"/>
                  </w14:solidFill>
                </w14:textFill>
              </w:rPr>
              <w:t xml:space="preserve">4</w:t>
            </w:r>
            <w:r/>
          </w:p>
        </w:tc>
      </w:tr>
      <w:tr>
        <w:trPr>
          <w:jc w:val="center"/>
          <w:trHeight w:val="90"/>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物业服务管理实施方案</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1、对本项目的认识、服务定位、管理理念及整体设想（本项最高得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评标委员会根据招标文件中有关对本项目的认识、服务定位、管理理念及整体设想进行打分。</w:t>
            </w:r>
            <w:r/>
          </w:p>
          <w:p>
            <w:pPr>
              <w:numPr>
                <w:ilvl w:val="0"/>
                <w:numId w:val="5"/>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分</w:t>
            </w:r>
            <w:r/>
          </w:p>
          <w:p>
            <w:pPr>
              <w:numPr>
                <w:ilvl w:val="0"/>
                <w:numId w:val="5"/>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w:t>
            </w:r>
            <w:r>
              <w:rPr>
                <w:rFonts w:hint="eastAsia" w:ascii="宋体" w:hAnsi="宋体" w:cs="宋体"/>
                <w:color w:val="000000" w:themeColor="text1"/>
                <w:sz w:val="21"/>
                <w:szCs w:val="21"/>
                <w:lang w:val="en-US" w:eastAsia="zh-CN"/>
                <w14:textFill>
                  <w14:solidFill>
                    <w14:schemeClr w14:val="tx1"/>
                  </w14:solidFill>
                </w14:textFill>
              </w:rPr>
              <w:t xml:space="preserve">6</w:t>
            </w:r>
            <w:r>
              <w:rPr>
                <w:rFonts w:hint="eastAsia" w:ascii="宋体" w:hAnsi="宋体" w:cs="宋体"/>
                <w:color w:val="000000" w:themeColor="text1"/>
                <w:sz w:val="21"/>
                <w:szCs w:val="21"/>
                <w14:textFill>
                  <w14:solidFill>
                    <w14:schemeClr w14:val="tx1"/>
                  </w14:solidFill>
                </w14:textFill>
              </w:rPr>
              <w:t xml:space="preserve">分；</w:t>
            </w:r>
            <w:r/>
          </w:p>
          <w:p>
            <w:pPr>
              <w:numPr>
                <w:ilvl w:val="0"/>
                <w:numId w:val="5"/>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不满足项目需求或不提供得</w:t>
            </w:r>
            <w:r>
              <w:rPr>
                <w:rFonts w:hint="eastAsia" w:ascii="宋体" w:hAnsi="宋体" w:cs="宋体"/>
                <w:color w:val="000000" w:themeColor="text1"/>
                <w:sz w:val="21"/>
                <w:szCs w:val="21"/>
                <w:lang w:val="en-US" w:eastAsia="zh-CN"/>
                <w14:textFill>
                  <w14:solidFill>
                    <w14:schemeClr w14:val="tx1"/>
                  </w14:solidFill>
                </w14:textFill>
              </w:rPr>
              <w:t xml:space="preserve">0</w:t>
            </w:r>
            <w:r>
              <w:rPr>
                <w:rFonts w:hint="eastAsia" w:ascii="宋体" w:hAnsi="宋体" w:cs="宋体"/>
                <w:color w:val="000000" w:themeColor="text1"/>
                <w:sz w:val="21"/>
                <w:szCs w:val="21"/>
                <w14:textFill>
                  <w14:solidFill>
                    <w14:schemeClr w14:val="tx1"/>
                  </w14:solidFill>
                </w14:textFill>
              </w:rPr>
              <w:t xml:space="preserve">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2、对本项目具体的服务方案（本项最高得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评标委员会根据投标文件中有关安全保卫、卫生保洁、监控值班及日常巡查等物业服务项目阐述内容进行打分。</w:t>
            </w:r>
            <w:r/>
          </w:p>
          <w:p>
            <w:pPr>
              <w:numPr>
                <w:ilvl w:val="0"/>
                <w:numId w:val="6"/>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分</w:t>
            </w:r>
            <w:r/>
          </w:p>
          <w:p>
            <w:pPr>
              <w:numPr>
                <w:ilvl w:val="0"/>
                <w:numId w:val="6"/>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w:t>
            </w:r>
            <w:r>
              <w:rPr>
                <w:rFonts w:hint="eastAsia" w:ascii="宋体" w:hAnsi="宋体" w:cs="宋体"/>
                <w:color w:val="000000" w:themeColor="text1"/>
                <w:sz w:val="21"/>
                <w:szCs w:val="21"/>
                <w:lang w:val="en-US" w:eastAsia="zh-CN"/>
                <w14:textFill>
                  <w14:solidFill>
                    <w14:schemeClr w14:val="tx1"/>
                  </w14:solidFill>
                </w14:textFill>
              </w:rPr>
              <w:t xml:space="preserve">6</w:t>
            </w:r>
            <w:r>
              <w:rPr>
                <w:rFonts w:hint="eastAsia" w:ascii="宋体" w:hAnsi="宋体" w:cs="宋体"/>
                <w:color w:val="000000" w:themeColor="text1"/>
                <w:sz w:val="21"/>
                <w:szCs w:val="21"/>
                <w14:textFill>
                  <w14:solidFill>
                    <w14:schemeClr w14:val="tx1"/>
                  </w14:solidFill>
                </w14:textFill>
              </w:rPr>
              <w:t xml:space="preserve">分；</w:t>
            </w:r>
            <w:r/>
          </w:p>
          <w:p>
            <w:pPr>
              <w:numPr>
                <w:ilvl w:val="0"/>
                <w:numId w:val="6"/>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不满足项目需求或不提供得</w:t>
            </w:r>
            <w:r>
              <w:rPr>
                <w:rFonts w:hint="eastAsia" w:ascii="宋体" w:hAnsi="宋体" w:cs="宋体"/>
                <w:color w:val="000000" w:themeColor="text1"/>
                <w:sz w:val="21"/>
                <w:szCs w:val="21"/>
                <w:lang w:val="en-US" w:eastAsia="zh-CN"/>
                <w14:textFill>
                  <w14:solidFill>
                    <w14:schemeClr w14:val="tx1"/>
                  </w14:solidFill>
                </w14:textFill>
              </w:rPr>
              <w:t xml:space="preserve">0</w:t>
            </w:r>
            <w:r>
              <w:rPr>
                <w:rFonts w:hint="eastAsia" w:ascii="宋体" w:hAnsi="宋体" w:cs="宋体"/>
                <w:color w:val="000000" w:themeColor="text1"/>
                <w:sz w:val="21"/>
                <w:szCs w:val="21"/>
                <w14:textFill>
                  <w14:solidFill>
                    <w14:schemeClr w14:val="tx1"/>
                  </w14:solidFill>
                </w14:textFill>
              </w:rPr>
              <w:t xml:space="preserve">分。</w:t>
            </w:r>
            <w:r/>
          </w:p>
          <w:p>
            <w:pPr>
              <w:ind w:firstLine="42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3、岗位工作职责、管理规章制度（本项最高得</w:t>
            </w:r>
            <w:r>
              <w:rPr>
                <w:rFonts w:hint="eastAsia" w:ascii="宋体" w:hAnsi="宋体" w:cs="宋体"/>
                <w:color w:val="000000" w:themeColor="text1"/>
                <w:sz w:val="21"/>
                <w:szCs w:val="21"/>
                <w:lang w:val="en-US" w:eastAsia="zh-CN"/>
                <w14:textFill>
                  <w14:solidFill>
                    <w14:schemeClr w14:val="tx1"/>
                  </w14:solidFill>
                </w14:textFill>
              </w:rPr>
              <w:t xml:space="preserve">6</w:t>
            </w:r>
            <w:r>
              <w:rPr>
                <w:rFonts w:hint="eastAsia" w:ascii="宋体" w:hAnsi="宋体" w:cs="宋体"/>
                <w:color w:val="000000" w:themeColor="text1"/>
                <w:sz w:val="21"/>
                <w:szCs w:val="21"/>
                <w14:textFill>
                  <w14:solidFill>
                    <w14:schemeClr w14:val="tx1"/>
                  </w14:solidFill>
                </w14:textFill>
              </w:rPr>
              <w:t xml:space="preserve">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评标委员会根据投标文件中岗位工作职责、管理规章制度进行打分。</w:t>
            </w:r>
            <w:r/>
          </w:p>
          <w:p>
            <w:pPr>
              <w:numPr>
                <w:ilvl w:val="0"/>
                <w:numId w:val="7"/>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优于项目需求得6分</w:t>
            </w:r>
            <w:r/>
          </w:p>
          <w:p>
            <w:pPr>
              <w:numPr>
                <w:ilvl w:val="0"/>
                <w:numId w:val="7"/>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满足项目需求得5分；</w:t>
            </w:r>
            <w:r/>
          </w:p>
          <w:p>
            <w:pPr>
              <w:numPr>
                <w:ilvl w:val="0"/>
                <w:numId w:val="7"/>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不满足项目需求或不提供得</w:t>
            </w:r>
            <w:r>
              <w:rPr>
                <w:rFonts w:hint="eastAsia" w:ascii="宋体" w:hAnsi="宋体" w:cs="宋体"/>
                <w:color w:val="000000" w:themeColor="text1"/>
                <w:sz w:val="21"/>
                <w:szCs w:val="21"/>
                <w:lang w:val="en-US" w:eastAsia="zh-CN"/>
                <w14:textFill>
                  <w14:solidFill>
                    <w14:schemeClr w14:val="tx1"/>
                  </w14:solidFill>
                </w14:textFill>
              </w:rPr>
              <w:t xml:space="preserve">0</w:t>
            </w:r>
            <w:r>
              <w:rPr>
                <w:rFonts w:hint="eastAsia" w:ascii="宋体" w:hAnsi="宋体" w:cs="宋体"/>
                <w:color w:val="000000" w:themeColor="text1"/>
                <w:sz w:val="21"/>
                <w:szCs w:val="21"/>
                <w14:textFill>
                  <w14:solidFill>
                    <w14:schemeClr w14:val="tx1"/>
                  </w14:solidFill>
                </w14:textFill>
              </w:rPr>
              <w:t xml:space="preserve">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4、对本项目突发事件的处理预案（本项最高得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评标委员会根据投标文件中对本项目的各种突发事件的处理预案，包括台风、洪涝等自然灾害以及停电、停水、火灾、医患纠纷、盗窃等情况的处理预案进行打分。</w:t>
            </w:r>
            <w:r/>
          </w:p>
          <w:p>
            <w:pPr>
              <w:numPr>
                <w:ilvl w:val="0"/>
                <w:numId w:val="8"/>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分</w:t>
            </w:r>
            <w:r/>
          </w:p>
          <w:p>
            <w:pPr>
              <w:numPr>
                <w:ilvl w:val="0"/>
                <w:numId w:val="8"/>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w:t>
            </w:r>
            <w:r>
              <w:rPr>
                <w:rFonts w:hint="eastAsia" w:ascii="宋体" w:hAnsi="宋体" w:cs="宋体"/>
                <w:color w:val="000000" w:themeColor="text1"/>
                <w:sz w:val="21"/>
                <w:szCs w:val="21"/>
                <w:lang w:val="en-US" w:eastAsia="zh-CN"/>
                <w14:textFill>
                  <w14:solidFill>
                    <w14:schemeClr w14:val="tx1"/>
                  </w14:solidFill>
                </w14:textFill>
              </w:rPr>
              <w:t xml:space="preserve">6</w:t>
            </w:r>
            <w:r>
              <w:rPr>
                <w:rFonts w:hint="eastAsia" w:ascii="宋体" w:hAnsi="宋体" w:cs="宋体"/>
                <w:color w:val="000000" w:themeColor="text1"/>
                <w:sz w:val="21"/>
                <w:szCs w:val="21"/>
                <w14:textFill>
                  <w14:solidFill>
                    <w14:schemeClr w14:val="tx1"/>
                  </w14:solidFill>
                </w14:textFill>
              </w:rPr>
              <w:t xml:space="preserve">分；</w:t>
            </w:r>
            <w:r/>
          </w:p>
          <w:p>
            <w:pPr>
              <w:numPr>
                <w:ilvl w:val="0"/>
                <w:numId w:val="8"/>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不满足项目需求或不提供得</w:t>
            </w:r>
            <w:r>
              <w:rPr>
                <w:rFonts w:hint="eastAsia" w:ascii="宋体" w:hAnsi="宋体" w:cs="宋体"/>
                <w:color w:val="000000" w:themeColor="text1"/>
                <w:sz w:val="21"/>
                <w:szCs w:val="21"/>
                <w:lang w:val="en-US" w:eastAsia="zh-CN"/>
                <w14:textFill>
                  <w14:solidFill>
                    <w14:schemeClr w14:val="tx1"/>
                  </w14:solidFill>
                </w14:textFill>
              </w:rPr>
              <w:t xml:space="preserve">0</w:t>
            </w:r>
            <w:r>
              <w:rPr>
                <w:rFonts w:hint="eastAsia" w:ascii="宋体" w:hAnsi="宋体" w:cs="宋体"/>
                <w:color w:val="000000" w:themeColor="text1"/>
                <w:sz w:val="21"/>
                <w:szCs w:val="21"/>
                <w14:textFill>
                  <w14:solidFill>
                    <w14:schemeClr w14:val="tx1"/>
                  </w14:solidFill>
                </w14:textFill>
              </w:rPr>
              <w:t xml:space="preserve">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5、进场退场交接方案（本项最高得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评标委员会根据投标文件中对本项目物业进退场方案的内容进行打分。</w:t>
            </w:r>
            <w:r/>
          </w:p>
          <w:p>
            <w:pPr>
              <w:numPr>
                <w:ilvl w:val="0"/>
                <w:numId w:val="9"/>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分</w:t>
            </w:r>
            <w:r/>
          </w:p>
          <w:p>
            <w:pPr>
              <w:numPr>
                <w:ilvl w:val="0"/>
                <w:numId w:val="9"/>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w:t>
            </w:r>
            <w:r>
              <w:rPr>
                <w:rFonts w:hint="eastAsia" w:ascii="宋体" w:hAnsi="宋体" w:cs="宋体"/>
                <w:color w:val="000000" w:themeColor="text1"/>
                <w:sz w:val="21"/>
                <w:szCs w:val="21"/>
                <w:lang w:val="en-US" w:eastAsia="zh-CN"/>
                <w14:textFill>
                  <w14:solidFill>
                    <w14:schemeClr w14:val="tx1"/>
                  </w14:solidFill>
                </w14:textFill>
              </w:rPr>
              <w:t xml:space="preserve">6</w:t>
            </w:r>
            <w:r>
              <w:rPr>
                <w:rFonts w:hint="eastAsia" w:ascii="宋体" w:hAnsi="宋体" w:cs="宋体"/>
                <w:color w:val="000000" w:themeColor="text1"/>
                <w:sz w:val="21"/>
                <w:szCs w:val="21"/>
                <w14:textFill>
                  <w14:solidFill>
                    <w14:schemeClr w14:val="tx1"/>
                  </w14:solidFill>
                </w14:textFill>
              </w:rPr>
              <w:t xml:space="preserve">分；</w:t>
            </w:r>
            <w:r/>
          </w:p>
          <w:p>
            <w:pPr>
              <w:numPr>
                <w:ilvl w:val="0"/>
                <w:numId w:val="9"/>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不满足项目需求或不提供得</w:t>
            </w:r>
            <w:r>
              <w:rPr>
                <w:rFonts w:hint="eastAsia" w:ascii="宋体" w:hAnsi="宋体" w:cs="宋体"/>
                <w:color w:val="000000" w:themeColor="text1"/>
                <w:sz w:val="21"/>
                <w:szCs w:val="21"/>
                <w:lang w:val="en-US" w:eastAsia="zh-CN"/>
                <w14:textFill>
                  <w14:solidFill>
                    <w14:schemeClr w14:val="tx1"/>
                  </w14:solidFill>
                </w14:textFill>
              </w:rPr>
              <w:t xml:space="preserve">0</w:t>
            </w:r>
            <w:r>
              <w:rPr>
                <w:rFonts w:hint="eastAsia" w:ascii="宋体" w:hAnsi="宋体" w:cs="宋体"/>
                <w:color w:val="000000" w:themeColor="text1"/>
                <w:sz w:val="21"/>
                <w:szCs w:val="21"/>
                <w14:textFill>
                  <w14:solidFill>
                    <w14:schemeClr w14:val="tx1"/>
                  </w14:solidFill>
                </w14:textFill>
              </w:rPr>
              <w:t xml:space="preserve">分。</w:t>
            </w:r>
            <w:r/>
          </w:p>
          <w:p>
            <w:pPr>
              <w:pStyle w:val="768"/>
              <w:ind w:firstLine="0"/>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400" w:lineRule="atLeast"/>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lang w:val="en-US" w:eastAsia="zh-CN"/>
                <w14:textFill>
                  <w14:solidFill>
                    <w14:schemeClr w14:val="tx1"/>
                  </w14:solidFill>
                </w14:textFill>
              </w:rPr>
              <w:t xml:space="preserve">4</w:t>
            </w:r>
            <w:r/>
          </w:p>
        </w:tc>
      </w:tr>
    </w:tbl>
    <w:p>
      <w:pPr>
        <w:jc w:val="both"/>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ind w:firstLine="480"/>
        <w:keepLines w:val="0"/>
        <w:keepNext w:val="0"/>
        <w:pageBreakBefore w:val="0"/>
        <w:spacing w:line="480" w:lineRule="exact"/>
        <w:widowControl w:val="off"/>
        <w:rPr>
          <w:rFonts w:hint="eastAsia" w:ascii="宋体" w:hAnsi="宋体" w:eastAsia="宋体" w:cs="宋体"/>
          <w:b/>
          <w:bCs/>
          <w:i/>
          <w:i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eastAsia="宋体"/>
          <w:lang w:eastAsia="zh-CN"/>
        </w:rPr>
        <w:tab/>
      </w:r>
      <w:r>
        <w:rPr>
          <w:rFonts w:hint="eastAsia" w:ascii="宋体" w:hAnsi="宋体" w:eastAsia="宋体" w:cs="宋体"/>
          <w:b/>
          <w:bCs/>
          <w:i/>
          <w:iCs/>
          <w:color w:val="auto"/>
          <w:sz w:val="24"/>
          <w:szCs w:val="24"/>
          <w:highlight w:val="none"/>
          <w:u w:val="single"/>
        </w:rPr>
        <w:t xml:space="preserve">注：</w:t>
      </w:r>
      <w:r/>
    </w:p>
    <w:p>
      <w:pPr>
        <w:numPr>
          <w:ilvl w:val="0"/>
          <w:numId w:val="10"/>
        </w:numPr>
        <w:ind w:firstLine="480"/>
        <w:keepLines w:val="0"/>
        <w:keepNext w:val="0"/>
        <w:pageBreakBefore w:val="0"/>
        <w:spacing w:line="480" w:lineRule="exact"/>
        <w:widowControl w:val="off"/>
        <w:rPr>
          <w:rFonts w:hint="eastAsia" w:ascii="宋体" w:hAnsi="宋体" w:eastAsia="宋体" w:cs="宋体"/>
          <w:b/>
          <w:bCs/>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 w:val="24"/>
          <w:szCs w:val="24"/>
          <w:highlight w:val="none"/>
          <w:u w:val="single"/>
        </w:rPr>
        <w:t xml:space="preserve">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w:t>
      </w:r>
      <w:r>
        <w:rPr>
          <w:rFonts w:hint="eastAsia" w:ascii="宋体" w:hAnsi="宋体" w:eastAsia="宋体" w:cs="宋体"/>
          <w:b/>
          <w:bCs/>
          <w:i/>
          <w:iCs/>
          <w:color w:val="auto"/>
          <w:sz w:val="24"/>
          <w:szCs w:val="24"/>
          <w:highlight w:val="none"/>
          <w:u w:val="single"/>
          <w:lang w:val="en-US" w:eastAsia="zh-CN"/>
        </w:rPr>
        <w:t xml:space="preserve">方案</w:t>
      </w:r>
      <w:r>
        <w:rPr>
          <w:rFonts w:hint="eastAsia" w:ascii="宋体" w:hAnsi="宋体" w:eastAsia="宋体" w:cs="宋体"/>
          <w:b/>
          <w:bCs/>
          <w:i/>
          <w:iCs/>
          <w:color w:val="auto"/>
          <w:sz w:val="24"/>
          <w:szCs w:val="24"/>
          <w:highlight w:val="none"/>
          <w:u w:val="single"/>
        </w:rPr>
        <w:t xml:space="preserve">总页数不得超过</w:t>
      </w:r>
      <w:r>
        <w:rPr>
          <w:rFonts w:hint="eastAsia" w:ascii="宋体" w:hAnsi="宋体" w:cs="宋体"/>
          <w:b/>
          <w:bCs/>
          <w:i/>
          <w:iCs/>
          <w:color w:val="auto"/>
          <w:sz w:val="24"/>
          <w:szCs w:val="24"/>
          <w:highlight w:val="none"/>
          <w:u w:val="single"/>
          <w:lang w:val="en-US" w:eastAsia="zh-CN"/>
        </w:rPr>
        <w:t xml:space="preserve">120</w:t>
      </w:r>
      <w:r>
        <w:rPr>
          <w:rFonts w:hint="eastAsia" w:ascii="宋体" w:hAnsi="宋体" w:eastAsia="宋体" w:cs="宋体"/>
          <w:b/>
          <w:bCs/>
          <w:i/>
          <w:iCs/>
          <w:color w:val="auto"/>
          <w:sz w:val="24"/>
          <w:szCs w:val="24"/>
          <w:highlight w:val="none"/>
          <w:u w:val="single"/>
        </w:rPr>
        <w:t xml:space="preserve">页</w:t>
      </w:r>
      <w:bookmarkStart w:id="141" w:name="_GoBack"/>
      <w:r/>
      <w:bookmarkEnd w:id="141"/>
      <w:r>
        <w:rPr>
          <w:rFonts w:hint="eastAsia" w:ascii="宋体" w:hAnsi="宋体" w:eastAsia="宋体" w:cs="宋体"/>
          <w:b/>
          <w:bCs/>
          <w:i/>
          <w:iCs/>
          <w:color w:val="auto"/>
          <w:sz w:val="24"/>
          <w:szCs w:val="24"/>
          <w:highlight w:val="none"/>
          <w:u w:val="single"/>
        </w:rPr>
        <w:t xml:space="preserve">，否则本项内容不得分。</w:t>
      </w:r>
      <w:r>
        <w:rPr>
          <w:rFonts w:hint="eastAsia" w:ascii="宋体" w:hAnsi="宋体" w:eastAsia="宋体" w:cs="宋体"/>
          <w:b/>
          <w:bCs/>
          <w:i/>
          <w:iCs/>
          <w:color w:val="auto"/>
          <w:sz w:val="24"/>
          <w:szCs w:val="24"/>
          <w:highlight w:val="none"/>
          <w:u w:val="single"/>
          <w:lang w:val="en-US" w:eastAsia="zh-CN"/>
        </w:rPr>
        <w:t xml:space="preserve">上传的“明标”材料中不得出现与服务方案相关的内容，否则</w:t>
      </w:r>
      <w:r>
        <w:rPr>
          <w:rFonts w:hint="eastAsia" w:ascii="宋体" w:hAnsi="宋体" w:eastAsia="宋体" w:cs="宋体"/>
          <w:b/>
          <w:bCs/>
          <w:i/>
          <w:iCs/>
          <w:color w:val="auto"/>
          <w:sz w:val="24"/>
          <w:szCs w:val="24"/>
          <w:highlight w:val="none"/>
          <w:u w:val="single"/>
        </w:rPr>
        <w:t xml:space="preserve">作无效标书处理</w:t>
      </w:r>
      <w:r>
        <w:rPr>
          <w:rFonts w:hint="eastAsia" w:ascii="宋体" w:hAnsi="宋体" w:eastAsia="宋体" w:cs="宋体"/>
          <w:b/>
          <w:bCs/>
          <w:i/>
          <w:iCs/>
          <w:color w:val="auto"/>
          <w:sz w:val="24"/>
          <w:szCs w:val="24"/>
          <w:highlight w:val="none"/>
          <w:u w:val="single"/>
          <w:lang w:eastAsia="zh-CN"/>
        </w:rPr>
        <w:t xml:space="preserve">。</w:t>
      </w:r>
      <w:r/>
    </w:p>
    <w:p>
      <w:pPr>
        <w:numPr>
          <w:ilvl w:val="0"/>
          <w:numId w:val="0"/>
        </w:numPr>
        <w:ind w:firstLine="480"/>
        <w:keepLines w:val="0"/>
        <w:keepNext w:val="0"/>
        <w:pageBreakBefore w:val="0"/>
        <w:spacing w:line="480" w:lineRule="exact"/>
        <w:widowControl w:val="off"/>
        <w:rPr>
          <w:rFonts w:hint="eastAsia" w:ascii="宋体" w:hAnsi="宋体" w:eastAsia="宋体" w:cs="宋体"/>
          <w:b/>
          <w:bCs/>
          <w:i/>
          <w:iCs/>
          <w:color w:val="auto"/>
          <w:sz w:val="24"/>
          <w:szCs w:val="24"/>
          <w:highlight w:val="none"/>
          <w:u w:val="none"/>
          <w:lang w:eastAsia="zh-CN"/>
        </w:rPr>
        <w:pBdr>
          <w:top w:val="none" w:color="000000" w:sz="0" w:space="0"/>
          <w:left w:val="none" w:color="000000" w:sz="0" w:space="0"/>
          <w:bottom w:val="none" w:color="000000" w:sz="0" w:space="0"/>
          <w:right w:val="none" w:color="000000" w:sz="0" w:space="0"/>
        </w:pBdr>
      </w:pPr>
      <w:r>
        <w:rPr>
          <w:rFonts w:hint="eastAsia"/>
          <w:color w:val="000000" w:themeColor="text1"/>
          <w:sz w:val="24"/>
          <w:szCs w:val="21"/>
          <w:lang w:val="en-US" w:eastAsia="zh-CN"/>
          <w14:textFill>
            <w14:solidFill>
              <w14:schemeClr w14:val="tx1"/>
            </w14:solidFill>
          </w14:textFill>
        </w:rPr>
        <w:t xml:space="preserve">2、</w:t>
      </w:r>
      <w:r>
        <w:rPr>
          <w:rFonts w:hint="eastAsia"/>
          <w:color w:val="000000" w:themeColor="text1"/>
          <w:sz w:val="24"/>
          <w:szCs w:val="21"/>
          <w:lang w:eastAsia="zh-CN"/>
          <w14:textFill>
            <w14:solidFill>
              <w14:schemeClr w14:val="tx1"/>
            </w14:solidFill>
          </w14:textFill>
        </w:rPr>
        <w:t xml:space="preserve">投标文件格式第八项《投标函》中“签字人</w:t>
      </w:r>
      <w:r>
        <w:rPr>
          <w:rFonts w:hint="eastAsia"/>
          <w:color w:val="000000" w:themeColor="text1"/>
          <w:sz w:val="24"/>
          <w:szCs w:val="21"/>
          <w:u w:val="single"/>
          <w:lang w:val="en-US" w:eastAsia="zh-CN"/>
          <w14:textFill>
            <w14:solidFill>
              <w14:schemeClr w14:val="tx1"/>
            </w14:solidFill>
          </w14:textFill>
        </w:rPr>
        <w:t xml:space="preserve">       </w:t>
      </w:r>
      <w:r>
        <w:rPr>
          <w:rFonts w:hint="eastAsia"/>
          <w:color w:val="000000" w:themeColor="text1"/>
          <w:sz w:val="24"/>
          <w:szCs w:val="21"/>
          <w:lang w:val="en-US" w:eastAsia="zh-CN"/>
          <w14:textFill>
            <w14:solidFill>
              <w14:schemeClr w14:val="tx1"/>
            </w14:solidFill>
          </w14:textFill>
        </w:rPr>
        <w:t xml:space="preserve">（姓名）</w:t>
      </w:r>
      <w:r>
        <w:rPr>
          <w:rFonts w:hint="eastAsia"/>
          <w:color w:val="000000" w:themeColor="text1"/>
          <w:sz w:val="24"/>
          <w:szCs w:val="21"/>
          <w:lang w:eastAsia="zh-CN"/>
          <w14:textFill>
            <w14:solidFill>
              <w14:schemeClr w14:val="tx1"/>
            </w14:solidFill>
          </w14:textFill>
        </w:rPr>
        <w:t xml:space="preserve">”、“据此函，</w:t>
      </w:r>
      <w:r>
        <w:rPr>
          <w:rFonts w:hint="eastAsia"/>
          <w:color w:val="000000" w:themeColor="text1"/>
          <w:sz w:val="24"/>
          <w:szCs w:val="21"/>
          <w:u w:val="single"/>
          <w:lang w:val="en-US" w:eastAsia="zh-CN"/>
          <w14:textFill>
            <w14:solidFill>
              <w14:schemeClr w14:val="tx1"/>
            </w14:solidFill>
          </w14:textFill>
        </w:rPr>
        <w:t xml:space="preserve">      </w:t>
      </w:r>
      <w:r>
        <w:rPr>
          <w:rFonts w:hint="eastAsia"/>
          <w:color w:val="000000" w:themeColor="text1"/>
          <w:sz w:val="24"/>
          <w:szCs w:val="21"/>
          <w:lang w:val="en-US" w:eastAsia="zh-CN"/>
          <w14:textFill>
            <w14:solidFill>
              <w14:schemeClr w14:val="tx1"/>
            </w14:solidFill>
          </w14:textFill>
        </w:rPr>
        <w:t xml:space="preserve">签字人</w:t>
      </w:r>
      <w:r>
        <w:rPr>
          <w:rFonts w:hint="eastAsia"/>
          <w:color w:val="000000" w:themeColor="text1"/>
          <w:sz w:val="24"/>
          <w:szCs w:val="21"/>
          <w:lang w:eastAsia="zh-CN"/>
          <w14:textFill>
            <w14:solidFill>
              <w14:schemeClr w14:val="tx1"/>
            </w14:solidFill>
          </w14:textFill>
        </w:rPr>
        <w:t xml:space="preserve">”，此两处姓名打印或手写签名。</w:t>
      </w:r>
      <w:r/>
    </w:p>
    <w:p>
      <w:pPr>
        <w:ind w:firstLine="480"/>
        <w:keepLines w:val="0"/>
        <w:keepNext w:val="0"/>
        <w:pageBreakBefore w:val="0"/>
        <w:spacing w:line="480" w:lineRule="exact"/>
        <w:widowControl w:val="off"/>
        <w:rPr>
          <w:rFonts w:hint="eastAsia" w:ascii="宋体" w:hAnsi="宋体" w:eastAsia="宋体" w:cs="宋体"/>
          <w:b/>
          <w:bCs/>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 w:val="24"/>
          <w:szCs w:val="24"/>
          <w:highlight w:val="none"/>
          <w:u w:val="single"/>
          <w:lang w:eastAsia="zh-CN"/>
        </w:rPr>
      </w:r>
      <w:r/>
    </w:p>
    <w:p>
      <w:pPr>
        <w:pStyle w:val="734"/>
        <w:tabs>
          <w:tab w:val="left" w:pos="687" w:leader="none"/>
        </w:tabs>
        <w:rPr>
          <w:rFonts w:hint="eastAsia" w:eastAsia="宋体"/>
          <w:lang w:eastAsia="zh-CN"/>
        </w:rPr>
      </w:pPr>
      <w:r>
        <w:rPr>
          <w:rFonts w:hint="eastAsia" w:eastAsia="宋体"/>
          <w:lang w:eastAsia="zh-CN"/>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t xml:space="preserve">第六章  投标文件格式</w:t>
      </w:r>
      <w:bookmarkEnd w:id="137"/>
      <w:r/>
      <w:r/>
    </w:p>
    <w:p>
      <w:pPr>
        <w:jc w:val="center"/>
        <w:rPr>
          <w:rFonts w:ascii="宋体" w:hAnsi="宋体"/>
          <w:b/>
          <w:color w:val="000000" w:themeColor="text1"/>
          <w:sz w:val="72"/>
          <w:highlight w:val="none"/>
          <w14:textFill>
            <w14:solidFill>
              <w14:schemeClr w14:val="tx1"/>
            </w14:solidFill>
          </w14:textFill>
        </w:rPr>
      </w:pPr>
      <w:r/>
      <w:bookmarkStart w:id="138" w:name="_Hlt26671244"/>
      <w:r/>
      <w:bookmarkEnd w:id="138"/>
      <w:r/>
      <w:bookmarkStart w:id="139" w:name="_Hlt26955039"/>
      <w:r/>
      <w:bookmarkEnd w:id="139"/>
      <w:r/>
      <w:r/>
    </w:p>
    <w:p>
      <w:pPr>
        <w:jc w:val="center"/>
        <w:rPr>
          <w:rFonts w:ascii="宋体" w:hAnsi="宋体"/>
          <w:b/>
          <w:color w:val="000000" w:themeColor="text1"/>
          <w:sz w:val="72"/>
          <w:highlight w:val="none"/>
          <w14:textFill>
            <w14:solidFill>
              <w14:schemeClr w14:val="tx1"/>
            </w14:solidFill>
          </w14:textFill>
        </w:rPr>
      </w:pPr>
      <w:r>
        <w:rPr>
          <w:rFonts w:hint="eastAsia" w:ascii="黑体" w:hAnsi="黑体" w:eastAsia="黑体" w:cs="黑体"/>
          <w:bCs/>
          <w:color w:val="000000" w:themeColor="text1"/>
          <w:sz w:val="72"/>
          <w:highlight w:val="none"/>
          <w14:textFill>
            <w14:solidFill>
              <w14:schemeClr w14:val="tx1"/>
            </w14:solidFill>
          </w14:textFill>
        </w:rPr>
        <w:t xml:space="preserve">投  标  文  件</w:t>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pStyle w:val="922"/>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pStyle w:val="922"/>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766"/>
        <w:ind w:firstLine="1084"/>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项 目 名 称：</w:t>
      </w:r>
      <w:r>
        <w:rPr>
          <w:rFonts w:hint="eastAsia" w:ascii="宋体" w:hAnsi="宋体" w:cs="宋体"/>
          <w:b/>
          <w:color w:val="000000" w:themeColor="text1"/>
          <w:sz w:val="36"/>
          <w:szCs w:val="36"/>
          <w:highlight w:val="none"/>
          <w:u w:val="single"/>
          <w14:textFill>
            <w14:solidFill>
              <w14:schemeClr w14:val="tx1"/>
            </w14:solidFill>
          </w14:textFill>
        </w:rPr>
        <w:t xml:space="preserve">             </w:t>
      </w:r>
      <w:r/>
    </w:p>
    <w:p>
      <w:pPr>
        <w:pStyle w:val="766"/>
        <w:ind w:firstLine="1084"/>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项 目 编 号：</w:t>
      </w:r>
      <w:r>
        <w:rPr>
          <w:rFonts w:hint="eastAsia" w:ascii="宋体" w:hAnsi="宋体" w:cs="宋体"/>
          <w:b/>
          <w:color w:val="000000" w:themeColor="text1"/>
          <w:sz w:val="36"/>
          <w:szCs w:val="36"/>
          <w:highlight w:val="none"/>
          <w:u w:val="single"/>
          <w14:textFill>
            <w14:solidFill>
              <w14:schemeClr w14:val="tx1"/>
            </w14:solidFill>
          </w14:textFill>
        </w:rPr>
        <w:t xml:space="preserve">          </w:t>
      </w:r>
      <w:r/>
    </w:p>
    <w:p>
      <w:pPr>
        <w:pStyle w:val="766"/>
        <w:ind w:firstLine="1084"/>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eastAsia="宋体" w:cs="宋体"/>
          <w:b/>
          <w:color w:val="auto"/>
          <w:sz w:val="36"/>
          <w:szCs w:val="36"/>
          <w:highlight w:val="none"/>
        </w:rPr>
        <w:t xml:space="preserve">投标人名称</w:t>
      </w:r>
      <w:r>
        <w:rPr>
          <w:rFonts w:hint="eastAsia" w:ascii="宋体" w:hAnsi="宋体" w:cs="宋体"/>
          <w:b/>
          <w:color w:val="000000" w:themeColor="text1"/>
          <w:sz w:val="36"/>
          <w:szCs w:val="36"/>
          <w:highlight w:val="none"/>
          <w14:textFill>
            <w14:solidFill>
              <w14:schemeClr w14:val="tx1"/>
            </w14:solidFill>
          </w14:textFill>
        </w:rPr>
        <w:t xml:space="preserve"> ：</w:t>
      </w:r>
      <w:r>
        <w:rPr>
          <w:rFonts w:hint="eastAsia" w:ascii="宋体" w:hAnsi="宋体" w:cs="宋体"/>
          <w:b/>
          <w:color w:val="000000" w:themeColor="text1"/>
          <w:sz w:val="36"/>
          <w:szCs w:val="36"/>
          <w:highlight w:val="none"/>
          <w:u w:val="single"/>
          <w14:textFill>
            <w14:solidFill>
              <w14:schemeClr w14:val="tx1"/>
            </w14:solidFill>
          </w14:textFill>
        </w:rPr>
        <w:t xml:space="preserve">（加盖CA电子公章）</w:t>
      </w:r>
      <w:r/>
    </w:p>
    <w:p>
      <w:pPr>
        <w:pStyle w:val="766"/>
        <w:ind w:firstLine="1084"/>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日   期 ：</w:t>
      </w:r>
      <w:r>
        <w:rPr>
          <w:rFonts w:hint="eastAsia" w:ascii="宋体" w:hAnsi="宋体" w:cs="宋体"/>
          <w:b/>
          <w:color w:val="000000" w:themeColor="text1"/>
          <w:sz w:val="36"/>
          <w:szCs w:val="36"/>
          <w:highlight w:val="none"/>
          <w:u w:val="single"/>
          <w14:textFill>
            <w14:solidFill>
              <w14:schemeClr w14:val="tx1"/>
            </w14:solidFill>
          </w14:textFill>
        </w:rPr>
        <w:t xml:space="preserve">          </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黑体" w:hAnsi="黑体" w:eastAsia="黑体" w:cs="黑体"/>
          <w:color w:val="000000" w:themeColor="text1"/>
          <w:szCs w:val="28"/>
          <w:highlight w:val="none"/>
          <w14:textFill>
            <w14:solidFill>
              <w14:schemeClr w14:val="tx1"/>
            </w14:solidFill>
          </w14:textFill>
        </w:rPr>
      </w:pPr>
      <w:r>
        <w:rPr>
          <w:rFonts w:ascii="黑体" w:hAnsi="黑体" w:eastAsia="黑体" w:cs="黑体"/>
          <w:color w:val="000000" w:themeColor="text1"/>
          <w:szCs w:val="28"/>
          <w:highlight w:val="none"/>
          <w14:textFill>
            <w14:solidFill>
              <w14:schemeClr w14:val="tx1"/>
            </w14:solidFill>
          </w14:textFill>
        </w:rPr>
        <w:br w:type="page" w:clear="all"/>
      </w:r>
      <w:r/>
    </w:p>
    <w:p>
      <w:pPr>
        <w:jc w:val="center"/>
        <w:spacing w:line="440" w:lineRule="exact"/>
        <w:rPr>
          <w:rFonts w:ascii="黑体" w:hAnsi="黑体" w:eastAsia="黑体" w:cs="黑体"/>
          <w:color w:val="000000" w:themeColor="text1"/>
          <w:szCs w:val="28"/>
          <w:highlight w:val="none"/>
          <w14:textFill>
            <w14:solidFill>
              <w14:schemeClr w14:val="tx1"/>
            </w14:solidFill>
          </w14:textFill>
        </w:rPr>
      </w:pPr>
      <w:r>
        <w:rPr>
          <w:rFonts w:ascii="黑体" w:hAnsi="黑体" w:eastAsia="黑体" w:cs="黑体"/>
          <w:color w:val="000000" w:themeColor="text1"/>
          <w:szCs w:val="28"/>
          <w:highlight w:val="none"/>
          <w14:textFill>
            <w14:solidFill>
              <w14:schemeClr w14:val="tx1"/>
            </w14:solidFill>
          </w14:textFill>
        </w:rPr>
      </w:r>
      <w:r/>
    </w:p>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66"/>
        <w:jc w:val="center"/>
        <w:spacing w:beforeAutospacing="0" w:afterAutospacing="0" w:line="0" w:lineRule="atLeast"/>
        <w:rPr>
          <w:color w:val="auto"/>
          <w:highlight w:val="none"/>
        </w:rPr>
      </w:pPr>
      <w:r>
        <w:rPr>
          <w:rFonts w:hint="eastAsia" w:ascii="宋体" w:hAnsi="宋体" w:eastAsia="宋体" w:cs="宋体"/>
          <w:b/>
          <w:bCs/>
          <w:color w:val="000000" w:themeColor="text1"/>
          <w:sz w:val="32"/>
          <w:szCs w:val="32"/>
          <w:highlight w:val="none"/>
          <w14:textFill>
            <w14:solidFill>
              <w14:schemeClr w14:val="tx1"/>
            </w14:solidFill>
          </w14:textFill>
        </w:rPr>
        <w:t xml:space="preserve">投标主要文件目录</w:t>
      </w:r>
      <w:r>
        <w:rPr>
          <w:rFonts w:hint="eastAsia" w:ascii="宋体" w:hAnsi="宋体" w:eastAsia="宋体" w:cs="宋体"/>
          <w:b/>
          <w:color w:val="auto"/>
          <w:sz w:val="32"/>
          <w:szCs w:val="32"/>
          <w:highlight w:val="none"/>
        </w:rPr>
        <w:t xml:space="preserve">投标文件目录</w:t>
      </w:r>
      <w:r/>
    </w:p>
    <w:p>
      <w:pPr>
        <w:pStyle w:val="766"/>
        <w:jc w:val="center"/>
        <w:spacing w:beforeAutospacing="0" w:afterAutospacing="0" w:line="0" w:lineRule="atLeast"/>
        <w:rPr>
          <w:color w:val="auto"/>
          <w:highlight w:val="none"/>
        </w:rPr>
      </w:pPr>
      <w:r>
        <w:rPr>
          <w:color w:val="auto"/>
          <w:highlight w:val="none"/>
        </w:rPr>
        <w:t xml:space="preserve"> </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一、法人或者其他组织的营业执照等证明文件，自然人的身份证明</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二、上一年度的财务状况报</w:t>
      </w:r>
      <w:r>
        <w:rPr>
          <w:rFonts w:hint="eastAsia" w:ascii="宋体" w:hAnsi="宋体" w:cs="宋体"/>
          <w:i/>
          <w:iCs/>
          <w:color w:val="000000" w:themeColor="text1"/>
          <w:sz w:val="24"/>
          <w:szCs w:val="24"/>
          <w:highlight w:val="none"/>
          <w:u w:val="none"/>
          <w:lang w:val="en-US" w:eastAsia="zh-CN"/>
          <w14:textFill>
            <w14:solidFill>
              <w14:schemeClr w14:val="tx1"/>
            </w14:solidFill>
          </w14:textFill>
        </w:rPr>
        <w:t xml:space="preserve">告</w:t>
      </w: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（至少提供资产负债表、利润表、现金流量表，投标人成立不满一年无需提供）</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四、具备履行合同所必需的设备和专业技术能力的书面声明</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五、参加政府采购活动前3年内在经营活动中没有重大违法记录的书面声明</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六、特定资格要求的证明文件（如果本项目设置特定资格要求，则需要提供）</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七、法人授权书</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八、投标函</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九、中小微企业声明函</w:t>
      </w:r>
      <w:r/>
    </w:p>
    <w:p>
      <w:pPr>
        <w:ind w:firstLine="480"/>
        <w:spacing w:line="400" w:lineRule="exact"/>
        <w:rPr>
          <w:rFonts w:hint="eastAsia" w:ascii="宋体" w:hAnsi="宋体" w:eastAsia="宋体" w:cs="宋体"/>
          <w:i/>
          <w:iCs/>
          <w:color w:val="000000" w:themeColor="text1"/>
          <w:sz w:val="24"/>
          <w:szCs w:val="24"/>
          <w:highlight w:val="none"/>
          <w14:textFill>
            <w14:solidFill>
              <w14:schemeClr w14:val="tx1"/>
            </w14:solidFill>
          </w14:textFill>
        </w:rPr>
      </w:pPr>
      <w:r>
        <w:rPr>
          <w:rFonts w:hint="eastAsia" w:ascii="宋体" w:hAnsi="宋体" w:eastAsia="宋体" w:cs="宋体"/>
          <w:i/>
          <w:iCs/>
          <w:color w:val="000000" w:themeColor="text1"/>
          <w:sz w:val="24"/>
          <w:szCs w:val="24"/>
          <w:highlight w:val="none"/>
          <w14:textFill>
            <w14:solidFill>
              <w14:schemeClr w14:val="tx1"/>
            </w14:solidFill>
          </w14:textFill>
        </w:rPr>
        <w:t xml:space="preserve">十、残疾人福利性单位声明函</w:t>
      </w:r>
      <w:r/>
    </w:p>
    <w:p>
      <w:pPr>
        <w:ind w:firstLine="480"/>
        <w:spacing w:line="400" w:lineRule="exact"/>
        <w:rPr>
          <w:rFonts w:hint="eastAsia" w:ascii="宋体" w:hAnsi="宋体" w:eastAsia="宋体" w:cs="宋体"/>
          <w:i/>
          <w:iCs/>
          <w:color w:val="000000" w:themeColor="text1"/>
          <w:sz w:val="24"/>
          <w:szCs w:val="24"/>
          <w:highlight w:val="none"/>
          <w14:textFill>
            <w14:solidFill>
              <w14:schemeClr w14:val="tx1"/>
            </w14:solidFill>
          </w14:textFill>
        </w:rPr>
      </w:pPr>
      <w:r>
        <w:rPr>
          <w:rFonts w:hint="eastAsia" w:ascii="宋体" w:hAnsi="宋体" w:eastAsia="宋体" w:cs="宋体"/>
          <w:i/>
          <w:iCs/>
          <w:color w:val="000000" w:themeColor="text1"/>
          <w:sz w:val="24"/>
          <w:szCs w:val="24"/>
          <w:highlight w:val="none"/>
          <w14:textFill>
            <w14:solidFill>
              <w14:schemeClr w14:val="tx1"/>
            </w14:solidFill>
          </w14:textFill>
        </w:rPr>
        <w:t xml:space="preserve">十一、技术条款响应及偏离表</w:t>
      </w:r>
      <w:r/>
    </w:p>
    <w:p>
      <w:pPr>
        <w:ind w:firstLine="480"/>
        <w:spacing w:line="400" w:lineRule="exact"/>
        <w:rPr>
          <w:rFonts w:hint="eastAsia" w:ascii="宋体" w:hAnsi="宋体" w:eastAsia="宋体" w:cs="宋体"/>
          <w:i/>
          <w:iCs/>
          <w:color w:val="000000" w:themeColor="text1"/>
          <w:sz w:val="24"/>
          <w:szCs w:val="24"/>
          <w:highlight w:val="none"/>
          <w14:textFill>
            <w14:solidFill>
              <w14:schemeClr w14:val="tx1"/>
            </w14:solidFill>
          </w14:textFill>
        </w:rPr>
      </w:pPr>
      <w:r>
        <w:rPr>
          <w:rFonts w:hint="eastAsia" w:ascii="宋体" w:hAnsi="宋体" w:eastAsia="宋体" w:cs="宋体"/>
          <w:i/>
          <w:iCs/>
          <w:color w:val="000000" w:themeColor="text1"/>
          <w:sz w:val="24"/>
          <w:szCs w:val="24"/>
          <w:highlight w:val="none"/>
          <w14:textFill>
            <w14:solidFill>
              <w14:schemeClr w14:val="tx1"/>
            </w14:solidFill>
          </w14:textFill>
        </w:rPr>
        <w:t xml:space="preserve">十二、商务条款响应及偏离表</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十三、开标一览表</w:t>
      </w:r>
      <w:r/>
    </w:p>
    <w:p>
      <w:pPr>
        <w:ind w:firstLine="480"/>
        <w:spacing w:line="400" w:lineRule="exact"/>
        <w:rPr>
          <w:rFonts w:hint="eastAsia" w:ascii="宋体" w:hAnsi="宋体" w:eastAsia="宋体" w:cs="宋体"/>
          <w:i/>
          <w:iCs/>
          <w:color w:val="000000" w:themeColor="text1"/>
          <w:sz w:val="24"/>
          <w:szCs w:val="24"/>
          <w:highlight w:val="none"/>
          <w14:textFill>
            <w14:solidFill>
              <w14:schemeClr w14:val="tx1"/>
            </w14:solidFill>
          </w14:textFill>
        </w:rPr>
      </w:pPr>
      <w:r>
        <w:rPr>
          <w:rFonts w:hint="eastAsia" w:ascii="宋体" w:hAnsi="宋体" w:eastAsia="宋体" w:cs="宋体"/>
          <w:i/>
          <w:iCs/>
          <w:color w:val="000000" w:themeColor="text1"/>
          <w:sz w:val="24"/>
          <w:szCs w:val="24"/>
          <w:highlight w:val="none"/>
          <w14:textFill>
            <w14:solidFill>
              <w14:schemeClr w14:val="tx1"/>
            </w14:solidFill>
          </w14:textFill>
        </w:rPr>
        <w:t xml:space="preserve">十四、分项明细报价表</w:t>
      </w:r>
      <w:r/>
    </w:p>
    <w:p>
      <w:pPr>
        <w:ind w:firstLine="480"/>
        <w:spacing w:line="400" w:lineRule="exact"/>
        <w:rPr>
          <w:rFonts w:hint="eastAsia" w:ascii="宋体" w:hAnsi="宋体" w:eastAsia="宋体" w:cs="宋体"/>
          <w:i/>
          <w:iCs/>
          <w:color w:val="000000" w:themeColor="text1"/>
          <w:sz w:val="24"/>
          <w:szCs w:val="24"/>
          <w:highlight w:val="none"/>
          <w14:textFill>
            <w14:solidFill>
              <w14:schemeClr w14:val="tx1"/>
            </w14:solidFill>
          </w14:textFill>
        </w:rPr>
      </w:pPr>
      <w:r>
        <w:rPr>
          <w:rFonts w:hint="eastAsia" w:ascii="宋体" w:hAnsi="宋体" w:eastAsia="宋体" w:cs="宋体"/>
          <w:i/>
          <w:iCs/>
          <w:color w:val="000000" w:themeColor="text1"/>
          <w:sz w:val="24"/>
          <w:szCs w:val="24"/>
          <w:highlight w:val="none"/>
          <w14:textFill>
            <w14:solidFill>
              <w14:schemeClr w14:val="tx1"/>
            </w14:solidFill>
          </w14:textFill>
        </w:rPr>
        <w:t xml:space="preserve">十五、服务方案等</w:t>
      </w:r>
      <w:r/>
    </w:p>
    <w:p>
      <w:pPr>
        <w:ind w:firstLine="480"/>
        <w:spacing w:line="400" w:lineRule="exact"/>
        <w:rPr>
          <w:rFonts w:hint="eastAsia" w:ascii="宋体" w:hAnsi="宋体" w:eastAsia="宋体" w:cs="宋体"/>
          <w:i/>
          <w:iCs/>
          <w:color w:val="000000" w:themeColor="text1"/>
          <w:sz w:val="24"/>
          <w:szCs w:val="24"/>
          <w:highlight w:val="none"/>
          <w14:textFill>
            <w14:solidFill>
              <w14:schemeClr w14:val="tx1"/>
            </w14:solidFill>
          </w14:textFill>
        </w:rPr>
      </w:pPr>
      <w:r>
        <w:rPr>
          <w:rFonts w:hint="eastAsia" w:ascii="宋体" w:hAnsi="宋体" w:eastAsia="宋体" w:cs="宋体"/>
          <w:i/>
          <w:iCs/>
          <w:color w:val="000000" w:themeColor="text1"/>
          <w:sz w:val="24"/>
          <w:szCs w:val="24"/>
          <w:highlight w:val="none"/>
          <w14:textFill>
            <w14:solidFill>
              <w14:schemeClr w14:val="tx1"/>
            </w14:solidFill>
          </w14:textFill>
        </w:rPr>
        <w:t xml:space="preserve">十六、盐城市亭湖区政府采购事前信用承诺书</w:t>
      </w:r>
      <w:r/>
    </w:p>
    <w:p>
      <w:pPr>
        <w:ind w:firstLine="480"/>
        <w:spacing w:line="400" w:lineRule="exact"/>
        <w:rPr>
          <w:rFonts w:hint="eastAsia" w:ascii="宋体" w:hAnsi="宋体" w:eastAsia="宋体" w:cs="宋体"/>
          <w:i/>
          <w:iCs/>
          <w:color w:val="000000" w:themeColor="text1"/>
          <w:sz w:val="24"/>
          <w:szCs w:val="24"/>
          <w:highlight w:val="none"/>
          <w14:textFill>
            <w14:solidFill>
              <w14:schemeClr w14:val="tx1"/>
            </w14:solidFill>
          </w14:textFill>
        </w:rPr>
      </w:pPr>
      <w:r>
        <w:rPr>
          <w:rFonts w:hint="eastAsia" w:ascii="宋体" w:hAnsi="宋体" w:eastAsia="宋体" w:cs="宋体"/>
          <w:i/>
          <w:iCs/>
          <w:color w:val="000000" w:themeColor="text1"/>
          <w:sz w:val="24"/>
          <w:szCs w:val="24"/>
          <w:highlight w:val="none"/>
          <w14:textFill>
            <w14:solidFill>
              <w14:schemeClr w14:val="tx1"/>
            </w14:solidFill>
          </w14:textFill>
        </w:rPr>
        <w:t xml:space="preserve">十七、根据招标文件“第五章 定标原则与评标标准”的要求需要提供的业绩材料及投标人认为有必要提供的其他材料</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25"/>
        <w:ind w:firstLine="560"/>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pStyle w:val="925"/>
        <w:ind w:firstLine="560"/>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pStyle w:val="925"/>
        <w:ind w:firstLine="560"/>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pStyle w:val="925"/>
        <w:ind w:firstLine="560"/>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pStyle w:val="925"/>
        <w:ind w:firstLine="560"/>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pStyle w:val="925"/>
        <w:ind w:left="0" w:firstLine="0"/>
        <w:jc w:val="both"/>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pStyle w:val="925"/>
        <w:ind w:firstLine="560"/>
        <w:jc w:val="center"/>
        <w:spacing w:line="400" w:lineRule="exact"/>
        <w:rPr>
          <w:rFonts w:ascii="黑体" w:hAnsi="黑体" w:eastAsia="黑体" w:cs="黑体"/>
          <w:bCs/>
          <w:i/>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rPr>
          <w:rFonts w:ascii="黑体" w:hAnsi="黑体" w:eastAsia="黑体" w:cs="黑体"/>
          <w:i/>
          <w:color w:val="000000" w:themeColor="text1"/>
          <w:szCs w:val="28"/>
          <w:highlight w:val="none"/>
          <w:u w:val="single"/>
          <w14:textFill>
            <w14:solidFill>
              <w14:schemeClr w14:val="tx1"/>
            </w14:solidFill>
          </w14:textFill>
        </w:rPr>
      </w:r>
    </w:p>
    <w:p>
      <w:pPr>
        <w:pStyle w:val="925"/>
        <w:ind w:firstLine="560"/>
        <w:jc w:val="center"/>
        <w:spacing w:line="400" w:lineRule="exact"/>
        <w:rPr>
          <w:rFonts w:ascii="黑体" w:hAnsi="黑体" w:eastAsia="黑体" w:cs="黑体"/>
          <w:bCs/>
          <w:i/>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pStyle w:val="925"/>
        <w:ind w:firstLine="560"/>
        <w:jc w:val="center"/>
        <w:spacing w:line="400" w:lineRule="exact"/>
        <w:rPr>
          <w:color w:val="000000" w:themeColor="text1"/>
          <w:szCs w:val="28"/>
          <w:highlight w:val="non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t xml:space="preserve">一、法人或者其他组织的营业执照等证明文件，自然人的身份证明</w:t>
      </w:r>
      <w:r/>
    </w:p>
    <w:p>
      <w:pPr>
        <w:pStyle w:val="926"/>
        <w:jc w:val="center"/>
        <w:spacing w:beforeAutospacing="0" w:afterAutospacing="0" w:line="400" w:lineRule="exact"/>
        <w:rPr>
          <w:color w:val="000000" w:themeColor="text1"/>
          <w:highlight w:val="none"/>
          <w14:textFill>
            <w14:solidFill>
              <w14:schemeClr w14:val="tx1"/>
            </w14:solidFill>
          </w14:textFill>
        </w:rPr>
        <w:outlineLvl w:val="1"/>
      </w:pPr>
      <w:r>
        <w:rPr>
          <w:rFonts w:hint="eastAsia"/>
          <w:color w:val="000000" w:themeColor="text1"/>
          <w:highlight w:val="none"/>
          <w14:textFill>
            <w14:solidFill>
              <w14:schemeClr w14:val="tx1"/>
            </w14:solidFill>
          </w14:textFill>
        </w:rPr>
        <w:t xml:space="preserve"> </w:t>
      </w:r>
      <w:r/>
    </w:p>
    <w:p>
      <w:pPr>
        <w:pStyle w:val="926"/>
        <w:ind w:firstLine="560"/>
        <w:jc w:val="both"/>
        <w:spacing w:beforeAutospacing="0" w:afterAutospacing="0" w:line="400" w:lineRule="exact"/>
        <w:rPr>
          <w:rFonts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14:textFill>
            <w14:solidFill>
              <w14:schemeClr w14:val="tx1"/>
            </w14:solidFill>
          </w14:textFill>
        </w:rPr>
        <w:t xml:space="preserve">二、上一年度的财务状况报表</w:t>
      </w:r>
      <w:r/>
    </w:p>
    <w:p>
      <w:pPr>
        <w:pStyle w:val="927"/>
        <w:jc w:val="center"/>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至少提供资产负债表、利润表、现金流量表，投标人成立不满一年不需提供。</w:t>
      </w:r>
      <w:r>
        <w:rPr>
          <w:rFonts w:hint="eastAsia"/>
          <w:color w:val="000000" w:themeColor="text1"/>
          <w:sz w:val="21"/>
          <w:szCs w:val="21"/>
          <w:highlight w:val="none"/>
          <w14:textFill>
            <w14:solidFill>
              <w14:schemeClr w14:val="tx1"/>
            </w14:solidFill>
          </w14:textFill>
        </w:rPr>
        <w:t xml:space="preserve">）</w:t>
      </w:r>
      <w:r/>
    </w:p>
    <w:p>
      <w:pPr>
        <w:pStyle w:val="928"/>
        <w:ind w:firstLine="480"/>
        <w:jc w:val="center"/>
        <w:spacing w:line="400" w:lineRule="exact"/>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pStyle w:val="926"/>
        <w:jc w:val="center"/>
        <w:spacing w:beforeAutospacing="0" w:afterAutospacing="0" w:line="400" w:lineRule="exact"/>
        <w:rPr>
          <w:rFonts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14:textFill>
            <w14:solidFill>
              <w14:schemeClr w14:val="tx1"/>
            </w14:solidFill>
          </w14:textFill>
        </w:rPr>
        <w:t xml:space="preserve">三、具备履行合同所必需的设备和专业技术能力的书面声明</w:t>
      </w:r>
      <w:r/>
    </w:p>
    <w:p>
      <w:pPr>
        <w:pStyle w:val="926"/>
        <w:ind w:firstLine="480"/>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926"/>
        <w:ind w:firstLine="480"/>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主要设备有：</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w:t>
      </w:r>
      <w:r/>
    </w:p>
    <w:p>
      <w:pPr>
        <w:pStyle w:val="926"/>
        <w:ind w:firstLine="480"/>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主要专业技术能力有：</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w:t>
      </w:r>
      <w:r/>
    </w:p>
    <w:p>
      <w:pPr>
        <w:pStyle w:val="926"/>
        <w:ind w:firstLine="480"/>
        <w:jc w:val="both"/>
        <w:spacing w:beforeAutospacing="0" w:afterAutospacing="0"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ind w:firstLine="560"/>
        <w:jc w:val="both"/>
        <w:spacing w:line="400" w:lineRule="exact"/>
        <w:rPr>
          <w:rFonts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t xml:space="preserve">四、依法缴纳税收和社会保障资金的相关材料</w:t>
      </w:r>
      <w:r/>
    </w:p>
    <w:p>
      <w:pPr>
        <w:pStyle w:val="926"/>
        <w:ind w:firstLine="480"/>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r/>
    </w:p>
    <w:p>
      <w:pPr>
        <w:pStyle w:val="926"/>
        <w:ind w:firstLine="480"/>
        <w:spacing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26"/>
        <w:jc w:val="center"/>
        <w:spacing w:beforeAutospacing="0" w:afterAutospacing="0" w:line="400" w:lineRule="exact"/>
        <w:rPr>
          <w:rFonts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lang w:val="en-US" w:eastAsia="zh-CN"/>
          <w14:textFill>
            <w14:solidFill>
              <w14:schemeClr w14:val="tx1"/>
            </w14:solidFill>
          </w14:textFill>
        </w:rPr>
        <w:t xml:space="preserve">  </w:t>
      </w:r>
      <w:r>
        <w:rPr>
          <w:rFonts w:hint="eastAsia" w:ascii="黑体" w:hAnsi="黑体" w:eastAsia="黑体" w:cs="黑体"/>
          <w:i/>
          <w:color w:val="000000" w:themeColor="text1"/>
          <w:sz w:val="28"/>
          <w:szCs w:val="28"/>
          <w:highlight w:val="none"/>
          <w:u w:val="single"/>
          <w14:textFill>
            <w14:solidFill>
              <w14:schemeClr w14:val="tx1"/>
            </w14:solidFill>
          </w14:textFill>
        </w:rPr>
        <w:t xml:space="preserve">五、参加政府采购活动前 3 年内在经营活动中没有重大违法记录的书面声明</w:t>
      </w:r>
      <w:r/>
    </w:p>
    <w:p>
      <w:pPr>
        <w:pStyle w:val="926"/>
        <w:jc w:val="center"/>
        <w:spacing w:beforeAutospacing="0" w:afterAutospacing="0" w:line="400" w:lineRule="exact"/>
        <w:rPr>
          <w:color w:val="000000" w:themeColor="text1"/>
          <w:highlight w:val="none"/>
          <w14:textFill>
            <w14:solidFill>
              <w14:schemeClr w14:val="tx1"/>
            </w14:solidFill>
          </w14:textFill>
        </w:rPr>
      </w:pPr>
      <w:r>
        <w:rPr>
          <w:rFonts w:hint="eastAsia" w:ascii="黑体" w:hAnsi="黑体" w:eastAsia="黑体" w:cs="黑体"/>
          <w:bCs/>
          <w:color w:val="000000" w:themeColor="text1"/>
          <w:sz w:val="28"/>
          <w:szCs w:val="28"/>
          <w:highlight w:val="none"/>
          <w14:textFill>
            <w14:solidFill>
              <w14:schemeClr w14:val="tx1"/>
            </w14:solidFill>
          </w14:textFill>
        </w:rPr>
        <w:t xml:space="preserve">声  明</w:t>
      </w:r>
      <w:r/>
    </w:p>
    <w:p>
      <w:pPr>
        <w:pStyle w:val="926"/>
        <w:ind w:firstLine="482"/>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926"/>
        <w:ind w:firstLine="480"/>
        <w:spacing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ind w:firstLine="560"/>
        <w:jc w:val="both"/>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t xml:space="preserve">六、特定资格要求的证明文件</w:t>
      </w:r>
      <w:r/>
    </w:p>
    <w:p>
      <w:pPr>
        <w:pStyle w:val="926"/>
        <w:jc w:val="center"/>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申请人的特定资格要求中要求提供的，必须提供。</w:t>
      </w:r>
      <w:r/>
    </w:p>
    <w:p>
      <w:pPr>
        <w:pStyle w:val="926"/>
        <w:ind w:firstLine="480"/>
        <w:jc w:val="center"/>
        <w:spacing w:beforeAutospacing="0" w:afterAutospacing="0" w:line="5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26"/>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926"/>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14:textFill>
            <w14:solidFill>
              <w14:schemeClr w14:val="tx1"/>
            </w14:solidFill>
          </w14:textFill>
        </w:rPr>
        <w:t xml:space="preserve">七、法人授权书</w:t>
      </w:r>
      <w:r/>
    </w:p>
    <w:p>
      <w:pPr>
        <w:pStyle w:val="926"/>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本授权书声明：____________（投标人名称）授权________________（被授权人的姓名）为我方就</w:t>
      </w:r>
      <w:r>
        <w:rPr>
          <w:rFonts w:hint="eastAsia"/>
          <w:color w:val="000000" w:themeColor="text1"/>
          <w:sz w:val="21"/>
          <w:szCs w:val="21"/>
          <w:highlight w:val="none"/>
          <w:u w:val="single"/>
          <w:lang w:val="en-US" w:eastAsia="zh-CN"/>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号</w:t>
      </w:r>
      <w:r>
        <w:rPr>
          <w:rFonts w:hint="eastAsia"/>
          <w:color w:val="000000" w:themeColor="text1"/>
          <w:sz w:val="21"/>
          <w:szCs w:val="21"/>
          <w:highlight w:val="none"/>
          <w:u w:val="single"/>
          <w:lang w:val="en-US" w:eastAsia="zh-CN"/>
          <w14:textFill>
            <w14:solidFill>
              <w14:schemeClr w14:val="tx1"/>
            </w14:solidFill>
          </w14:textFill>
        </w:rPr>
        <w:t xml:space="preserve">              </w:t>
      </w:r>
      <w:r>
        <w:rPr>
          <w:rFonts w:hint="eastAsia"/>
          <w:color w:val="000000" w:themeColor="text1"/>
          <w:sz w:val="21"/>
          <w:szCs w:val="21"/>
          <w:highlight w:val="none"/>
          <w:u w:val="single"/>
          <w14:textFill>
            <w14:solidFill>
              <w14:schemeClr w14:val="tx1"/>
            </w14:solidFill>
          </w14:textFill>
        </w:rPr>
        <w:t xml:space="preserve">项目</w:t>
      </w:r>
      <w:r>
        <w:rPr>
          <w:rFonts w:hint="eastAsia"/>
          <w:color w:val="000000" w:themeColor="text1"/>
          <w:sz w:val="21"/>
          <w:szCs w:val="21"/>
          <w:highlight w:val="none"/>
          <w14:textFill>
            <w14:solidFill>
              <w14:schemeClr w14:val="tx1"/>
            </w14:solidFill>
          </w14:textFill>
        </w:rPr>
        <w:t xml:space="preserve">采购活动的合法代理人，以本单位名义全权处理一切与该项目采购有关的事务。</w:t>
      </w:r>
      <w:r/>
    </w:p>
    <w:p>
      <w:pPr>
        <w:pStyle w:val="926"/>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本授权书于______年____月____日起生效，特此声明。</w:t>
      </w:r>
      <w:r/>
    </w:p>
    <w:p>
      <w:pPr>
        <w:pStyle w:val="926"/>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被授权人身份证号码：</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             </w:t>
      </w:r>
      <w:r/>
    </w:p>
    <w:p>
      <w:pPr>
        <w:pStyle w:val="926"/>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被授权人联系电话：</w:t>
      </w:r>
      <w:r>
        <w:rPr>
          <w:rFonts w:hint="eastAsia"/>
          <w:color w:val="000000" w:themeColor="text1"/>
          <w:sz w:val="21"/>
          <w:szCs w:val="21"/>
          <w:highlight w:val="none"/>
          <w:u w:val="single"/>
          <w14:textFill>
            <w14:solidFill>
              <w14:schemeClr w14:val="tx1"/>
            </w14:solidFill>
          </w14:textFill>
        </w:rPr>
        <w:t xml:space="preserve">  （手机）              </w:t>
      </w:r>
      <w:r>
        <w:rPr>
          <w:rFonts w:hint="eastAsia"/>
          <w:color w:val="000000" w:themeColor="text1"/>
          <w:sz w:val="21"/>
          <w:szCs w:val="21"/>
          <w:highlight w:val="none"/>
          <w14:textFill>
            <w14:solidFill>
              <w14:schemeClr w14:val="tx1"/>
            </w14:solidFill>
          </w14:textFill>
        </w:rPr>
        <w:t xml:space="preserve">                   </w:t>
      </w:r>
      <w:r/>
    </w:p>
    <w:p>
      <w:pPr>
        <w:pStyle w:val="926"/>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授权单位名称：</w:t>
      </w:r>
      <w:r>
        <w:rPr>
          <w:rFonts w:hint="eastAsia"/>
          <w:color w:val="000000" w:themeColor="text1"/>
          <w:sz w:val="21"/>
          <w:szCs w:val="21"/>
          <w:highlight w:val="none"/>
          <w:u w:val="single"/>
          <w14:textFill>
            <w14:solidFill>
              <w14:schemeClr w14:val="tx1"/>
            </w14:solidFill>
          </w14:textFill>
        </w:rPr>
        <w:t xml:space="preserve">（加盖CA电子公章）          </w:t>
      </w:r>
      <w:r/>
    </w:p>
    <w:p>
      <w:pPr>
        <w:pStyle w:val="926"/>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单 位 地 址：</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          </w:t>
      </w:r>
      <w:r/>
    </w:p>
    <w:p>
      <w:pPr>
        <w:pStyle w:val="926"/>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日       期：</w:t>
      </w:r>
      <w:r>
        <w:rPr>
          <w:rFonts w:hint="eastAsia"/>
          <w:color w:val="000000" w:themeColor="text1"/>
          <w:sz w:val="21"/>
          <w:szCs w:val="21"/>
          <w:highlight w:val="none"/>
          <w:u w:val="single"/>
          <w14:textFill>
            <w14:solidFill>
              <w14:schemeClr w14:val="tx1"/>
            </w14:solidFill>
          </w14:textFill>
        </w:rPr>
        <w:t xml:space="preserve">                           </w:t>
      </w:r>
      <w:r/>
    </w:p>
    <w:p>
      <w:pPr>
        <w:pStyle w:val="926"/>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spacing w:line="400" w:lineRule="exact"/>
        <w:rPr>
          <w:color w:val="000000" w:themeColor="text1"/>
          <w:highlight w:val="non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t xml:space="preserve">八、投标函</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致：</w:t>
      </w:r>
      <w:r>
        <w:rPr>
          <w:rFonts w:hint="eastAsia" w:ascii="宋体" w:hAnsi="宋体" w:cs="宋体"/>
          <w:color w:val="000000" w:themeColor="text1"/>
          <w:sz w:val="21"/>
          <w:szCs w:val="21"/>
          <w:highlight w:val="none"/>
          <w:lang w:eastAsia="zh-CN"/>
          <w14:textFill>
            <w14:solidFill>
              <w14:schemeClr w14:val="tx1"/>
            </w14:solidFill>
          </w14:textFill>
        </w:rPr>
        <w:t xml:space="preserve">盐城市亭湖区南洋镇人民政府</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根据贵方的</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号招标文件，正式授权下述签字人______(姓名)代表我方______________（投标人的名称），全权处理本次项目投标的有关事宜。</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据此函，__________签字人兹宣布同意如下：</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1.按招标文件规定的各项要求，向买方提供所需服务（包含与服务相关的货物）。</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2.我们完全理解贵方不一定将合同授予最低报价的投标人。</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7.与本投标有关的正式通讯地址为：</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     址：</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邮    编：</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电     话：</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传     真：</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投标人开户行：</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账     号： </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     期：______年____月____日</w:t>
      </w:r>
      <w:r/>
    </w:p>
    <w:p>
      <w:pPr>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t xml:space="preserve">九、中小微企业声明函（服务）</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w:t>
      </w:r>
      <w:r>
        <w:rPr>
          <w:rFonts w:hint="eastAsia" w:ascii="宋体" w:hAnsi="宋体" w:cs="宋体"/>
          <w:color w:val="000000" w:themeColor="text1"/>
          <w:sz w:val="21"/>
          <w:szCs w:val="21"/>
          <w:highlight w:val="none"/>
          <w14:textFill>
            <w14:solidFill>
              <w14:schemeClr w14:val="tx1"/>
            </w14:solidFill>
          </w14:textFill>
        </w:rPr>
        <w:t xml:space="preserve">公司（联合体）郑重声明，根据《政府采购促进中小企业发展管理办法》(财库[2020]46号)的规定，本公司（联合体）参加盐城市亭湖区公共资源交易中心组织的</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盐城市亭湖区南洋镇人民政府</w:t>
      </w:r>
      <w:r>
        <w:rPr>
          <w:rFonts w:hint="eastAsia" w:ascii="宋体" w:hAnsi="宋体" w:cs="宋体"/>
          <w:color w:val="000000" w:themeColor="text1"/>
          <w:sz w:val="21"/>
          <w:szCs w:val="21"/>
          <w:highlight w:val="none"/>
          <w14:textFill>
            <w14:solidFill>
              <w14:schemeClr w14:val="tx1"/>
            </w14:solidFill>
          </w14:textFill>
        </w:rPr>
        <w:t xml:space="preserve">，采购编号为</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u w:val="single"/>
          <w14:textFill>
            <w14:solidFill>
              <w14:schemeClr w14:val="tx1"/>
            </w14:solidFill>
          </w14:textFill>
        </w:rPr>
        <w:t xml:space="preserve">项目</w:t>
      </w:r>
      <w:r>
        <w:rPr>
          <w:rFonts w:hint="eastAsia" w:ascii="宋体" w:hAnsi="宋体" w:cs="宋体"/>
          <w:color w:val="000000" w:themeColor="text1"/>
          <w:sz w:val="21"/>
          <w:szCs w:val="21"/>
          <w:highlight w:val="none"/>
          <w14:textFill>
            <w14:solidFill>
              <w14:schemeClr w14:val="tx1"/>
            </w14:solidFill>
          </w14:textFill>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i/>
          <w:iCs/>
          <w:color w:val="000000" w:themeColor="text1"/>
          <w:sz w:val="21"/>
          <w:szCs w:val="21"/>
          <w:highlight w:val="none"/>
          <w:u w:val="single"/>
          <w14:textFill>
            <w14:solidFill>
              <w14:schemeClr w14:val="tx1"/>
            </w14:solidFill>
          </w14:textFill>
        </w:rPr>
        <w:t xml:space="preserve">（标的名称）</w:t>
      </w:r>
      <w:r>
        <w:rPr>
          <w:rFonts w:hint="eastAsia" w:ascii="宋体" w:hAnsi="宋体" w:cs="宋体"/>
          <w:color w:val="000000" w:themeColor="text1"/>
          <w:sz w:val="21"/>
          <w:szCs w:val="21"/>
          <w:highlight w:val="none"/>
          <w14:textFill>
            <w14:solidFill>
              <w14:schemeClr w14:val="tx1"/>
            </w14:solidFill>
          </w14:textFill>
        </w:rPr>
        <w:t xml:space="preserve">，属于</w:t>
      </w:r>
      <w:r>
        <w:rPr>
          <w:rFonts w:hint="eastAsia" w:ascii="宋体" w:hAnsi="宋体" w:cs="宋体"/>
          <w:i/>
          <w:iCs/>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cs="宋体"/>
          <w:color w:val="000000" w:themeColor="text1"/>
          <w:sz w:val="21"/>
          <w:szCs w:val="21"/>
          <w:highlight w:val="none"/>
          <w14:textFill>
            <w14:solidFill>
              <w14:schemeClr w14:val="tx1"/>
            </w14:solidFill>
          </w14:textFill>
        </w:rPr>
        <w:t xml:space="preserve">行业；承接企业为（</w:t>
      </w:r>
      <w:r>
        <w:rPr>
          <w:rFonts w:hint="eastAsia" w:ascii="宋体" w:hAnsi="宋体" w:cs="宋体"/>
          <w:i/>
          <w:iCs/>
          <w:color w:val="000000" w:themeColor="text1"/>
          <w:sz w:val="21"/>
          <w:szCs w:val="21"/>
          <w:highlight w:val="none"/>
          <w:u w:val="single"/>
          <w14:textFill>
            <w14:solidFill>
              <w14:schemeClr w14:val="tx1"/>
            </w14:solidFill>
          </w14:textFill>
        </w:rPr>
        <w:t xml:space="preserve">企业名称</w:t>
      </w:r>
      <w:r>
        <w:rPr>
          <w:rFonts w:hint="eastAsia" w:ascii="宋体" w:hAnsi="宋体" w:cs="宋体"/>
          <w:color w:val="000000" w:themeColor="text1"/>
          <w:sz w:val="21"/>
          <w:szCs w:val="21"/>
          <w:highlight w:val="none"/>
          <w14:textFill>
            <w14:solidFill>
              <w14:schemeClr w14:val="tx1"/>
            </w14:solidFill>
          </w14:textFill>
        </w:rPr>
        <w:t xml:space="preserve">），从业人员</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人，营业收入为</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万元，资产总额为</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万元，属于（</w:t>
      </w:r>
      <w:r>
        <w:rPr>
          <w:rFonts w:hint="eastAsia" w:ascii="宋体" w:hAnsi="宋体" w:cs="宋体"/>
          <w:i/>
          <w:iCs/>
          <w:color w:val="000000" w:themeColor="text1"/>
          <w:sz w:val="21"/>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i/>
          <w:iCs/>
          <w:color w:val="000000" w:themeColor="text1"/>
          <w:sz w:val="21"/>
          <w:szCs w:val="21"/>
          <w:highlight w:val="none"/>
          <w:u w:val="single"/>
          <w14:textFill>
            <w14:solidFill>
              <w14:schemeClr w14:val="tx1"/>
            </w14:solidFill>
          </w14:textFill>
        </w:rPr>
        <w:t xml:space="preserve">（标的名称）</w:t>
      </w:r>
      <w:r>
        <w:rPr>
          <w:rFonts w:hint="eastAsia" w:ascii="宋体" w:hAnsi="宋体" w:cs="宋体"/>
          <w:color w:val="000000" w:themeColor="text1"/>
          <w:sz w:val="21"/>
          <w:szCs w:val="21"/>
          <w:highlight w:val="none"/>
          <w14:textFill>
            <w14:solidFill>
              <w14:schemeClr w14:val="tx1"/>
            </w14:solidFill>
          </w14:textFill>
        </w:rPr>
        <w:t xml:space="preserve">，属于</w:t>
      </w:r>
      <w:r>
        <w:rPr>
          <w:rFonts w:hint="eastAsia" w:ascii="宋体" w:hAnsi="宋体" w:cs="宋体"/>
          <w:i/>
          <w:iCs/>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cs="宋体"/>
          <w:color w:val="000000" w:themeColor="text1"/>
          <w:sz w:val="21"/>
          <w:szCs w:val="21"/>
          <w:highlight w:val="none"/>
          <w14:textFill>
            <w14:solidFill>
              <w14:schemeClr w14:val="tx1"/>
            </w14:solidFill>
          </w14:textFill>
        </w:rPr>
        <w:t xml:space="preserve">行业；承接企业为（</w:t>
      </w:r>
      <w:r>
        <w:rPr>
          <w:rFonts w:hint="eastAsia" w:ascii="宋体" w:hAnsi="宋体" w:cs="宋体"/>
          <w:i/>
          <w:iCs/>
          <w:color w:val="000000" w:themeColor="text1"/>
          <w:sz w:val="21"/>
          <w:szCs w:val="21"/>
          <w:highlight w:val="none"/>
          <w:u w:val="single"/>
          <w14:textFill>
            <w14:solidFill>
              <w14:schemeClr w14:val="tx1"/>
            </w14:solidFill>
          </w14:textFill>
        </w:rPr>
        <w:t xml:space="preserve">企业名称</w:t>
      </w:r>
      <w:r>
        <w:rPr>
          <w:rFonts w:hint="eastAsia" w:ascii="宋体" w:hAnsi="宋体" w:cs="宋体"/>
          <w:color w:val="000000" w:themeColor="text1"/>
          <w:sz w:val="21"/>
          <w:szCs w:val="21"/>
          <w:highlight w:val="none"/>
          <w14:textFill>
            <w14:solidFill>
              <w14:schemeClr w14:val="tx1"/>
            </w14:solidFill>
          </w14:textFill>
        </w:rPr>
        <w:t xml:space="preserve">），从业人员</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人，营业收入为</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万元，资产总额为</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万元，属于（</w:t>
      </w:r>
      <w:r>
        <w:rPr>
          <w:rFonts w:hint="eastAsia" w:ascii="宋体" w:hAnsi="宋体" w:cs="宋体"/>
          <w:i/>
          <w:iCs/>
          <w:color w:val="000000" w:themeColor="text1"/>
          <w:sz w:val="21"/>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ind w:firstLine="420"/>
        <w:jc w:val="right"/>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企业名称（加盖CA电子公章）：        </w:t>
      </w:r>
      <w:r/>
    </w:p>
    <w:p>
      <w:pPr>
        <w:ind w:firstLine="420"/>
        <w:jc w:val="right"/>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  期：        </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备注1：从业人员、营业收入、资产总额填报上一年度数据，无上一年度数据的新成立企业可不填报。</w:t>
      </w:r>
      <w:r/>
    </w:p>
    <w:p>
      <w:pPr>
        <w:ind w:firstLine="420"/>
        <w:spacing w:line="400" w:lineRule="exact"/>
        <w:rPr>
          <w:rFonts w:ascii="宋体" w:hAnsi="宋体" w:cs="宋体"/>
          <w:i/>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备注2：投标人如不提供此声明函，价格将不做相应扣除（如项目全面面向中小企业，则资格审查不通过）。</w:t>
      </w:r>
      <w:r/>
    </w:p>
    <w:p>
      <w:pPr>
        <w:widowControl/>
        <w:rPr>
          <w:rFonts w:ascii="黑体" w:hAnsi="黑体" w:eastAsia="黑体" w:cs="黑体"/>
          <w:i/>
          <w:color w:val="000000" w:themeColor="text1"/>
          <w:sz w:val="32"/>
          <w:szCs w:val="32"/>
          <w:highlight w:val="none"/>
          <w14:textFill>
            <w14:solidFill>
              <w14:schemeClr w14:val="tx1"/>
            </w14:solidFill>
          </w14:textFill>
        </w:rPr>
      </w:pPr>
      <w:r>
        <w:rPr>
          <w:rFonts w:ascii="黑体" w:hAnsi="黑体" w:eastAsia="黑体" w:cs="黑体"/>
          <w:i/>
          <w:color w:val="000000" w:themeColor="text1"/>
          <w:sz w:val="32"/>
          <w:szCs w:val="32"/>
          <w:highlight w:val="none"/>
          <w14:textFill>
            <w14:solidFill>
              <w14:schemeClr w14:val="tx1"/>
            </w14:solidFill>
          </w14:textFill>
        </w:rPr>
      </w:r>
      <w:r/>
    </w:p>
    <w:p>
      <w:pPr>
        <w:pStyle w:val="766"/>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pStyle w:val="766"/>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pStyle w:val="766"/>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pStyle w:val="766"/>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pStyle w:val="766"/>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pStyle w:val="766"/>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br w:type="page" w:clear="all"/>
      </w:r>
      <w:r/>
    </w:p>
    <w:p>
      <w:pPr>
        <w:pStyle w:val="766"/>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pStyle w:val="766"/>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十、残疾人福利性单位声明函</w:t>
      </w:r>
      <w:r/>
    </w:p>
    <w:p>
      <w:pPr>
        <w:pStyle w:val="766"/>
        <w:ind w:firstLine="420"/>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盐城市亭湖区南洋镇人民政府</w:t>
      </w:r>
      <w:r>
        <w:rPr>
          <w:rFonts w:hint="eastAsia" w:ascii="宋体" w:hAnsi="宋体" w:cs="宋体"/>
          <w:color w:val="000000" w:themeColor="text1"/>
          <w:sz w:val="21"/>
          <w:szCs w:val="21"/>
          <w:highlight w:val="none"/>
          <w14:textFill>
            <w14:solidFill>
              <w14:schemeClr w14:val="tx1"/>
            </w14:solidFill>
          </w14:textFill>
        </w:rPr>
        <w:t xml:space="preserve">单位的采购文件编号为</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号</w:t>
      </w:r>
      <w:r>
        <w:rPr>
          <w:rFonts w:hint="eastAsia" w:ascii="宋体" w:hAnsi="宋体" w:cs="宋体"/>
          <w:color w:val="000000" w:themeColor="text1"/>
          <w:sz w:val="21"/>
          <w:szCs w:val="21"/>
          <w:highlight w:val="none"/>
          <w14:textFill>
            <w14:solidFill>
              <w14:schemeClr w14:val="tx1"/>
            </w14:solidFill>
          </w14:textFill>
        </w:rPr>
        <w:t xml:space="preserve">的</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项目采购活动由本单位提供服务。</w:t>
      </w:r>
      <w:r/>
    </w:p>
    <w:p>
      <w:pPr>
        <w:pStyle w:val="766"/>
        <w:ind w:firstLine="420"/>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766"/>
        <w:ind w:firstLine="420"/>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pStyle w:val="766"/>
        <w:ind w:firstLine="420"/>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备注：1、投标人如不提供此声明函，价格将不做相应扣除（如项目全面面向中小企业，则资格审查不通过）。2、中标人为残疾人福利单位的，此声明函将随中标结果同时公告，接受社会监督</w:t>
      </w:r>
      <w:r/>
    </w:p>
    <w:p>
      <w:pPr>
        <w:pStyle w:val="766"/>
        <w:ind w:firstLine="420"/>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pStyle w:val="766"/>
        <w:jc w:val="center"/>
        <w:spacing w:beforeAutospacing="0" w:afterAutospacing="0" w:line="400" w:lineRule="exact"/>
        <w:tabs>
          <w:tab w:val="left" w:pos="4864"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企业名称（加盖CA电子公章）：</w:t>
      </w:r>
      <w:r/>
    </w:p>
    <w:p>
      <w:pPr>
        <w:pStyle w:val="766"/>
        <w:ind w:right="1560" w:firstLine="420"/>
        <w:jc w:val="center"/>
        <w:spacing w:beforeAutospacing="0" w:afterAutospacing="0" w:line="400" w:lineRule="exact"/>
        <w:tabs>
          <w:tab w:val="left" w:pos="4864"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pStyle w:val="766"/>
        <w:ind w:right="1560" w:firstLine="420"/>
        <w:jc w:val="center"/>
        <w:spacing w:beforeAutospacing="0" w:afterAutospacing="0" w:line="400" w:lineRule="exact"/>
        <w:tabs>
          <w:tab w:val="left" w:pos="4864"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日  期：</w:t>
      </w:r>
      <w:r/>
    </w:p>
    <w:p>
      <w:pPr>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spacing w:line="400" w:lineRule="exact"/>
        <w:rPr>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t xml:space="preserve">十一、技术条款响应及偏离表</w:t>
      </w:r>
      <w:r/>
    </w:p>
    <w:tbl>
      <w:tblPr>
        <w:tblStyle w:val="7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289"/>
        <w:gridCol w:w="1523"/>
        <w:gridCol w:w="2208"/>
        <w:gridCol w:w="1699"/>
      </w:tblGrid>
      <w:tr>
        <w:trPr/>
        <w:tc>
          <w:tcPr>
            <w:tcW w:w="796"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黑体"/>
                <w:color w:val="000000" w:themeColor="text1"/>
                <w:sz w:val="21"/>
                <w:szCs w:val="21"/>
                <w:highlight w:val="none"/>
                <w14:textFill>
                  <w14:solidFill>
                    <w14:schemeClr w14:val="tx1"/>
                  </w14:solidFill>
                </w14:textFill>
              </w:rPr>
              <w:t xml:space="preserve">序号</w:t>
            </w:r>
            <w:r/>
          </w:p>
        </w:tc>
        <w:tc>
          <w:tcPr>
            <w:tcW w:w="2289"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招标文件要求</w:t>
            </w:r>
            <w:r/>
          </w:p>
        </w:tc>
        <w:tc>
          <w:tcPr>
            <w:tcW w:w="1523"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招标响应情况</w:t>
            </w:r>
            <w:r/>
          </w:p>
        </w:tc>
        <w:tc>
          <w:tcPr>
            <w:tcW w:w="2208"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超出、符合或偏离</w:t>
            </w:r>
            <w:r/>
          </w:p>
        </w:tc>
        <w:tc>
          <w:tcPr>
            <w:tcW w:w="1699"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证明材料</w:t>
            </w:r>
            <w:r/>
          </w:p>
        </w:tc>
      </w:tr>
      <w:tr>
        <w:trPr/>
        <w:tc>
          <w:tcPr>
            <w:tcW w:w="796"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523"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r>
        <w:trPr/>
        <w:tc>
          <w:tcPr>
            <w:tcW w:w="796"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523"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r>
        <w:trPr/>
        <w:tc>
          <w:tcPr>
            <w:tcW w:w="796"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t xml:space="preserve">……</w:t>
            </w:r>
            <w:r/>
          </w:p>
        </w:tc>
        <w:tc>
          <w:tcPr>
            <w:tcW w:w="1523"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bl>
    <w:p>
      <w:pPr>
        <w:ind w:firstLine="440"/>
        <w:rPr>
          <w:rFonts w:ascii="黑体" w:hAnsi="黑体" w:eastAsia="黑体" w:cs="黑体"/>
          <w:iCs/>
          <w:color w:val="000000" w:themeColor="text1"/>
          <w:szCs w:val="28"/>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注： 行数不够，可自行添加。</w:t>
      </w:r>
      <w:r/>
    </w:p>
    <w:p>
      <w:pPr>
        <w:jc w:val="center"/>
        <w:spacing w:line="400" w:lineRule="exact"/>
        <w:rPr>
          <w:rFonts w:ascii="黑体" w:hAnsi="黑体" w:eastAsia="黑体" w:cs="黑体"/>
          <w:iCs/>
          <w:color w:val="000000" w:themeColor="text1"/>
          <w:szCs w:val="28"/>
          <w:highlight w:val="none"/>
          <w14:textFill>
            <w14:solidFill>
              <w14:schemeClr w14:val="tx1"/>
            </w14:solidFill>
          </w14:textFill>
        </w:rPr>
      </w:pPr>
      <w:r>
        <w:rPr>
          <w:rFonts w:ascii="黑体" w:hAnsi="黑体" w:eastAsia="黑体" w:cs="黑体"/>
          <w:iCs/>
          <w:color w:val="000000" w:themeColor="text1"/>
          <w:szCs w:val="28"/>
          <w:highlight w:val="none"/>
          <w14:textFill>
            <w14:solidFill>
              <w14:schemeClr w14:val="tx1"/>
            </w14:solidFill>
          </w14:textFill>
        </w:rPr>
      </w:r>
      <w:r/>
    </w:p>
    <w:p>
      <w:pPr>
        <w:jc w:val="center"/>
        <w:spacing w:line="400" w:lineRule="exact"/>
        <w:rPr>
          <w:color w:val="000000" w:themeColor="text1"/>
          <w:sz w:val="24"/>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t xml:space="preserve">十二、商务条款响应及偏离表</w:t>
      </w:r>
      <w:r/>
    </w:p>
    <w:tbl>
      <w:tblPr>
        <w:tblStyle w:val="7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289"/>
        <w:gridCol w:w="1523"/>
        <w:gridCol w:w="2208"/>
        <w:gridCol w:w="1699"/>
      </w:tblGrid>
      <w:tr>
        <w:trPr/>
        <w:tc>
          <w:tcPr>
            <w:tcW w:w="796"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黑体"/>
                <w:color w:val="000000" w:themeColor="text1"/>
                <w:sz w:val="21"/>
                <w:szCs w:val="21"/>
                <w:highlight w:val="none"/>
                <w14:textFill>
                  <w14:solidFill>
                    <w14:schemeClr w14:val="tx1"/>
                  </w14:solidFill>
                </w14:textFill>
              </w:rPr>
              <w:t xml:space="preserve">序号</w:t>
            </w:r>
            <w:r/>
          </w:p>
        </w:tc>
        <w:tc>
          <w:tcPr>
            <w:tcW w:w="2289"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招标文件要求</w:t>
            </w:r>
            <w:r/>
          </w:p>
        </w:tc>
        <w:tc>
          <w:tcPr>
            <w:tcW w:w="1523"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招标响应情况</w:t>
            </w:r>
            <w:r/>
          </w:p>
        </w:tc>
        <w:tc>
          <w:tcPr>
            <w:tcW w:w="2208"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超出、符合或偏离</w:t>
            </w:r>
            <w:r/>
          </w:p>
        </w:tc>
        <w:tc>
          <w:tcPr>
            <w:tcW w:w="1699"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证明材料</w:t>
            </w:r>
            <w:r/>
          </w:p>
        </w:tc>
      </w:tr>
      <w:tr>
        <w:trPr/>
        <w:tc>
          <w:tcPr>
            <w:tcW w:w="796"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523"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r>
        <w:trPr/>
        <w:tc>
          <w:tcPr>
            <w:tcW w:w="796"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523"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r>
        <w:trPr/>
        <w:tc>
          <w:tcPr>
            <w:tcW w:w="796"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t xml:space="preserve">……</w:t>
            </w:r>
            <w:r/>
          </w:p>
        </w:tc>
        <w:tc>
          <w:tcPr>
            <w:tcW w:w="1523"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66"/>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bl>
    <w:p>
      <w:pPr>
        <w:pStyle w:val="926"/>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注： 行数不够，可自行添加。</w:t>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spacing w:line="400" w:lineRule="exact"/>
        <w:rPr>
          <w:rFonts w:ascii="宋体" w:hAnsi="宋体" w:cs="宋体"/>
          <w:color w:val="000000" w:themeColor="text1"/>
          <w:sz w:val="32"/>
          <w:szCs w:val="32"/>
          <w:highlight w:val="non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t xml:space="preserve">十三、开标一览表</w:t>
      </w:r>
      <w:r/>
    </w:p>
    <w:p>
      <w:pPr>
        <w:pStyle w:val="926"/>
        <w:spacing w:line="28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投标人全称（加盖CA电子签章）：</w:t>
      </w:r>
      <w:r/>
    </w:p>
    <w:p>
      <w:pPr>
        <w:pStyle w:val="926"/>
        <w:spacing w:line="28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项目名称：</w:t>
      </w:r>
      <w:r/>
    </w:p>
    <w:p>
      <w:pPr>
        <w:pStyle w:val="926"/>
        <w:spacing w:line="280" w:lineRule="exact"/>
        <w:rPr>
          <w:color w:val="000000" w:themeColor="text1"/>
          <w:szCs w:val="24"/>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招标编号：</w:t>
      </w:r>
      <w:r>
        <w:rPr>
          <w:rFonts w:hint="eastAsia"/>
          <w:color w:val="000000" w:themeColor="text1"/>
          <w:szCs w:val="24"/>
          <w:highlight w:val="none"/>
          <w14:textFill>
            <w14:solidFill>
              <w14:schemeClr w14:val="tx1"/>
            </w14:solidFill>
          </w14:textFill>
        </w:rPr>
        <w:t xml:space="preserve"> </w:t>
      </w:r>
      <w:r/>
    </w:p>
    <w:tbl>
      <w:tblPr>
        <w:tblStyle w:val="742"/>
        <w:tblW w:w="9501"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01"/>
      </w:tblGrid>
      <w:tr>
        <w:trPr>
          <w:cantSplit/>
          <w:trHeight w:val="821"/>
        </w:trPr>
        <w:tc>
          <w:tcPr>
            <w:tcW w:w="9501" w:type="dxa"/>
            <w:vAlign w:val="center"/>
            <w:textDirection w:val="lrTb"/>
            <w:noWrap w:val="false"/>
          </w:tcPr>
          <w:p>
            <w:pPr>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项目投标报价：（大写）</w:t>
            </w:r>
            <w:r>
              <w:rPr>
                <w:rFonts w:hint="eastAsia" w:ascii="宋体" w:hAnsi="宋体" w:cs="宋体"/>
                <w:b/>
                <w:bCs/>
                <w:color w:val="000000" w:themeColor="text1"/>
                <w:sz w:val="21"/>
                <w:szCs w:val="21"/>
                <w:highlight w:val="none"/>
                <w:u w:val="single"/>
                <w14:textFill>
                  <w14:solidFill>
                    <w14:schemeClr w14:val="tx1"/>
                  </w14:solidFill>
                </w14:textFill>
              </w:rPr>
              <w:t xml:space="preserve">                        </w:t>
            </w:r>
            <w:r>
              <w:rPr>
                <w:rFonts w:hint="eastAsia" w:ascii="宋体" w:hAnsi="宋体" w:cs="宋体"/>
                <w:b/>
                <w:bCs/>
                <w:color w:val="000000" w:themeColor="text1"/>
                <w:sz w:val="21"/>
                <w:szCs w:val="21"/>
                <w:highlight w:val="none"/>
                <w14:textFill>
                  <w14:solidFill>
                    <w14:schemeClr w14:val="tx1"/>
                  </w14:solidFill>
                </w14:textFill>
              </w:rPr>
              <w:t xml:space="preserve">，小写：</w:t>
            </w:r>
            <w:r>
              <w:rPr>
                <w:rFonts w:hint="eastAsia" w:ascii="宋体" w:hAnsi="宋体" w:cs="宋体"/>
                <w:b/>
                <w:bCs/>
                <w:i/>
                <w:iCs/>
                <w:color w:val="000000" w:themeColor="text1"/>
                <w:sz w:val="21"/>
                <w:szCs w:val="21"/>
                <w:highlight w:val="none"/>
                <w:u w:val="single"/>
                <w14:textFill>
                  <w14:solidFill>
                    <w14:schemeClr w14:val="tx1"/>
                  </w14:solidFill>
                </w14:textFill>
              </w:rPr>
              <w:t xml:space="preserve">               </w:t>
            </w:r>
            <w:r>
              <w:rPr>
                <w:rFonts w:hint="eastAsia" w:ascii="宋体" w:hAnsi="宋体" w:cs="宋体"/>
                <w:b/>
                <w:bCs/>
                <w:color w:val="000000" w:themeColor="text1"/>
                <w:sz w:val="21"/>
                <w:szCs w:val="21"/>
                <w:highlight w:val="none"/>
                <w14:textFill>
                  <w14:solidFill>
                    <w14:schemeClr w14:val="tx1"/>
                  </w14:solidFill>
                </w14:textFill>
              </w:rPr>
              <w:t xml:space="preserve"> </w:t>
            </w:r>
            <w:r/>
          </w:p>
        </w:tc>
      </w:tr>
      <w:tr>
        <w:trPr>
          <w:cantSplit/>
          <w:trHeight w:val="821"/>
        </w:trPr>
        <w:tc>
          <w:tcPr>
            <w:tcW w:w="9501" w:type="dxa"/>
            <w:vAlign w:val="center"/>
            <w:textDirection w:val="lrTb"/>
            <w:noWrap w:val="false"/>
          </w:tcPr>
          <w:p>
            <w:pPr>
              <w:spacing w:line="400" w:lineRule="exac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是否提供《企业类型声明函》：</w:t>
            </w:r>
            <w:r>
              <w:rPr>
                <w:rFonts w:hint="eastAsia" w:ascii="宋体" w:hAnsi="宋体" w:cs="宋体"/>
                <w:b/>
                <w:bCs/>
                <w:color w:val="000000" w:themeColor="text1"/>
                <w:sz w:val="21"/>
                <w:szCs w:val="21"/>
                <w:highlight w:val="none"/>
                <w:u w:val="single"/>
                <w14:textFill>
                  <w14:solidFill>
                    <w14:schemeClr w14:val="tx1"/>
                  </w14:solidFill>
                </w14:textFill>
              </w:rPr>
              <w:t xml:space="preserve">  是/否   </w:t>
            </w:r>
            <w:r>
              <w:rPr>
                <w:rFonts w:hint="eastAsia" w:ascii="宋体" w:hAnsi="宋体" w:cs="宋体"/>
                <w:b/>
                <w:bCs/>
                <w:color w:val="000000" w:themeColor="text1"/>
                <w:sz w:val="21"/>
                <w:szCs w:val="21"/>
                <w:highlight w:val="none"/>
                <w14:textFill>
                  <w14:solidFill>
                    <w14:schemeClr w14:val="tx1"/>
                  </w14:solidFill>
                </w14:textFill>
              </w:rPr>
              <w:t xml:space="preserve">           见</w:t>
            </w:r>
            <w:r>
              <w:rPr>
                <w:rFonts w:hint="eastAsia" w:ascii="宋体" w:hAnsi="宋体" w:cs="宋体"/>
                <w:b/>
                <w:bCs/>
                <w:color w:val="000000" w:themeColor="text1"/>
                <w:sz w:val="21"/>
                <w:szCs w:val="21"/>
                <w:highlight w:val="none"/>
                <w:u w:val="single"/>
                <w14:textFill>
                  <w14:solidFill>
                    <w14:schemeClr w14:val="tx1"/>
                  </w14:solidFill>
                </w14:textFill>
              </w:rPr>
              <w:t xml:space="preserve">（          ）</w:t>
            </w:r>
            <w:r>
              <w:rPr>
                <w:rFonts w:hint="eastAsia" w:ascii="宋体" w:hAnsi="宋体" w:cs="宋体"/>
                <w:b/>
                <w:bCs/>
                <w:color w:val="000000" w:themeColor="text1"/>
                <w:sz w:val="21"/>
                <w:szCs w:val="21"/>
                <w:highlight w:val="none"/>
                <w14:textFill>
                  <w14:solidFill>
                    <w14:schemeClr w14:val="tx1"/>
                  </w14:solidFill>
                </w14:textFill>
              </w:rPr>
              <w:t xml:space="preserve">页</w:t>
            </w:r>
            <w:r/>
          </w:p>
        </w:tc>
      </w:tr>
      <w:tr>
        <w:trPr>
          <w:cantSplit/>
          <w:trHeight w:val="807"/>
        </w:trPr>
        <w:tc>
          <w:tcPr>
            <w:tcW w:w="9501" w:type="dxa"/>
            <w:vAlign w:val="center"/>
            <w:textDirection w:val="lrTb"/>
            <w:noWrap w:val="false"/>
          </w:tcPr>
          <w:p>
            <w:pPr>
              <w:spacing w:line="400" w:lineRule="exact"/>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服务期：</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1年</w:t>
            </w:r>
            <w:r/>
          </w:p>
        </w:tc>
      </w:tr>
    </w:tbl>
    <w:p>
      <w:pPr>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填写说明：</w:t>
      </w:r>
      <w:r/>
    </w:p>
    <w:p>
      <w:pPr>
        <w:numPr>
          <w:ilvl w:val="0"/>
          <w:numId w:val="11"/>
        </w:numPr>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开标一览表不得填报选择性报价，否则将作为无效投标；</w:t>
      </w:r>
      <w:r/>
    </w:p>
    <w:p>
      <w:pPr>
        <w:numPr>
          <w:ilvl w:val="0"/>
          <w:numId w:val="11"/>
        </w:numPr>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开标一览表中报价与投标分项明细报价表中不符时时，以开标一览表为准；</w:t>
      </w:r>
      <w:r/>
    </w:p>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2640"/>
        <w:spacing w:line="400" w:lineRule="exact"/>
        <w:rPr>
          <w:rFonts w:ascii="宋体" w:hAnsi="宋体" w:cs="宋体"/>
          <w:color w:val="000000" w:themeColor="text1"/>
          <w:sz w:val="44"/>
          <w:highlight w:val="none"/>
          <w14:textFill>
            <w14:solidFill>
              <w14:schemeClr w14:val="tx1"/>
            </w14:solidFill>
          </w14:textFill>
        </w:rPr>
      </w:pPr>
      <w:r>
        <w:rPr>
          <w:rFonts w:ascii="宋体" w:hAnsi="宋体" w:cs="宋体"/>
          <w:color w:val="000000" w:themeColor="text1"/>
          <w:sz w:val="44"/>
          <w:highlight w:val="none"/>
          <w14:textFill>
            <w14:solidFill>
              <w14:schemeClr w14:val="tx1"/>
            </w14:solidFill>
          </w14:textFill>
        </w:rPr>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26"/>
        <w:ind w:firstLine="480"/>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26"/>
        <w:ind w:firstLine="480"/>
        <w:jc w:val="right"/>
        <w:spacing w:line="400" w:lineRule="exact"/>
        <w:rPr>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  日期：</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年</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月</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日</w:t>
      </w:r>
      <w:r/>
    </w:p>
    <w:p>
      <w:pPr>
        <w:pStyle w:val="926"/>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cs="宋体"/>
          <w:sz w:val="24"/>
          <w:szCs w:val="24"/>
          <w:highlight w:val="none"/>
          <w14:textFill>
            <w14:solidFill>
              <w14:schemeClr w14:val="tx1"/>
            </w14:solidFill>
          </w14:textFill>
        </w:rPr>
      </w:pPr>
      <w:r>
        <w:rPr>
          <w:rFonts w:hint="eastAsia" w:ascii="黑体" w:hAnsi="黑体" w:eastAsia="黑体" w:cs="黑体"/>
          <w:iCs/>
          <w:color w:val="000000" w:themeColor="text1"/>
          <w:sz w:val="32"/>
          <w:szCs w:val="32"/>
          <w:highlight w:val="none"/>
          <w14:textFill>
            <w14:solidFill>
              <w14:schemeClr w14:val="tx1"/>
            </w14:solidFill>
          </w14:textFill>
        </w:rPr>
      </w:r>
      <w:r>
        <w:rPr>
          <w:rFonts w:hint="eastAsia" w:ascii="黑体" w:hAnsi="黑体" w:eastAsia="黑体" w:cs="黑体"/>
          <w:iCs/>
          <w:color w:val="000000" w:themeColor="text1"/>
          <w:sz w:val="32"/>
          <w:szCs w:val="32"/>
          <w:highlight w:val="none"/>
          <w14:textFill>
            <w14:solidFill>
              <w14:schemeClr w14:val="tx1"/>
            </w14:solidFill>
          </w14:textFill>
        </w:rPr>
      </w:r>
    </w:p>
    <w:p>
      <w:pPr>
        <w:rPr>
          <w:rFonts w:hint="eastAsia" w:ascii="黑体" w:hAnsi="黑体" w:eastAsia="黑体" w:cs="黑体"/>
          <w:sz w:val="32"/>
          <w:szCs w:val="32"/>
          <w:highlight w:val="none"/>
          <w14:textFill>
            <w14:solidFill>
              <w14:schemeClr w14:val="tx1"/>
            </w14:solidFill>
          </w14:textFill>
        </w:rPr>
      </w:pPr>
      <w:r>
        <w:rPr>
          <w:rFonts w:hint="eastAsia" w:ascii="黑体" w:hAnsi="黑体" w:eastAsia="黑体" w:cs="黑体"/>
          <w:iCs/>
          <w:color w:val="000000" w:themeColor="text1"/>
          <w:sz w:val="32"/>
          <w:szCs w:val="32"/>
          <w:highlight w:val="none"/>
          <w14:textFill>
            <w14:solidFill>
              <w14:schemeClr w14:val="tx1"/>
            </w14:solidFill>
          </w14:textFill>
        </w:rPr>
      </w:r>
      <w:r>
        <w:rPr>
          <w:rFonts w:hint="eastAsia" w:ascii="黑体" w:hAnsi="黑体" w:eastAsia="黑体" w:cs="黑体"/>
          <w:iCs/>
          <w:color w:val="000000" w:themeColor="text1"/>
          <w:sz w:val="32"/>
          <w:szCs w:val="32"/>
          <w:highlight w:val="none"/>
          <w14:textFill>
            <w14:solidFill>
              <w14:schemeClr w14:val="tx1"/>
            </w14:solidFill>
          </w14:textFill>
        </w:rPr>
      </w:r>
    </w:p>
    <w:p>
      <w:pPr>
        <w:rPr>
          <w:rFonts w:hint="eastAsia" w:ascii="黑体" w:hAnsi="黑体" w:eastAsia="黑体" w:cs="黑体"/>
          <w:sz w:val="32"/>
          <w:szCs w:val="32"/>
          <w:highlight w:val="none"/>
          <w14:textFill>
            <w14:solidFill>
              <w14:schemeClr w14:val="tx1"/>
            </w14:solidFill>
          </w14:textFill>
        </w:rPr>
      </w:pPr>
      <w:r>
        <w:rPr>
          <w:rFonts w:hint="eastAsia" w:ascii="黑体" w:hAnsi="黑体" w:eastAsia="黑体" w:cs="黑体"/>
          <w:iCs/>
          <w:color w:val="000000" w:themeColor="text1"/>
          <w:sz w:val="32"/>
          <w:szCs w:val="32"/>
          <w:highlight w:val="none"/>
          <w14:textFill>
            <w14:solidFill>
              <w14:schemeClr w14:val="tx1"/>
            </w14:solidFill>
          </w14:textFill>
        </w:rPr>
      </w:r>
      <w:r>
        <w:rPr>
          <w:rFonts w:hint="eastAsia" w:ascii="黑体" w:hAnsi="黑体" w:eastAsia="黑体" w:cs="黑体"/>
          <w:iCs/>
          <w:color w:val="000000" w:themeColor="text1"/>
          <w:sz w:val="32"/>
          <w:szCs w:val="32"/>
          <w:highlight w:val="none"/>
          <w14:textFill>
            <w14:solidFill>
              <w14:schemeClr w14:val="tx1"/>
            </w14:solidFill>
          </w14:textFill>
        </w:rPr>
      </w:r>
    </w:p>
    <w:p>
      <w:pPr>
        <w:jc w:val="center"/>
        <w:rPr>
          <w:rFonts w:hint="eastAsia" w:ascii="黑体" w:hAnsi="黑体" w:eastAsia="黑体" w:cs="黑体"/>
          <w:sz w:val="32"/>
          <w:szCs w:val="32"/>
          <w:highlight w:val="none"/>
          <w14:textFill>
            <w14:solidFill>
              <w14:schemeClr w14:val="tx1"/>
            </w14:solidFill>
          </w14:textFill>
        </w:rPr>
      </w:pPr>
      <w:r/>
      <w:r>
        <w:rPr>
          <w:rFonts w:hint="eastAsia" w:ascii="黑体" w:hAnsi="黑体" w:eastAsia="黑体" w:cs="黑体"/>
          <w:iCs/>
          <w:color w:val="000000" w:themeColor="text1"/>
          <w:sz w:val="32"/>
          <w:szCs w:val="32"/>
          <w:highlight w:val="none"/>
          <w14:textFill>
            <w14:solidFill>
              <w14:schemeClr w14:val="tx1"/>
            </w14:solidFill>
          </w14:textFill>
        </w:rPr>
        <w:t xml:space="preserve">十四、分项明细报价表</w:t>
      </w:r>
      <w:r/>
      <w:r>
        <w:rPr>
          <w:rFonts w:ascii="宋体" w:hAnsi="宋体" w:cs="宋体"/>
          <w:color w:val="000000" w:themeColor="text1"/>
          <w:sz w:val="24"/>
          <w:highlight w:val="none"/>
          <w14:textFill>
            <w14:solidFill>
              <w14:schemeClr w14:val="tx1"/>
            </w14:solidFill>
          </w14:textFill>
        </w:rP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投标人全称（加盖CA电子签章）：</w:t>
      </w:r>
      <w:r/>
    </w:p>
    <w:p>
      <w:pPr>
        <w:pStyle w:val="76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bl>
      <w:tblPr>
        <w:tblStyle w:val="742"/>
        <w:tblW w:w="9887" w:type="dxa"/>
        <w:tblInd w:w="-4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2162"/>
        <w:gridCol w:w="975"/>
        <w:gridCol w:w="1113"/>
        <w:gridCol w:w="887"/>
        <w:gridCol w:w="1088"/>
        <w:gridCol w:w="3037"/>
      </w:tblGrid>
      <w:tr>
        <w:trPr>
          <w:trHeight w:val="474"/>
        </w:trPr>
        <w:tc>
          <w:tcPr>
            <w:tcW w:w="625"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0"/>
                <w:szCs w:val="20"/>
                <w14:textFill>
                  <w14:solidFill>
                    <w14:schemeClr w14:val="tx1"/>
                  </w14:solidFill>
                </w14:textFill>
                <w14:ligatures w14:val="none"/>
              </w:rPr>
            </w:pPr>
            <w:r>
              <w:rPr>
                <w:rFonts w:hint="eastAsia" w:ascii="宋体" w:hAnsi="宋体" w:eastAsia="宋体" w:cs="宋体"/>
                <w:b/>
                <w:bCs/>
                <w:color w:val="000000" w:themeColor="text1"/>
                <w:sz w:val="20"/>
                <w:szCs w:val="20"/>
                <w14:textFill>
                  <w14:solidFill>
                    <w14:schemeClr w14:val="tx1"/>
                  </w14:solidFill>
                </w14:textFill>
                <w14:ligatures w14:val="none"/>
              </w:rPr>
              <w:t xml:space="preserve">序号</w:t>
            </w:r>
            <w:r/>
          </w:p>
        </w:tc>
        <w:tc>
          <w:tcPr>
            <w:tcW w:w="2162"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0"/>
                <w:szCs w:val="20"/>
                <w14:textFill>
                  <w14:solidFill>
                    <w14:schemeClr w14:val="tx1"/>
                  </w14:solidFill>
                </w14:textFill>
                <w14:ligatures w14:val="none"/>
              </w:rPr>
            </w:pPr>
            <w:r>
              <w:rPr>
                <w:rFonts w:hint="eastAsia" w:ascii="宋体" w:hAnsi="宋体" w:eastAsia="宋体" w:cs="宋体"/>
                <w:b/>
                <w:bCs/>
                <w:color w:val="000000" w:themeColor="text1"/>
                <w:sz w:val="20"/>
                <w:szCs w:val="20"/>
                <w14:textFill>
                  <w14:solidFill>
                    <w14:schemeClr w14:val="tx1"/>
                  </w14:solidFill>
                </w14:textFill>
                <w14:ligatures w14:val="none"/>
              </w:rPr>
              <w:t xml:space="preserve">标的物名称</w:t>
            </w:r>
            <w:r/>
          </w:p>
        </w:tc>
        <w:tc>
          <w:tcPr>
            <w:tcW w:w="975"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0"/>
                <w:szCs w:val="20"/>
                <w:lang w:eastAsia="zh-CN"/>
                <w14:textFill>
                  <w14:solidFill>
                    <w14:schemeClr w14:val="tx1"/>
                  </w14:solidFill>
                </w14:textFill>
                <w14:ligatures w14:val="none"/>
              </w:rPr>
            </w:pPr>
            <w:r>
              <w:rPr>
                <w:rFonts w:hint="eastAsia" w:ascii="宋体" w:hAnsi="宋体" w:cs="宋体"/>
                <w:b/>
                <w:bCs/>
                <w:color w:val="000000" w:themeColor="text1"/>
                <w:sz w:val="20"/>
                <w:szCs w:val="20"/>
                <w:lang w:eastAsia="zh-CN"/>
                <w14:textFill>
                  <w14:solidFill>
                    <w14:schemeClr w14:val="tx1"/>
                  </w14:solidFill>
                </w14:textFill>
                <w14:ligatures w14:val="none"/>
              </w:rPr>
              <w:t xml:space="preserve">时间（月）</w:t>
            </w:r>
            <w:r/>
          </w:p>
        </w:tc>
        <w:tc>
          <w:tcPr>
            <w:tcW w:w="1113"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0"/>
                <w:szCs w:val="20"/>
                <w:lang w:eastAsia="zh-CN"/>
                <w14:textFill>
                  <w14:solidFill>
                    <w14:schemeClr w14:val="tx1"/>
                  </w14:solidFill>
                </w14:textFill>
                <w14:ligatures w14:val="none"/>
              </w:rPr>
            </w:pPr>
            <w:r>
              <w:rPr>
                <w:rFonts w:hint="eastAsia" w:ascii="宋体" w:hAnsi="宋体" w:eastAsia="宋体" w:cs="宋体"/>
                <w:b/>
                <w:bCs/>
                <w:color w:val="000000" w:themeColor="text1"/>
                <w:sz w:val="20"/>
                <w:szCs w:val="20"/>
                <w14:textFill>
                  <w14:solidFill>
                    <w14:schemeClr w14:val="tx1"/>
                  </w14:solidFill>
                </w14:textFill>
                <w14:ligatures w14:val="none"/>
              </w:rPr>
              <w:t xml:space="preserve">单价（元/</w:t>
            </w:r>
            <w:r>
              <w:rPr>
                <w:rFonts w:hint="eastAsia" w:ascii="宋体" w:hAnsi="宋体" w:cs="宋体"/>
                <w:b/>
                <w:bCs/>
                <w:color w:val="000000" w:themeColor="text1"/>
                <w:sz w:val="20"/>
                <w:szCs w:val="20"/>
                <w:lang w:eastAsia="zh-CN"/>
                <w14:textFill>
                  <w14:solidFill>
                    <w14:schemeClr w14:val="tx1"/>
                  </w14:solidFill>
                </w14:textFill>
                <w14:ligatures w14:val="none"/>
              </w:rPr>
              <w:t xml:space="preserve">月</w:t>
            </w:r>
            <w:r>
              <w:rPr>
                <w:rFonts w:hint="eastAsia" w:ascii="宋体" w:hAnsi="宋体" w:eastAsia="宋体" w:cs="宋体"/>
                <w:b/>
                <w:bCs/>
                <w:color w:val="000000" w:themeColor="text1"/>
                <w:sz w:val="20"/>
                <w:szCs w:val="20"/>
                <w14:textFill>
                  <w14:solidFill>
                    <w14:schemeClr w14:val="tx1"/>
                  </w14:solidFill>
                </w14:textFill>
                <w14:ligatures w14:val="none"/>
              </w:rPr>
              <w:t xml:space="preserve">）</w:t>
            </w:r>
            <w:r/>
          </w:p>
        </w:tc>
        <w:tc>
          <w:tcPr>
            <w:tcW w:w="887"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0"/>
                <w:szCs w:val="20"/>
                <w14:textFill>
                  <w14:solidFill>
                    <w14:schemeClr w14:val="tx1"/>
                  </w14:solidFill>
                </w14:textFill>
                <w14:ligatures w14:val="none"/>
              </w:rPr>
            </w:pPr>
            <w:r>
              <w:rPr>
                <w:rFonts w:hint="eastAsia" w:ascii="宋体" w:hAnsi="宋体" w:eastAsia="宋体" w:cs="宋体"/>
                <w:b/>
                <w:bCs/>
                <w:color w:val="000000" w:themeColor="text1"/>
                <w:sz w:val="20"/>
                <w:szCs w:val="20"/>
                <w14:textFill>
                  <w14:solidFill>
                    <w14:schemeClr w14:val="tx1"/>
                  </w14:solidFill>
                </w14:textFill>
                <w14:ligatures w14:val="none"/>
              </w:rPr>
              <w:t xml:space="preserve">数量</w:t>
            </w:r>
            <w:r>
              <w:rPr>
                <w:rFonts w:hint="eastAsia" w:ascii="宋体" w:hAnsi="宋体" w:cs="宋体"/>
                <w:b/>
                <w:bCs/>
                <w:color w:val="000000" w:themeColor="text1"/>
                <w:sz w:val="20"/>
                <w:szCs w:val="20"/>
                <w:lang w:eastAsia="zh-CN"/>
                <w14:textFill>
                  <w14:solidFill>
                    <w14:schemeClr w14:val="tx1"/>
                  </w14:solidFill>
                </w14:textFill>
                <w14:ligatures w14:val="none"/>
              </w:rPr>
              <w:t xml:space="preserve">（人）</w:t>
            </w:r>
            <w:r/>
          </w:p>
        </w:tc>
        <w:tc>
          <w:tcPr>
            <w:tcW w:w="1088"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0"/>
                <w:szCs w:val="20"/>
                <w14:textFill>
                  <w14:solidFill>
                    <w14:schemeClr w14:val="tx1"/>
                  </w14:solidFill>
                </w14:textFill>
                <w14:ligatures w14:val="none"/>
              </w:rPr>
            </w:pPr>
            <w:r>
              <w:rPr>
                <w:rFonts w:hint="eastAsia" w:ascii="宋体" w:hAnsi="宋体" w:cs="宋体"/>
                <w:b/>
                <w:bCs/>
                <w:color w:val="000000" w:themeColor="text1"/>
                <w:sz w:val="20"/>
                <w:szCs w:val="20"/>
                <w:lang w:eastAsia="zh-CN"/>
                <w14:textFill>
                  <w14:solidFill>
                    <w14:schemeClr w14:val="tx1"/>
                  </w14:solidFill>
                </w14:textFill>
                <w14:ligatures w14:val="none"/>
              </w:rPr>
              <w:t xml:space="preserve">合计</w:t>
            </w:r>
            <w:r>
              <w:rPr>
                <w:rFonts w:hint="eastAsia" w:ascii="宋体" w:hAnsi="宋体" w:eastAsia="宋体" w:cs="宋体"/>
                <w:b/>
                <w:bCs/>
                <w:color w:val="000000" w:themeColor="text1"/>
                <w:sz w:val="20"/>
                <w:szCs w:val="20"/>
                <w14:textFill>
                  <w14:solidFill>
                    <w14:schemeClr w14:val="tx1"/>
                  </w14:solidFill>
                </w14:textFill>
                <w14:ligatures w14:val="none"/>
              </w:rPr>
              <w:t xml:space="preserve">（元/年）</w:t>
            </w:r>
            <w:r/>
          </w:p>
        </w:tc>
        <w:tc>
          <w:tcPr>
            <w:tcW w:w="3037"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0"/>
                <w:szCs w:val="20"/>
                <w:lang w:eastAsia="zh-CN"/>
                <w14:textFill>
                  <w14:solidFill>
                    <w14:schemeClr w14:val="tx1"/>
                  </w14:solidFill>
                </w14:textFill>
                <w14:ligatures w14:val="none"/>
              </w:rPr>
            </w:pPr>
            <w:r>
              <w:rPr>
                <w:rFonts w:hint="eastAsia" w:ascii="宋体" w:hAnsi="宋体" w:cs="宋体"/>
                <w:b/>
                <w:bCs/>
                <w:color w:val="000000" w:themeColor="text1"/>
                <w:sz w:val="20"/>
                <w:szCs w:val="20"/>
                <w:lang w:eastAsia="zh-CN"/>
                <w14:textFill>
                  <w14:solidFill>
                    <w14:schemeClr w14:val="tx1"/>
                  </w14:solidFill>
                </w14:textFill>
                <w14:ligatures w14:val="none"/>
              </w:rPr>
              <w:t xml:space="preserve">备注</w:t>
            </w:r>
            <w:r/>
          </w:p>
        </w:tc>
      </w:tr>
      <w:tr>
        <w:trPr>
          <w:trHeight w:val="585"/>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t xml:space="preserve">1</w:t>
            </w:r>
            <w:r/>
          </w:p>
        </w:tc>
        <w:tc>
          <w:tcPr>
            <w:tcW w:w="2162"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0"/>
                <w:szCs w:val="20"/>
                <w:lang w:eastAsia="zh-CN"/>
                <w14:textFill>
                  <w14:solidFill>
                    <w14:schemeClr w14:val="tx1"/>
                  </w14:solidFill>
                </w14:textFill>
                <w14:ligatures w14:val="none"/>
              </w:rPr>
            </w:pPr>
            <w:r>
              <w:rPr>
                <w:rFonts w:hint="eastAsia" w:ascii="宋体" w:hAnsi="宋体" w:eastAsia="宋体" w:cs="宋体"/>
                <w:b/>
                <w:bCs/>
                <w:color w:val="000000" w:themeColor="text1"/>
                <w:sz w:val="20"/>
                <w:szCs w:val="20"/>
                <w:lang w:eastAsia="zh-CN"/>
                <w14:textFill>
                  <w14:solidFill>
                    <w14:schemeClr w14:val="tx1"/>
                  </w14:solidFill>
                </w14:textFill>
                <w14:ligatures w14:val="none"/>
              </w:rPr>
              <w:t xml:space="preserve">物业管理服务人员工资、社保、住房公积金、国家加班等费用</w:t>
            </w:r>
            <w:r/>
          </w:p>
        </w:tc>
        <w:tc>
          <w:tcPr>
            <w:gridSpan w:val="3"/>
            <w:tcW w:w="2975"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0"/>
                <w:szCs w:val="20"/>
                <w14:textFill>
                  <w14:solidFill>
                    <w14:schemeClr w14:val="tx1"/>
                  </w14:solidFill>
                </w14:textFill>
                <w14:ligatures w14:val="none"/>
              </w:rPr>
            </w:pPr>
            <w:r>
              <w:rPr>
                <w:rFonts w:hint="eastAsia" w:ascii="宋体" w:hAnsi="宋体" w:eastAsia="宋体" w:cs="宋体"/>
                <w:b/>
                <w:bCs/>
                <w:color w:val="000000" w:themeColor="text1"/>
                <w:sz w:val="20"/>
                <w:szCs w:val="20"/>
                <w14:textFill>
                  <w14:solidFill>
                    <w14:schemeClr w14:val="tx1"/>
                  </w14:solidFill>
                </w14:textFill>
                <w14:ligatures w14:val="none"/>
              </w:rPr>
              <w:t xml:space="preserve">（以下各项合计）</w:t>
            </w:r>
            <w:r/>
          </w:p>
        </w:tc>
        <w:tc>
          <w:tcPr>
            <w:tcW w:w="1088" w:type="dxa"/>
            <w:vAlign w:val="center"/>
            <w:textDirection w:val="lrTb"/>
            <w:noWrap w:val="false"/>
          </w:tcPr>
          <w:p>
            <w:pPr>
              <w:jc w:val="center"/>
              <w:spacing w:after="0" w:line="240" w:lineRule="auto"/>
              <w:widowControl/>
              <w:rPr>
                <w:rFonts w:hint="default" w:ascii="宋体" w:hAnsi="宋体" w:eastAsia="宋体" w:cs="宋体"/>
                <w:b/>
                <w:bCs/>
                <w:color w:val="000000" w:themeColor="text1"/>
                <w:sz w:val="20"/>
                <w:szCs w:val="20"/>
                <w:lang w:val="en-US" w:eastAsia="zh-CN"/>
                <w14:textFill>
                  <w14:solidFill>
                    <w14:schemeClr w14:val="tx1"/>
                  </w14:solidFill>
                </w14:textFill>
                <w14:ligatures w14:val="none"/>
              </w:rPr>
            </w:pPr>
            <w:r>
              <w:rPr>
                <w:rFonts w:hint="default" w:ascii="宋体" w:hAnsi="宋体" w:eastAsia="宋体" w:cs="宋体"/>
                <w:b/>
                <w:bCs/>
                <w:color w:val="000000" w:themeColor="text1"/>
                <w:sz w:val="20"/>
                <w:szCs w:val="20"/>
                <w:lang w:val="en-US" w:eastAsia="zh-CN"/>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default" w:ascii="宋体" w:hAnsi="宋体" w:eastAsia="宋体" w:cs="宋体"/>
                <w:b/>
                <w:bCs/>
                <w:color w:val="000000" w:themeColor="text1"/>
                <w:sz w:val="20"/>
                <w:szCs w:val="20"/>
                <w:lang w:val="en-US" w:eastAsia="zh-CN"/>
                <w14:textFill>
                  <w14:solidFill>
                    <w14:schemeClr w14:val="tx1"/>
                  </w14:solidFill>
                </w14:textFill>
                <w14:ligatures w14:val="none"/>
              </w:rPr>
            </w:pPr>
            <w:r>
              <w:rPr>
                <w:rFonts w:hint="eastAsia" w:ascii="宋体" w:hAnsi="宋体" w:eastAsia="宋体" w:cs="宋体"/>
                <w:b/>
                <w:bCs/>
                <w:color w:val="000000" w:themeColor="text1"/>
                <w:sz w:val="20"/>
                <w:szCs w:val="20"/>
                <w:lang w:val="en-US" w:eastAsia="zh-CN"/>
                <w14:textFill>
                  <w14:solidFill>
                    <w14:schemeClr w14:val="tx1"/>
                  </w14:solidFill>
                </w14:textFill>
                <w14:ligatures w14:val="none"/>
              </w:rPr>
              <w:t xml:space="preserve">备注栏内要求必须完全响应否则作无效标书处理</w:t>
            </w:r>
            <w:r/>
          </w:p>
        </w:tc>
      </w:tr>
      <w:tr>
        <w:trPr>
          <w:trHeight w:val="389"/>
        </w:trPr>
        <w:tc>
          <w:tcPr>
            <w:tcW w:w="625" w:type="dxa"/>
            <w:vAlign w:val="center"/>
            <w:vMerge w:val="restart"/>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1.1</w:t>
            </w:r>
            <w:r>
              <w:rPr>
                <w:rFonts w:hint="eastAsia" w:ascii="宋体" w:hAnsi="宋体" w:eastAsia="宋体" w:cs="宋体"/>
                <w:color w:val="000000" w:themeColor="text1"/>
                <w:sz w:val="20"/>
                <w:szCs w:val="20"/>
                <w14:textFill>
                  <w14:solidFill>
                    <w14:schemeClr w14:val="tx1"/>
                  </w14:solidFill>
                </w14:textFill>
                <w14:ligatures w14:val="none"/>
              </w:rPr>
              <w:t xml:space="preserve">　</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项目经理</w:t>
            </w:r>
            <w:r/>
          </w:p>
        </w:tc>
        <w:tc>
          <w:tcPr>
            <w:tcW w:w="975"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default" w:ascii="宋体" w:hAnsi="宋体" w:eastAsia="宋体" w:cs="宋体"/>
                <w:color w:val="000000" w:themeColor="text1"/>
                <w:sz w:val="20"/>
                <w:szCs w:val="20"/>
                <w:lang w:val="en-US" w:eastAsia="zh-CN"/>
                <w14:textFill>
                  <w14:solidFill>
                    <w14:schemeClr w14:val="tx1"/>
                  </w14:solidFill>
                </w14:textFill>
                <w14:ligatures w14:val="none"/>
              </w:rPr>
            </w:r>
            <w:r/>
          </w:p>
        </w:tc>
        <w:tc>
          <w:tcPr>
            <w:tcW w:w="3037" w:type="dxa"/>
            <w:vAlign w:val="center"/>
            <w:vMerge w:val="restart"/>
            <w:textDirection w:val="lrTb"/>
            <w:noWrap w:val="false"/>
          </w:tcPr>
          <w:p>
            <w:pPr>
              <w:jc w:val="center"/>
              <w:spacing w:after="0" w:line="240" w:lineRule="auto"/>
              <w:widowControl/>
              <w:rPr>
                <w:rFonts w:hint="default" w:ascii="宋体" w:hAnsi="宋体" w:eastAsia="宋体" w:cs="宋体"/>
                <w:color w:val="000000" w:themeColor="text1"/>
                <w:sz w:val="18"/>
                <w:szCs w:val="18"/>
                <w:lang w:val="en-US" w:eastAsia="zh-CN"/>
                <w14:textFill>
                  <w14:solidFill>
                    <w14:schemeClr w14:val="tx1"/>
                  </w14:solidFill>
                </w14:textFill>
                <w14:ligatures w14:val="none"/>
              </w:rPr>
            </w:pPr>
            <w:r>
              <w:rPr>
                <w:rFonts w:hint="eastAsia" w:ascii="宋体" w:hAnsi="宋体" w:eastAsia="宋体" w:cs="宋体"/>
                <w:color w:val="000000" w:themeColor="text1"/>
                <w:sz w:val="18"/>
                <w:szCs w:val="18"/>
                <w:lang w:val="zh-CN"/>
                <w14:textFill>
                  <w14:solidFill>
                    <w14:schemeClr w14:val="tx1"/>
                  </w14:solidFill>
                </w14:textFill>
                <w14:ligatures w14:val="none"/>
              </w:rPr>
              <w:t xml:space="preserve">所有工作人员基本工资不低于本市最低工资标准2430元/人</w:t>
            </w:r>
            <w:r>
              <w:rPr>
                <w:rFonts w:hint="eastAsia" w:ascii="宋体" w:hAnsi="宋体" w:eastAsia="宋体" w:cs="宋体"/>
                <w:color w:val="000000" w:themeColor="text1"/>
                <w:sz w:val="18"/>
                <w:szCs w:val="18"/>
                <w:lang w:val="en-US" w:eastAsia="zh-CN"/>
                <w14:textFill>
                  <w14:solidFill>
                    <w14:schemeClr w14:val="tx1"/>
                  </w14:solidFill>
                </w14:textFill>
                <w14:ligatures w14:val="none"/>
              </w:rPr>
              <w:t xml:space="preserve">*</w:t>
            </w:r>
            <w:r>
              <w:rPr>
                <w:rFonts w:hint="eastAsia" w:ascii="宋体" w:hAnsi="宋体" w:eastAsia="宋体" w:cs="宋体"/>
                <w:color w:val="000000" w:themeColor="text1"/>
                <w:sz w:val="18"/>
                <w:szCs w:val="18"/>
                <w:lang w:val="zh-CN"/>
                <w14:textFill>
                  <w14:solidFill>
                    <w14:schemeClr w14:val="tx1"/>
                  </w14:solidFill>
                </w14:textFill>
                <w14:ligatures w14:val="none"/>
              </w:rPr>
              <w:t xml:space="preserve">月，所提供人员的费用（人工工资）不得低于上述标准进行测算，</w:t>
            </w:r>
            <w:r>
              <w:rPr>
                <w:rFonts w:hint="eastAsia" w:ascii="宋体" w:hAnsi="宋体" w:eastAsia="宋体" w:cs="宋体"/>
                <w:color w:val="000000" w:themeColor="text1"/>
                <w:sz w:val="18"/>
                <w:szCs w:val="18"/>
                <w:lang w:val="en-US" w:eastAsia="zh-CN"/>
                <w14:textFill>
                  <w14:solidFill>
                    <w14:schemeClr w14:val="tx1"/>
                  </w14:solidFill>
                </w14:textFill>
                <w14:ligatures w14:val="none"/>
              </w:rPr>
              <w:t xml:space="preserve">否则将视为未实质性响应招标文件要求。</w:t>
            </w:r>
            <w:r/>
          </w:p>
        </w:tc>
      </w:tr>
      <w:tr>
        <w:trPr>
          <w:trHeight w:val="420"/>
        </w:trPr>
        <w:tc>
          <w:tcPr>
            <w:tcW w:w="625"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p>
        </w:tc>
        <w:tc>
          <w:tcPr>
            <w:tcW w:w="2162" w:type="dxa"/>
            <w:vAlign w:val="center"/>
            <w:textDirection w:val="lrTb"/>
            <w:noWrap w:val="false"/>
          </w:tcPr>
          <w:p>
            <w:pPr>
              <w:jc w:val="center"/>
              <w:spacing w:after="0" w:line="240" w:lineRule="auto"/>
              <w:widowControl/>
              <w:rPr>
                <w:rFonts w:hint="eastAsia" w:ascii="宋体" w:hAnsi="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t xml:space="preserve">保洁人员</w:t>
            </w:r>
            <w:r/>
          </w:p>
        </w:tc>
        <w:tc>
          <w:tcPr>
            <w:tcW w:w="975" w:type="dxa"/>
            <w:vAlign w:val="center"/>
            <w:textDirection w:val="lrTb"/>
            <w:noWrap w:val="false"/>
          </w:tcPr>
          <w:p>
            <w:pPr>
              <w:jc w:val="center"/>
              <w:spacing w:after="0" w:line="240" w:lineRule="auto"/>
              <w:widowControl/>
              <w:rPr>
                <w:rFonts w:hint="default" w:ascii="宋体" w:hAnsi="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default" w:ascii="宋体" w:hAnsi="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14</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default" w:ascii="宋体" w:hAnsi="宋体" w:eastAsia="宋体" w:cs="宋体"/>
                <w:color w:val="000000" w:themeColor="text1"/>
                <w:sz w:val="20"/>
                <w:szCs w:val="20"/>
                <w:lang w:val="en-US" w:eastAsia="zh-CN"/>
                <w14:textFill>
                  <w14:solidFill>
                    <w14:schemeClr w14:val="tx1"/>
                  </w14:solidFill>
                </w14:textFill>
                <w14:ligatures w14:val="none"/>
              </w:rPr>
            </w:r>
            <w:r/>
          </w:p>
        </w:tc>
        <w:tc>
          <w:tcPr>
            <w:tcW w:w="3037"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18"/>
                <w:szCs w:val="18"/>
                <w:lang w:val="zh-CN"/>
                <w14:textFill>
                  <w14:solidFill>
                    <w14:schemeClr w14:val="tx1"/>
                  </w14:solidFill>
                </w14:textFill>
                <w14:ligatures w14:val="none"/>
              </w:rPr>
            </w:pPr>
            <w:r>
              <w:rPr>
                <w:rFonts w:hint="eastAsia" w:ascii="宋体" w:hAnsi="宋体" w:eastAsia="宋体" w:cs="宋体"/>
                <w:color w:val="000000" w:themeColor="text1"/>
                <w:sz w:val="18"/>
                <w:szCs w:val="18"/>
                <w:lang w:val="zh-CN"/>
                <w14:textFill>
                  <w14:solidFill>
                    <w14:schemeClr w14:val="tx1"/>
                  </w14:solidFill>
                </w14:textFill>
                <w14:ligatures w14:val="none"/>
              </w:rPr>
            </w:r>
            <w:r/>
          </w:p>
        </w:tc>
      </w:tr>
      <w:tr>
        <w:trPr>
          <w:trHeight w:val="349"/>
        </w:trPr>
        <w:tc>
          <w:tcPr>
            <w:tcW w:w="625"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水、电工</w:t>
            </w:r>
            <w:r/>
          </w:p>
        </w:tc>
        <w:tc>
          <w:tcPr>
            <w:tcW w:w="975"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default" w:ascii="宋体" w:hAnsi="宋体" w:eastAsia="宋体" w:cs="宋体"/>
                <w:color w:val="000000" w:themeColor="text1"/>
                <w:sz w:val="20"/>
                <w:szCs w:val="20"/>
                <w:lang w:val="en-US" w:eastAsia="zh-CN"/>
                <w14:textFill>
                  <w14:solidFill>
                    <w14:schemeClr w14:val="tx1"/>
                  </w14:solidFill>
                </w14:textFill>
                <w14:ligatures w14:val="none"/>
              </w:rPr>
            </w:r>
            <w:r/>
          </w:p>
        </w:tc>
        <w:tc>
          <w:tcPr>
            <w:tcW w:w="3037"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18"/>
                <w:szCs w:val="18"/>
                <w:lang w:val="zh-CN"/>
                <w14:textFill>
                  <w14:solidFill>
                    <w14:schemeClr w14:val="tx1"/>
                  </w14:solidFill>
                </w14:textFill>
                <w14:ligatures w14:val="none"/>
              </w:rPr>
            </w:pPr>
            <w:r>
              <w:rPr>
                <w:rFonts w:hint="eastAsia" w:ascii="宋体" w:hAnsi="宋体" w:eastAsia="宋体" w:cs="宋体"/>
                <w:color w:val="000000" w:themeColor="text1"/>
                <w:sz w:val="18"/>
                <w:szCs w:val="18"/>
                <w:lang w:val="zh-CN"/>
                <w14:textFill>
                  <w14:solidFill>
                    <w14:schemeClr w14:val="tx1"/>
                  </w14:solidFill>
                </w14:textFill>
                <w14:ligatures w14:val="none"/>
              </w:rPr>
            </w:r>
            <w:r/>
          </w:p>
        </w:tc>
      </w:tr>
      <w:tr>
        <w:trPr>
          <w:trHeight w:val="328"/>
        </w:trPr>
        <w:tc>
          <w:tcPr>
            <w:tcW w:w="625"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p>
        </w:tc>
        <w:tc>
          <w:tcPr>
            <w:tcW w:w="2162"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客服人员</w:t>
            </w:r>
            <w:r/>
          </w:p>
        </w:tc>
        <w:tc>
          <w:tcPr>
            <w:tcW w:w="975" w:type="dxa"/>
            <w:vAlign w:val="center"/>
            <w:textDirection w:val="lrTb"/>
            <w:noWrap w:val="false"/>
          </w:tcPr>
          <w:p>
            <w:pPr>
              <w:jc w:val="center"/>
              <w:spacing w:after="0" w:line="240" w:lineRule="auto"/>
              <w:widowControl/>
              <w:rPr>
                <w:rFonts w:hint="default" w:ascii="宋体" w:hAnsi="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default" w:ascii="宋体" w:hAnsi="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default" w:ascii="宋体" w:hAnsi="宋体" w:eastAsia="宋体" w:cs="宋体"/>
                <w:color w:val="000000" w:themeColor="text1"/>
                <w:sz w:val="20"/>
                <w:szCs w:val="20"/>
                <w:lang w:val="en-US" w:eastAsia="zh-CN"/>
                <w14:textFill>
                  <w14:solidFill>
                    <w14:schemeClr w14:val="tx1"/>
                  </w14:solidFill>
                </w14:textFill>
                <w14:ligatures w14:val="none"/>
              </w:rPr>
            </w:r>
            <w:r/>
          </w:p>
        </w:tc>
        <w:tc>
          <w:tcPr>
            <w:tcW w:w="3037"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18"/>
                <w:szCs w:val="18"/>
                <w:lang w:val="zh-CN"/>
                <w14:textFill>
                  <w14:solidFill>
                    <w14:schemeClr w14:val="tx1"/>
                  </w14:solidFill>
                </w14:textFill>
                <w14:ligatures w14:val="none"/>
              </w:rPr>
            </w:pPr>
            <w:r>
              <w:rPr>
                <w:rFonts w:hint="eastAsia" w:ascii="宋体" w:hAnsi="宋体" w:eastAsia="宋体" w:cs="宋体"/>
                <w:color w:val="000000" w:themeColor="text1"/>
                <w:sz w:val="18"/>
                <w:szCs w:val="18"/>
                <w:lang w:val="zh-CN"/>
                <w14:textFill>
                  <w14:solidFill>
                    <w14:schemeClr w14:val="tx1"/>
                  </w14:solidFill>
                </w14:textFill>
                <w14:ligatures w14:val="none"/>
              </w:rPr>
            </w:r>
            <w:r/>
          </w:p>
        </w:tc>
      </w:tr>
      <w:tr>
        <w:trPr>
          <w:trHeight w:val="379"/>
        </w:trPr>
        <w:tc>
          <w:tcPr>
            <w:tcW w:w="625"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p>
        </w:tc>
        <w:tc>
          <w:tcPr>
            <w:shd w:val="clear" w:color="auto" w:fill="auto"/>
            <w:tcW w:w="2162"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绿化人员</w:t>
            </w:r>
            <w:r/>
          </w:p>
        </w:tc>
        <w:tc>
          <w:tcPr>
            <w:shd w:val="clear" w:color="auto" w:fill="auto"/>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12</w:t>
            </w:r>
            <w:r/>
          </w:p>
        </w:tc>
        <w:tc>
          <w:tcPr>
            <w:shd w:val="clear" w:color="auto" w:fill="auto"/>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eastAsia="宋体" w:cs="宋体"/>
                <w:color w:val="000000" w:themeColor="text1"/>
                <w:sz w:val="20"/>
                <w:szCs w:val="20"/>
                <w:lang w:val="en-US" w:eastAsia="zh-CN" w:bidi="ar-SA"/>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default" w:ascii="宋体" w:hAnsi="宋体" w:eastAsia="宋体" w:cs="宋体"/>
                <w:color w:val="000000" w:themeColor="text1"/>
                <w:sz w:val="20"/>
                <w:szCs w:val="20"/>
                <w:lang w:val="en-US" w:eastAsia="zh-CN"/>
                <w14:textFill>
                  <w14:solidFill>
                    <w14:schemeClr w14:val="tx1"/>
                  </w14:solidFill>
                </w14:textFill>
                <w14:ligatures w14:val="none"/>
              </w:rPr>
            </w:r>
            <w:r/>
          </w:p>
        </w:tc>
        <w:tc>
          <w:tcPr>
            <w:tcW w:w="3037"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18"/>
                <w:szCs w:val="18"/>
                <w:lang w:val="zh-CN"/>
                <w14:textFill>
                  <w14:solidFill>
                    <w14:schemeClr w14:val="tx1"/>
                  </w14:solidFill>
                </w14:textFill>
                <w14:ligatures w14:val="none"/>
              </w:rPr>
            </w:pPr>
            <w:r>
              <w:rPr>
                <w:rFonts w:hint="eastAsia" w:ascii="宋体" w:hAnsi="宋体" w:eastAsia="宋体" w:cs="宋体"/>
                <w:color w:val="000000" w:themeColor="text1"/>
                <w:sz w:val="18"/>
                <w:szCs w:val="18"/>
                <w:lang w:val="zh-CN"/>
                <w14:textFill>
                  <w14:solidFill>
                    <w14:schemeClr w14:val="tx1"/>
                  </w14:solidFill>
                </w14:textFill>
                <w14:ligatures w14:val="none"/>
              </w:rPr>
            </w:r>
            <w:r/>
          </w:p>
        </w:tc>
      </w:tr>
      <w:tr>
        <w:trPr>
          <w:trHeight w:val="326"/>
        </w:trPr>
        <w:tc>
          <w:tcPr>
            <w:tcW w:w="625"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2162"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杂工</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default" w:ascii="宋体" w:hAnsi="宋体" w:eastAsia="宋体" w:cs="宋体"/>
                <w:color w:val="000000" w:themeColor="text1"/>
                <w:sz w:val="20"/>
                <w:szCs w:val="20"/>
                <w:lang w:val="en-US" w:eastAsia="zh-CN"/>
                <w14:textFill>
                  <w14:solidFill>
                    <w14:schemeClr w14:val="tx1"/>
                  </w14:solidFill>
                </w14:textFill>
                <w14:ligatures w14:val="none"/>
              </w:rPr>
            </w:r>
            <w:r/>
          </w:p>
        </w:tc>
        <w:tc>
          <w:tcPr>
            <w:tcW w:w="3037" w:type="dxa"/>
            <w:vAlign w:val="center"/>
            <w:vMerge w:val="continue"/>
            <w:textDirection w:val="lrTb"/>
            <w:noWrap w:val="false"/>
          </w:tcPr>
          <w:p>
            <w:pPr>
              <w:jc w:val="center"/>
              <w:spacing w:after="0" w:line="240" w:lineRule="auto"/>
              <w:widowControl/>
              <w:rPr>
                <w:rFonts w:hint="default" w:ascii="宋体" w:hAnsi="宋体" w:eastAsia="宋体" w:cs="宋体"/>
                <w:color w:val="000000" w:themeColor="text1"/>
                <w:sz w:val="18"/>
                <w:szCs w:val="18"/>
                <w:lang w:val="en-US" w:eastAsia="zh-CN"/>
                <w14:textFill>
                  <w14:solidFill>
                    <w14:schemeClr w14:val="tx1"/>
                  </w14:solidFill>
                </w14:textFill>
                <w14:ligatures w14:val="none"/>
              </w:rPr>
            </w:pPr>
            <w:r>
              <w:rPr>
                <w:rFonts w:hint="default" w:ascii="宋体" w:hAnsi="宋体" w:eastAsia="宋体" w:cs="宋体"/>
                <w:color w:val="000000" w:themeColor="text1"/>
                <w:sz w:val="18"/>
                <w:szCs w:val="18"/>
                <w:lang w:val="en-US" w:eastAsia="zh-CN"/>
                <w14:textFill>
                  <w14:solidFill>
                    <w14:schemeClr w14:val="tx1"/>
                  </w14:solidFill>
                </w14:textFill>
                <w14:ligatures w14:val="none"/>
              </w:rPr>
            </w:r>
            <w:r/>
          </w:p>
        </w:tc>
      </w:tr>
      <w:tr>
        <w:trPr>
          <w:trHeight w:val="550"/>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w:t>
            </w:r>
            <w:r>
              <w:rPr>
                <w:rFonts w:hint="eastAsia" w:ascii="宋体" w:hAnsi="宋体" w:eastAsia="宋体" w:cs="宋体"/>
                <w:color w:val="000000" w:themeColor="text1"/>
                <w:sz w:val="20"/>
                <w:szCs w:val="20"/>
                <w14:textFill>
                  <w14:solidFill>
                    <w14:schemeClr w14:val="tx1"/>
                  </w14:solidFill>
                </w14:textFill>
                <w14:ligatures w14:val="none"/>
              </w:rPr>
              <w:t xml:space="preserve">2</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eastAsia="zh-CN"/>
                <w14:textFill>
                  <w14:solidFill>
                    <w14:schemeClr w14:val="tx1"/>
                  </w14:solidFill>
                </w14:textFill>
                <w14:ligatures w14:val="none"/>
              </w:rPr>
            </w:pPr>
            <w:r>
              <w:rPr>
                <w:rFonts w:hint="eastAsia" w:ascii="宋体" w:hAnsi="宋体" w:eastAsia="宋体" w:cs="宋体"/>
                <w:color w:val="000000" w:themeColor="text1"/>
                <w:sz w:val="20"/>
                <w:szCs w:val="20"/>
                <w:lang w:eastAsia="zh-CN"/>
                <w14:textFill>
                  <w14:solidFill>
                    <w14:schemeClr w14:val="tx1"/>
                  </w14:solidFill>
                </w14:textFill>
                <w14:ligatures w14:val="none"/>
              </w:rPr>
              <w:t xml:space="preserve">国</w:t>
            </w:r>
            <w:r>
              <w:rPr>
                <w:rFonts w:hint="eastAsia" w:ascii="宋体" w:hAnsi="宋体" w:eastAsia="宋体" w:cs="宋体"/>
                <w:color w:val="000000" w:themeColor="text1"/>
                <w:sz w:val="20"/>
                <w:szCs w:val="20"/>
                <w:lang w:eastAsia="zh-CN"/>
                <w14:textFill>
                  <w14:solidFill>
                    <w14:schemeClr w14:val="tx1"/>
                  </w14:solidFill>
                </w14:textFill>
                <w14:ligatures w14:val="none"/>
              </w:rPr>
              <w:t xml:space="preserve">假</w:t>
            </w:r>
            <w:r>
              <w:rPr>
                <w:rFonts w:hint="eastAsia" w:ascii="宋体" w:hAnsi="宋体" w:eastAsia="宋体" w:cs="宋体"/>
                <w:color w:val="000000" w:themeColor="text1"/>
                <w:sz w:val="20"/>
                <w:szCs w:val="20"/>
                <w:lang w:eastAsia="zh-CN"/>
                <w14:textFill>
                  <w14:solidFill>
                    <w14:schemeClr w14:val="tx1"/>
                  </w14:solidFill>
                </w14:textFill>
                <w14:ligatures w14:val="none"/>
              </w:rPr>
              <w:t xml:space="preserve">加班费</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项</w:t>
            </w: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tabs>
                <w:tab w:val="left" w:pos="560" w:leader="none"/>
              </w:tabs>
              <w:rPr>
                <w:rFonts w:hint="default"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val="en-US" w:eastAsia="zh-CN" w:bidi="ar-SA"/>
                <w14:textFill>
                  <w14:solidFill>
                    <w14:schemeClr w14:val="tx1"/>
                  </w14:solidFill>
                </w14:textFill>
                <w14:ligatures w14:val="none"/>
              </w:rPr>
              <w:t xml:space="preserve">10</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default" w:ascii="宋体" w:hAnsi="宋体" w:eastAsia="宋体" w:cs="宋体"/>
                <w:color w:val="000000" w:themeColor="text1"/>
                <w:sz w:val="18"/>
                <w:szCs w:val="18"/>
                <w:lang w:val="en-US" w:eastAsia="zh-CN"/>
                <w14:textFill>
                  <w14:solidFill>
                    <w14:schemeClr w14:val="tx1"/>
                  </w14:solidFill>
                </w14:textFill>
                <w14:ligatures w14:val="none"/>
              </w:rPr>
            </w:pPr>
            <w:r>
              <w:rPr>
                <w:rFonts w:hint="eastAsia" w:ascii="宋体" w:hAnsi="宋体" w:eastAsia="宋体" w:cs="宋体"/>
                <w:color w:val="000000" w:themeColor="text1"/>
                <w:sz w:val="18"/>
                <w:szCs w:val="18"/>
                <w:lang w:val="zh-CN" w:eastAsia="zh-CN"/>
                <w14:textFill>
                  <w14:solidFill>
                    <w14:schemeClr w14:val="tx1"/>
                  </w14:solidFill>
                </w14:textFill>
                <w14:ligatures w14:val="none"/>
              </w:rPr>
              <w:t xml:space="preserve">本项目要求每年国假加班天数为</w:t>
            </w:r>
            <w:r>
              <w:rPr>
                <w:rFonts w:hint="eastAsia" w:ascii="宋体" w:hAnsi="宋体" w:eastAsia="宋体" w:cs="宋体"/>
                <w:color w:val="000000" w:themeColor="text1"/>
                <w:sz w:val="18"/>
                <w:szCs w:val="18"/>
                <w:lang w:val="en-US" w:eastAsia="zh-CN"/>
                <w14:textFill>
                  <w14:solidFill>
                    <w14:schemeClr w14:val="tx1"/>
                  </w14:solidFill>
                </w14:textFill>
                <w14:ligatures w14:val="none"/>
              </w:rPr>
              <w:t xml:space="preserve">13天，各投标人须按</w:t>
            </w:r>
            <w:r>
              <w:rPr>
                <w:rFonts w:hint="eastAsia" w:ascii="宋体" w:hAnsi="宋体" w:eastAsia="宋体" w:cs="宋体"/>
                <w:color w:val="000000" w:themeColor="text1"/>
                <w:sz w:val="18"/>
                <w:szCs w:val="18"/>
                <w:lang w:val="zh-CN"/>
                <w14:textFill>
                  <w14:solidFill>
                    <w14:schemeClr w14:val="tx1"/>
                  </w14:solidFill>
                </w14:textFill>
                <w14:ligatures w14:val="none"/>
              </w:rPr>
              <w:t xml:space="preserve">不低于</w:t>
            </w:r>
            <w:r>
              <w:rPr>
                <w:rFonts w:hint="eastAsia" w:ascii="宋体" w:hAnsi="宋体" w:eastAsia="宋体" w:cs="宋体"/>
                <w:color w:val="000000" w:themeColor="text1"/>
                <w:sz w:val="18"/>
                <w:szCs w:val="18"/>
                <w:lang w:val="en-US" w:eastAsia="zh-CN"/>
                <w14:textFill>
                  <w14:solidFill>
                    <w14:schemeClr w14:val="tx1"/>
                  </w14:solidFill>
                </w14:textFill>
                <w14:ligatures w14:val="none"/>
              </w:rPr>
              <w:t xml:space="preserve">4357.24</w:t>
            </w:r>
            <w:r>
              <w:rPr>
                <w:rFonts w:hint="eastAsia" w:ascii="宋体" w:hAnsi="宋体" w:eastAsia="宋体" w:cs="宋体"/>
                <w:color w:val="000000" w:themeColor="text1"/>
                <w:sz w:val="18"/>
                <w:szCs w:val="18"/>
                <w:lang w:val="zh-CN"/>
                <w14:textFill>
                  <w14:solidFill>
                    <w14:schemeClr w14:val="tx1"/>
                  </w14:solidFill>
                </w14:textFill>
                <w14:ligatures w14:val="none"/>
              </w:rPr>
              <w:t xml:space="preserve">元/人</w:t>
            </w:r>
            <w:r>
              <w:rPr>
                <w:rFonts w:hint="eastAsia" w:ascii="宋体" w:hAnsi="宋体" w:eastAsia="宋体" w:cs="宋体"/>
                <w:color w:val="000000" w:themeColor="text1"/>
                <w:sz w:val="18"/>
                <w:szCs w:val="18"/>
                <w:lang w:val="en-US" w:eastAsia="zh-CN"/>
                <w14:textFill>
                  <w14:solidFill>
                    <w14:schemeClr w14:val="tx1"/>
                  </w14:solidFill>
                </w14:textFill>
                <w14:ligatures w14:val="none"/>
              </w:rPr>
              <w:t xml:space="preserve">*</w:t>
            </w:r>
            <w:r>
              <w:rPr>
                <w:rFonts w:hint="eastAsia" w:ascii="宋体" w:hAnsi="宋体" w:eastAsia="宋体" w:cs="宋体"/>
                <w:color w:val="000000" w:themeColor="text1"/>
                <w:sz w:val="18"/>
                <w:szCs w:val="18"/>
                <w:lang w:val="zh-CN"/>
                <w14:textFill>
                  <w14:solidFill>
                    <w14:schemeClr w14:val="tx1"/>
                  </w14:solidFill>
                </w14:textFill>
                <w14:ligatures w14:val="none"/>
              </w:rPr>
              <w:t xml:space="preserve">年（2430/21.75*3*1</w:t>
            </w:r>
            <w:r>
              <w:rPr>
                <w:rFonts w:hint="eastAsia" w:ascii="宋体" w:hAnsi="宋体" w:eastAsia="宋体" w:cs="宋体"/>
                <w:color w:val="000000" w:themeColor="text1"/>
                <w:sz w:val="18"/>
                <w:szCs w:val="18"/>
                <w:lang w:val="en-US" w:eastAsia="zh-CN"/>
                <w14:textFill>
                  <w14:solidFill>
                    <w14:schemeClr w14:val="tx1"/>
                  </w14:solidFill>
                </w14:textFill>
                <w14:ligatures w14:val="none"/>
              </w:rPr>
              <w:t xml:space="preserve">3</w:t>
            </w:r>
            <w:r>
              <w:rPr>
                <w:rFonts w:hint="eastAsia" w:ascii="宋体" w:hAnsi="宋体" w:eastAsia="宋体" w:cs="宋体"/>
                <w:color w:val="000000" w:themeColor="text1"/>
                <w:sz w:val="18"/>
                <w:szCs w:val="18"/>
                <w:lang w:val="zh-CN"/>
                <w14:textFill>
                  <w14:solidFill>
                    <w14:schemeClr w14:val="tx1"/>
                  </w14:solidFill>
                </w14:textFill>
                <w14:ligatures w14:val="none"/>
              </w:rPr>
              <w:t xml:space="preserve">）填报</w:t>
            </w:r>
            <w:r>
              <w:rPr>
                <w:rFonts w:hint="eastAsia" w:ascii="宋体" w:hAnsi="宋体" w:eastAsia="宋体" w:cs="宋体"/>
                <w:color w:val="000000" w:themeColor="text1"/>
                <w:sz w:val="18"/>
                <w:szCs w:val="18"/>
                <w:lang w:val="zh-CN"/>
                <w14:textFill>
                  <w14:solidFill>
                    <w14:schemeClr w14:val="tx1"/>
                  </w14:solidFill>
                </w14:textFill>
                <w14:ligatures w14:val="none"/>
              </w:rPr>
              <w:t xml:space="preserve">，</w:t>
            </w:r>
            <w:r>
              <w:rPr>
                <w:rFonts w:ascii="SimSun" w:hAnsi="SimSun" w:eastAsia="SimSun" w:cs="SimSun"/>
                <w:color w:val="000000"/>
                <w:sz w:val="18"/>
              </w:rPr>
              <w:t xml:space="preserve">法定节假日不低于10人测算</w:t>
            </w:r>
            <w:r>
              <w:rPr>
                <w:rFonts w:hint="eastAsia" w:ascii="宋体" w:hAnsi="宋体" w:eastAsia="宋体" w:cs="宋体"/>
                <w:color w:val="000000" w:themeColor="text1"/>
                <w:sz w:val="18"/>
                <w:szCs w:val="18"/>
                <w:lang w:val="zh-CN"/>
                <w14:textFill>
                  <w14:solidFill>
                    <w14:schemeClr w14:val="tx1"/>
                  </w14:solidFill>
                </w14:textFill>
                <w14:ligatures w14:val="none"/>
              </w:rPr>
              <w:t xml:space="preserve">。</w:t>
            </w:r>
            <w:r>
              <w:rPr>
                <w:rFonts w:hint="eastAsia" w:ascii="宋体" w:hAnsi="宋体" w:eastAsia="宋体" w:cs="宋体"/>
                <w:color w:val="000000" w:themeColor="text1"/>
                <w:sz w:val="18"/>
                <w:szCs w:val="18"/>
                <w:lang w:val="zh-CN"/>
                <w14:textFill>
                  <w14:solidFill>
                    <w14:schemeClr w14:val="tx1"/>
                  </w14:solidFill>
                </w14:textFill>
                <w14:ligatures w14:val="none"/>
              </w:rPr>
            </w:r>
            <w:r/>
          </w:p>
        </w:tc>
      </w:tr>
      <w:tr>
        <w:trPr>
          <w:trHeight w:val="738"/>
        </w:trPr>
        <w:tc>
          <w:tcPr>
            <w:tcW w:w="625"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1.3</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eastAsia="zh-CN"/>
                <w14:textFill>
                  <w14:solidFill>
                    <w14:schemeClr w14:val="tx1"/>
                  </w14:solidFill>
                </w14:textFill>
                <w14:ligatures w14:val="none"/>
              </w:rPr>
            </w:pPr>
            <w:r>
              <w:rPr>
                <w:rFonts w:hint="eastAsia" w:ascii="宋体" w:hAnsi="宋体" w:eastAsia="宋体" w:cs="宋体"/>
                <w:color w:val="000000" w:themeColor="text1"/>
                <w:sz w:val="20"/>
                <w:szCs w:val="20"/>
                <w:lang w:eastAsia="zh-CN"/>
                <w14:textFill>
                  <w14:solidFill>
                    <w14:schemeClr w14:val="tx1"/>
                  </w14:solidFill>
                </w14:textFill>
                <w14:ligatures w14:val="none"/>
              </w:rPr>
              <w:t xml:space="preserve">社保</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eastAsia="zh-CN"/>
                <w14:textFill>
                  <w14:solidFill>
                    <w14:schemeClr w14:val="tx1"/>
                  </w14:solidFill>
                </w14:textFill>
                <w14:ligatures w14:val="none"/>
              </w:rPr>
            </w:pPr>
            <w:r>
              <w:rPr>
                <w:rFonts w:hint="eastAsia" w:ascii="宋体" w:hAnsi="宋体" w:eastAsia="宋体" w:cs="宋体"/>
                <w:color w:val="000000" w:themeColor="text1"/>
                <w:sz w:val="20"/>
                <w:szCs w:val="20"/>
                <w:lang w:eastAsia="zh-CN"/>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19</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18"/>
                <w:szCs w:val="18"/>
                <w:lang w:val="zh-CN"/>
                <w14:textFill>
                  <w14:solidFill>
                    <w14:schemeClr w14:val="tx1"/>
                  </w14:solidFill>
                </w14:textFill>
                <w14:ligatures w14:val="none"/>
              </w:rPr>
            </w:pPr>
            <w:r>
              <w:rPr>
                <w:rFonts w:hint="eastAsia" w:ascii="宋体" w:hAnsi="宋体" w:eastAsia="宋体" w:cs="宋体"/>
                <w:color w:val="000000" w:themeColor="text1"/>
                <w:sz w:val="18"/>
                <w:szCs w:val="18"/>
                <w:lang w:val="zh-CN"/>
                <w14:textFill>
                  <w14:solidFill>
                    <w14:schemeClr w14:val="tx1"/>
                  </w14:solidFill>
                </w14:textFill>
                <w14:ligatures w14:val="none"/>
              </w:rPr>
              <w:t xml:space="preserve">所有人员必须足额缴纳社保费用，社保（企业部分）不得低于1277.62元/人</w:t>
            </w:r>
            <w:r>
              <w:rPr>
                <w:rFonts w:hint="eastAsia" w:ascii="宋体" w:hAnsi="宋体" w:eastAsia="宋体" w:cs="宋体"/>
                <w:color w:val="000000" w:themeColor="text1"/>
                <w:sz w:val="18"/>
                <w:szCs w:val="18"/>
                <w:lang w:val="en-US" w:eastAsia="zh-CN"/>
                <w14:textFill>
                  <w14:solidFill>
                    <w14:schemeClr w14:val="tx1"/>
                  </w14:solidFill>
                </w14:textFill>
                <w14:ligatures w14:val="none"/>
              </w:rPr>
              <w:t xml:space="preserve">*</w:t>
            </w:r>
            <w:r>
              <w:rPr>
                <w:rFonts w:hint="eastAsia" w:ascii="宋体" w:hAnsi="宋体" w:eastAsia="宋体" w:cs="宋体"/>
                <w:color w:val="000000" w:themeColor="text1"/>
                <w:sz w:val="18"/>
                <w:szCs w:val="18"/>
                <w:lang w:val="zh-CN"/>
                <w14:textFill>
                  <w14:solidFill>
                    <w14:schemeClr w14:val="tx1"/>
                  </w14:solidFill>
                </w14:textFill>
                <w14:ligatures w14:val="none"/>
              </w:rPr>
              <w:t xml:space="preserve">月。</w:t>
            </w:r>
            <w:r/>
          </w:p>
        </w:tc>
      </w:tr>
      <w:tr>
        <w:trPr>
          <w:trHeight w:val="566"/>
        </w:trPr>
        <w:tc>
          <w:tcPr>
            <w:tcW w:w="625"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1.4</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公积金</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19</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18"/>
                <w:szCs w:val="18"/>
                <w:lang w:val="zh-CN"/>
                <w14:textFill>
                  <w14:solidFill>
                    <w14:schemeClr w14:val="tx1"/>
                  </w14:solidFill>
                </w14:textFill>
                <w14:ligatures w14:val="none"/>
              </w:rPr>
            </w:pPr>
            <w:r>
              <w:rPr>
                <w:rFonts w:hint="eastAsia" w:ascii="宋体" w:hAnsi="宋体" w:eastAsia="宋体" w:cs="宋体"/>
                <w:color w:val="000000" w:themeColor="text1"/>
                <w:sz w:val="18"/>
                <w:szCs w:val="18"/>
                <w:lang w:val="zh-CN"/>
                <w14:textFill>
                  <w14:solidFill>
                    <w14:schemeClr w14:val="tx1"/>
                  </w14:solidFill>
                </w14:textFill>
                <w14:ligatures w14:val="none"/>
              </w:rPr>
              <w:t xml:space="preserve">住房公积金不得低于180.8元/人</w:t>
            </w:r>
            <w:r>
              <w:rPr>
                <w:rFonts w:hint="eastAsia" w:ascii="宋体" w:hAnsi="宋体" w:eastAsia="宋体" w:cs="宋体"/>
                <w:color w:val="000000" w:themeColor="text1"/>
                <w:sz w:val="18"/>
                <w:szCs w:val="18"/>
                <w:lang w:val="en-US" w:eastAsia="zh-CN"/>
                <w14:textFill>
                  <w14:solidFill>
                    <w14:schemeClr w14:val="tx1"/>
                  </w14:solidFill>
                </w14:textFill>
                <w14:ligatures w14:val="none"/>
              </w:rPr>
              <w:t xml:space="preserve">*</w:t>
            </w:r>
            <w:r>
              <w:rPr>
                <w:rFonts w:hint="eastAsia" w:ascii="宋体" w:hAnsi="宋体" w:eastAsia="宋体" w:cs="宋体"/>
                <w:color w:val="000000" w:themeColor="text1"/>
                <w:sz w:val="18"/>
                <w:szCs w:val="18"/>
                <w:lang w:val="zh-CN"/>
                <w14:textFill>
                  <w14:solidFill>
                    <w14:schemeClr w14:val="tx1"/>
                  </w14:solidFill>
                </w14:textFill>
                <w14:ligatures w14:val="none"/>
              </w:rPr>
              <w:t xml:space="preserve">月</w:t>
            </w:r>
            <w:r/>
          </w:p>
        </w:tc>
      </w:tr>
      <w:tr>
        <w:trPr>
          <w:trHeight w:val="633"/>
        </w:trPr>
        <w:tc>
          <w:tcPr>
            <w:tcW w:w="625" w:type="dxa"/>
            <w:vAlign w:val="center"/>
            <w:textDirection w:val="lrTb"/>
            <w:noWrap w:val="false"/>
          </w:tcPr>
          <w:p>
            <w:pPr>
              <w:jc w:val="center"/>
              <w:spacing w:after="0" w:line="240" w:lineRule="auto"/>
              <w:widowControl/>
              <w:rPr>
                <w:rFonts w:hint="default" w:ascii="宋体" w:hAnsi="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2</w:t>
            </w:r>
            <w:r/>
          </w:p>
        </w:tc>
        <w:tc>
          <w:tcPr>
            <w:shd w:val="clear" w:color="auto" w:fill="auto"/>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服装费（500元/人</w:t>
            </w:r>
            <w:r>
              <w:rPr>
                <w:rFonts w:hint="eastAsia" w:ascii="宋体" w:hAnsi="宋体" w:cs="宋体"/>
                <w:color w:val="000000" w:themeColor="text1"/>
                <w:sz w:val="20"/>
                <w:szCs w:val="20"/>
                <w:lang w:val="en-US" w:eastAsia="zh-CN"/>
                <w14:textFill>
                  <w14:solidFill>
                    <w14:schemeClr w14:val="tx1"/>
                  </w14:solidFill>
                </w14:textFill>
                <w14:ligatures w14:val="none"/>
              </w:rPr>
              <w:t xml:space="preserve">*</w:t>
            </w: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年为不可竞争费用）</w:t>
            </w:r>
            <w:r/>
          </w:p>
        </w:tc>
        <w:tc>
          <w:tcPr>
            <w:shd w:val="clear" w:color="auto" w:fill="auto"/>
            <w:tcW w:w="975" w:type="dxa"/>
            <w:vAlign w:val="center"/>
            <w:textDirection w:val="lrTb"/>
            <w:noWrap w:val="false"/>
          </w:tcPr>
          <w:p>
            <w:pPr>
              <w:jc w:val="center"/>
              <w:spacing w:after="0" w:line="240" w:lineRule="auto"/>
              <w:widowControl/>
              <w:rPr>
                <w:rFonts w:hint="eastAsia" w:ascii="宋体" w:hAnsi="宋体" w:eastAsia="宋体" w:cs="宋体"/>
                <w:color w:val="000000"/>
                <w:lang w:val="en-US" w:eastAsia="zh-CN"/>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项</w:t>
            </w: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p>
        </w:tc>
        <w:tc>
          <w:tcPr>
            <w:shd w:val="clear" w:color="auto" w:fill="auto"/>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500元/人</w:t>
            </w:r>
            <w:r>
              <w:rPr>
                <w:rFonts w:hint="eastAsia" w:ascii="宋体" w:hAnsi="宋体" w:cs="宋体"/>
                <w:color w:val="000000" w:themeColor="text1"/>
                <w:sz w:val="20"/>
                <w:szCs w:val="20"/>
                <w:lang w:val="en-US" w:eastAsia="zh-CN"/>
                <w14:textFill>
                  <w14:solidFill>
                    <w14:schemeClr w14:val="tx1"/>
                  </w14:solidFill>
                </w14:textFill>
                <w14:ligatures w14:val="none"/>
              </w:rPr>
              <w:t xml:space="preserve">*</w:t>
            </w: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年</w:t>
            </w:r>
            <w:r/>
          </w:p>
        </w:tc>
        <w:tc>
          <w:tcPr>
            <w:shd w:val="clear" w:color="auto" w:fill="auto"/>
            <w:tcW w:w="887"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19</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default" w:ascii="宋体" w:hAnsi="宋体" w:eastAsia="宋体" w:cs="宋体"/>
                <w:color w:val="000000" w:themeColor="text1"/>
                <w:sz w:val="20"/>
                <w:szCs w:val="20"/>
                <w:lang w:val="en-US" w:eastAsia="zh-CN"/>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18"/>
                <w:szCs w:val="18"/>
                <w:lang w:val="zh-CN"/>
                <w14:textFill>
                  <w14:solidFill>
                    <w14:schemeClr w14:val="tx1"/>
                  </w14:solidFill>
                </w14:textFill>
                <w14:ligatures w14:val="none"/>
              </w:rPr>
            </w:pPr>
            <w:r>
              <w:rPr>
                <w:rFonts w:hint="eastAsia" w:ascii="宋体" w:hAnsi="宋体" w:eastAsia="宋体" w:cs="宋体"/>
                <w:b/>
                <w:bCs/>
                <w:color w:val="000000" w:themeColor="text1"/>
                <w:sz w:val="18"/>
                <w:szCs w:val="18"/>
                <w:lang w:eastAsia="zh-CN"/>
                <w14:textFill>
                  <w14:solidFill>
                    <w14:schemeClr w14:val="tx1"/>
                  </w14:solidFill>
                </w14:textFill>
                <w14:ligatures w14:val="none"/>
              </w:rPr>
              <w:t xml:space="preserve">（不可竞争费用）</w:t>
            </w:r>
            <w:r/>
          </w:p>
        </w:tc>
      </w:tr>
      <w:tr>
        <w:trPr>
          <w:trHeight w:val="762"/>
        </w:trPr>
        <w:tc>
          <w:tcPr>
            <w:tcW w:w="625"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3</w:t>
            </w:r>
            <w:r/>
          </w:p>
        </w:tc>
        <w:tc>
          <w:tcPr>
            <w:shd w:val="clear" w:color="auto" w:fill="auto"/>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福利费（500元/人</w:t>
            </w:r>
            <w:r>
              <w:rPr>
                <w:rFonts w:hint="eastAsia" w:ascii="宋体" w:hAnsi="宋体" w:cs="宋体"/>
                <w:color w:val="000000" w:themeColor="text1"/>
                <w:sz w:val="20"/>
                <w:szCs w:val="20"/>
                <w:lang w:val="en-US" w:eastAsia="zh-CN"/>
                <w14:textFill>
                  <w14:solidFill>
                    <w14:schemeClr w14:val="tx1"/>
                  </w14:solidFill>
                </w14:textFill>
                <w14:ligatures w14:val="none"/>
              </w:rPr>
              <w:t xml:space="preserve">*</w:t>
            </w: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年为不可竞争费用）</w:t>
            </w:r>
            <w:r/>
          </w:p>
        </w:tc>
        <w:tc>
          <w:tcPr>
            <w:shd w:val="clear" w:color="auto" w:fill="auto"/>
            <w:tcW w:w="975" w:type="dxa"/>
            <w:vAlign w:val="center"/>
            <w:textDirection w:val="lrTb"/>
            <w:noWrap w:val="false"/>
          </w:tcPr>
          <w:p>
            <w:pPr>
              <w:jc w:val="center"/>
              <w:spacing w:after="0" w:line="240" w:lineRule="auto"/>
              <w:widowControl/>
              <w:rPr>
                <w:rFonts w:hint="eastAsia" w:ascii="宋体" w:hAnsi="宋体" w:eastAsia="宋体" w:cs="宋体"/>
                <w:color w:val="000000"/>
                <w:lang w:val="en-US" w:eastAsia="zh-CN"/>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项</w:t>
            </w: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p>
        </w:tc>
        <w:tc>
          <w:tcPr>
            <w:shd w:val="clear" w:color="auto" w:fill="auto"/>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500元/人</w:t>
            </w:r>
            <w:r>
              <w:rPr>
                <w:rFonts w:hint="eastAsia" w:ascii="宋体" w:hAnsi="宋体" w:cs="宋体"/>
                <w:color w:val="000000" w:themeColor="text1"/>
                <w:sz w:val="20"/>
                <w:szCs w:val="20"/>
                <w:lang w:val="en-US" w:eastAsia="zh-CN"/>
                <w14:textFill>
                  <w14:solidFill>
                    <w14:schemeClr w14:val="tx1"/>
                  </w14:solidFill>
                </w14:textFill>
                <w14:ligatures w14:val="none"/>
              </w:rPr>
              <w:t xml:space="preserve">*</w:t>
            </w: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年</w:t>
            </w:r>
            <w:r/>
          </w:p>
        </w:tc>
        <w:tc>
          <w:tcPr>
            <w:shd w:val="clear" w:color="auto" w:fill="auto"/>
            <w:tcW w:w="887"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19</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18"/>
                <w:szCs w:val="18"/>
                <w:lang w:val="zh-CN"/>
                <w14:textFill>
                  <w14:solidFill>
                    <w14:schemeClr w14:val="tx1"/>
                  </w14:solidFill>
                </w14:textFill>
                <w14:ligatures w14:val="none"/>
              </w:rPr>
            </w:pPr>
            <w:r>
              <w:rPr>
                <w:rFonts w:hint="eastAsia" w:ascii="宋体" w:hAnsi="宋体" w:eastAsia="宋体" w:cs="宋体"/>
                <w:b/>
                <w:bCs/>
                <w:color w:val="000000" w:themeColor="text1"/>
                <w:sz w:val="18"/>
                <w:szCs w:val="18"/>
                <w:lang w:eastAsia="zh-CN"/>
                <w14:textFill>
                  <w14:solidFill>
                    <w14:schemeClr w14:val="tx1"/>
                  </w14:solidFill>
                </w14:textFill>
                <w14:ligatures w14:val="none"/>
              </w:rPr>
              <w:t xml:space="preserve">（不可竞争费用）</w:t>
            </w:r>
            <w:r/>
          </w:p>
        </w:tc>
      </w:tr>
      <w:tr>
        <w:trPr>
          <w:trHeight w:val="732"/>
        </w:trPr>
        <w:tc>
          <w:tcPr>
            <w:tcW w:w="625" w:type="dxa"/>
            <w:vAlign w:val="center"/>
            <w:vMerge w:val="restart"/>
            <w:textDirection w:val="lrTb"/>
            <w:noWrap w:val="false"/>
          </w:tcPr>
          <w:p>
            <w:pPr>
              <w:jc w:val="center"/>
              <w:spacing w:after="0" w:line="240" w:lineRule="auto"/>
              <w:widowControl/>
              <w:rPr>
                <w:rFonts w:hint="eastAsia" w:ascii="宋体" w:hAnsi="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4</w:t>
            </w:r>
            <w:r>
              <w:rPr>
                <w:rFonts w:hint="eastAsia" w:ascii="宋体" w:hAnsi="宋体" w:cs="宋体"/>
                <w:color w:val="000000" w:themeColor="text1"/>
                <w:sz w:val="20"/>
                <w:szCs w:val="20"/>
                <w:lang w:val="en-US" w:eastAsia="zh-CN"/>
                <w14:textFill>
                  <w14:solidFill>
                    <w14:schemeClr w14:val="tx1"/>
                  </w14:solidFill>
                </w14:textFill>
                <w14:ligatures w14:val="none"/>
              </w:rPr>
            </w:r>
          </w:p>
        </w:tc>
        <w:tc>
          <w:tcPr>
            <w:tcW w:w="21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正东、才堂、兴隆三个新型社区能耗费用</w:t>
            </w:r>
            <w:r/>
          </w:p>
        </w:tc>
        <w:tc>
          <w:tcPr>
            <w:shd w:val="clear" w:color="ffffff" w:fill="ffffff"/>
            <w:tcW w:w="97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W w:w="111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80000元/年</w:t>
            </w:r>
            <w:r/>
          </w:p>
        </w:tc>
        <w:tc>
          <w:tcPr>
            <w:tcW w:w="8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W w:w="10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W w:w="30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（不可竞争费用）</w:t>
            </w:r>
            <w:r/>
          </w:p>
        </w:tc>
      </w:tr>
      <w:tr>
        <w:trPr>
          <w:trHeight w:val="732"/>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5</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t xml:space="preserve">不可预见费等</w:t>
            </w:r>
            <w:r/>
          </w:p>
        </w:tc>
        <w:tc>
          <w:tcPr>
            <w:shd w:val="clear" w:color="auto" w:fill="auto"/>
            <w:tcW w:w="975" w:type="dxa"/>
            <w:vAlign w:val="center"/>
            <w:textDirection w:val="lrTb"/>
            <w:noWrap w:val="false"/>
          </w:tcPr>
          <w:p>
            <w:pPr>
              <w:jc w:val="center"/>
              <w:spacing w:after="0" w:line="240" w:lineRule="auto"/>
              <w:widowControl/>
              <w:rPr>
                <w:rFonts w:hint="default" w:ascii="宋体" w:hAnsi="宋体" w:eastAsia="宋体" w:cs="宋体"/>
                <w:color w:val="000000"/>
                <w:lang w:val="en-US" w:eastAsia="zh-CN" w:bidi="ar-SA"/>
              </w:rPr>
            </w:pPr>
            <w:r>
              <w:rPr>
                <w:rFonts w:hint="eastAsia" w:ascii="宋体" w:hAnsi="宋体" w:cs="宋体"/>
                <w:color w:val="000000" w:themeColor="text1"/>
                <w:sz w:val="20"/>
                <w:szCs w:val="20"/>
                <w:lang w:eastAsia="zh-CN"/>
                <w14:textFill>
                  <w14:solidFill>
                    <w14:schemeClr w14:val="tx1"/>
                  </w14:solidFill>
                </w14:textFill>
                <w14:ligatures w14:val="none"/>
              </w:rPr>
              <w:t xml:space="preserve">项</w:t>
            </w:r>
            <w:r>
              <w:rPr>
                <w:rFonts w:hint="default" w:ascii="宋体" w:hAnsi="宋体" w:eastAsia="宋体" w:cs="宋体"/>
                <w:color w:val="000000" w:themeColor="text1"/>
                <w:sz w:val="20"/>
                <w:szCs w:val="20"/>
                <w:lang w:val="en-US" w:eastAsia="zh-CN" w:bidi="ar-SA"/>
                <w14:textFill>
                  <w14:solidFill>
                    <w14:schemeClr w14:val="tx1"/>
                  </w14:solidFill>
                </w14:textFill>
                <w14:ligatures w14:val="none"/>
              </w:rPr>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887"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t xml:space="preserve">1</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18"/>
                <w:szCs w:val="18"/>
                <w:lang w:val="zh-CN"/>
                <w14:textFill>
                  <w14:solidFill>
                    <w14:schemeClr w14:val="tx1"/>
                  </w14:solidFill>
                </w14:textFill>
                <w14:ligatures w14:val="none"/>
              </w:rPr>
            </w:pPr>
            <w:r>
              <w:rPr>
                <w:rFonts w:hint="eastAsia" w:ascii="宋体" w:hAnsi="宋体" w:eastAsia="宋体" w:cs="宋体"/>
                <w:color w:val="000000" w:themeColor="text1"/>
                <w:sz w:val="18"/>
                <w:szCs w:val="18"/>
                <w:lang w:val="zh-CN"/>
                <w14:textFill>
                  <w14:solidFill>
                    <w14:schemeClr w14:val="tx1"/>
                  </w14:solidFill>
                </w14:textFill>
                <w14:ligatures w14:val="none"/>
              </w:rPr>
              <w:t xml:space="preserve">其他投标人为完成招标文件规定的服务工作所涉及到的一切相关费用</w:t>
            </w:r>
            <w:r/>
          </w:p>
        </w:tc>
      </w:tr>
      <w:tr>
        <w:trPr>
          <w:trHeight w:val="564"/>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6</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t xml:space="preserve">利润（管理费）</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rPr>
            </w:pPr>
            <w:r>
              <w:rPr>
                <w:rFonts w:hint="eastAsia" w:ascii="宋体" w:hAnsi="宋体" w:eastAsia="宋体" w:cs="宋体"/>
                <w:color w:val="000000" w:themeColor="text1"/>
                <w:sz w:val="20"/>
                <w:szCs w:val="20"/>
                <w14:textFill>
                  <w14:solidFill>
                    <w14:schemeClr w14:val="tx1"/>
                  </w14:solidFill>
                </w14:textFill>
                <w14:ligatures w14:val="none"/>
              </w:rPr>
              <w:t xml:space="preserve">项</w:t>
            </w:r>
            <w:r>
              <w:rPr>
                <w:rFonts w:hint="eastAsia" w:ascii="宋体" w:hAnsi="宋体" w:eastAsia="宋体" w:cs="宋体"/>
                <w:color w:val="000000" w:themeColor="text1"/>
                <w:sz w:val="20"/>
                <w:szCs w:val="20"/>
                <w14:textFill>
                  <w14:solidFill>
                    <w14:schemeClr w14:val="tx1"/>
                  </w14:solidFill>
                </w14:textFill>
                <w14:ligatures w14:val="none"/>
              </w:rPr>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18"/>
                <w:szCs w:val="18"/>
                <w14:textFill>
                  <w14:solidFill>
                    <w14:schemeClr w14:val="tx1"/>
                  </w14:solidFill>
                </w14:textFill>
                <w14:ligatures w14:val="none"/>
              </w:rPr>
            </w:pPr>
            <w:r>
              <w:rPr>
                <w:rFonts w:hint="eastAsia" w:ascii="宋体" w:hAnsi="宋体" w:eastAsia="宋体" w:cs="宋体"/>
                <w:color w:val="000000" w:themeColor="text1"/>
                <w:sz w:val="18"/>
                <w:szCs w:val="18"/>
                <w:lang w:val="en-US" w:eastAsia="zh-CN"/>
                <w14:textFill>
                  <w14:solidFill>
                    <w14:schemeClr w14:val="tx1"/>
                  </w14:solidFill>
                </w14:textFill>
                <w14:ligatures w14:val="none"/>
              </w:rPr>
              <w:t xml:space="preserve">投标人依据自身的情况综合考虑</w:t>
            </w:r>
            <w:r/>
          </w:p>
        </w:tc>
      </w:tr>
      <w:tr>
        <w:trPr>
          <w:trHeight w:val="842"/>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7</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t xml:space="preserve">法定税费</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项</w:t>
            </w: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t xml:space="preserve">6.72%</w:t>
            </w:r>
            <w:r/>
          </w:p>
        </w:tc>
        <w:tc>
          <w:tcPr>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b/>
                <w:color w:val="000000" w:themeColor="text1"/>
                <w:sz w:val="20"/>
                <w:szCs w:val="20"/>
                <w14:textFill>
                  <w14:solidFill>
                    <w14:schemeClr w14:val="tx1"/>
                  </w14:solidFill>
                </w14:textFill>
                <w14:ligatures w14:val="none"/>
              </w:rPr>
              <w:t xml:space="preserve">（1+2+…+</w:t>
            </w:r>
            <w:r>
              <w:rPr>
                <w:rFonts w:hint="eastAsia" w:ascii="宋体" w:hAnsi="宋体" w:cs="宋体"/>
                <w:b/>
                <w:color w:val="000000" w:themeColor="text1"/>
                <w:sz w:val="20"/>
                <w:szCs w:val="20"/>
                <w:lang w:val="en-US" w:eastAsia="zh-CN"/>
                <w14:textFill>
                  <w14:solidFill>
                    <w14:schemeClr w14:val="tx1"/>
                  </w14:solidFill>
                </w14:textFill>
                <w14:ligatures w14:val="none"/>
              </w:rPr>
              <w:t xml:space="preserve">6</w:t>
            </w:r>
            <w:r>
              <w:rPr>
                <w:rFonts w:hint="eastAsia" w:ascii="宋体" w:hAnsi="宋体" w:eastAsia="宋体" w:cs="宋体"/>
                <w:b/>
                <w:color w:val="000000" w:themeColor="text1"/>
                <w:sz w:val="20"/>
                <w:szCs w:val="20"/>
                <w14:textFill>
                  <w14:solidFill>
                    <w14:schemeClr w14:val="tx1"/>
                  </w14:solidFill>
                </w14:textFill>
                <w14:ligatures w14:val="none"/>
              </w:rPr>
              <w:t xml:space="preserve">）</w:t>
            </w:r>
            <w:r>
              <w:rPr>
                <w:rFonts w:hint="eastAsia" w:ascii="宋体" w:hAnsi="宋体" w:eastAsia="宋体" w:cs="宋体"/>
                <w:color w:val="000000" w:themeColor="text1"/>
                <w:sz w:val="20"/>
                <w:szCs w:val="20"/>
                <w14:textFill>
                  <w14:solidFill>
                    <w14:schemeClr w14:val="tx1"/>
                  </w14:solidFill>
                </w14:textFill>
                <w14:ligatures w14:val="none"/>
              </w:rPr>
              <w:t xml:space="preserve">*6.72%</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default" w:ascii="宋体" w:hAnsi="宋体" w:eastAsia="宋体" w:cs="宋体"/>
                <w:color w:val="000000" w:themeColor="text1"/>
                <w:sz w:val="20"/>
                <w:szCs w:val="20"/>
                <w:lang w:val="en-US" w:eastAsia="zh-CN"/>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default" w:ascii="宋体" w:hAnsi="宋体" w:eastAsia="宋体" w:cs="宋体"/>
                <w:color w:val="000000" w:themeColor="text1"/>
                <w:sz w:val="18"/>
                <w:szCs w:val="18"/>
                <w:lang w:val="en-US" w:eastAsia="zh-CN"/>
                <w14:textFill>
                  <w14:solidFill>
                    <w14:schemeClr w14:val="tx1"/>
                  </w14:solidFill>
                </w14:textFill>
                <w14:ligatures w14:val="none"/>
              </w:rPr>
            </w:pPr>
            <w:r>
              <w:rPr>
                <w:rFonts w:hint="eastAsia" w:ascii="宋体" w:hAnsi="宋体" w:eastAsia="宋体" w:cs="宋体"/>
                <w:color w:val="000000" w:themeColor="text1"/>
                <w:sz w:val="18"/>
                <w:szCs w:val="18"/>
                <w:lang w:val="zh-CN"/>
                <w14:textFill>
                  <w14:solidFill>
                    <w14:schemeClr w14:val="tx1"/>
                  </w14:solidFill>
                </w14:textFill>
                <w14:ligatures w14:val="none"/>
              </w:rPr>
              <w:t xml:space="preserve">投标人填报的税金费率统一按6.72%进行</w:t>
            </w:r>
            <w:r>
              <w:rPr>
                <w:rFonts w:hint="eastAsia" w:ascii="宋体" w:hAnsi="宋体" w:eastAsia="宋体" w:cs="宋体"/>
                <w:color w:val="000000" w:themeColor="text1"/>
                <w:sz w:val="18"/>
                <w:szCs w:val="18"/>
                <w14:textFill>
                  <w14:solidFill>
                    <w14:schemeClr w14:val="tx1"/>
                  </w14:solidFill>
                </w14:textFill>
                <w14:ligatures w14:val="none"/>
              </w:rPr>
              <w:t xml:space="preserve">计算</w:t>
            </w:r>
            <w:r/>
          </w:p>
        </w:tc>
      </w:tr>
      <w:tr>
        <w:trPr>
          <w:trHeight w:val="698"/>
        </w:trPr>
        <w:tc>
          <w:tcPr>
            <w:gridSpan w:val="2"/>
            <w:tcW w:w="2787" w:type="dxa"/>
            <w:vAlign w:val="center"/>
            <w:textDirection w:val="lrTb"/>
            <w:noWrap w:val="false"/>
          </w:tcPr>
          <w:p>
            <w:pPr>
              <w:jc w:val="center"/>
              <w:spacing w:after="0" w:line="240" w:lineRule="auto"/>
              <w:widowControl/>
              <w:rPr>
                <w:rFonts w:hint="eastAsia" w:ascii="宋体" w:hAnsi="宋体" w:eastAsia="宋体" w:cs="宋体"/>
                <w:b/>
                <w:color w:val="000000" w:themeColor="text1"/>
                <w:sz w:val="20"/>
                <w:szCs w:val="20"/>
                <w:lang w:eastAsia="zh-CN"/>
                <w14:textFill>
                  <w14:solidFill>
                    <w14:schemeClr w14:val="tx1"/>
                  </w14:solidFill>
                </w14:textFill>
                <w14:ligatures w14:val="none"/>
              </w:rPr>
            </w:pPr>
            <w:r>
              <w:rPr>
                <w:rFonts w:hint="eastAsia" w:ascii="宋体" w:hAnsi="宋体" w:eastAsia="宋体" w:cs="宋体"/>
                <w:b/>
                <w:color w:val="000000" w:themeColor="text1"/>
                <w:sz w:val="20"/>
                <w:szCs w:val="20"/>
                <w14:textFill>
                  <w14:solidFill>
                    <w14:schemeClr w14:val="tx1"/>
                  </w14:solidFill>
                </w14:textFill>
                <w14:ligatures w14:val="none"/>
              </w:rPr>
              <w:t xml:space="preserve">投标总报价</w:t>
            </w:r>
            <w:r>
              <w:rPr>
                <w:rFonts w:hint="eastAsia" w:ascii="宋体" w:hAnsi="宋体" w:cs="宋体"/>
                <w:b/>
                <w:color w:val="000000" w:themeColor="text1"/>
                <w:sz w:val="20"/>
                <w:szCs w:val="20"/>
                <w:lang w:eastAsia="zh-CN"/>
                <w14:textFill>
                  <w14:solidFill>
                    <w14:schemeClr w14:val="tx1"/>
                  </w14:solidFill>
                </w14:textFill>
                <w14:ligatures w14:val="none"/>
              </w:rPr>
              <w:t xml:space="preserve">（</w:t>
            </w:r>
            <w:r>
              <w:rPr>
                <w:rFonts w:hint="eastAsia" w:ascii="宋体" w:hAnsi="宋体" w:cs="宋体"/>
                <w:b/>
                <w:color w:val="000000" w:themeColor="text1"/>
                <w:sz w:val="20"/>
                <w:szCs w:val="20"/>
                <w:lang w:val="en-US" w:eastAsia="zh-CN"/>
                <w14:textFill>
                  <w14:solidFill>
                    <w14:schemeClr w14:val="tx1"/>
                  </w14:solidFill>
                </w14:textFill>
                <w14:ligatures w14:val="none"/>
              </w:rPr>
              <w:t xml:space="preserve">12个月费用</w:t>
            </w:r>
            <w:r>
              <w:rPr>
                <w:rFonts w:hint="eastAsia" w:ascii="宋体" w:hAnsi="宋体" w:cs="宋体"/>
                <w:b/>
                <w:color w:val="000000" w:themeColor="text1"/>
                <w:sz w:val="20"/>
                <w:szCs w:val="20"/>
                <w:lang w:eastAsia="zh-CN"/>
                <w14:textFill>
                  <w14:solidFill>
                    <w14:schemeClr w14:val="tx1"/>
                  </w14:solidFill>
                </w14:textFill>
                <w14:ligatures w14:val="none"/>
              </w:rPr>
              <w:t xml:space="preserve">）</w:t>
            </w:r>
            <w:r/>
          </w:p>
        </w:tc>
        <w:tc>
          <w:tcPr>
            <w:tcW w:w="975" w:type="dxa"/>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887" w:type="dxa"/>
            <w:vAlign w:val="center"/>
            <w:textDirection w:val="lrTb"/>
            <w:noWrap w:val="false"/>
          </w:tcPr>
          <w:p>
            <w:pPr>
              <w:jc w:val="center"/>
              <w:spacing w:after="0" w:line="240" w:lineRule="auto"/>
              <w:widowControl/>
              <w:rPr>
                <w:rFonts w:hint="eastAsia" w:ascii="宋体" w:hAnsi="宋体" w:eastAsia="宋体" w:cs="宋体"/>
                <w:b/>
                <w:color w:val="000000" w:themeColor="text1"/>
                <w:sz w:val="20"/>
                <w:szCs w:val="20"/>
                <w14:textFill>
                  <w14:solidFill>
                    <w14:schemeClr w14:val="tx1"/>
                  </w14:solidFill>
                </w14:textFill>
                <w14:ligatures w14:val="none"/>
              </w:rPr>
            </w:pPr>
            <w:r>
              <w:rPr>
                <w:rFonts w:hint="eastAsia" w:ascii="宋体" w:hAnsi="宋体" w:eastAsia="宋体" w:cs="宋体"/>
                <w:b/>
                <w:color w:val="000000" w:themeColor="text1"/>
                <w:sz w:val="20"/>
                <w:szCs w:val="20"/>
                <w14:textFill>
                  <w14:solidFill>
                    <w14:schemeClr w14:val="tx1"/>
                  </w14:solidFill>
                </w14:textFill>
                <w14:ligatures w14:val="none"/>
              </w:rPr>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default" w:ascii="宋体" w:hAnsi="宋体" w:eastAsia="宋体" w:cs="宋体"/>
                <w:color w:val="000000" w:themeColor="text1"/>
                <w:sz w:val="20"/>
                <w:szCs w:val="20"/>
                <w:lang w:val="en-US" w:eastAsia="zh-CN"/>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default" w:ascii="宋体" w:hAnsi="宋体" w:eastAsia="宋体" w:cs="宋体"/>
                <w:color w:val="000000" w:themeColor="text1"/>
                <w:sz w:val="18"/>
                <w:szCs w:val="18"/>
                <w:lang w:val="en-US" w:eastAsia="zh-CN"/>
                <w14:textFill>
                  <w14:solidFill>
                    <w14:schemeClr w14:val="tx1"/>
                  </w14:solidFill>
                </w14:textFill>
                <w14:ligatures w14:val="none"/>
              </w:rPr>
            </w:pPr>
            <w:r>
              <w:rPr>
                <w:rFonts w:hint="eastAsia" w:ascii="宋体" w:hAnsi="宋体" w:cs="宋体"/>
                <w:b/>
                <w:color w:val="000000" w:themeColor="text1"/>
                <w:sz w:val="18"/>
                <w:szCs w:val="18"/>
                <w:lang w:eastAsia="zh-CN"/>
                <w14:textFill>
                  <w14:solidFill>
                    <w14:schemeClr w14:val="tx1"/>
                  </w14:solidFill>
                </w14:textFill>
                <w14:ligatures w14:val="none"/>
              </w:rPr>
              <w:t xml:space="preserve">计算式：</w:t>
            </w:r>
            <w:r>
              <w:rPr>
                <w:rFonts w:hint="eastAsia" w:ascii="宋体" w:hAnsi="宋体" w:eastAsia="宋体" w:cs="宋体"/>
                <w:b/>
                <w:color w:val="000000" w:themeColor="text1"/>
                <w:sz w:val="18"/>
                <w:szCs w:val="18"/>
                <w14:textFill>
                  <w14:solidFill>
                    <w14:schemeClr w14:val="tx1"/>
                  </w14:solidFill>
                </w14:textFill>
                <w14:ligatures w14:val="none"/>
              </w:rPr>
              <w:t xml:space="preserve">（1+2+…+</w:t>
            </w:r>
            <w:r>
              <w:rPr>
                <w:rFonts w:hint="eastAsia" w:ascii="宋体" w:hAnsi="宋体" w:cs="宋体"/>
                <w:b/>
                <w:color w:val="000000" w:themeColor="text1"/>
                <w:sz w:val="18"/>
                <w:szCs w:val="18"/>
                <w:lang w:val="en-US" w:eastAsia="zh-CN"/>
                <w14:textFill>
                  <w14:solidFill>
                    <w14:schemeClr w14:val="tx1"/>
                  </w14:solidFill>
                </w14:textFill>
                <w14:ligatures w14:val="none"/>
              </w:rPr>
              <w:t xml:space="preserve">7</w:t>
            </w:r>
            <w:r>
              <w:rPr>
                <w:rFonts w:hint="eastAsia" w:ascii="宋体" w:hAnsi="宋体" w:eastAsia="宋体" w:cs="宋体"/>
                <w:b/>
                <w:color w:val="000000" w:themeColor="text1"/>
                <w:sz w:val="18"/>
                <w:szCs w:val="18"/>
                <w14:textFill>
                  <w14:solidFill>
                    <w14:schemeClr w14:val="tx1"/>
                  </w14:solidFill>
                </w14:textFill>
                <w14:ligatures w14:val="none"/>
              </w:rPr>
              <w:t xml:space="preserve">）</w:t>
            </w:r>
            <w:r/>
          </w:p>
        </w:tc>
      </w:tr>
    </w:tbl>
    <w:p>
      <w:pPr>
        <w:jc w:val="both"/>
        <w:keepLines w:val="0"/>
        <w:keepNext w:val="0"/>
        <w:pageBreakBefore w:val="0"/>
        <w:spacing w:after="0" w:line="216" w:lineRule="auto"/>
        <w:widowControl w:val="off"/>
        <w:rPr>
          <w:rFonts w:hint="eastAsia" w:ascii="宋体" w:hAnsi="宋体" w:eastAsia="宋体" w:cs="宋体"/>
          <w:b/>
          <w:bCs/>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14:textFill>
            <w14:solidFill>
              <w14:schemeClr w14:val="tx1"/>
            </w14:solidFill>
          </w14:textFill>
          <w14:ligatures w14:val="none"/>
        </w:rPr>
        <w:t xml:space="preserve">注： 投标人报价时应充分考虑服务期内所有可能影响到的因素，一旦投标结束最终成交，除国家政策性调整除外，中标价格将不予调整。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上表须按照盐城市最低工资、社保最低缴纳标准不得低于招标文件要求，如果招标公告发布之后开标前遇政府调整职工最低工资标准或社会保险缴纳基数，评标委员会进行符合性审查时可仍按上述标准审查，中标后，采购人与中标人应按照最新政策文件规定执行。此表为表样，行数可自行添加，但表式不变。</w:t>
      </w:r>
      <w:r/>
    </w:p>
    <w:p>
      <w:pPr>
        <w:jc w:val="right"/>
        <w:keepLines w:val="0"/>
        <w:keepNext w:val="0"/>
        <w:pageBreakBefore w:val="0"/>
        <w:spacing w:after="0" w:line="216" w:lineRule="auto"/>
        <w:widowControl w:val="off"/>
        <w:rPr>
          <w:rFonts w:hint="eastAsia" w:ascii="宋体" w:hAnsi="宋体" w:eastAsia="宋体" w:cs="宋体"/>
          <w:b w:val="0"/>
          <w:bCs w:val="0"/>
          <w:color w:val="000000" w:themeColor="text1"/>
          <w:sz w:val="21"/>
          <w:szCs w:val="21"/>
          <w14:textFill>
            <w14:solidFill>
              <w14:schemeClr w14:val="tx1"/>
            </w14:solidFill>
          </w14:textFill>
          <w14:ligatures w14:val="none"/>
        </w:rPr>
      </w:pPr>
      <w:r>
        <w:rPr>
          <w:rFonts w:hint="eastAsia" w:ascii="宋体" w:hAnsi="宋体" w:eastAsia="宋体" w:cs="宋体"/>
          <w:b w:val="0"/>
          <w:bCs w:val="0"/>
          <w:color w:val="000000" w:themeColor="text1"/>
          <w:sz w:val="21"/>
          <w:szCs w:val="21"/>
          <w14:textFill>
            <w14:solidFill>
              <w14:schemeClr w14:val="tx1"/>
            </w14:solidFill>
          </w14:textFill>
          <w14:ligatures w14:val="none"/>
        </w:rPr>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b/>
          <w:bCs/>
          <w:color w:val="000000" w:themeColor="text1"/>
          <w:sz w:val="21"/>
          <w:szCs w:val="21"/>
          <w14:textFill>
            <w14:solidFill>
              <w14:schemeClr w14:val="tx1"/>
            </w14:solidFill>
          </w14:textFill>
          <w14:ligatures w14:val="none"/>
        </w:rPr>
        <w:t xml:space="preserve">日期： 年  月  日</w:t>
      </w:r>
      <w:r/>
      <w:r>
        <w:rPr>
          <w:rFonts w:hint="eastAsia" w:ascii="宋体" w:hAnsi="宋体" w:eastAsia="宋体" w:cs="宋体"/>
          <w:b w:val="0"/>
          <w:bCs w:val="0"/>
          <w:color w:val="000000" w:themeColor="text1"/>
          <w:sz w:val="21"/>
          <w:szCs w:val="21"/>
          <w14:textFill>
            <w14:solidFill>
              <w14:schemeClr w14:val="tx1"/>
            </w14:solidFill>
          </w14:textFill>
          <w14:ligatures w14:val="none"/>
        </w:rPr>
      </w:r>
      <w:r>
        <w:rPr>
          <w:rFonts w:hint="eastAsia" w:ascii="宋体" w:hAnsi="宋体" w:eastAsia="宋体" w:cs="宋体"/>
          <w:b w:val="0"/>
          <w:bCs w:val="0"/>
          <w:color w:val="000000" w:themeColor="text1"/>
          <w:sz w:val="21"/>
          <w:szCs w:val="21"/>
          <w14:textFill>
            <w14:solidFill>
              <w14:schemeClr w14:val="tx1"/>
            </w14:solidFill>
          </w14:textFill>
          <w14:ligatures w14:val="none"/>
        </w:rPr>
      </w:r>
    </w:p>
    <w:p>
      <w:pPr>
        <w:jc w:val="center"/>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12"/>
        </w:numPr>
        <w:jc w:val="center"/>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t xml:space="preserve">服务方案等</w:t>
      </w:r>
      <w:bookmarkStart w:id="140" w:name="_Hlt26955054"/>
      <w:r/>
      <w:bookmarkEnd w:id="140"/>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宋体" w:hAnsi="宋体" w:eastAsia="宋体" w:cs="宋体"/>
          <w:b/>
          <w:bCs/>
          <w:i/>
          <w:iCs/>
          <w:color w:val="auto"/>
          <w:sz w:val="24"/>
          <w:szCs w:val="20"/>
          <w:highlight w:val="none"/>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auto"/>
          <w:sz w:val="24"/>
          <w:szCs w:val="20"/>
          <w:highlight w:val="none"/>
          <w:u w:val="single"/>
          <w:lang w:val="en-US" w:eastAsia="zh-CN"/>
        </w:rPr>
        <w:t xml:space="preserve">上传的“明标”材料中不得出现与服务方案相关的内容，</w:t>
      </w:r>
      <w:r>
        <w:rPr>
          <w:rFonts w:hint="eastAsia" w:ascii="宋体" w:hAnsi="宋体" w:eastAsia="宋体" w:cs="宋体"/>
          <w:b/>
          <w:bCs/>
          <w:i/>
          <w:iCs/>
          <w:color w:val="auto"/>
          <w:sz w:val="24"/>
          <w:szCs w:val="20"/>
          <w:highlight w:val="none"/>
          <w:u w:val="single"/>
        </w:rPr>
        <w:t xml:space="preserve">违反上述内容的作无效标书处理。</w:t>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both"/>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12"/>
        </w:numPr>
        <w:ind w:left="0" w:firstLine="0"/>
        <w:jc w:val="center"/>
        <w:rPr>
          <w:rFonts w:hint="eastAsia" w:ascii="黑体" w:hAnsi="黑体" w:eastAsia="黑体" w:cs="黑体"/>
          <w:iCs/>
          <w:color w:val="000000" w:themeColor="text1"/>
          <w:sz w:val="28"/>
          <w:szCs w:val="28"/>
          <w:highlight w:val="none"/>
          <w14:textFill>
            <w14:solidFill>
              <w14:schemeClr w14:val="tx1"/>
            </w14:solidFill>
          </w14:textFill>
        </w:rPr>
      </w:pPr>
      <w:r>
        <w:rPr>
          <w:rFonts w:hint="eastAsia" w:ascii="黑体" w:hAnsi="黑体" w:eastAsia="黑体" w:cs="黑体"/>
          <w:iCs/>
          <w:color w:val="000000" w:themeColor="text1"/>
          <w:sz w:val="28"/>
          <w:szCs w:val="28"/>
          <w:highlight w:val="none"/>
          <w14:textFill>
            <w14:solidFill>
              <w14:schemeClr w14:val="tx1"/>
            </w14:solidFill>
          </w14:textFill>
        </w:rPr>
        <w:t xml:space="preserve">盐城市亭湖区政府采购事前信用承诺书</w:t>
      </w:r>
      <w:r/>
    </w:p>
    <w:p>
      <w:pPr>
        <w:numPr>
          <w:ilvl w:val="0"/>
          <w:numId w:val="0"/>
        </w:numPr>
        <w:jc w:val="both"/>
        <w:rPr>
          <w:rFonts w:hint="eastAsia" w:ascii="黑体" w:hAnsi="黑体" w:eastAsia="黑体" w:cs="黑体"/>
          <w:iCs/>
          <w:color w:val="000000" w:themeColor="text1"/>
          <w:sz w:val="28"/>
          <w:szCs w:val="28"/>
          <w:highlight w:val="none"/>
          <w14:textFill>
            <w14:solidFill>
              <w14:schemeClr w14:val="tx1"/>
            </w14:solidFill>
          </w14:textFill>
        </w:rPr>
      </w:pPr>
      <w:r>
        <w:rPr>
          <w:rFonts w:hint="eastAsia" w:ascii="黑体" w:hAnsi="黑体" w:eastAsia="黑体" w:cs="黑体"/>
          <w:iCs/>
          <w:color w:val="000000" w:themeColor="text1"/>
          <w:sz w:val="28"/>
          <w:szCs w:val="28"/>
          <w:highlight w:val="none"/>
          <w14:textFill>
            <w14:solidFill>
              <w14:schemeClr w14:val="tx1"/>
            </w14:solidFill>
          </w14:textFill>
        </w:rPr>
      </w:r>
      <w:r/>
    </w:p>
    <w:p>
      <w:pPr>
        <w:ind w:firstLine="420"/>
        <w:jc w:val="left"/>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为营造我区公开、公平、公正、诚实守信的政府采购交易环境，树立诚信守法的投标人形象，本人代表本单位作出以下承诺：</w:t>
      </w:r>
      <w:r/>
    </w:p>
    <w:p>
      <w:pPr>
        <w:ind w:firstLine="420"/>
        <w:jc w:val="left"/>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20"/>
        <w:jc w:val="left"/>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jc w:val="left"/>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（三）严格依照国家和省、市关于政府采购的法律、法规、规章、规范性文件，参加政府采购投标活动；积极履行社会责任，促进廉政建设； </w:t>
      </w:r>
      <w:r/>
    </w:p>
    <w:p>
      <w:pPr>
        <w:ind w:firstLine="420"/>
        <w:jc w:val="left"/>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（四）严格遵守即时信息公示规定，及时维护和更新维护和更新盐城市政府采购网中与本单位相关的信息；</w:t>
      </w:r>
      <w:r/>
    </w:p>
    <w:p>
      <w:pPr>
        <w:ind w:firstLine="420"/>
        <w:jc w:val="left"/>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20"/>
        <w:jc w:val="left"/>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 （六）自觉接受政府、行业组织、社会公众、新闻舆论的监督；</w:t>
      </w:r>
      <w:r/>
    </w:p>
    <w:p>
      <w:pPr>
        <w:ind w:firstLine="420"/>
        <w:jc w:val="left"/>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 （八）本人已认真阅读了上述承诺，并向本单位员工作了宣传教育。</w:t>
      </w:r>
      <w:r/>
    </w:p>
    <w:p>
      <w:pPr>
        <w:ind w:firstLine="420"/>
        <w:spacing w:line="400" w:lineRule="exact"/>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                                                      法定代表人（签名）：          </w:t>
      </w:r>
      <w:r/>
    </w:p>
    <w:p>
      <w:pPr>
        <w:ind w:firstLine="5670"/>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单位名称（盖章）：          </w:t>
      </w:r>
      <w:r/>
    </w:p>
    <w:p>
      <w:pPr>
        <w:ind w:firstLine="5880"/>
        <w:spacing w:line="400" w:lineRule="exact"/>
        <w:widowControl/>
        <w:rPr>
          <w:rFonts w:ascii="黑体" w:hAnsi="黑体" w:eastAsia="黑体" w:cs="黑体"/>
          <w:iCs/>
          <w:color w:val="000000" w:themeColor="text1"/>
          <w:szCs w:val="28"/>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年   月   日</w:t>
      </w:r>
      <w:r/>
    </w:p>
    <w:p>
      <w:pPr>
        <w:jc w:val="center"/>
        <w:spacing w:line="400" w:lineRule="exact"/>
        <w:widowControl/>
        <w:rPr>
          <w:rFonts w:ascii="黑体" w:hAnsi="黑体" w:eastAsia="黑体" w:cs="黑体"/>
          <w:iCs/>
          <w:color w:val="000000" w:themeColor="text1"/>
          <w:szCs w:val="28"/>
          <w:highlight w:val="none"/>
          <w14:textFill>
            <w14:solidFill>
              <w14:schemeClr w14:val="tx1"/>
            </w14:solidFill>
          </w14:textFill>
        </w:rPr>
      </w:pPr>
      <w:r>
        <w:rPr>
          <w:rFonts w:ascii="黑体" w:hAnsi="黑体" w:eastAsia="黑体" w:cs="黑体"/>
          <w:iCs/>
          <w:color w:val="000000" w:themeColor="text1"/>
          <w:szCs w:val="28"/>
          <w:highlight w:val="none"/>
          <w14:textFill>
            <w14:solidFill>
              <w14:schemeClr w14:val="tx1"/>
            </w14:solidFill>
          </w14:textFill>
        </w:rPr>
      </w:r>
      <w:r/>
    </w:p>
    <w:p>
      <w:pPr>
        <w:jc w:val="center"/>
        <w:spacing w:line="400" w:lineRule="exact"/>
        <w:widowControl/>
        <w:rPr>
          <w:rFonts w:ascii="黑体" w:hAnsi="黑体" w:eastAsia="黑体" w:cs="黑体"/>
          <w:iCs/>
          <w:color w:val="000000" w:themeColor="text1"/>
          <w:szCs w:val="28"/>
          <w:highlight w:val="none"/>
          <w14:textFill>
            <w14:solidFill>
              <w14:schemeClr w14:val="tx1"/>
            </w14:solidFill>
          </w14:textFill>
        </w:rPr>
      </w:pPr>
      <w:r>
        <w:rPr>
          <w:rFonts w:ascii="黑体" w:hAnsi="黑体" w:eastAsia="黑体" w:cs="黑体"/>
          <w:iCs/>
          <w:color w:val="000000" w:themeColor="text1"/>
          <w:szCs w:val="28"/>
          <w:highlight w:val="none"/>
          <w14:textFill>
            <w14:solidFill>
              <w14:schemeClr w14:val="tx1"/>
            </w14:solidFill>
          </w14:textFill>
        </w:rPr>
      </w:r>
      <w:r/>
    </w:p>
    <w:p>
      <w:pPr>
        <w:jc w:val="center"/>
        <w:spacing w:line="400" w:lineRule="exact"/>
        <w:widowControl/>
        <w:rPr>
          <w:rFonts w:ascii="黑体" w:hAnsi="黑体" w:eastAsia="黑体" w:cs="黑体"/>
          <w:iCs/>
          <w:color w:val="000000" w:themeColor="text1"/>
          <w:szCs w:val="28"/>
          <w:highlight w:val="none"/>
          <w14:textFill>
            <w14:solidFill>
              <w14:schemeClr w14:val="tx1"/>
            </w14:solidFill>
          </w14:textFill>
        </w:rPr>
      </w:pPr>
      <w:r>
        <w:rPr>
          <w:rFonts w:ascii="黑体" w:hAnsi="黑体" w:eastAsia="黑体" w:cs="黑体"/>
          <w:iCs/>
          <w:color w:val="000000" w:themeColor="text1"/>
          <w:szCs w:val="28"/>
          <w:highlight w:val="none"/>
          <w14:textFill>
            <w14:solidFill>
              <w14:schemeClr w14:val="tx1"/>
            </w14:solidFill>
          </w14:textFill>
        </w:rPr>
      </w:r>
      <w:r/>
    </w:p>
    <w:p>
      <w:pPr>
        <w:ind w:firstLine="562"/>
        <w:jc w:val="center"/>
        <w:spacing w:line="360" w:lineRule="auto"/>
        <w:widowControl/>
        <w:rPr>
          <w:rFonts w:hint="eastAsia" w:ascii="黑体" w:hAnsi="黑体" w:eastAsia="黑体" w:cs="黑体"/>
          <w:i/>
          <w:sz w:val="28"/>
          <w:szCs w:val="28"/>
          <w:u w:val="single"/>
        </w:rPr>
      </w:pPr>
      <w:r>
        <w:rPr>
          <w:rFonts w:hint="eastAsia" w:ascii="黑体" w:hAnsi="黑体" w:eastAsia="黑体" w:cs="黑体"/>
          <w:iCs/>
          <w:color w:val="000000" w:themeColor="text1"/>
          <w:szCs w:val="28"/>
          <w:highlight w:val="none"/>
          <w14:textFill>
            <w14:solidFill>
              <w14:schemeClr w14:val="tx1"/>
            </w14:solidFill>
          </w14:textFill>
        </w:rPr>
        <w:t xml:space="preserve">十七、</w:t>
      </w:r>
      <w:r>
        <w:rPr>
          <w:rFonts w:hint="eastAsia" w:ascii="黑体" w:hAnsi="黑体" w:eastAsia="黑体" w:cs="黑体"/>
          <w:i/>
          <w:sz w:val="28"/>
          <w:szCs w:val="28"/>
          <w:u w:val="single"/>
        </w:rPr>
        <w:t xml:space="preserve">根据招标文件“第五章 定标原则与评标标准”的要求需要提供的服务方案、业绩材料及投标人认为有必要提供的其他材料</w:t>
      </w:r>
      <w:r/>
    </w:p>
    <w:p>
      <w:pPr>
        <w:pStyle w:val="929"/>
        <w:jc w:val="both"/>
        <w:spacing w:beforeAutospacing="0" w:afterAutospacing="0"/>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r>
      <w:r/>
    </w:p>
    <w:p>
      <w:pPr>
        <w:pStyle w:val="929"/>
        <w:jc w:val="center"/>
        <w:spacing w:beforeAutospacing="0" w:afterAutospacing="0"/>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r>
      <w:r/>
    </w:p>
    <w:p>
      <w:pPr>
        <w:pStyle w:val="929"/>
        <w:jc w:val="center"/>
        <w:spacing w:beforeAutospacing="0" w:afterAutospacing="0"/>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r>
      <w:r/>
    </w:p>
    <w:p>
      <w:pPr>
        <w:pStyle w:val="929"/>
        <w:jc w:val="center"/>
        <w:spacing w:beforeAutospacing="0" w:afterAutospacing="0"/>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质疑函范本</w:t>
      </w:r>
      <w:r/>
    </w:p>
    <w:p>
      <w:pPr>
        <w:pStyle w:val="929"/>
        <w:jc w:val="both"/>
        <w:spacing w:before="290"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一、质疑投标人基本信息</w:t>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质疑投标人：</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p>
    <w:p>
      <w:pPr>
        <w:pStyle w:val="929"/>
        <w:jc w:val="both"/>
        <w:spacing w:beforeAutospacing="0" w:afterAutospacing="0"/>
        <w:rPr>
          <w:rFonts w:asciiTheme="minorEastAsia" w:hAnsiTheme="minorEastAsia" w:eastAsiaTheme="minorEastAsia"/>
          <w:bCs/>
          <w:color w:val="000000" w:themeColor="text1"/>
          <w:szCs w:val="24"/>
          <w:highlight w:val="none"/>
          <w:u w:val="singl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地址：</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邮编：</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p>
    <w:p>
      <w:pPr>
        <w:pStyle w:val="929"/>
        <w:jc w:val="both"/>
        <w:spacing w:beforeAutospacing="0" w:afterAutospacing="0"/>
        <w:rPr>
          <w:rFonts w:asciiTheme="minorEastAsia" w:hAnsiTheme="minorEastAsia" w:eastAsiaTheme="minorEastAsia"/>
          <w:bCs/>
          <w:color w:val="000000" w:themeColor="text1"/>
          <w:szCs w:val="24"/>
          <w:highlight w:val="none"/>
          <w:u w:val="singl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联系人：</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联系电话：</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授权代表：</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联系电话：</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p>
    <w:p>
      <w:pPr>
        <w:pStyle w:val="929"/>
        <w:jc w:val="both"/>
        <w:spacing w:beforeAutospacing="0" w:afterAutospacing="0"/>
        <w:rPr>
          <w:rFonts w:asciiTheme="minorEastAsia" w:hAnsiTheme="minorEastAsia" w:eastAsiaTheme="minorEastAsia"/>
          <w:bCs/>
          <w:color w:val="000000" w:themeColor="text1"/>
          <w:szCs w:val="24"/>
          <w:highlight w:val="none"/>
          <w:u w:val="singl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地址：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邮编：</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二、质疑项目基本情况</w:t>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质疑项目的名称：</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929"/>
        <w:jc w:val="both"/>
        <w:spacing w:beforeAutospacing="0" w:afterAutospacing="0"/>
        <w:rPr>
          <w:rFonts w:asciiTheme="minorEastAsia" w:hAnsiTheme="minorEastAsia" w:eastAsiaTheme="minorEastAsia"/>
          <w:bCs/>
          <w:color w:val="000000" w:themeColor="text1"/>
          <w:szCs w:val="24"/>
          <w:highlight w:val="none"/>
          <w:u w:val="singl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质疑项目的编号：</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包号：</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采购人名称：</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采购文件获取日期：</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三、质疑事项具体内容</w:t>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质疑事项1：</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929"/>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事实依据：</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法律依据：</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质疑事项2：</w:t>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w:t>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四、与质疑事项相关的质疑请求</w:t>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请求：</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签字(签章)：                 公章：               日期：</w:t>
      </w:r>
      <w:r/>
    </w:p>
    <w:p>
      <w:pPr>
        <w:pStyle w:val="929"/>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质疑函制作说明：</w:t>
      </w:r>
      <w:r/>
    </w:p>
    <w:p>
      <w:pPr>
        <w:pStyle w:val="929"/>
        <w:ind w:firstLine="480"/>
        <w:spacing w:beforeAutospacing="0" w:afterAutospacing="0"/>
        <w:widowControl/>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1.投标人提出质疑时，应提交质疑函和必要的证明材料。</w:t>
      </w:r>
      <w:r/>
    </w:p>
    <w:p>
      <w:pPr>
        <w:pStyle w:val="929"/>
        <w:ind w:firstLine="480"/>
        <w:spacing w:beforeAutospacing="0" w:afterAutospacing="0"/>
        <w:widowControl/>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929"/>
        <w:ind w:firstLine="480"/>
        <w:spacing w:beforeAutospacing="0" w:afterAutospacing="0"/>
        <w:widowControl/>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3.质疑投标人若对项目的某一分包进行质疑，质疑函中应列明具体分包号。</w:t>
      </w:r>
      <w:r/>
    </w:p>
    <w:p>
      <w:pPr>
        <w:pStyle w:val="929"/>
        <w:ind w:firstLine="480"/>
        <w:spacing w:beforeAutospacing="0" w:afterAutospacing="0"/>
        <w:widowControl/>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4.质疑函的质疑事项应具体、明确，并有必要的事实依据和法律依据。</w:t>
      </w:r>
      <w:r/>
    </w:p>
    <w:p>
      <w:pPr>
        <w:pStyle w:val="929"/>
        <w:ind w:firstLine="480"/>
        <w:spacing w:beforeAutospacing="0" w:afterAutospacing="0"/>
        <w:widowControl/>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5.质疑函的质疑请求应与质疑事项相关。</w:t>
      </w:r>
      <w:r/>
    </w:p>
    <w:p>
      <w:pPr>
        <w:pStyle w:val="929"/>
        <w:ind w:firstLine="480"/>
        <w:spacing w:beforeAutospacing="0" w:afterAutospacing="0"/>
        <w:widowControl/>
        <w:rPr>
          <w:rFonts w:asciiTheme="minorEastAsia" w:hAnsiTheme="minorEastAsia" w:eastAsiaTheme="minorEastAsia"/>
          <w:color w:val="000000" w:themeColor="text1"/>
          <w:szCs w:val="28"/>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6.质疑投标人为自然人的，质疑函应由本人签字；质疑投标人为法人或者其他组织的，质疑函应由法定代表人、主要负责人，或者其授权代表签字或者盖章，并加盖公章。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10"/>
      <w:footerReference w:type="default" r:id="rId12"/>
      <w:footnotePr/>
      <w:endnotePr/>
      <w:type w:val="nextPage"/>
      <w:pgSz w:w="11905" w:h="16838" w:orient="portrait"/>
      <w:pgMar w:top="1440" w:right="1803" w:bottom="1440" w:left="1803" w:header="102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42</w:t>
    </w:r>
    <w:r>
      <w:fldChar w:fldCharType="end"/>
    </w:r>
    <w:r/>
  </w:p>
  <w:p>
    <w:pPr>
      <w:pStyle w:val="75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5"/>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lear" w:pos="4153" w:leader="none"/>
        <w:tab w:val="clear" w:pos="8306" w:leader="none"/>
      </w:tabs>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1"/>
  </w:num>
  <w:num w:numId="3">
    <w:abstractNumId w:val="3"/>
  </w:num>
  <w:num w:numId="4">
    <w:abstractNumId w:val="5"/>
  </w:num>
  <w:num w:numId="5">
    <w:abstractNumId w:val="10"/>
  </w:num>
  <w:num w:numId="6">
    <w:abstractNumId w:val="0"/>
  </w:num>
  <w:num w:numId="7">
    <w:abstractNumId w:val="6"/>
  </w:num>
  <w:num w:numId="8">
    <w:abstractNumId w:val="4"/>
  </w:num>
  <w:num w:numId="9">
    <w:abstractNumId w:val="7"/>
  </w:num>
  <w:num w:numId="10">
    <w:abstractNumId w:val="2"/>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link w:val="924"/>
    <w:uiPriority w:val="0"/>
    <w:qFormat/>
    <w:pPr>
      <w:jc w:val="both"/>
      <w:widowControl w:val="off"/>
    </w:pPr>
    <w:rPr>
      <w:rFonts w:hint="default" w:ascii="Times New Roman" w:hAnsi="Times New Roman" w:eastAsia="宋体" w:cs="Times New Roman"/>
      <w:sz w:val="28"/>
      <w:szCs w:val="22"/>
      <w:lang w:val="en-US" w:eastAsia="zh-CN" w:bidi="ar-SA"/>
    </w:rPr>
  </w:style>
  <w:style w:type="paragraph" w:styleId="732">
    <w:name w:val="Heading 1"/>
    <w:basedOn w:val="731"/>
    <w:next w:val="731"/>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43"/>
    <w:link w:val="776"/>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uiPriority w:val="0"/>
    <w:qFormat/>
    <w:pPr>
      <w:keepLines/>
      <w:keepNext/>
      <w:spacing w:before="280" w:after="290" w:line="376" w:lineRule="auto"/>
      <w:outlineLvl w:val="3"/>
    </w:pPr>
    <w:rPr>
      <w:rFonts w:ascii="Arial" w:hAnsi="Arial" w:eastAsia="黑体"/>
      <w:b/>
      <w:bCs/>
      <w:sz w:val="28"/>
      <w:szCs w:val="28"/>
    </w:rPr>
  </w:style>
  <w:style w:type="paragraph" w:styleId="736">
    <w:name w:val="Heading 5"/>
    <w:basedOn w:val="731"/>
    <w:next w:val="731"/>
    <w:link w:val="778"/>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link w:val="779"/>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781"/>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782"/>
    <w:uiPriority w:val="9"/>
    <w:unhideWhenUsed/>
    <w:qFormat/>
    <w:pPr>
      <w:keepLines/>
      <w:keepNext/>
      <w:spacing w:before="320" w:after="200"/>
      <w:outlineLvl w:val="8"/>
    </w:pPr>
    <w:rPr>
      <w:rFonts w:ascii="Arial" w:hAnsi="Arial" w:eastAsia="Arial" w:cs="Arial"/>
      <w:i/>
      <w:iCs/>
      <w:sz w:val="21"/>
      <w:szCs w:val="21"/>
    </w:rPr>
  </w:style>
  <w:style w:type="character" w:styleId="741" w:default="1">
    <w:name w:val="Default Paragraph Font"/>
    <w:uiPriority w:val="0"/>
    <w:semiHidden/>
    <w:qFormat/>
  </w:style>
  <w:style w:type="table" w:styleId="742" w:default="1">
    <w:name w:val="Normal Table"/>
    <w:uiPriority w:val="0"/>
    <w:semiHidden/>
    <w:qFormat/>
    <w:tblPr>
      <w:tblCellMar>
        <w:left w:w="108" w:type="dxa"/>
        <w:top w:w="0" w:type="dxa"/>
        <w:right w:w="108" w:type="dxa"/>
        <w:bottom w:w="0" w:type="dxa"/>
      </w:tblCellMar>
    </w:tblPr>
  </w:style>
  <w:style w:type="paragraph" w:styleId="743">
    <w:name w:val="Normal Indent"/>
    <w:basedOn w:val="731"/>
    <w:next w:val="731"/>
    <w:uiPriority w:val="99"/>
    <w:unhideWhenUsed/>
    <w:qFormat/>
    <w:pPr>
      <w:ind w:firstLine="420"/>
      <w:jc w:val="left"/>
    </w:pPr>
    <w:rPr>
      <w:rFonts w:ascii="宋体"/>
      <w:sz w:val="24"/>
    </w:rPr>
  </w:style>
  <w:style w:type="paragraph" w:styleId="744">
    <w:name w:val="toc 7"/>
    <w:basedOn w:val="731"/>
    <w:next w:val="731"/>
    <w:uiPriority w:val="39"/>
    <w:unhideWhenUsed/>
    <w:qFormat/>
    <w:pPr>
      <w:ind w:left="1701" w:right="0" w:firstLine="0"/>
      <w:spacing w:after="57"/>
    </w:pPr>
  </w:style>
  <w:style w:type="paragraph" w:styleId="745">
    <w:name w:val="Caption"/>
    <w:basedOn w:val="731"/>
    <w:next w:val="731"/>
    <w:link w:val="93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6">
    <w:name w:val="Body Text"/>
    <w:basedOn w:val="731"/>
    <w:next w:val="747"/>
    <w:uiPriority w:val="0"/>
    <w:qFormat/>
    <w:rPr>
      <w:rFonts w:ascii="楷体_GB2312" w:hAnsi="Arial" w:eastAsia="楷体_GB2312"/>
      <w:sz w:val="28"/>
      <w:szCs w:val="28"/>
    </w:rPr>
  </w:style>
  <w:style w:type="paragraph" w:styleId="747" w:customStyle="1">
    <w:name w:val="一级条标题"/>
    <w:basedOn w:val="748"/>
    <w:next w:val="7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8" w:customStyle="1">
    <w:name w:val="章标题"/>
    <w:next w:val="73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49" w:customStyle="1">
    <w:name w:val="段"/>
    <w:next w:val="731"/>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750">
    <w:name w:val="Block Text"/>
    <w:basedOn w:val="731"/>
    <w:uiPriority w:val="99"/>
    <w:qFormat/>
    <w:pPr>
      <w:ind w:left="1440" w:right="1440"/>
      <w:spacing w:after="120"/>
      <w:tabs>
        <w:tab w:val="left" w:pos="9000" w:leader="none"/>
      </w:tabs>
    </w:pPr>
  </w:style>
  <w:style w:type="paragraph" w:styleId="751">
    <w:name w:val="toc 5"/>
    <w:basedOn w:val="731"/>
    <w:next w:val="731"/>
    <w:uiPriority w:val="39"/>
    <w:unhideWhenUsed/>
    <w:qFormat/>
    <w:pPr>
      <w:ind w:left="1134" w:right="0" w:firstLine="0"/>
      <w:spacing w:after="57"/>
    </w:pPr>
  </w:style>
  <w:style w:type="paragraph" w:styleId="752">
    <w:name w:val="toc 3"/>
    <w:basedOn w:val="731"/>
    <w:next w:val="731"/>
    <w:uiPriority w:val="39"/>
    <w:unhideWhenUsed/>
    <w:qFormat/>
    <w:pPr>
      <w:ind w:left="567" w:right="0" w:firstLine="0"/>
      <w:spacing w:after="57"/>
    </w:pPr>
  </w:style>
  <w:style w:type="paragraph" w:styleId="753">
    <w:name w:val="toc 8"/>
    <w:basedOn w:val="731"/>
    <w:next w:val="731"/>
    <w:uiPriority w:val="39"/>
    <w:unhideWhenUsed/>
    <w:qFormat/>
    <w:pPr>
      <w:ind w:left="1984" w:right="0" w:firstLine="0"/>
      <w:spacing w:after="57"/>
    </w:pPr>
  </w:style>
  <w:style w:type="paragraph" w:styleId="754">
    <w:name w:val="endnote text"/>
    <w:basedOn w:val="731"/>
    <w:link w:val="920"/>
    <w:uiPriority w:val="99"/>
    <w:semiHidden/>
    <w:unhideWhenUsed/>
    <w:qFormat/>
    <w:pPr>
      <w:spacing w:after="0" w:line="240" w:lineRule="auto"/>
    </w:pPr>
    <w:rPr>
      <w:sz w:val="20"/>
    </w:rPr>
  </w:style>
  <w:style w:type="paragraph" w:styleId="755">
    <w:name w:val="Footer"/>
    <w:basedOn w:val="731"/>
    <w:uiPriority w:val="99"/>
    <w:unhideWhenUsed/>
    <w:qFormat/>
    <w:pPr>
      <w:tabs>
        <w:tab w:val="center" w:pos="7143" w:leader="none"/>
        <w:tab w:val="right" w:pos="14287" w:leader="none"/>
      </w:tabs>
    </w:pPr>
  </w:style>
  <w:style w:type="paragraph" w:styleId="756">
    <w:name w:val="Header"/>
    <w:basedOn w:val="731"/>
    <w:link w:val="791"/>
    <w:uiPriority w:val="99"/>
    <w:unhideWhenUsed/>
    <w:qFormat/>
    <w:pPr>
      <w:spacing w:after="0" w:line="240" w:lineRule="auto"/>
      <w:tabs>
        <w:tab w:val="center" w:pos="7143" w:leader="none"/>
        <w:tab w:val="right" w:pos="14287" w:leader="none"/>
      </w:tabs>
    </w:pPr>
  </w:style>
  <w:style w:type="paragraph" w:styleId="757">
    <w:name w:val="toc 1"/>
    <w:basedOn w:val="731"/>
    <w:next w:val="731"/>
    <w:uiPriority w:val="0"/>
    <w:qFormat/>
  </w:style>
  <w:style w:type="paragraph" w:styleId="758">
    <w:name w:val="toc 4"/>
    <w:basedOn w:val="731"/>
    <w:next w:val="731"/>
    <w:uiPriority w:val="39"/>
    <w:unhideWhenUsed/>
    <w:qFormat/>
    <w:pPr>
      <w:ind w:left="850" w:right="0" w:firstLine="0"/>
      <w:spacing w:after="57"/>
    </w:pPr>
  </w:style>
  <w:style w:type="paragraph" w:styleId="759">
    <w:name w:val="Subtitle"/>
    <w:basedOn w:val="731"/>
    <w:next w:val="731"/>
    <w:link w:val="786"/>
    <w:uiPriority w:val="11"/>
    <w:qFormat/>
    <w:pPr>
      <w:spacing w:before="200" w:after="200"/>
    </w:pPr>
    <w:rPr>
      <w:sz w:val="24"/>
      <w:szCs w:val="24"/>
    </w:rPr>
  </w:style>
  <w:style w:type="paragraph" w:styleId="760">
    <w:name w:val="footnote text"/>
    <w:basedOn w:val="731"/>
    <w:link w:val="919"/>
    <w:uiPriority w:val="99"/>
    <w:semiHidden/>
    <w:unhideWhenUsed/>
    <w:qFormat/>
    <w:pPr>
      <w:spacing w:after="40" w:line="240" w:lineRule="auto"/>
    </w:pPr>
    <w:rPr>
      <w:sz w:val="18"/>
    </w:rPr>
  </w:style>
  <w:style w:type="paragraph" w:styleId="761">
    <w:name w:val="toc 6"/>
    <w:basedOn w:val="731"/>
    <w:next w:val="731"/>
    <w:uiPriority w:val="39"/>
    <w:unhideWhenUsed/>
    <w:qFormat/>
    <w:pPr>
      <w:ind w:left="1417" w:right="0" w:firstLine="0"/>
      <w:spacing w:after="57"/>
    </w:pPr>
  </w:style>
  <w:style w:type="paragraph" w:styleId="762">
    <w:name w:val="table of figures"/>
    <w:basedOn w:val="731"/>
    <w:next w:val="731"/>
    <w:uiPriority w:val="99"/>
    <w:unhideWhenUsed/>
    <w:qFormat/>
    <w:pPr>
      <w:spacing w:after="0" w:afterAutospacing="0"/>
    </w:pPr>
  </w:style>
  <w:style w:type="paragraph" w:styleId="763">
    <w:name w:val="toc 2"/>
    <w:basedOn w:val="731"/>
    <w:next w:val="731"/>
    <w:uiPriority w:val="39"/>
    <w:unhideWhenUsed/>
    <w:qFormat/>
    <w:pPr>
      <w:ind w:left="283" w:right="0" w:firstLine="0"/>
      <w:spacing w:after="57"/>
    </w:pPr>
  </w:style>
  <w:style w:type="paragraph" w:styleId="764">
    <w:name w:val="toc 9"/>
    <w:basedOn w:val="731"/>
    <w:next w:val="731"/>
    <w:uiPriority w:val="39"/>
    <w:unhideWhenUsed/>
    <w:qFormat/>
    <w:pPr>
      <w:ind w:left="2268" w:right="0" w:firstLine="0"/>
      <w:spacing w:after="57"/>
    </w:pPr>
  </w:style>
  <w:style w:type="paragraph" w:styleId="765">
    <w:name w:val="HTML Preformatted"/>
    <w:basedOn w:val="7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66">
    <w:name w:val="Normal (Web)"/>
    <w:basedOn w:val="731"/>
    <w:uiPriority w:val="0"/>
    <w:qFormat/>
    <w:pPr>
      <w:jc w:val="left"/>
      <w:spacing w:beforeAutospacing="1" w:afterAutospacing="1"/>
    </w:pPr>
    <w:rPr>
      <w:sz w:val="24"/>
    </w:rPr>
  </w:style>
  <w:style w:type="paragraph" w:styleId="767">
    <w:name w:val="Title"/>
    <w:basedOn w:val="731"/>
    <w:next w:val="731"/>
    <w:link w:val="785"/>
    <w:uiPriority w:val="10"/>
    <w:qFormat/>
    <w:pPr>
      <w:contextualSpacing/>
      <w:spacing w:before="300" w:after="200"/>
    </w:pPr>
    <w:rPr>
      <w:sz w:val="48"/>
      <w:szCs w:val="48"/>
    </w:rPr>
  </w:style>
  <w:style w:type="paragraph" w:styleId="768">
    <w:name w:val="Body Text First Indent"/>
    <w:basedOn w:val="731"/>
    <w:next w:val="731"/>
    <w:uiPriority w:val="0"/>
    <w:qFormat/>
    <w:pPr>
      <w:ind w:firstLine="420"/>
    </w:pPr>
    <w:rPr>
      <w:rFonts w:ascii="Times New Roman" w:hAnsi="Times New Roman"/>
      <w:sz w:val="21"/>
      <w:szCs w:val="24"/>
    </w:rPr>
  </w:style>
  <w:style w:type="table" w:styleId="76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basedOn w:val="741"/>
    <w:uiPriority w:val="99"/>
    <w:semiHidden/>
    <w:unhideWhenUsed/>
    <w:qFormat/>
    <w:rPr>
      <w:vertAlign w:val="superscript"/>
    </w:rPr>
  </w:style>
  <w:style w:type="character" w:styleId="771">
    <w:name w:val="Hyperlink"/>
    <w:uiPriority w:val="99"/>
    <w:unhideWhenUsed/>
    <w:qFormat/>
    <w:rPr>
      <w:color w:val="0026e5" w:themeColor="hyperlink"/>
      <w:u w:val="single"/>
      <w14:textFill>
        <w14:solidFill>
          <w14:schemeClr w14:val="hlink"/>
        </w14:solidFill>
      </w14:textFill>
    </w:rPr>
  </w:style>
  <w:style w:type="character" w:styleId="772">
    <w:name w:val="footnote reference"/>
    <w:basedOn w:val="741"/>
    <w:uiPriority w:val="99"/>
    <w:unhideWhenUsed/>
    <w:qFormat/>
    <w:rPr>
      <w:vertAlign w:val="superscript"/>
    </w:rPr>
  </w:style>
  <w:style w:type="paragraph" w:styleId="773" w:customStyle="1">
    <w:name w:val="文本块1"/>
    <w:basedOn w:val="731"/>
    <w:uiPriority w:val="99"/>
    <w:qFormat/>
    <w:pPr>
      <w:ind w:left="1440" w:right="1440"/>
      <w:spacing w:after="120"/>
      <w:tabs>
        <w:tab w:val="left" w:pos="9000" w:leader="none"/>
      </w:tabs>
    </w:pPr>
  </w:style>
  <w:style w:type="character" w:styleId="774" w:customStyle="1">
    <w:name w:val="Heading 1 Char"/>
    <w:basedOn w:val="741"/>
    <w:uiPriority w:val="9"/>
    <w:qFormat/>
    <w:rPr>
      <w:rFonts w:ascii="Arial" w:hAnsi="Arial" w:eastAsia="Arial" w:cs="Arial"/>
      <w:sz w:val="40"/>
      <w:szCs w:val="40"/>
    </w:rPr>
  </w:style>
  <w:style w:type="character" w:styleId="775" w:customStyle="1">
    <w:name w:val="Heading 2 Char"/>
    <w:basedOn w:val="741"/>
    <w:uiPriority w:val="9"/>
    <w:qFormat/>
    <w:rPr>
      <w:rFonts w:ascii="Arial" w:hAnsi="Arial" w:eastAsia="Arial" w:cs="Arial"/>
      <w:sz w:val="34"/>
    </w:rPr>
  </w:style>
  <w:style w:type="character" w:styleId="776" w:customStyle="1">
    <w:name w:val="Heading 3 Char"/>
    <w:basedOn w:val="741"/>
    <w:link w:val="734"/>
    <w:uiPriority w:val="9"/>
    <w:qFormat/>
    <w:rPr>
      <w:rFonts w:ascii="Arial" w:hAnsi="Arial" w:eastAsia="Arial" w:cs="Arial"/>
      <w:sz w:val="30"/>
      <w:szCs w:val="30"/>
    </w:rPr>
  </w:style>
  <w:style w:type="character" w:styleId="777" w:customStyle="1">
    <w:name w:val="Heading 4 Char"/>
    <w:basedOn w:val="741"/>
    <w:uiPriority w:val="9"/>
    <w:qFormat/>
    <w:rPr>
      <w:rFonts w:ascii="Arial" w:hAnsi="Arial" w:eastAsia="Arial" w:cs="Arial"/>
      <w:b/>
      <w:bCs/>
      <w:sz w:val="26"/>
      <w:szCs w:val="26"/>
    </w:rPr>
  </w:style>
  <w:style w:type="character" w:styleId="778" w:customStyle="1">
    <w:name w:val="Heading 5 Char"/>
    <w:basedOn w:val="741"/>
    <w:link w:val="736"/>
    <w:uiPriority w:val="9"/>
    <w:qFormat/>
    <w:rPr>
      <w:rFonts w:ascii="Arial" w:hAnsi="Arial" w:eastAsia="Arial" w:cs="Arial"/>
      <w:b/>
      <w:bCs/>
      <w:sz w:val="24"/>
      <w:szCs w:val="24"/>
    </w:rPr>
  </w:style>
  <w:style w:type="character" w:styleId="779" w:customStyle="1">
    <w:name w:val="Heading 6 Char"/>
    <w:basedOn w:val="741"/>
    <w:link w:val="737"/>
    <w:uiPriority w:val="9"/>
    <w:qFormat/>
    <w:rPr>
      <w:rFonts w:ascii="Arial" w:hAnsi="Arial" w:eastAsia="Arial" w:cs="Arial"/>
      <w:b/>
      <w:bCs/>
      <w:sz w:val="22"/>
      <w:szCs w:val="22"/>
    </w:rPr>
  </w:style>
  <w:style w:type="character" w:styleId="780" w:customStyle="1">
    <w:name w:val="Heading 7 Char"/>
    <w:basedOn w:val="741"/>
    <w:link w:val="738"/>
    <w:uiPriority w:val="9"/>
    <w:qFormat/>
    <w:rPr>
      <w:rFonts w:ascii="Arial" w:hAnsi="Arial" w:eastAsia="Arial" w:cs="Arial"/>
      <w:b/>
      <w:bCs/>
      <w:i/>
      <w:iCs/>
      <w:sz w:val="22"/>
      <w:szCs w:val="22"/>
    </w:rPr>
  </w:style>
  <w:style w:type="character" w:styleId="781" w:customStyle="1">
    <w:name w:val="Heading 8 Char"/>
    <w:basedOn w:val="741"/>
    <w:link w:val="739"/>
    <w:uiPriority w:val="9"/>
    <w:qFormat/>
    <w:rPr>
      <w:rFonts w:ascii="Arial" w:hAnsi="Arial" w:eastAsia="Arial" w:cs="Arial"/>
      <w:i/>
      <w:iCs/>
      <w:sz w:val="22"/>
      <w:szCs w:val="22"/>
    </w:rPr>
  </w:style>
  <w:style w:type="character" w:styleId="782" w:customStyle="1">
    <w:name w:val="Heading 9 Char"/>
    <w:basedOn w:val="741"/>
    <w:link w:val="740"/>
    <w:uiPriority w:val="9"/>
    <w:qFormat/>
    <w:rPr>
      <w:rFonts w:ascii="Arial" w:hAnsi="Arial" w:eastAsia="Arial" w:cs="Arial"/>
      <w:i/>
      <w:iCs/>
      <w:sz w:val="21"/>
      <w:szCs w:val="21"/>
    </w:rPr>
  </w:style>
  <w:style w:type="paragraph" w:styleId="783">
    <w:name w:val="List Paragraph"/>
    <w:basedOn w:val="731"/>
    <w:uiPriority w:val="34"/>
    <w:qFormat/>
    <w:pPr>
      <w:contextualSpacing/>
      <w:ind w:left="720"/>
    </w:pPr>
  </w:style>
  <w:style w:type="paragraph" w:styleId="784">
    <w:name w:val="No Spacing"/>
    <w:uiPriority w:val="1"/>
    <w:qFormat/>
    <w:pPr>
      <w:spacing w:before="0" w:after="0" w:line="240" w:lineRule="auto"/>
    </w:pPr>
    <w:rPr>
      <w:rFonts w:hint="default" w:ascii="Times New Roman" w:hAnsi="Times New Roman" w:eastAsia="宋体" w:cs="Times New Roman"/>
    </w:rPr>
  </w:style>
  <w:style w:type="character" w:styleId="785" w:customStyle="1">
    <w:name w:val="Title Char"/>
    <w:basedOn w:val="741"/>
    <w:link w:val="767"/>
    <w:uiPriority w:val="10"/>
    <w:qFormat/>
    <w:rPr>
      <w:sz w:val="48"/>
      <w:szCs w:val="48"/>
    </w:rPr>
  </w:style>
  <w:style w:type="character" w:styleId="786" w:customStyle="1">
    <w:name w:val="Subtitle Char"/>
    <w:basedOn w:val="741"/>
    <w:link w:val="759"/>
    <w:uiPriority w:val="11"/>
    <w:qFormat/>
    <w:rPr>
      <w:sz w:val="24"/>
      <w:szCs w:val="24"/>
    </w:rPr>
  </w:style>
  <w:style w:type="paragraph" w:styleId="787">
    <w:name w:val="Quote"/>
    <w:basedOn w:val="731"/>
    <w:next w:val="731"/>
    <w:link w:val="788"/>
    <w:uiPriority w:val="29"/>
    <w:qFormat/>
    <w:pPr>
      <w:ind w:left="720" w:right="720"/>
    </w:pPr>
    <w:rPr>
      <w:i/>
    </w:rPr>
  </w:style>
  <w:style w:type="character" w:styleId="788" w:customStyle="1">
    <w:name w:val="Quote Char"/>
    <w:link w:val="787"/>
    <w:uiPriority w:val="29"/>
    <w:qFormat/>
    <w:rPr>
      <w:i/>
    </w:rPr>
  </w:style>
  <w:style w:type="paragraph" w:styleId="789">
    <w:name w:val="Intense Quote"/>
    <w:basedOn w:val="731"/>
    <w:next w:val="731"/>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Intense Quote Char"/>
    <w:link w:val="789"/>
    <w:uiPriority w:val="30"/>
    <w:qFormat/>
    <w:rPr>
      <w:i/>
    </w:rPr>
  </w:style>
  <w:style w:type="character" w:styleId="791" w:customStyle="1">
    <w:name w:val="Header Char"/>
    <w:basedOn w:val="741"/>
    <w:link w:val="756"/>
    <w:uiPriority w:val="99"/>
    <w:qFormat/>
  </w:style>
  <w:style w:type="character" w:styleId="792" w:customStyle="1">
    <w:name w:val="Footer Char"/>
    <w:basedOn w:val="741"/>
    <w:uiPriority w:val="99"/>
    <w:qFormat/>
  </w:style>
  <w:style w:type="character" w:styleId="793" w:customStyle="1">
    <w:name w:val="Caption Char"/>
    <w:uiPriority w:val="99"/>
    <w:qFormat/>
  </w:style>
  <w:style w:type="table" w:styleId="794" w:customStyle="1">
    <w:name w:val="Table Grid Light"/>
    <w:basedOn w:val="7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Plain Table 1"/>
    <w:basedOn w:val="7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basedOn w:val="74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basedOn w:val="74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basedOn w:val="74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basedOn w:val="74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basedOn w:val="74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basedOn w:val="74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basedOn w:val="74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basedOn w:val="74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basedOn w:val="7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basedOn w:val="74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basedOn w:val="74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basedOn w:val="74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basedOn w:val="74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basedOn w:val="74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3" w:customStyle="1">
    <w:name w:val="Grid Table 2 - Accent 6"/>
    <w:basedOn w:val="74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4" w:customStyle="1">
    <w:name w:val="Grid Table 3"/>
    <w:basedOn w:val="7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basedOn w:val="74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74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74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74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74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74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basedOn w:val="74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basedOn w:val="74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3" w:customStyle="1">
    <w:name w:val="Grid Table 4 - Accent 2"/>
    <w:basedOn w:val="74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4" w:customStyle="1">
    <w:name w:val="Grid Table 4 - Accent 3"/>
    <w:basedOn w:val="74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5" w:customStyle="1">
    <w:name w:val="Grid Table 4 - Accent 4"/>
    <w:basedOn w:val="74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6" w:customStyle="1">
    <w:name w:val="Grid Table 4 - Accent 5"/>
    <w:basedOn w:val="74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7" w:customStyle="1">
    <w:name w:val="Grid Table 4 - Accent 6"/>
    <w:basedOn w:val="74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8" w:customStyle="1">
    <w:name w:val="Grid Table 5 Dark"/>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0" w:customStyle="1">
    <w:name w:val="Grid Table 5 Dark - Accent 2"/>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1" w:customStyle="1">
    <w:name w:val="Grid Table 5 Dark - Accent 3"/>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2" w:customStyle="1">
    <w:name w:val="Grid Table 5 Dark- Accent 4"/>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3" w:customStyle="1">
    <w:name w:val="Grid Table 5 Dark - Accent 5"/>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4" w:customStyle="1">
    <w:name w:val="Grid Table 5 Dark - Accent 6"/>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5" w:customStyle="1">
    <w:name w:val="Grid Table 6 Colorful"/>
    <w:basedOn w:val="74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basedOn w:val="74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7" w:customStyle="1">
    <w:name w:val="Grid Table 6 Colorful - Accent 2"/>
    <w:basedOn w:val="74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8" w:customStyle="1">
    <w:name w:val="Grid Table 6 Colorful - Accent 3"/>
    <w:basedOn w:val="74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39" w:customStyle="1">
    <w:name w:val="Grid Table 6 Colorful - Accent 4"/>
    <w:basedOn w:val="74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0" w:customStyle="1">
    <w:name w:val="Grid Table 6 Colorful - Accent 5"/>
    <w:basedOn w:val="74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1" w:customStyle="1">
    <w:name w:val="Grid Table 6 Colorful - Accent 6"/>
    <w:basedOn w:val="74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2" w:customStyle="1">
    <w:name w:val="Grid Table 7 Colorful"/>
    <w:basedOn w:val="74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basedOn w:val="74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basedOn w:val="74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basedOn w:val="74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basedOn w:val="74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basedOn w:val="74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basedOn w:val="74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basedOn w:val="74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basedOn w:val="74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74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74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74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74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74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6" w:customStyle="1">
    <w:name w:val="List Table 2"/>
    <w:basedOn w:val="74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basedOn w:val="74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8" w:customStyle="1">
    <w:name w:val="List Table 2 - Accent 2"/>
    <w:basedOn w:val="74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9" w:customStyle="1">
    <w:name w:val="List Table 2 - Accent 3"/>
    <w:basedOn w:val="74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0" w:customStyle="1">
    <w:name w:val="List Table 2 - Accent 4"/>
    <w:basedOn w:val="74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1" w:customStyle="1">
    <w:name w:val="List Table 2 - Accent 5"/>
    <w:basedOn w:val="74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2" w:customStyle="1">
    <w:name w:val="List Table 2 - Accent 6"/>
    <w:basedOn w:val="74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3" w:customStyle="1">
    <w:name w:val="List Table 3"/>
    <w:basedOn w:val="7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basedOn w:val="74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5" w:customStyle="1">
    <w:name w:val="List Table 3 - Accent 2"/>
    <w:basedOn w:val="74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66" w:customStyle="1">
    <w:name w:val="List Table 3 - Accent 3"/>
    <w:basedOn w:val="74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7" w:customStyle="1">
    <w:name w:val="List Table 3 - Accent 4"/>
    <w:basedOn w:val="74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8" w:customStyle="1">
    <w:name w:val="List Table 3 - Accent 5"/>
    <w:basedOn w:val="74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9" w:customStyle="1">
    <w:name w:val="List Table 3 - Accent 6"/>
    <w:basedOn w:val="74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0" w:customStyle="1">
    <w:name w:val="List Table 4"/>
    <w:basedOn w:val="7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basedOn w:val="74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2" w:customStyle="1">
    <w:name w:val="List Table 4 - Accent 2"/>
    <w:basedOn w:val="74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3" w:customStyle="1">
    <w:name w:val="List Table 4 - Accent 3"/>
    <w:basedOn w:val="74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4" w:customStyle="1">
    <w:name w:val="List Table 4 - Accent 4"/>
    <w:basedOn w:val="74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5" w:customStyle="1">
    <w:name w:val="List Table 4 - Accent 5"/>
    <w:basedOn w:val="74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6" w:customStyle="1">
    <w:name w:val="List Table 4 - Accent 6"/>
    <w:basedOn w:val="74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7" w:customStyle="1">
    <w:name w:val="List Table 5 Dark"/>
    <w:basedOn w:val="74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basedOn w:val="74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basedOn w:val="74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basedOn w:val="74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basedOn w:val="74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basedOn w:val="74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basedOn w:val="74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6 Colorful"/>
    <w:basedOn w:val="74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basedOn w:val="74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86" w:customStyle="1">
    <w:name w:val="List Table 6 Colorful - Accent 2"/>
    <w:basedOn w:val="74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7" w:customStyle="1">
    <w:name w:val="List Table 6 Colorful - Accent 3"/>
    <w:basedOn w:val="74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8" w:customStyle="1">
    <w:name w:val="List Table 6 Colorful - Accent 4"/>
    <w:basedOn w:val="74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9" w:customStyle="1">
    <w:name w:val="List Table 6 Colorful - Accent 5"/>
    <w:basedOn w:val="74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0" w:customStyle="1">
    <w:name w:val="List Table 6 Colorful - Accent 6"/>
    <w:basedOn w:val="74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1" w:customStyle="1">
    <w:name w:val="List Table 7 Colorful"/>
    <w:basedOn w:val="74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basedOn w:val="74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74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74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74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74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74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7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basedOn w:val="7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0" w:customStyle="1">
    <w:name w:val="Lined - Accent 2"/>
    <w:basedOn w:val="7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1" w:customStyle="1">
    <w:name w:val="Lined - Accent 3"/>
    <w:basedOn w:val="7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2" w:customStyle="1">
    <w:name w:val="Lined - Accent 4"/>
    <w:basedOn w:val="7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3" w:customStyle="1">
    <w:name w:val="Lined - Accent 5"/>
    <w:basedOn w:val="7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4" w:customStyle="1">
    <w:name w:val="Lined - Accent 6"/>
    <w:basedOn w:val="7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5" w:customStyle="1">
    <w:name w:val="Bordered &amp; Lined - Accent"/>
    <w:basedOn w:val="74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basedOn w:val="74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7" w:customStyle="1">
    <w:name w:val="Bordered &amp; Lined - Accent 2"/>
    <w:basedOn w:val="74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8" w:customStyle="1">
    <w:name w:val="Bordered &amp; Lined - Accent 3"/>
    <w:basedOn w:val="74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9" w:customStyle="1">
    <w:name w:val="Bordered &amp; Lined - Accent 4"/>
    <w:basedOn w:val="74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0" w:customStyle="1">
    <w:name w:val="Bordered &amp; Lined - Accent 5"/>
    <w:basedOn w:val="74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1" w:customStyle="1">
    <w:name w:val="Bordered &amp; Lined - Accent 6"/>
    <w:basedOn w:val="74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2" w:customStyle="1">
    <w:name w:val="Bordered"/>
    <w:basedOn w:val="74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basedOn w:val="74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4" w:customStyle="1">
    <w:name w:val="Bordered - Accent 2"/>
    <w:basedOn w:val="74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15" w:customStyle="1">
    <w:name w:val="Bordered - Accent 3"/>
    <w:basedOn w:val="74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16" w:customStyle="1">
    <w:name w:val="Bordered - Accent 4"/>
    <w:basedOn w:val="74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7" w:customStyle="1">
    <w:name w:val="Bordered - Accent 5"/>
    <w:basedOn w:val="74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8" w:customStyle="1">
    <w:name w:val="Bordered - Accent 6"/>
    <w:basedOn w:val="74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9" w:customStyle="1">
    <w:name w:val="Footnote Text Char"/>
    <w:link w:val="760"/>
    <w:uiPriority w:val="99"/>
    <w:qFormat/>
    <w:rPr>
      <w:sz w:val="18"/>
    </w:rPr>
  </w:style>
  <w:style w:type="character" w:styleId="920" w:customStyle="1">
    <w:name w:val="Endnote Text Char"/>
    <w:link w:val="754"/>
    <w:uiPriority w:val="99"/>
    <w:qFormat/>
    <w:rPr>
      <w:sz w:val="20"/>
    </w:rPr>
  </w:style>
  <w:style w:type="paragraph" w:styleId="921" w:customStyle="1">
    <w:name w:val="TOC Heading"/>
    <w:uiPriority w:val="39"/>
    <w:unhideWhenUsed/>
    <w:qFormat/>
    <w:rPr>
      <w:rFonts w:hint="default" w:ascii="Times New Roman" w:hAnsi="Times New Roman" w:eastAsia="宋体" w:cs="Times New Roman"/>
    </w:rPr>
  </w:style>
  <w:style w:type="paragraph" w:styleId="922"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923" w:customStyle="1">
    <w:name w:val="普通正文"/>
    <w:basedOn w:val="731"/>
    <w:uiPriority w:val="99"/>
    <w:qFormat/>
    <w:pPr>
      <w:ind w:firstLine="480"/>
      <w:jc w:val="left"/>
      <w:spacing w:before="120" w:after="120" w:line="360" w:lineRule="auto"/>
    </w:pPr>
    <w:rPr>
      <w:rFonts w:ascii="Arial" w:hAnsi="Arial"/>
      <w:sz w:val="24"/>
      <w:szCs w:val="24"/>
    </w:rPr>
  </w:style>
  <w:style w:type="character" w:styleId="924" w:customStyle="1">
    <w:name w:val="NormalCharacter"/>
    <w:link w:val="731"/>
    <w:uiPriority w:val="0"/>
    <w:semiHidden/>
    <w:qFormat/>
    <w:rPr>
      <w:rFonts w:hint="default" w:ascii="Times New Roman" w:hAnsi="Times New Roman" w:eastAsia="宋体" w:cs="Times New Roman"/>
      <w:sz w:val="28"/>
      <w:szCs w:val="22"/>
      <w:lang w:val="en-US" w:eastAsia="zh-CN" w:bidi="ar-SA"/>
    </w:rPr>
  </w:style>
  <w:style w:type="paragraph" w:styleId="925" w:customStyle="1">
    <w:name w:val="Char"/>
    <w:basedOn w:val="731"/>
    <w:uiPriority w:val="0"/>
    <w:qFormat/>
    <w:pPr>
      <w:ind w:firstLine="200"/>
      <w:tabs>
        <w:tab w:val="left" w:pos="360" w:leader="none"/>
      </w:tabs>
    </w:pPr>
    <w:rPr>
      <w:szCs w:val="30"/>
    </w:rPr>
  </w:style>
  <w:style w:type="paragraph" w:styleId="926" w:customStyle="1">
    <w:name w:val="普通(网站)1"/>
    <w:basedOn w:val="731"/>
    <w:uiPriority w:val="99"/>
    <w:unhideWhenUsed/>
    <w:qFormat/>
    <w:pPr>
      <w:jc w:val="left"/>
      <w:spacing w:before="100" w:beforeAutospacing="1" w:after="100" w:afterAutospacing="1"/>
      <w:widowControl/>
    </w:pPr>
    <w:rPr>
      <w:rFonts w:ascii="宋体" w:hAnsi="宋体" w:cs="宋体"/>
      <w:sz w:val="24"/>
    </w:rPr>
  </w:style>
  <w:style w:type="paragraph" w:styleId="927" w:customStyle="1">
    <w:name w:val="普通(网站)111"/>
    <w:basedOn w:val="731"/>
    <w:uiPriority w:val="0"/>
    <w:qFormat/>
    <w:pPr>
      <w:jc w:val="left"/>
      <w:spacing w:beforeAutospacing="1" w:afterAutospacing="1"/>
    </w:pPr>
    <w:rPr>
      <w:sz w:val="24"/>
    </w:rPr>
  </w:style>
  <w:style w:type="paragraph" w:styleId="928" w:customStyle="1">
    <w:name w:val="正文缩进11"/>
    <w:basedOn w:val="731"/>
    <w:uiPriority w:val="0"/>
    <w:qFormat/>
    <w:rPr>
      <w:szCs w:val="20"/>
    </w:rPr>
  </w:style>
  <w:style w:type="paragraph" w:styleId="929" w:customStyle="1">
    <w:name w:val="普通(网站)112"/>
    <w:basedOn w:val="731"/>
    <w:uiPriority w:val="0"/>
    <w:qFormat/>
    <w:pPr>
      <w:jc w:val="left"/>
      <w:spacing w:beforeAutospacing="1" w:afterAutospacing="1"/>
    </w:pPr>
    <w:rPr>
      <w:sz w:val="24"/>
    </w:rPr>
  </w:style>
  <w:style w:type="paragraph" w:styleId="930" w:customStyle="1">
    <w:name w:val="页眉11"/>
    <w:basedOn w:val="731"/>
    <w:uiPriority w:val="99"/>
    <w:qFormat/>
    <w:pPr>
      <w:jc w:val="center"/>
      <w:tabs>
        <w:tab w:val="center" w:pos="4153" w:leader="none"/>
        <w:tab w:val="right" w:pos="8306" w:leader="none"/>
      </w:tabs>
      <w:pBdr>
        <w:bottom w:val="single" w:color="000000" w:sz="6" w:space="1"/>
      </w:pBdr>
    </w:pPr>
    <w:rPr>
      <w:sz w:val="18"/>
    </w:rPr>
  </w:style>
  <w:style w:type="paragraph" w:styleId="931" w:customStyle="1">
    <w:name w:val="页脚1"/>
    <w:basedOn w:val="731"/>
    <w:uiPriority w:val="99"/>
    <w:qFormat/>
    <w:pPr>
      <w:jc w:val="left"/>
      <w:tabs>
        <w:tab w:val="center" w:pos="4153" w:leader="none"/>
        <w:tab w:val="right" w:pos="8306" w:leader="none"/>
      </w:tabs>
    </w:pPr>
    <w:rPr>
      <w:sz w:val="18"/>
    </w:rPr>
  </w:style>
  <w:style w:type="paragraph" w:styleId="932" w:customStyle="1">
    <w:name w:val="Char Char Char Char Char Char Char Char"/>
    <w:basedOn w:val="731"/>
    <w:uiPriority w:val="0"/>
    <w:qFormat/>
    <w:pPr>
      <w:jc w:val="left"/>
      <w:spacing w:after="160" w:line="240" w:lineRule="exact"/>
      <w:widowControl/>
    </w:pPr>
    <w:rPr>
      <w:rFonts w:ascii="Verdana" w:hAnsi="Verdana"/>
      <w:sz w:val="20"/>
      <w:szCs w:val="20"/>
      <w:lang w:eastAsia="en-US"/>
    </w:rPr>
  </w:style>
  <w:style w:type="character" w:styleId="933" w:customStyle="1">
    <w:name w:val="题注 Char"/>
    <w:link w:val="745"/>
    <w:uiPriority w:val="35"/>
    <w:qFormat/>
    <w:rPr>
      <w:b/>
      <w:bCs/>
      <w:color w:val="4874cb" w:themeColor="accent1"/>
      <w:sz w:val="18"/>
      <w:szCs w:val="18"/>
      <w14:textFill>
        <w14:solidFill>
          <w14:schemeClr w14:val="accent1"/>
        </w14:solidFill>
      </w14:textFill>
    </w:rPr>
  </w:style>
  <w:style w:type="numbering" w:styleId="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小顾2</dc:creator>
  <cp:lastModifiedBy>纪凯</cp:lastModifiedBy>
  <cp:revision>6</cp:revision>
  <dcterms:created xsi:type="dcterms:W3CDTF">2025-04-27T06:50:00Z</dcterms:created>
  <dcterms:modified xsi:type="dcterms:W3CDTF">2026-01-06T07:58:36Z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9BAEEED7047747708751E9C32ED1D46A_13</vt:lpwstr>
  </property>
  <property fmtid="{D5CDD505-2E9C-101B-9397-08002B2CF9AE}" pid="4" name="KSOTemplateDocerSaveRecord">
    <vt:lpwstr>eyJoZGlkIjoiNDdlMDJkMWY0NzMwOTMyNjM3YWM1MjE4YWZjMjliZmIiLCJ1c2VySWQiOiI4Mjk1NzYyOTYifQ==</vt:lpwstr>
  </property>
</Properties>
</file>