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9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90"/>
        <w:jc w:val="center"/>
        <w:spacing w:before="120" w:beforeAutospacing="0" w:after="120" w:afterAutospacing="0" w:line="360" w:lineRule="auto"/>
        <w:rPr>
          <w:rFonts w:hint="eastAsia" w:ascii="宋体" w:hAnsi="宋体" w:eastAsia="宋体" w:cs="宋体"/>
          <w:sz w:val="44"/>
          <w:szCs w:val="44"/>
          <w:highlight w:val="none"/>
        </w:rPr>
      </w:pPr>
      <w:r>
        <w:rPr>
          <w:rFonts w:hint="eastAsia" w:ascii="宋体" w:hAnsi="宋体" w:eastAsia="宋体" w:cs="宋体"/>
          <w:b/>
          <w:sz w:val="52"/>
          <w:szCs w:val="52"/>
          <w:highlight w:val="none"/>
          <w:lang w:eastAsia="zh-CN"/>
        </w:rPr>
        <w:t xml:space="preserve">响水县高质量发展总体策划与重点地区行动方案项目</w:t>
      </w:r>
      <w:r/>
    </w:p>
    <w:p>
      <w:pPr>
        <w:pStyle w:val="69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90"/>
        <w:jc w:val="center"/>
        <w:spacing w:before="120" w:beforeAutospacing="0" w:after="120" w:afterAutospacing="0" w:line="360" w:lineRule="auto"/>
        <w:rPr>
          <w:rFonts w:hint="eastAsia" w:ascii="宋体" w:hAnsi="宋体" w:eastAsia="宋体" w:cs="宋体"/>
          <w:b/>
          <w:sz w:val="84"/>
          <w:szCs w:val="84"/>
          <w:highlight w:val="none"/>
          <w:lang w:eastAsia="zh-CN"/>
        </w:rPr>
      </w:pPr>
      <w:r>
        <w:rPr>
          <w:rFonts w:hint="eastAsia" w:ascii="宋体" w:hAnsi="宋体" w:eastAsia="宋体" w:cs="宋体"/>
          <w:b/>
          <w:sz w:val="60"/>
          <w:szCs w:val="60"/>
          <w:highlight w:val="none"/>
          <w:lang w:val="en-US" w:eastAsia="zh-CN"/>
        </w:rPr>
        <w:t xml:space="preserve">竞争性磋商文件</w:t>
      </w:r>
      <w:r/>
    </w:p>
    <w:p>
      <w:pPr>
        <w:pStyle w:val="690"/>
        <w:jc w:val="both"/>
        <w:spacing w:beforeAutospacing="0" w:afterAutospacing="0"/>
        <w:rPr>
          <w:rFonts w:hint="eastAsia" w:ascii="宋体" w:hAnsi="宋体" w:eastAsia="宋体" w:cs="宋体"/>
          <w:highlight w:val="none"/>
          <w:lang w:eastAsia="zh-CN"/>
        </w:rPr>
      </w:pPr>
      <w:r>
        <w:rPr>
          <w:rFonts w:hint="eastAsia" w:ascii="宋体" w:hAnsi="宋体" w:eastAsia="宋体" w:cs="宋体"/>
          <w:b/>
          <w:sz w:val="32"/>
          <w:szCs w:val="32"/>
          <w:highlight w:val="none"/>
          <w:lang w:val="en-US" w:eastAsia="zh-CN"/>
        </w:rPr>
        <w:t xml:space="preserve"> </w:t>
      </w:r>
      <w:r/>
    </w:p>
    <w:p>
      <w:pPr>
        <w:pStyle w:val="690"/>
        <w:jc w:val="center"/>
        <w:spacing w:beforeAutospacing="0" w:afterAutospacing="0" w:line="360" w:lineRule="auto"/>
        <w:rPr>
          <w:rFonts w:hint="eastAsia" w:ascii="宋体" w:hAnsi="宋体" w:eastAsia="宋体" w:cs="宋体"/>
          <w:highlight w:val="none"/>
          <w:lang w:eastAsia="zh-CN"/>
        </w:rPr>
      </w:pPr>
      <w:r>
        <w:rPr>
          <w:rFonts w:hint="eastAsia" w:ascii="宋体" w:hAnsi="宋体" w:eastAsia="宋体" w:cs="宋体"/>
          <w:b/>
          <w:sz w:val="32"/>
          <w:szCs w:val="32"/>
          <w:highlight w:val="none"/>
        </w:rPr>
        <w:t xml:space="preserve">项目编号：</w:t>
      </w:r>
      <w:r>
        <w:rPr>
          <w:rFonts w:hint="eastAsia" w:ascii="宋体" w:hAnsi="宋体" w:eastAsia="宋体" w:cs="宋体"/>
          <w:b/>
          <w:sz w:val="32"/>
          <w:szCs w:val="32"/>
          <w:highlight w:val="none"/>
          <w:lang w:eastAsia="zh-CN"/>
        </w:rPr>
        <w:t xml:space="preserve">JSZC-320921-YCDY-C2026-0003</w:t>
      </w:r>
      <w:r/>
    </w:p>
    <w:p>
      <w:pPr>
        <w:pStyle w:val="853"/>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3"/>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3"/>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3"/>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3"/>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3"/>
        <w:jc w:val="center"/>
        <w:spacing w:before="120" w:beforeAutospacing="0" w:after="120" w:afterAutospacing="0"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采购单位</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u w:val="single"/>
          <w:lang w:val="en-US" w:eastAsia="zh-CN"/>
        </w:rPr>
        <w:t xml:space="preserve">响水县住房和城乡建设局（盖章）</w:t>
      </w:r>
      <w:r/>
    </w:p>
    <w:p>
      <w:pPr>
        <w:pStyle w:val="853"/>
        <w:jc w:val="center"/>
        <w:spacing w:before="120" w:beforeAutospacing="0" w:after="120" w:afterAutospacing="0"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6"/>
          <w:szCs w:val="36"/>
          <w:highlight w:val="none"/>
        </w:rPr>
        <w:t xml:space="preserve">代理机构：</w:t>
      </w:r>
      <w:r>
        <w:rPr>
          <w:rFonts w:hint="eastAsia" w:ascii="宋体" w:hAnsi="宋体" w:eastAsia="宋体" w:cs="宋体"/>
          <w:b/>
          <w:color w:val="auto"/>
          <w:sz w:val="36"/>
          <w:szCs w:val="36"/>
          <w:highlight w:val="none"/>
          <w:u w:val="single"/>
          <w:lang w:val="en-US" w:eastAsia="zh-CN"/>
        </w:rPr>
        <w:t xml:space="preserve">江苏鼎一建设项目管理有限公司（盖章）</w:t>
      </w:r>
      <w:r/>
    </w:p>
    <w:p>
      <w:pPr>
        <w:pStyle w:val="690"/>
        <w:jc w:val="center"/>
        <w:spacing w:beforeAutospacing="0" w:afterAutospacing="0"/>
        <w:rPr>
          <w:rFonts w:hint="eastAsia" w:ascii="宋体" w:hAnsi="宋体" w:eastAsia="宋体" w:cs="宋体"/>
          <w:b/>
          <w:color w:val="auto"/>
          <w:sz w:val="84"/>
          <w:szCs w:val="84"/>
          <w:highlight w:val="none"/>
        </w:rPr>
        <w:sectPr>
          <w:footnotePr/>
          <w:endnotePr/>
          <w:type w:val="nextPage"/>
          <w:pgSz w:w="11906" w:h="16838" w:orient="portrait"/>
          <w:pgMar w:top="1383" w:right="1519" w:bottom="1383" w:left="1519" w:header="851" w:footer="992" w:gutter="0"/>
          <w:cols w:num="1" w:sep="0" w:space="0" w:equalWidth="1"/>
          <w:docGrid w:linePitch="360"/>
        </w:sectPr>
      </w:pPr>
      <w:r>
        <w:rPr>
          <w:rFonts w:hint="eastAsia" w:ascii="宋体" w:hAnsi="宋体" w:eastAsia="宋体" w:cs="宋体"/>
          <w:b/>
          <w:color w:val="auto"/>
          <w:sz w:val="36"/>
          <w:szCs w:val="36"/>
          <w:highlight w:val="none"/>
          <w:u w:val="single"/>
          <w:lang w:val="en-US" w:eastAsia="zh-CN"/>
        </w:rPr>
        <w:t xml:space="preserve">2026</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u w:val="single"/>
          <w:lang w:val="en-US" w:eastAsia="zh-CN"/>
        </w:rPr>
        <w:t xml:space="preserve">9</w:t>
      </w:r>
      <w:r>
        <w:rPr>
          <w:rFonts w:hint="eastAsia" w:ascii="宋体" w:hAnsi="宋体" w:eastAsia="宋体" w:cs="宋体"/>
          <w:b/>
          <w:color w:val="auto"/>
          <w:sz w:val="36"/>
          <w:szCs w:val="36"/>
          <w:highlight w:val="none"/>
          <w:lang w:val="en-US" w:eastAsia="zh-CN"/>
        </w:rPr>
        <w:t xml:space="preserve">月</w:t>
      </w:r>
      <w:r/>
    </w:p>
    <w:p>
      <w:pPr>
        <w:pStyle w:val="682"/>
        <w:jc w:val="center"/>
        <w:tabs>
          <w:tab w:val="right" w:pos="8754" w:leader="dot"/>
        </w:tabs>
        <w:rPr>
          <w:rFonts w:ascii="黑体" w:hAnsi="宋体" w:eastAsia="黑体" w:cs="黑体"/>
          <w:b/>
          <w:color w:val="auto"/>
          <w:sz w:val="44"/>
          <w:szCs w:val="44"/>
          <w:highlight w:val="none"/>
        </w:rPr>
      </w:pPr>
      <w:r/>
      <w:bookmarkStart w:id="0" w:name="_Toc523127445"/>
      <w:r/>
      <w:bookmarkStart w:id="1" w:name="_Toc16938516"/>
      <w:r/>
      <w:bookmarkStart w:id="2" w:name="_Toc513029200"/>
      <w:r/>
      <w:bookmarkStart w:id="3" w:name="_Toc120614210"/>
      <w:r/>
      <w:bookmarkStart w:id="4" w:name="_Toc479757206"/>
      <w:r/>
      <w:bookmarkStart w:id="5" w:name="_Toc20823272"/>
      <w:r/>
      <w:r/>
    </w:p>
    <w:p>
      <w:pPr>
        <w:pStyle w:val="682"/>
        <w:jc w:val="center"/>
        <w:tabs>
          <w:tab w:val="right" w:pos="8754" w:leader="dot"/>
        </w:tabs>
        <w:rPr>
          <w:rFonts w:hint="eastAsia" w:ascii="宋体" w:hAnsi="宋体" w:eastAsia="宋体" w:cs="宋体"/>
          <w:b/>
          <w:bCs/>
          <w:color w:val="auto"/>
          <w:sz w:val="36"/>
          <w:szCs w:val="44"/>
          <w:highlight w:val="none"/>
          <w:lang w:val="en-US" w:eastAsia="zh-CN"/>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82"/>
        <w:tabs>
          <w:tab w:val="right" w:pos="8754"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评审方法与评审标准………………………</w:t>
      </w:r>
      <w:r/>
    </w:p>
    <w:p>
      <w:pPr>
        <w:pStyle w:val="682"/>
        <w:ind w:firstLine="720"/>
        <w:tabs>
          <w:tab w:val="right" w:pos="8754" w:leader="dot"/>
        </w:tabs>
        <w:rPr>
          <w:highlight w:val="none"/>
        </w:rPr>
      </w:pPr>
      <w:r>
        <w:rPr>
          <w:rFonts w:hint="eastAsia" w:ascii="黑体" w:hAnsi="宋体" w:eastAsia="黑体" w:cs="黑体"/>
          <w:color w:val="auto"/>
          <w:sz w:val="36"/>
          <w:szCs w:val="36"/>
          <w:highlight w:val="none"/>
        </w:rPr>
        <w:t xml:space="preserve">响应文件格式………………………………</w:t>
      </w:r>
      <w:r/>
    </w:p>
    <w:p>
      <w:pPr>
        <w:pStyle w:val="657"/>
        <w:jc w:val="center"/>
        <w:rPr>
          <w:rFonts w:hint="eastAsia" w:ascii="宋体" w:hAnsi="宋体" w:eastAsia="宋体" w:cs="宋体"/>
          <w:color w:val="auto"/>
          <w:highlight w:val="none"/>
        </w:rPr>
      </w:pPr>
      <w:r>
        <w:rPr>
          <w:rFonts w:hint="eastAsia" w:ascii="宋体" w:hAnsi="宋体" w:eastAsia="宋体" w:cs="宋体"/>
          <w:color w:val="auto"/>
          <w:highlight w:val="none"/>
        </w:rPr>
        <w:fldChar w:fldCharType="end"/>
      </w:r>
      <w:bookmarkStart w:id="6" w:name="_Toc28293"/>
      <w:r/>
      <w:bookmarkStart w:id="7" w:name="_Toc28359086"/>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57"/>
        <w:jc w:val="center"/>
        <w:rPr>
          <w:rFonts w:hint="eastAsia"/>
          <w:sz w:val="40"/>
          <w:szCs w:val="40"/>
          <w:highlight w:val="none"/>
          <w:lang w:val="en-US" w:eastAsia="zh-CN"/>
        </w:rPr>
      </w:pPr>
      <w:r>
        <w:rPr>
          <w:rFonts w:hint="eastAsia"/>
          <w:sz w:val="40"/>
          <w:szCs w:val="40"/>
          <w:highlight w:val="none"/>
        </w:rPr>
        <w:t xml:space="preserve">第一章</w:t>
      </w:r>
      <w:r>
        <w:rPr>
          <w:rFonts w:hint="eastAsia"/>
          <w:sz w:val="40"/>
          <w:szCs w:val="40"/>
          <w:highlight w:val="none"/>
          <w:lang w:val="en-US" w:eastAsia="zh-CN"/>
        </w:rPr>
        <w:t xml:space="preserve">  竞争性磋商公告</w:t>
      </w:r>
      <w:bookmarkEnd w:id="6"/>
      <w:r/>
      <w:r/>
    </w:p>
    <w:p>
      <w:pPr>
        <w:pStyle w:val="690"/>
        <w:ind w:left="0"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90"/>
        <w:ind w:left="0"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响水县高质量发展总体策划与重点地区行动方案项目</w:t>
      </w:r>
      <w:r>
        <w:rPr>
          <w:rFonts w:hint="eastAsia" w:ascii="宋体" w:hAnsi="宋体" w:eastAsia="宋体" w:cs="宋体"/>
          <w:color w:val="auto"/>
          <w:sz w:val="24"/>
          <w:szCs w:val="24"/>
          <w:highlight w:val="none"/>
        </w:rPr>
        <w:t xml:space="preserve">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2026年09月28日09点00分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北京时间）前递交响应文件。</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rPr>
      </w:pPr>
      <w:r/>
      <w:bookmarkStart w:id="8" w:name="_Toc28359079"/>
      <w:r/>
      <w:bookmarkStart w:id="9" w:name="_Toc35393790"/>
      <w:r/>
      <w:bookmarkStart w:id="10" w:name="_Toc35393621"/>
      <w:r/>
      <w:bookmarkStart w:id="11" w:name="_Hlk24379207"/>
      <w:r/>
      <w:bookmarkStart w:id="12" w:name="_Toc28359002"/>
      <w:r/>
      <w:bookmarkStart w:id="13" w:name="_Toc38985263"/>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1.项目编号：JSZC-320921-YCDY-C2026-0003</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2.项目名称：</w:t>
      </w:r>
      <w:r>
        <w:rPr>
          <w:rFonts w:hint="eastAsia" w:ascii="宋体" w:hAnsi="宋体" w:eastAsia="宋体" w:cs="宋体"/>
          <w:color w:val="000000"/>
          <w:sz w:val="24"/>
          <w:szCs w:val="24"/>
          <w:highlight w:val="none"/>
          <w:u w:val="none"/>
          <w:lang w:eastAsia="zh-CN"/>
        </w:rPr>
        <w:t xml:space="preserve">响水县高质量发展总体策划与重点地区行动方案项目</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3.采购方式：竞争性磋商</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w:t>
      </w:r>
      <w:r>
        <w:rPr>
          <w:rFonts w:hint="eastAsia" w:ascii="宋体" w:hAnsi="宋体" w:eastAsia="宋体" w:cs="宋体"/>
          <w:color w:val="000000"/>
          <w:sz w:val="24"/>
          <w:szCs w:val="24"/>
          <w:highlight w:val="none"/>
          <w:lang w:val="en-US" w:eastAsia="zh-CN"/>
        </w:rPr>
        <w:t xml:space="preserve">250.00万元</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5.最高限价：</w:t>
      </w:r>
      <w:r>
        <w:rPr>
          <w:rFonts w:hint="eastAsia" w:ascii="宋体" w:hAnsi="宋体" w:eastAsia="宋体" w:cs="宋体"/>
          <w:color w:val="000000"/>
          <w:sz w:val="24"/>
          <w:szCs w:val="24"/>
          <w:highlight w:val="none"/>
          <w:lang w:val="en-US" w:eastAsia="zh-CN"/>
        </w:rPr>
        <w:t xml:space="preserve">250.00万元</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6.采购需求（简介）：</w:t>
      </w:r>
      <w:r>
        <w:rPr>
          <w:rFonts w:hint="eastAsia" w:ascii="宋体" w:hAnsi="宋体" w:eastAsia="宋体" w:cs="宋体"/>
          <w:i w:val="0"/>
          <w:iCs w:val="0"/>
          <w:caps w:val="0"/>
          <w:color w:val="auto"/>
          <w:spacing w:val="0"/>
          <w:sz w:val="24"/>
          <w:szCs w:val="24"/>
          <w:highlight w:val="none"/>
          <w:shd w:val="clear" w:color="auto" w:fill="auto"/>
          <w:lang w:eastAsia="zh-CN"/>
        </w:rPr>
        <w:t xml:space="preserve">锚定响水县“向海发展当排头、绿色转型做示范”奋斗指向，深化推动“十五五”时期响水县高质量发展路径谋划和重点地区行动落地，编制响水县高质量发展总体策划与重点地区行动方案。</w:t>
      </w:r>
      <w:r>
        <w:rPr>
          <w:rFonts w:hint="eastAsia" w:ascii="宋体" w:hAnsi="宋体" w:eastAsia="宋体" w:cs="宋体"/>
          <w:i w:val="0"/>
          <w:iCs w:val="0"/>
          <w:caps w:val="0"/>
          <w:color w:val="auto"/>
          <w:spacing w:val="0"/>
          <w:sz w:val="24"/>
          <w:szCs w:val="24"/>
          <w:highlight w:val="none"/>
          <w:shd w:val="clear" w:color="auto" w:fill="auto"/>
        </w:rPr>
        <w:t xml:space="preserve">（详细内容见本招标文件第四章）</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7.合同履行期限：</w:t>
      </w:r>
      <w:r>
        <w:rPr>
          <w:rFonts w:hint="eastAsia" w:ascii="宋体" w:hAnsi="宋体" w:eastAsia="宋体" w:cs="宋体"/>
          <w:i w:val="0"/>
          <w:iCs w:val="0"/>
          <w:caps w:val="0"/>
          <w:color w:val="auto"/>
          <w:spacing w:val="0"/>
          <w:sz w:val="24"/>
          <w:szCs w:val="24"/>
          <w:highlight w:val="none"/>
          <w:shd w:val="clear" w:color="auto" w:fill="auto"/>
          <w:lang w:eastAsia="zh-CN"/>
        </w:rPr>
        <w:t xml:space="preserve">一年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8.本项目（是/否）接受联合体参与磋商：否</w:t>
      </w:r>
      <w:r/>
    </w:p>
    <w:p>
      <w:pPr>
        <w:pStyle w:val="690"/>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bookmarkStart w:id="14" w:name="_Toc28359080"/>
      <w:r/>
      <w:bookmarkStart w:id="15" w:name="_Toc35393622"/>
      <w:r/>
      <w:bookmarkStart w:id="16" w:name="_Toc38985264"/>
      <w:r/>
      <w:bookmarkStart w:id="17" w:name="_Toc28359003"/>
      <w:r/>
      <w:bookmarkStart w:id="18" w:name="_Toc35393791"/>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1.满足《中华人民共和国政府采购法》第二十二条规定，并提供下列材料：</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1.1 法人或者其他组织的营业执照等证明文件，自然人的身份证明；</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1.2上一年度的财务状况报</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告</w:t>
      </w:r>
      <w:r>
        <w:rPr>
          <w:rFonts w:hint="eastAsia" w:ascii="宋体" w:hAnsi="宋体" w:eastAsia="宋体" w:cs="宋体"/>
          <w:i w:val="0"/>
          <w:iCs w:val="0"/>
          <w:caps w:val="0"/>
          <w:color w:val="auto"/>
          <w:spacing w:val="0"/>
          <w:sz w:val="24"/>
          <w:szCs w:val="24"/>
          <w:highlight w:val="none"/>
          <w:shd w:val="clear" w:color="auto" w:fill="auto"/>
        </w:rPr>
        <w:t xml:space="preserve">（成立不满一年无需提供）；</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auto"/>
        </w:rPr>
        <w:t xml:space="preserve">具备履行合同所必需的设备和专业技术能力的书面声明；</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.5参加政府采购活动前3年内在经营活动中没有重大违法记录的书面声明。</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1.6法律、行政法规规定的其他条件。</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auto"/>
        </w:rPr>
        <w:t xml:space="preserve">单位负责人为同一人或者存在直接控股、</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管理</w:t>
      </w:r>
      <w:r>
        <w:rPr>
          <w:rFonts w:hint="eastAsia" w:ascii="宋体" w:hAnsi="宋体" w:eastAsia="宋体" w:cs="宋体"/>
          <w:i w:val="0"/>
          <w:iCs w:val="0"/>
          <w:caps w:val="0"/>
          <w:color w:val="auto"/>
          <w:spacing w:val="0"/>
          <w:sz w:val="24"/>
          <w:szCs w:val="24"/>
          <w:highlight w:val="none"/>
          <w:shd w:val="clear" w:color="auto" w:fill="auto"/>
        </w:rPr>
        <w:t xml:space="preserve">关系的不同供应商，不得参加同一合同项下的政府采购活动。</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2</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落实政府采购政策需满足的资格要求：</w:t>
      </w:r>
      <w:r>
        <w:rPr>
          <w:rFonts w:hint="eastAsia" w:ascii="宋体" w:hAnsi="宋体" w:eastAsia="宋体" w:cs="宋体"/>
          <w:color w:val="000000"/>
          <w:sz w:val="24"/>
          <w:szCs w:val="24"/>
          <w:highlight w:val="none"/>
        </w:rPr>
        <w:t xml:space="preserve">本项目为非预留份额的采购项目或采购包，执行价格扣除优惠政策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2.1小微型企业价格扣除</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（1）本项目对小型和微型企业产品给予20%的扣除价格，用扣除后的价格参与评审。</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（2）供应商需按照采购文件的要求提供相应的《小微企业声明函》。</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（3）企业标准请参照《关于印发中小企业划型标准规定的通知》（工信部联企业[2011]300号）文件规定自行填写。</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2.2残疾人福利单位价格扣除</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（1）本项目对残疾人福利性单位视同小型、微型企业，给予20%的价格扣除，用扣除后的价格参与评审。</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（2）残疾人福利单位需按照采购文件的要求提供《残疾人福利性单位声明函》。</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（3）残疾人福利单位标准请参照《关于促进残疾人就业政府采购政策的通知》（财库〔2017〕141号）。</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2.3监狱和戒毒企业价格扣除</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（1）本项目对监狱和戒毒企业（简称监狱企业）视同小型、微型企业，给予20%的价格扣除，用扣除后的价格参与评审。</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（3）监狱企业标准请参照《关于政府采购支持监狱企业发展有关问题的通知》（财库[2014]68号）。</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2.4残疾人福利单位、监狱企业属于小型、微型企业的，不重复享受政策。</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本项目的特定资格要求</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供应商应具有有效期内的城乡规划（国土空间规划）编制甲级资质证书。（投标时需提供资质证书并加盖供应商公章）</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left="0" w:right="0" w:firstLine="480"/>
        <w:jc w:val="both"/>
        <w:keepLines w:val="0"/>
        <w:keepNext w:val="0"/>
        <w:pageBreakBefore w:val="0"/>
        <w:spacing w:before="91" w:after="91" w:line="420" w:lineRule="exact"/>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9" w:name="_Toc35393624"/>
      <w:r/>
      <w:bookmarkStart w:id="20" w:name="_Toc28359005"/>
      <w:r/>
      <w:bookmarkStart w:id="21" w:name="_Toc35393793"/>
      <w:r/>
      <w:bookmarkStart w:id="22" w:name="_Toc28359082"/>
      <w:r/>
      <w:bookmarkStart w:id="23" w:name="_Toc38985266"/>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9"/>
      <w:r/>
      <w:bookmarkEnd w:id="20"/>
      <w:r/>
      <w:bookmarkEnd w:id="21"/>
      <w:r/>
      <w:bookmarkEnd w:id="22"/>
      <w:r/>
      <w:bookmarkEnd w:id="23"/>
      <w:r/>
      <w:r/>
    </w:p>
    <w:p>
      <w:pPr>
        <w:ind w:left="0" w:firstLine="480"/>
        <w:jc w:val="both"/>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left="0" w:firstLine="480"/>
        <w:jc w:val="both"/>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left="0" w:firstLine="480"/>
        <w:jc w:val="both"/>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ind w:left="0" w:firstLine="480"/>
        <w:jc w:val="both"/>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bidi="ar-SA"/>
        </w:rPr>
        <w:t xml:space="preserve">5.参与采购活动供应商插入 CA 证书登录“苏采云”系统后选择具体项目，点击“我要参与”并签章提交《投标供应商确认函》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2026年09月28日15点00分</w:t>
      </w:r>
      <w:r>
        <w:rPr>
          <w:rFonts w:hint="eastAsia" w:ascii="宋体" w:hAnsi="宋体" w:eastAsia="宋体" w:cs="宋体"/>
          <w:color w:val="auto"/>
          <w:sz w:val="24"/>
          <w:szCs w:val="24"/>
          <w:highlight w:val="none"/>
          <w:shd w:val="clear" w:color="auto" w:fill="auto"/>
        </w:rPr>
        <w:t xml:space="preserve">（北京时间）。</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b/>
          <w:color w:val="auto"/>
          <w:sz w:val="24"/>
          <w:szCs w:val="24"/>
          <w:highlight w:val="none"/>
          <w:shd w:val="clear" w:color="auto" w:fill="auto"/>
        </w:rPr>
      </w:pPr>
      <w:r/>
      <w:bookmarkStart w:id="24" w:name="_Toc38985268"/>
      <w:r/>
      <w:bookmarkStart w:id="25" w:name="_Toc35393626"/>
      <w:r/>
      <w:bookmarkStart w:id="26" w:name="_Toc35393795"/>
      <w:r>
        <w:rPr>
          <w:rFonts w:hint="eastAsia" w:ascii="宋体" w:hAnsi="宋体" w:eastAsia="宋体" w:cs="宋体"/>
          <w:b/>
          <w:color w:val="auto"/>
          <w:sz w:val="24"/>
          <w:szCs w:val="24"/>
          <w:highlight w:val="none"/>
          <w:shd w:val="clear" w:color="auto" w:fill="auto"/>
        </w:rPr>
        <w:t xml:space="preserve">五、开启</w:t>
      </w:r>
      <w:r/>
    </w:p>
    <w:p>
      <w:pPr>
        <w:pStyle w:val="690"/>
        <w:ind w:left="0" w:right="0" w:firstLine="48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2026年09月28日15点00分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4"/>
      <w:r/>
      <w:bookmarkEnd w:id="25"/>
      <w:r/>
      <w:bookmarkEnd w:id="26"/>
      <w:r/>
      <w:r/>
    </w:p>
    <w:p>
      <w:pPr>
        <w:pStyle w:val="690"/>
        <w:ind w:left="0" w:firstLine="480"/>
        <w:jc w:val="both"/>
        <w:keepLines w:val="0"/>
        <w:keepNext w:val="0"/>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58"/>
        <w:ind w:left="0" w:right="0" w:firstLine="482"/>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7"/>
      <w:r/>
      <w:r/>
    </w:p>
    <w:p>
      <w:pPr>
        <w:pStyle w:val="690"/>
        <w:ind w:left="0" w:right="0" w:firstLine="48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90"/>
        <w:ind w:left="0" w:right="0" w:firstLine="48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left="0" w:firstLine="480"/>
        <w:pageBreakBefore w:val="0"/>
        <w:spacing w:before="91" w:after="91" w:line="42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3.有关本次招标的事项若存在变动或修改，敬请及时关注采购人及代理机构在“中国政府采购网”“江苏政府采购网”“盐城市政府采购网”发布的更正公告。</w:t>
      </w:r>
      <w:r/>
    </w:p>
    <w:p>
      <w:pPr>
        <w:pStyle w:val="690"/>
        <w:ind w:right="0" w:firstLine="48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eastAsia="zh-CN"/>
        </w:rPr>
        <w:t xml:space="preserve">5.</w:t>
      </w:r>
      <w:r>
        <w:rPr>
          <w:rFonts w:hint="eastAsia" w:ascii="宋体" w:hAnsi="宋体" w:eastAsia="宋体" w:cs="宋体"/>
          <w:color w:val="auto"/>
          <w:highlight w:val="none"/>
          <w:shd w:val="clear" w:color="auto" w:fill="ffffff"/>
          <w:lang w:val="en-US" w:eastAsia="zh-CN"/>
        </w:rPr>
        <w:t xml:space="preserve">参与采购活动供应商插入CA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6.</w:t>
      </w:r>
      <w:r>
        <w:rPr>
          <w:rFonts w:hint="eastAsia" w:ascii="宋体" w:hAnsi="宋体" w:eastAsia="宋体" w:cs="宋体"/>
          <w:color w:val="auto"/>
          <w:highlight w:val="none"/>
          <w:shd w:val="clear" w:color="auto" w:fill="ffffff"/>
        </w:rPr>
        <w:t xml:space="preserve">电子投标文件一份（通过系统提交）；纸质投标文件正本一份，副本四份（评审结束后由中标候选人邮寄至（代理公司），未中标单位不需要提供）。</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7</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本项目支持节能环保产品（财库〔2019〕9号）、（</w:t>
      </w:r>
      <w:r>
        <w:rPr>
          <w:rFonts w:hint="eastAsia" w:ascii="宋体" w:hAnsi="宋体" w:eastAsia="宋体" w:cs="宋体"/>
          <w:color w:val="auto"/>
          <w:highlight w:val="none"/>
          <w:shd w:val="clear" w:color="auto" w:fill="ffffff"/>
        </w:rPr>
        <w:t xml:space="preserve">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bookmarkEnd w:id="28"/>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八、凡对本次采购提出询问，请按以下方式联系。</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1.采购人信息</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单位名称：</w:t>
      </w:r>
      <w:r>
        <w:rPr>
          <w:rFonts w:hint="eastAsia" w:ascii="宋体" w:hAnsi="宋体" w:eastAsia="宋体" w:cs="宋体"/>
          <w:color w:val="auto"/>
          <w:highlight w:val="none"/>
          <w:shd w:val="clear" w:color="auto" w:fill="ffffff"/>
          <w:lang w:eastAsia="zh-CN"/>
        </w:rPr>
        <w:t xml:space="preserve">响水县住房和城乡建设局</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地址：</w:t>
      </w:r>
      <w:r>
        <w:rPr>
          <w:rFonts w:hint="eastAsia" w:ascii="宋体" w:hAnsi="宋体" w:eastAsia="宋体" w:cs="宋体"/>
          <w:sz w:val="24"/>
          <w:highlight w:val="none"/>
        </w:rPr>
        <w:t xml:space="preserve">响水县响水镇双园路416号</w:t>
      </w:r>
      <w:r/>
    </w:p>
    <w:p>
      <w:pPr>
        <w:pStyle w:val="690"/>
        <w:ind w:firstLine="480"/>
        <w:jc w:val="both"/>
        <w:pageBreakBefore w:val="0"/>
        <w:spacing w:before="91" w:beforeAutospacing="0" w:after="91" w:afterAutospacing="0" w:line="420" w:lineRule="exact"/>
        <w:rPr>
          <w:rFonts w:hint="default" w:ascii="宋体" w:hAnsi="宋体" w:eastAsia="宋体" w:cs="宋体"/>
          <w:color w:val="auto"/>
          <w:highlight w:val="none"/>
          <w:shd w:val="clear" w:color="auto" w:fill="ffffff"/>
          <w:lang w:val="en-US"/>
        </w:rPr>
      </w:pPr>
      <w:r>
        <w:rPr>
          <w:rFonts w:hint="eastAsia" w:ascii="宋体" w:hAnsi="宋体" w:eastAsia="宋体" w:cs="宋体"/>
          <w:color w:val="auto"/>
          <w:highlight w:val="none"/>
          <w:shd w:val="clear" w:color="auto" w:fill="ffffff"/>
        </w:rPr>
        <w:t xml:space="preserve">联系人：</w:t>
      </w:r>
      <w:r>
        <w:rPr>
          <w:rFonts w:hint="eastAsia" w:ascii="宋体" w:hAnsi="宋体" w:eastAsia="宋体" w:cs="宋体"/>
          <w:color w:val="auto"/>
          <w:highlight w:val="none"/>
          <w:shd w:val="clear" w:color="auto" w:fill="ffffff"/>
          <w:lang w:val="en-US" w:eastAsia="zh-CN"/>
        </w:rPr>
        <w:t xml:space="preserve">刘先生</w:t>
      </w:r>
      <w:r/>
    </w:p>
    <w:p>
      <w:pPr>
        <w:pStyle w:val="690"/>
        <w:ind w:firstLine="480"/>
        <w:jc w:val="both"/>
        <w:pageBreakBefore w:val="0"/>
        <w:spacing w:before="91" w:beforeAutospacing="0" w:after="91" w:afterAutospacing="0" w:line="420" w:lineRule="exact"/>
        <w:rPr>
          <w:rFonts w:hint="default" w:ascii="宋体" w:hAnsi="宋体" w:eastAsia="宋体" w:cs="宋体"/>
          <w:color w:val="auto"/>
          <w:highlight w:val="none"/>
          <w:shd w:val="clear" w:color="auto" w:fill="ffffff"/>
          <w:lang w:val="en-US"/>
        </w:rPr>
      </w:pPr>
      <w:r>
        <w:rPr>
          <w:rFonts w:hint="eastAsia" w:ascii="宋体" w:hAnsi="宋体" w:eastAsia="宋体" w:cs="宋体"/>
          <w:color w:val="auto"/>
          <w:highlight w:val="none"/>
          <w:shd w:val="clear" w:color="auto" w:fill="ffffff"/>
        </w:rPr>
        <w:t xml:space="preserve">联系方式：</w:t>
      </w:r>
      <w:r>
        <w:rPr>
          <w:rFonts w:hint="eastAsia" w:ascii="宋体" w:hAnsi="宋体" w:eastAsia="宋体" w:cs="宋体"/>
          <w:color w:val="auto"/>
          <w:highlight w:val="none"/>
          <w:shd w:val="clear" w:color="auto" w:fill="ffffff"/>
          <w:lang w:val="en-US" w:eastAsia="zh-CN"/>
        </w:rPr>
        <w:t xml:space="preserve">15189223266</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2.采购代理机构信息</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名称：江苏鼎一建设项目管理有限公司</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val="en-US"/>
        </w:rPr>
      </w:pPr>
      <w:r>
        <w:rPr>
          <w:rFonts w:hint="eastAsia" w:ascii="宋体" w:hAnsi="宋体" w:eastAsia="宋体" w:cs="宋体"/>
          <w:color w:val="auto"/>
          <w:highlight w:val="none"/>
          <w:shd w:val="clear" w:color="auto" w:fill="ffffff"/>
          <w:lang w:val="en-US" w:eastAsia="zh-CN"/>
        </w:rPr>
        <w:t xml:space="preserve">地址：盐城市响水县小尖现代产业园内</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联系人：</w:t>
      </w:r>
      <w:r>
        <w:rPr>
          <w:rFonts w:hint="eastAsia" w:ascii="宋体" w:hAnsi="宋体" w:cs="宋体"/>
          <w:sz w:val="24"/>
          <w:highlight w:val="none"/>
          <w:lang w:val="en-US" w:eastAsia="zh-CN"/>
        </w:rPr>
        <w:t xml:space="preserve">卜工</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联系方式：</w:t>
      </w:r>
      <w:r>
        <w:rPr>
          <w:rFonts w:hint="eastAsia" w:ascii="宋体" w:hAnsi="宋体" w:cs="宋体"/>
          <w:sz w:val="24"/>
          <w:highlight w:val="none"/>
          <w:lang w:val="en-US" w:eastAsia="zh-CN"/>
        </w:rPr>
        <w:t xml:space="preserve">13218521578</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3.项目联系方式</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项目联系人：卜工</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电　　话：</w:t>
      </w:r>
      <w:r>
        <w:rPr>
          <w:rFonts w:hint="eastAsia" w:ascii="宋体" w:hAnsi="宋体" w:cs="宋体"/>
          <w:sz w:val="24"/>
          <w:highlight w:val="none"/>
          <w:lang w:val="en-US" w:eastAsia="zh-CN"/>
        </w:rPr>
        <w:t xml:space="preserve">13218521578</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sz w:val="40"/>
          <w:szCs w:val="40"/>
          <w:highlight w:val="none"/>
        </w:rPr>
      </w:pPr>
      <w:r/>
      <w:bookmarkStart w:id="29" w:name="_Toc120614211"/>
      <w:r/>
      <w:bookmarkStart w:id="30" w:name="_Toc19954"/>
      <w:r>
        <w:rPr>
          <w:rFonts w:hint="eastAsia"/>
          <w:sz w:val="40"/>
          <w:szCs w:val="40"/>
          <w:highlight w:val="none"/>
        </w:rPr>
        <w:br w:type="page" w:clear="all"/>
      </w:r>
      <w:r/>
    </w:p>
    <w:p>
      <w:pPr>
        <w:pStyle w:val="657"/>
        <w:jc w:val="center"/>
        <w:rPr>
          <w:rFonts w:hint="eastAsia"/>
          <w:sz w:val="40"/>
          <w:szCs w:val="40"/>
          <w:highlight w:val="none"/>
        </w:rPr>
      </w:pPr>
      <w:r>
        <w:rPr>
          <w:rFonts w:hint="eastAsia"/>
          <w:sz w:val="40"/>
          <w:szCs w:val="40"/>
          <w:highlight w:val="none"/>
        </w:rPr>
        <w:t xml:space="preserve">第二章</w:t>
      </w:r>
      <w:bookmarkEnd w:id="29"/>
      <w:r>
        <w:rPr>
          <w:rFonts w:hint="eastAsia"/>
          <w:sz w:val="40"/>
          <w:szCs w:val="40"/>
          <w:highlight w:val="none"/>
          <w:lang w:val="en-US" w:eastAsia="zh-CN"/>
        </w:rPr>
        <w:t xml:space="preserve">  </w:t>
      </w:r>
      <w:r>
        <w:rPr>
          <w:rFonts w:hint="eastAsia"/>
          <w:sz w:val="40"/>
          <w:szCs w:val="40"/>
          <w:highlight w:val="none"/>
        </w:rPr>
        <w:t xml:space="preserve">供应商须知</w:t>
      </w:r>
      <w:bookmarkEnd w:id="30"/>
      <w:r/>
      <w:r/>
    </w:p>
    <w:p>
      <w:pPr>
        <w:pStyle w:val="690"/>
        <w:ind w:firstLine="498"/>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31" w:name="_Toc120614214"/>
      <w:r/>
      <w:bookmarkStart w:id="32" w:name="_Toc513029203"/>
      <w:r/>
      <w:bookmarkStart w:id="33" w:name="_Toc20823275"/>
      <w:r/>
      <w:bookmarkStart w:id="34" w:name="_Toc16938519"/>
      <w:r>
        <w:rPr>
          <w:rFonts w:hint="eastAsia" w:ascii="宋体" w:hAnsi="宋体" w:eastAsia="宋体" w:cs="宋体"/>
          <w:b/>
          <w:color w:val="auto"/>
          <w:sz w:val="24"/>
          <w:szCs w:val="24"/>
          <w:highlight w:val="none"/>
        </w:rPr>
        <w:t xml:space="preserve">一、总则</w:t>
      </w:r>
      <w:bookmarkEnd w:id="31"/>
      <w:r/>
      <w:bookmarkEnd w:id="32"/>
      <w:r/>
      <w:bookmarkEnd w:id="33"/>
      <w:r/>
      <w:bookmarkEnd w:id="34"/>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35" w:name="_Toc20823276"/>
      <w:r/>
      <w:bookmarkStart w:id="36" w:name="_Toc458694821"/>
      <w:r/>
      <w:bookmarkStart w:id="37" w:name="_Toc513029204"/>
      <w:r/>
      <w:bookmarkStart w:id="38" w:name="_Toc16938520"/>
      <w:r/>
      <w:bookmarkStart w:id="39" w:name="_Hlt16619475"/>
      <w:r>
        <w:rPr>
          <w:rFonts w:hint="eastAsia" w:ascii="宋体" w:hAnsi="宋体" w:eastAsia="宋体" w:cs="宋体"/>
          <w:color w:val="auto"/>
          <w:sz w:val="24"/>
          <w:szCs w:val="24"/>
          <w:highlight w:val="none"/>
        </w:rPr>
        <w:t xml:space="preserve">1</w:t>
      </w:r>
      <w:bookmarkEnd w:id="35"/>
      <w:r>
        <w:rPr>
          <w:rFonts w:hint="eastAsia" w:ascii="宋体" w:hAnsi="宋体" w:eastAsia="宋体" w:cs="宋体"/>
          <w:color w:val="auto"/>
          <w:sz w:val="24"/>
          <w:szCs w:val="24"/>
          <w:highlight w:val="none"/>
        </w:rPr>
        <w:t xml:space="preserve">、采购方式</w:t>
      </w:r>
      <w:bookmarkEnd w:id="36"/>
      <w:r/>
      <w:bookmarkEnd w:id="37"/>
      <w:r/>
      <w:bookmarkEnd w:id="38"/>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40" w:name="_Toc16938521"/>
      <w:r/>
      <w:bookmarkStart w:id="41" w:name="_Toc513029205"/>
      <w:r/>
      <w:bookmarkStart w:id="42" w:name="_Toc20823277"/>
      <w:r>
        <w:rPr>
          <w:rFonts w:hint="eastAsia" w:ascii="宋体" w:hAnsi="宋体" w:eastAsia="宋体" w:cs="宋体"/>
          <w:color w:val="auto"/>
          <w:sz w:val="24"/>
          <w:szCs w:val="24"/>
          <w:highlight w:val="none"/>
        </w:rPr>
        <w:t xml:space="preserve">2、合格的</w:t>
      </w:r>
      <w:bookmarkEnd w:id="40"/>
      <w:r/>
      <w:bookmarkEnd w:id="41"/>
      <w:r/>
      <w:bookmarkEnd w:id="42"/>
      <w:r>
        <w:rPr>
          <w:rFonts w:hint="eastAsia" w:ascii="宋体" w:hAnsi="宋体" w:eastAsia="宋体" w:cs="宋体"/>
          <w:color w:val="auto"/>
          <w:sz w:val="24"/>
          <w:szCs w:val="24"/>
          <w:highlight w:val="none"/>
        </w:rPr>
        <w:t xml:space="preserve">供应商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pageBreakBefore w:val="0"/>
        <w:spacing w:line="420" w:lineRule="exact"/>
        <w:widowControl w:val="off"/>
        <w:rPr>
          <w:rFonts w:hint="eastAsia" w:ascii="宋体" w:hAnsi="宋体" w:eastAsia="宋体" w:cs="宋体"/>
          <w:color w:val="auto"/>
          <w:sz w:val="24"/>
          <w:szCs w:val="21"/>
          <w:highlight w:val="none"/>
        </w:rPr>
      </w:pPr>
      <w:r/>
      <w:bookmarkStart w:id="43" w:name="_Toc20823278"/>
      <w:r/>
      <w:bookmarkStart w:id="44" w:name="_Toc513029206"/>
      <w:r/>
      <w:bookmarkStart w:id="45" w:name="_Toc16938522"/>
      <w:r/>
      <w:bookmarkStart w:id="46" w:name="_Toc16938523"/>
      <w:r/>
      <w:bookmarkStart w:id="47" w:name="_Toc513029207"/>
      <w:r/>
      <w:bookmarkStart w:id="48" w:name="_Toc20823279"/>
      <w:r/>
      <w:bookmarkStart w:id="49" w:name="_Toc462564067"/>
      <w:r>
        <w:rPr>
          <w:rFonts w:hint="eastAsia" w:ascii="宋体" w:hAnsi="宋体" w:eastAsia="宋体" w:cs="宋体"/>
          <w:color w:val="auto"/>
          <w:sz w:val="24"/>
          <w:szCs w:val="21"/>
          <w:highlight w:val="none"/>
        </w:rPr>
        <w:t xml:space="preserve">3、适用法律</w:t>
      </w:r>
      <w:bookmarkEnd w:id="43"/>
      <w:r/>
      <w:bookmarkEnd w:id="44"/>
      <w:r/>
      <w:bookmarkEnd w:id="45"/>
      <w:r>
        <w:rPr>
          <w:rFonts w:hint="eastAsia" w:ascii="宋体" w:hAnsi="宋体" w:eastAsia="宋体" w:cs="宋体"/>
          <w:color w:val="auto"/>
          <w:sz w:val="24"/>
          <w:szCs w:val="21"/>
          <w:highlight w:val="none"/>
        </w:rPr>
        <w:t xml:space="preserve">和标准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46"/>
      <w:r/>
      <w:bookmarkEnd w:id="47"/>
      <w:r/>
      <w:bookmarkEnd w:id="48"/>
      <w:r/>
      <w:bookmarkEnd w:id="49"/>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4.1供应商应自行承担所有与参加本次磋商有关的费用，无论磋商过程中的做法和结果如何，盐城市政府</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和采购人不收取标书工本费与成交服务费。</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90"/>
        <w:ind w:firstLine="321"/>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0" w:name="_Toc513029209"/>
      <w:r/>
      <w:bookmarkStart w:id="51" w:name="_Toc20823281"/>
      <w:r/>
      <w:bookmarkStart w:id="52" w:name="_Toc16938525"/>
      <w:r/>
      <w:bookmarkStart w:id="53" w:name="_Toc120614215"/>
      <w:r>
        <w:rPr>
          <w:rFonts w:hint="eastAsia" w:ascii="宋体" w:hAnsi="宋体" w:eastAsia="宋体" w:cs="宋体"/>
          <w:b/>
          <w:color w:val="auto"/>
          <w:sz w:val="24"/>
          <w:szCs w:val="24"/>
          <w:highlight w:val="none"/>
        </w:rPr>
        <w:t xml:space="preserve">二、</w:t>
      </w:r>
      <w:bookmarkEnd w:id="50"/>
      <w:r/>
      <w:bookmarkEnd w:id="51"/>
      <w:r/>
      <w:bookmarkEnd w:id="52"/>
      <w:r/>
      <w:bookmarkEnd w:id="53"/>
      <w:r>
        <w:rPr>
          <w:rFonts w:hint="eastAsia" w:ascii="宋体" w:hAnsi="宋体" w:eastAsia="宋体" w:cs="宋体"/>
          <w:b/>
          <w:color w:val="auto"/>
          <w:sz w:val="24"/>
          <w:szCs w:val="24"/>
          <w:highlight w:val="none"/>
        </w:rPr>
        <w:t xml:space="preserve">磋商文件</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4" w:name="_Toc20823282"/>
      <w:r/>
      <w:bookmarkStart w:id="55" w:name="_Toc513029210"/>
      <w:r/>
      <w:bookmarkStart w:id="56" w:name="_Toc16938526"/>
      <w:r>
        <w:rPr>
          <w:rFonts w:hint="eastAsia" w:ascii="宋体" w:hAnsi="宋体" w:eastAsia="宋体" w:cs="宋体"/>
          <w:color w:val="auto"/>
          <w:sz w:val="24"/>
          <w:szCs w:val="24"/>
          <w:highlight w:val="none"/>
        </w:rPr>
        <w:t xml:space="preserve">6、磋商文件构成</w:t>
      </w:r>
      <w:bookmarkEnd w:id="54"/>
      <w:r/>
      <w:bookmarkEnd w:id="55"/>
      <w:r/>
      <w:bookmarkEnd w:id="56"/>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7" w:name="_Toc462564070"/>
      <w:r/>
      <w:bookmarkStart w:id="58" w:name="_Toc16938527"/>
      <w:r/>
      <w:bookmarkStart w:id="59" w:name="_Toc20823283"/>
      <w:r/>
      <w:bookmarkStart w:id="60" w:name="_Toc513029211"/>
      <w:r>
        <w:rPr>
          <w:rFonts w:hint="eastAsia" w:ascii="宋体" w:hAnsi="宋体" w:eastAsia="宋体" w:cs="宋体"/>
          <w:color w:val="auto"/>
          <w:sz w:val="24"/>
          <w:szCs w:val="24"/>
          <w:highlight w:val="none"/>
        </w:rPr>
        <w:t xml:space="preserve">7、磋商文件的澄清</w:t>
      </w:r>
      <w:bookmarkEnd w:id="57"/>
      <w:r/>
      <w:bookmarkEnd w:id="58"/>
      <w:r/>
      <w:bookmarkEnd w:id="59"/>
      <w:r/>
      <w:bookmarkEnd w:id="60"/>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1" w:name="_Toc16938528"/>
      <w:r/>
      <w:bookmarkStart w:id="62" w:name="_Toc462564071"/>
      <w:r/>
      <w:bookmarkStart w:id="63" w:name="_Toc20823284"/>
      <w:r/>
      <w:bookmarkStart w:id="64" w:name="_Toc513029212"/>
      <w:r>
        <w:rPr>
          <w:rFonts w:hint="eastAsia" w:ascii="宋体" w:hAnsi="宋体" w:eastAsia="宋体" w:cs="宋体"/>
          <w:color w:val="auto"/>
          <w:sz w:val="24"/>
          <w:szCs w:val="24"/>
          <w:highlight w:val="none"/>
        </w:rPr>
        <w:t xml:space="preserve">8、磋商文件的澄清和修改</w:t>
      </w:r>
      <w:bookmarkEnd w:id="61"/>
      <w:r/>
      <w:bookmarkEnd w:id="62"/>
      <w:r/>
      <w:bookmarkEnd w:id="63"/>
      <w:r/>
      <w:bookmarkEnd w:id="64"/>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90"/>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5" w:name="_Toc513029213"/>
      <w:r/>
      <w:bookmarkStart w:id="66" w:name="_Toc16938529"/>
      <w:r/>
      <w:bookmarkStart w:id="67" w:name="_Toc20823285"/>
      <w:r/>
      <w:bookmarkStart w:id="68" w:name="_Toc462564072"/>
      <w:r/>
      <w:bookmarkStart w:id="69" w:name="_Toc120614216"/>
      <w:r>
        <w:rPr>
          <w:rFonts w:hint="eastAsia" w:ascii="宋体" w:hAnsi="宋体" w:eastAsia="宋体" w:cs="宋体"/>
          <w:b/>
          <w:color w:val="auto"/>
          <w:sz w:val="24"/>
          <w:szCs w:val="24"/>
          <w:highlight w:val="none"/>
        </w:rPr>
        <w:t xml:space="preserve">三、响应文件的编制</w:t>
      </w:r>
      <w:bookmarkEnd w:id="65"/>
      <w:r/>
      <w:bookmarkEnd w:id="66"/>
      <w:r/>
      <w:bookmarkEnd w:id="67"/>
      <w:r/>
      <w:bookmarkEnd w:id="68"/>
      <w:r/>
      <w:bookmarkEnd w:id="69"/>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0" w:name="_Toc513029214"/>
      <w:r/>
      <w:bookmarkStart w:id="71" w:name="_Toc20823286"/>
      <w:r/>
      <w:bookmarkStart w:id="72" w:name="_Toc462564073"/>
      <w:r/>
      <w:bookmarkStart w:id="73" w:name="_Toc16938530"/>
      <w:r>
        <w:rPr>
          <w:rFonts w:hint="eastAsia" w:ascii="宋体" w:hAnsi="宋体" w:eastAsia="宋体" w:cs="宋体"/>
          <w:color w:val="auto"/>
          <w:sz w:val="24"/>
          <w:szCs w:val="24"/>
          <w:highlight w:val="none"/>
        </w:rPr>
        <w:t xml:space="preserve">9、响应文件的语言及度量衡单位</w:t>
      </w:r>
      <w:bookmarkEnd w:id="70"/>
      <w:r/>
      <w:bookmarkEnd w:id="71"/>
      <w:r/>
      <w:bookmarkEnd w:id="72"/>
      <w:r/>
      <w:bookmarkEnd w:id="73"/>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4" w:name="_Toc20823287"/>
      <w:r/>
      <w:bookmarkStart w:id="75" w:name="_Toc462564074"/>
      <w:r/>
      <w:bookmarkStart w:id="76" w:name="_Toc16938531"/>
      <w:r/>
      <w:bookmarkStart w:id="77" w:name="_Toc513029215"/>
      <w:r>
        <w:rPr>
          <w:rFonts w:hint="eastAsia" w:ascii="宋体" w:hAnsi="宋体" w:eastAsia="宋体" w:cs="宋体"/>
          <w:color w:val="auto"/>
          <w:sz w:val="24"/>
          <w:szCs w:val="24"/>
          <w:highlight w:val="none"/>
        </w:rPr>
        <w:t xml:space="preserve">10、响应文件构成</w:t>
      </w:r>
      <w:bookmarkEnd w:id="74"/>
      <w:r/>
      <w:bookmarkEnd w:id="75"/>
      <w:r/>
      <w:bookmarkEnd w:id="76"/>
      <w:r/>
      <w:bookmarkEnd w:id="77"/>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8" w:name="_Toc49090508"/>
      <w:r/>
      <w:bookmarkStart w:id="79" w:name="_Toc14577355"/>
      <w:r/>
      <w:bookmarkStart w:id="80" w:name="_Toc513029216"/>
      <w:r/>
      <w:bookmarkStart w:id="81" w:name="_Toc49090509"/>
      <w:r/>
      <w:bookmarkStart w:id="82" w:name="_Toc513029219"/>
      <w:r/>
      <w:bookmarkStart w:id="83" w:name="_Toc14577354"/>
      <w:r/>
      <w:bookmarkStart w:id="84" w:name="_Toc14577357"/>
      <w:r/>
      <w:bookmarkStart w:id="85" w:name="_Toc49090507"/>
      <w:r/>
      <w:bookmarkStart w:id="86" w:name="_Hlt26668975"/>
      <w:r/>
      <w:bookmarkStart w:id="87" w:name="_Hlt26954838"/>
      <w:r/>
      <w:bookmarkStart w:id="88" w:name="_Hlt26670360"/>
      <w:r>
        <w:rPr>
          <w:rFonts w:hint="eastAsia" w:ascii="宋体" w:hAnsi="宋体" w:eastAsia="宋体" w:cs="宋体"/>
          <w:color w:val="auto"/>
          <w:sz w:val="24"/>
          <w:szCs w:val="24"/>
          <w:highlight w:val="none"/>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90"/>
        <w:ind w:firstLine="420"/>
        <w:jc w:val="both"/>
        <w:keepLines/>
        <w:keepNext/>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12.</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最低报价不能作为中标的保证。</w:t>
      </w:r>
      <w:r/>
    </w:p>
    <w:p>
      <w:pPr>
        <w:pStyle w:val="690"/>
        <w:ind w:firstLine="420"/>
        <w:jc w:val="both"/>
        <w:keepLines/>
        <w:keepNext/>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12.</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如出现不合理的报价，经评标委员会评审报价高于本项目最高限价的，作无效标处理。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highlight w:val="none"/>
        </w:rPr>
        <w:t xml:space="preserve">12.</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 供应商根据招标内容的要求，准确报价，不接受有任何可选择性的报价，报价一经报出，不得更改。</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89" w:name="_Hlt26670482"/>
      <w:r/>
      <w:bookmarkStart w:id="90" w:name="_Hlt26670486"/>
      <w:r/>
      <w:bookmarkStart w:id="91" w:name="_Hlt26954848"/>
      <w:r/>
      <w:bookmarkStart w:id="92" w:name="_Hlt26954846"/>
      <w:r/>
      <w:bookmarkStart w:id="93" w:name="_Hlt26954731"/>
      <w:r>
        <w:rPr>
          <w:rFonts w:hint="eastAsia" w:ascii="宋体" w:hAnsi="宋体" w:eastAsia="宋体" w:cs="宋体"/>
          <w:color w:val="auto"/>
          <w:sz w:val="24"/>
          <w:szCs w:val="24"/>
          <w:highlight w:val="none"/>
        </w:rPr>
        <w:t xml:space="preserve">13、技术要求响应及偏离表、商务要求响应及偏离表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14、技术方案、实施方案、人员安排及其他</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14.1供应商需根据磋商文件要求提供有关技术方案、实施方案等。</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4" w:name="_Toc14577359"/>
      <w:r/>
      <w:bookmarkStart w:id="95" w:name="_Toc49090510"/>
      <w:r>
        <w:rPr>
          <w:rFonts w:hint="eastAsia" w:ascii="宋体" w:hAnsi="宋体" w:eastAsia="宋体" w:cs="宋体"/>
          <w:color w:val="auto"/>
          <w:sz w:val="24"/>
          <w:szCs w:val="24"/>
          <w:highlight w:val="none"/>
        </w:rPr>
        <w:t xml:space="preserve">15、磋商响应函</w:t>
      </w:r>
      <w:bookmarkEnd w:id="94"/>
      <w:r/>
      <w:bookmarkEnd w:id="95"/>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6" w:name="_Toc49090511"/>
      <w:r/>
      <w:bookmarkStart w:id="97" w:name="_Toc14577360"/>
      <w:r>
        <w:rPr>
          <w:rFonts w:hint="eastAsia" w:ascii="宋体" w:hAnsi="宋体" w:eastAsia="宋体" w:cs="宋体"/>
          <w:color w:val="auto"/>
          <w:sz w:val="24"/>
          <w:szCs w:val="24"/>
          <w:highlight w:val="none"/>
        </w:rPr>
        <w:t xml:space="preserve">16、磋商有效期</w:t>
      </w:r>
      <w:bookmarkEnd w:id="96"/>
      <w:r/>
      <w:bookmarkEnd w:id="97"/>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90"/>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8" w:name="_Toc120614217"/>
      <w:r/>
      <w:bookmarkStart w:id="99" w:name="_Toc20823296"/>
      <w:r/>
      <w:bookmarkStart w:id="100" w:name="_Toc513029224"/>
      <w:r/>
      <w:bookmarkStart w:id="101" w:name="_Toc16938540"/>
      <w:r/>
      <w:bookmarkStart w:id="102" w:name="_Hlt26954852"/>
      <w:r/>
      <w:bookmarkStart w:id="103" w:name="_Hlt26954739"/>
      <w:r>
        <w:rPr>
          <w:rFonts w:hint="eastAsia" w:ascii="宋体" w:hAnsi="宋体" w:eastAsia="宋体" w:cs="宋体"/>
          <w:b/>
          <w:color w:val="auto"/>
          <w:sz w:val="24"/>
          <w:szCs w:val="24"/>
          <w:highlight w:val="none"/>
        </w:rPr>
        <w:t xml:space="preserve">四、响应文件的递交</w:t>
      </w:r>
      <w:bookmarkEnd w:id="98"/>
      <w:r/>
      <w:bookmarkEnd w:id="99"/>
      <w:r/>
      <w:bookmarkEnd w:id="100"/>
      <w:r/>
      <w:bookmarkEnd w:id="101"/>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04" w:name="_Toc16938541"/>
      <w:r/>
      <w:bookmarkStart w:id="105" w:name="_Toc20823297"/>
      <w:r/>
      <w:bookmarkStart w:id="106" w:name="_Toc513029225"/>
      <w:r/>
      <w:bookmarkStart w:id="107" w:name="_Toc462564084"/>
      <w:r>
        <w:rPr>
          <w:rFonts w:hint="eastAsia" w:ascii="宋体" w:hAnsi="宋体" w:eastAsia="宋体" w:cs="宋体"/>
          <w:color w:val="auto"/>
          <w:sz w:val="24"/>
          <w:szCs w:val="24"/>
          <w:highlight w:val="none"/>
        </w:rPr>
        <w:t xml:space="preserve">18、电子磋商</w:t>
      </w:r>
      <w:bookmarkEnd w:id="104"/>
      <w:r/>
      <w:bookmarkEnd w:id="105"/>
      <w:r/>
      <w:bookmarkEnd w:id="106"/>
      <w:r/>
      <w:bookmarkEnd w:id="107"/>
      <w:r>
        <w:rPr>
          <w:rFonts w:hint="eastAsia" w:ascii="宋体" w:hAnsi="宋体" w:eastAsia="宋体" w:cs="宋体"/>
          <w:color w:val="auto"/>
          <w:sz w:val="24"/>
          <w:szCs w:val="24"/>
          <w:highlight w:val="none"/>
        </w:rPr>
        <w:t xml:space="preserve">响应文件的递交</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08" w:name="_Toc20823298"/>
      <w:r/>
      <w:bookmarkEnd w:id="108"/>
      <w:r/>
      <w:bookmarkStart w:id="109" w:name="_Toc16938542"/>
      <w:r/>
      <w:bookmarkEnd w:id="109"/>
      <w:r/>
      <w:bookmarkStart w:id="110" w:name="_Toc513029226"/>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提交响应文件截止时间</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19.1供应商上传电子响应文件的时间不得迟于磋商公告中规定的提交响应文件截止时间。</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1" w:name="_Toc20823299"/>
      <w:r/>
      <w:bookmarkStart w:id="112" w:name="_Toc16938543"/>
      <w:r/>
      <w:bookmarkStart w:id="113" w:name="_Toc513029227"/>
      <w:r>
        <w:rPr>
          <w:rFonts w:hint="eastAsia" w:ascii="宋体" w:hAnsi="宋体" w:eastAsia="宋体" w:cs="宋体"/>
          <w:color w:val="auto"/>
          <w:sz w:val="24"/>
          <w:szCs w:val="24"/>
          <w:highlight w:val="none"/>
        </w:rPr>
        <w:t xml:space="preserve">20、响应文件</w:t>
      </w:r>
      <w:bookmarkEnd w:id="111"/>
      <w:r/>
      <w:bookmarkEnd w:id="112"/>
      <w:r/>
      <w:bookmarkEnd w:id="113"/>
      <w:r>
        <w:rPr>
          <w:rFonts w:hint="eastAsia" w:ascii="宋体" w:hAnsi="宋体" w:eastAsia="宋体" w:cs="宋体"/>
          <w:color w:val="auto"/>
          <w:sz w:val="24"/>
          <w:szCs w:val="24"/>
          <w:highlight w:val="none"/>
        </w:rPr>
        <w:t xml:space="preserve">的拒收</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4" w:name="_Toc513029228"/>
      <w:r/>
      <w:bookmarkStart w:id="115" w:name="_Toc20823300"/>
      <w:r/>
      <w:bookmarkStart w:id="116" w:name="_Toc16938544"/>
      <w:r>
        <w:rPr>
          <w:rFonts w:hint="eastAsia" w:ascii="宋体" w:hAnsi="宋体" w:eastAsia="宋体" w:cs="宋体"/>
          <w:color w:val="auto"/>
          <w:sz w:val="24"/>
          <w:szCs w:val="24"/>
          <w:highlight w:val="none"/>
        </w:rPr>
        <w:t xml:space="preserve">21、响应文件的撤回和修改</w:t>
      </w:r>
      <w:bookmarkEnd w:id="114"/>
      <w:r/>
      <w:bookmarkEnd w:id="115"/>
      <w:r/>
      <w:bookmarkEnd w:id="116"/>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690"/>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7" w:name="_Toc20823301"/>
      <w:r/>
      <w:bookmarkStart w:id="118" w:name="_Toc120614218"/>
      <w:r/>
      <w:bookmarkStart w:id="119" w:name="_Toc16938545"/>
      <w:r/>
      <w:bookmarkStart w:id="120" w:name="_Toc513029229"/>
      <w:r>
        <w:rPr>
          <w:rFonts w:hint="eastAsia" w:ascii="宋体" w:hAnsi="宋体" w:eastAsia="宋体" w:cs="宋体"/>
          <w:b/>
          <w:color w:val="auto"/>
          <w:sz w:val="24"/>
          <w:szCs w:val="24"/>
          <w:highlight w:val="none"/>
        </w:rPr>
        <w:t xml:space="preserve">五、响应文件的解密与评审</w:t>
      </w:r>
      <w:bookmarkEnd w:id="117"/>
      <w:r/>
      <w:bookmarkEnd w:id="118"/>
      <w:r/>
      <w:bookmarkEnd w:id="119"/>
      <w:r/>
      <w:bookmarkEnd w:id="120"/>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1" w:name="_Toc513029230"/>
      <w:r/>
      <w:bookmarkStart w:id="122" w:name="_Toc20823302"/>
      <w:r/>
      <w:bookmarkStart w:id="123" w:name="_Toc16938546"/>
      <w:r>
        <w:rPr>
          <w:rFonts w:hint="eastAsia" w:ascii="宋体" w:hAnsi="宋体" w:eastAsia="宋体" w:cs="宋体"/>
          <w:color w:val="auto"/>
          <w:sz w:val="24"/>
          <w:szCs w:val="24"/>
          <w:highlight w:val="none"/>
        </w:rPr>
        <w:t xml:space="preserve">22、</w:t>
      </w:r>
      <w:bookmarkEnd w:id="121"/>
      <w:r/>
      <w:bookmarkEnd w:id="122"/>
      <w:r/>
      <w:bookmarkEnd w:id="123"/>
      <w:r>
        <w:rPr>
          <w:rFonts w:hint="eastAsia" w:ascii="宋体" w:hAnsi="宋体" w:eastAsia="宋体" w:cs="宋体"/>
          <w:color w:val="auto"/>
          <w:sz w:val="24"/>
          <w:szCs w:val="24"/>
          <w:highlight w:val="none"/>
        </w:rPr>
        <w:t xml:space="preserve">响应文件解密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4" w:name="_Toc16938547"/>
      <w:r/>
      <w:bookmarkStart w:id="125" w:name="_Toc20823303"/>
      <w:r/>
      <w:bookmarkStart w:id="126" w:name="_Toc513029231"/>
      <w:r>
        <w:rPr>
          <w:rFonts w:hint="eastAsia" w:ascii="宋体" w:hAnsi="宋体" w:eastAsia="宋体" w:cs="宋体"/>
          <w:color w:val="auto"/>
          <w:sz w:val="24"/>
          <w:szCs w:val="24"/>
          <w:highlight w:val="none"/>
        </w:rPr>
        <w:t xml:space="preserve">23、磋商小组</w:t>
      </w:r>
      <w:bookmarkEnd w:id="124"/>
      <w:r/>
      <w:bookmarkEnd w:id="125"/>
      <w:r/>
      <w:bookmarkEnd w:id="126"/>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将设专门人员与供应商联系。</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7" w:name="_Toc20823304"/>
      <w:r/>
      <w:bookmarkStart w:id="128" w:name="_Toc513029232"/>
      <w:r/>
      <w:bookmarkStart w:id="129" w:name="_Toc16938548"/>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7"/>
      <w:r/>
      <w:bookmarkEnd w:id="128"/>
      <w:r/>
      <w:bookmarkEnd w:id="129"/>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0" w:name="_Toc20823305"/>
      <w:r/>
      <w:bookmarkStart w:id="131" w:name="_Toc16938549"/>
      <w:r/>
      <w:bookmarkStart w:id="132" w:name="_Toc513029233"/>
      <w:r>
        <w:rPr>
          <w:rFonts w:hint="eastAsia" w:ascii="宋体" w:hAnsi="宋体" w:eastAsia="宋体" w:cs="宋体"/>
          <w:color w:val="auto"/>
          <w:sz w:val="24"/>
          <w:szCs w:val="24"/>
          <w:highlight w:val="none"/>
        </w:rPr>
        <w:t xml:space="preserve">26、对响应文件的审</w:t>
      </w:r>
      <w:bookmarkEnd w:id="130"/>
      <w:r/>
      <w:bookmarkEnd w:id="131"/>
      <w:r/>
      <w:bookmarkEnd w:id="132"/>
      <w:r>
        <w:rPr>
          <w:rFonts w:hint="eastAsia" w:ascii="宋体" w:hAnsi="宋体" w:eastAsia="宋体" w:cs="宋体"/>
          <w:color w:val="auto"/>
          <w:sz w:val="24"/>
          <w:szCs w:val="24"/>
          <w:highlight w:val="none"/>
        </w:rPr>
        <w:t xml:space="preserve">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应当启动异常低价响应审查程序：</w:t>
      </w:r>
      <w:r/>
    </w:p>
    <w:p>
      <w:pPr>
        <w:pStyle w:val="690"/>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690"/>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690"/>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3.投标（响应）报价低于采购项目最高限价65%的，即投标（响应）报价&lt;采购项目最高限价×65%；</w:t>
      </w:r>
      <w:r/>
    </w:p>
    <w:p>
      <w:pPr>
        <w:pStyle w:val="690"/>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90"/>
        <w:ind w:left="0" w:right="0"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auto"/>
          <w:sz w:val="24"/>
          <w:szCs w:val="24"/>
          <w:highlight w:val="none"/>
          <w:lang w:val="en-US" w:eastAsia="zh-CN" w:bidi="ar-SA"/>
        </w:rPr>
        <w:t xml:space="preserve">。</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ff0000"/>
          <w:highlight w:val="none"/>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9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9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9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3" w:name="_Toc16938550"/>
      <w:r/>
      <w:bookmarkStart w:id="134" w:name="_Toc513029234"/>
      <w:r/>
      <w:bookmarkStart w:id="135"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及磋商小组联系。</w:t>
      </w:r>
      <w:bookmarkEnd w:id="133"/>
      <w:r/>
      <w:bookmarkEnd w:id="134"/>
      <w:r/>
      <w:bookmarkEnd w:id="135"/>
      <w:r/>
      <w:r/>
    </w:p>
    <w:p>
      <w:pPr>
        <w:pStyle w:val="690"/>
        <w:ind w:left="0"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690"/>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690"/>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90"/>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90"/>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90"/>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6" w:name="_Toc513029235"/>
      <w:r/>
      <w:bookmarkStart w:id="137" w:name="_Toc20823307"/>
      <w:r/>
      <w:bookmarkStart w:id="138" w:name="_Toc16938551"/>
      <w:r/>
      <w:bookmarkStart w:id="139" w:name="_Toc120614219"/>
      <w:r>
        <w:rPr>
          <w:rFonts w:hint="eastAsia" w:ascii="宋体" w:hAnsi="宋体" w:eastAsia="宋体" w:cs="宋体"/>
          <w:b/>
          <w:color w:val="auto"/>
          <w:sz w:val="24"/>
          <w:szCs w:val="24"/>
          <w:highlight w:val="none"/>
        </w:rPr>
        <w:t xml:space="preserve">六、</w:t>
      </w:r>
      <w:bookmarkEnd w:id="136"/>
      <w:r/>
      <w:bookmarkEnd w:id="137"/>
      <w:r/>
      <w:bookmarkEnd w:id="138"/>
      <w:r/>
      <w:bookmarkEnd w:id="139"/>
      <w:r>
        <w:rPr>
          <w:rFonts w:hint="eastAsia" w:ascii="宋体" w:hAnsi="宋体" w:eastAsia="宋体" w:cs="宋体"/>
          <w:b/>
          <w:color w:val="auto"/>
          <w:sz w:val="24"/>
          <w:szCs w:val="24"/>
          <w:highlight w:val="none"/>
        </w:rPr>
        <w:t xml:space="preserve">成交</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0" w:name="_Toc20823310"/>
      <w:r/>
      <w:bookmarkStart w:id="141" w:name="_Toc513029238"/>
      <w:r/>
      <w:bookmarkStart w:id="142" w:name="_Toc16938554"/>
      <w:r>
        <w:rPr>
          <w:rFonts w:hint="eastAsia" w:ascii="宋体" w:hAnsi="宋体" w:eastAsia="宋体" w:cs="宋体"/>
          <w:color w:val="auto"/>
          <w:sz w:val="24"/>
          <w:szCs w:val="24"/>
          <w:highlight w:val="none"/>
        </w:rPr>
        <w:t xml:space="preserve">28、</w:t>
      </w:r>
      <w:bookmarkEnd w:id="140"/>
      <w:r>
        <w:rPr>
          <w:rFonts w:hint="eastAsia" w:ascii="宋体" w:hAnsi="宋体" w:eastAsia="宋体" w:cs="宋体"/>
          <w:color w:val="auto"/>
          <w:sz w:val="24"/>
          <w:szCs w:val="24"/>
          <w:highlight w:val="none"/>
        </w:rPr>
        <w:t xml:space="preserve">确定</w:t>
      </w:r>
      <w:bookmarkEnd w:id="141"/>
      <w:r/>
      <w:bookmarkEnd w:id="142"/>
      <w:r>
        <w:rPr>
          <w:rFonts w:hint="eastAsia" w:ascii="宋体" w:hAnsi="宋体" w:eastAsia="宋体" w:cs="宋体"/>
          <w:color w:val="auto"/>
          <w:sz w:val="24"/>
          <w:szCs w:val="24"/>
          <w:highlight w:val="none"/>
        </w:rPr>
        <w:t xml:space="preserve">成交单位</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工作人员恶意串通的。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3" w:name="_Toc200451960"/>
      <w:r>
        <w:rPr>
          <w:rFonts w:hint="eastAsia" w:ascii="宋体" w:hAnsi="宋体" w:eastAsia="宋体" w:cs="宋体"/>
          <w:color w:val="auto"/>
          <w:sz w:val="24"/>
          <w:szCs w:val="24"/>
          <w:highlight w:val="none"/>
        </w:rPr>
        <w:t xml:space="preserve">29、质疑处理</w:t>
      </w:r>
      <w:bookmarkEnd w:id="143"/>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9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4" w:name="_Toc16938552"/>
      <w:r/>
      <w:bookmarkStart w:id="145" w:name="_Toc20823308"/>
      <w:r/>
      <w:bookmarkStart w:id="146" w:name="_Toc513029236"/>
      <w:r/>
      <w:bookmarkStart w:id="147" w:name="_Toc120614220"/>
      <w:r>
        <w:rPr>
          <w:rFonts w:hint="eastAsia" w:ascii="宋体" w:hAnsi="宋体" w:eastAsia="宋体" w:cs="宋体"/>
          <w:b/>
          <w:color w:val="auto"/>
          <w:sz w:val="24"/>
          <w:szCs w:val="24"/>
          <w:highlight w:val="none"/>
        </w:rPr>
        <w:t xml:space="preserve">七、授予合同</w:t>
      </w:r>
      <w:bookmarkEnd w:id="144"/>
      <w:r/>
      <w:bookmarkEnd w:id="145"/>
      <w:r/>
      <w:bookmarkEnd w:id="146"/>
      <w:r/>
      <w:bookmarkEnd w:id="147"/>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8" w:name="_Toc20823309"/>
      <w:r/>
      <w:bookmarkStart w:id="149" w:name="_Toc16938553"/>
      <w:r/>
      <w:bookmarkStart w:id="150" w:name="_Toc513029237"/>
      <w:r>
        <w:rPr>
          <w:rFonts w:hint="eastAsia" w:ascii="宋体" w:hAnsi="宋体" w:eastAsia="宋体" w:cs="宋体"/>
          <w:color w:val="auto"/>
          <w:sz w:val="24"/>
          <w:szCs w:val="24"/>
          <w:highlight w:val="none"/>
        </w:rPr>
        <w:t xml:space="preserve">31.签订合同</w:t>
      </w:r>
      <w:bookmarkEnd w:id="148"/>
      <w:r/>
      <w:bookmarkEnd w:id="149"/>
      <w:r/>
      <w:bookmarkEnd w:id="150"/>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90"/>
        <w:numPr>
          <w:ilvl w:val="0"/>
          <w:numId w:val="0"/>
        </w:numPr>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33.4政府采购节能产品、环境标志产品</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
          <w:i/>
          <w:color w:val="auto"/>
          <w:sz w:val="24"/>
          <w:szCs w:val="24"/>
          <w:highlight w:val="none"/>
          <w:shd w:val="clear" w:color="auto" w:fill="auto"/>
        </w:rPr>
        <w:t xml:space="preserve">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keepLines w:val="0"/>
        <w:keepNext w:val="0"/>
        <w:pageBreakBefore w:val="0"/>
        <w:spacing w:line="42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ind w:firstLine="480"/>
        <w:keepLines w:val="0"/>
        <w:pageBreakBefore w:val="0"/>
        <w:spacing w:line="420" w:lineRule="exact"/>
        <w:widowControl w:val="off"/>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rPr>
        <w:t xml:space="preserve">本项目不收取</w:t>
      </w:r>
      <w:r>
        <w:rPr>
          <w:rFonts w:hint="eastAsia" w:ascii="宋体" w:hAnsi="宋体" w:eastAsia="宋体" w:cs="宋体"/>
          <w:color w:val="auto"/>
          <w:sz w:val="24"/>
          <w:szCs w:val="24"/>
          <w:highlight w:val="none"/>
          <w:shd w:val="clear" w:color="auto" w:fill="auto"/>
          <w:lang w:val="en-US" w:eastAsia="zh-CN" w:bidi="ar-SA"/>
        </w:rPr>
        <w:t xml:space="preserve">履约保证金</w:t>
      </w:r>
      <w:r/>
    </w:p>
    <w:p>
      <w:pPr>
        <w:ind w:firstLine="480"/>
        <w:keepLines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keepLines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eastAsia="宋体" w:cs="宋体"/>
          <w:b/>
          <w:bCs/>
          <w:color w:val="000000"/>
          <w:sz w:val="40"/>
          <w:szCs w:val="40"/>
          <w:highlight w:val="none"/>
        </w:rPr>
      </w:pPr>
      <w:r/>
      <w:bookmarkStart w:id="151" w:name="_Toc479757211"/>
      <w:r/>
      <w:bookmarkStart w:id="152" w:name="_Toc20823346"/>
      <w:r/>
      <w:bookmarkStart w:id="153" w:name="_Toc462564139"/>
      <w:r/>
      <w:bookmarkStart w:id="154" w:name="_Toc120614244"/>
      <w:r/>
      <w:bookmarkStart w:id="155" w:name="_Toc16938590"/>
      <w:r/>
      <w:bookmarkStart w:id="156" w:name="_Hlt16619350"/>
      <w:r/>
      <w:bookmarkStart w:id="157" w:name="_Hlt16619369"/>
      <w:r>
        <w:rPr>
          <w:rFonts w:hint="eastAsia" w:ascii="宋体" w:hAnsi="宋体" w:eastAsia="宋体" w:cs="宋体"/>
          <w:b/>
          <w:bCs/>
          <w:color w:val="000000"/>
          <w:sz w:val="40"/>
          <w:szCs w:val="40"/>
          <w:highlight w:val="none"/>
        </w:rPr>
        <w:br w:type="page" w:clear="all"/>
      </w:r>
      <w:r/>
    </w:p>
    <w:p>
      <w:pPr>
        <w:pStyle w:val="657"/>
        <w:jc w:val="center"/>
        <w:rPr>
          <w:rFonts w:hint="eastAsia"/>
          <w:sz w:val="40"/>
          <w:szCs w:val="40"/>
          <w:highlight w:val="none"/>
        </w:rPr>
      </w:pPr>
      <w:r/>
      <w:bookmarkStart w:id="158" w:name="_Toc24047"/>
      <w:r>
        <w:rPr>
          <w:rFonts w:hint="eastAsia"/>
          <w:sz w:val="40"/>
          <w:szCs w:val="40"/>
          <w:highlight w:val="none"/>
        </w:rPr>
        <w:t xml:space="preserve">第三章</w:t>
      </w:r>
      <w:r>
        <w:rPr>
          <w:rFonts w:hint="eastAsia"/>
          <w:sz w:val="40"/>
          <w:szCs w:val="40"/>
          <w:highlight w:val="none"/>
          <w:lang w:val="en-US" w:eastAsia="zh-CN"/>
        </w:rPr>
        <w:t xml:space="preserve">  </w:t>
      </w:r>
      <w:r>
        <w:rPr>
          <w:rFonts w:hint="eastAsia"/>
          <w:sz w:val="40"/>
          <w:szCs w:val="40"/>
          <w:highlight w:val="none"/>
        </w:rPr>
        <w:t xml:space="preserve">合同文本</w:t>
      </w:r>
      <w:bookmarkEnd w:id="158"/>
      <w:r/>
      <w:bookmarkEnd w:id="151"/>
      <w:r/>
      <w:bookmarkEnd w:id="152"/>
      <w:r/>
      <w:bookmarkEnd w:id="153"/>
      <w:r/>
      <w:bookmarkEnd w:id="154"/>
      <w:r/>
      <w:bookmarkEnd w:id="155"/>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bookmarkStart w:id="159" w:name="_Toc20823315"/>
      <w:r/>
      <w:bookmarkStart w:id="160" w:name="_Toc513029243"/>
      <w:r/>
      <w:bookmarkStart w:id="161" w:name="_Toc16938559"/>
      <w:r>
        <w:rPr>
          <w:rFonts w:hint="eastAsia" w:ascii="宋体" w:hAnsi="宋体" w:eastAsia="宋体" w:cs="宋体"/>
          <w:color w:val="auto"/>
          <w:sz w:val="24"/>
          <w:szCs w:val="24"/>
          <w:highlight w:val="none"/>
        </w:rPr>
        <w:t xml:space="preserve">以下为成交后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本项目合同的通用条款，成交供应商不得提出实质性的修改。</w:t>
      </w:r>
      <w:bookmarkEnd w:id="159"/>
      <w:r/>
      <w:bookmarkEnd w:id="160"/>
      <w:r/>
      <w:bookmarkEnd w:id="161"/>
      <w:r/>
      <w:r/>
    </w:p>
    <w:p>
      <w:pPr>
        <w:pStyle w:val="690"/>
        <w:ind w:left="0" w:firstLine="480"/>
        <w:jc w:val="center"/>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90"/>
        <w:ind w:left="0" w:firstLine="482"/>
        <w:jc w:val="center"/>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盐城市政府采购合同（合同编号）</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甲、乙双方根据盐城市政府采购中心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项目竞争性磋商的结果，签署本合同。</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本合同金额为（大写）：_________________圆（___________元）人民币。</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3.1乙方应按磋商文件规定的时间向甲方提供与合同标的有关的技术资料。</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rPr>
        <w:t xml:space="preserve">四、知</w:t>
      </w:r>
      <w:r>
        <w:rPr>
          <w:rFonts w:hint="eastAsia" w:ascii="宋体" w:hAnsi="宋体" w:eastAsia="宋体" w:cs="宋体"/>
          <w:b/>
          <w:color w:val="auto"/>
          <w:sz w:val="24"/>
          <w:szCs w:val="24"/>
          <w:highlight w:val="none"/>
          <w:shd w:val="clear" w:color="auto" w:fill="auto"/>
        </w:rPr>
        <w:t xml:space="preserve">识产权</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五、产权担保</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乙方保证所交付的合同标的的所有权完全属于乙方且无任何抵押、查封等产权瑕疵。</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六、履约保证金</w:t>
      </w:r>
      <w:r/>
    </w:p>
    <w:p>
      <w:pPr>
        <w:ind w:left="0" w:firstLine="480"/>
        <w:keepLines w:val="0"/>
        <w:keepNext w:val="0"/>
        <w:pageBreakBefore w:val="0"/>
        <w:spacing w:before="5" w:beforeAutospacing="0" w:after="5" w:afterAutospacing="0" w:line="42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本项目不收取履约保证金</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七、合同转包或分包</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7.1乙方不得将合同标的转包给他人履行。</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7.2乙方不得将合同标的分包给他人履行。</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7.3乙方如有转包或未经甲方同意的分包行为，甲方有权解除合同。</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八、合同款项支付</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8.1合同款项的支付方式及进度安排</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（1）合同签定后，甲方在10个工作日内支付乙方合同总金额的30%。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（2）本项目形成中期成果，中期成果汇报完成后，甲方向乙方支付本合同金额的40%。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（3）本项目形成最终成果，通过甲方组织的成果验收并得到甲方确认后，甲方向乙方支付本合同金额的30%。</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九、税费</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9.1本合同执行中相关的一切税费均由乙方负担。</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十、项目验收</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 甲方依法组织履约验收工作。</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 对于实际使用人和甲方分离的项目，甲方邀请实际使用人参与验收。</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履约验收的各项资料存档备查。</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10.6 验收合格的项目,甲方根据采购合同的约定及时向乙方支付合同款项。验收不合格的项目，甲方依法及时处理。采购合同的履行、违约责任和解决争议的方式等适用《</w:t>
      </w:r>
      <w:r>
        <w:rPr>
          <w:rFonts w:hint="eastAsia" w:ascii="宋体" w:hAnsi="宋体" w:eastAsia="宋体" w:cs="宋体"/>
          <w:color w:val="auto"/>
          <w:sz w:val="24"/>
          <w:szCs w:val="24"/>
          <w:highlight w:val="none"/>
          <w:shd w:val="clear" w:color="auto" w:fill="auto"/>
          <w:lang w:eastAsia="zh-CN"/>
        </w:rPr>
        <w:t xml:space="preserve">中华人民共和国民法典</w:t>
      </w:r>
      <w:r>
        <w:rPr>
          <w:rFonts w:hint="eastAsia" w:ascii="宋体" w:hAnsi="宋体" w:eastAsia="宋体" w:cs="宋体"/>
          <w:color w:val="auto"/>
          <w:sz w:val="24"/>
          <w:szCs w:val="24"/>
          <w:highlight w:val="none"/>
          <w:shd w:val="clear" w:color="auto" w:fill="auto"/>
        </w:rPr>
        <w:t xml:space="preserve">》。乙方在履约过程中有政府采购法律法规规定的违法违规情形的,甲方将及时报告本级财政部门。</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十一、违约责任</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11.4 乙方交付合同标的的标准不符合合同规定及磋商文件规定标准的，甲方有权拒绝接受合同标的，并可单方面解除合同。</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十二、不可抗力事件处理</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在合同有效期内，任何一方因不可抗力事件导致不能履行合同，则合同履行期可延长，其延长期与不可抗力影响 期相同。</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 不可抗力事件发生后，应立即通知对方，并寄送有关权威机构出具的证明。</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 不可抗力事件延续120天以上，双方应通过友好协商，确定是否继续履行合同。</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十三、解决争议的方法</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13.1双方在签订、履行合同中所发生的一切争议，应通过友好协商解决。如协商不成，由甲方住所地人民法院管辖。</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十四、合同生效及其</w:t>
      </w:r>
      <w:r>
        <w:rPr>
          <w:rFonts w:hint="eastAsia" w:ascii="宋体" w:hAnsi="宋体" w:eastAsia="宋体" w:cs="宋体"/>
          <w:b/>
          <w:color w:val="auto"/>
          <w:sz w:val="24"/>
          <w:szCs w:val="24"/>
          <w:highlight w:val="none"/>
          <w:shd w:val="clear" w:color="auto" w:fill="auto"/>
          <w:lang w:eastAsia="zh-CN"/>
        </w:rPr>
        <w:t xml:space="preserve">他</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合同经双方法定代表人或授权委托代表人签字并加盖单位公章后生效。</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14.2本合同未尽事宜，遵照《</w:t>
      </w:r>
      <w:r>
        <w:rPr>
          <w:rFonts w:hint="eastAsia" w:ascii="宋体" w:hAnsi="宋体" w:eastAsia="宋体" w:cs="宋体"/>
          <w:color w:val="auto"/>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政府采购法》有关条文执行。</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本合同正本一式</w:t>
      </w:r>
      <w:r>
        <w:rPr>
          <w:rFonts w:hint="eastAsia" w:ascii="宋体" w:hAnsi="宋体" w:eastAsia="宋体" w:cs="宋体"/>
          <w:color w:val="auto"/>
          <w:sz w:val="24"/>
          <w:szCs w:val="24"/>
          <w:highlight w:val="none"/>
          <w:shd w:val="clear" w:color="auto" w:fill="auto"/>
          <w:lang w:val="en-US" w:eastAsia="zh-CN"/>
        </w:rPr>
        <w:t xml:space="preserve">肆</w:t>
      </w:r>
      <w:r>
        <w:rPr>
          <w:rFonts w:hint="eastAsia" w:ascii="宋体" w:hAnsi="宋体" w:eastAsia="宋体" w:cs="宋体"/>
          <w:color w:val="auto"/>
          <w:sz w:val="24"/>
          <w:szCs w:val="24"/>
          <w:highlight w:val="none"/>
          <w:shd w:val="clear" w:color="auto" w:fill="auto"/>
        </w:rPr>
        <w:t xml:space="preserve">份，具有同等法律效力，甲方、乙方各执一份。</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               乙方： </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               地址： </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法定代表人或授权代表：       法定代表人或授权代表：</w:t>
      </w:r>
      <w:r/>
    </w:p>
    <w:p>
      <w:pPr>
        <w:pStyle w:val="690"/>
        <w:ind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             联系电话：</w:t>
      </w:r>
      <w:r/>
    </w:p>
    <w:p>
      <w:pPr>
        <w:pStyle w:val="690"/>
        <w:ind w:left="479" w:firstLine="0"/>
        <w:jc w:val="right"/>
        <w:keepLines w:val="0"/>
        <w:keepNext w:val="0"/>
        <w:pageBreakBefore w:val="0"/>
        <w:spacing w:before="5" w:beforeAutospacing="0" w:after="5" w:afterAutospacing="0" w:line="420" w:lineRule="exact"/>
        <w:widowControl w:val="off"/>
        <w:rPr>
          <w:rFonts w:hint="eastAsia" w:ascii="宋体" w:hAnsi="宋体" w:eastAsia="宋体" w:cs="宋体"/>
          <w:b/>
          <w:bCs/>
          <w:color w:val="000000"/>
          <w:sz w:val="24"/>
          <w:szCs w:val="24"/>
          <w:highlight w:val="none"/>
        </w:rPr>
        <w:sectPr>
          <w:footerReference w:type="default" r:id="rId9"/>
          <w:footnotePr/>
          <w:endnotePr/>
          <w:type w:val="nextPage"/>
          <w:pgSz w:w="11906" w:h="16838" w:orient="portrait"/>
          <w:pgMar w:top="1383" w:right="1519" w:bottom="1383" w:left="1519" w:header="851" w:footer="992" w:gutter="0"/>
          <w:cols w:num="1" w:sep="0" w:space="0" w:equalWidth="1"/>
          <w:docGrid w:linePitch="360"/>
        </w:sectPr>
      </w:pPr>
      <w:r>
        <w:rPr>
          <w:rFonts w:hint="eastAsia" w:ascii="宋体" w:hAnsi="宋体" w:eastAsia="宋体" w:cs="宋体"/>
          <w:color w:val="auto"/>
          <w:sz w:val="24"/>
          <w:szCs w:val="24"/>
          <w:highlight w:val="none"/>
          <w:shd w:val="clear" w:color="auto" w:fill="auto"/>
        </w:rPr>
        <w:t xml:space="preserve">                                  签订日期：      年    月   日</w:t>
      </w:r>
      <w:r/>
    </w:p>
    <w:p>
      <w:pPr>
        <w:pStyle w:val="657"/>
        <w:jc w:val="center"/>
        <w:rPr>
          <w:rFonts w:hint="eastAsia"/>
          <w:sz w:val="40"/>
          <w:szCs w:val="40"/>
          <w:highlight w:val="none"/>
        </w:rPr>
      </w:pPr>
      <w:r/>
      <w:bookmarkStart w:id="162" w:name="_Toc14429"/>
      <w:r>
        <w:rPr>
          <w:rFonts w:hint="eastAsia"/>
          <w:sz w:val="40"/>
          <w:szCs w:val="40"/>
          <w:highlight w:val="none"/>
        </w:rPr>
        <w:t xml:space="preserve">第四章</w:t>
      </w:r>
      <w:r>
        <w:rPr>
          <w:rFonts w:hint="eastAsia"/>
          <w:sz w:val="40"/>
          <w:szCs w:val="40"/>
          <w:highlight w:val="none"/>
          <w:lang w:val="en-US" w:eastAsia="zh-CN"/>
        </w:rPr>
        <w:t xml:space="preserve">  </w:t>
      </w:r>
      <w:r>
        <w:rPr>
          <w:rFonts w:hint="eastAsia"/>
          <w:sz w:val="40"/>
          <w:szCs w:val="40"/>
          <w:highlight w:val="none"/>
        </w:rPr>
        <w:t xml:space="preserve">采购需求</w:t>
      </w:r>
      <w:bookmarkEnd w:id="162"/>
      <w:r/>
      <w:r/>
    </w:p>
    <w:p>
      <w:pPr>
        <w:ind w:firstLine="480"/>
        <w:rPr>
          <w:rFonts w:hint="eastAsia" w:ascii="宋体" w:hAnsi="宋体" w:eastAsia="宋体" w:cs="宋体"/>
          <w:b/>
          <w:sz w:val="24"/>
          <w:highlight w:val="none"/>
        </w:rPr>
      </w:pPr>
      <w:r>
        <w:rPr>
          <w:rFonts w:hint="eastAsia" w:ascii="宋体" w:hAnsi="宋体" w:eastAsia="宋体" w:cs="宋体"/>
          <w:sz w:val="24"/>
          <w:highlight w:val="none"/>
        </w:rPr>
        <w:t xml:space="preserve">项目属性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服务类项目。</w:t>
      </w:r>
      <w:r/>
    </w:p>
    <w:p>
      <w:pPr>
        <w:pStyle w:val="690"/>
        <w:ind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一、项目背景</w:t>
      </w:r>
      <w:r/>
    </w:p>
    <w:p>
      <w:pPr>
        <w:pStyle w:val="690"/>
        <w:ind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（一）项目背景</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贯彻新时期国家县域高质量发展相关要求，落实盐城市委“向海图强、向绿而兴、向新转型”战略安排，锚定县委“向海发展当排头、绿色转型做示范”奋斗指向，深化推动“十五五”时期响水县高质量发展路径谋划与举措落地。</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（二）项目范围</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1.高质量发展总体策划研究范围为响水县全域；</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2.行动方案范围聚焦近期重点行动实施地区按需划定，范围如图所示。</w:t>
      </w:r>
      <w:r/>
    </w:p>
    <w:p>
      <w:pPr>
        <w:pStyle w:val="690"/>
        <w:ind w:left="0" w:firstLine="480"/>
        <w:jc w:val="both"/>
        <w:keepLines w:val="0"/>
        <w:keepNext w:val="0"/>
        <w:pageBreakBefore w:val="0"/>
        <w:spacing w:before="5" w:beforeAutospacing="0" w:after="5" w:afterAutospacing="0" w:line="24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mc:AlternateContent>
          <mc:Choice Requires="wpg">
            <w:drawing>
              <wp:inline xmlns:wp="http://schemas.openxmlformats.org/drawingml/2006/wordprocessingDrawing" distT="0" distB="0" distL="0" distR="0">
                <wp:extent cx="4600575" cy="3505200"/>
                <wp:effectExtent l="9525" t="9525" r="1905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rcRect l="1818" t="0" r="6049" b="808"/>
                        <a:stretch/>
                      </pic:blipFill>
                      <pic:spPr bwMode="auto">
                        <a:xfrm>
                          <a:off x="0" y="0"/>
                          <a:ext cx="4608537" cy="3511390"/>
                        </a:xfrm>
                        <a:prstGeom prst="rect">
                          <a:avLst/>
                        </a:prstGeom>
                        <a:noFill/>
                        <a:ln>
                          <a:solidFill>
                            <a:schemeClr val="bg1">
                              <a:lumMod val="85000"/>
                            </a:schemeClr>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2.2pt;height:276.0pt;mso-wrap-distance-left:0.0pt;mso-wrap-distance-top:0.0pt;mso-wrap-distance-right:0.0pt;mso-wrap-distance-bottom:0.0pt;" strokecolor="#D8D8D8">
                <v:path textboxrect="0,0,0,0"/>
                <v:imagedata r:id="rId10" o:title=""/>
              </v:shape>
            </w:pict>
          </mc:Fallback>
        </mc:AlternateConten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图 重点地区行动方案范围示意</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二、工作内容</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（一）响水县高质量发展总体策划</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从长三角等区域一体化、灌河一体化、县域三个层次开展总体策划工作。</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一是区域层次研判，认识区域发展趋势与重要机遇。深度融入海洋强国、长三角一体化发展、淮河生态经济带建设等国家重大战略。充分认识长三角在供应链组织、产业链分工、人口迁移、文旅消费场景营造等方面的发展态势，找准响水在区域的发展定位，厘清机遇与发展思路。</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二是灌河一体化层次，提出响水、滨海、灌云、灌南联动发展的重要举措。加强灌河两岸一体化发展，分析四县禀赋差异，在海洋经济与航运贸易功能联动、产业创新协同、消费与服务功能共享、文旅游线串联等方面的联动发展举措，谋划重大项目、重点行动和关键协同地区。</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三是县域层次，提出“港、产、城、文”耦合的高质量发展行动策略。坚定不移向海图强，拓展工业强县新空间。抓住内河航运网络升级，航运贸易功能提升策略。壮大实体经济，立足现状基础和区域产业发展趋势，准确把握产业转型新赛道新‌需求，提出传统产业延链补链、新兴产业集群培育策略。围绕高标准建设人民城市，推进以城聚人、以人兴业。洞察青年人群需求，结合产业带动，提出城市服务品质升级，带动人才人口人气集聚策略。面向文旅消费需求，提出文旅品牌塑造、特色场景营造等策略。</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（二）重点地区行动方案</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围绕总体战略的重点领域与重点地区，形成近期可抓可建可显的“作战图”。以“场景焕新、品质提升、港产联动、文旅点亮”为导向，包含以下地区。</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1.老县城场景焕新行动：</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老县城范围更新行动：北至灌河，南至珠江路，西至通榆河、东至响坎路。识别空间资产与人群需求，明确老县城空间焕新行动的重点空间，植入社区商业、文化体验、夜间消费等活力场景，重塑老城烟火气与归属感。</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w:t>
      </w:r>
      <w:bookmarkStart w:id="163" w:name="OLE_LINK5"/>
      <w:r>
        <w:rPr>
          <w:rFonts w:hint="eastAsia" w:ascii="宋体" w:hAnsi="宋体" w:eastAsia="宋体" w:cs="宋体"/>
          <w:color w:val="auto"/>
          <w:sz w:val="24"/>
          <w:szCs w:val="24"/>
          <w:highlight w:val="none"/>
          <w:shd w:val="clear" w:color="auto" w:fill="auto"/>
          <w:lang w:eastAsia="zh-CN"/>
        </w:rPr>
        <w:t xml:space="preserve">县政府重点片区体检</w:t>
      </w:r>
      <w:bookmarkEnd w:id="163"/>
      <w:r>
        <w:rPr>
          <w:rFonts w:hint="eastAsia" w:ascii="宋体" w:hAnsi="宋体" w:eastAsia="宋体" w:cs="宋体"/>
          <w:color w:val="auto"/>
          <w:sz w:val="24"/>
          <w:szCs w:val="24"/>
          <w:highlight w:val="none"/>
          <w:shd w:val="clear" w:color="auto" w:fill="auto"/>
          <w:lang w:eastAsia="zh-CN"/>
        </w:rPr>
        <w:t xml:space="preserve">：北至响灌路，南至双园路，西至幸福路，东至黄海路。深化片区体检工作，系统梳理资源、资产与需求清单，摸清家底、找准诉求，提出片区更新思路与近期重点任务。</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w:t>
      </w:r>
      <w:bookmarkStart w:id="164" w:name="OLE_LINK6"/>
      <w:r>
        <w:rPr>
          <w:rFonts w:hint="eastAsia" w:ascii="宋体" w:hAnsi="宋体" w:eastAsia="宋体" w:cs="宋体"/>
          <w:color w:val="auto"/>
          <w:sz w:val="24"/>
          <w:szCs w:val="24"/>
          <w:highlight w:val="none"/>
          <w:shd w:val="clear" w:color="auto" w:fill="auto"/>
          <w:lang w:eastAsia="zh-CN"/>
        </w:rPr>
        <w:t xml:space="preserve">陈家镇品质提升行动</w:t>
      </w:r>
      <w:bookmarkEnd w:id="164"/>
      <w:r>
        <w:rPr>
          <w:rFonts w:hint="eastAsia" w:ascii="宋体" w:hAnsi="宋体" w:eastAsia="宋体" w:cs="宋体"/>
          <w:color w:val="auto"/>
          <w:sz w:val="24"/>
          <w:szCs w:val="24"/>
          <w:highlight w:val="none"/>
          <w:shd w:val="clear" w:color="auto" w:fill="auto"/>
          <w:lang w:eastAsia="zh-CN"/>
        </w:rPr>
        <w:t xml:space="preserve">：</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推动港城以城聚人、品质留人，以吸聚青年人口为重点，提供品质化、多样化的居住产品，完善服务设施与消费场景，增补青年就业创新空间；结合青年友好型城市建设，科学布局青年公寓、人才社区、青年创业街区。</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3.港产联动提升行动：</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认识响水港国家一类开放口岸区域优势，研判临港地区航运贸易、先进制造等功能机会，细化产业发展赛道，构建全链条功能布局。加强产业链延链补链。优化港后空间布局，形成港产联动发展的空间格局。</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4.</w:t>
      </w:r>
      <w:bookmarkStart w:id="165" w:name="OLE_LINK7"/>
      <w:r>
        <w:rPr>
          <w:rFonts w:hint="eastAsia" w:ascii="宋体" w:hAnsi="宋体" w:eastAsia="宋体" w:cs="宋体"/>
          <w:color w:val="auto"/>
          <w:sz w:val="24"/>
          <w:szCs w:val="24"/>
          <w:highlight w:val="none"/>
          <w:shd w:val="clear" w:color="auto" w:fill="auto"/>
          <w:lang w:eastAsia="zh-CN"/>
        </w:rPr>
        <w:t xml:space="preserve">通榆河-灌河-黄河故道文旅点亮行动</w:t>
      </w:r>
      <w:bookmarkEnd w:id="165"/>
      <w:r>
        <w:rPr>
          <w:rFonts w:hint="eastAsia" w:ascii="宋体" w:hAnsi="宋体" w:eastAsia="宋体" w:cs="宋体"/>
          <w:color w:val="auto"/>
          <w:sz w:val="24"/>
          <w:szCs w:val="24"/>
          <w:highlight w:val="none"/>
          <w:shd w:val="clear" w:color="auto" w:fill="auto"/>
          <w:lang w:eastAsia="zh-CN"/>
        </w:rPr>
        <w:t xml:space="preserve">：</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推进文商旅体融合，打响文旅特色IP。梳理通榆河-灌河-黄河故道沿线自然与人文资源，塑造具有显示度与辨识度的文旅品牌，谋划打造贯通古今、生态与农文旅融合发展的旅游廊道，丰富业态，带动乡村振兴，对绿岛小夜曲等沿线重要节点提出功能业态方向。</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三、成果要求</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1.成果包括成果总报告、县政府重点片区体检报告，采用图文混排形式，文字、图纸清晰、完整、规范。</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2.全部成果采用中文版本，纸质成果6份，电子成果1套，纸质文件与电子文件同步提交。</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四、付款方式</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（1）合同签定后，甲方在10个工作日内支付乙方合同总金额的30%。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（2）本项目形成中期成果，中期成果汇报完成后，甲方向乙方支付本合同金额的40%。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（3）本项目形成最终成果，通过甲方组织的成果验收并得到甲方确认后，甲方向乙方支付本合同金额的30%。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 xml:space="preserve">以上款项均在乙方向甲方提供发票，经甲方审核无误后支付。</w:t>
      </w:r>
      <w:r/>
    </w:p>
    <w:p>
      <w:pPr>
        <w:ind w:firstLine="482"/>
        <w:pageBreakBefore w:val="0"/>
        <w:spacing w:line="420" w:lineRule="exact"/>
        <w:rPr>
          <w:rFonts w:hint="eastAsia" w:ascii="宋体" w:hAnsi="宋体" w:eastAsia="宋体" w:cs="宋体"/>
          <w:b/>
          <w:sz w:val="24"/>
          <w:highlight w:val="none"/>
        </w:rPr>
        <w:outlineLvl w:val="0"/>
      </w:pPr>
      <w:r/>
      <w:bookmarkStart w:id="166" w:name="_Toc2644"/>
      <w:r>
        <w:rPr>
          <w:rFonts w:hint="eastAsia" w:ascii="宋体" w:hAnsi="宋体" w:eastAsia="宋体" w:cs="宋体"/>
          <w:b/>
          <w:sz w:val="24"/>
          <w:highlight w:val="none"/>
          <w:lang w:val="en-US" w:eastAsia="zh-CN"/>
        </w:rPr>
        <w:t xml:space="preserve">五</w:t>
      </w:r>
      <w:r>
        <w:rPr>
          <w:rFonts w:hint="eastAsia" w:ascii="宋体" w:hAnsi="宋体" w:eastAsia="宋体" w:cs="宋体"/>
          <w:b/>
          <w:sz w:val="24"/>
          <w:highlight w:val="none"/>
        </w:rPr>
        <w:t xml:space="preserve">、服务要求及服务方案</w:t>
      </w:r>
      <w:bookmarkEnd w:id="166"/>
      <w:r/>
      <w:r/>
    </w:p>
    <w:p>
      <w:pPr>
        <w:ind w:firstLine="426"/>
        <w:pageBreakBefore w:val="0"/>
        <w:spacing w:line="420" w:lineRule="exact"/>
        <w:rPr>
          <w:rFonts w:hint="eastAsia" w:ascii="宋体" w:hAnsi="宋体" w:eastAsia="宋体" w:cs="宋体"/>
          <w:b/>
          <w:sz w:val="24"/>
          <w:highlight w:val="none"/>
        </w:rPr>
      </w:pPr>
      <w:r>
        <w:rPr>
          <w:rFonts w:hint="eastAsia" w:ascii="宋体" w:hAnsi="宋体" w:eastAsia="宋体" w:cs="宋体"/>
          <w:b/>
          <w:bCs/>
          <w:sz w:val="24"/>
          <w:highlight w:val="none"/>
        </w:rPr>
        <w:t xml:space="preserve">（一）</w:t>
      </w:r>
      <w:r>
        <w:rPr>
          <w:rFonts w:hint="eastAsia" w:ascii="宋体" w:hAnsi="宋体" w:eastAsia="宋体" w:cs="宋体"/>
          <w:b/>
          <w:sz w:val="24"/>
          <w:highlight w:val="none"/>
        </w:rPr>
        <w:t xml:space="preserve">服务</w:t>
      </w:r>
      <w:r>
        <w:rPr>
          <w:rFonts w:hint="eastAsia" w:ascii="宋体" w:hAnsi="宋体" w:eastAsia="宋体" w:cs="宋体"/>
          <w:b/>
          <w:bCs/>
          <w:sz w:val="24"/>
          <w:highlight w:val="none"/>
        </w:rPr>
        <w:t xml:space="preserve">要</w:t>
      </w:r>
      <w:r>
        <w:rPr>
          <w:rFonts w:hint="eastAsia" w:ascii="宋体" w:hAnsi="宋体" w:eastAsia="宋体" w:cs="宋体"/>
          <w:b/>
          <w:sz w:val="24"/>
          <w:highlight w:val="none"/>
        </w:rPr>
        <w:t xml:space="preserve">求</w:t>
      </w:r>
      <w:r/>
    </w:p>
    <w:p>
      <w:pPr>
        <w:ind w:firstLine="484"/>
        <w:pageBreakBefore w:val="0"/>
        <w:spacing w:line="420" w:lineRule="exact"/>
        <w:rPr>
          <w:rFonts w:hint="eastAsia" w:ascii="宋体" w:hAnsi="宋体" w:eastAsia="宋体" w:cs="宋体"/>
          <w:sz w:val="24"/>
          <w:highlight w:val="none"/>
          <w:lang w:eastAsia="zh-CN"/>
        </w:rPr>
      </w:pPr>
      <w:r>
        <w:rPr>
          <w:rFonts w:hint="eastAsia" w:ascii="宋体" w:hAnsi="宋体" w:eastAsia="宋体" w:cs="宋体"/>
          <w:b/>
          <w:bCs/>
          <w:sz w:val="24"/>
          <w:highlight w:val="none"/>
          <w:lang w:eastAsia="zh-CN"/>
        </w:rPr>
        <w:t xml:space="preserve">1.</w:t>
      </w:r>
      <w:r>
        <w:rPr>
          <w:rFonts w:hint="eastAsia" w:ascii="宋体" w:hAnsi="宋体" w:eastAsia="宋体" w:cs="宋体"/>
          <w:b/>
          <w:sz w:val="24"/>
          <w:highlight w:val="none"/>
        </w:rPr>
        <w:t xml:space="preserve">业绩</w:t>
      </w:r>
      <w:r>
        <w:rPr>
          <w:rFonts w:hint="eastAsia" w:ascii="宋体" w:hAnsi="宋体" w:eastAsia="宋体" w:cs="宋体"/>
          <w:b/>
          <w:bCs/>
          <w:sz w:val="24"/>
          <w:highlight w:val="none"/>
        </w:rPr>
        <w:t xml:space="preserve">要求：</w:t>
      </w:r>
      <w:r>
        <w:rPr>
          <w:rFonts w:hint="eastAsia" w:ascii="宋体" w:hAnsi="宋体" w:eastAsia="宋体" w:cs="宋体"/>
          <w:sz w:val="24"/>
          <w:highlight w:val="none"/>
        </w:rPr>
        <w:t xml:space="preserve">2021年1月1日至今，承担过城市、区县发展战略类项目编制</w:t>
      </w:r>
      <w:r>
        <w:rPr>
          <w:rFonts w:hint="eastAsia" w:ascii="宋体" w:hAnsi="宋体" w:eastAsia="宋体" w:cs="宋体"/>
          <w:sz w:val="24"/>
          <w:highlight w:val="none"/>
          <w:lang w:val="en-US" w:eastAsia="zh-CN"/>
        </w:rPr>
        <w:t xml:space="preserve">业绩的</w:t>
      </w:r>
      <w:r>
        <w:rPr>
          <w:rFonts w:hint="eastAsia" w:ascii="宋体" w:hAnsi="宋体" w:eastAsia="宋体" w:cs="宋体"/>
          <w:sz w:val="24"/>
          <w:highlight w:val="none"/>
          <w:lang w:eastAsia="zh-CN"/>
        </w:rPr>
        <w:t xml:space="preserve">。</w:t>
      </w:r>
      <w:r/>
    </w:p>
    <w:p>
      <w:pPr>
        <w:ind w:firstLine="487"/>
        <w:pageBreakBefore w:val="0"/>
        <w:spacing w:line="420" w:lineRule="exact"/>
        <w:rPr>
          <w:rFonts w:hint="eastAsia" w:ascii="宋体" w:hAnsi="宋体" w:eastAsia="宋体" w:cs="宋体"/>
          <w:strike/>
          <w:color w:val="ff0000"/>
          <w:sz w:val="24"/>
          <w:highlight w:val="none"/>
          <w:lang w:val="en-US" w:eastAsia="zh-CN"/>
        </w:rPr>
      </w:pPr>
      <w:r>
        <w:rPr>
          <w:rFonts w:hint="eastAsia" w:ascii="宋体" w:hAnsi="宋体" w:eastAsia="宋体" w:cs="宋体"/>
          <w:b/>
          <w:sz w:val="24"/>
          <w:highlight w:val="none"/>
          <w:lang w:eastAsia="zh-CN"/>
        </w:rPr>
        <w:t xml:space="preserve">2.</w:t>
      </w:r>
      <w:r>
        <w:rPr>
          <w:rFonts w:hint="eastAsia" w:ascii="宋体" w:hAnsi="宋体" w:eastAsia="宋体" w:cs="宋体"/>
          <w:b/>
          <w:sz w:val="24"/>
          <w:highlight w:val="none"/>
        </w:rPr>
        <w:t xml:space="preserve">供应商荣誉：</w:t>
      </w:r>
      <w:r>
        <w:rPr>
          <w:rFonts w:hint="eastAsia" w:ascii="宋体" w:hAnsi="宋体" w:eastAsia="宋体" w:cs="宋体"/>
          <w:sz w:val="24"/>
          <w:highlight w:val="none"/>
        </w:rPr>
        <w:t xml:space="preserve">投标人自2021年1月1日以来，获得过城市发展战略类项目获得过优秀规划项目奖项</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w:t>
      </w:r>
      <w:r/>
    </w:p>
    <w:p>
      <w:pPr>
        <w:ind w:firstLine="487"/>
        <w:pageBreakBefore w:val="0"/>
        <w:spacing w:line="420" w:lineRule="exact"/>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3.</w:t>
      </w:r>
      <w:r>
        <w:rPr>
          <w:rFonts w:hint="eastAsia" w:ascii="宋体" w:hAnsi="宋体" w:eastAsia="宋体" w:cs="宋体"/>
          <w:b/>
          <w:sz w:val="24"/>
          <w:highlight w:val="none"/>
        </w:rPr>
        <w:t xml:space="preserve">拟投入本项目的总负责人：</w:t>
      </w:r>
      <w:r/>
    </w:p>
    <w:p>
      <w:pPr>
        <w:ind w:firstLine="48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拟派项目的总负责人需具有城乡规划专业教授级高级工程师职称证书，</w:t>
      </w:r>
      <w:r/>
    </w:p>
    <w:p>
      <w:pPr>
        <w:ind w:firstLine="48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（1）拟派项目负责人自2021年1月1日以来，获得过规划或建设领域科技进步奖、科学技术奖的；</w:t>
      </w:r>
      <w:r/>
    </w:p>
    <w:p>
      <w:pPr>
        <w:ind w:firstLine="48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）拟派项目负责人主持过城市战略研究或战略规划类项目</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rPr>
        <w:t xml:space="preserve">；</w:t>
      </w:r>
      <w:r/>
    </w:p>
    <w:p>
      <w:pPr>
        <w:ind w:left="100" w:firstLine="487"/>
        <w:pageBreakBefore w:val="0"/>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拟投入本项目的技术负责人：</w:t>
      </w:r>
      <w:r/>
    </w:p>
    <w:p>
      <w:pPr>
        <w:ind w:firstLine="485"/>
        <w:pageBreakBefore w:val="0"/>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国家注册城市(乡)规划师、国家注册公用设备工程师、咨询工程师(投资)中，拟派项目技术负责人具备其中一个证书</w:t>
      </w:r>
      <w:r>
        <w:rPr>
          <w:rFonts w:hint="eastAsia" w:ascii="宋体" w:hAnsi="宋体" w:eastAsia="宋体" w:cs="宋体"/>
          <w:sz w:val="24"/>
          <w:highlight w:val="none"/>
          <w:lang w:eastAsia="zh-CN"/>
        </w:rPr>
        <w:t xml:space="preserve">的；</w:t>
      </w:r>
      <w:r/>
    </w:p>
    <w:p>
      <w:pPr>
        <w:ind w:left="100" w:firstLine="487"/>
        <w:pageBreakBefore w:val="0"/>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设计团队成员（不含项目负责人</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35"/>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  （1）具有①城乡（或城市）规划②交通③地理信息④市政⑤风景园林（或景观设计）五个专业中级及以上工程师技术职称的；</w:t>
      </w:r>
      <w:r/>
    </w:p>
    <w:p>
      <w:pPr>
        <w:ind w:firstLine="435"/>
        <w:pageBreakBefore w:val="0"/>
        <w:spacing w:line="420" w:lineRule="exact"/>
        <w:rPr>
          <w:rFonts w:hint="eastAsia" w:ascii="宋体" w:hAnsi="宋体" w:eastAsia="宋体" w:cs="宋体"/>
          <w:strike/>
          <w:color w:val="ff0000"/>
          <w:sz w:val="24"/>
          <w:highlight w:val="none"/>
        </w:rPr>
      </w:pPr>
      <w:r>
        <w:rPr>
          <w:rFonts w:hint="eastAsia" w:ascii="宋体" w:hAnsi="宋体" w:eastAsia="宋体" w:cs="宋体"/>
          <w:sz w:val="24"/>
          <w:highlight w:val="none"/>
        </w:rPr>
        <w:t xml:space="preserve">（2）拟派项目组成员中（除项目负责人外）具有城市（城乡）规划专业高级工程师及以上职称且同时具备国家注册规划师证书的</w:t>
      </w:r>
      <w:bookmarkStart w:id="196" w:name="_GoBack"/>
      <w:r/>
      <w:bookmarkEnd w:id="196"/>
      <w:r>
        <w:rPr>
          <w:rFonts w:hint="eastAsia" w:ascii="宋体" w:hAnsi="宋体" w:eastAsia="宋体" w:cs="宋体"/>
          <w:sz w:val="24"/>
          <w:highlight w:val="none"/>
        </w:rPr>
        <w:t xml:space="preserve">；</w:t>
      </w:r>
      <w:r/>
    </w:p>
    <w:p>
      <w:pPr>
        <w:numPr>
          <w:ilvl w:val="0"/>
          <w:numId w:val="0"/>
        </w:numPr>
        <w:ind w:firstLine="480"/>
        <w:pageBreakBefore w:val="0"/>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sz w:val="24"/>
          <w:highlight w:val="none"/>
        </w:rPr>
        <w:t xml:space="preserve">服务方案</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供应商应根据采购需求和本项目实际，制订相应的服务方案包括但不限于以下内容：</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对项目背景、发展趋势和目标意义的理解程度：</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供应商应根据采购需求和本项目实际，提供本项目背景、发展趋势和目标意义的理解程度</w:t>
      </w:r>
      <w:r>
        <w:rPr>
          <w:rFonts w:hint="eastAsia" w:ascii="宋体" w:hAnsi="宋体" w:eastAsia="宋体" w:cs="宋体"/>
          <w:color w:val="auto"/>
          <w:sz w:val="24"/>
          <w:szCs w:val="24"/>
          <w:highlight w:val="none"/>
          <w:lang w:eastAsia="zh-CN"/>
        </w:rPr>
        <w:t xml:space="preserve">。</w:t>
      </w:r>
      <w:r/>
    </w:p>
    <w:p>
      <w:pPr>
        <w:pStyle w:val="660"/>
        <w:ind w:firstLine="420"/>
        <w:jc w:val="both"/>
        <w:keepLines/>
        <w:keepNext/>
        <w:pageBreakBefore w:val="0"/>
        <w:spacing w:beforeAutospacing="0" w:afterAutospacing="0" w:line="4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县域高质量发展总体策划技术路线与规划方案设想</w:t>
      </w:r>
      <w:r/>
    </w:p>
    <w:p>
      <w:pPr>
        <w:pStyle w:val="690"/>
        <w:ind w:firstLine="420"/>
        <w:jc w:val="both"/>
        <w:pageBreakBefore w:val="0"/>
        <w:spacing w:beforeAutospacing="0" w:afterAutospacing="0"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供应商对区域发展趋势与重要机遇、灌河一体化发展举措、县域发展行动的理解程度</w:t>
      </w:r>
      <w:r>
        <w:rPr>
          <w:rFonts w:hint="eastAsia" w:ascii="宋体" w:hAnsi="宋体" w:eastAsia="宋体" w:cs="宋体"/>
          <w:color w:val="auto"/>
          <w:sz w:val="24"/>
          <w:szCs w:val="24"/>
          <w:highlight w:val="none"/>
          <w:lang w:eastAsia="zh-CN"/>
        </w:rPr>
        <w:t xml:space="preserve">。</w:t>
      </w:r>
      <w:r/>
    </w:p>
    <w:p>
      <w:pPr>
        <w:pStyle w:val="690"/>
        <w:ind w:firstLine="480"/>
        <w:jc w:val="both"/>
        <w:pageBreakBefore w:val="0"/>
        <w:spacing w:beforeAutospacing="0" w:afterAutospacing="0" w:line="4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重点地区行动技术路线与规划方案设想</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供应商应对重点地区定位、提升行动策略、空间布局引导的理解程度</w:t>
      </w:r>
      <w:r>
        <w:rPr>
          <w:rFonts w:hint="eastAsia" w:ascii="宋体" w:hAnsi="宋体" w:eastAsia="宋体" w:cs="宋体"/>
          <w:color w:val="auto"/>
          <w:sz w:val="24"/>
          <w:szCs w:val="24"/>
          <w:highlight w:val="none"/>
          <w:lang w:eastAsia="zh-CN"/>
        </w:rPr>
        <w:t xml:space="preserve">。</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工期、进度计划</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针对本项目提供实施工作时间与进度计划</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质量和技术保障措施</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供应商根据本项目情况提供工作服务承诺与质量保证措施(包括但不限于质量管理目标、质量控制过程所使用的方法、质量管理的纠偏措施、风险预防和应对措施</w:t>
      </w:r>
      <w:r/>
    </w:p>
    <w:p>
      <w:pPr>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r>
      <w:r/>
    </w:p>
    <w:p>
      <w:pPr>
        <w:rPr>
          <w:rFonts w:hint="eastAsia"/>
          <w:sz w:val="40"/>
          <w:szCs w:val="40"/>
          <w:highlight w:val="none"/>
        </w:rPr>
      </w:pPr>
      <w:r/>
      <w:bookmarkStart w:id="167" w:name="_Toc12127"/>
      <w:r>
        <w:rPr>
          <w:rFonts w:hint="eastAsia"/>
          <w:sz w:val="40"/>
          <w:szCs w:val="40"/>
          <w:highlight w:val="none"/>
        </w:rPr>
        <w:br w:type="page" w:clear="all"/>
      </w:r>
      <w:r/>
    </w:p>
    <w:p>
      <w:pPr>
        <w:pStyle w:val="657"/>
        <w:jc w:val="center"/>
        <w:rPr>
          <w:rFonts w:hint="eastAsia"/>
          <w:sz w:val="40"/>
          <w:szCs w:val="40"/>
          <w:highlight w:val="none"/>
        </w:rPr>
      </w:pPr>
      <w:r>
        <w:rPr>
          <w:rFonts w:hint="eastAsia"/>
          <w:sz w:val="40"/>
          <w:szCs w:val="40"/>
          <w:highlight w:val="none"/>
        </w:rPr>
        <w:t xml:space="preserve">第五章</w:t>
      </w:r>
      <w:r>
        <w:rPr>
          <w:rFonts w:hint="eastAsia"/>
          <w:sz w:val="40"/>
          <w:szCs w:val="40"/>
          <w:highlight w:val="none"/>
          <w:lang w:val="en-US" w:eastAsia="zh-CN"/>
        </w:rPr>
        <w:t xml:space="preserve">  </w:t>
      </w:r>
      <w:r>
        <w:rPr>
          <w:rFonts w:hint="eastAsia"/>
          <w:sz w:val="40"/>
          <w:szCs w:val="40"/>
          <w:highlight w:val="none"/>
        </w:rPr>
        <w:t xml:space="preserve">评标方法与</w:t>
      </w:r>
      <w:bookmarkEnd w:id="167"/>
      <w:r>
        <w:rPr>
          <w:rFonts w:hint="eastAsia"/>
          <w:sz w:val="40"/>
          <w:szCs w:val="40"/>
          <w:highlight w:val="none"/>
        </w:rPr>
        <w:t xml:space="preserve">评审标准</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90"/>
        <w:ind w:firstLine="441"/>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政府采购政策功能落实</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1、小微型企业价格扣除</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（1）本项目对小型和微型企业产品给予</w:t>
      </w:r>
      <w:r>
        <w:rPr>
          <w:rFonts w:ascii="宋体" w:hAnsi="宋体"/>
          <w:sz w:val="24"/>
          <w:szCs w:val="24"/>
          <w:highlight w:val="none"/>
          <w:u w:val="single"/>
        </w:rPr>
        <w:t xml:space="preserve">20</w:t>
      </w:r>
      <w:r>
        <w:rPr>
          <w:rFonts w:hint="eastAsia" w:ascii="宋体" w:hAnsi="宋体"/>
          <w:sz w:val="24"/>
          <w:szCs w:val="24"/>
          <w:highlight w:val="none"/>
          <w:u w:val="single"/>
        </w:rPr>
        <w:t xml:space="preserve">%</w:t>
      </w:r>
      <w:r>
        <w:rPr>
          <w:rFonts w:hint="eastAsia" w:ascii="宋体" w:hAnsi="宋体"/>
          <w:sz w:val="24"/>
          <w:szCs w:val="24"/>
          <w:highlight w:val="none"/>
        </w:rPr>
        <w:t xml:space="preserve">的扣除价格，用扣除后的价格参与评审。</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（2）供应商需按照采购文件的要求提供相应的《小微企业声明函》。</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财库[2014]68号</w:t>
      </w:r>
      <w:r>
        <w:rPr>
          <w:rFonts w:hint="eastAsia" w:ascii="宋体" w:hAnsi="宋体"/>
          <w:sz w:val="24"/>
          <w:szCs w:val="24"/>
          <w:highlight w:val="none"/>
        </w:rPr>
        <w:t xml:space="preserve">）。</w:t>
      </w:r>
      <w:r/>
    </w:p>
    <w:p>
      <w:pPr>
        <w:pStyle w:val="690"/>
        <w:ind w:firstLine="480"/>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sz w:val="24"/>
          <w:szCs w:val="24"/>
          <w:highlight w:val="none"/>
        </w:rPr>
        <w:t xml:space="preserve">4、残疾人福利单位、监狱企业属于小型、微型企业的，不重复享受政策。</w:t>
      </w:r>
      <w:r/>
    </w:p>
    <w:p>
      <w:pPr>
        <w:pStyle w:val="690"/>
        <w:ind w:firstLine="480"/>
        <w:keepLines w:val="0"/>
        <w:keepNext w:val="0"/>
        <w:pageBreakBefore w:val="0"/>
        <w:spacing w:beforeAutospacing="0" w:afterAutospacing="0" w:line="42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rPr>
        <w:t xml:space="preserve">如果本项目同意联合体投标或同意分包履行合同的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90"/>
        <w:ind w:left="120" w:firstLine="360"/>
        <w:keepLines w:val="0"/>
        <w:keepNext w:val="0"/>
        <w:pageBreakBefore w:val="0"/>
        <w:spacing w:beforeAutospacing="0" w:afterAutospacing="0" w:line="42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rPr>
        <w:t xml:space="preserve">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采购本国产品的支持政策</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和招标文件规定的，供应商提供的相关产品视为不符合本国产品标准。</w:t>
      </w:r>
      <w:r/>
    </w:p>
    <w:p>
      <w:pPr>
        <w:ind w:firstLine="480"/>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90"/>
        <w:ind w:firstLine="482"/>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评标方法与评标标准</w:t>
      </w:r>
      <w:r/>
    </w:p>
    <w:p>
      <w:pPr>
        <w:ind w:firstLine="480"/>
        <w:jc w:val="lef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本项目评分总分值为100分。</w:t>
      </w:r>
      <w:r/>
    </w:p>
    <w:tbl>
      <w:tblPr>
        <w:tblStyle w:val="667"/>
        <w:tblpPr w:horzAnchor="page" w:tblpX="1337" w:vertAnchor="text" w:tblpY="305" w:leftFromText="180" w:topFromText="0" w:rightFromText="180" w:bottomFromText="0"/>
        <w:tblW w:w="52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339"/>
        <w:gridCol w:w="6522"/>
        <w:gridCol w:w="770"/>
      </w:tblGrid>
      <w:tr>
        <w:trPr>
          <w:trHeight w:val="694"/>
        </w:trPr>
        <w:tc>
          <w:tcPr>
            <w:tcW w:w="512"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评审因素</w:t>
            </w:r>
            <w:r/>
          </w:p>
        </w:tc>
        <w:tc>
          <w:tcPr>
            <w:tcW w:w="696"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评分点</w:t>
            </w:r>
            <w:r/>
          </w:p>
        </w:tc>
        <w:tc>
          <w:tcPr>
            <w:tcW w:w="3390"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评审标准</w:t>
            </w:r>
            <w:r/>
          </w:p>
        </w:tc>
        <w:tc>
          <w:tcPr>
            <w:tcW w:w="400"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分值</w:t>
            </w:r>
            <w:r/>
          </w:p>
        </w:tc>
      </w:tr>
      <w:tr>
        <w:trPr>
          <w:trHeight w:val="1953"/>
        </w:trPr>
        <w:tc>
          <w:tcPr>
            <w:tcW w:w="512"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价格</w:t>
            </w:r>
            <w:r/>
          </w:p>
          <w:p>
            <w:pPr>
              <w:jc w:val="center"/>
              <w:spacing w:line="360" w:lineRule="auto"/>
              <w:rPr>
                <w:rFonts w:hint="eastAsia" w:ascii="宋体" w:hAnsi="宋体" w:cs="宋体"/>
                <w:bCs/>
                <w:szCs w:val="21"/>
                <w:highlight w:val="none"/>
              </w:rPr>
            </w:pPr>
            <w:r>
              <w:rPr>
                <w:rFonts w:hint="eastAsia" w:ascii="宋体" w:hAnsi="宋体" w:cs="宋体"/>
                <w:szCs w:val="21"/>
                <w:highlight w:val="none"/>
              </w:rPr>
              <w:t xml:space="preserve">（10分）</w:t>
            </w:r>
            <w:r/>
          </w:p>
        </w:tc>
        <w:tc>
          <w:tcPr>
            <w:tcW w:w="696"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投标报价</w:t>
            </w:r>
            <w:r/>
          </w:p>
        </w:tc>
        <w:tc>
          <w:tcPr>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采用低价优先法计算，即满足采购文件要求且投标报价最低的为评标基准价，其价格分为满分10分。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其他投标人的价格分统一按照下列公式计算：投标报价得分=（评标基准价/投标报价）×10（小数点保留两位）</w:t>
            </w:r>
            <w:r/>
          </w:p>
          <w:p>
            <w:pPr>
              <w:spacing w:line="360" w:lineRule="auto"/>
              <w:rPr>
                <w:highlight w:val="none"/>
              </w:rPr>
            </w:pPr>
            <w:r>
              <w:rPr>
                <w:rFonts w:hint="eastAsia" w:ascii="宋体" w:hAnsi="宋体" w:cs="宋体"/>
                <w:szCs w:val="21"/>
                <w:highlight w:val="none"/>
              </w:rPr>
              <w:t xml:space="preserve">注：评标价格分计算基于投标总价。</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p>
        </w:tc>
      </w:tr>
      <w:tr>
        <w:trPr>
          <w:trHeight w:val="1953"/>
        </w:trPr>
        <w:tc>
          <w:tcPr>
            <w:tcW w:w="512" w:type="pct"/>
            <w:vAlign w:val="center"/>
            <w:vMerge w:val="restart"/>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商务部分（4</w:t>
            </w:r>
            <w:r>
              <w:rPr>
                <w:rFonts w:hint="eastAsia" w:ascii="宋体" w:hAnsi="宋体" w:eastAsia="宋体" w:cs="宋体"/>
                <w:bCs/>
                <w:szCs w:val="21"/>
                <w:highlight w:val="none"/>
                <w:lang w:val="en-US" w:eastAsia="zh-CN"/>
              </w:rPr>
              <w:t xml:space="preserve">5</w:t>
            </w:r>
            <w:r>
              <w:rPr>
                <w:rFonts w:hint="eastAsia" w:ascii="宋体" w:hAnsi="宋体" w:cs="宋体"/>
                <w:bCs/>
                <w:szCs w:val="21"/>
                <w:highlight w:val="none"/>
              </w:rPr>
              <w:t xml:space="preserve">分）</w:t>
            </w:r>
            <w:r/>
          </w:p>
        </w:tc>
        <w:tc>
          <w:tcPr>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bCs/>
                <w:szCs w:val="21"/>
                <w:highlight w:val="none"/>
              </w:rPr>
              <w:t xml:space="preserve">供应商业绩</w:t>
            </w:r>
            <w:r/>
          </w:p>
        </w:tc>
        <w:tc>
          <w:tcPr>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2021年1月1日至今，</w:t>
            </w:r>
            <w:r>
              <w:rPr>
                <w:rFonts w:ascii="宋体" w:hAnsi="宋体" w:cs="宋体"/>
                <w:szCs w:val="21"/>
                <w:highlight w:val="none"/>
              </w:rPr>
              <w:t xml:space="preserve">承担过</w:t>
            </w:r>
            <w:r>
              <w:rPr>
                <w:rFonts w:hint="eastAsia" w:ascii="宋体" w:hAnsi="宋体" w:cs="宋体"/>
                <w:szCs w:val="21"/>
                <w:highlight w:val="none"/>
              </w:rPr>
              <w:t xml:space="preserve">城市、区县发展战略类项目</w:t>
            </w:r>
            <w:r>
              <w:rPr>
                <w:rFonts w:ascii="宋体" w:hAnsi="宋体" w:cs="宋体"/>
                <w:szCs w:val="21"/>
                <w:highlight w:val="none"/>
              </w:rPr>
              <w:t xml:space="preserve">编制的，每提供一个得</w:t>
            </w:r>
            <w:r>
              <w:rPr>
                <w:rFonts w:hint="eastAsia" w:ascii="宋体" w:hAnsi="宋体" w:cs="宋体"/>
                <w:szCs w:val="21"/>
                <w:highlight w:val="none"/>
              </w:rPr>
              <w:t xml:space="preserve">1</w:t>
            </w:r>
            <w:r>
              <w:rPr>
                <w:rFonts w:ascii="宋体" w:hAnsi="宋体" w:cs="宋体"/>
                <w:szCs w:val="21"/>
                <w:highlight w:val="none"/>
              </w:rPr>
              <w:t xml:space="preserve">分，本小项最高</w:t>
            </w:r>
            <w:r>
              <w:rPr>
                <w:rFonts w:hint="eastAsia" w:ascii="宋体" w:hAnsi="宋体" w:cs="宋体"/>
                <w:szCs w:val="21"/>
                <w:highlight w:val="none"/>
              </w:rPr>
              <w:t xml:space="preserve">10</w:t>
            </w:r>
            <w:r>
              <w:rPr>
                <w:rFonts w:ascii="宋体" w:hAnsi="宋体" w:cs="宋体"/>
                <w:szCs w:val="21"/>
                <w:highlight w:val="none"/>
              </w:rPr>
              <w:t xml:space="preserve">分</w:t>
            </w:r>
            <w:r/>
          </w:p>
          <w:p>
            <w:pPr>
              <w:spacing w:line="360" w:lineRule="auto"/>
              <w:rPr>
                <w:highlight w:val="none"/>
              </w:rPr>
            </w:pPr>
            <w:r>
              <w:rPr>
                <w:rFonts w:hint="eastAsia" w:ascii="宋体" w:hAnsi="宋体" w:cs="宋体"/>
                <w:szCs w:val="21"/>
                <w:highlight w:val="none"/>
              </w:rPr>
              <w:t xml:space="preserve">注：以合同签订时间为准，同一项目业绩只计算一次得分，需附上合同关键页(含签订合同双方的单位名称、合同项目名称与双方落款盖章、签订日期)复印件作为证明资料。</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p>
        </w:tc>
      </w:tr>
      <w:tr>
        <w:trPr>
          <w:trHeight w:val="496"/>
        </w:trPr>
        <w:tc>
          <w:tcPr>
            <w:tcW w:w="512" w:type="pct"/>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696"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供应商荣誉</w:t>
            </w:r>
            <w:r/>
          </w:p>
        </w:tc>
        <w:tc>
          <w:tcPr>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投标人</w:t>
            </w:r>
            <w:r>
              <w:rPr>
                <w:rFonts w:ascii="宋体" w:hAnsi="宋体" w:cs="宋体"/>
                <w:szCs w:val="21"/>
                <w:highlight w:val="none"/>
              </w:rPr>
              <w:t xml:space="preserve">自20</w:t>
            </w:r>
            <w:r>
              <w:rPr>
                <w:rFonts w:hint="eastAsia" w:ascii="宋体" w:hAnsi="宋体" w:cs="宋体"/>
                <w:szCs w:val="21"/>
                <w:highlight w:val="none"/>
              </w:rPr>
              <w:t xml:space="preserve">21</w:t>
            </w:r>
            <w:r>
              <w:rPr>
                <w:rFonts w:ascii="宋体" w:hAnsi="宋体" w:cs="宋体"/>
                <w:szCs w:val="21"/>
                <w:highlight w:val="none"/>
              </w:rPr>
              <w:t xml:space="preserve">年1月1日以来</w:t>
            </w:r>
            <w:r>
              <w:rPr>
                <w:rFonts w:hint="eastAsia" w:ascii="宋体" w:hAnsi="宋体" w:cs="宋体"/>
                <w:szCs w:val="21"/>
                <w:highlight w:val="none"/>
              </w:rPr>
              <w:t xml:space="preserve">，城市发展战略类项目</w:t>
            </w:r>
            <w:r>
              <w:rPr>
                <w:rFonts w:ascii="宋体" w:hAnsi="宋体" w:cs="宋体"/>
                <w:szCs w:val="21"/>
                <w:highlight w:val="none"/>
              </w:rPr>
              <w:t xml:space="preserve">获得</w:t>
            </w:r>
            <w:r>
              <w:rPr>
                <w:rFonts w:hint="eastAsia" w:ascii="宋体" w:hAnsi="宋体" w:cs="宋体"/>
                <w:szCs w:val="21"/>
                <w:highlight w:val="none"/>
              </w:rPr>
              <w:t xml:space="preserve">过</w:t>
            </w:r>
            <w:r>
              <w:rPr>
                <w:rFonts w:ascii="宋体" w:hAnsi="宋体" w:cs="宋体"/>
                <w:szCs w:val="21"/>
                <w:highlight w:val="none"/>
              </w:rPr>
              <w:t xml:space="preserve">优秀规划项目</w:t>
            </w:r>
            <w:r>
              <w:rPr>
                <w:rFonts w:hint="eastAsia" w:ascii="宋体" w:hAnsi="宋体" w:cs="宋体"/>
                <w:szCs w:val="21"/>
                <w:highlight w:val="none"/>
              </w:rPr>
              <w:t xml:space="preserve">奖项的</w:t>
            </w:r>
            <w:r>
              <w:rPr>
                <w:rFonts w:ascii="宋体" w:hAnsi="宋体" w:cs="宋体"/>
                <w:szCs w:val="21"/>
                <w:highlight w:val="none"/>
              </w:rPr>
              <w:t xml:space="preserve">，</w:t>
            </w:r>
            <w:r>
              <w:rPr>
                <w:rFonts w:hint="eastAsia" w:ascii="宋体" w:hAnsi="宋体" w:cs="宋体"/>
                <w:szCs w:val="21"/>
                <w:highlight w:val="none"/>
              </w:rPr>
              <w:t xml:space="preserve">获得过国家级奖项的，每项得2分，最高得4分；获得过省级（含直辖市）奖项的，每项得1分，最高得</w:t>
            </w:r>
            <w:r>
              <w:rPr>
                <w:rFonts w:hint="eastAsia" w:ascii="宋体" w:hAnsi="宋体" w:eastAsia="宋体" w:cs="宋体"/>
                <w:szCs w:val="21"/>
                <w:highlight w:val="none"/>
                <w:lang w:val="en-US" w:eastAsia="zh-CN"/>
              </w:rPr>
              <w:t xml:space="preserve">5</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，获得过市级奖项的，每项得0.5分，最高</w:t>
            </w:r>
            <w:r>
              <w:rPr>
                <w:rFonts w:hint="eastAsia" w:ascii="宋体" w:hAnsi="宋体" w:eastAsia="宋体" w:cs="宋体"/>
                <w:szCs w:val="21"/>
                <w:highlight w:val="none"/>
                <w:lang w:val="en-US" w:eastAsia="zh-CN"/>
              </w:rPr>
              <w:t xml:space="preserve">得1分</w:t>
            </w:r>
            <w:r>
              <w:rPr>
                <w:rFonts w:hint="eastAsia" w:ascii="宋体" w:hAnsi="宋体" w:cs="宋体"/>
                <w:szCs w:val="21"/>
                <w:highlight w:val="none"/>
              </w:rPr>
              <w:t xml:space="preserve">。本项最高得10分，没有不得分。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注：提供获奖证书扫描件等证明材料，并加盖供应商公章，未按要求提供不得分。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p>
        </w:tc>
      </w:tr>
      <w:tr>
        <w:trPr>
          <w:trHeight w:val="497"/>
        </w:trPr>
        <w:tc>
          <w:tcPr>
            <w:tcW w:w="512" w:type="pct"/>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696" w:type="pct"/>
            <w:vAlign w:val="center"/>
            <w:vMerge w:val="restart"/>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人员配备</w:t>
            </w:r>
            <w:r/>
          </w:p>
        </w:tc>
        <w:tc>
          <w:tcPr>
            <w:tcW w:w="3390" w:type="pct"/>
            <w:vAlign w:val="center"/>
            <w:textDirection w:val="lrTb"/>
            <w:noWrap w:val="false"/>
          </w:tcPr>
          <w:p>
            <w:pPr>
              <w:spacing w:line="360" w:lineRule="auto"/>
              <w:rPr>
                <w:rFonts w:hint="eastAsia" w:ascii="宋体" w:hAnsi="宋体" w:cs="宋体"/>
                <w:b/>
                <w:szCs w:val="21"/>
                <w:highlight w:val="none"/>
              </w:rPr>
            </w:pPr>
            <w:r>
              <w:rPr>
                <w:rFonts w:hint="eastAsia" w:ascii="宋体" w:hAnsi="宋体" w:cs="宋体"/>
                <w:b/>
                <w:szCs w:val="21"/>
                <w:highlight w:val="none"/>
              </w:rPr>
              <w:t xml:space="preserve">拟投入本项目的总负责人：</w:t>
            </w:r>
            <w:r/>
          </w:p>
          <w:p>
            <w:pPr>
              <w:pStyle w:val="673"/>
              <w:rPr>
                <w:highlight w:val="none"/>
              </w:rPr>
            </w:pPr>
            <w:r/>
            <w:bookmarkStart w:id="168" w:name="OLE_LINK11"/>
            <w:r/>
            <w:bookmarkStart w:id="169" w:name="OLE_LINK14"/>
            <w:r>
              <w:rPr>
                <w:rFonts w:hint="eastAsia" w:ascii="宋体" w:hAnsi="宋体" w:cs="宋体"/>
                <w:szCs w:val="21"/>
                <w:highlight w:val="none"/>
              </w:rPr>
              <w:t xml:space="preserve">拟派项目的总负责人</w:t>
            </w:r>
            <w:bookmarkEnd w:id="168"/>
            <w:r>
              <w:rPr>
                <w:rFonts w:hint="eastAsia" w:ascii="宋体" w:hAnsi="宋体" w:cs="宋体"/>
                <w:szCs w:val="21"/>
                <w:highlight w:val="none"/>
              </w:rPr>
              <w:t xml:space="preserve">需具有城乡规划专业教授级高级工程师职称证书，</w:t>
            </w:r>
            <w:bookmarkEnd w:id="169"/>
            <w:r/>
            <w:r/>
          </w:p>
          <w:p>
            <w:pPr>
              <w:spacing w:line="360" w:lineRule="auto"/>
              <w:rPr>
                <w:highlight w:val="none"/>
              </w:rPr>
            </w:pPr>
            <w:r>
              <w:rPr>
                <w:rFonts w:hint="eastAsia"/>
                <w:highlight w:val="none"/>
              </w:rPr>
              <w:t xml:space="preserve">（</w:t>
            </w:r>
            <w:r>
              <w:rPr>
                <w:rFonts w:hint="eastAsia" w:eastAsia="宋体"/>
                <w:highlight w:val="none"/>
                <w:lang w:val="en-US" w:eastAsia="zh-CN"/>
              </w:rPr>
              <w:t xml:space="preserve">1</w:t>
            </w:r>
            <w:r>
              <w:rPr>
                <w:rFonts w:hint="eastAsia"/>
                <w:highlight w:val="none"/>
              </w:rPr>
              <w:t xml:space="preserve">）拟派项目负责人自2021年1月1日以来，获得过规划或建设领域科技进步奖、科学技术奖的，每个加1分，本项最高得6分，没有不得分；</w:t>
            </w:r>
            <w:r/>
          </w:p>
          <w:p>
            <w:pPr>
              <w:spacing w:line="360" w:lineRule="auto"/>
              <w:rPr>
                <w:highlight w:val="none"/>
              </w:rPr>
            </w:pPr>
            <w:r>
              <w:rPr>
                <w:rFonts w:hint="eastAsia"/>
                <w:highlight w:val="none"/>
              </w:rPr>
              <w:t xml:space="preserve">（</w:t>
            </w:r>
            <w:r>
              <w:rPr>
                <w:rFonts w:hint="eastAsia" w:eastAsia="宋体"/>
                <w:highlight w:val="none"/>
                <w:lang w:val="en-US" w:eastAsia="zh-CN"/>
              </w:rPr>
              <w:t xml:space="preserve">2</w:t>
            </w:r>
            <w:r>
              <w:rPr>
                <w:rFonts w:hint="eastAsia"/>
                <w:highlight w:val="none"/>
              </w:rPr>
              <w:t xml:space="preserve">）拟派项目负责人主持过</w:t>
            </w:r>
            <w:bookmarkStart w:id="170" w:name="OLE_LINK12"/>
            <w:r>
              <w:rPr>
                <w:rFonts w:hint="eastAsia"/>
                <w:highlight w:val="none"/>
              </w:rPr>
              <w:t xml:space="preserve">城市战略研究或战略规划类项目</w:t>
            </w:r>
            <w:bookmarkEnd w:id="170"/>
            <w:r>
              <w:rPr>
                <w:rFonts w:hint="eastAsia"/>
                <w:highlight w:val="none"/>
              </w:rPr>
              <w:t xml:space="preserve">，每个加2分，本项最高得4分，没有不得分；</w:t>
            </w:r>
            <w:r/>
          </w:p>
          <w:p>
            <w:pPr>
              <w:pStyle w:val="673"/>
              <w:spacing w:after="0" w:line="360" w:lineRule="auto"/>
              <w:rPr>
                <w:highlight w:val="none"/>
              </w:rPr>
            </w:pPr>
            <w:r>
              <w:rPr>
                <w:rFonts w:hint="eastAsia"/>
                <w:highlight w:val="none"/>
              </w:rPr>
              <w:t xml:space="preserve">注：以上须在投标文件中提供负责人主持过的</w:t>
            </w:r>
            <w:r>
              <w:rPr>
                <w:rFonts w:hint="eastAsia" w:ascii="宋体" w:hAnsi="宋体" w:cs="宋体"/>
                <w:szCs w:val="21"/>
                <w:highlight w:val="none"/>
              </w:rPr>
              <w:t xml:space="preserve">地级市战略研究或战略规划类项目业绩证明材料</w:t>
            </w:r>
            <w:r>
              <w:rPr>
                <w:rFonts w:hint="eastAsia"/>
                <w:highlight w:val="none"/>
              </w:rPr>
              <w:t xml:space="preserve">，包括能显示负责人主持工作的项目合同关键页复印件，或项目获奖证书复印件，并加盖公章；须提供负责人职称证书、获奖证书扫描件，并加盖公章；同时，提供社保缴费清单，要求提供投标人为其缴纳的</w:t>
            </w:r>
            <w:bookmarkStart w:id="171" w:name="OLE_LINK13"/>
            <w:r>
              <w:rPr>
                <w:rFonts w:hint="eastAsia" w:ascii="宋体" w:hAnsi="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月</w:t>
            </w:r>
            <w:bookmarkEnd w:id="171"/>
            <w:r>
              <w:rPr>
                <w:rFonts w:hint="eastAsia" w:ascii="宋体" w:hAnsi="宋体" w:cs="宋体"/>
                <w:szCs w:val="21"/>
                <w:highlight w:val="none"/>
              </w:rPr>
              <w:t xml:space="preserve">至今任何1个月社保证明</w:t>
            </w:r>
            <w:r>
              <w:rPr>
                <w:rFonts w:hint="eastAsia"/>
                <w:highlight w:val="none"/>
              </w:rPr>
              <w:t xml:space="preserve">材料扫描件。不提供的不予得分。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eastAsia="宋体" w:cs="宋体"/>
                <w:szCs w:val="21"/>
                <w:highlight w:val="none"/>
                <w:lang w:val="en-US" w:eastAsia="zh-CN"/>
              </w:rPr>
              <w:t xml:space="preserve">0</w:t>
            </w:r>
            <w:r>
              <w:rPr>
                <w:rFonts w:hint="eastAsia" w:ascii="宋体" w:hAnsi="宋体" w:cs="宋体"/>
                <w:szCs w:val="21"/>
                <w:highlight w:val="none"/>
              </w:rPr>
              <w:t xml:space="preserve">分</w:t>
            </w:r>
            <w:r/>
          </w:p>
        </w:tc>
      </w:tr>
      <w:tr>
        <w:trPr>
          <w:trHeight w:val="497"/>
        </w:trPr>
        <w:tc>
          <w:tcPr>
            <w:tcW w:w="512" w:type="pct"/>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696" w:type="pct"/>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3390" w:type="pct"/>
            <w:vAlign w:val="center"/>
            <w:textDirection w:val="lrTb"/>
            <w:noWrap w:val="false"/>
          </w:tcPr>
          <w:p>
            <w:pPr>
              <w:spacing w:line="360" w:lineRule="auto"/>
              <w:rPr>
                <w:rFonts w:hint="eastAsia" w:ascii="宋体" w:hAnsi="宋体" w:cs="宋体"/>
                <w:b/>
                <w:szCs w:val="21"/>
                <w:highlight w:val="none"/>
              </w:rPr>
            </w:pPr>
            <w:r>
              <w:rPr>
                <w:rFonts w:hint="eastAsia" w:ascii="宋体" w:hAnsi="宋体" w:cs="宋体"/>
                <w:b/>
                <w:szCs w:val="21"/>
                <w:highlight w:val="none"/>
              </w:rPr>
              <w:t xml:space="preserve">拟投入本项目的技术负责人：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国家注册城市(乡)规划师、国</w:t>
            </w:r>
            <w:r>
              <w:rPr>
                <w:rFonts w:hint="eastAsia" w:ascii="宋体" w:hAnsi="宋体" w:eastAsia="宋体" w:cs="宋体"/>
                <w:szCs w:val="21"/>
                <w:highlight w:val="none"/>
                <w:lang w:val="en-US" w:eastAsia="zh-CN"/>
              </w:rPr>
              <w:t xml:space="preserve">家</w:t>
            </w:r>
            <w:r>
              <w:rPr>
                <w:rFonts w:hint="eastAsia" w:ascii="宋体" w:hAnsi="宋体" w:cs="宋体"/>
                <w:szCs w:val="21"/>
                <w:highlight w:val="none"/>
              </w:rPr>
              <w:t xml:space="preserve">注册公用设备工程师、咨询工程师(投资)中，拟派项目技术负责人具备其中一个证书得1分，两个得3分，三个全部具备得6分。本项最高得6分；没有不得分。</w:t>
            </w:r>
            <w:r/>
          </w:p>
          <w:p>
            <w:pPr>
              <w:spacing w:line="360" w:lineRule="auto"/>
              <w:rPr>
                <w:rFonts w:hint="eastAsia" w:ascii="宋体" w:hAnsi="宋体" w:cs="宋体"/>
                <w:b/>
                <w:szCs w:val="21"/>
                <w:highlight w:val="none"/>
              </w:rPr>
            </w:pPr>
            <w:r>
              <w:rPr>
                <w:rFonts w:hint="eastAsia" w:ascii="宋体" w:hAnsi="宋体" w:cs="宋体"/>
                <w:szCs w:val="21"/>
                <w:highlight w:val="none"/>
              </w:rPr>
              <w:t xml:space="preserve">注：须在投标文件中提供有效证书的扫描件，</w:t>
            </w:r>
            <w:r>
              <w:rPr>
                <w:rFonts w:hint="eastAsia"/>
                <w:highlight w:val="none"/>
              </w:rPr>
              <w:t xml:space="preserve">同时社保缴费清单要求提供投标人为其缴纳的</w:t>
            </w:r>
            <w:r>
              <w:rPr>
                <w:rFonts w:hint="eastAsia" w:ascii="宋体" w:hAnsi="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月至今任何1个月</w:t>
            </w:r>
            <w:r>
              <w:rPr>
                <w:rFonts w:hint="eastAsia"/>
                <w:highlight w:val="none"/>
              </w:rPr>
              <w:t xml:space="preserve">的社保证明材料扫描件。不提供的不予得分。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6分</w:t>
            </w:r>
            <w:r/>
          </w:p>
        </w:tc>
      </w:tr>
      <w:tr>
        <w:trPr>
          <w:trHeight w:val="1989"/>
        </w:trPr>
        <w:tc>
          <w:tcPr>
            <w:tcW w:w="512" w:type="pct"/>
            <w:vAlign w:val="center"/>
            <w:vMerge w:val="continue"/>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shd w:val="clear" w:color="auto" w:fill="ffffff"/>
            <w:tcW w:w="696" w:type="pct"/>
            <w:vAlign w:val="center"/>
            <w:vMerge w:val="continue"/>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shd w:val="clear" w:color="auto" w:fill="ffffff"/>
            <w:tcW w:w="3390" w:type="pct"/>
            <w:vAlign w:val="center"/>
            <w:textDirection w:val="lrTb"/>
            <w:noWrap w:val="false"/>
          </w:tcPr>
          <w:p>
            <w:pPr>
              <w:spacing w:line="360" w:lineRule="auto"/>
              <w:rPr>
                <w:rFonts w:hint="eastAsia" w:ascii="宋体" w:hAnsi="宋体" w:cs="宋体"/>
                <w:b/>
                <w:szCs w:val="21"/>
                <w:highlight w:val="none"/>
              </w:rPr>
            </w:pPr>
            <w:r>
              <w:rPr>
                <w:rFonts w:hint="eastAsia" w:ascii="宋体" w:hAnsi="宋体" w:cs="宋体"/>
                <w:b/>
                <w:szCs w:val="21"/>
                <w:highlight w:val="none"/>
              </w:rPr>
              <w:t xml:space="preserve">设计团队成员（不含项目负责人）：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1</w:t>
            </w:r>
            <w:r>
              <w:rPr>
                <w:rFonts w:hint="eastAsia" w:ascii="宋体" w:hAnsi="宋体" w:cs="宋体"/>
                <w:szCs w:val="21"/>
                <w:highlight w:val="none"/>
              </w:rPr>
              <w:t xml:space="preserve">）具有①城乡（或城市）规划②交通③地理信息④市政⑤风景园林（或景观设计）五个专业工程师技术职称的，高级及以上职称每个得1分，中级职称每个得0.5分，每个专业最高得</w:t>
            </w:r>
            <w:r>
              <w:rPr>
                <w:rFonts w:ascii="宋体" w:hAnsi="宋体" w:cs="宋体"/>
                <w:szCs w:val="21"/>
                <w:highlight w:val="none"/>
              </w:rPr>
              <w:t xml:space="preserve">1</w:t>
            </w:r>
            <w:r>
              <w:rPr>
                <w:rFonts w:hint="eastAsia" w:ascii="宋体" w:hAnsi="宋体" w:cs="宋体"/>
                <w:szCs w:val="21"/>
                <w:highlight w:val="none"/>
              </w:rPr>
              <w:t xml:space="preserve">分，每个人只计取一个专业。本项目最高得</w:t>
            </w:r>
            <w:r>
              <w:rPr>
                <w:rFonts w:ascii="宋体" w:hAnsi="宋体" w:cs="宋体"/>
                <w:szCs w:val="21"/>
                <w:highlight w:val="none"/>
              </w:rPr>
              <w:t xml:space="preserve">5</w:t>
            </w:r>
            <w:r>
              <w:rPr>
                <w:rFonts w:hint="eastAsia" w:ascii="宋体" w:hAnsi="宋体" w:cs="宋体"/>
                <w:szCs w:val="21"/>
                <w:highlight w:val="none"/>
              </w:rPr>
              <w:t xml:space="preserve">分。没有不得分；</w:t>
            </w:r>
            <w:r/>
          </w:p>
          <w:p>
            <w:pPr>
              <w:pStyle w:val="673"/>
              <w:spacing w:after="0" w:line="360" w:lineRule="auto"/>
              <w:rPr>
                <w:highlight w:val="none"/>
              </w:rPr>
            </w:pPr>
            <w:r>
              <w:rPr>
                <w:rFonts w:hint="eastAsia" w:ascii="宋体" w:hAnsi="宋体" w:cs="宋体"/>
                <w:szCs w:val="21"/>
                <w:highlight w:val="none"/>
              </w:rPr>
              <w:t xml:space="preserve">注：须在投标文件中提供毕业证书扫描件、职称相关证书扫描件，毕业证书或职称的专业符合要求即可，若职称证书未明确专业，则以毕业证书上专业为准。</w:t>
            </w:r>
            <w:r>
              <w:rPr>
                <w:rFonts w:hint="eastAsia"/>
                <w:highlight w:val="none"/>
              </w:rPr>
              <w:t xml:space="preserve">同时社保缴费清单要求提供投标人为其缴纳的</w:t>
            </w:r>
            <w:r>
              <w:rPr>
                <w:rFonts w:hint="eastAsia" w:ascii="宋体" w:hAnsi="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月1日至今任何1个月</w:t>
            </w:r>
            <w:r>
              <w:rPr>
                <w:rFonts w:hint="eastAsia"/>
                <w:highlight w:val="none"/>
              </w:rPr>
              <w:t xml:space="preserve">的社保证明材料扫描件。不提供的不予得分。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）拟派项目组成员中（除项目负责人外）具有城市（城乡）规划专业高级工程师及以上职称且同时具备国家注册规划师证书的，每个得</w:t>
            </w:r>
            <w:r>
              <w:rPr>
                <w:rFonts w:hint="eastAsia" w:ascii="宋体" w:hAnsi="宋体" w:eastAsia="宋体" w:cs="宋体"/>
                <w:szCs w:val="21"/>
                <w:highlight w:val="none"/>
                <w:lang w:val="en-US" w:eastAsia="zh-CN"/>
              </w:rPr>
              <w:t xml:space="preserve">1</w:t>
            </w:r>
            <w:r>
              <w:rPr>
                <w:rFonts w:hint="eastAsia" w:ascii="宋体" w:hAnsi="宋体" w:cs="宋体"/>
                <w:szCs w:val="21"/>
                <w:highlight w:val="none"/>
              </w:rPr>
              <w:t xml:space="preserve">分，具有城市（城乡）规划专业中级工程师职称且同时具备国家注册规划师证书的，每个得0.5分。本项最高得</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rPr>
              <w:t xml:space="preserve">分。没有不得分；</w:t>
            </w:r>
            <w:r/>
          </w:p>
          <w:p>
            <w:pPr>
              <w:spacing w:line="360" w:lineRule="auto"/>
              <w:rPr>
                <w:highlight w:val="none"/>
              </w:rPr>
            </w:pPr>
            <w:r>
              <w:rPr>
                <w:rFonts w:hint="eastAsia" w:ascii="宋体" w:hAnsi="宋体" w:cs="宋体"/>
                <w:szCs w:val="21"/>
                <w:highlight w:val="none"/>
              </w:rPr>
              <w:t xml:space="preserve">注：须在投标文件中提供职称证书和国家注册规划师证书的扫描件。同时社保缴费清单要求提供投标人为其缴纳的202</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月至今任何1个月的社保证明材料扫描件。不提供的不予得分。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9</w:t>
            </w:r>
            <w:r>
              <w:rPr>
                <w:rFonts w:hint="eastAsia" w:ascii="宋体" w:hAnsi="宋体" w:cs="宋体"/>
                <w:szCs w:val="21"/>
                <w:highlight w:val="none"/>
              </w:rPr>
              <w:t xml:space="preserve">分</w:t>
            </w:r>
            <w:r/>
          </w:p>
        </w:tc>
      </w:tr>
      <w:tr>
        <w:trPr>
          <w:trHeight w:val="1833"/>
        </w:trPr>
        <w:tc>
          <w:tcPr>
            <w:tcW w:w="512" w:type="pct"/>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技术及实施方案（45分）</w:t>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对项目背景、发展趋势和目标意义的理解程度</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根据投标人对本项目背景、发展趋势和目标意义的理解程度进行评审</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理解和掌握本项目背景、发展趋势和目标，熟悉和了解本项目熟悉相关管理及运作，方案描述内容优于招标人需求得</w:t>
            </w:r>
            <w:r>
              <w:rPr>
                <w:rFonts w:hint="eastAsia" w:ascii="宋体" w:hAnsi="宋体" w:eastAsia="宋体" w:cs="宋体"/>
                <w:szCs w:val="21"/>
                <w:highlight w:val="none"/>
                <w:lang w:val="en-US" w:eastAsia="zh-CN"/>
              </w:rPr>
              <w:t xml:space="preserve">13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7</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13</w:t>
            </w:r>
            <w:r>
              <w:rPr>
                <w:rFonts w:hint="eastAsia" w:ascii="宋体" w:hAnsi="宋体" w:cs="宋体"/>
                <w:szCs w:val="21"/>
                <w:highlight w:val="none"/>
              </w:rPr>
              <w:t xml:space="preserve">分</w:t>
            </w:r>
            <w:r/>
          </w:p>
        </w:tc>
      </w:tr>
      <w:tr>
        <w:trPr>
          <w:trHeight w:val="291"/>
        </w:trPr>
        <w:tc>
          <w:tcPr>
            <w:tcW w:w="512" w:type="pct"/>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县域高质量发展总体策划</w:t>
            </w:r>
            <w:r>
              <w:rPr>
                <w:rFonts w:ascii="宋体" w:hAnsi="宋体" w:cs="宋体"/>
                <w:szCs w:val="21"/>
                <w:highlight w:val="none"/>
              </w:rPr>
              <w:t xml:space="preserve">技术路线与规划方案设想</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根据投标人对区域发展趋势与重要机遇、灌河一体化发展举措、县域发展行动的理解程度进行评审</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理解和掌握区域发展趋势与重要机遇、灌河一体化发展举措、县域发展行动的，</w:t>
            </w:r>
            <w:r>
              <w:rPr>
                <w:rFonts w:ascii="宋体" w:hAnsi="宋体" w:cs="宋体"/>
                <w:szCs w:val="21"/>
                <w:highlight w:val="none"/>
              </w:rPr>
              <w:t xml:space="preserve">研究的定位准确，</w:t>
            </w:r>
            <w:r>
              <w:rPr>
                <w:rFonts w:hint="eastAsia" w:ascii="宋体" w:hAnsi="宋体" w:cs="宋体"/>
                <w:szCs w:val="21"/>
                <w:highlight w:val="none"/>
              </w:rPr>
              <w:t xml:space="preserve">方案描述内容优于招标人需求得</w:t>
            </w:r>
            <w:r>
              <w:rPr>
                <w:rFonts w:hint="eastAsia" w:ascii="宋体" w:hAnsi="宋体" w:eastAsia="宋体" w:cs="宋体"/>
                <w:szCs w:val="21"/>
                <w:highlight w:val="none"/>
                <w:lang w:val="en-US" w:eastAsia="zh-CN"/>
              </w:rPr>
              <w:t xml:space="preserve">13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7</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分</w:t>
            </w:r>
            <w:r/>
          </w:p>
        </w:tc>
      </w:tr>
      <w:tr>
        <w:trPr>
          <w:trHeight w:val="841"/>
        </w:trPr>
        <w:tc>
          <w:tcPr>
            <w:tcW w:w="512" w:type="pct"/>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重点地区行动</w:t>
            </w:r>
            <w:r>
              <w:rPr>
                <w:rFonts w:ascii="宋体" w:hAnsi="宋体" w:cs="宋体"/>
                <w:szCs w:val="21"/>
                <w:highlight w:val="none"/>
              </w:rPr>
              <w:t xml:space="preserve">技术路线与规划方案设想</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根据投标人对重点地区定位、提升行动策略、空间布局引导的理解程度进行评审</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理解和掌握整体重点地区定位、提升行动策略、空间布局引导，</w:t>
            </w:r>
            <w:r>
              <w:rPr>
                <w:rFonts w:ascii="宋体" w:hAnsi="宋体" w:cs="宋体"/>
                <w:szCs w:val="21"/>
                <w:highlight w:val="none"/>
              </w:rPr>
              <w:t xml:space="preserve">研究的定位准确，</w:t>
            </w:r>
            <w:r>
              <w:rPr>
                <w:rFonts w:hint="eastAsia" w:ascii="宋体" w:hAnsi="宋体" w:cs="宋体"/>
                <w:szCs w:val="21"/>
                <w:highlight w:val="none"/>
              </w:rPr>
              <w:t xml:space="preserve">方案描述内容优于招标人需求得</w:t>
            </w:r>
            <w:r>
              <w:rPr>
                <w:rFonts w:hint="eastAsia" w:ascii="宋体" w:hAnsi="宋体" w:eastAsia="宋体" w:cs="宋体"/>
                <w:szCs w:val="21"/>
                <w:highlight w:val="none"/>
                <w:lang w:val="en-US" w:eastAsia="zh-CN"/>
              </w:rPr>
              <w:t xml:space="preserve">13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7</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分</w:t>
            </w:r>
            <w:r/>
          </w:p>
        </w:tc>
      </w:tr>
      <w:tr>
        <w:trPr>
          <w:trHeight w:val="1370"/>
        </w:trPr>
        <w:tc>
          <w:tcPr>
            <w:tcW w:w="512" w:type="pct"/>
            <w:vAlign w:val="center"/>
            <w:vMerge w:val="continue"/>
            <w:textDirection w:val="lrTb"/>
            <w:noWrap w:val="false"/>
          </w:tcPr>
          <w:p>
            <w:pPr>
              <w:jc w:val="cente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工期、进度计划</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投标人需针对本项目提供实施工作时间与进度计划</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时间与进度安排合理、可行，方案描述内容优于招标人需求得</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2</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cs="宋体"/>
                <w:szCs w:val="21"/>
                <w:highlight w:val="none"/>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3分</w:t>
            </w:r>
            <w:r/>
          </w:p>
        </w:tc>
      </w:tr>
      <w:tr>
        <w:trPr>
          <w:trHeight w:val="2635"/>
        </w:trPr>
        <w:tc>
          <w:tcPr>
            <w:tcW w:w="512" w:type="pct"/>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质量和技术保障措施</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投标人需根据本项目情况提供工作服务承诺与质量保证措施(包括但不限于质量管理目标、质量控制过程所使用的方法、质量管理的纠偏措施、风险预防和应对措施</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质量和技术保障措施合理全面、有效保证服务的质量，能够满足反复修改论证、随时汇报以及短期内提交成果等特殊要求，方案描述内容优于招标人需求得</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2</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3分</w:t>
            </w:r>
            <w:r/>
          </w:p>
        </w:tc>
      </w:tr>
    </w:tbl>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1.供应商</w:t>
      </w:r>
      <w:r>
        <w:rPr>
          <w:rFonts w:hint="eastAsia" w:ascii="宋体" w:hAnsi="宋体" w:eastAsia="宋体" w:cs="宋体"/>
          <w:b/>
          <w:color w:val="auto"/>
          <w:sz w:val="24"/>
          <w:szCs w:val="24"/>
          <w:highlight w:val="none"/>
        </w:rPr>
        <w:t xml:space="preserve">按评分细则所有得分项目均视为对本次招标的承诺，</w:t>
      </w:r>
      <w:r>
        <w:rPr>
          <w:rFonts w:hint="eastAsia" w:ascii="宋体" w:hAnsi="宋体" w:eastAsia="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后均作为合同的组成部分。</w:t>
      </w:r>
      <w:r/>
    </w:p>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评标时，未能按以上要求提供相应证明的，不作为评标依据，不得分。</w:t>
      </w:r>
      <w:r/>
    </w:p>
    <w:p>
      <w:pPr>
        <w:ind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四、其他</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（1）评标委员会成员到达评标现场时应在签到表上签到以证明其出席。</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（2）评标委员会成员首先推选一名评标委员会负责人，负责评标活动的组织领导工作。</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（3）采购人或采购代理机构应向评标委员会提供评标所需的信息和数据。评标委员会负责人应组织评标委员会成员认真研究</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，未在</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中规定的标准和方法不得作为评标的依据。</w:t>
      </w:r>
      <w:r/>
    </w:p>
    <w:p>
      <w:pPr>
        <w:pStyle w:val="690"/>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内容中要求提供的资料需全部真实，如有伪造，一经查实将取消中标资格，并根据相关规定追究供应商的法律责任。</w:t>
      </w:r>
      <w:r/>
    </w:p>
    <w:p>
      <w:pPr>
        <w:rPr>
          <w:rFonts w:hint="eastAsia" w:ascii="宋体" w:hAnsi="宋体" w:eastAsia="宋体" w:cs="宋体"/>
          <w:color w:val="auto"/>
          <w:sz w:val="44"/>
          <w:szCs w:val="44"/>
          <w:highlight w:val="none"/>
        </w:rPr>
      </w:pPr>
      <w:r>
        <w:rPr>
          <w:rFonts w:hint="eastAsia" w:ascii="宋体" w:hAnsi="宋体" w:eastAsia="宋体" w:cs="宋体"/>
          <w:highlight w:val="none"/>
        </w:rPr>
        <w:t xml:space="preserve"> </w:t>
      </w:r>
      <w:r/>
    </w:p>
    <w:p>
      <w:pPr>
        <w:rPr>
          <w:rFonts w:hint="eastAsia"/>
          <w:sz w:val="40"/>
          <w:szCs w:val="40"/>
          <w:highlight w:val="none"/>
        </w:rPr>
      </w:pPr>
      <w:r/>
      <w:bookmarkStart w:id="172" w:name="_Toc29534"/>
      <w:r>
        <w:rPr>
          <w:rFonts w:hint="eastAsia"/>
          <w:sz w:val="40"/>
          <w:szCs w:val="40"/>
          <w:highlight w:val="none"/>
        </w:rPr>
        <w:br w:type="page" w:clear="all"/>
      </w:r>
      <w:r/>
    </w:p>
    <w:p>
      <w:pPr>
        <w:pStyle w:val="657"/>
        <w:jc w:val="center"/>
        <w:rPr>
          <w:rFonts w:hint="eastAsia"/>
          <w:sz w:val="40"/>
          <w:szCs w:val="40"/>
          <w:highlight w:val="none"/>
        </w:rPr>
      </w:pPr>
      <w:r>
        <w:rPr>
          <w:rFonts w:hint="eastAsia"/>
          <w:sz w:val="40"/>
          <w:szCs w:val="40"/>
          <w:highlight w:val="none"/>
        </w:rPr>
        <w:t xml:space="preserve">第六章  响应文件格式</w:t>
      </w:r>
      <w:bookmarkEnd w:id="172"/>
      <w:r>
        <w:rPr>
          <w:rFonts w:hint="eastAsia"/>
          <w:sz w:val="40"/>
          <w:szCs w:val="40"/>
          <w:highlight w:val="none"/>
        </w:rPr>
        <w:t xml:space="preserve"> </w:t>
      </w:r>
      <w:r/>
    </w:p>
    <w:p>
      <w:pPr>
        <w:pStyle w:val="690"/>
        <w:jc w:val="center"/>
        <w:spacing w:beforeAutospacing="0" w:afterAutospacing="0"/>
        <w:rPr>
          <w:rFonts w:hint="eastAsia" w:ascii="宋体" w:hAnsi="宋体" w:eastAsia="宋体" w:cs="宋体"/>
          <w:b/>
          <w:color w:val="auto"/>
          <w:sz w:val="72"/>
          <w:szCs w:val="72"/>
          <w:highlight w:val="none"/>
        </w:rPr>
      </w:pPr>
      <w:r/>
      <w:bookmarkStart w:id="173" w:name="_Toc120614282"/>
      <w:r/>
      <w:bookmarkEnd w:id="173"/>
      <w:r/>
      <w:bookmarkStart w:id="174" w:name="_Toc49090576"/>
      <w:r/>
      <w:bookmarkEnd w:id="174"/>
      <w:r/>
      <w:bookmarkStart w:id="175" w:name="_Hlt26955039"/>
      <w:r/>
      <w:bookmarkStart w:id="176" w:name="_Hlt26671244"/>
      <w:r/>
      <w:bookmarkStart w:id="177" w:name="_Toc26554094"/>
      <w:r/>
      <w:r/>
    </w:p>
    <w:p>
      <w:pPr>
        <w:pStyle w:val="69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响  应  文  件</w:t>
      </w:r>
      <w:r/>
    </w:p>
    <w:p>
      <w:pPr>
        <w:pStyle w:val="690"/>
        <w:ind w:firstLine="108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9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9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9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二、上一年度的财务状况报</w:t>
      </w:r>
      <w:r>
        <w:rPr>
          <w:rFonts w:hint="eastAsia" w:ascii="宋体" w:hAnsi="宋体" w:eastAsia="宋体" w:cs="宋体"/>
          <w:i w:val="0"/>
          <w:iCs/>
          <w:color w:val="auto"/>
          <w:sz w:val="24"/>
          <w:szCs w:val="24"/>
          <w:highlight w:val="none"/>
          <w:u w:val="none"/>
          <w:lang w:val="en-US" w:eastAsia="zh-CN"/>
        </w:rPr>
        <w:t xml:space="preserve">告</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color w:val="auto"/>
          <w:sz w:val="24"/>
          <w:szCs w:val="24"/>
          <w:highlight w:val="none"/>
          <w:u w:val="none"/>
        </w:rPr>
        <w:t xml:space="preserve">磋商供应商成立不满一年无需提供）</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 3 年内在经营活动中没有重大违法记录的书面声明</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八、磋商响应函</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十、残疾人福利性单位声明函</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、联合体协议</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、分项报价表</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、技术要求响应及偏离表</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、商务要求响应及偏离表</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、开标一览表</w:t>
      </w:r>
      <w:r/>
    </w:p>
    <w:p>
      <w:pPr>
        <w:jc w:val="left"/>
        <w:keepLines w:val="0"/>
        <w:keepNext w:val="0"/>
        <w:pageBreakBefore w:val="0"/>
        <w:spacing w:before="50" w:after="5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七</w:t>
      </w:r>
      <w:r>
        <w:rPr>
          <w:rFonts w:hint="eastAsia" w:ascii="宋体" w:hAnsi="宋体" w:eastAsia="宋体" w:cs="宋体"/>
          <w:i w:val="0"/>
          <w:iCs/>
          <w:color w:val="auto"/>
          <w:sz w:val="24"/>
          <w:szCs w:val="24"/>
          <w:highlight w:val="none"/>
          <w:u w:val="none"/>
        </w:rPr>
        <w:t xml:space="preserve">、技术方案、实施方案等</w:t>
      </w:r>
      <w:r/>
    </w:p>
    <w:p>
      <w:pPr>
        <w:pStyle w:val="690"/>
        <w:jc w:val="left"/>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八</w:t>
      </w:r>
      <w:r>
        <w:rPr>
          <w:rFonts w:hint="eastAsia" w:ascii="宋体" w:hAnsi="宋体" w:eastAsia="宋体" w:cs="宋体"/>
          <w:i w:val="0"/>
          <w:iCs/>
          <w:color w:val="auto"/>
          <w:sz w:val="24"/>
          <w:szCs w:val="24"/>
          <w:highlight w:val="none"/>
          <w:u w:val="none"/>
        </w:rPr>
        <w:t xml:space="preserve">、盐城市政府采购事前信用承诺书</w:t>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90"/>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0"/>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9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90"/>
        <w:ind w:firstLine="640"/>
        <w:jc w:val="both"/>
        <w:keepLines w:val="0"/>
        <w:keepNext w:val="0"/>
        <w:pageBreakBefore w:val="0"/>
        <w:spacing w:beforeAutospacing="0" w:afterAutospacing="0" w:line="240" w:lineRule="auto"/>
        <w:widowControl w:val="off"/>
        <w:rPr>
          <w:rFonts w:hint="eastAsia" w:ascii="宋体" w:hAnsi="宋体" w:eastAsia="宋体" w:cs="宋体"/>
          <w:i/>
          <w:color w:val="auto"/>
          <w:sz w:val="32"/>
          <w:szCs w:val="32"/>
          <w:highlight w:val="none"/>
          <w:u w:val="single"/>
        </w:rPr>
      </w:pPr>
      <w:r/>
      <w:bookmarkStart w:id="178" w:name="_Toc120614284"/>
      <w:r/>
      <w:r/>
    </w:p>
    <w:p>
      <w:pPr>
        <w:pStyle w:val="69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ind w:firstLine="480"/>
        <w:tabs>
          <w:tab w:val="left" w:pos="360" w:leader="none"/>
        </w:tabs>
        <w:rPr>
          <w:rFonts w:hint="eastAsia" w:ascii="Times New Roman" w:hAnsi="Times New Roman"/>
          <w:sz w:val="24"/>
          <w:szCs w:val="24"/>
          <w:highlight w:val="none"/>
        </w:rPr>
      </w:pPr>
      <w:r/>
      <w:bookmarkStart w:id="179" w:name="_Hlt26671380"/>
      <w:r/>
      <w:bookmarkStart w:id="180" w:name="_格式3__银行出具的资信证明"/>
      <w:r/>
      <w:bookmarkStart w:id="181" w:name="_Hlt26955070"/>
      <w:r>
        <w:rPr>
          <w:rFonts w:hint="eastAsia" w:ascii="Times New Roman" w:hAnsi="Times New Roman"/>
          <w:sz w:val="24"/>
          <w:szCs w:val="24"/>
          <w:highlight w:val="none"/>
        </w:rPr>
        <w:t xml:space="preserve">本授权书声明：____________（供应商名称）授权________________（被授权人的姓名）为我方就JSZC-</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rPr>
          <w:rFonts w:hint="eastAsia" w:ascii="Times New Roman" w:hAnsi="Times New Roman"/>
          <w:sz w:val="24"/>
          <w:szCs w:val="24"/>
          <w:highlight w:val="none"/>
          <w:u w:val="single"/>
        </w:rPr>
        <w:t xml:space="preserve">                          </w:t>
      </w:r>
      <w:r/>
    </w:p>
    <w:p>
      <w:pPr>
        <w:ind w:firstLine="1200"/>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单位地址：</w:t>
      </w:r>
      <w:r>
        <w:rPr>
          <w:rFonts w:hint="eastAsia" w:ascii="Times New Roman" w:hAnsi="Times New Roman"/>
          <w:sz w:val="24"/>
          <w:szCs w:val="24"/>
          <w:highlight w:val="none"/>
          <w:u w:val="single"/>
        </w:rPr>
        <w:t xml:space="preserve">                                         </w:t>
      </w:r>
      <w:r/>
    </w:p>
    <w:p>
      <w:pPr>
        <w:pStyle w:val="690"/>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shd w:val="clear" w:color="auto" w:fill="auto"/>
        </w:rPr>
      </w:pPr>
      <w:r>
        <w:rPr>
          <w:rFonts w:hint="eastAsia" w:ascii="Times New Roman" w:hAnsi="Times New Roman"/>
          <w:sz w:val="24"/>
          <w:szCs w:val="24"/>
          <w:highlight w:val="none"/>
        </w:rPr>
        <w:t xml:space="preserve">      日期：</w:t>
      </w:r>
      <w:r>
        <w:rPr>
          <w:rFonts w:hint="eastAsia" w:ascii="Times New Roman" w:hAnsi="Times New Roman"/>
          <w:sz w:val="24"/>
          <w:szCs w:val="24"/>
          <w:highlight w:val="none"/>
          <w:u w:val="single"/>
        </w:rPr>
        <w:t xml:space="preserve">                                         </w:t>
      </w:r>
      <w:r/>
    </w:p>
    <w:p>
      <w:pPr>
        <w:pStyle w:val="690"/>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90"/>
        <w:ind w:firstLine="42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left="480" w:hanging="482"/>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highlight w:val="none"/>
        </w:rPr>
        <w:br w:type="page" w:clear="all"/>
      </w:r>
      <w:r>
        <w:rPr>
          <w:rFonts w:hint="eastAsia" w:ascii="宋体" w:hAnsi="宋体" w:eastAsia="宋体" w:cs="宋体"/>
          <w:b/>
          <w:color w:val="auto"/>
          <w:sz w:val="32"/>
          <w:szCs w:val="32"/>
          <w:highlight w:val="none"/>
          <w:lang w:val="en-US" w:eastAsia="zh-CN"/>
        </w:rPr>
        <w:t xml:space="preserve">八、磋商响应函</w:t>
      </w:r>
      <w:r/>
    </w:p>
    <w:p>
      <w:pPr>
        <w:pStyle w:val="690"/>
        <w:keepLines w:val="0"/>
        <w:keepNext w:val="0"/>
        <w:pageBreakBefore w:val="0"/>
        <w:spacing w:beforeAutospacing="0" w:afterAutospacing="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响水县住房和城乡建设局</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7.我方与本磋商有关的正式通讯地址为：</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0"/>
        <w:jc w:val="center"/>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val="en-US" w:eastAsia="zh-CN"/>
        </w:rPr>
        <w:t xml:space="preserve">江苏鼎一建设项目管理有限公司</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val="en-US" w:eastAsia="zh-CN"/>
        </w:rPr>
        <w:t xml:space="preserve">磋商</w:t>
      </w:r>
      <w:r>
        <w:rPr>
          <w:rFonts w:hint="eastAsia" w:ascii="宋体" w:hAnsi="宋体" w:eastAsia="宋体" w:cs="宋体"/>
          <w:i/>
          <w:iCs/>
          <w:color w:val="auto"/>
          <w:sz w:val="24"/>
          <w:highlight w:val="none"/>
          <w:u w:val="single"/>
        </w:rPr>
        <w:t xml:space="preserve">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1"/>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val="en-US" w:eastAsia="zh-CN"/>
        </w:rPr>
        <w:t xml:space="preserve">磋商</w:t>
      </w:r>
      <w:r>
        <w:rPr>
          <w:rFonts w:hint="eastAsia" w:ascii="宋体" w:hAnsi="宋体" w:eastAsia="宋体" w:cs="宋体"/>
          <w:i/>
          <w:iCs/>
          <w:color w:val="auto"/>
          <w:sz w:val="24"/>
          <w:highlight w:val="none"/>
          <w:u w:val="single"/>
        </w:rPr>
        <w:t xml:space="preserve">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90"/>
        <w:ind w:left="0" w:right="72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left="0" w:right="180" w:firstLine="240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90"/>
        <w:ind w:left="0" w:right="480" w:firstLine="480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90"/>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90"/>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90"/>
        <w:ind w:left="0" w:firstLine="643"/>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right="1560" w:firstLine="600"/>
        <w:jc w:val="center"/>
        <w:keepLines w:val="0"/>
        <w:keepNext w:val="0"/>
        <w:pageBreakBefore w:val="0"/>
        <w:spacing w:beforeAutospacing="0" w:afterAutospacing="0" w:line="24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90"/>
        <w:ind w:right="1560" w:firstLine="480"/>
        <w:jc w:val="center"/>
        <w:keepLines w:val="0"/>
        <w:keepNext w:val="0"/>
        <w:pageBreakBefore w:val="0"/>
        <w:spacing w:beforeAutospacing="0" w:afterAutospacing="0" w:line="24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690"/>
        <w:ind w:left="0" w:right="0"/>
        <w:jc w:val="center"/>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十一、 关于符合本国产品标准的声明函</w:t>
      </w:r>
      <w:r/>
    </w:p>
    <w:p>
      <w:pPr>
        <w:pStyle w:val="690"/>
        <w:ind w:left="0" w:firstLine="42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690"/>
        <w:ind w:left="0" w:firstLine="482"/>
        <w:jc w:val="both"/>
        <w:keepLines w:val="0"/>
        <w:keepNext w:val="0"/>
        <w:pageBreakBefore w:val="0"/>
        <w:spacing w:before="0" w:beforeAutospacing="0" w:after="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w:t>
      </w:r>
      <w:r>
        <w:rPr>
          <w:rFonts w:hint="eastAsia" w:ascii="宋体" w:hAnsi="宋体" w:eastAsia="宋体" w:cs="宋体"/>
          <w:b/>
          <w:bCs/>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vertAlign w:val="superscript"/>
        </w:rPr>
        <w:t xml:space="preserve">1</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vertAlign w:val="superscript"/>
        </w:rPr>
        <w:t xml:space="preserve">2</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 （产品名称1）</w:t>
      </w:r>
      <w:r>
        <w:rPr>
          <w:rFonts w:hint="eastAsia" w:ascii="宋体" w:hAnsi="宋体" w:eastAsia="宋体" w:cs="宋体"/>
          <w:b/>
          <w:bCs/>
          <w:color w:val="auto"/>
          <w:sz w:val="24"/>
          <w:szCs w:val="24"/>
          <w:highlight w:val="none"/>
          <w:u w:val="single"/>
          <w:shd w:val="clear" w:color="auto" w:fill="ffffff"/>
        </w:rPr>
        <w:t xml:space="preserve"> </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strike/>
          <w:color w:val="auto"/>
          <w:sz w:val="24"/>
          <w:szCs w:val="24"/>
          <w:highlight w:val="none"/>
          <w:shd w:val="clear" w:color="auto" w:fill="ffffff"/>
          <w:vertAlign w:val="superscript"/>
        </w:rPr>
        <w:t xml:space="preserve">3</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strike/>
          <w:color w:val="auto"/>
          <w:sz w:val="24"/>
          <w:szCs w:val="24"/>
          <w:highlight w:val="none"/>
          <w:shd w:val="clear" w:color="auto" w:fill="ffffff"/>
          <w:vertAlign w:val="superscript"/>
        </w:rPr>
        <w:t xml:space="preserve">4</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strike/>
          <w:color w:val="auto"/>
          <w:sz w:val="24"/>
          <w:szCs w:val="24"/>
          <w:highlight w:val="none"/>
          <w:shd w:val="clear" w:color="auto" w:fill="ffffff"/>
          <w:vertAlign w:val="superscript"/>
        </w:rPr>
        <w:t xml:space="preserve">5</w:t>
      </w:r>
      <w:r>
        <w:rPr>
          <w:rFonts w:hint="eastAsia" w:ascii="宋体" w:hAnsi="宋体" w:eastAsia="宋体" w:cs="宋体"/>
          <w:b/>
          <w:bCs/>
          <w:color w:val="auto"/>
          <w:sz w:val="24"/>
          <w:szCs w:val="24"/>
          <w:highlight w:val="none"/>
          <w:shd w:val="clear" w:color="auto" w:fill="ffffff"/>
        </w:rPr>
        <w:t xml:space="preserve">在中国境内完成。</w:t>
      </w:r>
      <w:r/>
    </w:p>
    <w:p>
      <w:pPr>
        <w:pStyle w:val="690"/>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w:t>
      </w:r>
      <w:r>
        <w:rPr>
          <w:rFonts w:hint="eastAsia" w:ascii="宋体" w:hAnsi="宋体" w:eastAsia="宋体" w:cs="宋体"/>
          <w:b/>
          <w:bCs/>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color w:val="auto"/>
          <w:sz w:val="24"/>
          <w:szCs w:val="24"/>
          <w:highlight w:val="none"/>
          <w:shd w:val="clear" w:color="auto" w:fill="ffffff"/>
        </w:rPr>
        <w:t xml:space="preserve">在中国境内完成。</w:t>
      </w:r>
      <w:r/>
    </w:p>
    <w:p>
      <w:pPr>
        <w:pStyle w:val="690"/>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w:t>
      </w:r>
      <w:r/>
    </w:p>
    <w:p>
      <w:pPr>
        <w:pStyle w:val="690"/>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 </w:t>
      </w:r>
      <w:r/>
    </w:p>
    <w:p>
      <w:pPr>
        <w:pStyle w:val="690"/>
        <w:ind w:left="0" w:right="480" w:firstLine="3614"/>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公司（单位）名称（盖章）：　</w:t>
      </w:r>
      <w:r/>
    </w:p>
    <w:p>
      <w:pPr>
        <w:pStyle w:val="690"/>
        <w:ind w:left="5539" w:hanging="5060"/>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                                日期：　 年　 月　 日         </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__________________</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hint="eastAsia" w:ascii="宋体" w:hAnsi="宋体" w:eastAsia="宋体" w:cs="宋体"/>
          <w:b/>
          <w:bCs/>
          <w:color w:val="auto"/>
          <w:sz w:val="24"/>
          <w:szCs w:val="24"/>
          <w:highlight w:val="none"/>
          <w:shd w:val="clear" w:color="auto" w:fill="ffffff"/>
        </w:rPr>
        <w:t xml:space="preserve">线划除的地方无需填写。</w:t>
      </w:r>
      <w:r/>
    </w:p>
    <w:p>
      <w:pPr>
        <w:ind w:firstLine="482"/>
        <w:jc w:val="both"/>
        <w:keepLines w:val="0"/>
        <w:keepNext w:val="0"/>
        <w:pageBreakBefore w:val="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、分项报价表（服务类）</w:t>
      </w:r>
      <w:r/>
    </w:p>
    <w:tbl>
      <w:tblPr>
        <w:tblStyle w:val="667"/>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90"/>
        <w:jc w:val="both"/>
        <w:keepLines w:val="0"/>
        <w:keepNext w:val="0"/>
        <w:pageBreakBefore w:val="0"/>
        <w:spacing w:beforeAutospacing="0" w:afterAutospacing="0"/>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备注： 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690"/>
        <w:jc w:val="both"/>
        <w:keepLines w:val="0"/>
        <w:keepNext w:val="0"/>
        <w:pageBreakBefore w:val="0"/>
        <w:spacing w:beforeAutospacing="0" w:afterAutospacing="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auto"/>
          <w:lang w:val="en-US" w:eastAsia="zh-CN"/>
        </w:rPr>
        <w:t xml:space="preserve">若服务中包含相关货物，填写下表</w:t>
      </w:r>
      <w:r>
        <w:rPr>
          <w:rFonts w:hint="eastAsia" w:ascii="宋体" w:hAnsi="宋体" w:eastAsia="宋体" w:cs="宋体"/>
          <w:b/>
          <w:bCs/>
          <w:color w:val="auto"/>
          <w:highlight w:val="none"/>
          <w:shd w:val="clear" w:color="auto" w:fill="auto"/>
        </w:rPr>
        <w:t xml:space="preserve"> </w:t>
      </w:r>
      <w:r/>
    </w:p>
    <w:tbl>
      <w:tblPr>
        <w:tblStyle w:val="667"/>
        <w:tblW w:w="9422"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49"/>
        <w:gridCol w:w="693"/>
        <w:gridCol w:w="905"/>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产品</w:t>
            </w:r>
            <w:r/>
          </w:p>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规格</w:t>
            </w:r>
            <w:r/>
          </w:p>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103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7422" w:type="dxa"/>
            <w:vAlign w:val="center"/>
            <w:textDirection w:val="lrTb"/>
            <w:noWrap w:val="false"/>
          </w:tcPr>
          <w:p>
            <w:pPr>
              <w:pStyle w:val="690"/>
              <w:jc w:val="center"/>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103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both"/>
              <w:spacing w:beforeAutospacing="0" w:afterAutospacing="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573" w:type="dxa"/>
            <w:vAlign w:val="center"/>
            <w:textDirection w:val="lrTb"/>
            <w:noWrap w:val="false"/>
          </w:tcPr>
          <w:p>
            <w:pPr>
              <w:pStyle w:val="690"/>
              <w:jc w:val="both"/>
              <w:spacing w:beforeAutospacing="0" w:afterAutospacing="0"/>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rPr>
              <w:t xml:space="preserve">%。</w:t>
            </w:r>
            <w:r/>
          </w:p>
        </w:tc>
      </w:tr>
    </w:tbl>
    <w:p>
      <w:pPr>
        <w:pStyle w:val="690"/>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p>
      <w:pPr>
        <w:pStyle w:val="690"/>
        <w:numPr>
          <w:ilvl w:val="0"/>
          <w:numId w:val="2"/>
        </w:numPr>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90"/>
        <w:numPr>
          <w:ilvl w:val="0"/>
          <w:numId w:val="0"/>
        </w:numPr>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24"/>
          <w:highlight w:val="none"/>
        </w:rPr>
        <w:t xml:space="preserve">投标分项报价表</w:t>
      </w: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highlight w:val="none"/>
          <w:shd w:val="clear" w:color="auto" w:fill="auto"/>
        </w:rPr>
        <w:t xml:space="preserve">中“投标总报价”数额应当与“开标一览表”中“投标总报价”数额一致。</w:t>
      </w:r>
      <w:r/>
    </w:p>
    <w:p>
      <w:pPr>
        <w:jc w:val="left"/>
        <w:keepLines w:val="0"/>
        <w:keepNext w:val="0"/>
        <w:pageBreakBefore w:val="0"/>
        <w:spacing w:line="240" w:lineRule="auto"/>
        <w:widowControl w:val="off"/>
        <w:rPr>
          <w:rFonts w:hint="eastAsia" w:ascii="宋体" w:hAnsi="宋体" w:eastAsia="宋体" w:cs="宋体"/>
          <w:b/>
          <w:bCs/>
          <w:color w:val="ff0000"/>
          <w:sz w:val="24"/>
          <w:highlight w:val="none"/>
          <w:shd w:val="clear" w:color="auto" w:fill="auto"/>
        </w:rPr>
      </w:pPr>
      <w:r>
        <w:rPr>
          <w:rFonts w:hint="eastAsia" w:ascii="宋体" w:hAnsi="宋体" w:eastAsia="宋体" w:cs="宋体"/>
          <w:b/>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0"/>
        <w:jc w:val="center"/>
        <w:spacing w:beforeAutospacing="0" w:afterAutospacing="0"/>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十三、技术要求响应及偏离表</w:t>
      </w:r>
      <w:r/>
    </w:p>
    <w:tbl>
      <w:tblPr>
        <w:tblStyle w:val="66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90"/>
        <w:jc w:val="both"/>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bookmarkStart w:id="182" w:name="_Hlt26955054"/>
      <w:r>
        <w:rPr>
          <w:rFonts w:hint="eastAsia" w:ascii="宋体" w:hAnsi="宋体" w:eastAsia="宋体" w:cs="宋体"/>
          <w:b/>
          <w:color w:val="auto"/>
          <w:sz w:val="32"/>
          <w:szCs w:val="32"/>
          <w:highlight w:val="none"/>
        </w:rPr>
        <w:br w:type="page" w:clear="all"/>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bidi="ar-SA"/>
        </w:rPr>
        <w:t xml:space="preserve">十四、商务要求响应及偏离表</w:t>
      </w:r>
      <w:r/>
    </w:p>
    <w:tbl>
      <w:tblPr>
        <w:tblStyle w:val="66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bookmarkStart w:id="183" w:name="_Hlt26782999"/>
            <w:r/>
            <w:bookmarkStart w:id="184" w:name="_Hlt26955064"/>
            <w:r/>
            <w:bookmarkStart w:id="185" w:name="_Hlt26671343"/>
            <w:r/>
            <w:bookmarkStart w:id="186" w:name="_Hlt26955056"/>
            <w:r/>
            <w:bookmarkStart w:id="187" w:name="_Hlt26580838"/>
            <w:r/>
            <w:bookmarkStart w:id="188" w:name="_Hlt26609391"/>
            <w:r/>
            <w:bookmarkStart w:id="189" w:name="_Hlt26671372"/>
            <w:r/>
            <w:bookmarkStart w:id="190" w:name="_Hlt24879081"/>
            <w:r>
              <w:rPr>
                <w:rFonts w:hint="eastAsia" w:ascii="宋体" w:hAnsi="宋体" w:eastAsia="宋体" w:cs="宋体"/>
                <w:color w:val="auto"/>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91" w:name="_Hlt26955066"/>
      <w:r/>
      <w:bookmarkStart w:id="192" w:name="_Hlt26609389"/>
      <w:r/>
      <w:bookmarkStart w:id="193" w:name="_格式2__法定代表人授权书"/>
      <w:r/>
      <w:bookmarkStart w:id="194" w:name="_Hlt26671374"/>
      <w:r/>
      <w:bookmarkStart w:id="195" w:name="_Toc462564146"/>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0"/>
        <w:jc w:val="center"/>
        <w:spacing w:beforeAutospacing="0" w:afterAutospacing="0"/>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十五、开标一览表</w:t>
      </w:r>
      <w:r/>
    </w:p>
    <w:p>
      <w:pPr>
        <w:pStyle w:val="690"/>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90"/>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90"/>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90"/>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6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center"/>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keepLines w:val="0"/>
        <w:keepNext w:val="0"/>
        <w:pageBreakBefore w:val="0"/>
        <w:spacing w:before="50" w:after="50" w:line="24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十六、技术方案、实施方案等</w:t>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spacing w:before="50" w:after="50"/>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十七、盐城市政府采购事前信用承诺书</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w:t>
      </w:r>
      <w:r>
        <w:rPr>
          <w:rFonts w:hint="eastAsia" w:ascii="宋体" w:hAnsi="宋体" w:eastAsia="宋体" w:cs="宋体"/>
          <w:color w:val="auto"/>
          <w:sz w:val="24"/>
          <w:highlight w:val="none"/>
          <w:lang w:val="en-US" w:eastAsia="zh-CN"/>
        </w:rPr>
        <w:t xml:space="preserve">做</w:t>
      </w:r>
      <w:r>
        <w:rPr>
          <w:rFonts w:hint="eastAsia" w:ascii="宋体" w:hAnsi="宋体" w:eastAsia="宋体" w:cs="宋体"/>
          <w:color w:val="auto"/>
          <w:sz w:val="24"/>
          <w:highlight w:val="none"/>
        </w:rPr>
        <w:t xml:space="preserve">了宣传教育。</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90"/>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90"/>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9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9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90"/>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0"/>
        <w:ind w:firstLine="480"/>
        <w:jc w:val="both"/>
        <w:keepLines w:val="0"/>
        <w:keepNext w:val="0"/>
        <w:pageBreakBefore w:val="0"/>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20"/>
        <w:jc w:val="both"/>
        <w:keepLines w:val="0"/>
        <w:keepNext w:val="0"/>
        <w:pageBreakBefore w:val="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End w:id="7"/>
      <w:r/>
      <w:bookmarkEnd w:id="39"/>
      <w:r/>
      <w:bookmarkEnd w:id="86"/>
      <w:r/>
      <w:bookmarkEnd w:id="87"/>
      <w:r/>
      <w:bookmarkEnd w:id="88"/>
      <w:r/>
      <w:bookmarkEnd w:id="89"/>
      <w:r/>
      <w:bookmarkEnd w:id="90"/>
      <w:r/>
      <w:bookmarkEnd w:id="91"/>
      <w:r/>
      <w:bookmarkEnd w:id="92"/>
      <w:r/>
      <w:bookmarkEnd w:id="93"/>
      <w:r/>
      <w:bookmarkEnd w:id="102"/>
      <w:r/>
      <w:bookmarkEnd w:id="103"/>
      <w:r/>
      <w:bookmarkEnd w:id="110"/>
      <w:r/>
      <w:bookmarkEnd w:id="156"/>
      <w:r/>
      <w:bookmarkEnd w:id="157"/>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83" w:right="1519" w:bottom="1383" w:left="151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Cambria">
    <w:panose1 w:val="02040503050406030204"/>
  </w:font>
  <w:font w:name="楷体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fldChar w:fldCharType="begin"/>
    </w:r>
    <w:r>
      <w:instrText xml:space="preserve">PAGE \* MERGEFORMAT</w:instrText>
    </w:r>
    <w:r>
      <w:fldChar w:fldCharType="separate"/>
    </w:r>
    <w:r>
      <w:t xml:space="preserve">1</w:t>
    </w:r>
    <w:r>
      <w:fldChar w:fldCharType="end"/>
    </w:r>
    <w:r/>
  </w:p>
  <w:p>
    <w:pPr>
      <w:pStyle w:val="6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7">
    <w:name w:val="Heading 1"/>
    <w:basedOn w:val="656"/>
    <w:next w:val="656"/>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58">
    <w:name w:val="Heading 2"/>
    <w:basedOn w:val="656"/>
    <w:next w:val="6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9">
    <w:name w:val="Heading 3"/>
    <w:basedOn w:val="656"/>
    <w:next w:val="656"/>
    <w:link w:val="701"/>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661">
    <w:name w:val="Heading 5"/>
    <w:basedOn w:val="656"/>
    <w:next w:val="656"/>
    <w:link w:val="703"/>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4"/>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06"/>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7"/>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right="0" w:firstLine="0"/>
      <w:spacing w:after="57"/>
    </w:pPr>
  </w:style>
  <w:style w:type="paragraph" w:styleId="669">
    <w:name w:val="Note Heading"/>
    <w:basedOn w:val="656"/>
    <w:next w:val="656"/>
    <w:uiPriority w:val="0"/>
    <w:qFormat/>
    <w:rPr>
      <w:rFonts w:ascii="Verdana" w:hAnsi="Verdana"/>
      <w:szCs w:val="20"/>
    </w:rPr>
  </w:style>
  <w:style w:type="paragraph" w:styleId="670">
    <w:name w:val="Normal Indent"/>
    <w:basedOn w:val="656"/>
    <w:next w:val="656"/>
    <w:uiPriority w:val="0"/>
    <w:qFormat/>
    <w:pPr>
      <w:ind w:firstLine="420"/>
    </w:pPr>
  </w:style>
  <w:style w:type="paragraph" w:styleId="671">
    <w:name w:val="Caption"/>
    <w:basedOn w:val="656"/>
    <w:next w:val="6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2">
    <w:name w:val="annotation text"/>
    <w:basedOn w:val="656"/>
    <w:uiPriority w:val="0"/>
    <w:qFormat/>
    <w:pPr>
      <w:jc w:val="left"/>
    </w:pPr>
  </w:style>
  <w:style w:type="paragraph" w:styleId="673">
    <w:name w:val="Body Text"/>
    <w:basedOn w:val="656"/>
    <w:uiPriority w:val="99"/>
    <w:unhideWhenUsed/>
    <w:qFormat/>
    <w:pPr>
      <w:spacing w:after="120"/>
    </w:pPr>
  </w:style>
  <w:style w:type="paragraph" w:styleId="674">
    <w:name w:val="Body Text Indent"/>
    <w:basedOn w:val="656"/>
    <w:next w:val="675"/>
    <w:uiPriority w:val="0"/>
    <w:qFormat/>
    <w:pPr>
      <w:ind w:firstLine="645"/>
    </w:pPr>
    <w:rPr>
      <w:rFonts w:ascii="楷体_GB2312" w:eastAsia="楷体_GB2312"/>
      <w:sz w:val="32"/>
      <w:szCs w:val="32"/>
    </w:rPr>
  </w:style>
  <w:style w:type="paragraph" w:styleId="675">
    <w:name w:val="envelope return"/>
    <w:basedOn w:val="656"/>
    <w:uiPriority w:val="0"/>
    <w:qFormat/>
    <w:rPr>
      <w:rFonts w:ascii="Cambria" w:hAnsi="Cambria"/>
    </w:rPr>
  </w:style>
  <w:style w:type="paragraph" w:styleId="676">
    <w:name w:val="toc 5"/>
    <w:basedOn w:val="656"/>
    <w:next w:val="656"/>
    <w:uiPriority w:val="39"/>
    <w:unhideWhenUsed/>
    <w:qFormat/>
    <w:pPr>
      <w:ind w:left="1134" w:right="0" w:firstLine="0"/>
      <w:spacing w:after="57"/>
    </w:pPr>
  </w:style>
  <w:style w:type="paragraph" w:styleId="677">
    <w:name w:val="toc 3"/>
    <w:basedOn w:val="656"/>
    <w:next w:val="656"/>
    <w:uiPriority w:val="39"/>
    <w:unhideWhenUsed/>
    <w:qFormat/>
    <w:pPr>
      <w:ind w:left="567" w:right="0" w:firstLine="0"/>
      <w:spacing w:after="57"/>
    </w:pPr>
  </w:style>
  <w:style w:type="paragraph" w:styleId="678">
    <w:name w:val="toc 8"/>
    <w:basedOn w:val="656"/>
    <w:next w:val="656"/>
    <w:uiPriority w:val="39"/>
    <w:unhideWhenUsed/>
    <w:qFormat/>
    <w:pPr>
      <w:ind w:left="1984" w:right="0" w:firstLine="0"/>
      <w:spacing w:after="57"/>
    </w:pPr>
  </w:style>
  <w:style w:type="paragraph" w:styleId="679">
    <w:name w:val="endnote text"/>
    <w:basedOn w:val="656"/>
    <w:link w:val="845"/>
    <w:uiPriority w:val="99"/>
    <w:semiHidden/>
    <w:unhideWhenUsed/>
    <w:qFormat/>
    <w:pPr>
      <w:spacing w:after="0" w:line="240" w:lineRule="auto"/>
    </w:pPr>
    <w:rPr>
      <w:sz w:val="20"/>
    </w:rPr>
  </w:style>
  <w:style w:type="paragraph" w:styleId="680">
    <w:name w:val="Footer"/>
    <w:basedOn w:val="656"/>
    <w:link w:val="849"/>
    <w:uiPriority w:val="0"/>
    <w:qFormat/>
    <w:pPr>
      <w:jc w:val="left"/>
      <w:tabs>
        <w:tab w:val="center" w:pos="4153" w:leader="none"/>
        <w:tab w:val="right" w:pos="8306" w:leader="none"/>
      </w:tabs>
    </w:pPr>
    <w:rPr>
      <w:sz w:val="18"/>
      <w:szCs w:val="18"/>
    </w:rPr>
  </w:style>
  <w:style w:type="paragraph" w:styleId="681">
    <w:name w:val="Header"/>
    <w:basedOn w:val="656"/>
    <w:link w:val="848"/>
    <w:uiPriority w:val="0"/>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56"/>
    <w:next w:val="656"/>
    <w:uiPriority w:val="0"/>
    <w:qFormat/>
  </w:style>
  <w:style w:type="paragraph" w:styleId="683">
    <w:name w:val="toc 4"/>
    <w:basedOn w:val="656"/>
    <w:next w:val="656"/>
    <w:uiPriority w:val="39"/>
    <w:unhideWhenUsed/>
    <w:qFormat/>
    <w:pPr>
      <w:ind w:left="850" w:right="0" w:firstLine="0"/>
      <w:spacing w:after="57"/>
    </w:pPr>
  </w:style>
  <w:style w:type="paragraph" w:styleId="684">
    <w:name w:val="Subtitle"/>
    <w:basedOn w:val="656"/>
    <w:next w:val="656"/>
    <w:link w:val="711"/>
    <w:uiPriority w:val="11"/>
    <w:qFormat/>
    <w:pPr>
      <w:spacing w:before="200" w:after="200"/>
    </w:pPr>
    <w:rPr>
      <w:sz w:val="24"/>
      <w:szCs w:val="24"/>
    </w:rPr>
  </w:style>
  <w:style w:type="paragraph" w:styleId="685">
    <w:name w:val="footnote text"/>
    <w:basedOn w:val="656"/>
    <w:link w:val="844"/>
    <w:uiPriority w:val="99"/>
    <w:semiHidden/>
    <w:unhideWhenUsed/>
    <w:qFormat/>
    <w:pPr>
      <w:spacing w:after="40" w:line="240" w:lineRule="auto"/>
    </w:pPr>
    <w:rPr>
      <w:sz w:val="18"/>
    </w:rPr>
  </w:style>
  <w:style w:type="paragraph" w:styleId="686">
    <w:name w:val="toc 6"/>
    <w:basedOn w:val="656"/>
    <w:next w:val="656"/>
    <w:uiPriority w:val="39"/>
    <w:unhideWhenUsed/>
    <w:qFormat/>
    <w:pPr>
      <w:ind w:left="1417" w:right="0" w:firstLine="0"/>
      <w:spacing w:after="57"/>
    </w:pPr>
  </w:style>
  <w:style w:type="paragraph" w:styleId="687">
    <w:name w:val="table of figures"/>
    <w:basedOn w:val="656"/>
    <w:next w:val="656"/>
    <w:uiPriority w:val="99"/>
    <w:unhideWhenUsed/>
    <w:qFormat/>
    <w:pPr>
      <w:spacing w:after="0" w:afterAutospacing="0"/>
    </w:pPr>
  </w:style>
  <w:style w:type="paragraph" w:styleId="688">
    <w:name w:val="toc 2"/>
    <w:basedOn w:val="656"/>
    <w:next w:val="656"/>
    <w:uiPriority w:val="39"/>
    <w:unhideWhenUsed/>
    <w:qFormat/>
    <w:pPr>
      <w:ind w:left="283" w:right="0" w:firstLine="0"/>
      <w:spacing w:after="57"/>
    </w:pPr>
  </w:style>
  <w:style w:type="paragraph" w:styleId="689">
    <w:name w:val="toc 9"/>
    <w:basedOn w:val="656"/>
    <w:next w:val="656"/>
    <w:uiPriority w:val="39"/>
    <w:unhideWhenUsed/>
    <w:qFormat/>
    <w:pPr>
      <w:ind w:left="2268" w:right="0" w:firstLine="0"/>
      <w:spacing w:after="57"/>
    </w:pPr>
  </w:style>
  <w:style w:type="paragraph" w:styleId="690">
    <w:name w:val="Normal (Web)"/>
    <w:basedOn w:val="656"/>
    <w:uiPriority w:val="0"/>
    <w:qFormat/>
    <w:pPr>
      <w:jc w:val="left"/>
      <w:spacing w:beforeAutospacing="1" w:afterAutospacing="1"/>
    </w:pPr>
    <w:rPr>
      <w:rFonts w:cs="Times New Roman"/>
      <w:sz w:val="24"/>
    </w:rPr>
  </w:style>
  <w:style w:type="paragraph" w:styleId="691">
    <w:name w:val="Title"/>
    <w:basedOn w:val="656"/>
    <w:next w:val="656"/>
    <w:link w:val="710"/>
    <w:uiPriority w:val="10"/>
    <w:qFormat/>
    <w:pPr>
      <w:contextualSpacing/>
      <w:spacing w:before="300" w:after="200"/>
    </w:pPr>
    <w:rPr>
      <w:sz w:val="48"/>
      <w:szCs w:val="48"/>
    </w:rPr>
  </w:style>
  <w:style w:type="paragraph" w:styleId="692">
    <w:name w:val="Body Text First Indent 2"/>
    <w:basedOn w:val="674"/>
    <w:uiPriority w:val="0"/>
    <w:qFormat/>
    <w:pPr>
      <w:ind w:firstLine="420"/>
      <w:spacing w:line="360" w:lineRule="auto"/>
    </w:pPr>
    <w:rPr>
      <w:rFonts w:ascii="宋体" w:hAnsi="宋体" w:eastAsia="宋体"/>
      <w:sz w:val="21"/>
      <w:szCs w:val="20"/>
    </w:rPr>
  </w:style>
  <w:style w:type="table" w:styleId="693">
    <w:name w:val="Table Grid"/>
    <w:basedOn w:val="6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Strong"/>
    <w:basedOn w:val="666"/>
    <w:uiPriority w:val="22"/>
    <w:qFormat/>
    <w:rPr>
      <w:b/>
    </w:rPr>
  </w:style>
  <w:style w:type="character" w:styleId="695">
    <w:name w:val="endnote reference"/>
    <w:basedOn w:val="666"/>
    <w:uiPriority w:val="99"/>
    <w:semiHidden/>
    <w:unhideWhenUsed/>
    <w:qFormat/>
    <w:rPr>
      <w:vertAlign w:val="superscript"/>
    </w:rPr>
  </w:style>
  <w:style w:type="character" w:styleId="696">
    <w:name w:val="Emphasis"/>
    <w:uiPriority w:val="0"/>
    <w:qFormat/>
    <w:rPr>
      <w:i/>
    </w:rPr>
  </w:style>
  <w:style w:type="character" w:styleId="697">
    <w:name w:val="Hyperlink"/>
    <w:uiPriority w:val="99"/>
    <w:unhideWhenUsed/>
    <w:qFormat/>
    <w:rPr>
      <w:color w:val="0563c1" w:themeColor="hyperlink"/>
      <w:u w:val="single"/>
      <w14:textFill>
        <w14:solidFill>
          <w14:schemeClr w14:val="hlink"/>
        </w14:solidFill>
      </w14:textFill>
    </w:rPr>
  </w:style>
  <w:style w:type="character" w:styleId="698">
    <w:name w:val="footnote reference"/>
    <w:basedOn w:val="666"/>
    <w:uiPriority w:val="99"/>
    <w:unhideWhenUsed/>
    <w:rPr>
      <w:vertAlign w:val="superscript"/>
    </w:rPr>
  </w:style>
  <w:style w:type="character" w:styleId="699" w:customStyle="1">
    <w:name w:val="Heading 1 Char"/>
    <w:basedOn w:val="666"/>
    <w:uiPriority w:val="9"/>
    <w:qFormat/>
    <w:rPr>
      <w:rFonts w:ascii="Arial" w:hAnsi="Arial" w:eastAsia="Arial" w:cs="Arial"/>
      <w:sz w:val="40"/>
      <w:szCs w:val="40"/>
    </w:rPr>
  </w:style>
  <w:style w:type="character" w:styleId="700" w:customStyle="1">
    <w:name w:val="Heading 2 Char"/>
    <w:basedOn w:val="666"/>
    <w:uiPriority w:val="9"/>
    <w:qFormat/>
    <w:rPr>
      <w:rFonts w:ascii="Arial" w:hAnsi="Arial" w:eastAsia="Arial" w:cs="Arial"/>
      <w:sz w:val="34"/>
    </w:rPr>
  </w:style>
  <w:style w:type="character" w:styleId="701" w:customStyle="1">
    <w:name w:val="Heading 3 Char"/>
    <w:basedOn w:val="666"/>
    <w:link w:val="659"/>
    <w:uiPriority w:val="9"/>
    <w:qFormat/>
    <w:rPr>
      <w:rFonts w:ascii="Arial" w:hAnsi="Arial" w:eastAsia="Arial" w:cs="Arial"/>
      <w:sz w:val="30"/>
      <w:szCs w:val="30"/>
    </w:rPr>
  </w:style>
  <w:style w:type="character" w:styleId="702" w:customStyle="1">
    <w:name w:val="Heading 4 Char"/>
    <w:basedOn w:val="666"/>
    <w:uiPriority w:val="9"/>
    <w:qFormat/>
    <w:rPr>
      <w:rFonts w:ascii="Arial" w:hAnsi="Arial" w:eastAsia="Arial" w:cs="Arial"/>
      <w:b/>
      <w:bCs/>
      <w:sz w:val="26"/>
      <w:szCs w:val="26"/>
    </w:rPr>
  </w:style>
  <w:style w:type="character" w:styleId="703" w:customStyle="1">
    <w:name w:val="Heading 5 Char"/>
    <w:basedOn w:val="666"/>
    <w:link w:val="661"/>
    <w:uiPriority w:val="9"/>
    <w:qFormat/>
    <w:rPr>
      <w:rFonts w:ascii="Arial" w:hAnsi="Arial" w:eastAsia="Arial" w:cs="Arial"/>
      <w:b/>
      <w:bCs/>
      <w:sz w:val="24"/>
      <w:szCs w:val="24"/>
    </w:rPr>
  </w:style>
  <w:style w:type="character" w:styleId="704" w:customStyle="1">
    <w:name w:val="Heading 6 Char"/>
    <w:basedOn w:val="666"/>
    <w:link w:val="662"/>
    <w:uiPriority w:val="9"/>
    <w:qFormat/>
    <w:rPr>
      <w:rFonts w:ascii="Arial" w:hAnsi="Arial" w:eastAsia="Arial" w:cs="Arial"/>
      <w:b/>
      <w:bCs/>
      <w:sz w:val="22"/>
      <w:szCs w:val="22"/>
    </w:rPr>
  </w:style>
  <w:style w:type="character" w:styleId="705" w:customStyle="1">
    <w:name w:val="Heading 7 Char"/>
    <w:basedOn w:val="666"/>
    <w:link w:val="663"/>
    <w:uiPriority w:val="9"/>
    <w:qFormat/>
    <w:rPr>
      <w:rFonts w:ascii="Arial" w:hAnsi="Arial" w:eastAsia="Arial" w:cs="Arial"/>
      <w:b/>
      <w:bCs/>
      <w:i/>
      <w:iCs/>
      <w:sz w:val="22"/>
      <w:szCs w:val="22"/>
    </w:rPr>
  </w:style>
  <w:style w:type="character" w:styleId="706" w:customStyle="1">
    <w:name w:val="Heading 8 Char"/>
    <w:basedOn w:val="666"/>
    <w:link w:val="664"/>
    <w:uiPriority w:val="9"/>
    <w:qFormat/>
    <w:rPr>
      <w:rFonts w:ascii="Arial" w:hAnsi="Arial" w:eastAsia="Arial" w:cs="Arial"/>
      <w:i/>
      <w:iCs/>
      <w:sz w:val="22"/>
      <w:szCs w:val="22"/>
    </w:rPr>
  </w:style>
  <w:style w:type="character" w:styleId="707" w:customStyle="1">
    <w:name w:val="Heading 9 Char"/>
    <w:basedOn w:val="666"/>
    <w:link w:val="665"/>
    <w:uiPriority w:val="9"/>
    <w:qFormat/>
    <w:rPr>
      <w:rFonts w:ascii="Arial" w:hAnsi="Arial" w:eastAsia="Arial" w:cs="Arial"/>
      <w:i/>
      <w:iCs/>
      <w:sz w:val="21"/>
      <w:szCs w:val="21"/>
    </w:rPr>
  </w:style>
  <w:style w:type="paragraph" w:styleId="708">
    <w:name w:val="List Paragraph"/>
    <w:basedOn w:val="656"/>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basedOn w:val="666"/>
    <w:link w:val="691"/>
    <w:uiPriority w:val="10"/>
    <w:qFormat/>
    <w:rPr>
      <w:sz w:val="48"/>
      <w:szCs w:val="48"/>
    </w:rPr>
  </w:style>
  <w:style w:type="character" w:styleId="711" w:customStyle="1">
    <w:name w:val="Subtitle Char"/>
    <w:basedOn w:val="666"/>
    <w:link w:val="684"/>
    <w:uiPriority w:val="11"/>
    <w:qFormat/>
    <w:rPr>
      <w:sz w:val="24"/>
      <w:szCs w:val="24"/>
    </w:rPr>
  </w:style>
  <w:style w:type="paragraph" w:styleId="712">
    <w:name w:val="Quote"/>
    <w:basedOn w:val="656"/>
    <w:next w:val="656"/>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56"/>
    <w:next w:val="65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basedOn w:val="666"/>
    <w:uiPriority w:val="99"/>
    <w:qFormat/>
  </w:style>
  <w:style w:type="character" w:styleId="717" w:customStyle="1">
    <w:name w:val="Footer Char"/>
    <w:basedOn w:val="666"/>
    <w:uiPriority w:val="99"/>
    <w:qFormat/>
  </w:style>
  <w:style w:type="character" w:styleId="718" w:customStyle="1">
    <w:name w:val="Caption Char"/>
    <w:uiPriority w:val="99"/>
    <w:qFormat/>
  </w:style>
  <w:style w:type="table" w:styleId="719" w:customStyle="1">
    <w:name w:val="Table Grid Light"/>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9"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6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8" w:customStyle="1">
    <w:name w:val="Grid Table 4 - Accent 2"/>
    <w:basedOn w:val="66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9" w:customStyle="1">
    <w:name w:val="Grid Table 4 - Accent 3"/>
    <w:basedOn w:val="66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0" w:customStyle="1">
    <w:name w:val="Grid Table 4 - Accent 4"/>
    <w:basedOn w:val="66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1" w:customStyle="1">
    <w:name w:val="Grid Table 4 - Accent 5"/>
    <w:basedOn w:val="667"/>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2" w:customStyle="1">
    <w:name w:val="Grid Table 4 - Accent 6"/>
    <w:basedOn w:val="66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3"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5" w:customStyle="1">
    <w:name w:val="Grid Table 5 Dark - Accent 2"/>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6" w:customStyle="1">
    <w:name w:val="Grid Table 5 Dark - Accent 3"/>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7" w:customStyle="1">
    <w:name w:val="Grid Table 5 Dark- Accent 4"/>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8" w:customStyle="1">
    <w:name w:val="Grid Table 5 Dark - Accent 5"/>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9" w:customStyle="1">
    <w:name w:val="Grid Table 5 Dark - Accent 6"/>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0"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basedOn w:val="66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2" w:customStyle="1">
    <w:name w:val="Grid Table 6 Colorful - Accent 2"/>
    <w:basedOn w:val="66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3" w:customStyle="1">
    <w:name w:val="Grid Table 6 Colorful - Accent 3"/>
    <w:basedOn w:val="66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4" w:customStyle="1">
    <w:name w:val="Grid Table 6 Colorful - Accent 4"/>
    <w:basedOn w:val="6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5" w:customStyle="1">
    <w:name w:val="Grid Table 6 Colorful - Accent 5"/>
    <w:basedOn w:val="66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6" w:customStyle="1">
    <w:name w:val="Grid Table 6 Colorful - Accent 6"/>
    <w:basedOn w:val="66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7"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6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6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6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6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6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6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6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6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6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6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6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6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1"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6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3" w:customStyle="1">
    <w:name w:val="List Table 2 - Accent 2"/>
    <w:basedOn w:val="66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4" w:customStyle="1">
    <w:name w:val="List Table 2 - Accent 3"/>
    <w:basedOn w:val="66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5" w:customStyle="1">
    <w:name w:val="List Table 2 - Accent 4"/>
    <w:basedOn w:val="66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6" w:customStyle="1">
    <w:name w:val="List Table 2 - Accent 5"/>
    <w:basedOn w:val="66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7" w:customStyle="1">
    <w:name w:val="List Table 2 - Accent 6"/>
    <w:basedOn w:val="66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8"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6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0" w:customStyle="1">
    <w:name w:val="List Table 3 - Accent 2"/>
    <w:basedOn w:val="6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6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6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6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5"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6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7" w:customStyle="1">
    <w:name w:val="List Table 4 - Accent 2"/>
    <w:basedOn w:val="66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8" w:customStyle="1">
    <w:name w:val="List Table 4 - Accent 3"/>
    <w:basedOn w:val="66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9" w:customStyle="1">
    <w:name w:val="List Table 4 - Accent 4"/>
    <w:basedOn w:val="66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0" w:customStyle="1">
    <w:name w:val="List Table 4 - Accent 5"/>
    <w:basedOn w:val="66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1" w:customStyle="1">
    <w:name w:val="List Table 4 - Accent 6"/>
    <w:basedOn w:val="66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2"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basedOn w:val="66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basedOn w:val="66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basedOn w:val="66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basedOn w:val="66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basedOn w:val="66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basedOn w:val="66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basedOn w:val="66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1" w:customStyle="1">
    <w:name w:val="List Table 6 Colorful - Accent 2"/>
    <w:basedOn w:val="66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2" w:customStyle="1">
    <w:name w:val="List Table 6 Colorful - Accent 3"/>
    <w:basedOn w:val="66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3" w:customStyle="1">
    <w:name w:val="List Table 6 Colorful - Accent 4"/>
    <w:basedOn w:val="66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4" w:customStyle="1">
    <w:name w:val="List Table 6 Colorful - Accent 5"/>
    <w:basedOn w:val="66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5" w:customStyle="1">
    <w:name w:val="List Table 6 Colorful - Accent 6"/>
    <w:basedOn w:val="66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6"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6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6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6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6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6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6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5" w:customStyle="1">
    <w:name w:val="Lined - Accent 2"/>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6" w:customStyle="1">
    <w:name w:val="Lined - Accent 3"/>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7" w:customStyle="1">
    <w:name w:val="Lined - Accent 4"/>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8" w:customStyle="1">
    <w:name w:val="Lined - Accent 5"/>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9" w:customStyle="1">
    <w:name w:val="Lined - Accent 6"/>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0" w:customStyle="1">
    <w:name w:val="Bordered &amp; Lined - Accent"/>
    <w:basedOn w:val="6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6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2" w:customStyle="1">
    <w:name w:val="Bordered &amp; Lined - Accent 2"/>
    <w:basedOn w:val="66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3" w:customStyle="1">
    <w:name w:val="Bordered &amp; Lined - Accent 3"/>
    <w:basedOn w:val="66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4" w:customStyle="1">
    <w:name w:val="Bordered &amp; Lined - Accent 4"/>
    <w:basedOn w:val="66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5" w:customStyle="1">
    <w:name w:val="Bordered &amp; Lined - Accent 5"/>
    <w:basedOn w:val="66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6" w:customStyle="1">
    <w:name w:val="Bordered &amp; Lined - Accent 6"/>
    <w:basedOn w:val="66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7" w:customStyle="1">
    <w:name w:val="Bordered"/>
    <w:basedOn w:val="6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9" w:customStyle="1">
    <w:name w:val="Bordered - Accent 2"/>
    <w:basedOn w:val="6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0" w:customStyle="1">
    <w:name w:val="Bordered - Accent 3"/>
    <w:basedOn w:val="6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1" w:customStyle="1">
    <w:name w:val="Bordered - Accent 4"/>
    <w:basedOn w:val="6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2" w:customStyle="1">
    <w:name w:val="Bordered - Accent 5"/>
    <w:basedOn w:val="6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3" w:customStyle="1">
    <w:name w:val="Bordered - Accent 6"/>
    <w:basedOn w:val="6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4" w:customStyle="1">
    <w:name w:val="Footnote Text Char"/>
    <w:link w:val="685"/>
    <w:uiPriority w:val="99"/>
    <w:qFormat/>
    <w:rPr>
      <w:sz w:val="18"/>
    </w:rPr>
  </w:style>
  <w:style w:type="character" w:styleId="845" w:customStyle="1">
    <w:name w:val="Endnote Text Char"/>
    <w:link w:val="679"/>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Default"/>
    <w:basedOn w:val="656"/>
    <w:uiPriority w:val="0"/>
    <w:semiHidden/>
    <w:qFormat/>
    <w:pPr>
      <w:jc w:val="left"/>
    </w:pPr>
    <w:rPr>
      <w:rFonts w:ascii="宋体" w:hAnsi="Calibri" w:cs="宋体"/>
      <w:color w:val="000000"/>
      <w:sz w:val="24"/>
    </w:rPr>
  </w:style>
  <w:style w:type="character" w:styleId="848" w:customStyle="1">
    <w:name w:val="页眉 Char"/>
    <w:basedOn w:val="666"/>
    <w:link w:val="681"/>
    <w:uiPriority w:val="0"/>
    <w:qFormat/>
    <w:rPr>
      <w:rFonts w:asciiTheme="minorHAnsi" w:hAnsiTheme="minorHAnsi" w:eastAsiaTheme="minorEastAsia" w:cstheme="minorBidi"/>
      <w:sz w:val="18"/>
      <w:szCs w:val="18"/>
    </w:rPr>
  </w:style>
  <w:style w:type="character" w:styleId="849" w:customStyle="1">
    <w:name w:val="页脚 Char"/>
    <w:basedOn w:val="666"/>
    <w:link w:val="680"/>
    <w:uiPriority w:val="0"/>
    <w:qFormat/>
    <w:rPr>
      <w:rFonts w:asciiTheme="minorHAnsi" w:hAnsiTheme="minorHAnsi" w:eastAsiaTheme="minorEastAsia" w:cstheme="minorBidi"/>
      <w:sz w:val="18"/>
      <w:szCs w:val="18"/>
    </w:rPr>
  </w:style>
  <w:style w:type="paragraph" w:styleId="850" w:customStyle="1">
    <w:name w:val="普通正文"/>
    <w:basedOn w:val="656"/>
    <w:uiPriority w:val="0"/>
    <w:qFormat/>
    <w:pPr>
      <w:ind w:firstLine="480"/>
      <w:jc w:val="left"/>
      <w:spacing w:before="120" w:after="120" w:line="360" w:lineRule="auto"/>
    </w:pPr>
    <w:rPr>
      <w:rFonts w:ascii="Arial" w:hAnsi="Arial" w:eastAsia="等线" w:cs="Arial"/>
      <w:sz w:val="24"/>
      <w:szCs w:val="24"/>
    </w:rPr>
  </w:style>
  <w:style w:type="paragraph" w:styleId="851" w:customStyle="1">
    <w:name w:val="正文首行缩进 21"/>
    <w:basedOn w:val="852"/>
    <w:uiPriority w:val="0"/>
    <w:qFormat/>
    <w:pPr>
      <w:ind w:firstLine="420"/>
    </w:pPr>
  </w:style>
  <w:style w:type="paragraph" w:styleId="852" w:customStyle="1">
    <w:name w:val="正文文本缩进1"/>
    <w:basedOn w:val="656"/>
    <w:uiPriority w:val="0"/>
    <w:qFormat/>
    <w:pPr>
      <w:ind w:left="420"/>
      <w:spacing w:after="120"/>
    </w:pPr>
  </w:style>
  <w:style w:type="paragraph" w:styleId="853" w:customStyle="1">
    <w:name w:val="普通(网站)1"/>
    <w:basedOn w:val="656"/>
    <w:uiPriority w:val="0"/>
    <w:qFormat/>
    <w:pPr>
      <w:jc w:val="left"/>
      <w:spacing w:beforeAutospacing="1" w:afterAutospacing="1"/>
    </w:pPr>
    <w:rPr>
      <w:rFonts w:cs="Times New Roman"/>
      <w:sz w:val="24"/>
    </w:rPr>
  </w:style>
  <w:style w:type="paragraph" w:styleId="854" w:customStyle="1">
    <w:name w:val="BodyText1I2"/>
    <w:basedOn w:val="855"/>
    <w:uiPriority w:val="0"/>
    <w:qFormat/>
    <w:pPr>
      <w:ind w:firstLine="200"/>
    </w:pPr>
    <w:rPr>
      <w:rFonts w:ascii="Times New Roman" w:hAnsi="Times New Roman" w:eastAsia="宋体" w:cs="Times New Roman"/>
    </w:rPr>
  </w:style>
  <w:style w:type="paragraph" w:styleId="855" w:customStyle="1">
    <w:name w:val="BodyTextIndent"/>
    <w:basedOn w:val="656"/>
    <w:uiPriority w:val="0"/>
    <w:qFormat/>
    <w:pPr>
      <w:ind w:firstLine="420"/>
    </w:pPr>
    <w:rPr>
      <w:rFonts w:ascii="Times New Roman" w:hAnsi="Times New Roman" w:eastAsia="宋体" w:cs="Times New Roman"/>
      <w:szCs w:val="21"/>
    </w:rPr>
  </w:style>
  <w:style w:type="character" w:styleId="856" w:customStyle="1">
    <w:name w:val="NormalCharacter"/>
    <w:uiPriority w:val="0"/>
    <w:semiHidden/>
    <w:qFormat/>
  </w:style>
  <w:style w:type="character" w:styleId="857" w:customStyle="1">
    <w:name w:val="font41"/>
    <w:basedOn w:val="666"/>
    <w:uiPriority w:val="0"/>
    <w:qFormat/>
    <w:rPr>
      <w:rFonts w:hint="eastAsia" w:ascii="方正小标宋_GBK" w:hAnsi="方正小标宋_GBK" w:eastAsia="方正小标宋_GBK" w:cs="方正小标宋_GBK"/>
      <w:color w:val="000000"/>
      <w:sz w:val="40"/>
      <w:szCs w:val="40"/>
      <w:u w:val="none"/>
    </w:rPr>
  </w:style>
  <w:style w:type="character" w:styleId="858" w:customStyle="1">
    <w:name w:val="font21"/>
    <w:basedOn w:val="666"/>
    <w:uiPriority w:val="0"/>
    <w:qFormat/>
    <w:rPr>
      <w:rFonts w:hint="eastAsia" w:ascii="宋体" w:hAnsi="宋体" w:eastAsia="宋体" w:cs="宋体"/>
      <w:color w:val="000000"/>
      <w:sz w:val="28"/>
      <w:szCs w:val="28"/>
      <w:u w:val="none"/>
    </w:rPr>
  </w:style>
  <w:style w:type="character" w:styleId="859" w:customStyle="1">
    <w:name w:val="font31"/>
    <w:basedOn w:val="666"/>
    <w:uiPriority w:val="0"/>
    <w:qFormat/>
    <w:rPr>
      <w:rFonts w:hint="eastAsia" w:ascii="宋体" w:hAnsi="宋体" w:eastAsia="宋体" w:cs="宋体"/>
      <w:color w:val="ff0000"/>
      <w:sz w:val="28"/>
      <w:szCs w:val="28"/>
      <w:u w:val="none"/>
    </w:rPr>
  </w:style>
  <w:style w:type="numbering" w:styleId="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卜建文</cp:lastModifiedBy>
  <cp:revision>193</cp:revision>
  <dcterms:created xsi:type="dcterms:W3CDTF">2014-10-29T12:08:00Z</dcterms:created>
  <dcterms:modified xsi:type="dcterms:W3CDTF">2026-09-17T02:04:54Z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4C925710E45D4983B8746C7F7A4BD0E1_13</vt:lpwstr>
  </property>
  <property fmtid="{D5CDD505-2E9C-101B-9397-08002B2CF9AE}" pid="4" name="KSOTemplateDocerSaveRecord">
    <vt:lpwstr>eyJoZGlkIjoiYTI3NGU2NThmZWVjYmRiNTQ1NjM4Mzk0ZGMxZGQ3ZmMiLCJ1c2VySWQiOiIyNjYxNTYwNjkifQ==</vt:lpwstr>
  </property>
</Properties>
</file>