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6"/>
        <w:spacing w:before="120" w:beforeAutospacing="0" w:after="120" w:afterAutospacing="0" w:line="360" w:lineRule="auto"/>
        <w:rPr>
          <w:rFonts w:hint="default" w:ascii="Times New Roman" w:hAnsi="Times New Roman" w:cs="Times New Roman"/>
          <w:color w:val="auto"/>
          <w:highlight w:val="none"/>
        </w:rPr>
      </w:pPr>
    </w:p>
    <w:p>
      <w:pPr>
        <w:pStyle w:val="36"/>
        <w:spacing w:before="120" w:beforeAutospacing="0" w:after="12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120" w:beforeAutospacing="0" w:after="120" w:afterAutospacing="0" w:line="360" w:lineRule="auto"/>
        <w:jc w:val="center"/>
        <w:rPr>
          <w:rFonts w:hint="default" w:ascii="Times New Roman" w:hAnsi="Times New Roman" w:cs="Times New Roman"/>
          <w:color w:val="auto"/>
          <w:highlight w:val="none"/>
        </w:rPr>
      </w:pPr>
      <w:r>
        <w:rPr>
          <w:rFonts w:hint="default" w:ascii="Times New Roman" w:hAnsi="Times New Roman" w:cs="Times New Roman"/>
          <w:b/>
          <w:color w:val="auto"/>
          <w:sz w:val="84"/>
          <w:szCs w:val="84"/>
          <w:highlight w:val="none"/>
        </w:rPr>
        <w:t>竞争性磋商文件</w:t>
      </w:r>
    </w:p>
    <w:p>
      <w:pPr>
        <w:pStyle w:val="36"/>
        <w:spacing w:before="120" w:beforeAutospacing="0" w:after="120" w:afterAutospacing="0" w:line="360" w:lineRule="auto"/>
        <w:jc w:val="center"/>
        <w:rPr>
          <w:rFonts w:hint="default" w:ascii="Times New Roman" w:hAnsi="Times New Roman" w:cs="Times New Roman"/>
          <w:b/>
          <w:color w:val="auto"/>
          <w:sz w:val="32"/>
          <w:szCs w:val="32"/>
          <w:highlight w:val="none"/>
        </w:rPr>
      </w:pPr>
    </w:p>
    <w:p>
      <w:pPr>
        <w:pStyle w:val="36"/>
        <w:spacing w:before="120" w:beforeAutospacing="0" w:after="120" w:afterAutospacing="0" w:line="360" w:lineRule="auto"/>
        <w:jc w:val="center"/>
        <w:rPr>
          <w:rFonts w:hint="default" w:ascii="Times New Roman" w:hAnsi="Times New Roman" w:cs="Times New Roman"/>
          <w:b/>
          <w:color w:val="auto"/>
          <w:sz w:val="32"/>
          <w:szCs w:val="32"/>
          <w:highlight w:val="none"/>
        </w:rPr>
      </w:pPr>
    </w:p>
    <w:p>
      <w:pPr>
        <w:pStyle w:val="36"/>
        <w:spacing w:before="120" w:beforeAutospacing="0" w:after="120" w:afterAutospacing="0" w:line="360" w:lineRule="auto"/>
        <w:jc w:val="center"/>
        <w:rPr>
          <w:rFonts w:hint="default" w:ascii="Times New Roman" w:hAnsi="Times New Roman" w:cs="Times New Roman"/>
          <w:b/>
          <w:color w:val="auto"/>
          <w:sz w:val="32"/>
          <w:szCs w:val="32"/>
          <w:highlight w:val="none"/>
        </w:rPr>
      </w:pPr>
    </w:p>
    <w:p>
      <w:pPr>
        <w:pStyle w:val="36"/>
        <w:spacing w:before="120" w:beforeAutospacing="0" w:after="120" w:afterAutospacing="0" w:line="360" w:lineRule="auto"/>
        <w:jc w:val="center"/>
        <w:rPr>
          <w:rFonts w:hint="default" w:ascii="Times New Roman" w:hAnsi="Times New Roman" w:cs="Times New Roman" w:eastAsiaTheme="minorEastAsia"/>
          <w:color w:val="auto"/>
          <w:sz w:val="32"/>
          <w:szCs w:val="32"/>
          <w:highlight w:val="none"/>
        </w:rPr>
      </w:pPr>
      <w:r>
        <w:rPr>
          <w:rFonts w:hint="default" w:ascii="Times New Roman" w:hAnsi="Times New Roman" w:cs="Times New Roman"/>
          <w:b/>
          <w:color w:val="auto"/>
          <w:sz w:val="32"/>
          <w:szCs w:val="32"/>
          <w:highlight w:val="none"/>
        </w:rPr>
        <w:t>项目编号： </w:t>
      </w:r>
      <w:r>
        <w:rPr>
          <w:rFonts w:hint="eastAsia" w:ascii="Times New Roman" w:hAnsi="Times New Roman" w:cs="Times New Roman"/>
          <w:b/>
          <w:color w:val="auto"/>
          <w:sz w:val="32"/>
          <w:szCs w:val="32"/>
          <w:highlight w:val="none"/>
          <w:lang w:eastAsia="zh-CN"/>
        </w:rPr>
        <w:t>JSZC-320900-YCSJ-C2026-0009</w:t>
      </w:r>
    </w:p>
    <w:p>
      <w:pPr>
        <w:pStyle w:val="36"/>
        <w:spacing w:before="120" w:beforeAutospacing="0" w:after="120" w:afterAutospacing="0" w:line="360" w:lineRule="auto"/>
        <w:jc w:val="center"/>
        <w:rPr>
          <w:rFonts w:hint="default" w:ascii="Times New Roman" w:hAnsi="Times New Roman" w:cs="Times New Roman"/>
          <w:b/>
          <w:color w:val="auto"/>
          <w:sz w:val="32"/>
          <w:szCs w:val="32"/>
          <w:highlight w:val="none"/>
        </w:rPr>
      </w:pPr>
    </w:p>
    <w:p>
      <w:pPr>
        <w:pStyle w:val="36"/>
        <w:spacing w:before="120" w:beforeAutospacing="0" w:after="120" w:afterAutospacing="0" w:line="360" w:lineRule="auto"/>
        <w:jc w:val="center"/>
        <w:rPr>
          <w:rFonts w:hint="eastAsia" w:ascii="Times New Roman" w:hAnsi="Times New Roman" w:eastAsia="宋体" w:cs="Times New Roman"/>
          <w:b/>
          <w:color w:val="auto"/>
          <w:sz w:val="32"/>
          <w:szCs w:val="32"/>
          <w:highlight w:val="none"/>
        </w:rPr>
      </w:pPr>
      <w:r>
        <w:rPr>
          <w:rFonts w:hint="default" w:ascii="Times New Roman" w:hAnsi="Times New Roman" w:cs="Times New Roman"/>
          <w:b/>
          <w:color w:val="auto"/>
          <w:sz w:val="32"/>
          <w:szCs w:val="32"/>
          <w:highlight w:val="none"/>
        </w:rPr>
        <w:t>项目名称：</w:t>
      </w:r>
      <w:r>
        <w:rPr>
          <w:rFonts w:hint="eastAsia" w:ascii="Times New Roman" w:hAnsi="Times New Roman" w:eastAsia="宋体" w:cs="Times New Roman"/>
          <w:b/>
          <w:color w:val="auto"/>
          <w:sz w:val="32"/>
          <w:szCs w:val="32"/>
          <w:highlight w:val="none"/>
          <w:lang w:eastAsia="zh-CN"/>
        </w:rPr>
        <w:t>重金属环境安全隐患排查整治技术服务项目</w:t>
      </w:r>
    </w:p>
    <w:p>
      <w:pPr>
        <w:pStyle w:val="36"/>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line="360" w:lineRule="auto"/>
        <w:rPr>
          <w:rFonts w:hint="default" w:ascii="Times New Roman" w:hAnsi="Times New Roman" w:cs="Times New Roman"/>
          <w:color w:val="auto"/>
          <w:highlight w:val="none"/>
        </w:rPr>
      </w:pPr>
    </w:p>
    <w:p>
      <w:pPr>
        <w:pStyle w:val="36"/>
        <w:spacing w:beforeAutospacing="0" w:afterAutospacing="0" w:line="360" w:lineRule="auto"/>
        <w:rPr>
          <w:rFonts w:hint="default" w:ascii="Times New Roman" w:hAnsi="Times New Roman" w:cs="Times New Roman"/>
          <w:color w:val="auto"/>
          <w:highlight w:val="none"/>
        </w:rPr>
      </w:pPr>
    </w:p>
    <w:p>
      <w:pPr>
        <w:pStyle w:val="36"/>
        <w:spacing w:beforeAutospacing="0" w:afterAutospacing="0" w:line="360" w:lineRule="auto"/>
        <w:rPr>
          <w:rFonts w:hint="default" w:ascii="Times New Roman" w:hAnsi="Times New Roman" w:cs="Times New Roman"/>
          <w:color w:val="auto"/>
          <w:highlight w:val="none"/>
        </w:rPr>
      </w:pPr>
    </w:p>
    <w:p>
      <w:pPr>
        <w:pStyle w:val="36"/>
        <w:spacing w:beforeAutospacing="0" w:afterAutospacing="0" w:line="360" w:lineRule="auto"/>
        <w:rPr>
          <w:rFonts w:hint="default" w:ascii="Times New Roman" w:hAnsi="Times New Roman" w:cs="Times New Roman"/>
          <w:color w:val="auto"/>
          <w:highlight w:val="none"/>
        </w:rPr>
      </w:pPr>
    </w:p>
    <w:p>
      <w:pPr>
        <w:pStyle w:val="36"/>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line="360" w:lineRule="auto"/>
        <w:jc w:val="center"/>
        <w:rPr>
          <w:rFonts w:hint="default" w:ascii="Times New Roman" w:hAnsi="Times New Roman" w:eastAsia="黑体" w:cs="Times New Roman"/>
          <w:bCs/>
          <w:color w:val="auto"/>
          <w:sz w:val="36"/>
          <w:szCs w:val="36"/>
          <w:highlight w:val="none"/>
        </w:rPr>
      </w:pPr>
    </w:p>
    <w:p>
      <w:pPr>
        <w:pStyle w:val="36"/>
        <w:spacing w:beforeAutospacing="0" w:afterAutospacing="0" w:line="360" w:lineRule="auto"/>
        <w:jc w:val="center"/>
        <w:rPr>
          <w:rFonts w:hint="default" w:ascii="Times New Roman" w:hAnsi="Times New Roman" w:eastAsia="黑体" w:cs="Times New Roman"/>
          <w:bCs/>
          <w:color w:val="auto"/>
          <w:sz w:val="32"/>
          <w:szCs w:val="32"/>
          <w:highlight w:val="none"/>
        </w:rPr>
      </w:pPr>
      <w:r>
        <w:rPr>
          <w:rFonts w:hint="default" w:ascii="Times New Roman" w:hAnsi="Times New Roman" w:eastAsia="黑体" w:cs="Times New Roman"/>
          <w:bCs/>
          <w:color w:val="auto"/>
          <w:sz w:val="32"/>
          <w:szCs w:val="32"/>
          <w:highlight w:val="none"/>
          <w:lang w:eastAsia="zh-CN"/>
        </w:rPr>
        <w:t>盐城市生态环境局</w:t>
      </w:r>
    </w:p>
    <w:p>
      <w:pPr>
        <w:pStyle w:val="36"/>
        <w:spacing w:beforeAutospacing="0" w:afterAutospacing="0" w:line="360" w:lineRule="auto"/>
        <w:jc w:val="center"/>
        <w:rPr>
          <w:rFonts w:hint="default" w:ascii="Times New Roman" w:hAnsi="Times New Roman" w:eastAsia="黑体" w:cs="Times New Roman"/>
          <w:bCs/>
          <w:color w:val="auto"/>
          <w:sz w:val="32"/>
          <w:szCs w:val="32"/>
          <w:highlight w:val="none"/>
        </w:rPr>
      </w:pPr>
      <w:r>
        <w:rPr>
          <w:rFonts w:hint="default" w:ascii="Times New Roman" w:hAnsi="Times New Roman" w:eastAsia="黑体" w:cs="Times New Roman"/>
          <w:bCs/>
          <w:color w:val="auto"/>
          <w:sz w:val="32"/>
          <w:szCs w:val="32"/>
          <w:highlight w:val="none"/>
          <w:lang w:val="en-US" w:eastAsia="zh-CN"/>
        </w:rPr>
        <w:t>2026</w:t>
      </w:r>
      <w:r>
        <w:rPr>
          <w:rFonts w:hint="default" w:ascii="Times New Roman" w:hAnsi="Times New Roman" w:eastAsia="黑体" w:cs="Times New Roman"/>
          <w:bCs/>
          <w:color w:val="auto"/>
          <w:sz w:val="32"/>
          <w:szCs w:val="32"/>
          <w:highlight w:val="none"/>
        </w:rPr>
        <w:t>年</w:t>
      </w:r>
      <w:r>
        <w:rPr>
          <w:rFonts w:hint="eastAsia" w:ascii="Times New Roman" w:hAnsi="Times New Roman" w:eastAsia="黑体" w:cs="Times New Roman"/>
          <w:bCs/>
          <w:color w:val="auto"/>
          <w:sz w:val="32"/>
          <w:szCs w:val="32"/>
          <w:highlight w:val="none"/>
          <w:lang w:val="en-US" w:eastAsia="zh-CN"/>
        </w:rPr>
        <w:t>9</w:t>
      </w:r>
      <w:r>
        <w:rPr>
          <w:rFonts w:hint="default" w:ascii="Times New Roman" w:hAnsi="Times New Roman" w:eastAsia="黑体" w:cs="Times New Roman"/>
          <w:bCs/>
          <w:color w:val="auto"/>
          <w:sz w:val="32"/>
          <w:szCs w:val="32"/>
          <w:highlight w:val="none"/>
        </w:rPr>
        <w:t>月</w:t>
      </w:r>
    </w:p>
    <w:p>
      <w:pPr>
        <w:pStyle w:val="36"/>
        <w:spacing w:before="120" w:beforeAutospacing="0" w:after="12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p>
    <w:p>
      <w:pPr>
        <w:pStyle w:val="36"/>
        <w:spacing w:beforeAutospacing="0" w:afterAutospacing="0" w:line="480" w:lineRule="auto"/>
        <w:jc w:val="center"/>
        <w:rPr>
          <w:rFonts w:hint="default" w:ascii="Times New Roman" w:hAnsi="Times New Roman" w:eastAsia="黑体" w:cs="Times New Roman"/>
          <w:b/>
          <w:color w:val="auto"/>
          <w:sz w:val="44"/>
          <w:szCs w:val="44"/>
          <w:highlight w:val="none"/>
        </w:rPr>
        <w:sectPr>
          <w:headerReference r:id="rId3" w:type="default"/>
          <w:pgSz w:w="11906" w:h="16838"/>
          <w:pgMar w:top="1440" w:right="1633" w:bottom="1440" w:left="1633" w:header="851" w:footer="992" w:gutter="0"/>
          <w:pgNumType w:start="1"/>
          <w:cols w:space="425" w:num="1"/>
          <w:docGrid w:linePitch="360" w:charSpace="0"/>
        </w:sectPr>
      </w:pPr>
    </w:p>
    <w:p>
      <w:pPr>
        <w:pStyle w:val="36"/>
        <w:spacing w:beforeAutospacing="0" w:afterAutospacing="0" w:line="480" w:lineRule="auto"/>
        <w:jc w:val="center"/>
        <w:rPr>
          <w:rFonts w:hint="default" w:ascii="Times New Roman" w:hAnsi="Times New Roman" w:eastAsia="黑体" w:cs="Times New Roman"/>
          <w:b/>
          <w:color w:val="auto"/>
          <w:sz w:val="44"/>
          <w:szCs w:val="44"/>
          <w:highlight w:val="none"/>
        </w:rPr>
      </w:pPr>
    </w:p>
    <w:p>
      <w:pPr>
        <w:pStyle w:val="36"/>
        <w:spacing w:beforeAutospacing="0" w:afterAutospacing="0" w:line="480" w:lineRule="auto"/>
        <w:jc w:val="center"/>
        <w:rPr>
          <w:rFonts w:hint="default" w:ascii="Times New Roman" w:hAnsi="Times New Roman" w:cs="Times New Roman"/>
          <w:color w:val="auto"/>
          <w:highlight w:val="none"/>
        </w:rPr>
      </w:pPr>
      <w:r>
        <w:rPr>
          <w:rFonts w:hint="default" w:ascii="Times New Roman" w:hAnsi="Times New Roman" w:eastAsia="黑体" w:cs="Times New Roman"/>
          <w:b/>
          <w:color w:val="auto"/>
          <w:sz w:val="44"/>
          <w:szCs w:val="44"/>
          <w:highlight w:val="none"/>
        </w:rPr>
        <w:t>总  目  录</w:t>
      </w:r>
    </w:p>
    <w:p>
      <w:pPr>
        <w:pStyle w:val="36"/>
        <w:spacing w:beforeAutospacing="0" w:afterAutospacing="0" w:line="480" w:lineRule="auto"/>
        <w:jc w:val="both"/>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 </w:t>
      </w:r>
    </w:p>
    <w:p>
      <w:pPr>
        <w:spacing w:line="700" w:lineRule="exact"/>
        <w:outlineLvl w:val="0"/>
        <w:rPr>
          <w:rFonts w:hint="default" w:ascii="Times New Roman" w:hAnsi="Times New Roman" w:eastAsia="黑体" w:cs="Times New Roman"/>
          <w:color w:val="auto"/>
          <w:sz w:val="36"/>
          <w:highlight w:val="none"/>
        </w:rPr>
      </w:pPr>
      <w:r>
        <w:rPr>
          <w:rFonts w:hint="default" w:ascii="Times New Roman" w:hAnsi="Times New Roman" w:eastAsia="黑体" w:cs="Times New Roman"/>
          <w:color w:val="auto"/>
          <w:sz w:val="36"/>
          <w:highlight w:val="none"/>
        </w:rPr>
        <w:t xml:space="preserve">第一章  </w:t>
      </w:r>
      <w:r>
        <w:rPr>
          <w:rFonts w:hint="default" w:ascii="Times New Roman" w:hAnsi="Times New Roman" w:eastAsia="黑体" w:cs="Times New Roman"/>
          <w:color w:val="auto"/>
          <w:sz w:val="36"/>
          <w:highlight w:val="none"/>
          <w:lang w:eastAsia="zh-CN"/>
        </w:rPr>
        <w:t>竞争性磋商</w:t>
      </w:r>
      <w:r>
        <w:rPr>
          <w:rFonts w:hint="default" w:ascii="Times New Roman" w:hAnsi="Times New Roman" w:eastAsia="黑体" w:cs="Times New Roman"/>
          <w:color w:val="auto"/>
          <w:sz w:val="36"/>
          <w:highlight w:val="none"/>
        </w:rPr>
        <w:t>公告…………………………</w:t>
      </w:r>
      <w:r>
        <w:rPr>
          <w:rFonts w:hint="default" w:ascii="Times New Roman" w:hAnsi="Times New Roman" w:eastAsia="黑体" w:cs="Times New Roman"/>
          <w:color w:val="auto"/>
          <w:sz w:val="36"/>
          <w:highlight w:val="none"/>
          <w:lang w:val="en-US" w:eastAsia="zh-CN"/>
        </w:rPr>
        <w:t>2</w:t>
      </w:r>
    </w:p>
    <w:p>
      <w:pPr>
        <w:spacing w:line="700" w:lineRule="exact"/>
        <w:outlineLvl w:val="0"/>
        <w:rPr>
          <w:rFonts w:hint="default" w:ascii="Times New Roman" w:hAnsi="Times New Roman" w:eastAsia="黑体" w:cs="Times New Roman"/>
          <w:color w:val="auto"/>
          <w:sz w:val="36"/>
          <w:highlight w:val="none"/>
        </w:rPr>
      </w:pPr>
      <w:r>
        <w:rPr>
          <w:rFonts w:hint="default" w:ascii="Times New Roman" w:hAnsi="Times New Roman" w:eastAsia="黑体" w:cs="Times New Roman"/>
          <w:color w:val="auto"/>
          <w:sz w:val="36"/>
          <w:highlight w:val="none"/>
        </w:rPr>
        <w:t xml:space="preserve">第二章  </w:t>
      </w:r>
      <w:r>
        <w:rPr>
          <w:rFonts w:hint="default" w:ascii="Times New Roman" w:hAnsi="Times New Roman" w:eastAsia="黑体" w:cs="Times New Roman"/>
          <w:color w:val="auto"/>
          <w:sz w:val="36"/>
          <w:highlight w:val="none"/>
          <w:lang w:val="en-US" w:eastAsia="zh-CN"/>
        </w:rPr>
        <w:t>供应商</w:t>
      </w:r>
      <w:r>
        <w:rPr>
          <w:rFonts w:hint="default" w:ascii="Times New Roman" w:hAnsi="Times New Roman" w:eastAsia="黑体" w:cs="Times New Roman"/>
          <w:color w:val="auto"/>
          <w:sz w:val="36"/>
          <w:highlight w:val="none"/>
        </w:rPr>
        <w:t>须知</w:t>
      </w:r>
      <w:r>
        <w:rPr>
          <w:rFonts w:hint="default" w:ascii="Times New Roman" w:hAnsi="Times New Roman" w:eastAsia="黑体" w:cs="Times New Roman"/>
          <w:color w:val="auto"/>
          <w:sz w:val="36"/>
          <w:szCs w:val="36"/>
          <w:highlight w:val="none"/>
        </w:rPr>
        <w:t>…</w:t>
      </w:r>
      <w:r>
        <w:rPr>
          <w:rFonts w:hint="default" w:ascii="Times New Roman" w:hAnsi="Times New Roman" w:eastAsia="黑体" w:cs="Times New Roman"/>
          <w:color w:val="auto"/>
          <w:sz w:val="36"/>
          <w:highlight w:val="none"/>
        </w:rPr>
        <w:t>……………………………</w:t>
      </w:r>
      <w:r>
        <w:rPr>
          <w:rFonts w:hint="default" w:ascii="Times New Roman" w:hAnsi="Times New Roman" w:eastAsia="黑体" w:cs="Times New Roman"/>
          <w:color w:val="auto"/>
          <w:sz w:val="36"/>
          <w:highlight w:val="none"/>
          <w:lang w:val="en-US" w:eastAsia="zh-CN"/>
        </w:rPr>
        <w:t>7</w:t>
      </w:r>
    </w:p>
    <w:p>
      <w:pPr>
        <w:spacing w:line="700" w:lineRule="exact"/>
        <w:outlineLvl w:val="0"/>
        <w:rPr>
          <w:rFonts w:hint="default" w:ascii="Times New Roman" w:hAnsi="Times New Roman" w:eastAsia="黑体" w:cs="Times New Roman"/>
          <w:color w:val="auto"/>
          <w:sz w:val="36"/>
          <w:highlight w:val="none"/>
        </w:rPr>
      </w:pPr>
      <w:r>
        <w:rPr>
          <w:rFonts w:hint="default" w:ascii="Times New Roman" w:hAnsi="Times New Roman" w:eastAsia="黑体" w:cs="Times New Roman"/>
          <w:color w:val="auto"/>
          <w:sz w:val="36"/>
          <w:highlight w:val="none"/>
        </w:rPr>
        <w:t>第三章  合同</w:t>
      </w:r>
      <w:r>
        <w:rPr>
          <w:rFonts w:hint="default" w:ascii="Times New Roman" w:hAnsi="Times New Roman" w:eastAsia="黑体" w:cs="Times New Roman"/>
          <w:color w:val="auto"/>
          <w:sz w:val="36"/>
          <w:highlight w:val="none"/>
          <w:lang w:eastAsia="zh-CN"/>
        </w:rPr>
        <w:t>文本</w:t>
      </w:r>
      <w:r>
        <w:rPr>
          <w:rFonts w:hint="default" w:ascii="Times New Roman" w:hAnsi="Times New Roman" w:eastAsia="黑体" w:cs="Times New Roman"/>
          <w:color w:val="auto"/>
          <w:sz w:val="36"/>
          <w:highlight w:val="none"/>
        </w:rPr>
        <w:t>…………………………………</w:t>
      </w:r>
      <w:r>
        <w:rPr>
          <w:rFonts w:hint="default" w:ascii="Times New Roman" w:hAnsi="Times New Roman" w:eastAsia="黑体" w:cs="Times New Roman"/>
          <w:color w:val="auto"/>
          <w:sz w:val="36"/>
          <w:highlight w:val="none"/>
          <w:lang w:val="en-US" w:eastAsia="zh-CN"/>
        </w:rPr>
        <w:t>2</w:t>
      </w:r>
      <w:r>
        <w:rPr>
          <w:rFonts w:hint="eastAsia" w:ascii="Times New Roman" w:hAnsi="Times New Roman" w:eastAsia="黑体" w:cs="Times New Roman"/>
          <w:color w:val="auto"/>
          <w:sz w:val="36"/>
          <w:highlight w:val="none"/>
          <w:lang w:val="en-US" w:eastAsia="zh-CN"/>
        </w:rPr>
        <w:t>8</w:t>
      </w:r>
    </w:p>
    <w:p>
      <w:pPr>
        <w:spacing w:line="700" w:lineRule="exact"/>
        <w:outlineLvl w:val="0"/>
        <w:rPr>
          <w:rFonts w:hint="default" w:ascii="Times New Roman" w:hAnsi="Times New Roman" w:eastAsia="黑体" w:cs="Times New Roman"/>
          <w:color w:val="auto"/>
          <w:sz w:val="36"/>
          <w:highlight w:val="none"/>
        </w:rPr>
      </w:pPr>
      <w:r>
        <w:rPr>
          <w:rFonts w:hint="default" w:ascii="Times New Roman" w:hAnsi="Times New Roman" w:eastAsia="黑体" w:cs="Times New Roman"/>
          <w:color w:val="auto"/>
          <w:sz w:val="36"/>
          <w:highlight w:val="none"/>
        </w:rPr>
        <w:t xml:space="preserve">第四章  </w:t>
      </w:r>
      <w:r>
        <w:rPr>
          <w:rFonts w:hint="default" w:ascii="Times New Roman" w:hAnsi="Times New Roman" w:eastAsia="黑体" w:cs="Times New Roman"/>
          <w:color w:val="auto"/>
          <w:sz w:val="36"/>
          <w:highlight w:val="none"/>
          <w:lang w:eastAsia="zh-CN"/>
        </w:rPr>
        <w:t>采购</w:t>
      </w:r>
      <w:r>
        <w:rPr>
          <w:rFonts w:hint="default" w:ascii="Times New Roman" w:hAnsi="Times New Roman" w:eastAsia="黑体" w:cs="Times New Roman"/>
          <w:color w:val="auto"/>
          <w:sz w:val="36"/>
          <w:highlight w:val="none"/>
        </w:rPr>
        <w:t>需求…………………………………</w:t>
      </w:r>
      <w:r>
        <w:rPr>
          <w:rFonts w:hint="default" w:ascii="Times New Roman" w:hAnsi="Times New Roman" w:eastAsia="黑体" w:cs="Times New Roman"/>
          <w:color w:val="auto"/>
          <w:sz w:val="36"/>
          <w:highlight w:val="none"/>
          <w:lang w:val="en-US" w:eastAsia="zh-CN"/>
        </w:rPr>
        <w:t>3</w:t>
      </w:r>
      <w:r>
        <w:rPr>
          <w:rFonts w:hint="eastAsia" w:ascii="Times New Roman" w:hAnsi="Times New Roman" w:eastAsia="黑体" w:cs="Times New Roman"/>
          <w:color w:val="auto"/>
          <w:sz w:val="36"/>
          <w:highlight w:val="none"/>
          <w:lang w:val="en-US" w:eastAsia="zh-CN"/>
        </w:rPr>
        <w:t>7</w:t>
      </w:r>
    </w:p>
    <w:p>
      <w:pPr>
        <w:spacing w:line="700" w:lineRule="exact"/>
        <w:outlineLvl w:val="0"/>
        <w:rPr>
          <w:rFonts w:hint="default" w:ascii="Times New Roman" w:hAnsi="Times New Roman" w:eastAsia="黑体" w:cs="Times New Roman"/>
          <w:color w:val="auto"/>
          <w:sz w:val="36"/>
          <w:highlight w:val="none"/>
        </w:rPr>
      </w:pPr>
      <w:r>
        <w:rPr>
          <w:rFonts w:hint="default" w:ascii="Times New Roman" w:hAnsi="Times New Roman" w:eastAsia="黑体" w:cs="Times New Roman"/>
          <w:color w:val="auto"/>
          <w:sz w:val="36"/>
          <w:highlight w:val="none"/>
        </w:rPr>
        <w:t xml:space="preserve">第五章  </w:t>
      </w:r>
      <w:r>
        <w:rPr>
          <w:rFonts w:hint="default" w:ascii="Times New Roman" w:hAnsi="Times New Roman" w:eastAsia="黑体" w:cs="Times New Roman"/>
          <w:bCs/>
          <w:color w:val="auto"/>
          <w:sz w:val="36"/>
          <w:szCs w:val="36"/>
          <w:highlight w:val="none"/>
        </w:rPr>
        <w:t>评</w:t>
      </w:r>
      <w:r>
        <w:rPr>
          <w:rFonts w:hint="default" w:ascii="Times New Roman" w:hAnsi="Times New Roman" w:eastAsia="黑体" w:cs="Times New Roman"/>
          <w:bCs/>
          <w:color w:val="auto"/>
          <w:sz w:val="36"/>
          <w:szCs w:val="36"/>
          <w:highlight w:val="none"/>
          <w:lang w:eastAsia="zh-CN"/>
        </w:rPr>
        <w:t>审</w:t>
      </w:r>
      <w:r>
        <w:rPr>
          <w:rFonts w:hint="default" w:ascii="Times New Roman" w:hAnsi="Times New Roman" w:eastAsia="黑体" w:cs="Times New Roman"/>
          <w:bCs/>
          <w:color w:val="auto"/>
          <w:sz w:val="36"/>
          <w:szCs w:val="36"/>
          <w:highlight w:val="none"/>
        </w:rPr>
        <w:t>方法与评</w:t>
      </w:r>
      <w:r>
        <w:rPr>
          <w:rFonts w:hint="default" w:ascii="Times New Roman" w:hAnsi="Times New Roman" w:eastAsia="黑体" w:cs="Times New Roman"/>
          <w:bCs/>
          <w:color w:val="auto"/>
          <w:sz w:val="36"/>
          <w:szCs w:val="36"/>
          <w:highlight w:val="none"/>
          <w:lang w:eastAsia="zh-CN"/>
        </w:rPr>
        <w:t>审</w:t>
      </w:r>
      <w:r>
        <w:rPr>
          <w:rFonts w:hint="default" w:ascii="Times New Roman" w:hAnsi="Times New Roman" w:eastAsia="黑体" w:cs="Times New Roman"/>
          <w:bCs/>
          <w:color w:val="auto"/>
          <w:sz w:val="36"/>
          <w:szCs w:val="36"/>
          <w:highlight w:val="none"/>
        </w:rPr>
        <w:t>标准</w:t>
      </w:r>
      <w:r>
        <w:rPr>
          <w:rFonts w:hint="default" w:ascii="Times New Roman" w:hAnsi="Times New Roman" w:eastAsia="黑体" w:cs="Times New Roman"/>
          <w:color w:val="auto"/>
          <w:sz w:val="36"/>
          <w:highlight w:val="none"/>
        </w:rPr>
        <w:t>……………………</w:t>
      </w:r>
      <w:r>
        <w:rPr>
          <w:rFonts w:hint="default" w:ascii="Times New Roman" w:hAnsi="Times New Roman" w:eastAsia="黑体" w:cs="Times New Roman"/>
          <w:color w:val="auto"/>
          <w:sz w:val="36"/>
          <w:highlight w:val="none"/>
          <w:lang w:val="en-US" w:eastAsia="zh-CN"/>
        </w:rPr>
        <w:t>4</w:t>
      </w:r>
      <w:r>
        <w:rPr>
          <w:rFonts w:hint="eastAsia" w:ascii="Times New Roman" w:hAnsi="Times New Roman" w:eastAsia="黑体" w:cs="Times New Roman"/>
          <w:color w:val="auto"/>
          <w:sz w:val="36"/>
          <w:highlight w:val="none"/>
          <w:lang w:val="en-US" w:eastAsia="zh-CN"/>
        </w:rPr>
        <w:t>4</w:t>
      </w:r>
    </w:p>
    <w:p>
      <w:pPr>
        <w:spacing w:line="700" w:lineRule="exact"/>
        <w:outlineLvl w:val="0"/>
        <w:rPr>
          <w:rFonts w:hint="default" w:ascii="Times New Roman" w:hAnsi="Times New Roman" w:eastAsia="黑体" w:cs="Times New Roman"/>
          <w:color w:val="auto"/>
          <w:sz w:val="36"/>
          <w:highlight w:val="none"/>
        </w:rPr>
      </w:pPr>
      <w:r>
        <w:rPr>
          <w:rFonts w:hint="default" w:ascii="Times New Roman" w:hAnsi="Times New Roman" w:eastAsia="黑体" w:cs="Times New Roman"/>
          <w:color w:val="auto"/>
          <w:sz w:val="36"/>
          <w:highlight w:val="none"/>
        </w:rPr>
        <w:t>第六章  响应文件格式……………………………</w:t>
      </w:r>
      <w:r>
        <w:rPr>
          <w:rFonts w:hint="eastAsia" w:ascii="Times New Roman" w:hAnsi="Times New Roman" w:eastAsia="黑体" w:cs="Times New Roman"/>
          <w:color w:val="auto"/>
          <w:sz w:val="36"/>
          <w:highlight w:val="none"/>
          <w:lang w:val="en-US" w:eastAsia="zh-CN"/>
        </w:rPr>
        <w:t>50</w:t>
      </w:r>
    </w:p>
    <w:p>
      <w:pPr>
        <w:pStyle w:val="36"/>
        <w:spacing w:beforeAutospacing="0" w:afterAutospacing="0"/>
        <w:jc w:val="both"/>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keepNext/>
        <w:spacing w:beforeAutospacing="0" w:afterAutospacing="0"/>
        <w:jc w:val="center"/>
        <w:rPr>
          <w:rFonts w:hint="default" w:ascii="Times New Roman" w:hAnsi="Times New Roman" w:eastAsia="黑体" w:cs="Times New Roman"/>
          <w:color w:val="auto"/>
          <w:sz w:val="44"/>
          <w:szCs w:val="44"/>
          <w:highlight w:val="none"/>
        </w:rPr>
      </w:pPr>
      <w:bookmarkStart w:id="0" w:name="_Toc28359086"/>
      <w:r>
        <w:rPr>
          <w:rFonts w:hint="default" w:ascii="Times New Roman" w:hAnsi="Times New Roman" w:eastAsia="黑体" w:cs="Times New Roman"/>
          <w:color w:val="auto"/>
          <w:sz w:val="44"/>
          <w:szCs w:val="44"/>
          <w:highlight w:val="none"/>
        </w:rPr>
        <w:t xml:space="preserve">第一章  </w:t>
      </w:r>
      <w:r>
        <w:rPr>
          <w:rFonts w:hint="default" w:ascii="Times New Roman" w:hAnsi="Times New Roman" w:eastAsia="黑体" w:cs="Times New Roman"/>
          <w:color w:val="auto"/>
          <w:sz w:val="44"/>
          <w:szCs w:val="44"/>
          <w:highlight w:val="none"/>
          <w:lang w:val="en-US" w:eastAsia="zh-CN"/>
        </w:rPr>
        <w:t>竞争性磋商公告</w:t>
      </w:r>
    </w:p>
    <w:p>
      <w:pPr>
        <w:pStyle w:val="36"/>
        <w:keepNext/>
        <w:keepLines w:val="0"/>
        <w:pageBreakBefore w:val="0"/>
        <w:widowControl w:val="0"/>
        <w:spacing w:beforeAutospacing="0" w:afterAutospacing="0" w:line="300" w:lineRule="exact"/>
        <w:jc w:val="center"/>
        <w:rPr>
          <w:rFonts w:hint="default" w:ascii="Times New Roman" w:hAnsi="Times New Roman" w:eastAsia="黑体" w:cs="Times New Roman"/>
          <w:color w:val="auto"/>
          <w:sz w:val="44"/>
          <w:szCs w:val="44"/>
          <w:highlight w:val="none"/>
        </w:rPr>
      </w:pPr>
    </w:p>
    <w:p>
      <w:pPr>
        <w:keepNext w:val="0"/>
        <w:keepLines w:val="0"/>
        <w:pageBreakBefore w:val="0"/>
        <w:widowControl/>
        <w:pBdr>
          <w:top w:val="single" w:color="auto" w:sz="4" w:space="0"/>
          <w:left w:val="single" w:color="auto" w:sz="4" w:space="0"/>
          <w:bottom w:val="single" w:color="auto" w:sz="4" w:space="0"/>
          <w:right w:val="single" w:color="auto" w:sz="4" w:space="0"/>
        </w:pBdr>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项目概况</w:t>
      </w:r>
    </w:p>
    <w:p>
      <w:pPr>
        <w:keepNext w:val="0"/>
        <w:keepLines w:val="0"/>
        <w:pageBreakBefore w:val="0"/>
        <w:widowControl/>
        <w:pBdr>
          <w:top w:val="single" w:color="auto" w:sz="4" w:space="0"/>
          <w:left w:val="single" w:color="auto" w:sz="4" w:space="0"/>
          <w:bottom w:val="single" w:color="auto" w:sz="4" w:space="0"/>
          <w:right w:val="single" w:color="auto" w:sz="4" w:space="0"/>
        </w:pBdr>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u w:val="single"/>
          <w:lang w:eastAsia="zh-CN"/>
        </w:rPr>
        <w:t>重金属环境安全隐患排查整治技术服务项目JSZC-320900-YCSJ-C2026-0009</w:t>
      </w:r>
      <w:r>
        <w:rPr>
          <w:rFonts w:hint="eastAsia" w:ascii="宋体" w:hAnsi="宋体" w:eastAsia="宋体" w:cs="宋体"/>
          <w:color w:val="auto"/>
          <w:sz w:val="24"/>
          <w:szCs w:val="20"/>
          <w:highlight w:val="none"/>
        </w:rPr>
        <w:t>的潜在供应商</w:t>
      </w:r>
      <w:r>
        <w:rPr>
          <w:rFonts w:hint="eastAsia" w:ascii="宋体" w:hAnsi="宋体" w:eastAsia="宋体" w:cs="宋体"/>
          <w:color w:val="auto"/>
          <w:sz w:val="24"/>
          <w:szCs w:val="20"/>
          <w:highlight w:val="none"/>
          <w:lang w:val="en-US" w:eastAsia="zh-CN"/>
        </w:rPr>
        <w:t>应</w:t>
      </w:r>
      <w:r>
        <w:rPr>
          <w:rFonts w:hint="eastAsia" w:ascii="宋体" w:hAnsi="宋体" w:eastAsia="宋体" w:cs="宋体"/>
          <w:color w:val="auto"/>
          <w:sz w:val="24"/>
          <w:szCs w:val="20"/>
          <w:highlight w:val="none"/>
        </w:rPr>
        <w:t>在“苏采云”系统内免费下载</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投标人必须在苏采云系统中获取</w:t>
      </w:r>
      <w:r>
        <w:rPr>
          <w:rFonts w:hint="eastAsia" w:ascii="宋体" w:hAnsi="宋体" w:eastAsia="宋体" w:cs="宋体"/>
          <w:color w:val="auto"/>
          <w:sz w:val="24"/>
          <w:szCs w:val="20"/>
          <w:highlight w:val="none"/>
          <w:lang w:val="en-US" w:eastAsia="zh-CN"/>
        </w:rPr>
        <w:t>磋商</w:t>
      </w:r>
      <w:r>
        <w:rPr>
          <w:rFonts w:hint="eastAsia" w:ascii="宋体" w:hAnsi="宋体" w:eastAsia="宋体" w:cs="宋体"/>
          <w:color w:val="auto"/>
          <w:sz w:val="24"/>
          <w:szCs w:val="20"/>
          <w:highlight w:val="none"/>
        </w:rPr>
        <w:t>文件，方能参与政府采购项目</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；并于</w:t>
      </w:r>
      <w:r>
        <w:rPr>
          <w:rFonts w:hint="eastAsia" w:ascii="宋体" w:hAnsi="宋体" w:eastAsia="宋体" w:cs="宋体"/>
          <w:color w:val="auto"/>
          <w:sz w:val="24"/>
          <w:highlight w:val="none"/>
          <w:u w:val="single"/>
        </w:rPr>
        <w:t>2026年</w:t>
      </w:r>
      <w:r>
        <w:rPr>
          <w:rFonts w:hint="eastAsia" w:ascii="宋体" w:hAnsi="宋体" w:eastAsia="宋体" w:cs="宋体"/>
          <w:color w:val="auto"/>
          <w:sz w:val="24"/>
          <w:highlight w:val="none"/>
          <w:u w:val="single"/>
          <w:lang w:val="en-US" w:eastAsia="zh-CN"/>
        </w:rPr>
        <w:t>10</w:t>
      </w:r>
      <w:r>
        <w:rPr>
          <w:rFonts w:hint="eastAsia" w:ascii="宋体" w:hAnsi="宋体" w:eastAsia="宋体" w:cs="宋体"/>
          <w:color w:val="auto"/>
          <w:sz w:val="24"/>
          <w:highlight w:val="none"/>
          <w:u w:val="single"/>
        </w:rPr>
        <w:t>月</w:t>
      </w:r>
      <w:r>
        <w:rPr>
          <w:rFonts w:hint="eastAsia" w:ascii="宋体" w:hAnsi="宋体" w:eastAsia="宋体" w:cs="宋体"/>
          <w:color w:val="auto"/>
          <w:sz w:val="24"/>
          <w:highlight w:val="none"/>
          <w:u w:val="single"/>
          <w:lang w:val="en-US" w:eastAsia="zh-CN"/>
        </w:rPr>
        <w:t>9</w:t>
      </w:r>
      <w:r>
        <w:rPr>
          <w:rFonts w:hint="eastAsia" w:ascii="宋体" w:hAnsi="宋体" w:eastAsia="宋体" w:cs="宋体"/>
          <w:color w:val="auto"/>
          <w:sz w:val="24"/>
          <w:highlight w:val="none"/>
          <w:u w:val="single"/>
        </w:rPr>
        <w:t>日</w:t>
      </w:r>
      <w:r>
        <w:rPr>
          <w:rFonts w:hint="eastAsia" w:ascii="宋体" w:hAnsi="宋体" w:eastAsia="宋体" w:cs="宋体"/>
          <w:color w:val="auto"/>
          <w:sz w:val="24"/>
          <w:highlight w:val="none"/>
          <w:u w:val="single"/>
          <w:lang w:val="en-US" w:eastAsia="zh-CN"/>
        </w:rPr>
        <w:t>15</w:t>
      </w:r>
      <w:r>
        <w:rPr>
          <w:rFonts w:hint="eastAsia" w:ascii="宋体" w:hAnsi="宋体" w:eastAsia="宋体" w:cs="宋体"/>
          <w:color w:val="auto"/>
          <w:sz w:val="24"/>
          <w:highlight w:val="none"/>
          <w:u w:val="single"/>
        </w:rPr>
        <w:t>点</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u w:val="single"/>
        </w:rPr>
        <w:t>0分</w:t>
      </w:r>
      <w:r>
        <w:rPr>
          <w:rFonts w:hint="eastAsia" w:ascii="宋体" w:hAnsi="宋体" w:eastAsia="宋体" w:cs="宋体"/>
          <w:color w:val="auto"/>
          <w:sz w:val="24"/>
          <w:highlight w:val="none"/>
        </w:rPr>
        <w:t>（北京时间）</w:t>
      </w:r>
      <w:r>
        <w:rPr>
          <w:rFonts w:hint="eastAsia" w:ascii="宋体" w:hAnsi="宋体" w:eastAsia="宋体" w:cs="宋体"/>
          <w:color w:val="auto"/>
          <w:sz w:val="24"/>
          <w:szCs w:val="20"/>
          <w:highlight w:val="none"/>
        </w:rPr>
        <w:t>前递交响应文件。</w:t>
      </w:r>
    </w:p>
    <w:p>
      <w:pPr>
        <w:keepNext w:val="0"/>
        <w:keepLines w:val="0"/>
        <w:pageBreakBefore w:val="0"/>
        <w:widowControl/>
        <w:spacing w:line="600" w:lineRule="exact"/>
        <w:ind w:firstLine="482"/>
        <w:jc w:val="left"/>
        <w:rPr>
          <w:rFonts w:hint="eastAsia" w:ascii="宋体" w:hAnsi="宋体" w:eastAsia="宋体" w:cs="宋体"/>
          <w:b/>
          <w:bCs/>
          <w:color w:val="auto"/>
          <w:sz w:val="24"/>
          <w:szCs w:val="20"/>
          <w:highlight w:val="none"/>
        </w:rPr>
      </w:pPr>
      <w:bookmarkStart w:id="1" w:name="_Toc38985263"/>
      <w:bookmarkStart w:id="2" w:name="_Toc28359079"/>
      <w:bookmarkStart w:id="3" w:name="_Toc28359002"/>
      <w:bookmarkStart w:id="4" w:name="_Toc35393621"/>
      <w:bookmarkStart w:id="5" w:name="_Hlk24379207"/>
      <w:bookmarkStart w:id="6" w:name="_Toc35393790"/>
      <w:r>
        <w:rPr>
          <w:rFonts w:hint="eastAsia" w:ascii="宋体" w:hAnsi="宋体" w:eastAsia="宋体" w:cs="宋体"/>
          <w:b/>
          <w:bCs/>
          <w:color w:val="auto"/>
          <w:sz w:val="24"/>
          <w:szCs w:val="20"/>
          <w:highlight w:val="none"/>
        </w:rPr>
        <w:t>一、项目基本情况</w:t>
      </w:r>
      <w:bookmarkEnd w:id="1"/>
      <w:bookmarkEnd w:id="2"/>
      <w:bookmarkEnd w:id="3"/>
      <w:bookmarkEnd w:id="4"/>
      <w:bookmarkEnd w:id="5"/>
      <w:bookmarkEnd w:id="6"/>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1.项目编号：</w:t>
      </w:r>
      <w:r>
        <w:rPr>
          <w:rFonts w:hint="eastAsia" w:ascii="宋体" w:hAnsi="宋体" w:eastAsia="宋体" w:cs="宋体"/>
          <w:color w:val="auto"/>
          <w:sz w:val="24"/>
          <w:szCs w:val="20"/>
          <w:highlight w:val="none"/>
          <w:lang w:eastAsia="zh-CN"/>
        </w:rPr>
        <w:t>JSZC-320900-YCSJ-C2026-0009</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2.项目名称：</w:t>
      </w:r>
      <w:r>
        <w:rPr>
          <w:rFonts w:hint="eastAsia" w:ascii="宋体" w:hAnsi="宋体" w:eastAsia="宋体" w:cs="宋体"/>
          <w:color w:val="auto"/>
          <w:sz w:val="24"/>
          <w:szCs w:val="20"/>
          <w:highlight w:val="none"/>
          <w:lang w:eastAsia="zh-CN"/>
        </w:rPr>
        <w:t>重金属环境安全隐患排查整治技术服务项目</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3.</w:t>
      </w:r>
      <w:r>
        <w:rPr>
          <w:rFonts w:hint="eastAsia" w:ascii="宋体" w:hAnsi="宋体" w:eastAsia="宋体" w:cs="宋体"/>
          <w:color w:val="auto"/>
          <w:sz w:val="24"/>
          <w:szCs w:val="20"/>
          <w:highlight w:val="none"/>
        </w:rPr>
        <w:t>采购方式：竞争性磋商</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4.预算金额：120.00</w:t>
      </w:r>
      <w:r>
        <w:rPr>
          <w:rFonts w:hint="eastAsia" w:ascii="宋体" w:hAnsi="宋体" w:eastAsia="宋体" w:cs="宋体"/>
          <w:color w:val="auto"/>
          <w:sz w:val="24"/>
          <w:szCs w:val="20"/>
          <w:highlight w:val="none"/>
        </w:rPr>
        <w:t>万元</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5.</w:t>
      </w:r>
      <w:r>
        <w:rPr>
          <w:rFonts w:hint="eastAsia" w:ascii="宋体" w:hAnsi="宋体" w:eastAsia="宋体" w:cs="宋体"/>
          <w:color w:val="auto"/>
          <w:sz w:val="24"/>
          <w:szCs w:val="20"/>
          <w:highlight w:val="none"/>
        </w:rPr>
        <w:t>最高限价：1</w:t>
      </w:r>
      <w:r>
        <w:rPr>
          <w:rFonts w:hint="eastAsia" w:ascii="宋体" w:hAnsi="宋体" w:eastAsia="宋体" w:cs="宋体"/>
          <w:color w:val="auto"/>
          <w:sz w:val="24"/>
          <w:szCs w:val="20"/>
          <w:highlight w:val="none"/>
          <w:lang w:val="en-US" w:eastAsia="zh-CN"/>
        </w:rPr>
        <w:t>20.00</w:t>
      </w:r>
      <w:r>
        <w:rPr>
          <w:rFonts w:hint="eastAsia" w:ascii="宋体" w:hAnsi="宋体" w:eastAsia="宋体" w:cs="宋体"/>
          <w:color w:val="auto"/>
          <w:sz w:val="24"/>
          <w:szCs w:val="20"/>
          <w:highlight w:val="none"/>
        </w:rPr>
        <w:t>万元</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.采购需求（简介）：</w:t>
      </w:r>
      <w:r>
        <w:rPr>
          <w:rFonts w:hint="eastAsia" w:ascii="宋体" w:hAnsi="宋体" w:eastAsia="宋体" w:cs="宋体"/>
          <w:color w:val="auto"/>
          <w:sz w:val="24"/>
          <w:szCs w:val="20"/>
          <w:highlight w:val="none"/>
          <w:lang w:eastAsia="zh-CN"/>
        </w:rPr>
        <w:t>重金属环境安全隐患排查整治技术服务项目</w:t>
      </w:r>
      <w:r>
        <w:rPr>
          <w:rFonts w:hint="eastAsia" w:ascii="宋体" w:hAnsi="宋体" w:eastAsia="宋体" w:cs="宋体"/>
          <w:color w:val="auto"/>
          <w:sz w:val="24"/>
          <w:szCs w:val="20"/>
          <w:highlight w:val="none"/>
        </w:rPr>
        <w:t>，详见本磋商文件第四章。</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7</w:t>
      </w:r>
      <w:r>
        <w:rPr>
          <w:rFonts w:hint="eastAsia" w:ascii="宋体" w:hAnsi="宋体" w:eastAsia="宋体" w:cs="宋体"/>
          <w:color w:val="auto"/>
          <w:sz w:val="24"/>
          <w:szCs w:val="20"/>
          <w:highlight w:val="none"/>
          <w:lang w:eastAsia="zh-CN"/>
        </w:rPr>
        <w:t>.合同履行期限：自合同签订之日起至2027年12月31日。</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8.本项目（是/否）接受联合体参与磋商：否。</w:t>
      </w:r>
    </w:p>
    <w:p>
      <w:pPr>
        <w:keepNext w:val="0"/>
        <w:keepLines w:val="0"/>
        <w:pageBreakBefore w:val="0"/>
        <w:widowControl/>
        <w:spacing w:line="600" w:lineRule="exact"/>
        <w:ind w:firstLine="482"/>
        <w:jc w:val="left"/>
        <w:rPr>
          <w:rFonts w:hint="eastAsia" w:ascii="宋体" w:hAnsi="宋体" w:eastAsia="宋体" w:cs="宋体"/>
          <w:b/>
          <w:bCs/>
          <w:color w:val="auto"/>
          <w:sz w:val="24"/>
          <w:szCs w:val="20"/>
          <w:highlight w:val="none"/>
        </w:rPr>
      </w:pPr>
      <w:bookmarkStart w:id="7" w:name="_Toc38985264"/>
      <w:bookmarkStart w:id="8" w:name="_Toc28359080"/>
      <w:bookmarkStart w:id="9" w:name="_Toc35393791"/>
      <w:bookmarkStart w:id="10" w:name="_Toc35393622"/>
      <w:bookmarkStart w:id="11" w:name="_Toc28359003"/>
      <w:r>
        <w:rPr>
          <w:rFonts w:hint="eastAsia" w:ascii="宋体" w:hAnsi="宋体" w:eastAsia="宋体" w:cs="宋体"/>
          <w:b/>
          <w:bCs/>
          <w:color w:val="auto"/>
          <w:sz w:val="24"/>
          <w:szCs w:val="20"/>
          <w:highlight w:val="none"/>
          <w:lang w:val="en-US" w:eastAsia="zh-CN"/>
        </w:rPr>
        <w:t>二、申请人的资格要求：</w:t>
      </w:r>
      <w:bookmarkEnd w:id="7"/>
      <w:bookmarkEnd w:id="8"/>
      <w:bookmarkEnd w:id="9"/>
      <w:bookmarkEnd w:id="10"/>
      <w:bookmarkEnd w:id="11"/>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1.满足《中华人民共和国政府采购法》第二十二条规定，并提供下列材料：</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1.1 法人或者其他组织的营业执照等证明文件，自然人的身份证明；</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1.2</w:t>
      </w:r>
      <w:r>
        <w:rPr>
          <w:rFonts w:hint="eastAsia" w:ascii="宋体" w:hAnsi="宋体" w:eastAsia="宋体" w:cs="宋体"/>
          <w:bCs/>
          <w:color w:val="auto"/>
          <w:sz w:val="24"/>
          <w:highlight w:val="none"/>
        </w:rPr>
        <w:t>上一年度的财务状况报表（</w:t>
      </w:r>
      <w:r>
        <w:rPr>
          <w:rFonts w:hint="eastAsia" w:ascii="宋体" w:hAnsi="宋体" w:eastAsia="宋体" w:cs="Times New Roman"/>
          <w:bCs/>
          <w:color w:val="auto"/>
          <w:sz w:val="24"/>
          <w:szCs w:val="21"/>
          <w:highlight w:val="none"/>
        </w:rPr>
        <w:t>至少提供资产负债表、利润表、现金流量表，投标人成立不满一年无需提供</w:t>
      </w:r>
      <w:r>
        <w:rPr>
          <w:rFonts w:hint="eastAsia" w:ascii="宋体" w:hAnsi="宋体" w:eastAsia="宋体" w:cs="宋体"/>
          <w:bCs/>
          <w:color w:val="auto"/>
          <w:sz w:val="24"/>
          <w:highlight w:val="none"/>
        </w:rPr>
        <w:t>）</w:t>
      </w:r>
      <w:r>
        <w:rPr>
          <w:rFonts w:hint="eastAsia" w:ascii="宋体" w:hAnsi="宋体" w:eastAsia="宋体" w:cs="宋体"/>
          <w:color w:val="auto"/>
          <w:sz w:val="24"/>
          <w:szCs w:val="20"/>
          <w:highlight w:val="none"/>
          <w:lang w:val="en-US" w:eastAsia="zh-CN"/>
        </w:rPr>
        <w:t>；</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1.3具备履行合同所必需的设备和专业技术能力的书面声明；</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1.4依法缴纳税收和社会保障资金的相关材料（提供提交响应文件截止时间前一年内至少一个月依法缴纳税收及缴纳社会保障资金的证明材料。供应商依法享受缓缴、免缴税收、社会保障资金的提供证明材料。）；</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1.5参加政府采购活动前3年内在经营活动中没有重大违法记录的书面声明；</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1.6法律、行政法规规定的其他条件；</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1.8单位负责人为同一人或者存在直接控股、管理关系的不同供应商，不得参加同一合同项下的政府采购活动。</w:t>
      </w:r>
    </w:p>
    <w:p>
      <w:pPr>
        <w:keepNext w:val="0"/>
        <w:keepLines w:val="0"/>
        <w:pageBreakBefore w:val="0"/>
        <w:widowControl/>
        <w:spacing w:line="600" w:lineRule="exact"/>
        <w:ind w:firstLine="482"/>
        <w:jc w:val="left"/>
        <w:rPr>
          <w:rFonts w:hint="eastAsia" w:ascii="宋体" w:hAnsi="宋体" w:eastAsia="宋体" w:cs="宋体"/>
          <w:b/>
          <w:bCs/>
          <w:color w:val="auto"/>
          <w:sz w:val="24"/>
          <w:szCs w:val="20"/>
          <w:highlight w:val="none"/>
        </w:rPr>
      </w:pPr>
      <w:r>
        <w:rPr>
          <w:rFonts w:hint="eastAsia" w:ascii="宋体" w:hAnsi="宋体" w:eastAsia="宋体" w:cs="宋体"/>
          <w:color w:val="auto"/>
          <w:sz w:val="24"/>
          <w:szCs w:val="20"/>
          <w:highlight w:val="none"/>
          <w:lang w:val="en-US" w:eastAsia="zh-CN"/>
        </w:rPr>
        <w:t>2.落实政府采购政策需满足的资格要求：</w:t>
      </w:r>
      <w:r>
        <w:rPr>
          <w:rFonts w:hint="eastAsia" w:ascii="宋体" w:hAnsi="宋体" w:eastAsia="宋体" w:cs="宋体"/>
          <w:b/>
          <w:bCs/>
          <w:color w:val="auto"/>
          <w:sz w:val="24"/>
          <w:szCs w:val="20"/>
          <w:highlight w:val="none"/>
          <w:lang w:val="en-US" w:eastAsia="zh-CN"/>
        </w:rPr>
        <w:t>专门面向中小企业采购。采购标的的所属行业为</w:t>
      </w:r>
      <w:r>
        <w:rPr>
          <w:rFonts w:hint="eastAsia" w:ascii="宋体" w:hAnsi="宋体" w:eastAsia="宋体" w:cs="宋体"/>
          <w:b/>
          <w:bCs/>
          <w:color w:val="auto"/>
          <w:sz w:val="24"/>
          <w:szCs w:val="24"/>
          <w:highlight w:val="none"/>
          <w:u w:val="single"/>
        </w:rPr>
        <w:t>其他未列明行业</w:t>
      </w:r>
      <w:r>
        <w:rPr>
          <w:rFonts w:hint="eastAsia" w:ascii="宋体" w:hAnsi="宋体" w:eastAsia="宋体" w:cs="宋体"/>
          <w:b/>
          <w:bCs/>
          <w:color w:val="auto"/>
          <w:sz w:val="24"/>
          <w:szCs w:val="20"/>
          <w:highlight w:val="none"/>
          <w:lang w:val="en-US" w:eastAsia="zh-CN"/>
        </w:rPr>
        <w:t>，投标人需按照招标文件的要求提供相应的《中小企业声明函》。企业标准请参照《关于印发中小企业划型标准规定的通知》(工信部联企业[2011]300号)文件规定自行填写。</w:t>
      </w:r>
    </w:p>
    <w:p>
      <w:pPr>
        <w:keepNext w:val="0"/>
        <w:keepLines w:val="0"/>
        <w:pageBreakBefore w:val="0"/>
        <w:widowControl/>
        <w:spacing w:line="600" w:lineRule="exact"/>
        <w:ind w:firstLine="482"/>
        <w:jc w:val="left"/>
        <w:rPr>
          <w:rFonts w:hint="eastAsia" w:ascii="宋体" w:hAnsi="宋体" w:eastAsia="宋体" w:cs="宋体"/>
          <w:b/>
          <w:bCs/>
          <w:color w:val="auto"/>
          <w:sz w:val="24"/>
          <w:szCs w:val="20"/>
          <w:highlight w:val="none"/>
        </w:rPr>
      </w:pPr>
      <w:r>
        <w:rPr>
          <w:rFonts w:hint="eastAsia" w:ascii="宋体" w:hAnsi="宋体" w:eastAsia="宋体" w:cs="宋体"/>
          <w:color w:val="auto"/>
          <w:sz w:val="24"/>
          <w:szCs w:val="20"/>
          <w:highlight w:val="none"/>
          <w:lang w:val="en-US" w:eastAsia="zh-CN"/>
        </w:rPr>
        <w:t>3.本项目的特定资格要求：</w:t>
      </w:r>
      <w:r>
        <w:rPr>
          <w:rFonts w:hint="eastAsia" w:ascii="宋体" w:hAnsi="宋体" w:eastAsia="宋体" w:cs="宋体"/>
          <w:b/>
          <w:bCs/>
          <w:color w:val="auto"/>
          <w:sz w:val="24"/>
          <w:szCs w:val="20"/>
          <w:highlight w:val="none"/>
          <w:lang w:val="en-US" w:eastAsia="zh-CN"/>
        </w:rPr>
        <w:t>公益一类事业单位、使用事业编制且由财政拨款保障的群团组织，不得作为承接主体（投标时须提供承诺函，格式自制）。</w:t>
      </w:r>
    </w:p>
    <w:p>
      <w:pPr>
        <w:keepNext w:val="0"/>
        <w:keepLines w:val="0"/>
        <w:pageBreakBefore w:val="0"/>
        <w:widowControl/>
        <w:spacing w:line="600" w:lineRule="exact"/>
        <w:ind w:firstLine="482"/>
        <w:jc w:val="left"/>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三、获取磋商文件</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bookmarkStart w:id="12" w:name="_Toc38985266"/>
      <w:bookmarkStart w:id="13" w:name="_Toc35393793"/>
      <w:bookmarkStart w:id="14" w:name="_Toc28359082"/>
      <w:bookmarkStart w:id="15" w:name="_Toc28359005"/>
      <w:bookmarkStart w:id="16" w:name="_Toc35393624"/>
      <w:r>
        <w:rPr>
          <w:rFonts w:hint="eastAsia" w:ascii="宋体" w:hAnsi="宋体" w:eastAsia="宋体" w:cs="宋体"/>
          <w:color w:val="auto"/>
          <w:sz w:val="24"/>
          <w:szCs w:val="20"/>
          <w:highlight w:val="none"/>
          <w:lang w:val="en-US" w:eastAsia="zh-CN"/>
        </w:rPr>
        <w:t>1.时间：自磋商文件公告发布之日起5个工作日</w:t>
      </w:r>
      <w:bookmarkEnd w:id="12"/>
      <w:bookmarkEnd w:id="13"/>
      <w:bookmarkEnd w:id="14"/>
      <w:bookmarkEnd w:id="15"/>
      <w:bookmarkEnd w:id="16"/>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2.地点：“苏采云”系统内免费下载（投标人必须在苏采云系统中获取磋商文件，方能参与政府采购项目）</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3.方式：本项目采用网上注册登记方式。 </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4.售价：0元</w:t>
      </w:r>
    </w:p>
    <w:p>
      <w:pPr>
        <w:keepNext w:val="0"/>
        <w:keepLines w:val="0"/>
        <w:pageBreakBefore w:val="0"/>
        <w:widowControl/>
        <w:spacing w:line="600" w:lineRule="exact"/>
        <w:ind w:firstLine="482"/>
        <w:jc w:val="left"/>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四、响应文件提交</w:t>
      </w:r>
    </w:p>
    <w:p>
      <w:pPr>
        <w:keepNext w:val="0"/>
        <w:keepLines w:val="0"/>
        <w:pageBreakBefore w:val="0"/>
        <w:widowControl/>
        <w:spacing w:line="6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1.截止时间：</w:t>
      </w:r>
      <w:r>
        <w:rPr>
          <w:rFonts w:hint="eastAsia" w:ascii="宋体" w:hAnsi="宋体" w:eastAsia="宋体" w:cs="宋体"/>
          <w:color w:val="auto"/>
          <w:sz w:val="24"/>
          <w:highlight w:val="none"/>
        </w:rPr>
        <w:t>2026年</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点</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0分（北京时间）</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2.地点：苏采云“不见面”开标大厅。</w:t>
      </w:r>
    </w:p>
    <w:p>
      <w:pPr>
        <w:keepNext w:val="0"/>
        <w:keepLines w:val="0"/>
        <w:pageBreakBefore w:val="0"/>
        <w:widowControl/>
        <w:spacing w:line="600" w:lineRule="exact"/>
        <w:ind w:firstLine="482"/>
        <w:jc w:val="left"/>
        <w:rPr>
          <w:rFonts w:hint="eastAsia" w:ascii="宋体" w:hAnsi="宋体" w:eastAsia="宋体" w:cs="宋体"/>
          <w:b/>
          <w:bCs/>
          <w:color w:val="auto"/>
          <w:sz w:val="24"/>
          <w:szCs w:val="20"/>
          <w:highlight w:val="none"/>
        </w:rPr>
      </w:pPr>
      <w:bookmarkStart w:id="17" w:name="_Toc38985268"/>
      <w:bookmarkStart w:id="18" w:name="_Toc35393795"/>
      <w:bookmarkStart w:id="19" w:name="_Toc35393626"/>
      <w:r>
        <w:rPr>
          <w:rFonts w:hint="eastAsia" w:ascii="宋体" w:hAnsi="宋体" w:eastAsia="宋体" w:cs="宋体"/>
          <w:b/>
          <w:bCs/>
          <w:color w:val="auto"/>
          <w:sz w:val="24"/>
          <w:szCs w:val="20"/>
          <w:highlight w:val="none"/>
        </w:rPr>
        <w:t>五、开启</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1.时间：</w:t>
      </w:r>
      <w:bookmarkEnd w:id="17"/>
      <w:bookmarkEnd w:id="18"/>
      <w:bookmarkEnd w:id="19"/>
      <w:r>
        <w:rPr>
          <w:rFonts w:hint="eastAsia" w:ascii="宋体" w:hAnsi="宋体" w:eastAsia="宋体" w:cs="宋体"/>
          <w:color w:val="auto"/>
          <w:sz w:val="24"/>
          <w:highlight w:val="none"/>
        </w:rPr>
        <w:t>2026年</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点</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0分（北京时间）</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2.地点：苏采云“不见面”开标大厅。</w:t>
      </w:r>
    </w:p>
    <w:p>
      <w:pPr>
        <w:keepNext w:val="0"/>
        <w:keepLines w:val="0"/>
        <w:pageBreakBefore w:val="0"/>
        <w:widowControl/>
        <w:spacing w:line="600" w:lineRule="exact"/>
        <w:ind w:firstLine="482"/>
        <w:jc w:val="left"/>
        <w:rPr>
          <w:rFonts w:hint="eastAsia" w:ascii="宋体" w:hAnsi="宋体" w:eastAsia="宋体" w:cs="宋体"/>
          <w:b/>
          <w:bCs/>
          <w:color w:val="auto"/>
          <w:sz w:val="24"/>
          <w:szCs w:val="20"/>
          <w:highlight w:val="none"/>
        </w:rPr>
      </w:pPr>
      <w:bookmarkStart w:id="20" w:name="_Toc28359094"/>
      <w:r>
        <w:rPr>
          <w:rFonts w:hint="eastAsia" w:ascii="宋体" w:hAnsi="宋体" w:eastAsia="宋体" w:cs="宋体"/>
          <w:b/>
          <w:bCs/>
          <w:color w:val="auto"/>
          <w:sz w:val="24"/>
          <w:szCs w:val="20"/>
          <w:highlight w:val="none"/>
          <w:lang w:val="en-US" w:eastAsia="zh-CN"/>
        </w:rPr>
        <w:t>六、公告期限</w:t>
      </w:r>
      <w:bookmarkEnd w:id="20"/>
      <w:bookmarkStart w:id="75" w:name="_GoBack"/>
      <w:bookmarkEnd w:id="75"/>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自本公告发布之日起3个工作日</w:t>
      </w:r>
    </w:p>
    <w:p>
      <w:pPr>
        <w:keepNext w:val="0"/>
        <w:keepLines w:val="0"/>
        <w:pageBreakBefore w:val="0"/>
        <w:widowControl/>
        <w:spacing w:line="600" w:lineRule="exact"/>
        <w:ind w:firstLine="482"/>
        <w:jc w:val="left"/>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七、其他补充事宜</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bookmarkStart w:id="21" w:name="_Toc28359018"/>
      <w:r>
        <w:rPr>
          <w:rFonts w:hint="eastAsia" w:ascii="宋体" w:hAnsi="宋体" w:eastAsia="宋体" w:cs="宋体"/>
          <w:color w:val="auto"/>
          <w:sz w:val="24"/>
          <w:szCs w:val="20"/>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领取CA和办理电子签章（</w:t>
      </w:r>
      <w:r>
        <w:rPr>
          <w:rFonts w:hint="eastAsia" w:ascii="宋体" w:hAnsi="宋体" w:eastAsia="宋体" w:cs="宋体"/>
          <w:b/>
          <w:bCs/>
          <w:color w:val="auto"/>
          <w:sz w:val="24"/>
          <w:szCs w:val="20"/>
          <w:highlight w:val="none"/>
          <w:lang w:val="en-US" w:eastAsia="zh-CN"/>
        </w:rPr>
        <w:t>盐城市府西路1号盐城市公共资源交易中心四楼大厅10号，11号窗口办理</w:t>
      </w:r>
      <w:r>
        <w:rPr>
          <w:rFonts w:hint="eastAsia" w:ascii="宋体" w:hAnsi="宋体" w:eastAsia="宋体" w:cs="宋体"/>
          <w:color w:val="auto"/>
          <w:sz w:val="24"/>
          <w:szCs w:val="20"/>
          <w:highlight w:val="none"/>
          <w:lang w:val="en-US" w:eastAsia="zh-CN"/>
        </w:rPr>
        <w:t>，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2.潜在供应商访问电子招标响应交易平台的网络地址和方法： </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2.2 潜在投标人访问“苏采云”系统方法：江苏省政府采购网首页-“苏采云”链接。 </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2.3 磋商文件（后缀名为“.kedt”）、供应商操作手册及政府采购客户端 工具可通过“苏采云”系统相应链接进行下载。 </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2.4 采购代理机构将数据电文形式的磋商文件加载至“苏采云”系统，供潜在供应商下载或者查阅。 </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2.5 请潜在投标单位提前安装相应的控件（详见《“苏采云”系统供应商操作手册》）并使用谷歌浏览器登录“苏采云”系统参与不见面开评标。 </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如潜在投标人未按上述要求操作，将自行承担所产生的风险。</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3. 有关本次磋商的事项若存在变动或修改，敬请及时关注采购代理机构在“中国政府采购网”“江苏政府采购网”“盐城市政府采购网”发布的更正公告。</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4. 本次磋商不收取磋商保证金，不收取质量保证金。</w:t>
      </w:r>
    </w:p>
    <w:p>
      <w:pPr>
        <w:keepNext w:val="0"/>
        <w:keepLines w:val="0"/>
        <w:pageBreakBefore w:val="0"/>
        <w:widowControl/>
        <w:spacing w:line="600" w:lineRule="exact"/>
        <w:ind w:firstLine="482"/>
        <w:jc w:val="left"/>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八、凡对本次采购提出询问，请按以下方式联系。</w:t>
      </w:r>
      <w:bookmarkEnd w:id="21"/>
    </w:p>
    <w:p>
      <w:pPr>
        <w:keepNext w:val="0"/>
        <w:keepLines w:val="0"/>
        <w:pageBreakBefore w:val="0"/>
        <w:widowControl/>
        <w:spacing w:line="600" w:lineRule="exact"/>
        <w:ind w:firstLine="482"/>
        <w:jc w:val="left"/>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1.采购人信息</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名    称：盐城市生态环境局  </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地    址：盐城市世纪大道21号</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联 系 人：胡先生              </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联系方式：</w:t>
      </w:r>
      <w:bookmarkStart w:id="22" w:name="OLE_LINK4"/>
      <w:r>
        <w:rPr>
          <w:rFonts w:hint="eastAsia" w:ascii="宋体" w:hAnsi="宋体" w:eastAsia="宋体" w:cs="宋体"/>
          <w:color w:val="auto"/>
          <w:sz w:val="24"/>
          <w:szCs w:val="20"/>
          <w:highlight w:val="none"/>
          <w:lang w:val="en-US" w:eastAsia="zh-CN"/>
        </w:rPr>
        <w:t>0515-86668808</w:t>
      </w:r>
      <w:bookmarkEnd w:id="22"/>
      <w:r>
        <w:rPr>
          <w:rFonts w:hint="eastAsia" w:ascii="宋体" w:hAnsi="宋体" w:eastAsia="宋体" w:cs="宋体"/>
          <w:color w:val="auto"/>
          <w:sz w:val="24"/>
          <w:szCs w:val="20"/>
          <w:highlight w:val="none"/>
          <w:lang w:val="en-US" w:eastAsia="zh-CN"/>
        </w:rPr>
        <w:t>   </w:t>
      </w:r>
      <w:bookmarkStart w:id="23" w:name="_Toc28359009"/>
      <w:bookmarkEnd w:id="23"/>
      <w:r>
        <w:rPr>
          <w:rFonts w:hint="eastAsia" w:ascii="宋体" w:hAnsi="宋体" w:eastAsia="宋体" w:cs="宋体"/>
          <w:color w:val="auto"/>
          <w:sz w:val="24"/>
          <w:szCs w:val="20"/>
          <w:highlight w:val="none"/>
          <w:lang w:val="en-US" w:eastAsia="zh-CN"/>
        </w:rPr>
        <w:t xml:space="preserve">       </w:t>
      </w:r>
    </w:p>
    <w:p>
      <w:pPr>
        <w:keepNext w:val="0"/>
        <w:keepLines w:val="0"/>
        <w:pageBreakBefore w:val="0"/>
        <w:widowControl/>
        <w:spacing w:line="60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2.采购代理机构信息</w:t>
      </w:r>
    </w:p>
    <w:p>
      <w:pPr>
        <w:keepNext w:val="0"/>
        <w:keepLines w:val="0"/>
        <w:pageBreakBefore w:val="0"/>
        <w:widowControl/>
        <w:spacing w:line="6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名 </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称：盐城市</w:t>
      </w:r>
      <w:r>
        <w:rPr>
          <w:rFonts w:hint="eastAsia" w:ascii="宋体" w:hAnsi="宋体" w:eastAsia="宋体" w:cs="宋体"/>
          <w:color w:val="auto"/>
          <w:sz w:val="24"/>
          <w:szCs w:val="20"/>
          <w:highlight w:val="none"/>
          <w:lang w:eastAsia="zh-CN"/>
        </w:rPr>
        <w:t>建业工程咨询有限公司</w:t>
      </w:r>
      <w:r>
        <w:rPr>
          <w:rFonts w:hint="eastAsia" w:ascii="宋体" w:hAnsi="宋体" w:eastAsia="宋体" w:cs="宋体"/>
          <w:color w:val="auto"/>
          <w:sz w:val="24"/>
          <w:szCs w:val="20"/>
          <w:highlight w:val="none"/>
        </w:rPr>
        <w:t xml:space="preserve"> </w:t>
      </w:r>
    </w:p>
    <w:p>
      <w:pPr>
        <w:keepNext w:val="0"/>
        <w:keepLines w:val="0"/>
        <w:pageBreakBefore w:val="0"/>
        <w:widowControl/>
        <w:spacing w:line="6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地    址：</w:t>
      </w:r>
      <w:r>
        <w:rPr>
          <w:rFonts w:hint="eastAsia" w:ascii="宋体" w:hAnsi="宋体" w:eastAsia="宋体" w:cs="宋体"/>
          <w:color w:val="auto"/>
          <w:sz w:val="24"/>
          <w:szCs w:val="20"/>
          <w:highlight w:val="none"/>
          <w:lang w:val="en-US" w:eastAsia="zh-CN"/>
        </w:rPr>
        <w:t>盐城市亭湖区范公中路89号</w:t>
      </w:r>
    </w:p>
    <w:p>
      <w:pPr>
        <w:keepNext w:val="0"/>
        <w:keepLines w:val="0"/>
        <w:pageBreakBefore w:val="0"/>
        <w:widowControl/>
        <w:spacing w:line="6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联 系 人：</w:t>
      </w:r>
      <w:r>
        <w:rPr>
          <w:rFonts w:hint="eastAsia" w:ascii="宋体" w:hAnsi="宋体" w:eastAsia="宋体" w:cs="宋体"/>
          <w:color w:val="auto"/>
          <w:sz w:val="24"/>
          <w:szCs w:val="20"/>
          <w:highlight w:val="none"/>
          <w:lang w:eastAsia="zh-CN"/>
        </w:rPr>
        <w:t>罗先生</w:t>
      </w:r>
      <w:r>
        <w:rPr>
          <w:rFonts w:hint="eastAsia" w:ascii="宋体" w:hAnsi="宋体" w:eastAsia="宋体" w:cs="宋体"/>
          <w:color w:val="auto"/>
          <w:sz w:val="24"/>
          <w:szCs w:val="20"/>
          <w:highlight w:val="none"/>
        </w:rPr>
        <w:t xml:space="preserve">                    </w:t>
      </w:r>
    </w:p>
    <w:p>
      <w:pPr>
        <w:keepNext w:val="0"/>
        <w:keepLines w:val="0"/>
        <w:pageBreakBefore w:val="0"/>
        <w:widowControl/>
        <w:spacing w:line="6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联系方式：</w:t>
      </w:r>
      <w:bookmarkStart w:id="24" w:name="_Toc28359087"/>
      <w:bookmarkStart w:id="25" w:name="_Toc28359010"/>
      <w:r>
        <w:rPr>
          <w:rFonts w:hint="eastAsia" w:ascii="宋体" w:hAnsi="宋体" w:eastAsia="宋体" w:cs="宋体"/>
          <w:color w:val="auto"/>
          <w:sz w:val="24"/>
          <w:szCs w:val="20"/>
          <w:highlight w:val="none"/>
          <w:lang w:val="en-US" w:eastAsia="zh-CN"/>
        </w:rPr>
        <w:t>13365199675</w:t>
      </w:r>
      <w:r>
        <w:rPr>
          <w:rFonts w:hint="eastAsia" w:ascii="宋体" w:hAnsi="宋体" w:eastAsia="宋体" w:cs="宋体"/>
          <w:color w:val="auto"/>
          <w:sz w:val="24"/>
          <w:szCs w:val="20"/>
          <w:highlight w:val="none"/>
        </w:rPr>
        <w:t> </w:t>
      </w:r>
      <w:bookmarkEnd w:id="24"/>
      <w:bookmarkEnd w:id="25"/>
    </w:p>
    <w:p>
      <w:pPr>
        <w:keepNext w:val="0"/>
        <w:keepLines w:val="0"/>
        <w:pageBreakBefore w:val="0"/>
        <w:widowControl/>
        <w:spacing w:line="600" w:lineRule="exact"/>
        <w:ind w:firstLine="480"/>
        <w:jc w:val="left"/>
        <w:outlineLvl w:val="2"/>
        <w:rPr>
          <w:rFonts w:hint="eastAsia" w:ascii="宋体" w:hAnsi="宋体" w:eastAsia="宋体" w:cs="宋体"/>
          <w:b/>
          <w:bCs/>
          <w:color w:val="auto"/>
          <w:sz w:val="24"/>
          <w:szCs w:val="20"/>
          <w:highlight w:val="none"/>
        </w:rPr>
      </w:pPr>
      <w:bookmarkStart w:id="26" w:name="_Toc28359021"/>
      <w:r>
        <w:rPr>
          <w:rFonts w:hint="eastAsia" w:ascii="宋体" w:hAnsi="宋体" w:eastAsia="宋体" w:cs="宋体"/>
          <w:b/>
          <w:bCs/>
          <w:color w:val="auto"/>
          <w:sz w:val="24"/>
          <w:szCs w:val="20"/>
          <w:highlight w:val="none"/>
        </w:rPr>
        <w:t>3.</w:t>
      </w:r>
      <w:bookmarkEnd w:id="26"/>
      <w:r>
        <w:rPr>
          <w:rFonts w:hint="eastAsia" w:ascii="宋体" w:hAnsi="宋体" w:eastAsia="宋体" w:cs="宋体"/>
          <w:b/>
          <w:bCs/>
          <w:color w:val="auto"/>
          <w:sz w:val="24"/>
          <w:szCs w:val="20"/>
          <w:highlight w:val="none"/>
        </w:rPr>
        <w:t>项目联系方式</w:t>
      </w:r>
    </w:p>
    <w:p>
      <w:pPr>
        <w:keepNext w:val="0"/>
        <w:keepLines w:val="0"/>
        <w:pageBreakBefore w:val="0"/>
        <w:widowControl/>
        <w:spacing w:line="6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项目联系人：</w:t>
      </w:r>
      <w:r>
        <w:rPr>
          <w:rFonts w:hint="eastAsia" w:ascii="宋体" w:hAnsi="宋体" w:eastAsia="宋体" w:cs="宋体"/>
          <w:color w:val="auto"/>
          <w:sz w:val="24"/>
          <w:szCs w:val="20"/>
          <w:highlight w:val="none"/>
          <w:lang w:val="en-US" w:eastAsia="zh-CN"/>
        </w:rPr>
        <w:t>胡</w:t>
      </w:r>
      <w:r>
        <w:rPr>
          <w:rFonts w:hint="eastAsia" w:ascii="宋体" w:hAnsi="宋体" w:eastAsia="宋体" w:cs="宋体"/>
          <w:color w:val="auto"/>
          <w:sz w:val="24"/>
          <w:szCs w:val="20"/>
          <w:highlight w:val="none"/>
          <w:lang w:eastAsia="zh-CN"/>
        </w:rPr>
        <w:t>先生</w:t>
      </w:r>
    </w:p>
    <w:p>
      <w:pPr>
        <w:keepNext w:val="0"/>
        <w:keepLines w:val="0"/>
        <w:pageBreakBefore w:val="0"/>
        <w:widowControl/>
        <w:spacing w:line="6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联系电话：</w:t>
      </w:r>
      <w:r>
        <w:rPr>
          <w:rFonts w:hint="eastAsia" w:ascii="宋体" w:hAnsi="宋体" w:eastAsia="宋体" w:cs="宋体"/>
          <w:color w:val="auto"/>
          <w:sz w:val="24"/>
          <w:szCs w:val="20"/>
          <w:highlight w:val="none"/>
          <w:lang w:val="en-US" w:eastAsia="zh-CN"/>
        </w:rPr>
        <w:t>0515-86668808</w:t>
      </w:r>
      <w:r>
        <w:rPr>
          <w:rFonts w:hint="eastAsia" w:ascii="宋体" w:hAnsi="宋体" w:eastAsia="宋体" w:cs="宋体"/>
          <w:color w:val="auto"/>
          <w:sz w:val="24"/>
          <w:szCs w:val="20"/>
          <w:highlight w:val="none"/>
        </w:rPr>
        <w:t> </w:t>
      </w:r>
    </w:p>
    <w:p>
      <w:pPr>
        <w:pageBreakBefore w:val="0"/>
        <w:ind w:firstLine="480"/>
        <w:rPr>
          <w:rFonts w:hint="default" w:ascii="Times New Roman" w:hAnsi="Times New Roman" w:cs="Times New Roman"/>
          <w:color w:val="auto"/>
          <w:highlight w:val="none"/>
        </w:rPr>
      </w:pPr>
      <w:r>
        <w:rPr>
          <w:rFonts w:hint="default" w:ascii="Times New Roman" w:hAnsi="Times New Roman" w:eastAsia="宋体" w:cs="Times New Roman"/>
          <w:color w:val="auto"/>
          <w:sz w:val="24"/>
          <w:szCs w:val="20"/>
          <w:highlight w:val="none"/>
          <w:lang w:val="en-US" w:eastAsia="zh-CN"/>
        </w:rPr>
        <w:t>　　　　　　　</w:t>
      </w:r>
    </w:p>
    <w:p>
      <w:pPr>
        <w:shd w:val="clear" w:color="auto"/>
        <w:rPr>
          <w:rFonts w:hint="default" w:ascii="Times New Roman" w:hAnsi="Times New Roman" w:cs="Times New Roman"/>
          <w:b w:val="0"/>
          <w:bCs w:val="0"/>
          <w:color w:val="auto"/>
          <w:highlight w:val="none"/>
        </w:rPr>
      </w:pPr>
      <w:r>
        <w:rPr>
          <w:rFonts w:hint="default" w:ascii="Times New Roman" w:hAnsi="Times New Roman" w:eastAsia="黑体" w:cs="Times New Roman"/>
          <w:b w:val="0"/>
          <w:bCs/>
          <w:color w:val="auto"/>
          <w:sz w:val="44"/>
          <w:szCs w:val="44"/>
          <w:highlight w:val="none"/>
        </w:rPr>
        <w:br w:type="page" w:clear="all"/>
      </w:r>
    </w:p>
    <w:p>
      <w:pPr>
        <w:pStyle w:val="36"/>
        <w:keepNext/>
        <w:keepLines/>
        <w:spacing w:before="260" w:beforeAutospacing="0" w:after="260" w:afterAutospacing="0" w:line="240" w:lineRule="auto"/>
        <w:jc w:val="center"/>
        <w:rPr>
          <w:rFonts w:hint="default" w:ascii="Times New Roman" w:hAnsi="Times New Roman" w:eastAsia="黑体" w:cs="Times New Roman"/>
          <w:b w:val="0"/>
          <w:bCs w:val="0"/>
          <w:color w:val="auto"/>
          <w:sz w:val="44"/>
          <w:szCs w:val="44"/>
          <w:highlight w:val="none"/>
        </w:rPr>
      </w:pPr>
      <w:bookmarkStart w:id="27" w:name="_Toc120614211"/>
      <w:r>
        <w:rPr>
          <w:rFonts w:hint="default" w:ascii="Times New Roman" w:hAnsi="Times New Roman" w:eastAsia="黑体" w:cs="Times New Roman"/>
          <w:b w:val="0"/>
          <w:bCs/>
          <w:color w:val="auto"/>
          <w:sz w:val="44"/>
          <w:szCs w:val="44"/>
          <w:highlight w:val="none"/>
        </w:rPr>
        <w:t xml:space="preserve">第二章  </w:t>
      </w:r>
      <w:bookmarkEnd w:id="27"/>
      <w:r>
        <w:rPr>
          <w:rFonts w:hint="default" w:ascii="Times New Roman" w:hAnsi="Times New Roman" w:eastAsia="黑体" w:cs="Times New Roman"/>
          <w:b w:val="0"/>
          <w:bCs/>
          <w:color w:val="auto"/>
          <w:sz w:val="44"/>
          <w:szCs w:val="44"/>
          <w:highlight w:val="none"/>
        </w:rPr>
        <w:t>供应商须知</w:t>
      </w:r>
    </w:p>
    <w:p>
      <w:pPr>
        <w:keepNext w:val="0"/>
        <w:keepLines w:val="0"/>
        <w:pageBreakBefore w:val="0"/>
        <w:widowControl/>
        <w:spacing w:line="600" w:lineRule="exact"/>
        <w:ind w:firstLine="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w:t>
      </w:r>
      <w:bookmarkStart w:id="28" w:name="_Toc120614214"/>
      <w:bookmarkStart w:id="29" w:name="_Toc513029203"/>
      <w:bookmarkStart w:id="30" w:name="_Toc16938519"/>
      <w:bookmarkStart w:id="31" w:name="_Toc20823275"/>
      <w:r>
        <w:rPr>
          <w:rFonts w:hint="eastAsia" w:ascii="宋体" w:hAnsi="宋体" w:eastAsia="宋体" w:cs="宋体"/>
          <w:b/>
          <w:bCs/>
          <w:color w:val="auto"/>
          <w:sz w:val="24"/>
          <w:szCs w:val="24"/>
          <w:highlight w:val="none"/>
        </w:rPr>
        <w:t>一、总则</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1、采购方式</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本次政府采购活动采取竞争性磋商(以下简称磋商)方式，本磋商文件仅适用于磋商公告中所述项目。</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2、合格的供应商</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2.1满足磋商公告中供应商资格要求的规定。</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满足本磋商文件实质性要求和条件的规定。</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3、适用法律和标准</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在本项目政府采购活动过程中，如果所执行的标准有更新的，按照最新标准执行。</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4、磋商费用</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4.1供应商应自行承担所有与参加本次磋商有关的费用，无论磋商过程中的做法和结果如何，</w:t>
      </w:r>
      <w:r>
        <w:rPr>
          <w:rFonts w:hint="eastAsia" w:ascii="宋体" w:hAnsi="宋体" w:eastAsia="宋体" w:cs="宋体"/>
          <w:color w:val="auto"/>
          <w:sz w:val="24"/>
          <w:szCs w:val="24"/>
          <w:highlight w:val="none"/>
          <w:lang w:eastAsia="zh-CN"/>
        </w:rPr>
        <w:t>采购人和采购代理机构</w:t>
      </w:r>
      <w:r>
        <w:rPr>
          <w:rFonts w:hint="eastAsia" w:ascii="宋体" w:hAnsi="宋体" w:eastAsia="宋体" w:cs="宋体"/>
          <w:color w:val="auto"/>
          <w:sz w:val="24"/>
          <w:szCs w:val="24"/>
          <w:highlight w:val="none"/>
        </w:rPr>
        <w:t>在任何情况下均无义务和责任承担这些费用。</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4.2本次磋商</w:t>
      </w:r>
      <w:r>
        <w:rPr>
          <w:rFonts w:hint="eastAsia" w:ascii="宋体" w:hAnsi="宋体" w:eastAsia="宋体" w:cs="宋体"/>
          <w:color w:val="auto"/>
          <w:sz w:val="24"/>
          <w:szCs w:val="24"/>
          <w:highlight w:val="none"/>
          <w:lang w:eastAsia="zh-CN"/>
        </w:rPr>
        <w:t>采购人和采购代理机构</w:t>
      </w:r>
      <w:r>
        <w:rPr>
          <w:rFonts w:hint="eastAsia" w:ascii="宋体" w:hAnsi="宋体" w:eastAsia="宋体" w:cs="宋体"/>
          <w:color w:val="auto"/>
          <w:sz w:val="24"/>
          <w:szCs w:val="24"/>
          <w:highlight w:val="none"/>
        </w:rPr>
        <w:t>不收取标书工本费。</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4.3本项目按苏招协〔2022〕002号收费标准的</w:t>
      </w:r>
      <w:r>
        <w:rPr>
          <w:rFonts w:hint="eastAsia" w:ascii="宋体" w:hAnsi="宋体" w:eastAsia="宋体" w:cs="宋体"/>
          <w:color w:val="auto"/>
          <w:sz w:val="24"/>
          <w:szCs w:val="24"/>
          <w:highlight w:val="none"/>
          <w:lang w:eastAsia="zh-CN"/>
        </w:rPr>
        <w:t>计</w:t>
      </w:r>
      <w:r>
        <w:rPr>
          <w:rFonts w:hint="eastAsia" w:ascii="宋体" w:hAnsi="宋体" w:eastAsia="宋体" w:cs="宋体"/>
          <w:color w:val="auto"/>
          <w:sz w:val="24"/>
          <w:szCs w:val="24"/>
          <w:highlight w:val="none"/>
        </w:rPr>
        <w:t>取</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代理服务费，即50万元以内按1万元计取，50-400万元按1.5%计取中标后由成交供应商向代理公司支付。供应商投标时综合考虑</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代理服务费报价中，此项费用不得单列，凡漏项或少计均视为优惠采购人，不另行增加费用。中标后由成交供应商在领取中标（成交）通知书前直接向招标代理公司一次性付清。</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5、磋商文件的约束力</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5.1供应商一旦参加本项目采购活动，即被认为接受了本磋商文件的规定和约束。</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二、磋商文件</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6、磋商文件构成</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6.1磋商文件由以下部分组成：</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（1）磋商公告</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（5）评审方法与评审标准</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（6）响应文件格式</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请仔细检查磋商文件是否齐全，如有缺漏请立即与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联系解决。</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7、磋商文件的澄清</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任何要求对磋商文件进行澄清的供应商，应在磋商截止期</w:t>
      </w:r>
      <w:r>
        <w:rPr>
          <w:rFonts w:hint="eastAsia" w:ascii="宋体" w:hAnsi="宋体" w:eastAsia="宋体" w:cs="宋体"/>
          <w:b/>
          <w:bCs/>
          <w:color w:val="auto"/>
          <w:sz w:val="24"/>
          <w:szCs w:val="24"/>
          <w:highlight w:val="none"/>
        </w:rPr>
        <w:t>5日</w:t>
      </w:r>
      <w:r>
        <w:rPr>
          <w:rFonts w:hint="eastAsia" w:ascii="宋体" w:hAnsi="宋体" w:eastAsia="宋体" w:cs="宋体"/>
          <w:color w:val="auto"/>
          <w:sz w:val="24"/>
          <w:szCs w:val="24"/>
          <w:highlight w:val="none"/>
        </w:rPr>
        <w:t>前按磋商公告中的通讯地址，以书面形式通知</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8、磋商文件的澄清和修改</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在响应文件提交截止时间前，</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可以对磋商文件进行澄清和修改, 澄清或者修改的内容作为磋商文件的组成部分。澄清或者修改的内容可能影响响应文件编制的，</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将顺延提交首次响应文件截止时间。</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可以视采购项目的具体情况，组织供应商进行现场考察或召开磋商前答疑会，但不单独或分别组织只有一个供应商参加的现场考察和答疑会。</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三、响应文件的编制</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9、响应文件的语言及度量衡单位</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9.1供应商提交的响应文件以及供应商与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就有关磋商的所有来往通知、函件和文件均应使用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除技术性能另有规定外，响应文件所使用的度量衡单位，均须采用国家法定计量单位。</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10、响应文件构成</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10.1供应商编写的响应文件应包括资格证明文件、符合性证明文件、分项报价表、技术要求响应及偏离表、商务要求响应及偏离表、其他证明文件、磋商响应函等部分。</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w:t>
      </w:r>
      <w:r>
        <w:rPr>
          <w:rFonts w:hint="eastAsia" w:ascii="宋体" w:hAnsi="宋体" w:eastAsia="宋体" w:cs="宋体"/>
          <w:b/>
          <w:bCs/>
          <w:color w:val="auto"/>
          <w:sz w:val="24"/>
          <w:szCs w:val="24"/>
          <w:highlight w:val="none"/>
        </w:rPr>
        <w:t>“中国政府采购网”“江苏政府采购网”“盐城市政府采购网”</w:t>
      </w:r>
      <w:r>
        <w:rPr>
          <w:rFonts w:hint="eastAsia" w:ascii="宋体" w:hAnsi="宋体" w:eastAsia="宋体" w:cs="宋体"/>
          <w:b w:val="0"/>
          <w:bCs w:val="0"/>
          <w:color w:val="auto"/>
          <w:sz w:val="24"/>
          <w:szCs w:val="24"/>
          <w:highlight w:val="none"/>
        </w:rPr>
        <w:t>发布的磋商文件不一致，请以</w:t>
      </w:r>
      <w:r>
        <w:rPr>
          <w:rFonts w:hint="eastAsia" w:ascii="宋体" w:hAnsi="宋体" w:eastAsia="宋体" w:cs="宋体"/>
          <w:b/>
          <w:bCs/>
          <w:color w:val="auto"/>
          <w:sz w:val="24"/>
          <w:szCs w:val="24"/>
          <w:highlight w:val="none"/>
        </w:rPr>
        <w:t>“中国政府采购网”“江苏政府采购网”“盐城市政府采购网”</w:t>
      </w:r>
      <w:r>
        <w:rPr>
          <w:rFonts w:hint="eastAsia" w:ascii="宋体" w:hAnsi="宋体" w:eastAsia="宋体" w:cs="宋体"/>
          <w:color w:val="auto"/>
          <w:sz w:val="24"/>
          <w:szCs w:val="24"/>
          <w:highlight w:val="none"/>
        </w:rPr>
        <w:t>发布的磋商文件为准。</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11、证明磋商响应标的符合磋商文件规定的文件</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11.1供应商应按照磋商文件要求提交证明文件，证明其及磋商响应标的符合磋商文件规定。</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11.2磋商文件对证明文件无明确形式要求的，证明文件可以以文字资料、图纸和数据等形式提交。</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12、分项报价表</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12.1供应商应按照磋商文件规定格式填报分项报价表。</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12.2磋商货币。响应文件中的单价和总价无特殊规定的采用人民币报价，以元为单位标注。磋商文件中另有规定的按规定执行。</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13、技术要求响应及偏离表、商务要求响应及偏离表</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13.1供应商需对磋商文件中的技术要求与商务要求逐项作出响应或偏离，并说明原因。</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13.2供应商可在响应文件中提供认为需要的其他技术文件或说明。</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14、服务承诺、培训计划、人员安排及其他</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14.1供应商需根据磋商文件要求提供有关售后服务的管理制度，售后服务机构的分布情况，售后服务人员的数量、素质、技术水平及售后服务的反应能力等。</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14.2供应商需根据磋商文件要求提供培训计划。</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14.3供应商需根据磋商文件要求提供磋商响应标的的主要组成部分、功能设计、实现思路及关键技术等。</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15、磋商响应函</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15.1供应商应按照磋商文件中提供的格式完整、正确填写磋商响应函。</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16、磋商有效期</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16.1磋商有效期为</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规定的提交响应文件截止之日后</w:t>
      </w:r>
      <w:r>
        <w:rPr>
          <w:rFonts w:hint="eastAsia" w:ascii="宋体" w:hAnsi="宋体" w:eastAsia="宋体" w:cs="宋体"/>
          <w:b/>
          <w:bCs/>
          <w:color w:val="auto"/>
          <w:sz w:val="24"/>
          <w:szCs w:val="24"/>
          <w:highlight w:val="none"/>
          <w:u w:val="single"/>
        </w:rPr>
        <w:t>九十（90）天</w:t>
      </w:r>
      <w:r>
        <w:rPr>
          <w:rFonts w:hint="eastAsia" w:ascii="宋体" w:hAnsi="宋体" w:eastAsia="宋体" w:cs="宋体"/>
          <w:color w:val="auto"/>
          <w:sz w:val="24"/>
          <w:szCs w:val="24"/>
          <w:highlight w:val="none"/>
        </w:rPr>
        <w:t>。磋商有效期比规定短的将被视为非实质性响应磋商文件而予以拒绝。</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17、磋商有效期的延长</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17.1在特殊情况下，</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的这一要求而放弃磋商，同意延长磋商有效期的供应商既不能要求也不允许修改其响应文件。受磋商有效期约束的所有权利与义务均延长至新的有效期。</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四、响应文件的递交</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18、电子磋商响应文件的递交</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18.1供应商应当按照《操作手册》规定，在提交响应文件截止时间前制作并上传电子响应文件。</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19、提交响应文件截止时间</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19.1供应商上传电子响应文件的时间不得迟于磋商公告中规定的提交响应文件截止时间</w:t>
      </w:r>
      <w:r>
        <w:rPr>
          <w:rFonts w:hint="eastAsia" w:ascii="宋体" w:hAnsi="宋体" w:eastAsia="宋体" w:cs="宋体"/>
          <w:color w:val="auto"/>
          <w:sz w:val="24"/>
          <w:szCs w:val="24"/>
          <w:highlight w:val="none"/>
        </w:rPr>
        <w:t>。</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供应商应充分考虑到网络环境、网络带宽等风险因素，如因供应商自身原因造成的电子响应文件上传不成功的按照本磋商文件第二章第26.3.2条规定做无效响应处理。</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可以按照规定，通过修改磋商文件酌情延长提交响应文件截止日期，在此情况下，供应商的所有权利和义务以及供应商受制的截止日期均应以延长后新的截止日期为准。</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20、响应文件的拒收</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拒绝接收在其规定的提交响应文件截止时间后上传的任何电子响应文件。</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21、响应文件的撤回和修改</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21.1响应文件的撤回</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电子响应文件的撤回</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供应商可在提交响应文件截止时间前，撤回其电子响应文件，具体操作方法见《操作手册》。</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21.1.2供应商撤回电子响应文件，则认为其不再参与本项目磋商活动。</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21.2响应文件的修改</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供应商可在提交响应文件截止时间前，对其电子响应文件进行修改，具体操作方法见《操作手册》。</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在提交响应文件截止时间之后，供应商不得对其电子响应文件作任何修改。</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 在提交响应文件截止时间至磋商文件中规定的磋商有效期满之间的这段时间内，供应商不得撤回其响应文件。</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五、响应文件的解密与评审</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22、响应文件解密</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22.1供应商应当按照《操作手册》规定，在苏采云系统规定的时间内对磋商响应文件进行解密。</w:t>
      </w:r>
    </w:p>
    <w:p>
      <w:pPr>
        <w:keepNext w:val="0"/>
        <w:keepLines w:val="0"/>
        <w:pageBreakBefore w:val="0"/>
        <w:widowControl/>
        <w:numPr>
          <w:ilvl w:val="0"/>
          <w:numId w:val="1"/>
        </w:numPr>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磋商小组</w:t>
      </w:r>
    </w:p>
    <w:p>
      <w:pPr>
        <w:keepNext w:val="0"/>
        <w:keepLines w:val="0"/>
        <w:pageBreakBefore w:val="0"/>
        <w:widowControl/>
        <w:spacing w:line="6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将组织磋商小组对响应文件进行评审。磋商小组由采购人代表和有关技术、经济等方面的专家组成，且人员构成符合政府采购有关规定。</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23.2磋商小组独立工作，负责评审所有响应文件并确定成交候选人。</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24、评审过程的保密与公正</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24.1磋商小组、采购人和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工作人员、相关监督人员等与评审工作有关的人员，对评审情况以及在评审过程中获悉的国家秘密、商业秘密负有保密责任。</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24.2在评审过程中，供应商不得以任何行为影响磋商评审过程，否则其响应文件将被视为无效响应文件。</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24.3在项目评审期间，</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将设专门人员与供应商联系。</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和磋商小组不向未成交的供应商解释未成交原因，也不公布评审过程中的相关细节。</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25、评审过程中的澄清</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接到磋商小组澄清、说明和更正要求的供应商如未按规定作出澄清、说明和 更正，其风险由供应商自行承担。</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26、对响应文件的审查</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26.1响应文件审查分为资格审查和符合性审查。</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资格审查：由磋商小组依据法律法规和磋商文件的规定，对响应文件中的资格证明文件进行审查，以确定供应商是否具备参加磋商的资格。</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磋商小组在进行资格审查的同时，将在“信用中国”网站（www.creditchina.gov.cn）查询供应商的信用记录，以确定供应商是否具备磋商资格,查询结果留存并归档。</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符合性审查：依据磋商文件的规定，由磋商小组从响应文件的有效性、完整性和对磋商文件的响应程度进行审查，以确定是否对磋商文件的实质性要求作出响应。</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未通过资格审查或符合性审查的供应商，磋商小组将在苏采云系统中告知未通过资格审查或符合性审查的原因，评审结束后，磋商小组将不再告知未通过资格审查或符合性审查的原因。</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26.3未实质性响应磋商文件的情形</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26.3.1供应商在苏采云系统规定的时间内未成功解密电子响应文件的。</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26.3.2供应商未按照磋商文件要求上传电子响应文件的。</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26.3.3同一供应商提交两个（含两个）以上不同的响应文件或者最后报价的。</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26.3.4供应商不具备磋商文件中规定资格要求的。</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26.3.5供应商的最后报价超过了采购预算。</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26.3.6不符合磋商文件中规定的实质性要求和条件的（</w:t>
      </w:r>
      <w:r>
        <w:rPr>
          <w:rFonts w:hint="eastAsia" w:ascii="宋体" w:hAnsi="宋体" w:eastAsia="宋体" w:cs="宋体"/>
          <w:i/>
          <w:iCs/>
          <w:color w:val="auto"/>
          <w:sz w:val="24"/>
          <w:szCs w:val="24"/>
          <w:highlight w:val="none"/>
          <w:u w:val="single"/>
        </w:rPr>
        <w:t>本磋商文件中斜体且有下划线部分为实质性要求和条件</w:t>
      </w:r>
      <w:r>
        <w:rPr>
          <w:rFonts w:hint="eastAsia" w:ascii="宋体" w:hAnsi="宋体" w:eastAsia="宋体" w:cs="宋体"/>
          <w:color w:val="auto"/>
          <w:sz w:val="24"/>
          <w:szCs w:val="24"/>
          <w:highlight w:val="none"/>
        </w:rPr>
        <w:t>）。</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26.3.8响应文件含有采购人不能接受的附加条件的。</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26.3.10供应商不能证明其报价合理性的，磋商小组应当将其作为无效响应处理。</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（一）评审过程中出现下列情形之一的，磋商小组应当启动异常低价响应审查程序：</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1.投标（响应）报价低于全部通过符合性审查供应商投标（响应）报价平均值50%的，即投标（响应）报价&lt;全部通过符合性审查供应商投标（响应）报价平均值×50%；</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2.投标（响应）报价低于通过符合性审查的次低报价供应商投标（响应）报价50%的，即投标（响应）报价&lt;通过符合性审查的次低报价供应商投标（响应）报价×50%；</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3.投标（响应）报价低于采购项目最高限价45%的，即投标（响应）报价&lt;采购项目最高限价×45%；</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4.评审委员会基于专业判断，认为供应商报价过低，有可能影响产品质量或者不能诚信履约的其他情形。</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相关法律法规对供应商报价有规定的，从其规定。</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26.3.11响应文件未按照磋商文件要求加盖CA电子公章的。</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26.4未实质性响应磋商文件的响应文件按无效响应处理。</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26.5如果响应文件实质上没有响应磋商文件的要求，磋商小组将予以拒绝，供应商不得通过修改或撤销不符合要求的偏离或保留而使其成为实质性响应的文件。</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26.6供应商在项目评审全过程中应保持通信畅通，并安排专人与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及磋商小组联系。</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27、磋商程序及评审方法和评审标准</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27.1磋商程序</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六、成交</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28、确定成交单位</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将在“中国政府采购网”“江苏政府采购网”“盐城市政府采购网”发布成交结果公告，公告期限为1个工作日。</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28.3若有充分证据证明，成交供应商出现下列情况之一的，一经查实，将被取消成交资格：</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28.3.1提供虚假材料谋取成交的。</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28.3.2与评审专家、采购人、其他供应商或者</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工作人员恶意串通的。</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28.3.3向评审专家、采购人或</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工作人员行贿或者提供其他不正当利益的。</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28.3.4恶意竞争，最后报价明显低于其自身合理成本且又无法提供证明的。</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28.3.5不满足本磋商文件规定的实质性要求，但在评审过程中又未被磋商小组发现的。</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28.3.6成交后无正当理由拒不与采购人签订政府采购合同或者未按照磋商文件确定的事项签订政府采购合同的。</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28.3.7将政府采购合同转包的。</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29、质疑处理</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提出质疑的供应商应当是参与所质疑项目采购活动的供应商。潜在供应商依法获取其可质疑的磋商文件的，可以对磋商文件提出质疑。</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29.2供应商认为磋商文件、磋商过程和磋商结果使自己的权益受到损害的，可以在知道或应知其权益受到损害之日起七个工作日内，以书面形式根据下述29.4条款的规定向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或采购人提出质疑。上述应知其权益受到损害之日，是指：</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29.2.1对可以质疑的磋商文件提出质疑的，为收到磋商文件之日或者磋商文件公告期限届满之日。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29.2.2对磋商过程提出质疑的，为各采购程序环节结束之日。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29.2.3对成交结果提出质疑的，为成交结果公告期限届满之日。</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、采购人将只对供应商第一次质疑作出答复。</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b/>
          <w:bCs/>
          <w:color w:val="auto"/>
          <w:sz w:val="24"/>
          <w:szCs w:val="24"/>
          <w:highlight w:val="none"/>
          <w:lang w:eastAsia="zh-CN"/>
        </w:rPr>
        <w:t>采购代理机构</w:t>
      </w:r>
      <w:r>
        <w:rPr>
          <w:rFonts w:hint="eastAsia" w:ascii="宋体" w:hAnsi="宋体" w:eastAsia="宋体" w:cs="宋体"/>
          <w:b/>
          <w:bCs/>
          <w:color w:val="auto"/>
          <w:sz w:val="24"/>
          <w:szCs w:val="24"/>
          <w:highlight w:val="none"/>
        </w:rPr>
        <w:t>提出，由</w:t>
      </w:r>
      <w:r>
        <w:rPr>
          <w:rFonts w:hint="eastAsia" w:ascii="宋体" w:hAnsi="宋体" w:eastAsia="宋体" w:cs="宋体"/>
          <w:b/>
          <w:bCs/>
          <w:color w:val="auto"/>
          <w:sz w:val="24"/>
          <w:szCs w:val="24"/>
          <w:highlight w:val="none"/>
          <w:lang w:eastAsia="zh-CN"/>
        </w:rPr>
        <w:t>采购代理机构</w:t>
      </w:r>
      <w:r>
        <w:rPr>
          <w:rFonts w:hint="eastAsia" w:ascii="宋体" w:hAnsi="宋体" w:eastAsia="宋体" w:cs="宋体"/>
          <w:b/>
          <w:bCs/>
          <w:color w:val="auto"/>
          <w:sz w:val="24"/>
          <w:szCs w:val="24"/>
          <w:highlight w:val="none"/>
        </w:rPr>
        <w:t>负责答复。</w:t>
      </w:r>
    </w:p>
    <w:p>
      <w:pPr>
        <w:pStyle w:val="36"/>
        <w:spacing w:beforeAutospacing="0" w:afterAutospacing="0" w:line="508" w:lineRule="exact"/>
        <w:ind w:firstLine="560"/>
        <w:jc w:val="both"/>
        <w:rPr>
          <w:rFonts w:ascii="宋体" w:hAnsi="宋体" w:eastAsia="宋体" w:cs="宋体"/>
          <w:bCs/>
          <w:color w:val="auto"/>
          <w:highlight w:val="none"/>
        </w:rPr>
      </w:pPr>
      <w:r>
        <w:rPr>
          <w:rFonts w:hint="eastAsia" w:ascii="宋体" w:hAnsi="宋体" w:eastAsia="宋体" w:cs="宋体"/>
          <w:bCs/>
          <w:color w:val="auto"/>
          <w:highlight w:val="none"/>
        </w:rPr>
        <w:t>采购人及采购代理机构只接收以纸质原件形式送达的质疑，采购人和采购代理机构不接受未填写快递运单的快件。联系地址及联系方式同磋商公告。</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未参加磋商活动的供应商或在磋商活动中自身权益未受到损害的供应商所提出的质疑。</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29.5.5供应商组成联合体参加磋商，联合体中任何一方或多方未按要求签字、盖章、加盖公章的质疑。</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30、成交通知书</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30.1成交结果确定后，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七、授予合同</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31、签订合同</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31.l成交供应商应当在成交通知书发出之日起三十日内，按照磋商文件确定的事项与采购人签订政府采购合同。</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31.2磋商文件、成交供应商的响应文件及磋商过程中有关澄清、承诺文件均应作为合同附件。</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 签订合同后，</w:t>
      </w:r>
      <w:r>
        <w:rPr>
          <w:rFonts w:hint="eastAsia" w:ascii="宋体" w:hAnsi="宋体" w:eastAsia="宋体" w:cs="宋体"/>
          <w:i/>
          <w:iCs/>
          <w:color w:val="auto"/>
          <w:sz w:val="24"/>
          <w:szCs w:val="24"/>
          <w:highlight w:val="none"/>
          <w:u w:val="single"/>
        </w:rPr>
        <w:t>成交供应商不得将合同标的进行转包</w:t>
      </w:r>
      <w:r>
        <w:rPr>
          <w:rFonts w:hint="eastAsia" w:ascii="宋体" w:hAnsi="宋体" w:eastAsia="宋体" w:cs="宋体"/>
          <w:color w:val="auto"/>
          <w:sz w:val="24"/>
          <w:szCs w:val="24"/>
          <w:highlight w:val="none"/>
        </w:rPr>
        <w:t>。未经采购人同意，成交供应商也不得采用分包形式履行合同,否则采购人有权终止合同。转包或分包造成采购人损失的，成交供应商应承担相应赔偿责任。</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32、标的物的追加</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33、政府采购政策功能落实</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33.1政府采购线上合同信用融资政策</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33.2进口产品</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33.3中小企业、监狱企业及残疾人福利性单位</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33.3.1中小企业定义：</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33.3.2供应商提供的货物、工程或者服务符合下列情形的，享受中小企业扶持政策：</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33.3.2.1在货物采购项目中，货物由中小企业制造，即货物由中小企业生产且使用该中小企业商号或者注册商标；</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33.3.2.2在工程采购项目中，工程由中小企业承建，即工程施工单位为中小企业；</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33.3.2.3在服务采购项目中，服务由中小企业承接，即提供服务的人员为中小企业依照《中华人民共和国劳动合同法》订立劳动合同的从业人员。</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33.3.3在货物采购项目中，供应商提供的货物既有中小企业制造货物，也有大型企业制造货物的，不享受中小企业扶持政策。</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33.3.4以联合体形式参加政府采购活动，联合体各方均为中小企业的，联合体视同中小企业。其中，联合体各方均为小微企业的，联合体视同小微企业。</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33.3.6残疾人福利单位定义：享受政府采购支持政策的残疾人福利性单位应当同时满足以下条件：</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33.3.6.1安置的残疾人占本单位在职职工人数的比例不低于25%（含25%），并且安置的残疾人人数不少于10 人（含10 人）；</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33.3.6.2依法与安置的每位残疾人签订了一年以上（含一年）的劳动合同或服务协议；</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33.3.6.3为安置的每位残疾人按月足额缴纳了基本养老保险、基本医疗保险、失业保险、工伤保险和生育保险等社会保险费；</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33.3.6.4通过银行等金融机构向安置的每位残疾人，按月支付了不低于单位所在区县适用的经省级人民政府批准的月最低工资标准的工资；</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33.3.6.5提供本单位制造的货物、承担的工程或者服务（以下简称产品），或者提供其他残疾人福利性单位制造的货物（不包括使用非残疾人福利性单位注册商标的货物）；</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33.3.7本项目是否专门面向中小企业预留采购份额见第一章《竞争性磋商公告》。</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33.3.8采购标的对应的中小企业划分标准所属行业见第四章《采购需求》。</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33.3.9小微企业价格评审优惠的政策：见第五章《评标方法和评标标准》。</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33.4政府采购节能产品、环境标志产品</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4"/>
          <w:highlight w:val="none"/>
          <w:u w:val="single"/>
        </w:rPr>
        <w:t>如属政府强制采购产品未提供认证证书的或认证证书提供不全的将视为未实质性响应采购要求</w:t>
      </w:r>
      <w:r>
        <w:rPr>
          <w:rFonts w:hint="eastAsia" w:ascii="宋体" w:hAnsi="宋体" w:eastAsia="宋体" w:cs="宋体"/>
          <w:color w:val="auto"/>
          <w:sz w:val="24"/>
          <w:szCs w:val="24"/>
          <w:highlight w:val="none"/>
        </w:rPr>
        <w:t>。其他条件相同情况下，应当优先采购节能产品、环境标志产品。</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33.5绿色包装</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33.6政府采购创新产品</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采购人优先采购各级政府部门公开发布的有效期内的创新产品、创新服务、首台套、首购首用等《目录》的创新产品。</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33.7绿色数据中心政策 </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33.8实施本国产品标准及相关政策</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1.本项目对采购本国产品给予政策支持，具体内容见招标文件“第五章 评标方法与评标标准”。</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rPr>
        <w:t>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auto"/>
          <w:sz w:val="24"/>
          <w:szCs w:val="24"/>
          <w:highlight w:val="none"/>
        </w:rPr>
        <w:t>。</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33.9履约保证金政策</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确需收取履约保证金的，履约保证金的缴纳形式：</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如以履约保函（保险）形式缴纳履约保证金，供应商可通过政府采购电子履约保函（保险）平台（www.jsdzbh.com）在线申请履约保函（保险）。</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b/>
          <w:bCs/>
          <w:color w:val="auto"/>
          <w:sz w:val="24"/>
          <w:szCs w:val="24"/>
          <w:highlight w:val="none"/>
        </w:rPr>
        <w:t>免收履约保证金</w:t>
      </w:r>
      <w:r>
        <w:rPr>
          <w:rFonts w:hint="eastAsia" w:ascii="宋体" w:hAnsi="宋体" w:eastAsia="宋体" w:cs="宋体"/>
          <w:color w:val="auto"/>
          <w:sz w:val="24"/>
          <w:szCs w:val="24"/>
          <w:highlight w:val="none"/>
        </w:rPr>
        <w:t>。</w:t>
      </w:r>
    </w:p>
    <w:p>
      <w:pPr>
        <w:keepNext w:val="0"/>
        <w:keepLines w:val="0"/>
        <w:pageBreakBefore w:val="0"/>
        <w:widowControl/>
        <w:spacing w:line="6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34、预付款制度</w:t>
      </w:r>
    </w:p>
    <w:p>
      <w:pPr>
        <w:keepNext w:val="0"/>
        <w:keepLines w:val="0"/>
        <w:pageBreakBefore w:val="0"/>
        <w:widowControl/>
        <w:spacing w:line="6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本项目落实预付款制度，预付款比例为30%。在签订合同时，中标、成交供应商明确书面表示无需预付款或者主动要求降低预付款比例的，采购人可就预付款比例作相应调整。</w:t>
      </w:r>
      <w:bookmarkEnd w:id="28"/>
      <w:bookmarkEnd w:id="29"/>
      <w:bookmarkEnd w:id="30"/>
      <w:bookmarkEnd w:id="31"/>
    </w:p>
    <w:p>
      <w:pPr>
        <w:rPr>
          <w:rFonts w:hint="default" w:ascii="Times New Roman" w:hAnsi="Times New Roman" w:eastAsia="黑体" w:cs="Times New Roman"/>
          <w:color w:val="auto"/>
          <w:sz w:val="44"/>
          <w:szCs w:val="44"/>
          <w:highlight w:val="none"/>
        </w:rPr>
      </w:pPr>
      <w:bookmarkStart w:id="32" w:name="_Hlt26954838"/>
      <w:bookmarkStart w:id="33" w:name="_Hlt26954852"/>
      <w:bookmarkStart w:id="34" w:name="_Hlt26668975"/>
      <w:bookmarkStart w:id="35" w:name="_Hlt26954848"/>
      <w:bookmarkStart w:id="36" w:name="_Hlt26670486"/>
      <w:bookmarkStart w:id="37" w:name="_Toc513029226"/>
      <w:bookmarkStart w:id="38" w:name="_Hlt16619475"/>
      <w:bookmarkStart w:id="39" w:name="_Hlt26670360"/>
      <w:bookmarkStart w:id="40" w:name="_Hlt26954731"/>
      <w:bookmarkStart w:id="41" w:name="_Hlt26670482"/>
      <w:bookmarkStart w:id="42" w:name="_Hlt26954846"/>
      <w:bookmarkStart w:id="43" w:name="_Hlt26954739"/>
      <w:r>
        <w:rPr>
          <w:rFonts w:hint="default" w:ascii="Times New Roman" w:hAnsi="Times New Roman" w:eastAsia="黑体" w:cs="Times New Roman"/>
          <w:color w:val="auto"/>
          <w:sz w:val="44"/>
          <w:szCs w:val="44"/>
          <w:highlight w:val="none"/>
        </w:rPr>
        <w:br w:type="page" w:clear="all"/>
      </w:r>
    </w:p>
    <w:p>
      <w:pPr>
        <w:pStyle w:val="36"/>
        <w:keepNext/>
        <w:spacing w:beforeAutospacing="0" w:afterAutospacing="0"/>
        <w:ind w:firstLine="2640"/>
        <w:jc w:val="both"/>
        <w:rPr>
          <w:rFonts w:hint="default" w:ascii="Times New Roman" w:hAnsi="Times New Roman" w:cs="Times New Roman"/>
          <w:color w:val="auto"/>
          <w:highlight w:val="none"/>
        </w:rPr>
      </w:pPr>
      <w:r>
        <w:rPr>
          <w:rFonts w:hint="default" w:ascii="Times New Roman" w:hAnsi="Times New Roman" w:eastAsia="黑体" w:cs="Times New Roman"/>
          <w:color w:val="auto"/>
          <w:sz w:val="44"/>
          <w:szCs w:val="44"/>
          <w:highlight w:val="none"/>
        </w:rPr>
        <w:t>第三章  合同文本</w:t>
      </w:r>
    </w:p>
    <w:p>
      <w:pPr>
        <w:keepNext w:val="0"/>
        <w:keepLines w:val="0"/>
        <w:pageBreakBefore w:val="0"/>
        <w:widowControl/>
        <w:spacing w:line="600" w:lineRule="exact"/>
        <w:ind w:firstLine="240"/>
        <w:jc w:val="left"/>
        <w:rPr>
          <w:rFonts w:hint="eastAsia" w:ascii="宋体" w:hAnsi="宋体" w:eastAsia="宋体" w:cs="宋体"/>
          <w:color w:val="auto"/>
          <w:sz w:val="24"/>
          <w:szCs w:val="24"/>
          <w:highlight w:val="none"/>
        </w:rPr>
      </w:pPr>
      <w:bookmarkStart w:id="44" w:name="_Toc513029243"/>
      <w:bookmarkStart w:id="45" w:name="_Toc20823315"/>
      <w:bookmarkStart w:id="46" w:name="_Toc16938559"/>
      <w:r>
        <w:rPr>
          <w:rFonts w:hint="eastAsia" w:ascii="宋体" w:hAnsi="宋体" w:eastAsia="宋体" w:cs="宋体"/>
          <w:color w:val="auto"/>
          <w:sz w:val="24"/>
          <w:szCs w:val="24"/>
          <w:highlight w:val="none"/>
        </w:rPr>
        <w:t>以下为成交后</w:t>
      </w:r>
      <w:r>
        <w:rPr>
          <w:rFonts w:hint="eastAsia" w:ascii="宋体" w:hAnsi="宋体" w:eastAsia="宋体" w:cs="宋体"/>
          <w:color w:val="auto"/>
          <w:sz w:val="24"/>
          <w:szCs w:val="24"/>
          <w:highlight w:val="none"/>
          <w:lang w:eastAsia="zh-CN"/>
        </w:rPr>
        <w:t>签订</w:t>
      </w:r>
      <w:r>
        <w:rPr>
          <w:rFonts w:hint="eastAsia" w:ascii="宋体" w:hAnsi="宋体" w:eastAsia="宋体" w:cs="宋体"/>
          <w:color w:val="auto"/>
          <w:sz w:val="24"/>
          <w:szCs w:val="24"/>
          <w:highlight w:val="none"/>
        </w:rPr>
        <w:t>本项目合同的通用条款，成交供应商不得提出实质性的修改。</w:t>
      </w:r>
      <w:bookmarkEnd w:id="44"/>
      <w:bookmarkEnd w:id="45"/>
      <w:bookmarkEnd w:id="46"/>
      <w:r>
        <w:rPr>
          <w:rFonts w:hint="eastAsia" w:ascii="宋体" w:hAnsi="宋体" w:eastAsia="宋体" w:cs="宋体"/>
          <w:color w:val="auto"/>
          <w:sz w:val="24"/>
          <w:szCs w:val="24"/>
          <w:highlight w:val="none"/>
        </w:rPr>
        <w:t> </w:t>
      </w:r>
    </w:p>
    <w:p>
      <w:pPr>
        <w:keepNext w:val="0"/>
        <w:keepLines w:val="0"/>
        <w:pageBreakBefore w:val="0"/>
        <w:widowControl/>
        <w:spacing w:line="600" w:lineRule="exact"/>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盐城市政府采购合同（合同编号）</w:t>
      </w:r>
    </w:p>
    <w:p>
      <w:pPr>
        <w:keepNext w:val="0"/>
        <w:keepLines w:val="0"/>
        <w:pageBreakBefore w:val="0"/>
        <w:spacing w:line="600" w:lineRule="exact"/>
        <w:ind w:left="-314" w:right="238" w:firstLine="54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委托单位：</w:t>
      </w:r>
      <w:r>
        <w:rPr>
          <w:rFonts w:hint="eastAsia" w:ascii="宋体" w:hAnsi="宋体" w:cs="宋体"/>
          <w:b/>
          <w:bCs/>
          <w:color w:val="auto"/>
          <w:sz w:val="24"/>
          <w:szCs w:val="24"/>
          <w:highlight w:val="none"/>
          <w:u w:val="single"/>
        </w:rPr>
        <w:t>盐城市生态环境局</w:t>
      </w:r>
      <w:r>
        <w:rPr>
          <w:rFonts w:hint="eastAsia" w:ascii="宋体" w:hAnsi="宋体" w:cs="宋体"/>
          <w:b/>
          <w:bCs/>
          <w:color w:val="auto"/>
          <w:sz w:val="24"/>
          <w:szCs w:val="24"/>
          <w:highlight w:val="none"/>
        </w:rPr>
        <w:t>（以下简称“甲方”）</w:t>
      </w:r>
    </w:p>
    <w:p>
      <w:pPr>
        <w:keepNext w:val="0"/>
        <w:keepLines w:val="0"/>
        <w:pageBreakBefore w:val="0"/>
        <w:spacing w:line="600" w:lineRule="exact"/>
        <w:ind w:left="-314" w:right="238" w:firstLine="54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受托单位：</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（以下简称“乙方”）</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cs="宋体"/>
          <w:color w:val="auto"/>
          <w:sz w:val="24"/>
          <w:szCs w:val="24"/>
          <w:highlight w:val="none"/>
        </w:rPr>
        <w:t>《中华人民共和国民法典》</w:t>
      </w:r>
      <w:r>
        <w:rPr>
          <w:rFonts w:hint="eastAsia" w:ascii="宋体" w:hAnsi="宋体" w:cs="宋体"/>
          <w:color w:val="auto"/>
          <w:sz w:val="24"/>
          <w:highlight w:val="none"/>
        </w:rPr>
        <w:t>、《中华人民共和国政府</w:t>
      </w:r>
      <w:r>
        <w:rPr>
          <w:rFonts w:hint="eastAsia" w:ascii="宋体" w:hAnsi="宋体" w:eastAsia="宋体" w:cs="宋体"/>
          <w:color w:val="auto"/>
          <w:sz w:val="24"/>
          <w:highlight w:val="none"/>
        </w:rPr>
        <w:t>采购法》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《中华人民共和国政府采购法</w:t>
      </w:r>
      <w:r>
        <w:rPr>
          <w:rFonts w:hint="eastAsia" w:ascii="宋体" w:hAnsi="宋体" w:eastAsia="宋体" w:cs="宋体"/>
          <w:color w:val="auto"/>
          <w:sz w:val="24"/>
          <w:highlight w:val="none"/>
          <w:lang w:eastAsia="zh-CN"/>
        </w:rPr>
        <w:t>实施条例</w:t>
      </w:r>
      <w:r>
        <w:rPr>
          <w:rFonts w:hint="eastAsia" w:ascii="宋体" w:hAnsi="宋体" w:eastAsia="宋体" w:cs="宋体"/>
          <w:color w:val="auto"/>
          <w:sz w:val="24"/>
          <w:highlight w:val="none"/>
        </w:rPr>
        <w:t>》及</w:t>
      </w:r>
      <w:r>
        <w:rPr>
          <w:rFonts w:hint="eastAsia" w:ascii="宋体" w:hAnsi="宋体" w:eastAsia="宋体" w:cs="宋体"/>
          <w:color w:val="auto"/>
          <w:sz w:val="24"/>
          <w:highlight w:val="none"/>
          <w:lang w:eastAsia="zh-CN"/>
        </w:rPr>
        <w:t>其他法律、法规的</w:t>
      </w:r>
      <w:r>
        <w:rPr>
          <w:rFonts w:hint="eastAsia" w:ascii="宋体" w:hAnsi="宋体" w:eastAsia="宋体" w:cs="宋体"/>
          <w:color w:val="auto"/>
          <w:sz w:val="24"/>
          <w:highlight w:val="none"/>
        </w:rPr>
        <w:t>有关规定</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遵循平等、自愿、公平和诚实信用的原则，双方就及有关事项协商一致，共同达成如下协议：甲</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乙双方在平等互利、协商一致的基础上，订立如下条款，以兹共同遵守</w:t>
      </w:r>
      <w:r>
        <w:rPr>
          <w:rFonts w:hint="eastAsia" w:ascii="宋体" w:hAnsi="宋体" w:eastAsia="宋体" w:cs="宋体"/>
          <w:color w:val="auto"/>
          <w:sz w:val="24"/>
          <w:szCs w:val="24"/>
          <w:highlight w:val="none"/>
        </w:rPr>
        <w:t>。</w:t>
      </w:r>
    </w:p>
    <w:p>
      <w:pPr>
        <w:keepNext w:val="0"/>
        <w:keepLines w:val="0"/>
        <w:pageBreakBefore w:val="0"/>
        <w:widowControl w:val="0"/>
        <w:spacing w:line="600" w:lineRule="exact"/>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一、项目名称：</w:t>
      </w:r>
      <w:r>
        <w:rPr>
          <w:rFonts w:hint="eastAsia" w:ascii="宋体" w:hAnsi="宋体" w:eastAsia="宋体" w:cs="宋体"/>
          <w:color w:val="auto"/>
          <w:sz w:val="24"/>
          <w:szCs w:val="24"/>
          <w:highlight w:val="none"/>
          <w:lang w:eastAsia="zh-CN"/>
        </w:rPr>
        <w:t>重金属环境安全隐患排查整治技术服务项目</w:t>
      </w:r>
      <w:r>
        <w:rPr>
          <w:rFonts w:hint="eastAsia" w:ascii="宋体" w:hAnsi="宋体" w:eastAsia="宋体" w:cs="宋体"/>
          <w:color w:val="auto"/>
          <w:sz w:val="24"/>
          <w:szCs w:val="24"/>
          <w:highlight w:val="none"/>
        </w:rPr>
        <w:t>。</w:t>
      </w:r>
    </w:p>
    <w:p>
      <w:pPr>
        <w:keepNext w:val="0"/>
        <w:keepLines w:val="0"/>
        <w:pageBreakBefore w:val="0"/>
        <w:widowControl w:val="0"/>
        <w:spacing w:line="600" w:lineRule="exact"/>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二、项目地点：</w:t>
      </w:r>
      <w:r>
        <w:rPr>
          <w:rFonts w:hint="eastAsia" w:ascii="宋体" w:hAnsi="宋体" w:eastAsia="宋体" w:cs="宋体"/>
          <w:color w:val="auto"/>
          <w:sz w:val="24"/>
          <w:szCs w:val="24"/>
          <w:highlight w:val="none"/>
        </w:rPr>
        <w:t>盐城市境内。</w:t>
      </w:r>
    </w:p>
    <w:p>
      <w:pPr>
        <w:keepNext w:val="0"/>
        <w:keepLines w:val="0"/>
        <w:pageBreakBefore w:val="0"/>
        <w:widowControl w:val="0"/>
        <w:spacing w:line="600" w:lineRule="exact"/>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三、采购范围及内容：</w:t>
      </w:r>
      <w:r>
        <w:rPr>
          <w:rFonts w:hint="eastAsia" w:ascii="宋体" w:hAnsi="宋体" w:eastAsia="宋体" w:cs="宋体"/>
          <w:color w:val="auto"/>
          <w:sz w:val="24"/>
          <w:szCs w:val="24"/>
          <w:highlight w:val="none"/>
          <w:lang w:eastAsia="zh-CN"/>
        </w:rPr>
        <w:t>重金属环境安全隐患排查整治技术服务项目</w:t>
      </w:r>
      <w:r>
        <w:rPr>
          <w:rFonts w:hint="eastAsia" w:ascii="宋体" w:hAnsi="宋体" w:cs="宋体"/>
          <w:color w:val="auto"/>
          <w:sz w:val="24"/>
          <w:szCs w:val="24"/>
          <w:highlight w:val="none"/>
        </w:rPr>
        <w:t>，具体内容及要求详见磋商文件、合同</w:t>
      </w:r>
      <w:r>
        <w:rPr>
          <w:rFonts w:hint="eastAsia" w:ascii="宋体" w:hAnsi="宋体" w:eastAsia="宋体" w:cs="宋体"/>
          <w:color w:val="auto"/>
          <w:sz w:val="24"/>
          <w:szCs w:val="24"/>
          <w:highlight w:val="none"/>
          <w:lang w:eastAsia="zh-CN"/>
        </w:rPr>
        <w:t>约定及</w:t>
      </w:r>
      <w:r>
        <w:rPr>
          <w:rFonts w:hint="eastAsia" w:ascii="宋体" w:hAnsi="宋体" w:cs="宋体"/>
          <w:color w:val="auto"/>
          <w:sz w:val="24"/>
          <w:szCs w:val="24"/>
          <w:highlight w:val="none"/>
        </w:rPr>
        <w:t>投标承诺</w:t>
      </w:r>
      <w:r>
        <w:rPr>
          <w:rFonts w:hint="eastAsia" w:ascii="宋体" w:hAnsi="宋体" w:eastAsia="宋体" w:cs="宋体"/>
          <w:color w:val="auto"/>
          <w:sz w:val="24"/>
          <w:szCs w:val="24"/>
          <w:highlight w:val="none"/>
        </w:rPr>
        <w:t>。</w:t>
      </w:r>
    </w:p>
    <w:p>
      <w:pPr>
        <w:keepNext w:val="0"/>
        <w:keepLines w:val="0"/>
        <w:pageBreakBefore w:val="0"/>
        <w:widowControl w:val="0"/>
        <w:spacing w:line="60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四、合同价</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总价为</w:t>
      </w:r>
      <w:r>
        <w:rPr>
          <w:rFonts w:hint="eastAsia" w:ascii="宋体" w:hAnsi="宋体" w:eastAsia="宋体" w:cs="宋体"/>
          <w:color w:val="auto"/>
          <w:sz w:val="24"/>
          <w:szCs w:val="24"/>
          <w:highlight w:val="none"/>
          <w:u w:val="single"/>
        </w:rPr>
        <w:t>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元整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，本合同价是指乙方为完成招标文件中的所有内容，乙方已充分考虑为完成上述内容所必须的全部费用，即主要包括（但不限于）：人工费、材料费、</w:t>
      </w:r>
      <w:r>
        <w:rPr>
          <w:rFonts w:hint="eastAsia" w:ascii="宋体" w:hAnsi="宋体" w:eastAsia="宋体" w:cs="宋体"/>
          <w:color w:val="auto"/>
          <w:sz w:val="24"/>
          <w:szCs w:val="24"/>
          <w:highlight w:val="none"/>
          <w:lang w:val="en-US" w:eastAsia="zh-CN"/>
        </w:rPr>
        <w:t>技术服务</w:t>
      </w:r>
      <w:r>
        <w:rPr>
          <w:rFonts w:hint="eastAsia" w:ascii="宋体" w:hAnsi="宋体" w:eastAsia="宋体" w:cs="宋体"/>
          <w:color w:val="auto"/>
          <w:sz w:val="24"/>
          <w:szCs w:val="24"/>
          <w:highlight w:val="none"/>
        </w:rPr>
        <w:t>费、</w:t>
      </w:r>
      <w:r>
        <w:rPr>
          <w:rFonts w:hint="eastAsia" w:ascii="宋体" w:hAnsi="宋体" w:eastAsia="宋体" w:cs="宋体"/>
          <w:color w:val="auto"/>
          <w:sz w:val="24"/>
          <w:szCs w:val="24"/>
          <w:highlight w:val="none"/>
          <w:lang w:val="en-US" w:eastAsia="zh-CN"/>
        </w:rPr>
        <w:t>技术排查</w:t>
      </w:r>
      <w:r>
        <w:rPr>
          <w:rFonts w:hint="eastAsia" w:ascii="宋体" w:hAnsi="宋体" w:eastAsia="宋体" w:cs="宋体"/>
          <w:color w:val="auto"/>
          <w:sz w:val="24"/>
          <w:szCs w:val="24"/>
          <w:highlight w:val="none"/>
        </w:rPr>
        <w:t>费、</w:t>
      </w:r>
      <w:r>
        <w:rPr>
          <w:rFonts w:hint="eastAsia" w:ascii="宋体" w:hAnsi="宋体" w:eastAsia="宋体" w:cs="宋体"/>
          <w:color w:val="auto"/>
          <w:sz w:val="24"/>
          <w:szCs w:val="24"/>
          <w:highlight w:val="none"/>
          <w:lang w:eastAsia="zh-CN"/>
        </w:rPr>
        <w:t>检测费、</w:t>
      </w:r>
      <w:r>
        <w:rPr>
          <w:rFonts w:hint="eastAsia" w:ascii="宋体" w:hAnsi="宋体" w:eastAsia="宋体" w:cs="宋体"/>
          <w:color w:val="auto"/>
          <w:sz w:val="24"/>
          <w:szCs w:val="24"/>
          <w:highlight w:val="none"/>
          <w:lang w:val="en-US" w:eastAsia="zh-CN"/>
        </w:rPr>
        <w:t>办公</w:t>
      </w:r>
      <w:r>
        <w:rPr>
          <w:rFonts w:hint="eastAsia" w:ascii="宋体" w:hAnsi="宋体" w:eastAsia="宋体" w:cs="宋体"/>
          <w:color w:val="auto"/>
          <w:sz w:val="24"/>
          <w:szCs w:val="24"/>
          <w:highlight w:val="none"/>
        </w:rPr>
        <w:t>费、差旅费、</w:t>
      </w:r>
      <w:r>
        <w:rPr>
          <w:rFonts w:hint="eastAsia" w:ascii="宋体" w:hAnsi="宋体" w:cs="宋体"/>
          <w:color w:val="auto"/>
          <w:sz w:val="24"/>
          <w:szCs w:val="24"/>
          <w:highlight w:val="none"/>
        </w:rPr>
        <w:t>管理费、</w:t>
      </w:r>
      <w:r>
        <w:rPr>
          <w:rFonts w:hint="eastAsia" w:ascii="宋体" w:hAnsi="宋体" w:eastAsia="宋体" w:cs="宋体"/>
          <w:color w:val="auto"/>
          <w:sz w:val="24"/>
          <w:szCs w:val="24"/>
          <w:highlight w:val="none"/>
          <w:lang w:eastAsia="zh-CN"/>
        </w:rPr>
        <w:t>采购代理服务、</w:t>
      </w:r>
      <w:r>
        <w:rPr>
          <w:rFonts w:hint="eastAsia" w:ascii="宋体" w:hAnsi="宋体" w:cs="宋体"/>
          <w:color w:val="auto"/>
          <w:sz w:val="24"/>
          <w:szCs w:val="24"/>
          <w:highlight w:val="none"/>
        </w:rPr>
        <w:t>税金、利润、不可预见费及其他一切相关费用等所需的全部费用，凡漏项或少计均视为优惠，甲方不另行增加费用。各类风险和政策性调整等风险已包括在合同价中，最终结算时除合同约定调整外一律不予调整</w:t>
      </w:r>
      <w:r>
        <w:rPr>
          <w:rFonts w:hint="eastAsia" w:ascii="宋体" w:hAnsi="宋体" w:eastAsia="宋体" w:cs="宋体"/>
          <w:color w:val="auto"/>
          <w:sz w:val="24"/>
          <w:szCs w:val="24"/>
          <w:highlight w:val="none"/>
        </w:rPr>
        <w:t>。</w:t>
      </w:r>
    </w:p>
    <w:p>
      <w:pPr>
        <w:keepNext w:val="0"/>
        <w:keepLines w:val="0"/>
        <w:pageBreakBefore w:val="0"/>
        <w:widowControl w:val="0"/>
        <w:spacing w:line="60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服务</w:t>
      </w:r>
      <w:r>
        <w:rPr>
          <w:rFonts w:hint="eastAsia" w:ascii="宋体" w:hAnsi="宋体" w:eastAsia="宋体" w:cs="宋体"/>
          <w:b/>
          <w:bCs/>
          <w:color w:val="auto"/>
          <w:sz w:val="24"/>
          <w:szCs w:val="24"/>
          <w:highlight w:val="none"/>
          <w:lang w:eastAsia="zh-CN"/>
        </w:rPr>
        <w:t>内容</w:t>
      </w:r>
    </w:p>
    <w:p>
      <w:pPr>
        <w:pStyle w:val="2"/>
        <w:keepNext w:val="0"/>
        <w:keepLines w:val="0"/>
        <w:pageBreakBefore w:val="0"/>
        <w:widowControl w:val="0"/>
        <w:numPr>
          <w:ilvl w:val="0"/>
          <w:numId w:val="0"/>
        </w:numPr>
        <w:spacing w:line="600" w:lineRule="exact"/>
        <w:ind w:firstLine="480"/>
        <w:jc w:val="both"/>
        <w:rPr>
          <w:rFonts w:ascii="宋体" w:hAnsi="宋体" w:eastAsia="宋体" w:cs="宋体"/>
          <w:color w:val="auto"/>
          <w:sz w:val="24"/>
          <w:szCs w:val="24"/>
          <w:highlight w:val="none"/>
        </w:rPr>
      </w:pPr>
      <w:r>
        <w:rPr>
          <w:rFonts w:ascii="宋体" w:hAnsi="宋体" w:eastAsia="宋体" w:cs="宋体"/>
          <w:b/>
          <w:bCs/>
          <w:color w:val="auto"/>
          <w:sz w:val="24"/>
          <w:szCs w:val="24"/>
          <w:highlight w:val="none"/>
          <w:lang w:val="en-US" w:eastAsia="zh-CN" w:bidi="ar-SA"/>
        </w:rPr>
        <w:t>1、</w:t>
      </w:r>
      <w:r>
        <w:rPr>
          <w:rFonts w:hint="eastAsia" w:ascii="宋体" w:hAnsi="宋体" w:eastAsia="宋体" w:cs="宋体"/>
          <w:b/>
          <w:bCs/>
          <w:color w:val="auto"/>
          <w:sz w:val="24"/>
          <w:szCs w:val="24"/>
          <w:highlight w:val="none"/>
          <w:lang w:val="en-US" w:eastAsia="zh-CN" w:bidi="ar-SA"/>
        </w:rPr>
        <w:t>核实完善污染源排查清单</w:t>
      </w:r>
      <w:r>
        <w:rPr>
          <w:rFonts w:ascii="宋体" w:hAnsi="宋体" w:eastAsia="宋体" w:cs="宋体"/>
          <w:color w:val="auto"/>
          <w:sz w:val="24"/>
          <w:szCs w:val="24"/>
          <w:highlight w:val="none"/>
          <w:lang w:val="en-US" w:eastAsia="zh-CN" w:bidi="ar-SA"/>
        </w:rPr>
        <w:t>。在现有已</w:t>
      </w:r>
      <w:r>
        <w:rPr>
          <w:rFonts w:hint="eastAsia" w:ascii="宋体" w:hAnsi="宋体" w:eastAsia="宋体" w:cs="宋体"/>
          <w:color w:val="auto"/>
          <w:sz w:val="24"/>
          <w:szCs w:val="24"/>
          <w:highlight w:val="none"/>
          <w:lang w:val="en-US" w:eastAsia="zh-CN" w:bidi="ar-SA"/>
        </w:rPr>
        <w:t>形成的重金属污染源网上排查清单</w:t>
      </w:r>
      <w:r>
        <w:rPr>
          <w:rFonts w:ascii="宋体" w:hAnsi="宋体" w:eastAsia="宋体" w:cs="宋体"/>
          <w:color w:val="auto"/>
          <w:sz w:val="24"/>
          <w:szCs w:val="24"/>
          <w:highlight w:val="none"/>
          <w:lang w:val="en-US" w:eastAsia="zh-CN" w:bidi="ar-SA"/>
        </w:rPr>
        <w:t>的基础上，核实</w:t>
      </w:r>
      <w:r>
        <w:rPr>
          <w:rFonts w:hint="eastAsia" w:ascii="宋体" w:hAnsi="宋体" w:eastAsia="宋体" w:cs="宋体"/>
          <w:color w:val="auto"/>
          <w:sz w:val="24"/>
          <w:szCs w:val="24"/>
          <w:highlight w:val="none"/>
          <w:lang w:val="en-US" w:eastAsia="zh-CN" w:bidi="ar-SA"/>
        </w:rPr>
        <w:t>重金属污染源</w:t>
      </w:r>
      <w:r>
        <w:rPr>
          <w:rFonts w:ascii="宋体" w:hAnsi="宋体" w:eastAsia="宋体" w:cs="宋体"/>
          <w:color w:val="auto"/>
          <w:sz w:val="24"/>
          <w:szCs w:val="24"/>
          <w:highlight w:val="none"/>
          <w:lang w:val="en-US" w:eastAsia="zh-CN" w:bidi="ar-SA"/>
        </w:rPr>
        <w:t>的有关情况</w:t>
      </w:r>
      <w:r>
        <w:rPr>
          <w:rFonts w:hint="eastAsia" w:ascii="宋体" w:hAnsi="宋体" w:eastAsia="宋体" w:cs="宋体"/>
          <w:color w:val="auto"/>
          <w:sz w:val="24"/>
          <w:szCs w:val="24"/>
          <w:highlight w:val="none"/>
          <w:lang w:val="en-US" w:eastAsia="zh-CN" w:bidi="ar-SA"/>
        </w:rPr>
        <w:t>，摸排可能的新增污染源的</w:t>
      </w:r>
      <w:r>
        <w:rPr>
          <w:rFonts w:ascii="宋体" w:hAnsi="宋体" w:eastAsia="宋体" w:cs="宋体"/>
          <w:color w:val="auto"/>
          <w:sz w:val="24"/>
          <w:szCs w:val="24"/>
          <w:highlight w:val="none"/>
          <w:lang w:val="en-US" w:eastAsia="zh-CN" w:bidi="ar-SA"/>
        </w:rPr>
        <w:t>基本信息、生产运行、污染防治措施、自行监测和环境管理信息</w:t>
      </w:r>
      <w:r>
        <w:rPr>
          <w:rFonts w:hint="eastAsia" w:ascii="宋体" w:hAnsi="宋体" w:eastAsia="宋体" w:cs="宋体"/>
          <w:color w:val="auto"/>
          <w:sz w:val="24"/>
          <w:szCs w:val="24"/>
          <w:highlight w:val="none"/>
          <w:lang w:val="en-US" w:eastAsia="zh-CN" w:bidi="ar-SA"/>
        </w:rPr>
        <w:t>等</w:t>
      </w:r>
      <w:r>
        <w:rPr>
          <w:rFonts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补充纳入污染源排查清单</w:t>
      </w:r>
      <w:r>
        <w:rPr>
          <w:rFonts w:ascii="宋体" w:hAnsi="宋体" w:eastAsia="宋体" w:cs="宋体"/>
          <w:color w:val="auto"/>
          <w:sz w:val="24"/>
          <w:szCs w:val="24"/>
          <w:highlight w:val="none"/>
          <w:lang w:val="en-US" w:eastAsia="zh-CN" w:bidi="ar-SA"/>
        </w:rPr>
        <w:t>。</w:t>
      </w:r>
    </w:p>
    <w:p>
      <w:pPr>
        <w:pStyle w:val="2"/>
        <w:keepNext w:val="0"/>
        <w:keepLines w:val="0"/>
        <w:pageBreakBefore w:val="0"/>
        <w:widowControl w:val="0"/>
        <w:numPr>
          <w:ilvl w:val="0"/>
          <w:numId w:val="0"/>
        </w:numPr>
        <w:spacing w:line="600" w:lineRule="exact"/>
        <w:ind w:firstLine="480"/>
        <w:jc w:val="both"/>
        <w:rPr>
          <w:rFonts w:ascii="宋体" w:hAnsi="宋体" w:eastAsia="宋体" w:cs="宋体"/>
          <w:color w:val="auto"/>
          <w:sz w:val="24"/>
          <w:szCs w:val="24"/>
          <w:highlight w:val="none"/>
        </w:rPr>
      </w:pPr>
      <w:r>
        <w:rPr>
          <w:rFonts w:ascii="宋体" w:hAnsi="宋体" w:eastAsia="宋体" w:cs="宋体"/>
          <w:b/>
          <w:bCs/>
          <w:color w:val="auto"/>
          <w:sz w:val="24"/>
          <w:szCs w:val="24"/>
          <w:highlight w:val="none"/>
          <w:lang w:val="en-US" w:eastAsia="zh-CN" w:bidi="ar-SA"/>
        </w:rPr>
        <w:t>2、组织</w:t>
      </w:r>
      <w:r>
        <w:rPr>
          <w:rFonts w:hint="eastAsia" w:ascii="宋体" w:hAnsi="宋体" w:eastAsia="宋体" w:cs="宋体"/>
          <w:b/>
          <w:bCs/>
          <w:color w:val="auto"/>
          <w:sz w:val="24"/>
          <w:szCs w:val="24"/>
          <w:highlight w:val="none"/>
          <w:lang w:val="en-US" w:eastAsia="zh-CN" w:bidi="ar-SA"/>
        </w:rPr>
        <w:t>开展风险</w:t>
      </w:r>
      <w:r>
        <w:rPr>
          <w:rFonts w:ascii="宋体" w:hAnsi="宋体" w:eastAsia="宋体" w:cs="宋体"/>
          <w:b/>
          <w:bCs/>
          <w:color w:val="auto"/>
          <w:sz w:val="24"/>
          <w:szCs w:val="24"/>
          <w:highlight w:val="none"/>
          <w:lang w:val="en-US" w:eastAsia="zh-CN" w:bidi="ar-SA"/>
        </w:rPr>
        <w:t>隐患排查</w:t>
      </w:r>
      <w:r>
        <w:rPr>
          <w:rFonts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通过资料收集与分析、现场踏勘、人员访谈和采样监测等技术手段进行调查评估，摸清排查对象的环境管理、污染治理设施建设运行、污染物产生及排放、周边环境现状等情况和环境敏感目标等信息，在此基础上识别排查对象的重金属环境安全隐患，建立隐患问题清单。对现有监测数据进行分析，不符合要求的采用相应重金属快速检测设备及试剂进行补充调查或补充监测，涉及污染源废水、废气、固废、初期雨水以及污染源周边底泥、土壤、地表水、地下水等。具体包括污染源调查、周边环境污染状况调查、环境敏感目标调查等三个方面，针对在产企业、关闭企业、堆（渣）场三个类别的排查对象按照指南开展针对性的隐患排查技术工作。</w:t>
      </w:r>
    </w:p>
    <w:p>
      <w:pPr>
        <w:pStyle w:val="2"/>
        <w:keepNext w:val="0"/>
        <w:keepLines w:val="0"/>
        <w:pageBreakBefore w:val="0"/>
        <w:widowControl w:val="0"/>
        <w:numPr>
          <w:ilvl w:val="0"/>
          <w:numId w:val="0"/>
        </w:numPr>
        <w:spacing w:line="600" w:lineRule="exact"/>
        <w:ind w:firstLine="480"/>
        <w:jc w:val="both"/>
        <w:rPr>
          <w:rFonts w:ascii="宋体" w:hAnsi="宋体" w:eastAsia="宋体" w:cs="宋体"/>
          <w:color w:val="auto"/>
          <w:sz w:val="24"/>
          <w:szCs w:val="24"/>
          <w:highlight w:val="none"/>
        </w:rPr>
      </w:pPr>
      <w:r>
        <w:rPr>
          <w:rFonts w:ascii="宋体" w:hAnsi="宋体" w:eastAsia="宋体" w:cs="宋体"/>
          <w:b/>
          <w:bCs/>
          <w:color w:val="auto"/>
          <w:sz w:val="24"/>
          <w:szCs w:val="24"/>
          <w:highlight w:val="none"/>
          <w:lang w:val="en-US" w:eastAsia="zh-CN" w:bidi="ar-SA"/>
        </w:rPr>
        <w:t>3</w:t>
      </w:r>
      <w:r>
        <w:rPr>
          <w:rFonts w:hint="eastAsia" w:ascii="宋体" w:hAnsi="宋体" w:eastAsia="宋体" w:cs="宋体"/>
          <w:b/>
          <w:bCs/>
          <w:color w:val="auto"/>
          <w:sz w:val="24"/>
          <w:szCs w:val="24"/>
          <w:highlight w:val="none"/>
          <w:lang w:val="en-US" w:eastAsia="zh-CN" w:bidi="ar-SA"/>
        </w:rPr>
        <w:t>、风险问题立行立改技术支撑</w:t>
      </w:r>
      <w:r>
        <w:rPr>
          <w:rFonts w:hint="eastAsia" w:ascii="宋体" w:hAnsi="宋体" w:eastAsia="宋体" w:cs="宋体"/>
          <w:color w:val="auto"/>
          <w:sz w:val="24"/>
          <w:szCs w:val="24"/>
          <w:highlight w:val="none"/>
          <w:lang w:val="en-US" w:eastAsia="zh-CN" w:bidi="ar-SA"/>
        </w:rPr>
        <w:t>。对排查过程中发现能立行立改的环境安全隐患问题，提供技术支撑，指导排查对象确定整改技术要求，推动针对在产企业、关闭企业、堆（渣）场三个类别的排查对象，从遗留固废清理、治理设施规范、积存废水处理、堵塞管道疏通、废水设施拦截、设备设施拆除、开展环境监测、完善监控体系等角度，及时消除重金属环境安全隐患。</w:t>
      </w:r>
    </w:p>
    <w:p>
      <w:pPr>
        <w:pStyle w:val="2"/>
        <w:keepNext w:val="0"/>
        <w:keepLines w:val="0"/>
        <w:pageBreakBefore w:val="0"/>
        <w:widowControl w:val="0"/>
        <w:numPr>
          <w:ilvl w:val="0"/>
          <w:numId w:val="0"/>
        </w:numPr>
        <w:spacing w:line="600" w:lineRule="exact"/>
        <w:ind w:firstLine="480"/>
        <w:jc w:val="both"/>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4、开展环境风险等级评估</w:t>
      </w:r>
      <w:r>
        <w:rPr>
          <w:rFonts w:hint="eastAsia" w:ascii="宋体" w:hAnsi="宋体" w:eastAsia="宋体" w:cs="宋体"/>
          <w:color w:val="auto"/>
          <w:sz w:val="24"/>
          <w:szCs w:val="24"/>
          <w:highlight w:val="none"/>
          <w:lang w:val="en-US" w:eastAsia="zh-CN" w:bidi="ar-SA"/>
        </w:rPr>
        <w:t>。对不能立行立改的，综合重金属污染源危害性、可能向环境扩散的通道和环境敏感性，对相应企业开展环境风险等级评估，编制形成涉重金属环境安全隐患风险评估调查表，明确重金属污染源环境风险高、中、低等级，并完成系统填报。主要从涉重金属污染物排放情况、迁移转化路径、遗留固废废物及废水、环境敏感目标分布、环境管理水平等角度开展风险评估工作。</w:t>
      </w:r>
    </w:p>
    <w:p>
      <w:pPr>
        <w:pStyle w:val="2"/>
        <w:keepNext w:val="0"/>
        <w:keepLines w:val="0"/>
        <w:pageBreakBefore w:val="0"/>
        <w:widowControl w:val="0"/>
        <w:numPr>
          <w:ilvl w:val="0"/>
          <w:numId w:val="0"/>
        </w:numPr>
        <w:spacing w:line="600" w:lineRule="exact"/>
        <w:ind w:firstLine="480"/>
        <w:jc w:val="both"/>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5、指导制定整治方案</w:t>
      </w:r>
      <w:r>
        <w:rPr>
          <w:rFonts w:hint="eastAsia" w:ascii="宋体" w:hAnsi="宋体" w:eastAsia="宋体" w:cs="宋体"/>
          <w:color w:val="auto"/>
          <w:sz w:val="24"/>
          <w:szCs w:val="24"/>
          <w:highlight w:val="none"/>
          <w:lang w:val="en-US" w:eastAsia="zh-CN" w:bidi="ar-SA"/>
        </w:rPr>
        <w:t>。针对排查隐患问题，结合风险评估结果，对相关责任主体编制“一企一策”整治方案提供技术指导，对重金属环境风险突出、污染事件多发的产业园区或区域编制 “一地一策”综合整治方案提供技术指导，并在实施过程中开展全过程技术咨询服务。</w:t>
      </w:r>
    </w:p>
    <w:p>
      <w:pPr>
        <w:pStyle w:val="2"/>
        <w:keepNext w:val="0"/>
        <w:keepLines w:val="0"/>
        <w:pageBreakBefore w:val="0"/>
        <w:widowControl w:val="0"/>
        <w:numPr>
          <w:ilvl w:val="0"/>
          <w:numId w:val="0"/>
        </w:numPr>
        <w:spacing w:line="600" w:lineRule="exact"/>
        <w:ind w:firstLine="480"/>
        <w:jc w:val="both"/>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6、提供整治核查技术支撑</w:t>
      </w:r>
      <w:r>
        <w:rPr>
          <w:rFonts w:hint="eastAsia" w:ascii="宋体" w:hAnsi="宋体" w:eastAsia="宋体" w:cs="宋体"/>
          <w:color w:val="auto"/>
          <w:sz w:val="24"/>
          <w:szCs w:val="24"/>
          <w:highlight w:val="none"/>
          <w:lang w:val="en-US" w:eastAsia="zh-CN" w:bidi="ar-SA"/>
        </w:rPr>
        <w:t>。立行立改工作完成后，或评估为中低风险隐患的企业整治完成后，对照立行立改整改要求或整治方案，指导核查整治过程与排查问题、方案的一致性，重点关注工程质控体系、污染源治理情况、周边环境改善情况等整治核查要点，协助开展完成情况的验收核查，过程中提供技术支撑。</w:t>
      </w:r>
    </w:p>
    <w:p>
      <w:pPr>
        <w:keepNext w:val="0"/>
        <w:keepLines w:val="0"/>
        <w:pageBreakBefore w:val="0"/>
        <w:widowControl w:val="0"/>
        <w:spacing w:line="60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提交的</w:t>
      </w:r>
      <w:r>
        <w:rPr>
          <w:rFonts w:hint="eastAsia" w:ascii="宋体" w:hAnsi="宋体" w:eastAsia="宋体" w:cs="宋体"/>
          <w:b/>
          <w:bCs/>
          <w:color w:val="auto"/>
          <w:sz w:val="24"/>
          <w:szCs w:val="24"/>
          <w:highlight w:val="none"/>
          <w:lang w:val="en-US" w:eastAsia="zh-CN"/>
        </w:rPr>
        <w:t>技术服务</w:t>
      </w:r>
      <w:r>
        <w:rPr>
          <w:rFonts w:hint="eastAsia" w:ascii="宋体" w:hAnsi="宋体" w:eastAsia="宋体" w:cs="宋体"/>
          <w:b/>
          <w:bCs/>
          <w:color w:val="auto"/>
          <w:sz w:val="24"/>
          <w:szCs w:val="24"/>
          <w:highlight w:val="none"/>
        </w:rPr>
        <w:t>成果</w:t>
      </w:r>
    </w:p>
    <w:p>
      <w:pPr>
        <w:keepNext w:val="0"/>
        <w:keepLines w:val="0"/>
        <w:pageBreakBefore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补充完善重金属污染源排查清单，完成全市涉重金属企业的重金属环境安全隐患排查并建立隐患问题清单，科学开展环境风险评估，明确重金属污染源环境风险高、中、低等级。协助完成全市“一企一策”“一地一策”整治方案编制，以及风险隐患整治完成情况核查。</w:t>
      </w:r>
    </w:p>
    <w:p>
      <w:pPr>
        <w:keepNext w:val="0"/>
        <w:keepLines w:val="0"/>
        <w:pageBreakBefore w:val="0"/>
        <w:widowControl w:val="0"/>
        <w:numPr>
          <w:ilvl w:val="0"/>
          <w:numId w:val="0"/>
        </w:numPr>
        <w:spacing w:line="60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项目进度及技术服务要求</w:t>
      </w:r>
    </w:p>
    <w:p>
      <w:pPr>
        <w:keepNext w:val="0"/>
        <w:keepLines w:val="0"/>
        <w:pageBreakBefore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1、自签订委托协议之日起，启动技术服务工作，2026年底前，实施现场排查和隐患排查，建立隐患问题清单，协助完成风险问题立行立改任务。</w:t>
      </w:r>
    </w:p>
    <w:p>
      <w:pPr>
        <w:keepNext w:val="0"/>
        <w:keepLines w:val="0"/>
        <w:pageBreakBefore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2、2027年底前，完成环境风险等级评估，指导制定整治方案，配合完成整治核查。</w:t>
      </w:r>
    </w:p>
    <w:p>
      <w:pPr>
        <w:keepNext w:val="0"/>
        <w:keepLines w:val="0"/>
        <w:pageBreakBefore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3、成交供应商须承诺，中标后根据项目实施需要，按甲方要求乙方安排人员驻点办公，保障项目有序推进。</w:t>
      </w:r>
    </w:p>
    <w:p>
      <w:pPr>
        <w:keepNext w:val="0"/>
        <w:keepLines w:val="0"/>
        <w:pageBreakBefore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在项目开展过程中，如果国家或省有新的工作进度要求，则项目进度要求进行相应的更新调整，必要时通过签订补充协议的方式予以调整。</w:t>
      </w:r>
    </w:p>
    <w:p>
      <w:pPr>
        <w:keepNext w:val="0"/>
        <w:keepLines w:val="0"/>
        <w:pageBreakBefore w:val="0"/>
        <w:widowControl w:val="0"/>
        <w:spacing w:line="60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服务期限</w:t>
      </w:r>
    </w:p>
    <w:p>
      <w:pPr>
        <w:keepNext w:val="0"/>
        <w:keepLines w:val="0"/>
        <w:pageBreakBefore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合同签订之日起至2027年12月31日。</w:t>
      </w:r>
    </w:p>
    <w:p>
      <w:pPr>
        <w:keepNext w:val="0"/>
        <w:keepLines w:val="0"/>
        <w:pageBreakBefore w:val="0"/>
        <w:widowControl w:val="0"/>
        <w:spacing w:line="60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九</w:t>
      </w:r>
      <w:r>
        <w:rPr>
          <w:rFonts w:hint="eastAsia" w:ascii="宋体" w:hAnsi="宋体" w:eastAsia="宋体" w:cs="宋体"/>
          <w:b/>
          <w:bCs/>
          <w:color w:val="auto"/>
          <w:sz w:val="24"/>
          <w:szCs w:val="24"/>
          <w:highlight w:val="none"/>
        </w:rPr>
        <w:t>、付款方式</w:t>
      </w:r>
    </w:p>
    <w:p>
      <w:pPr>
        <w:keepNext w:val="0"/>
        <w:keepLines w:val="0"/>
        <w:pageBreakBefore w:val="0"/>
        <w:widowControl w:val="0"/>
        <w:pBdr>
          <w:top w:val="none" w:color="000000" w:sz="0" w:space="0"/>
          <w:left w:val="none" w:color="000000" w:sz="0" w:space="0"/>
          <w:bottom w:val="none" w:color="000000" w:sz="0" w:space="0"/>
          <w:right w:val="none" w:color="000000" w:sz="0" w:space="0"/>
        </w:pBdr>
        <w:spacing w:line="600" w:lineRule="exact"/>
        <w:ind w:firstLine="480"/>
        <w:jc w:val="both"/>
        <w:rPr>
          <w:rFonts w:hint="eastAsia" w:ascii="宋体" w:hAnsi="宋体" w:eastAsia="宋体" w:cs="宋体"/>
          <w:color w:val="auto"/>
          <w:sz w:val="24"/>
          <w:szCs w:val="24"/>
          <w:highlight w:val="none"/>
        </w:rPr>
      </w:pPr>
      <w:r>
        <w:rPr>
          <w:rFonts w:hint="eastAsia" w:ascii="宋体" w:hAnsi="宋体" w:eastAsia="Arial" w:cs="宋体"/>
          <w:color w:val="auto"/>
          <w:sz w:val="24"/>
          <w:szCs w:val="24"/>
          <w:highlight w:val="none"/>
          <w:lang w:val="zh-CN"/>
        </w:rPr>
        <w:t>甲方收到乙方发票后10个工作日内支付合同总价的30%</w:t>
      </w:r>
      <w:r>
        <w:rPr>
          <w:rFonts w:hint="eastAsia" w:ascii="宋体" w:hAnsi="宋体" w:eastAsia="Arial" w:cs="宋体"/>
          <w:color w:val="auto"/>
          <w:sz w:val="24"/>
          <w:szCs w:val="20"/>
          <w:highlight w:val="none"/>
          <w:lang w:val="zh-CN" w:eastAsia="zh-CN"/>
        </w:rPr>
        <w:t>（</w:t>
      </w:r>
      <w:r>
        <w:rPr>
          <w:rFonts w:hint="eastAsia" w:ascii="宋体" w:hAnsi="宋体" w:eastAsia="Arial" w:cs="宋体"/>
          <w:color w:val="auto"/>
          <w:sz w:val="24"/>
          <w:szCs w:val="20"/>
          <w:highlight w:val="none"/>
          <w:lang w:val="zh-CN"/>
        </w:rPr>
        <w:t>在签订合同时，如乙方明确书面表示无需预付款或者主动要求降低预付款比例的，经双方协商甲方可就预付款比例作相应调整</w:t>
      </w:r>
      <w:r>
        <w:rPr>
          <w:rFonts w:hint="eastAsia" w:ascii="宋体" w:hAnsi="宋体" w:eastAsia="Arial" w:cs="宋体"/>
          <w:color w:val="auto"/>
          <w:sz w:val="24"/>
          <w:szCs w:val="20"/>
          <w:highlight w:val="none"/>
          <w:lang w:val="zh-CN"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在完成重金属环境安全隐患排查建立隐患问题清单，</w:t>
      </w:r>
      <w:r>
        <w:rPr>
          <w:rFonts w:hint="eastAsia" w:ascii="宋体" w:hAnsi="宋体" w:eastAsia="宋体" w:cs="宋体"/>
          <w:color w:val="auto"/>
          <w:sz w:val="24"/>
          <w:szCs w:val="24"/>
          <w:highlight w:val="none"/>
          <w:lang w:eastAsia="zh-CN"/>
        </w:rPr>
        <w:t>且</w:t>
      </w:r>
      <w:r>
        <w:rPr>
          <w:rFonts w:hint="eastAsia" w:ascii="宋体" w:hAnsi="宋体" w:eastAsia="宋体" w:cs="宋体"/>
          <w:color w:val="auto"/>
          <w:sz w:val="24"/>
          <w:szCs w:val="24"/>
          <w:highlight w:val="none"/>
        </w:rPr>
        <w:t>协助完成风险问题立行立改任务，并通过甲方验收后，甲方收到乙方发票10个工作日内，支付合同额的40%；</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在完成环境风险等级评估，指导制定整治方案，配合完成整治核查，按合同完成履约验收后，甲方收到乙方发票后10个工作日内，支付合同额的30%。</w:t>
      </w:r>
    </w:p>
    <w:p>
      <w:pPr>
        <w:keepNext w:val="0"/>
        <w:keepLines w:val="0"/>
        <w:pageBreakBefore w:val="0"/>
        <w:widowControl w:val="0"/>
        <w:pBdr>
          <w:top w:val="none" w:color="000000" w:sz="0" w:space="0"/>
          <w:left w:val="none" w:color="000000" w:sz="0" w:space="0"/>
          <w:bottom w:val="none" w:color="000000" w:sz="0" w:space="0"/>
          <w:right w:val="none" w:color="000000" w:sz="0" w:space="0"/>
        </w:pBdr>
        <w:spacing w:line="6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注：每次申请付款前，乙方必须向甲方提供有效发票；因乙方未能及时提供发票而导致付款延误的，责任由乙方承担。</w:t>
      </w:r>
    </w:p>
    <w:p>
      <w:pPr>
        <w:keepNext w:val="0"/>
        <w:keepLines w:val="0"/>
        <w:pageBreakBefore w:val="0"/>
        <w:widowControl w:val="0"/>
        <w:spacing w:line="60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十、结算方式</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10.1 本项目采用“固定总价”合同，合同实施过程中中标（合同）总价一律不予调整（除甲方调整服务内容或合同约定调整外）。</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10.2 结算价=中标（合同）总价±甲方调整服务内容或合同约定调整价款。</w:t>
      </w:r>
    </w:p>
    <w:p>
      <w:pPr>
        <w:keepNext w:val="0"/>
        <w:keepLines w:val="0"/>
        <w:pageBreakBefore w:val="0"/>
        <w:widowControl w:val="0"/>
        <w:numPr>
          <w:ilvl w:val="0"/>
          <w:numId w:val="0"/>
        </w:numPr>
        <w:spacing w:line="60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十一、知识产权及保密责任</w:t>
      </w:r>
    </w:p>
    <w:p>
      <w:pPr>
        <w:keepNext w:val="0"/>
        <w:keepLines w:val="0"/>
        <w:pageBreakBefore w:val="0"/>
        <w:widowControl w:val="0"/>
        <w:spacing w:line="6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乙方应保证甲方在使用其交付物、服务及其任何部分时不受到第三方关于侵犯专利权、商标权或著作权等知识产权及其他权利的指控。任何第三方如果提出侵权指控，均由乙方自行处理并承担可能发生的一切法律责任和费用。</w:t>
      </w:r>
    </w:p>
    <w:p>
      <w:pPr>
        <w:keepNext w:val="0"/>
        <w:keepLines w:val="0"/>
        <w:pageBreakBefore w:val="0"/>
        <w:widowControl w:val="0"/>
        <w:spacing w:line="6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乙方及其人员因履行本项目事务所产生的各项成果或利用因本合同履行而获知的数据、信息、资料、报告等而产生的任何作品，其知识产权和其他权益均归甲方单方所有。未经甲方事先书面许可，乙方及其人员不得为本合同约定事务之外的任何目的、以任何形式自行使用、擅自许可第三方使用或向第三方透露部分或全部信息，存在前述任意情况时均视为乙方侵权并应承担各项法律责任。</w:t>
      </w:r>
    </w:p>
    <w:p>
      <w:pPr>
        <w:keepNext w:val="0"/>
        <w:keepLines w:val="0"/>
        <w:pageBreakBefore w:val="0"/>
        <w:widowControl w:val="0"/>
        <w:spacing w:line="6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保密责任：乙方就本合同履行过程中所形成或获知的各类信息及书面和电子材料（包括但不限于本合同；本项目全部数据、文件资料、各类报告及方案等）均有保密义务（有真实有效的证据证明该信息属于公知信息或者事先得到需方书面授权的除外），该保密义务在本合同解除或终止后继续有效。乙方因违反保密义务而给项目或甲方造成损失的，应承担因此导致的直接和间接经济损失及各类法律责任。</w:t>
      </w:r>
    </w:p>
    <w:p>
      <w:pPr>
        <w:keepNext w:val="0"/>
        <w:keepLines w:val="0"/>
        <w:pageBreakBefore w:val="0"/>
        <w:widowControl w:val="0"/>
        <w:spacing w:line="60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、各方当事人的义务或协作事项及承担的责任</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12.1 甲方责任</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（1）甲方要求乙方比本合同规定时间提前交付最终成果时，甲方应支付赶工费，具体金额由甲、乙双方另议。</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（2）甲方应为乙方的工作人员提供工作、生活及交通等方便条件，其费用由乙方承担。</w:t>
      </w:r>
    </w:p>
    <w:p>
      <w:pPr>
        <w:keepNext w:val="0"/>
        <w:keepLines w:val="0"/>
        <w:pageBreakBefore w:val="0"/>
        <w:widowControl w:val="0"/>
        <w:spacing w:line="6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为保证乙方有效进行</w:t>
      </w:r>
      <w:r>
        <w:rPr>
          <w:rFonts w:hint="eastAsia" w:ascii="宋体" w:hAnsi="宋体" w:eastAsia="宋体" w:cs="宋体"/>
          <w:color w:val="auto"/>
          <w:sz w:val="24"/>
          <w:szCs w:val="24"/>
          <w:highlight w:val="none"/>
          <w:lang w:eastAsia="zh-CN"/>
        </w:rPr>
        <w:t>重金属环境安全隐患排查整治</w:t>
      </w:r>
      <w:r>
        <w:rPr>
          <w:rFonts w:hint="eastAsia" w:ascii="宋体" w:hAnsi="宋体" w:eastAsia="宋体" w:cs="宋体"/>
          <w:color w:val="auto"/>
          <w:sz w:val="24"/>
          <w:szCs w:val="24"/>
          <w:highlight w:val="none"/>
        </w:rPr>
        <w:t>工作，甲方应在能力范围内就必要事务对乙方予以配合、提供必要的资料和内容。乙方就需要甲方协作的事项或需要甲方提供的资料、内容，应提前至少7个工作日向甲方提出书面申请并列明具体事宜、时间等要求，以便甲方予以审查判断及对于需要协助事务或提供的资料和内容进行安排、准备。</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12.2 乙方责任</w:t>
      </w:r>
    </w:p>
    <w:p>
      <w:pPr>
        <w:pStyle w:val="204"/>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乙方应组织专业的工作团队，并按照约定时间节点开展工作。工作团队要任命并保持一名经验丰富的项目负责人，负责与甲方之间的联系以及工作安排。本项目团队在工作期间应保持稳定和连续，除甲方要求外乙方原则上不能进行项目人员变动。如乙方需对项目人员进行变动的，应提前书面告知甲方并取得甲方同意，乙方应及时安排符合约定要求的员工接替被变动人员，在征得甲方意见时，乙方应将接替人员的信息（包括但不限于：姓名、性别、年龄、联系方式、资质及专业经历情况、负责的项目事宜等）及资质证书等均提供给甲方，甲方如同意更换人员的，由甲方对接替人员前述信息资料及资质证书予以书面备案。出现项目人员变动情形的，由乙方保障该人员变动不影响项目开展的进度及质量，如因人员变动导致项目或甲方出现逾期、质量不符合约定及甲方要求等情况的，由乙方负责立即弥补和处理且应承担因此产生的费用增项、损失或违约等其他各项责任。乙方指定由     作为项目负责人并以其下列联系信息作为乙方联系方式：</w:t>
      </w:r>
      <w:r>
        <w:rPr>
          <w:rFonts w:hint="eastAsia" w:ascii="宋体" w:hAnsi="宋体" w:eastAsia="宋体" w:cs="宋体"/>
          <w:color w:val="auto"/>
          <w:sz w:val="24"/>
          <w:szCs w:val="24"/>
          <w:highlight w:val="none"/>
          <w:u w:val="single"/>
          <w:lang w:val="en-US" w:eastAsia="zh-CN" w:bidi="ar-SA"/>
        </w:rPr>
        <w:t xml:space="preserve">电话          、邮箱          、微信号          、联系地址          </w:t>
      </w:r>
      <w:r>
        <w:rPr>
          <w:rFonts w:hint="eastAsia" w:ascii="宋体" w:hAnsi="宋体" w:eastAsia="宋体" w:cs="宋体"/>
          <w:color w:val="auto"/>
          <w:sz w:val="24"/>
          <w:szCs w:val="24"/>
          <w:highlight w:val="none"/>
          <w:lang w:val="en-US" w:eastAsia="zh-CN" w:bidi="ar-SA"/>
        </w:rPr>
        <w:t>。乙方确认该项目负责人已获得授权且其作出的意见及决定均可视为乙方意见，前述联系信息均为不可改变的联系方式：以邮件方式寄出的文书，一经寄出在三日内均视为已经收到；用手机短信、微信、电子邮件发送的信息，一经发出均视为立即收到。如双方通过诉讼方式解决争议的，项目负责人的电话及收件地址即为乙方确认的法院送达方式，如项目负责人或其联系信息发生改变的，乙方均应及时以书面方式告知甲方，否则引起的不利后果均由乙方承担。</w:t>
      </w:r>
    </w:p>
    <w:p>
      <w:pPr>
        <w:pStyle w:val="204"/>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乙方应依照本合同（含组成部分）的约定及甲方的要求开展和完成各项目事务，并对完成进度、质量及各方全过程安全承担全部负责。乙方应保障甲方就本合同履行情况的监督权及知情权，甲方如就项目的各项事务提出异议或要求的，乙方应及时回复甲方并依要求制作书面答复意见或对相关工作进行调整、整改等。</w:t>
      </w:r>
    </w:p>
    <w:p>
      <w:pPr>
        <w:pStyle w:val="204"/>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乙方在履行本合同过程中取得、制作的各类信息、记录、报告等资料均应分类整理、归档并妥善管理，对于甲方要求提供或应提交给甲方的材料应及时交付。在本合同解除或履行完毕之日乙方将前述材料全部交付给甲方，所有相关资料不得外泄。</w:t>
      </w:r>
    </w:p>
    <w:p>
      <w:pPr>
        <w:pStyle w:val="204"/>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本合同约定的项目事务均应由乙方及其约定的具备相应技术资质及能力的人员完成，合同履行过程中乙方及其人员不得邀请、放任、默许任意第三方（含单位和个人）以有偿或无偿方式参与项目工作及事务，乙方也不得擅自将项目的部分或全部分包、转包、委托给任意第三方。出现前述情形时，由乙方自行处理和承担相应各项事务和责任，同时甲方均有权单方解除本合同并要求乙方退还已付合同价款、承担费用增项及损失等。</w:t>
      </w:r>
    </w:p>
    <w:p>
      <w:pPr>
        <w:pStyle w:val="204"/>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（5）乙方出现下列任一情形时，甲方均有权单方解除本合同、不继续履行付款义务并要求乙方给付费用增项、损失及违约金等：</w:t>
      </w:r>
    </w:p>
    <w:p>
      <w:pPr>
        <w:pStyle w:val="204"/>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①未依照约定开展项目服务累计出现3次及以上的；</w:t>
      </w:r>
    </w:p>
    <w:p>
      <w:pPr>
        <w:pStyle w:val="204"/>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②</w:t>
      </w:r>
      <w:r>
        <w:rPr>
          <w:rFonts w:hint="eastAsia" w:cs="宋体"/>
          <w:color w:val="auto"/>
          <w:sz w:val="24"/>
          <w:szCs w:val="24"/>
          <w:highlight w:val="none"/>
          <w:lang w:val="en-US" w:eastAsia="zh-CN" w:bidi="ar-SA"/>
        </w:rPr>
        <w:t>提交的成果</w:t>
      </w:r>
      <w:r>
        <w:rPr>
          <w:rFonts w:hint="eastAsia" w:ascii="宋体" w:hAnsi="宋体" w:eastAsia="宋体" w:cs="宋体"/>
          <w:color w:val="auto"/>
          <w:sz w:val="24"/>
          <w:szCs w:val="24"/>
          <w:highlight w:val="none"/>
          <w:lang w:val="en-US" w:eastAsia="zh-CN" w:bidi="ar-SA"/>
        </w:rPr>
        <w:t>不实或不完整的；</w:t>
      </w:r>
    </w:p>
    <w:p>
      <w:pPr>
        <w:pStyle w:val="204"/>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③全部或部分成果经审核后未通过，修改后3次后仍未通过或不依照约定及甲方要求修改的；</w:t>
      </w:r>
    </w:p>
    <w:p>
      <w:pPr>
        <w:pStyle w:val="204"/>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④如实告知情况，提供虚假材料的；</w:t>
      </w:r>
    </w:p>
    <w:p>
      <w:pPr>
        <w:pStyle w:val="204"/>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⑤乙方及其人员存在违反知识产权、保密条款的约定；干扰甲方工作及项目事务开展；损害甲方及项目利益（含声誉、经济利益等）之任一行为的；</w:t>
      </w:r>
    </w:p>
    <w:p>
      <w:pPr>
        <w:pStyle w:val="204"/>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⑥因乙方原因导致甲方涉及纠纷或承担责任的。</w:t>
      </w:r>
    </w:p>
    <w:p>
      <w:pPr>
        <w:keepNext w:val="0"/>
        <w:keepLines w:val="0"/>
        <w:pageBreakBefore w:val="0"/>
        <w:widowControl w:val="0"/>
        <w:spacing w:line="60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十三</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履约</w:t>
      </w:r>
      <w:r>
        <w:rPr>
          <w:rFonts w:hint="eastAsia" w:ascii="宋体" w:hAnsi="宋体" w:eastAsia="宋体" w:cs="宋体"/>
          <w:b/>
          <w:bCs/>
          <w:color w:val="auto"/>
          <w:sz w:val="24"/>
          <w:szCs w:val="24"/>
          <w:highlight w:val="none"/>
        </w:rPr>
        <w:t>验收的标准和方法</w:t>
      </w:r>
    </w:p>
    <w:p>
      <w:pPr>
        <w:pStyle w:val="204"/>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符合本合同（含组成部分）的约定，保障在约定期限内完成全部项目事务、均通过盐城市生态环境局项目验收且配合完成</w:t>
      </w:r>
      <w:r>
        <w:rPr>
          <w:rFonts w:hint="eastAsia" w:ascii="宋体" w:hAnsi="宋体" w:eastAsia="宋体" w:cs="宋体"/>
          <w:color w:val="auto"/>
          <w:sz w:val="24"/>
          <w:szCs w:val="24"/>
          <w:highlight w:val="none"/>
          <w:lang w:eastAsia="zh-CN"/>
        </w:rPr>
        <w:t>重金属环境安全隐患排查整治</w:t>
      </w:r>
      <w:r>
        <w:rPr>
          <w:rFonts w:hint="eastAsia" w:ascii="宋体" w:hAnsi="宋体" w:eastAsia="宋体" w:cs="宋体"/>
          <w:color w:val="auto"/>
          <w:sz w:val="24"/>
          <w:szCs w:val="24"/>
          <w:highlight w:val="none"/>
          <w:lang w:val="en-US" w:eastAsia="zh-CN" w:bidi="ar-SA"/>
        </w:rPr>
        <w:t>以及其他相关工作，以及保障通过上级部门的确认。</w:t>
      </w:r>
    </w:p>
    <w:p>
      <w:pPr>
        <w:pStyle w:val="204"/>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乙方要充分运用信息化手段，强化系统管理，实现全过程留痕，乙方需接受采购人安排的质量检查工作，检查范围包括但不限于现场检查、矢量数据比对、提交成果审核、收集资料查阅等，对于不符合要求的实施过程或结果，需重新开展。</w:t>
      </w:r>
    </w:p>
    <w:p>
      <w:pPr>
        <w:pStyle w:val="204"/>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在合同期内发现提供的材料、编制的报告、提供的服务等有缺陷或实际情况改变的，乙方应当负责重新调整或采取补救措施、提供顾问式咨询等措施，至满足甲方需求止，该服务费用已包含于约定合同价款内。</w:t>
      </w:r>
    </w:p>
    <w:p>
      <w:pPr>
        <w:keepNext w:val="0"/>
        <w:keepLines w:val="0"/>
        <w:pageBreakBefore w:val="0"/>
        <w:widowControl w:val="0"/>
        <w:spacing w:line="60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、违约责任</w:t>
      </w:r>
    </w:p>
    <w:p>
      <w:pPr>
        <w:pStyle w:val="204"/>
        <w:keepNext w:val="0"/>
        <w:keepLines w:val="0"/>
        <w:pageBreakBefore w:val="0"/>
        <w:widowControl w:val="0"/>
        <w:spacing w:line="600" w:lineRule="exact"/>
        <w:ind w:firstLine="480"/>
        <w:rPr>
          <w:color w:val="auto"/>
          <w:sz w:val="24"/>
          <w:szCs w:val="24"/>
          <w:highlight w:val="none"/>
        </w:rPr>
      </w:pPr>
      <w:r>
        <w:rPr>
          <w:rFonts w:hint="eastAsia"/>
          <w:color w:val="auto"/>
          <w:sz w:val="24"/>
          <w:szCs w:val="24"/>
          <w:highlight w:val="none"/>
          <w:lang w:val="en-US" w:eastAsia="zh-CN"/>
        </w:rPr>
        <w:t>14.1</w:t>
      </w:r>
      <w:r>
        <w:rPr>
          <w:rFonts w:hint="eastAsia"/>
          <w:color w:val="auto"/>
          <w:sz w:val="24"/>
          <w:szCs w:val="24"/>
          <w:highlight w:val="none"/>
        </w:rPr>
        <w:t>项目实施期间，乙方应该确保按照要求提供成果，如因工作失误等原因延误工作进度的，乙方按合同总价总额每日千分之六向甲方支付违约金；逾期超过约定日期30个工作日不能交付的，甲方可解除合同；如提供的成果未能通过</w:t>
      </w:r>
      <w:r>
        <w:rPr>
          <w:rFonts w:hint="eastAsia"/>
          <w:color w:val="auto"/>
          <w:sz w:val="24"/>
          <w:szCs w:val="24"/>
          <w:highlight w:val="none"/>
          <w:lang w:eastAsia="zh-CN"/>
        </w:rPr>
        <w:t>甲方验收</w:t>
      </w:r>
      <w:r>
        <w:rPr>
          <w:rFonts w:hint="eastAsia"/>
          <w:color w:val="auto"/>
          <w:sz w:val="24"/>
          <w:szCs w:val="24"/>
          <w:highlight w:val="none"/>
        </w:rPr>
        <w:t>，乙方需按中标价格的百分之三十向甲方支付违约金；乙方提供虚假材料，甲方有权终止合同，乙方需按合同总额的百分之十向甲方支付违约金。</w:t>
      </w:r>
    </w:p>
    <w:p>
      <w:pPr>
        <w:pStyle w:val="204"/>
        <w:keepNext w:val="0"/>
        <w:keepLines w:val="0"/>
        <w:pageBreakBefore w:val="0"/>
        <w:widowControl w:val="0"/>
        <w:spacing w:line="600" w:lineRule="exact"/>
        <w:ind w:firstLine="480"/>
        <w:rPr>
          <w:color w:val="auto"/>
          <w:sz w:val="24"/>
          <w:szCs w:val="24"/>
          <w:highlight w:val="none"/>
        </w:rPr>
      </w:pPr>
      <w:r>
        <w:rPr>
          <w:rFonts w:hint="eastAsia"/>
          <w:color w:val="auto"/>
          <w:sz w:val="24"/>
          <w:szCs w:val="24"/>
          <w:highlight w:val="none"/>
          <w:lang w:val="en-US" w:eastAsia="zh-CN"/>
        </w:rPr>
        <w:t>14.2</w:t>
      </w:r>
      <w:r>
        <w:rPr>
          <w:rFonts w:hint="eastAsia"/>
          <w:color w:val="auto"/>
          <w:sz w:val="24"/>
          <w:szCs w:val="24"/>
          <w:highlight w:val="none"/>
        </w:rPr>
        <w:t>除本合同已约定的违约情形外，当乙方出现下列任一情况时，甲方除有权选择适用上一条内约定的一项或多项违约责任追究方式外，还有权单方解除本合同：</w:t>
      </w:r>
    </w:p>
    <w:p>
      <w:pPr>
        <w:pStyle w:val="204"/>
        <w:keepNext w:val="0"/>
        <w:keepLines w:val="0"/>
        <w:pageBreakBefore w:val="0"/>
        <w:widowControl w:val="0"/>
        <w:spacing w:line="600" w:lineRule="exact"/>
        <w:ind w:firstLine="480"/>
        <w:rPr>
          <w:color w:val="auto"/>
          <w:sz w:val="24"/>
          <w:szCs w:val="24"/>
          <w:highlight w:val="none"/>
        </w:rPr>
      </w:pPr>
      <w:r>
        <w:rPr>
          <w:rFonts w:hint="eastAsia"/>
          <w:color w:val="auto"/>
          <w:sz w:val="24"/>
          <w:szCs w:val="24"/>
          <w:highlight w:val="none"/>
        </w:rPr>
        <w:t>（1）乙方未完成/未按时完成服务事务；</w:t>
      </w:r>
    </w:p>
    <w:p>
      <w:pPr>
        <w:pStyle w:val="204"/>
        <w:keepNext w:val="0"/>
        <w:keepLines w:val="0"/>
        <w:pageBreakBefore w:val="0"/>
        <w:widowControl w:val="0"/>
        <w:spacing w:line="600" w:lineRule="exact"/>
        <w:ind w:firstLine="480"/>
        <w:rPr>
          <w:color w:val="auto"/>
          <w:sz w:val="24"/>
          <w:szCs w:val="24"/>
          <w:highlight w:val="none"/>
        </w:rPr>
      </w:pPr>
      <w:r>
        <w:rPr>
          <w:rFonts w:hint="eastAsia"/>
          <w:color w:val="auto"/>
          <w:sz w:val="24"/>
          <w:szCs w:val="24"/>
          <w:highlight w:val="none"/>
        </w:rPr>
        <w:t>（2）乙方提交的方案等不符合约定或甲方要求，乙方不予修改/重做或修改/重做2次及以上后仍未完全满足约定或甲方要求的；</w:t>
      </w:r>
    </w:p>
    <w:p>
      <w:pPr>
        <w:pStyle w:val="204"/>
        <w:keepNext w:val="0"/>
        <w:keepLines w:val="0"/>
        <w:pageBreakBefore w:val="0"/>
        <w:widowControl w:val="0"/>
        <w:spacing w:line="600" w:lineRule="exact"/>
        <w:ind w:firstLine="480"/>
        <w:rPr>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eastAsia="zh-CN"/>
        </w:rPr>
        <w:t>3</w:t>
      </w:r>
      <w:r>
        <w:rPr>
          <w:rFonts w:hint="eastAsia"/>
          <w:color w:val="auto"/>
          <w:sz w:val="24"/>
          <w:szCs w:val="24"/>
          <w:highlight w:val="none"/>
        </w:rPr>
        <w:t>）委派的员工不符合约定要求及能力，并已严重影响项目进程，经甲方指出，仍未改正；</w:t>
      </w:r>
    </w:p>
    <w:p>
      <w:pPr>
        <w:pStyle w:val="204"/>
        <w:keepNext w:val="0"/>
        <w:keepLines w:val="0"/>
        <w:pageBreakBefore w:val="0"/>
        <w:widowControl w:val="0"/>
        <w:spacing w:line="600" w:lineRule="exact"/>
        <w:ind w:firstLine="480"/>
        <w:rPr>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eastAsia="zh-CN"/>
        </w:rPr>
        <w:t>4</w:t>
      </w:r>
      <w:r>
        <w:rPr>
          <w:rFonts w:hint="eastAsia"/>
          <w:color w:val="auto"/>
          <w:sz w:val="24"/>
          <w:szCs w:val="24"/>
          <w:highlight w:val="none"/>
        </w:rPr>
        <w:t>）中止或终止开展项目事务的；</w:t>
      </w:r>
    </w:p>
    <w:p>
      <w:pPr>
        <w:pStyle w:val="204"/>
        <w:keepNext w:val="0"/>
        <w:keepLines w:val="0"/>
        <w:pageBreakBefore w:val="0"/>
        <w:widowControl w:val="0"/>
        <w:spacing w:line="600" w:lineRule="exact"/>
        <w:ind w:firstLine="480"/>
        <w:rPr>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eastAsia="zh-CN"/>
        </w:rPr>
        <w:t>5</w:t>
      </w:r>
      <w:r>
        <w:rPr>
          <w:rFonts w:hint="eastAsia"/>
          <w:color w:val="auto"/>
          <w:sz w:val="24"/>
          <w:szCs w:val="24"/>
          <w:highlight w:val="none"/>
        </w:rPr>
        <w:t>）乙方及其人员存在违反知识产权、保密条款的约定；干扰甲方工作及项目事务开展；损害甲方及项目利益（含声誉、经济利益等）之任一行为的；</w:t>
      </w:r>
    </w:p>
    <w:p>
      <w:pPr>
        <w:pStyle w:val="204"/>
        <w:keepNext w:val="0"/>
        <w:keepLines w:val="0"/>
        <w:pageBreakBefore w:val="0"/>
        <w:widowControl w:val="0"/>
        <w:spacing w:line="600" w:lineRule="exact"/>
        <w:ind w:firstLine="480"/>
        <w:rPr>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eastAsia="zh-CN"/>
        </w:rPr>
        <w:t>6</w:t>
      </w:r>
      <w:r>
        <w:rPr>
          <w:rFonts w:hint="eastAsia"/>
          <w:color w:val="auto"/>
          <w:sz w:val="24"/>
          <w:szCs w:val="24"/>
          <w:highlight w:val="none"/>
        </w:rPr>
        <w:t>）因乙方原因导致甲方涉及纠纷或承担责任的。</w:t>
      </w:r>
    </w:p>
    <w:p>
      <w:pPr>
        <w:keepNext w:val="0"/>
        <w:keepLines w:val="0"/>
        <w:pageBreakBefore w:val="0"/>
        <w:widowControl w:val="0"/>
        <w:spacing w:line="60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、不可抗力</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15.1 在合同有效期内，任何一方因不可抗力事件导致不能履行合同，则合同履行期延长，其延长期与不可抗力影响期相同。</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15.2 不可抗力事件发生后，应立即通知对方，并寄送有关权威机构出具的证明。</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15.3 不可抗力事件延续 120 天以上，双方应通过友好协商，确定是否继续履行合同。</w:t>
      </w:r>
    </w:p>
    <w:p>
      <w:pPr>
        <w:keepNext w:val="0"/>
        <w:keepLines w:val="0"/>
        <w:pageBreakBefore w:val="0"/>
        <w:widowControl w:val="0"/>
        <w:spacing w:line="60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十六、履约保证金</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16.1乙方交纳</w:t>
      </w:r>
      <w:r>
        <w:rPr>
          <w:rFonts w:hint="eastAsia" w:ascii="宋体" w:hAnsi="宋体" w:eastAsia="宋体" w:cs="宋体"/>
          <w:color w:val="auto"/>
          <w:sz w:val="24"/>
          <w:szCs w:val="24"/>
          <w:highlight w:val="none"/>
          <w:u w:val="single"/>
          <w:lang w:val="en-US" w:eastAsia="zh-CN"/>
        </w:rPr>
        <w:t>人民币（大写）         圆整（¥         元）</w:t>
      </w:r>
      <w:r>
        <w:rPr>
          <w:rFonts w:hint="eastAsia" w:ascii="宋体" w:hAnsi="宋体" w:eastAsia="宋体" w:cs="宋体"/>
          <w:color w:val="auto"/>
          <w:sz w:val="24"/>
          <w:szCs w:val="24"/>
          <w:highlight w:val="none"/>
          <w:lang w:val="en-US" w:eastAsia="zh-CN"/>
        </w:rPr>
        <w:t>作为本合同的履约保证金（合同金额的10%）。引用盐城信用办推行的第三方信用报告，</w:t>
      </w:r>
      <w:r>
        <w:rPr>
          <w:rFonts w:hint="eastAsia" w:ascii="宋体" w:hAnsi="宋体" w:eastAsia="宋体" w:cs="宋体"/>
          <w:color w:val="auto"/>
          <w:sz w:val="24"/>
          <w:szCs w:val="24"/>
          <w:highlight w:val="none"/>
        </w:rPr>
        <w:t>AA 级及以上</w:t>
      </w:r>
      <w:r>
        <w:rPr>
          <w:rFonts w:hint="eastAsia" w:ascii="宋体" w:hAnsi="宋体" w:eastAsia="宋体" w:cs="宋体"/>
          <w:color w:val="auto"/>
          <w:sz w:val="24"/>
          <w:szCs w:val="24"/>
          <w:highlight w:val="none"/>
          <w:lang w:val="en-US" w:eastAsia="zh-CN"/>
        </w:rPr>
        <w:t>的供应商免交履约保证金。</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16.2确需收取履约保证金的，履约保证金的缴纳形式：</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16.2.2如以履约保函（保险）形式缴纳履约保证金，供应商可通过政府采购电子履约保函（保险）平台（www.jsdzbh.com）在线申请履约保函（保险）。</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16.3合同履行结束后，甲方应及时退还交纳的履约保证金。</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16.4履约保证金的退还：</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16.4.1方式：无息退还至乙方缴纳履约保证金的账户。如为保函，在到期时自行失效。</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16.4.2时间：验收合格且甲方收到发票后10个工作日内。</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16.4.3条件：按合同要求全部履约完成并经甲方验收合格，且甲方收到乙方出具的发票。</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16.4.4不予退还情形：</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除不可抗力情况外，乙方出现下列情形之一的，其履约保证金，甲方将视情节决定不予退还或部分不予退还。</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（1）乙方无正当理由拒绝签订合同的，或者在签订合同时向甲方提出附加条件或者更改合同实质性内容要求的；</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（2）乙方不履行与采购人订立的合同的；</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（3）乙方所供货物或服务不符合招标文件规定要求的；</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（4）乙方采取欺骗、弄虚作假方式投标的或与其它投标人串通投标的；</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（5）乙方将合同内容转包、违法分包的；</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（6）乙方故意捏造事实或伪造证明材料，进行虚假恶意投诉或反映的。</w:t>
      </w:r>
    </w:p>
    <w:p>
      <w:pPr>
        <w:keepNext w:val="0"/>
        <w:keepLines w:val="0"/>
        <w:pageBreakBefore w:val="0"/>
        <w:widowControl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16.4.5逾期退还的违约责任：甲方逾期无故未退还履约保证金的，按中国人民银行同期贷款基准利率上浮20%后的利率支付超期资金占用费，但因乙方自身原因导致无法及时退还的除外。</w:t>
      </w:r>
    </w:p>
    <w:p>
      <w:pPr>
        <w:keepNext w:val="0"/>
        <w:keepLines w:val="0"/>
        <w:pageBreakBefore w:val="0"/>
        <w:widowControl w:val="0"/>
        <w:spacing w:line="60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十七、</w:t>
      </w:r>
      <w:r>
        <w:rPr>
          <w:rFonts w:hint="eastAsia" w:ascii="宋体" w:hAnsi="宋体" w:eastAsia="宋体" w:cs="宋体"/>
          <w:b/>
          <w:bCs/>
          <w:color w:val="auto"/>
          <w:sz w:val="24"/>
          <w:szCs w:val="24"/>
          <w:highlight w:val="none"/>
        </w:rPr>
        <w:t>争议的解决</w:t>
      </w:r>
    </w:p>
    <w:p>
      <w:pPr>
        <w:keepNext w:val="0"/>
        <w:keepLines w:val="0"/>
        <w:pageBreakBefore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甲、乙双方应通过友好协商，解决在执行本合同中所发生的或与本合同有关的一切争议，如协商仍得不到解决，任何一方均可依法向项目所在地人民法院起诉。</w:t>
      </w:r>
    </w:p>
    <w:p>
      <w:pPr>
        <w:keepNext w:val="0"/>
        <w:keepLines w:val="0"/>
        <w:pageBreakBefore w:val="0"/>
        <w:widowControl w:val="0"/>
        <w:spacing w:line="60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十八、其他</w:t>
      </w:r>
    </w:p>
    <w:p>
      <w:pPr>
        <w:keepNext w:val="0"/>
        <w:keepLines w:val="0"/>
        <w:pageBreakBefore w:val="0"/>
        <w:widowControl w:val="0"/>
        <w:spacing w:line="60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.1 本合同未尽事宜，遵照</w:t>
      </w:r>
      <w:r>
        <w:rPr>
          <w:rFonts w:hint="eastAsia" w:ascii="宋体" w:hAnsi="宋体" w:cs="宋体"/>
          <w:color w:val="auto"/>
          <w:sz w:val="24"/>
          <w:szCs w:val="24"/>
          <w:highlight w:val="none"/>
        </w:rPr>
        <w:t>《中华人民共和国民法典》</w:t>
      </w:r>
      <w:r>
        <w:rPr>
          <w:rFonts w:hint="eastAsia" w:ascii="宋体" w:hAnsi="宋体" w:cs="宋体"/>
          <w:color w:val="auto"/>
          <w:sz w:val="24"/>
          <w:highlight w:val="none"/>
        </w:rPr>
        <w:t>、《中华人民共和国政府</w:t>
      </w:r>
      <w:r>
        <w:rPr>
          <w:rFonts w:hint="eastAsia" w:ascii="宋体" w:hAnsi="宋体" w:eastAsia="宋体" w:cs="宋体"/>
          <w:color w:val="auto"/>
          <w:sz w:val="24"/>
          <w:highlight w:val="none"/>
        </w:rPr>
        <w:t>采购法》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《中华人民共和国政府采购法</w:t>
      </w:r>
      <w:r>
        <w:rPr>
          <w:rFonts w:hint="eastAsia" w:ascii="宋体" w:hAnsi="宋体" w:eastAsia="宋体" w:cs="宋体"/>
          <w:color w:val="auto"/>
          <w:sz w:val="24"/>
          <w:highlight w:val="none"/>
          <w:lang w:eastAsia="zh-CN"/>
        </w:rPr>
        <w:t>实施条例</w:t>
      </w:r>
      <w:r>
        <w:rPr>
          <w:rFonts w:hint="eastAsia" w:ascii="宋体" w:hAnsi="宋体" w:eastAsia="宋体" w:cs="宋体"/>
          <w:color w:val="auto"/>
          <w:sz w:val="24"/>
          <w:highlight w:val="none"/>
        </w:rPr>
        <w:t>》</w:t>
      </w:r>
      <w:r>
        <w:rPr>
          <w:rFonts w:hint="eastAsia" w:ascii="宋体" w:hAnsi="宋体" w:eastAsia="宋体" w:cs="宋体"/>
          <w:b w:val="0"/>
          <w:bCs w:val="0"/>
          <w:color w:val="auto"/>
          <w:sz w:val="24"/>
          <w:szCs w:val="24"/>
          <w:highlight w:val="none"/>
        </w:rPr>
        <w:t>有关条文执行。</w:t>
      </w:r>
    </w:p>
    <w:p>
      <w:pPr>
        <w:keepNext w:val="0"/>
        <w:keepLines w:val="0"/>
        <w:pageBreakBefore w:val="0"/>
        <w:widowControl w:val="0"/>
        <w:spacing w:line="60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.2 如需补充合同内容，经协商，甲、乙双方应签署书面补充合同协议，该协议将作为本合同的一个组成部分。</w:t>
      </w:r>
    </w:p>
    <w:p>
      <w:pPr>
        <w:keepNext w:val="0"/>
        <w:keepLines w:val="0"/>
        <w:pageBreakBefore w:val="0"/>
        <w:widowControl w:val="0"/>
        <w:spacing w:line="60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.3 招标文件和乙方的投标文件作为本合同的组成部分，与本合同具有同等法律效力。</w:t>
      </w:r>
    </w:p>
    <w:p>
      <w:pPr>
        <w:keepNext w:val="0"/>
        <w:keepLines w:val="0"/>
        <w:pageBreakBefore w:val="0"/>
        <w:widowControl w:val="0"/>
        <w:spacing w:line="60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.4 本合同一式陆份，以中文书写，甲、乙双方各执叁份，经甲、乙双方签字盖章后生效。</w:t>
      </w:r>
    </w:p>
    <w:p>
      <w:pPr>
        <w:pStyle w:val="36"/>
        <w:keepNext w:val="0"/>
        <w:keepLines w:val="0"/>
        <w:pageBreakBefore w:val="0"/>
        <w:widowControl w:val="0"/>
        <w:spacing w:beforeAutospacing="0" w:afterAutospacing="0" w:line="590" w:lineRule="exact"/>
        <w:ind w:firstLine="420"/>
        <w:jc w:val="both"/>
        <w:rPr>
          <w:rFonts w:hint="default" w:ascii="Times New Roman" w:hAnsi="Times New Roman" w:cs="Times New Roman"/>
          <w:color w:val="auto"/>
          <w:highlight w:val="none"/>
          <w:shd w:val="clear" w:color="auto" w:fill="auto"/>
        </w:rPr>
      </w:pPr>
    </w:p>
    <w:p>
      <w:pPr>
        <w:pStyle w:val="36"/>
        <w:spacing w:before="120" w:beforeAutospacing="0" w:after="120" w:afterAutospacing="0" w:line="0" w:lineRule="atLeast"/>
        <w:jc w:val="center"/>
        <w:rPr>
          <w:rFonts w:hint="default" w:ascii="Times New Roman" w:hAnsi="Times New Roman" w:cs="Times New Roman"/>
          <w:color w:val="auto"/>
          <w:highlight w:val="none"/>
        </w:rPr>
      </w:pPr>
      <w:bookmarkStart w:id="47" w:name="_Toc479757211"/>
      <w:bookmarkStart w:id="48" w:name="_Toc16938590"/>
      <w:bookmarkStart w:id="49" w:name="_Toc462564139"/>
      <w:bookmarkStart w:id="50" w:name="_Toc120614244"/>
      <w:bookmarkStart w:id="51" w:name="_Toc20823346"/>
      <w:bookmarkStart w:id="52" w:name="_Hlt16619369"/>
      <w:bookmarkStart w:id="53" w:name="_Hlt16619350"/>
      <w:r>
        <w:rPr>
          <w:rFonts w:hint="default" w:ascii="Times New Roman" w:hAnsi="Times New Roman" w:eastAsia="黑体" w:cs="Times New Roman"/>
          <w:color w:val="auto"/>
          <w:sz w:val="44"/>
          <w:szCs w:val="44"/>
          <w:highlight w:val="none"/>
          <w:shd w:val="clear" w:color="auto" w:fill="auto"/>
        </w:rPr>
        <w:br w:type="page" w:clear="all"/>
      </w:r>
      <w:r>
        <w:rPr>
          <w:rFonts w:hint="default" w:ascii="Times New Roman" w:hAnsi="Times New Roman" w:eastAsia="黑体" w:cs="Times New Roman"/>
          <w:color w:val="auto"/>
          <w:sz w:val="44"/>
          <w:szCs w:val="44"/>
          <w:highlight w:val="none"/>
        </w:rPr>
        <w:t> 第</w:t>
      </w:r>
      <w:bookmarkEnd w:id="47"/>
      <w:r>
        <w:rPr>
          <w:rFonts w:hint="default" w:ascii="Times New Roman" w:hAnsi="Times New Roman" w:eastAsia="黑体" w:cs="Times New Roman"/>
          <w:color w:val="auto"/>
          <w:sz w:val="44"/>
          <w:szCs w:val="44"/>
          <w:highlight w:val="none"/>
        </w:rPr>
        <w:t>四章 采购需求</w:t>
      </w:r>
      <w:bookmarkEnd w:id="48"/>
      <w:bookmarkEnd w:id="49"/>
      <w:bookmarkEnd w:id="50"/>
      <w:bookmarkEnd w:id="51"/>
      <w:bookmarkStart w:id="54" w:name="_Toc26554093"/>
      <w:bookmarkEnd w:id="54"/>
      <w:bookmarkStart w:id="55" w:name="_Toc49090575"/>
      <w:bookmarkEnd w:id="55"/>
    </w:p>
    <w:p>
      <w:pPr>
        <w:keepNext w:val="0"/>
        <w:keepLines w:val="0"/>
        <w:pageBreakBefore w:val="0"/>
        <w:widowControl/>
        <w:spacing w:line="580" w:lineRule="exact"/>
        <w:jc w:val="left"/>
        <w:rPr>
          <w:rFonts w:hint="default" w:ascii="Times New Roman" w:hAnsi="Times New Roman" w:cs="Times New Roman" w:eastAsiaTheme="minorEastAsia"/>
          <w:b/>
          <w:bCs/>
          <w:color w:val="auto"/>
          <w:sz w:val="24"/>
          <w:szCs w:val="20"/>
          <w:highlight w:val="none"/>
        </w:rPr>
      </w:pPr>
      <w:r>
        <w:rPr>
          <w:rFonts w:hint="default" w:ascii="Times New Roman" w:hAnsi="Times New Roman" w:cs="Times New Roman" w:eastAsiaTheme="minorEastAsia"/>
          <w:b/>
          <w:bCs/>
          <w:color w:val="auto"/>
          <w:sz w:val="24"/>
          <w:szCs w:val="20"/>
          <w:highlight w:val="none"/>
          <w:lang w:eastAsia="zh-CN"/>
        </w:rPr>
        <w:t>项目属性：服务类项目</w:t>
      </w:r>
    </w:p>
    <w:p>
      <w:pPr>
        <w:keepNext w:val="0"/>
        <w:keepLines w:val="0"/>
        <w:pageBreakBefore w:val="0"/>
        <w:widowControl/>
        <w:spacing w:line="580" w:lineRule="exact"/>
        <w:ind w:firstLine="482"/>
        <w:jc w:val="left"/>
        <w:rPr>
          <w:rFonts w:hint="eastAsia" w:ascii="Times New Roman" w:hAnsi="Times New Roman" w:eastAsia="宋体" w:cs="Times New Roman"/>
          <w:b/>
          <w:bCs/>
          <w:color w:val="auto"/>
          <w:sz w:val="24"/>
          <w:szCs w:val="20"/>
          <w:highlight w:val="none"/>
        </w:rPr>
      </w:pPr>
      <w:r>
        <w:rPr>
          <w:rFonts w:hint="eastAsia" w:ascii="Times New Roman" w:hAnsi="Times New Roman" w:eastAsia="宋体" w:cs="Times New Roman"/>
          <w:b/>
          <w:bCs/>
          <w:color w:val="auto"/>
          <w:sz w:val="24"/>
          <w:szCs w:val="20"/>
          <w:highlight w:val="none"/>
          <w:lang w:eastAsia="zh-CN"/>
        </w:rPr>
        <w:t>一</w:t>
      </w:r>
      <w:r>
        <w:rPr>
          <w:rFonts w:hint="eastAsia" w:ascii="Times New Roman" w:hAnsi="Times New Roman" w:cs="Times New Roman" w:eastAsiaTheme="minorEastAsia"/>
          <w:b/>
          <w:bCs/>
          <w:color w:val="auto"/>
          <w:sz w:val="24"/>
          <w:szCs w:val="20"/>
          <w:highlight w:val="none"/>
        </w:rPr>
        <w:t>、项目</w:t>
      </w:r>
      <w:r>
        <w:rPr>
          <w:rFonts w:hint="eastAsia" w:ascii="Times New Roman" w:hAnsi="Times New Roman" w:eastAsia="宋体" w:cs="Times New Roman"/>
          <w:b/>
          <w:bCs/>
          <w:color w:val="auto"/>
          <w:sz w:val="24"/>
          <w:szCs w:val="20"/>
          <w:highlight w:val="none"/>
          <w:lang w:eastAsia="zh-CN"/>
        </w:rPr>
        <w:t>概况</w:t>
      </w:r>
    </w:p>
    <w:p>
      <w:pPr>
        <w:keepNext w:val="0"/>
        <w:keepLines w:val="0"/>
        <w:pageBreakBefore w:val="0"/>
        <w:widowControl/>
        <w:spacing w:line="580" w:lineRule="exact"/>
        <w:ind w:firstLine="482"/>
        <w:jc w:val="left"/>
        <w:rPr>
          <w:rFonts w:hint="default"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根据国家《关于印发&lt;</w:t>
      </w:r>
      <w:bookmarkStart w:id="56" w:name="OLE_LINK3"/>
      <w:r>
        <w:rPr>
          <w:rFonts w:hint="eastAsia" w:ascii="Times New Roman" w:hAnsi="Times New Roman" w:cs="Times New Roman" w:eastAsiaTheme="minorEastAsia"/>
          <w:color w:val="auto"/>
          <w:sz w:val="24"/>
          <w:szCs w:val="20"/>
          <w:highlight w:val="none"/>
        </w:rPr>
        <w:t>重金属环境安全隐患排查整治</w:t>
      </w:r>
      <w:bookmarkEnd w:id="56"/>
      <w:r>
        <w:rPr>
          <w:rFonts w:hint="eastAsia" w:ascii="Times New Roman" w:hAnsi="Times New Roman" w:cs="Times New Roman" w:eastAsiaTheme="minorEastAsia"/>
          <w:color w:val="auto"/>
          <w:sz w:val="24"/>
          <w:szCs w:val="20"/>
          <w:highlight w:val="none"/>
        </w:rPr>
        <w:t>行动方案（2025-2030年）&gt;的通知》（环固体〔2025〕51号）《关于印发&lt;重金属环境安全隐患排查评估整治技术指南（试行）&gt;的通知》以及省生态环境厅等6部门关于落实《重金属环境安全隐患排查整治行动方案（2026—2027年）》的通知（</w:t>
      </w:r>
      <w:r>
        <w:rPr>
          <w:rFonts w:hint="default" w:ascii="Times New Roman" w:hAnsi="Times New Roman" w:cs="Times New Roman" w:eastAsiaTheme="minorEastAsia"/>
          <w:color w:val="auto"/>
          <w:sz w:val="24"/>
          <w:szCs w:val="20"/>
          <w:highlight w:val="none"/>
        </w:rPr>
        <w:t>苏环办〔2026〕58号</w:t>
      </w:r>
      <w:r>
        <w:rPr>
          <w:rFonts w:hint="eastAsia" w:ascii="Times New Roman" w:hAnsi="Times New Roman" w:cs="Times New Roman" w:eastAsiaTheme="minorEastAsia"/>
          <w:color w:val="auto"/>
          <w:sz w:val="24"/>
          <w:szCs w:val="20"/>
          <w:highlight w:val="none"/>
        </w:rPr>
        <w:t>）要求，按照在产企业、关闭企业、堆（渣）场三个类别，考虑铅、汞、镉、铬、砷、铊、锑，兼顾锰、锌、铜等其他重金属污染物等重点类别，对盐城市辖区内涉及重金属的企业开展重金属环境安全隐患排查整治，切实保障生态环境安全和人民群众健康。本项目为重金属环境安全隐患排查整治工作提供技术支撑。</w:t>
      </w:r>
    </w:p>
    <w:p>
      <w:pPr>
        <w:keepNext w:val="0"/>
        <w:keepLines w:val="0"/>
        <w:pageBreakBefore w:val="0"/>
        <w:widowControl/>
        <w:spacing w:line="580" w:lineRule="exact"/>
        <w:ind w:firstLine="482"/>
        <w:jc w:val="left"/>
        <w:rPr>
          <w:rFonts w:hint="eastAsia" w:ascii="Times New Roman" w:hAnsi="Times New Roman" w:cs="Times New Roman" w:eastAsiaTheme="minorEastAsia"/>
          <w:b/>
          <w:bCs/>
          <w:color w:val="auto"/>
          <w:sz w:val="24"/>
          <w:szCs w:val="20"/>
          <w:highlight w:val="none"/>
        </w:rPr>
      </w:pPr>
      <w:r>
        <w:rPr>
          <w:rFonts w:hint="eastAsia" w:ascii="Times New Roman" w:hAnsi="Times New Roman" w:cs="Times New Roman" w:eastAsiaTheme="minorEastAsia"/>
          <w:b/>
          <w:bCs/>
          <w:color w:val="auto"/>
          <w:sz w:val="24"/>
          <w:szCs w:val="20"/>
          <w:highlight w:val="none"/>
        </w:rPr>
        <w:t>二、项目必要性</w:t>
      </w:r>
    </w:p>
    <w:p>
      <w:pPr>
        <w:keepNext w:val="0"/>
        <w:keepLines w:val="0"/>
        <w:pageBreakBefore w:val="0"/>
        <w:widowControl/>
        <w:spacing w:line="580" w:lineRule="exact"/>
        <w:ind w:firstLine="482"/>
        <w:jc w:val="left"/>
        <w:rPr>
          <w:rFonts w:hint="eastAsia"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根据国家九部委和省级六部门有关要求，需全面开展我市重金属环境安全隐患排查整治，确保2026年底前完成重金属环境安全隐患排查和立行立改任务、2027年底前完成高风险隐患整治，显著提升重金属环境监测预警和应急处置能力，有效防范重金属突发环境事件。项目涉及涉重金属企业全口径清单排查、污染源及周边环境现场监测（废水、废气、固废、土壤、地下水等），并按照生态环境部《重金属环境安全隐患排查评估整治技术指南（试行）》的有关要求开展涉重金属企业的环境风险评估、隐患分级判定等专业技术工作，需委托第三方机构提供专业技术支撑服务，协助开展全市重金属环境安全隐患排查整治工作。</w:t>
      </w:r>
    </w:p>
    <w:p>
      <w:pPr>
        <w:keepNext w:val="0"/>
        <w:keepLines w:val="0"/>
        <w:pageBreakBefore w:val="0"/>
        <w:widowControl/>
        <w:spacing w:line="580" w:lineRule="exact"/>
        <w:ind w:firstLine="482"/>
        <w:jc w:val="left"/>
        <w:rPr>
          <w:rFonts w:hint="eastAsia" w:ascii="Times New Roman" w:hAnsi="Times New Roman" w:cs="Times New Roman" w:eastAsiaTheme="minorEastAsia"/>
          <w:b/>
          <w:bCs/>
          <w:color w:val="auto"/>
          <w:sz w:val="24"/>
          <w:szCs w:val="20"/>
          <w:highlight w:val="none"/>
        </w:rPr>
      </w:pPr>
      <w:r>
        <w:rPr>
          <w:rFonts w:hint="eastAsia" w:ascii="Times New Roman" w:hAnsi="Times New Roman" w:cs="Times New Roman" w:eastAsiaTheme="minorEastAsia"/>
          <w:b/>
          <w:bCs/>
          <w:color w:val="auto"/>
          <w:sz w:val="24"/>
          <w:szCs w:val="20"/>
          <w:highlight w:val="none"/>
        </w:rPr>
        <w:t>三、项目内容和技术服务要求</w:t>
      </w:r>
    </w:p>
    <w:p>
      <w:pPr>
        <w:keepNext w:val="0"/>
        <w:keepLines w:val="0"/>
        <w:pageBreakBefore w:val="0"/>
        <w:widowControl/>
        <w:spacing w:line="580" w:lineRule="exact"/>
        <w:ind w:firstLine="482"/>
        <w:jc w:val="left"/>
        <w:rPr>
          <w:rFonts w:hint="eastAsia" w:ascii="Times New Roman" w:hAnsi="Times New Roman" w:cs="Times New Roman" w:eastAsiaTheme="minorEastAsia"/>
          <w:b/>
          <w:bCs/>
          <w:color w:val="auto"/>
          <w:sz w:val="24"/>
          <w:szCs w:val="20"/>
          <w:highlight w:val="none"/>
        </w:rPr>
      </w:pPr>
      <w:r>
        <w:rPr>
          <w:rFonts w:hint="eastAsia" w:ascii="Times New Roman" w:hAnsi="Times New Roman" w:cs="Times New Roman" w:eastAsiaTheme="minorEastAsia"/>
          <w:b/>
          <w:bCs/>
          <w:color w:val="auto"/>
          <w:sz w:val="24"/>
          <w:szCs w:val="20"/>
          <w:highlight w:val="none"/>
        </w:rPr>
        <w:t>（一）项目内容</w:t>
      </w:r>
    </w:p>
    <w:p>
      <w:pPr>
        <w:keepNext w:val="0"/>
        <w:keepLines w:val="0"/>
        <w:pageBreakBefore w:val="0"/>
        <w:widowControl/>
        <w:spacing w:line="580" w:lineRule="exact"/>
        <w:ind w:firstLine="482"/>
        <w:jc w:val="left"/>
        <w:rPr>
          <w:rFonts w:hint="eastAsia"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1、</w:t>
      </w:r>
      <w:r>
        <w:rPr>
          <w:rFonts w:hint="eastAsia" w:ascii="Times New Roman" w:hAnsi="Times New Roman" w:cs="Times New Roman" w:eastAsiaTheme="minorEastAsia"/>
          <w:b/>
          <w:bCs/>
          <w:color w:val="auto"/>
          <w:sz w:val="24"/>
          <w:szCs w:val="20"/>
          <w:highlight w:val="none"/>
        </w:rPr>
        <w:t>核实完善污染源排查清单。</w:t>
      </w:r>
      <w:r>
        <w:rPr>
          <w:rFonts w:hint="eastAsia" w:ascii="Times New Roman" w:hAnsi="Times New Roman" w:cs="Times New Roman" w:eastAsiaTheme="minorEastAsia"/>
          <w:color w:val="auto"/>
          <w:sz w:val="24"/>
          <w:szCs w:val="20"/>
          <w:highlight w:val="none"/>
        </w:rPr>
        <w:t>在现有已形成的重金属污染源网上排查清单的基础上，核实重金属污染源的有关情况，摸排可能的新增污染源的基本信息、生产运行、污染防治措施、自行监测和环境管理信息等，补充纳入污染源排查清单。</w:t>
      </w:r>
    </w:p>
    <w:p>
      <w:pPr>
        <w:keepNext w:val="0"/>
        <w:keepLines w:val="0"/>
        <w:pageBreakBefore w:val="0"/>
        <w:widowControl/>
        <w:spacing w:line="580" w:lineRule="exact"/>
        <w:ind w:firstLine="482"/>
        <w:jc w:val="left"/>
        <w:rPr>
          <w:rFonts w:hint="eastAsia"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2、</w:t>
      </w:r>
      <w:r>
        <w:rPr>
          <w:rFonts w:hint="eastAsia" w:ascii="Times New Roman" w:hAnsi="Times New Roman" w:cs="Times New Roman" w:eastAsiaTheme="minorEastAsia"/>
          <w:b/>
          <w:bCs/>
          <w:color w:val="auto"/>
          <w:sz w:val="24"/>
          <w:szCs w:val="20"/>
          <w:highlight w:val="none"/>
        </w:rPr>
        <w:t>组织开展风险隐患排查。</w:t>
      </w:r>
      <w:r>
        <w:rPr>
          <w:rFonts w:hint="eastAsia" w:ascii="Times New Roman" w:hAnsi="Times New Roman" w:cs="Times New Roman" w:eastAsiaTheme="minorEastAsia"/>
          <w:color w:val="auto"/>
          <w:sz w:val="24"/>
          <w:szCs w:val="20"/>
          <w:highlight w:val="none"/>
        </w:rPr>
        <w:t>通过资料收集与分析、现场踏勘、人员访谈和采样监测等技术手段进行调查评估，摸清排查对象的环境管理、污染治理设施建设运行、污染物产生及排放、周边环境现状等情况和环境敏感目标等信息，在此基础上识别排查对象的重金属环境安全隐患，建立隐患问题清单。对现有监测数据进行分析，不符合要求的采用相应重金属快速检测设备及试剂进行补充调查或补充监测，涉及污染源废水、废气、固废、初期雨水以及污染源周边底泥、土壤、地表水、地下水等。具体包括污染源调查、周边环境污染状况调查、环境敏感目标调查等三个方面，针对在产企业、关闭企业、堆（渣）场三个类别的排查对象按照指南开展针对性的隐患排查技术工作。</w:t>
      </w:r>
    </w:p>
    <w:p>
      <w:pPr>
        <w:keepNext w:val="0"/>
        <w:keepLines w:val="0"/>
        <w:pageBreakBefore w:val="0"/>
        <w:widowControl/>
        <w:spacing w:line="580" w:lineRule="exact"/>
        <w:ind w:firstLine="482"/>
        <w:jc w:val="left"/>
        <w:rPr>
          <w:rFonts w:hint="eastAsia"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3、</w:t>
      </w:r>
      <w:r>
        <w:rPr>
          <w:rFonts w:hint="eastAsia" w:ascii="Times New Roman" w:hAnsi="Times New Roman" w:cs="Times New Roman" w:eastAsiaTheme="minorEastAsia"/>
          <w:b/>
          <w:bCs/>
          <w:color w:val="auto"/>
          <w:sz w:val="24"/>
          <w:szCs w:val="20"/>
          <w:highlight w:val="none"/>
        </w:rPr>
        <w:t>风险问题立行立改技术支撑。</w:t>
      </w:r>
      <w:r>
        <w:rPr>
          <w:rFonts w:hint="eastAsia" w:ascii="Times New Roman" w:hAnsi="Times New Roman" w:cs="Times New Roman" w:eastAsiaTheme="minorEastAsia"/>
          <w:color w:val="auto"/>
          <w:sz w:val="24"/>
          <w:szCs w:val="20"/>
          <w:highlight w:val="none"/>
        </w:rPr>
        <w:t>对排查过程中发现能立行立改的环境安全隐患问题，提供技术支撑，指导排查对象确定整改技术要求，推动针对在产企业、关闭企业、堆（渣）场三个类别的排查对象，从遗留固废清理、治理设施规范、积存废水处理、堵塞管道疏通、废水设施拦截、设备设施拆除、开展环境监测、完善监控体系等角度，及时消除重金属环境安全隐患。</w:t>
      </w:r>
    </w:p>
    <w:p>
      <w:pPr>
        <w:keepNext w:val="0"/>
        <w:keepLines w:val="0"/>
        <w:pageBreakBefore w:val="0"/>
        <w:widowControl/>
        <w:spacing w:line="580" w:lineRule="exact"/>
        <w:ind w:firstLine="482"/>
        <w:jc w:val="left"/>
        <w:rPr>
          <w:rFonts w:hint="eastAsia"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4、</w:t>
      </w:r>
      <w:r>
        <w:rPr>
          <w:rFonts w:hint="eastAsia" w:ascii="Times New Roman" w:hAnsi="Times New Roman" w:cs="Times New Roman" w:eastAsiaTheme="minorEastAsia"/>
          <w:b/>
          <w:bCs/>
          <w:color w:val="auto"/>
          <w:sz w:val="24"/>
          <w:szCs w:val="20"/>
          <w:highlight w:val="none"/>
        </w:rPr>
        <w:t>开展环境风险等级评估。</w:t>
      </w:r>
      <w:r>
        <w:rPr>
          <w:rFonts w:hint="eastAsia" w:ascii="Times New Roman" w:hAnsi="Times New Roman" w:cs="Times New Roman" w:eastAsiaTheme="minorEastAsia"/>
          <w:color w:val="auto"/>
          <w:sz w:val="24"/>
          <w:szCs w:val="20"/>
          <w:highlight w:val="none"/>
        </w:rPr>
        <w:t>对不能立行立改的，综合重金属污染源危害性、可能向环境扩散的通道和环境敏感性，对相应企业开展环境风险等级评估，编制形成涉重金属环境安全隐患风险评估调查表，明确重金属污染源环境风险高、中、低等级，并完成系统填报。主要从涉重金属污染物排放情况、迁移转化路径、遗留固废废物及废水、环境敏感目标分布、环境管理水平等角度开展风险评估工作。</w:t>
      </w:r>
    </w:p>
    <w:p>
      <w:pPr>
        <w:keepNext w:val="0"/>
        <w:keepLines w:val="0"/>
        <w:pageBreakBefore w:val="0"/>
        <w:widowControl/>
        <w:spacing w:line="580" w:lineRule="exact"/>
        <w:ind w:firstLine="482"/>
        <w:jc w:val="left"/>
        <w:rPr>
          <w:rFonts w:hint="eastAsia"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5、</w:t>
      </w:r>
      <w:r>
        <w:rPr>
          <w:rFonts w:hint="eastAsia" w:ascii="Times New Roman" w:hAnsi="Times New Roman" w:cs="Times New Roman" w:eastAsiaTheme="minorEastAsia"/>
          <w:b/>
          <w:bCs/>
          <w:color w:val="auto"/>
          <w:sz w:val="24"/>
          <w:szCs w:val="20"/>
          <w:highlight w:val="none"/>
        </w:rPr>
        <w:t>指导制定整治方案。</w:t>
      </w:r>
      <w:r>
        <w:rPr>
          <w:rFonts w:hint="eastAsia" w:ascii="Times New Roman" w:hAnsi="Times New Roman" w:cs="Times New Roman" w:eastAsiaTheme="minorEastAsia"/>
          <w:color w:val="auto"/>
          <w:sz w:val="24"/>
          <w:szCs w:val="20"/>
          <w:highlight w:val="none"/>
        </w:rPr>
        <w:t>针对排查隐患问题，结合风险评估结果，对相关责任主体编制“一企一策”整治方案提供技术指导，对重金属环境风险突出、污染事件多发的产业园区或区域编制 “一地一策”综合整治方案提供技术指导，并在实施过程中开展全过程技术咨询服务。</w:t>
      </w:r>
    </w:p>
    <w:p>
      <w:pPr>
        <w:keepNext w:val="0"/>
        <w:keepLines w:val="0"/>
        <w:pageBreakBefore w:val="0"/>
        <w:widowControl/>
        <w:spacing w:line="580" w:lineRule="exact"/>
        <w:ind w:firstLine="482"/>
        <w:jc w:val="left"/>
        <w:rPr>
          <w:rFonts w:hint="eastAsia"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6、</w:t>
      </w:r>
      <w:r>
        <w:rPr>
          <w:rFonts w:hint="eastAsia" w:ascii="Times New Roman" w:hAnsi="Times New Roman" w:cs="Times New Roman" w:eastAsiaTheme="minorEastAsia"/>
          <w:b/>
          <w:bCs/>
          <w:color w:val="auto"/>
          <w:sz w:val="24"/>
          <w:szCs w:val="20"/>
          <w:highlight w:val="none"/>
        </w:rPr>
        <w:t>提供整治核查技术支撑。</w:t>
      </w:r>
      <w:r>
        <w:rPr>
          <w:rFonts w:hint="eastAsia" w:ascii="Times New Roman" w:hAnsi="Times New Roman" w:cs="Times New Roman" w:eastAsiaTheme="minorEastAsia"/>
          <w:color w:val="auto"/>
          <w:sz w:val="24"/>
          <w:szCs w:val="20"/>
          <w:highlight w:val="none"/>
        </w:rPr>
        <w:t>立行立改工作完成后，或评估为中低风险隐患的企业整治完成后，对照立行立改整改要求或整治方案，指导核查整治过程与排查问题、方案的一致性，重点关注工程质控体系、污染源治理情况、周边环境改善情况等整治核查要点，协助开展完成情况的验收核查，过程中提供技术支撑。</w:t>
      </w:r>
    </w:p>
    <w:p>
      <w:pPr>
        <w:keepNext w:val="0"/>
        <w:keepLines w:val="0"/>
        <w:pageBreakBefore w:val="0"/>
        <w:widowControl/>
        <w:spacing w:line="580" w:lineRule="exact"/>
        <w:ind w:firstLine="482"/>
        <w:jc w:val="left"/>
        <w:rPr>
          <w:rFonts w:hint="eastAsia" w:ascii="Times New Roman" w:hAnsi="Times New Roman" w:cs="Times New Roman" w:eastAsiaTheme="minorEastAsia"/>
          <w:b/>
          <w:bCs/>
          <w:color w:val="auto"/>
          <w:sz w:val="24"/>
          <w:szCs w:val="20"/>
          <w:highlight w:val="none"/>
        </w:rPr>
      </w:pPr>
      <w:r>
        <w:rPr>
          <w:rFonts w:hint="eastAsia" w:ascii="Times New Roman" w:hAnsi="Times New Roman" w:cs="Times New Roman" w:eastAsiaTheme="minorEastAsia"/>
          <w:b/>
          <w:bCs/>
          <w:color w:val="auto"/>
          <w:sz w:val="24"/>
          <w:szCs w:val="20"/>
          <w:highlight w:val="none"/>
        </w:rPr>
        <w:t>（二）项目进度和技术服务要求</w:t>
      </w:r>
    </w:p>
    <w:p>
      <w:pPr>
        <w:keepNext w:val="0"/>
        <w:keepLines w:val="0"/>
        <w:pageBreakBefore w:val="0"/>
        <w:widowControl/>
        <w:spacing w:line="580" w:lineRule="exact"/>
        <w:ind w:firstLine="482"/>
        <w:jc w:val="left"/>
        <w:rPr>
          <w:rFonts w:hint="eastAsia"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lang w:val="en-US" w:eastAsia="zh-CN"/>
        </w:rPr>
        <w:t>1、自签订委托协议之日起，启动技术服务工作，2026年底前，完成现场排查和隐患排查，建立隐患问题清单，协助完成风险问题立行立改任务。</w:t>
      </w:r>
    </w:p>
    <w:p>
      <w:pPr>
        <w:keepNext w:val="0"/>
        <w:keepLines w:val="0"/>
        <w:pageBreakBefore w:val="0"/>
        <w:widowControl/>
        <w:spacing w:line="580" w:lineRule="exact"/>
        <w:ind w:firstLine="482"/>
        <w:jc w:val="left"/>
        <w:rPr>
          <w:rFonts w:hint="eastAsia"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lang w:val="en-US" w:eastAsia="zh-CN"/>
        </w:rPr>
        <w:t>2、2027年底前，完成环境风险等级评估，指导制定整治方案，配合完成整治核查。</w:t>
      </w:r>
    </w:p>
    <w:p>
      <w:pPr>
        <w:keepNext w:val="0"/>
        <w:keepLines w:val="0"/>
        <w:pageBreakBefore w:val="0"/>
        <w:widowControl/>
        <w:spacing w:line="580" w:lineRule="exact"/>
        <w:ind w:firstLine="482"/>
        <w:jc w:val="left"/>
        <w:rPr>
          <w:rFonts w:hint="eastAsia"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3、成交供应商须承诺，中标后根据项目实施需要，按采购人要求安排人员驻点办公，保障项目有序推进。</w:t>
      </w:r>
    </w:p>
    <w:p>
      <w:pPr>
        <w:keepNext w:val="0"/>
        <w:keepLines w:val="0"/>
        <w:pageBreakBefore w:val="0"/>
        <w:widowControl/>
        <w:spacing w:line="580" w:lineRule="exact"/>
        <w:ind w:firstLine="482"/>
        <w:jc w:val="left"/>
        <w:rPr>
          <w:rFonts w:hint="eastAsia"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在项目开展过程中，如果国家或省有新的工作进度要求，则项目进度要求进行相应的更新调整，必要时通过签订补充协议的方式予以调整。</w:t>
      </w:r>
    </w:p>
    <w:p>
      <w:pPr>
        <w:keepNext w:val="0"/>
        <w:keepLines w:val="0"/>
        <w:pageBreakBefore w:val="0"/>
        <w:widowControl/>
        <w:spacing w:line="580" w:lineRule="exact"/>
        <w:ind w:firstLine="482"/>
        <w:jc w:val="left"/>
        <w:rPr>
          <w:rFonts w:hint="eastAsia" w:ascii="Times New Roman" w:hAnsi="Times New Roman" w:cs="Times New Roman" w:eastAsiaTheme="minorEastAsia"/>
          <w:b/>
          <w:bCs/>
          <w:color w:val="auto"/>
          <w:sz w:val="24"/>
          <w:szCs w:val="20"/>
          <w:highlight w:val="none"/>
        </w:rPr>
      </w:pPr>
      <w:r>
        <w:rPr>
          <w:rFonts w:hint="eastAsia" w:ascii="Times New Roman" w:hAnsi="Times New Roman" w:eastAsia="宋体" w:cs="Times New Roman"/>
          <w:b/>
          <w:bCs/>
          <w:color w:val="auto"/>
          <w:sz w:val="24"/>
          <w:szCs w:val="20"/>
          <w:highlight w:val="none"/>
          <w:lang w:eastAsia="zh-CN"/>
        </w:rPr>
        <w:t>四、</w:t>
      </w:r>
      <w:r>
        <w:rPr>
          <w:rFonts w:hint="eastAsia" w:ascii="Times New Roman" w:hAnsi="Times New Roman" w:cs="Times New Roman" w:eastAsiaTheme="minorEastAsia"/>
          <w:b/>
          <w:bCs/>
          <w:color w:val="auto"/>
          <w:sz w:val="24"/>
          <w:szCs w:val="20"/>
          <w:highlight w:val="none"/>
        </w:rPr>
        <w:t>服务成果</w:t>
      </w:r>
    </w:p>
    <w:p>
      <w:pPr>
        <w:keepNext w:val="0"/>
        <w:keepLines w:val="0"/>
        <w:pageBreakBefore w:val="0"/>
        <w:widowControl/>
        <w:spacing w:line="580" w:lineRule="exact"/>
        <w:ind w:firstLine="482"/>
        <w:jc w:val="left"/>
        <w:rPr>
          <w:rFonts w:hint="eastAsia"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补充完善重金属污染源排查清单，完成全市涉重金属企业的重金属环境安全隐患排查并建立隐患问题清单，科学开展环境风险评估，明确重金属污染源环境风险高、中、低等级。协助完成全市“一企一策”“一地一策”整治方案编制，以及风险隐患整治完成情况核查。</w:t>
      </w:r>
    </w:p>
    <w:p>
      <w:pPr>
        <w:keepNext w:val="0"/>
        <w:keepLines w:val="0"/>
        <w:pageBreakBefore w:val="0"/>
        <w:widowControl/>
        <w:spacing w:line="580" w:lineRule="exact"/>
        <w:ind w:firstLine="482"/>
        <w:jc w:val="left"/>
        <w:rPr>
          <w:rFonts w:hint="eastAsia" w:ascii="Times New Roman" w:hAnsi="Times New Roman" w:cs="Times New Roman" w:eastAsiaTheme="minorEastAsia"/>
          <w:b/>
          <w:bCs/>
          <w:color w:val="auto"/>
          <w:sz w:val="24"/>
          <w:szCs w:val="20"/>
          <w:highlight w:val="none"/>
        </w:rPr>
      </w:pPr>
      <w:r>
        <w:rPr>
          <w:rFonts w:hint="eastAsia" w:ascii="Times New Roman" w:hAnsi="Times New Roman" w:eastAsia="宋体" w:cs="Times New Roman"/>
          <w:b/>
          <w:bCs/>
          <w:color w:val="auto"/>
          <w:sz w:val="24"/>
          <w:szCs w:val="20"/>
          <w:highlight w:val="none"/>
          <w:lang w:eastAsia="zh-CN"/>
        </w:rPr>
        <w:t>五、</w:t>
      </w:r>
      <w:r>
        <w:rPr>
          <w:rFonts w:hint="eastAsia" w:ascii="Times New Roman" w:hAnsi="Times New Roman" w:cs="Times New Roman" w:eastAsiaTheme="minorEastAsia"/>
          <w:b/>
          <w:bCs/>
          <w:color w:val="auto"/>
          <w:sz w:val="24"/>
          <w:szCs w:val="20"/>
          <w:highlight w:val="none"/>
        </w:rPr>
        <w:t>合同履行期限</w:t>
      </w:r>
    </w:p>
    <w:p>
      <w:pPr>
        <w:keepNext w:val="0"/>
        <w:keepLines w:val="0"/>
        <w:pageBreakBefore w:val="0"/>
        <w:widowControl/>
        <w:spacing w:line="580" w:lineRule="exact"/>
        <w:ind w:firstLine="482"/>
        <w:jc w:val="left"/>
        <w:rPr>
          <w:rFonts w:hint="eastAsia"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合同签订之日起至2027年12月31日。</w:t>
      </w:r>
    </w:p>
    <w:p>
      <w:pPr>
        <w:keepNext w:val="0"/>
        <w:keepLines w:val="0"/>
        <w:pageBreakBefore w:val="0"/>
        <w:numPr>
          <w:ilvl w:val="0"/>
          <w:numId w:val="2"/>
        </w:numPr>
        <w:spacing w:line="580" w:lineRule="exact"/>
        <w:ind w:firstLine="482"/>
        <w:rPr>
          <w:rFonts w:ascii="黑体" w:hAnsi="黑体" w:eastAsia="黑体" w:cs="黑体"/>
          <w:color w:val="auto"/>
          <w:sz w:val="28"/>
          <w:szCs w:val="32"/>
          <w:highlight w:val="none"/>
        </w:rPr>
      </w:pPr>
      <w:r>
        <w:rPr>
          <w:rFonts w:hint="eastAsia" w:ascii="宋体" w:hAnsi="宋体" w:eastAsia="宋体" w:cs="宋体"/>
          <w:b/>
          <w:bCs/>
          <w:color w:val="auto"/>
          <w:sz w:val="24"/>
          <w:highlight w:val="none"/>
          <w:lang w:eastAsia="zh-CN"/>
        </w:rPr>
        <w:t>技术评估</w:t>
      </w:r>
      <w:r>
        <w:rPr>
          <w:rFonts w:hint="eastAsia" w:ascii="宋体" w:hAnsi="宋体" w:eastAsia="宋体" w:cs="宋体"/>
          <w:b/>
          <w:bCs/>
          <w:color w:val="auto"/>
          <w:sz w:val="24"/>
          <w:highlight w:val="none"/>
        </w:rPr>
        <w:t xml:space="preserve">方案  </w:t>
      </w:r>
      <w:r>
        <w:rPr>
          <w:rFonts w:ascii="黑体" w:hAnsi="黑体" w:eastAsia="黑体" w:cs="黑体"/>
          <w:color w:val="auto"/>
          <w:sz w:val="28"/>
          <w:szCs w:val="32"/>
          <w:highlight w:val="none"/>
        </w:rPr>
        <w:t xml:space="preserve"> </w:t>
      </w:r>
    </w:p>
    <w:p>
      <w:pPr>
        <w:widowControl/>
        <w:spacing w:line="580" w:lineRule="exact"/>
        <w:ind w:firstLine="482"/>
        <w:jc w:val="left"/>
        <w:rPr>
          <w:rFonts w:ascii="Times New Roman" w:hAnsi="Times New Roman" w:cs="Times New Roman"/>
          <w:color w:val="auto"/>
          <w:sz w:val="24"/>
          <w:szCs w:val="20"/>
          <w:highlight w:val="none"/>
        </w:rPr>
      </w:pPr>
      <w:r>
        <w:rPr>
          <w:rFonts w:hint="eastAsia" w:ascii="Times New Roman" w:hAnsi="Times New Roman" w:cs="Times New Roman"/>
          <w:color w:val="auto"/>
          <w:sz w:val="24"/>
          <w:szCs w:val="20"/>
          <w:highlight w:val="none"/>
        </w:rPr>
        <w:t>供应商须根据自身实际情况与对本项目的理解，编制技术方案，技术方案至少包括以下内容：（1）项目认识理解（2）项目服务设计（3）质量控制措施（4）项目装备支撑（5）项目实施保障。内容清晰、全面、合理、可靠且结构完整，能切实贴合项目需求。</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w:t>
      </w:r>
      <w:r>
        <w:rPr>
          <w:rFonts w:ascii="Times New Roman" w:hAnsi="Times New Roman" w:eastAsia="Times New Roman" w:cs="Times New Roman"/>
          <w:color w:val="000000"/>
          <w:sz w:val="24"/>
        </w:rPr>
        <w:t>1</w:t>
      </w:r>
      <w:r>
        <w:rPr>
          <w:rFonts w:ascii="宋体" w:hAnsi="宋体" w:eastAsia="宋体" w:cs="宋体"/>
          <w:color w:val="000000"/>
          <w:sz w:val="24"/>
        </w:rPr>
        <w:t>）</w:t>
      </w:r>
      <w:r>
        <w:rPr>
          <w:rFonts w:ascii="宋体" w:hAnsi="宋体" w:eastAsia="宋体" w:cs="宋体"/>
          <w:b/>
          <w:color w:val="000000"/>
          <w:sz w:val="24"/>
        </w:rPr>
        <w:t>项目认识理解</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结合《关于印发</w:t>
      </w:r>
      <w:r>
        <w:rPr>
          <w:rFonts w:ascii="Times New Roman" w:hAnsi="Times New Roman" w:eastAsia="Times New Roman" w:cs="Times New Roman"/>
          <w:color w:val="000000"/>
          <w:sz w:val="24"/>
        </w:rPr>
        <w:t>&lt;</w:t>
      </w:r>
      <w:r>
        <w:rPr>
          <w:rFonts w:ascii="宋体" w:hAnsi="宋体" w:eastAsia="宋体" w:cs="宋体"/>
          <w:color w:val="000000"/>
          <w:sz w:val="24"/>
        </w:rPr>
        <w:t>重金属环境安全隐患排查整治行动方案（</w:t>
      </w:r>
      <w:r>
        <w:rPr>
          <w:rFonts w:ascii="Times New Roman" w:hAnsi="Times New Roman" w:eastAsia="Times New Roman" w:cs="Times New Roman"/>
          <w:color w:val="000000"/>
          <w:sz w:val="24"/>
        </w:rPr>
        <w:t>2025-2030</w:t>
      </w:r>
      <w:r>
        <w:rPr>
          <w:rFonts w:ascii="宋体" w:hAnsi="宋体" w:eastAsia="宋体" w:cs="宋体"/>
          <w:color w:val="000000"/>
          <w:sz w:val="24"/>
        </w:rPr>
        <w:t>年）</w:t>
      </w:r>
      <w:r>
        <w:rPr>
          <w:rFonts w:ascii="Times New Roman" w:hAnsi="Times New Roman" w:eastAsia="Times New Roman" w:cs="Times New Roman"/>
          <w:color w:val="000000"/>
          <w:sz w:val="24"/>
        </w:rPr>
        <w:t>&gt;</w:t>
      </w:r>
      <w:r>
        <w:rPr>
          <w:rFonts w:ascii="宋体" w:hAnsi="宋体" w:eastAsia="宋体" w:cs="宋体"/>
          <w:color w:val="000000"/>
          <w:sz w:val="24"/>
        </w:rPr>
        <w:t>的通知》（环固体〔</w:t>
      </w:r>
      <w:r>
        <w:rPr>
          <w:rFonts w:ascii="Times New Roman" w:hAnsi="Times New Roman" w:eastAsia="Times New Roman" w:cs="Times New Roman"/>
          <w:color w:val="000000"/>
          <w:sz w:val="24"/>
        </w:rPr>
        <w:t>2025</w:t>
      </w:r>
      <w:r>
        <w:rPr>
          <w:rFonts w:ascii="宋体" w:hAnsi="宋体" w:eastAsia="宋体" w:cs="宋体"/>
          <w:color w:val="000000"/>
          <w:sz w:val="24"/>
        </w:rPr>
        <w:t>〕</w:t>
      </w:r>
      <w:r>
        <w:rPr>
          <w:rFonts w:ascii="Times New Roman" w:hAnsi="Times New Roman" w:eastAsia="Times New Roman" w:cs="Times New Roman"/>
          <w:color w:val="000000"/>
          <w:sz w:val="24"/>
        </w:rPr>
        <w:t>51</w:t>
      </w:r>
      <w:r>
        <w:rPr>
          <w:rFonts w:ascii="宋体" w:hAnsi="宋体" w:eastAsia="宋体" w:cs="宋体"/>
          <w:color w:val="000000"/>
          <w:sz w:val="24"/>
        </w:rPr>
        <w:t>号）《关于印发</w:t>
      </w:r>
      <w:r>
        <w:rPr>
          <w:rFonts w:ascii="Times New Roman" w:hAnsi="Times New Roman" w:eastAsia="Times New Roman" w:cs="Times New Roman"/>
          <w:color w:val="000000"/>
          <w:sz w:val="24"/>
        </w:rPr>
        <w:t>&lt;</w:t>
      </w:r>
      <w:r>
        <w:rPr>
          <w:rFonts w:ascii="宋体" w:hAnsi="宋体" w:eastAsia="宋体" w:cs="宋体"/>
          <w:color w:val="000000"/>
          <w:sz w:val="24"/>
        </w:rPr>
        <w:t>重金属环境安全隐患排查评估整治技术指南（试行）</w:t>
      </w:r>
      <w:r>
        <w:rPr>
          <w:rFonts w:ascii="Times New Roman" w:hAnsi="Times New Roman" w:eastAsia="Times New Roman" w:cs="Times New Roman"/>
          <w:color w:val="000000"/>
          <w:sz w:val="24"/>
        </w:rPr>
        <w:t>&gt;</w:t>
      </w:r>
      <w:r>
        <w:rPr>
          <w:rFonts w:ascii="宋体" w:hAnsi="宋体" w:eastAsia="宋体" w:cs="宋体"/>
          <w:color w:val="000000"/>
          <w:sz w:val="24"/>
        </w:rPr>
        <w:t>的通知》以及省生态环境厅等</w:t>
      </w:r>
      <w:r>
        <w:rPr>
          <w:rFonts w:ascii="Times New Roman" w:hAnsi="Times New Roman" w:eastAsia="Times New Roman" w:cs="Times New Roman"/>
          <w:color w:val="000000"/>
          <w:sz w:val="24"/>
        </w:rPr>
        <w:t>6</w:t>
      </w:r>
      <w:r>
        <w:rPr>
          <w:rFonts w:ascii="宋体" w:hAnsi="宋体" w:eastAsia="宋体" w:cs="宋体"/>
          <w:color w:val="000000"/>
          <w:sz w:val="24"/>
        </w:rPr>
        <w:t>部门关于落实《重金属环境安全隐患排查整治行动方案（</w:t>
      </w:r>
      <w:r>
        <w:rPr>
          <w:rFonts w:ascii="Times New Roman" w:hAnsi="Times New Roman" w:eastAsia="Times New Roman" w:cs="Times New Roman"/>
          <w:color w:val="000000"/>
          <w:sz w:val="24"/>
        </w:rPr>
        <w:t>2026-2027</w:t>
      </w:r>
      <w:r>
        <w:rPr>
          <w:rFonts w:ascii="宋体" w:hAnsi="宋体" w:eastAsia="宋体" w:cs="宋体"/>
          <w:color w:val="000000"/>
          <w:sz w:val="24"/>
        </w:rPr>
        <w:t>年）》的通知（苏环办〔</w:t>
      </w:r>
      <w:r>
        <w:rPr>
          <w:rFonts w:ascii="Times New Roman" w:hAnsi="Times New Roman" w:eastAsia="Times New Roman" w:cs="Times New Roman"/>
          <w:color w:val="000000"/>
          <w:sz w:val="24"/>
        </w:rPr>
        <w:t>2026</w:t>
      </w:r>
      <w:r>
        <w:rPr>
          <w:rFonts w:ascii="宋体" w:hAnsi="宋体" w:eastAsia="宋体" w:cs="宋体"/>
          <w:color w:val="000000"/>
          <w:sz w:val="24"/>
        </w:rPr>
        <w:t>〕</w:t>
      </w:r>
      <w:r>
        <w:rPr>
          <w:rFonts w:ascii="Times New Roman" w:hAnsi="Times New Roman" w:eastAsia="Times New Roman" w:cs="Times New Roman"/>
          <w:color w:val="000000"/>
          <w:sz w:val="24"/>
        </w:rPr>
        <w:t>58</w:t>
      </w:r>
      <w:r>
        <w:rPr>
          <w:rFonts w:ascii="宋体" w:hAnsi="宋体" w:eastAsia="宋体" w:cs="宋体"/>
          <w:color w:val="000000"/>
          <w:sz w:val="24"/>
        </w:rPr>
        <w:t>号）要求，投标人应根据采购需求中的内容，深入剖析本项目，至少包含：</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①对本项目的整体认识。主要阐述项目背景、工作目标、工作程序、工作要求、工作依据、工作内容等项目概况，并阐述如何通过综合运用多种手段，分别针对在产企业和关闭企业及各个重点行业各个企业开展重金属环境安全隐患排查，识别潜在的重金属环境隐患，在此基础上按照指南规定开展风险评估，明确环境风险等级，针对不同的风险等级，科学确定管控目标，分类实施整治工作。</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②对本项目的需求理解。按照省生态环境厅等</w:t>
      </w:r>
      <w:r>
        <w:rPr>
          <w:rFonts w:ascii="Times New Roman" w:hAnsi="Times New Roman" w:eastAsia="Times New Roman" w:cs="Times New Roman"/>
          <w:color w:val="000000"/>
          <w:sz w:val="24"/>
        </w:rPr>
        <w:t>6</w:t>
      </w:r>
      <w:r>
        <w:rPr>
          <w:rFonts w:ascii="宋体" w:hAnsi="宋体" w:eastAsia="宋体" w:cs="宋体"/>
          <w:color w:val="000000"/>
          <w:sz w:val="24"/>
        </w:rPr>
        <w:t>部门关于落实《重金属环境安全隐患排查整治行动方案（</w:t>
      </w:r>
      <w:r>
        <w:rPr>
          <w:rFonts w:ascii="Times New Roman" w:hAnsi="Times New Roman" w:eastAsia="Times New Roman" w:cs="Times New Roman"/>
          <w:color w:val="000000"/>
          <w:sz w:val="24"/>
        </w:rPr>
        <w:t>2026-2027</w:t>
      </w:r>
      <w:r>
        <w:rPr>
          <w:rFonts w:ascii="宋体" w:hAnsi="宋体" w:eastAsia="宋体" w:cs="宋体"/>
          <w:color w:val="000000"/>
          <w:sz w:val="24"/>
        </w:rPr>
        <w:t>年）》的通知（苏环办〔</w:t>
      </w:r>
      <w:r>
        <w:rPr>
          <w:rFonts w:ascii="Times New Roman" w:hAnsi="Times New Roman" w:eastAsia="Times New Roman" w:cs="Times New Roman"/>
          <w:color w:val="000000"/>
          <w:sz w:val="24"/>
        </w:rPr>
        <w:t>2026</w:t>
      </w:r>
      <w:r>
        <w:rPr>
          <w:rFonts w:ascii="宋体" w:hAnsi="宋体" w:eastAsia="宋体" w:cs="宋体"/>
          <w:color w:val="000000"/>
          <w:sz w:val="24"/>
        </w:rPr>
        <w:t>〕</w:t>
      </w:r>
      <w:r>
        <w:rPr>
          <w:rFonts w:ascii="Times New Roman" w:hAnsi="Times New Roman" w:eastAsia="Times New Roman" w:cs="Times New Roman"/>
          <w:color w:val="000000"/>
          <w:sz w:val="24"/>
        </w:rPr>
        <w:t>58</w:t>
      </w:r>
      <w:r>
        <w:rPr>
          <w:rFonts w:ascii="宋体" w:hAnsi="宋体" w:eastAsia="宋体" w:cs="宋体"/>
          <w:color w:val="000000"/>
          <w:sz w:val="24"/>
        </w:rPr>
        <w:t>号）要求的契合点，结合排查企业清单，准确识别服务范围及要求，确定排查路线，从排查对象、排查内容、排查目的、工作思路和方法和项目重点、难点分析及解决措施等角度分别阐述。</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③目标和任务。按照省生态环境厅等</w:t>
      </w:r>
      <w:r>
        <w:rPr>
          <w:rFonts w:ascii="Times New Roman" w:hAnsi="Times New Roman" w:eastAsia="Times New Roman" w:cs="Times New Roman"/>
          <w:color w:val="000000"/>
          <w:sz w:val="24"/>
        </w:rPr>
        <w:t>6</w:t>
      </w:r>
      <w:r>
        <w:rPr>
          <w:rFonts w:ascii="宋体" w:hAnsi="宋体" w:eastAsia="宋体" w:cs="宋体"/>
          <w:color w:val="000000"/>
          <w:sz w:val="24"/>
        </w:rPr>
        <w:t>部门关于落实《重金属环境安全隐患排查整治行动方案（</w:t>
      </w:r>
      <w:r>
        <w:rPr>
          <w:rFonts w:ascii="Times New Roman" w:hAnsi="Times New Roman" w:eastAsia="Times New Roman" w:cs="Times New Roman"/>
          <w:color w:val="000000"/>
          <w:sz w:val="24"/>
        </w:rPr>
        <w:t>2026-2027</w:t>
      </w:r>
      <w:r>
        <w:rPr>
          <w:rFonts w:ascii="宋体" w:hAnsi="宋体" w:eastAsia="宋体" w:cs="宋体"/>
          <w:color w:val="000000"/>
          <w:sz w:val="24"/>
        </w:rPr>
        <w:t>年）》的通知（苏环办〔</w:t>
      </w:r>
      <w:r>
        <w:rPr>
          <w:rFonts w:ascii="Times New Roman" w:hAnsi="Times New Roman" w:eastAsia="Times New Roman" w:cs="Times New Roman"/>
          <w:color w:val="000000"/>
          <w:sz w:val="24"/>
        </w:rPr>
        <w:t>2026</w:t>
      </w:r>
      <w:r>
        <w:rPr>
          <w:rFonts w:ascii="宋体" w:hAnsi="宋体" w:eastAsia="宋体" w:cs="宋体"/>
          <w:color w:val="000000"/>
          <w:sz w:val="24"/>
        </w:rPr>
        <w:t>〕</w:t>
      </w:r>
      <w:r>
        <w:rPr>
          <w:rFonts w:ascii="Times New Roman" w:hAnsi="Times New Roman" w:eastAsia="Times New Roman" w:cs="Times New Roman"/>
          <w:color w:val="000000"/>
          <w:sz w:val="24"/>
        </w:rPr>
        <w:t>58</w:t>
      </w:r>
      <w:r>
        <w:rPr>
          <w:rFonts w:ascii="宋体" w:hAnsi="宋体" w:eastAsia="宋体" w:cs="宋体"/>
          <w:color w:val="000000"/>
          <w:sz w:val="24"/>
        </w:rPr>
        <w:t>号）要求的时间进度，结合盐城市自身实际情况，明确工作目标和任务子项，并阐述如何按时保质完成全市重金属环境安全隐患排查整治工作。</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④关键技术。根据《重金属环境安全隐患排查评估整治技术指南（试行）》等文件要求，阐述针对不同的重点行业企业明确重金属环境安全隐患的关键技术包括哪些，各关键技术的适用范围及要求，明确如何针对性识别各个重点行业、重点类别的重金属环境安全隐患，并结合行业特征采用差异化的识别技术手段，阐述如何分类进行隐患排查及风险识别工作，排查形成相应问题清单，并切实提出具体的整治任务措施。</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w:t>
      </w:r>
      <w:r>
        <w:rPr>
          <w:rFonts w:ascii="Times New Roman" w:hAnsi="Times New Roman" w:eastAsia="Times New Roman" w:cs="Times New Roman"/>
          <w:color w:val="000000"/>
          <w:sz w:val="24"/>
        </w:rPr>
        <w:t>2</w:t>
      </w:r>
      <w:r>
        <w:rPr>
          <w:rFonts w:ascii="宋体" w:hAnsi="宋体" w:eastAsia="宋体" w:cs="宋体"/>
          <w:color w:val="000000"/>
          <w:sz w:val="24"/>
        </w:rPr>
        <w:t>）</w:t>
      </w:r>
      <w:r>
        <w:rPr>
          <w:rFonts w:ascii="宋体" w:hAnsi="宋体" w:eastAsia="宋体" w:cs="宋体"/>
          <w:b/>
          <w:color w:val="000000"/>
          <w:sz w:val="24"/>
        </w:rPr>
        <w:t>项目服务设计</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投标人应根据采购需求和本项目实际，制订合理、完善的项目服务体系及流程等，至少包含：</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①服务体系。阐述项目人员配置情况、分工情况、专业背景水平和技术能力情况。重点说明项目经理如何配置，项目组人员如何进行分工，从项目团队人员配比、专业技术、职称资格等角度，阐述是否涵盖开展此项工作必备的专业背景水平和技术能力。</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②服务流程。针对本项目阐明完善涉重行业企业清单、开展现场排查、实施环境安全隐患识别、开展风险评估、推动立行立改、编制整治方案、指导分级整治等全过程的具体流程及相互承接关系，需符合国家和江苏省上位要求。</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③服务内容。按照生态环境部《重金属环境安全隐患排查评估整治技术指南（试行）》的有关要求，明确具体服务内容包括哪些。并针对如何开展现场排查、识别环境安全隐患的重难点、结合监测数据评估具体隐患的程度、综合废气废水及固废产生排放来源制定针对性工程整治建议等方面，开展详细介绍。</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④技术路线。需根据《重金属环境安全隐患排查评估整治技术指南（试行）》等技术要求，针对本项目设计一个完整科学的技术路线，技术路线应贴合盐城市涉重金属行业企业的现状，并至少包含现状调查分析、排查问题清单、推动立行立改、开展风险评估、实施整治措施、完成整治核查等各个关键节点。</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w:t>
      </w:r>
      <w:r>
        <w:rPr>
          <w:rFonts w:ascii="Times New Roman" w:hAnsi="Times New Roman" w:eastAsia="Times New Roman" w:cs="Times New Roman"/>
          <w:color w:val="000000"/>
          <w:sz w:val="24"/>
        </w:rPr>
        <w:t>3</w:t>
      </w:r>
      <w:r>
        <w:rPr>
          <w:rFonts w:ascii="宋体" w:hAnsi="宋体" w:eastAsia="宋体" w:cs="宋体"/>
          <w:color w:val="000000"/>
          <w:sz w:val="24"/>
        </w:rPr>
        <w:t>）</w:t>
      </w:r>
      <w:r>
        <w:rPr>
          <w:rFonts w:ascii="宋体" w:hAnsi="宋体" w:eastAsia="宋体" w:cs="宋体"/>
          <w:b/>
          <w:color w:val="000000"/>
          <w:sz w:val="24"/>
        </w:rPr>
        <w:t>质量控制措施</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投标人应根据采购需求和本项目实际，制订合理、科学、完备的质量保证体系及保证措施，至少包含：</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①质量保证体系。为确保本次重金属环境安全隐患排查整治技术服务全过程合规、数据真实、结论精准、成果可靠，严格依据国家及省级重金属排查整治相关政策、《重金属环境安全隐患排查评估整治技术指南（试行）》及生态环境技术服务质量管理规范要求，需建立覆盖人员、技术、流程、数据、成果、后续服务全维度的标准化质量保证体系，全面保障项目实施质量。请阐述各维度质量保证体系建设情况，要求体系健全且贴合项目实际。。</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②完善的自检制度。为进一步压实项目质量管控责任，规避排查漏项、评估偏差、资料错漏等质量风险，本项目应建立覆盖现场作业、资料整理、风险评估、成果编制、最终归档全流程的专项自检制度，实行分层、分阶段、分岗位常态化自检、交叉自检、专项自检，实现质量问题早发现、早整改、零遗留，保障项目全过程合规受控。请阐述各阶段工作配备的自检制度，要求制度措施需可落地、可追溯。</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③质量监督与检查措施。本项目为杜绝排查漏项、风险误判、数据偏差、资料疏漏、整治建议不规范等质量隐患，严格按照重金属隐患排查整治技术指南及技术服务质量管理要求，建立权责清晰、全程覆盖、分层管控、闭环追责的质量监督与检查机制，对项目现场作业、技术研判、成果编制、档案归档全流程实施刚性监督检查，确保项目整体质量可控、可查、可追溯。请阐述各阶段工作配备的质量监督与检查措施，要求措施需可落地、可追溯。。</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④安全管理制度。为保障本项目现场踏勘、企业核查、采样监测、外勤作业、资料外勤收集等全过程人员安全、设备安全、作业安全及环境安全，杜绝人身伤害、现场事故、作业风险及次生环境污染问题，结合涉重金属企业现场作业特点，建立全覆盖、可落地、可追溯的项目安全管理制度，实现项目安全、规范、有序实施。请阐述如何制定人员、物资、技术等方面的安全管理制度（如配置必要的安全用具措施等），能有效应对突发情况。</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w:t>
      </w:r>
      <w:r>
        <w:rPr>
          <w:rFonts w:ascii="Times New Roman" w:hAnsi="Times New Roman" w:eastAsia="Times New Roman" w:cs="Times New Roman"/>
          <w:color w:val="000000"/>
          <w:sz w:val="24"/>
        </w:rPr>
        <w:t>4</w:t>
      </w:r>
      <w:r>
        <w:rPr>
          <w:rFonts w:ascii="宋体" w:hAnsi="宋体" w:eastAsia="宋体" w:cs="宋体"/>
          <w:color w:val="000000"/>
          <w:sz w:val="24"/>
        </w:rPr>
        <w:t>）</w:t>
      </w:r>
      <w:r>
        <w:rPr>
          <w:rFonts w:ascii="宋体" w:hAnsi="宋体" w:eastAsia="宋体" w:cs="宋体"/>
          <w:b/>
          <w:color w:val="000000"/>
          <w:sz w:val="24"/>
        </w:rPr>
        <w:t>技术装备支撑</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投标人应根据采购需求和本项目实际，配备先进齐全的技术能力、装备及检验检测机构等，至少包含：</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①自身的技术、装备及检测能力。重点针对如何有效识别企业废气、废水及固废产生排放可能形成的重金属环境安全隐患，阐述自身的技术积累、资质能力、装备水平等，表明具有足够的能力支撑本项目的实施。</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②领域全面性。阐述如何能全面覆盖各个重点行业、重点类别重金属的污染排查和隐患识别，须有重点行业相关企业生态环保咨询的案例经验，以支撑提出有效可行的整治措施建议。</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③措施科学性。阐述在理论排查、隐患识别的基础上，结合自身工作经验和团队配置，以及对于盐城市各涉重行业企业的熟悉程度，推动提升整治措施建议的科学性。</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④操作可行性。基于重金属问题的历史沿革和长时段积累特性，结合盐城本土以及各个重点行业企业的历史背景，用以支撑本次排查调查后对于环境安全隐患问题的判断和解决思路的提出。</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w:t>
      </w:r>
      <w:r>
        <w:rPr>
          <w:rFonts w:ascii="Times New Roman" w:hAnsi="Times New Roman" w:eastAsia="Times New Roman" w:cs="Times New Roman"/>
          <w:color w:val="000000"/>
          <w:sz w:val="24"/>
        </w:rPr>
        <w:t>5</w:t>
      </w:r>
      <w:r>
        <w:rPr>
          <w:rFonts w:ascii="宋体" w:hAnsi="宋体" w:eastAsia="宋体" w:cs="宋体"/>
          <w:color w:val="000000"/>
          <w:sz w:val="24"/>
        </w:rPr>
        <w:t>）</w:t>
      </w:r>
      <w:r>
        <w:rPr>
          <w:rFonts w:ascii="宋体" w:hAnsi="宋体" w:eastAsia="宋体" w:cs="宋体"/>
          <w:b/>
          <w:color w:val="000000"/>
          <w:sz w:val="24"/>
        </w:rPr>
        <w:t>项目实施保障</w:t>
      </w:r>
    </w:p>
    <w:p>
      <w:pPr>
        <w:pBdr>
          <w:top w:val="none" w:color="000000" w:sz="0" w:space="0"/>
          <w:left w:val="none" w:color="000000" w:sz="0" w:space="0"/>
          <w:bottom w:val="none" w:color="000000" w:sz="0" w:space="0"/>
          <w:right w:val="none" w:color="000000" w:sz="0" w:space="0"/>
        </w:pBdr>
        <w:spacing w:line="579" w:lineRule="atLeast"/>
        <w:ind w:firstLine="482"/>
      </w:pPr>
      <w:r>
        <w:rPr>
          <w:rFonts w:ascii="宋体" w:hAnsi="宋体" w:eastAsia="宋体" w:cs="宋体"/>
          <w:color w:val="000000"/>
          <w:sz w:val="24"/>
        </w:rPr>
        <w:t>投标人应根据采购需求和本项目实际，制订合理、科学、完备的项目实施保障措施，至少包含：</w:t>
      </w:r>
    </w:p>
    <w:p>
      <w:pPr>
        <w:pBdr>
          <w:top w:val="none" w:color="000000" w:sz="0" w:space="0"/>
          <w:left w:val="none" w:color="000000" w:sz="0" w:space="0"/>
          <w:bottom w:val="none" w:color="000000" w:sz="0" w:space="0"/>
          <w:right w:val="none" w:color="000000" w:sz="0" w:space="0"/>
        </w:pBdr>
        <w:spacing w:line="579" w:lineRule="atLeast"/>
        <w:ind w:firstLine="482"/>
        <w:rPr>
          <w:rFonts w:hint="eastAsia" w:ascii="宋体" w:hAnsi="宋体" w:eastAsia="宋体" w:cs="宋体"/>
          <w:color w:val="000000"/>
          <w:sz w:val="24"/>
        </w:rPr>
      </w:pPr>
      <w:r>
        <w:rPr>
          <w:rFonts w:hint="eastAsia" w:ascii="宋体" w:hAnsi="宋体" w:eastAsia="宋体" w:cs="宋体"/>
          <w:color w:val="000000"/>
          <w:sz w:val="24"/>
        </w:rPr>
        <w:t>①实施计划。按照国家及省级重金属隐患排查整治工作时序要求、技术指南流程及项目任务目标，结合区域涉重金属企业分布特点，制定科学、有序、可控的实施计划。投标人需明确项目启动、人员进场、项目攻坚阶段和项目总结评估阶段等环节的主要时间节点和考核要求，进度节点与项目要求一致，计划科学可行。</w:t>
      </w:r>
    </w:p>
    <w:p>
      <w:pPr>
        <w:pBdr>
          <w:top w:val="none" w:color="000000" w:sz="0" w:space="0"/>
          <w:left w:val="none" w:color="000000" w:sz="0" w:space="0"/>
          <w:bottom w:val="none" w:color="000000" w:sz="0" w:space="0"/>
          <w:right w:val="none" w:color="000000" w:sz="0" w:space="0"/>
        </w:pBdr>
        <w:spacing w:line="579" w:lineRule="atLeast"/>
        <w:ind w:firstLine="482"/>
        <w:rPr>
          <w:rFonts w:hint="eastAsia" w:ascii="宋体" w:hAnsi="宋体" w:eastAsia="宋体" w:cs="宋体"/>
          <w:color w:val="000000"/>
          <w:sz w:val="24"/>
        </w:rPr>
      </w:pPr>
      <w:r>
        <w:rPr>
          <w:rFonts w:hint="eastAsia" w:ascii="宋体" w:hAnsi="宋体" w:eastAsia="宋体" w:cs="宋体"/>
          <w:color w:val="000000"/>
          <w:sz w:val="24"/>
        </w:rPr>
        <w:t>②人员管理。为保障本项目高标准、高质量、高效率有序实施，结合重金属环境隐患排查整治技术服务专业性强、现场作业风险点多、成果精度要求高的特点，需建立定岗定责、分级管理、培训赋能、过程管控、考核约束、轮岗备用的全维度人员管理制度，全面夯实项目人力保障基础。投标人需阐述全维度人员管理制度，并明确项目组人员以及组织保障方案（如人员配置数量、分组，岗前培训等），合理考虑工作内容分工。</w:t>
      </w:r>
    </w:p>
    <w:p>
      <w:pPr>
        <w:pBdr>
          <w:top w:val="none" w:color="000000" w:sz="0" w:space="0"/>
          <w:left w:val="none" w:color="000000" w:sz="0" w:space="0"/>
          <w:bottom w:val="none" w:color="000000" w:sz="0" w:space="0"/>
          <w:right w:val="none" w:color="000000" w:sz="0" w:space="0"/>
        </w:pBdr>
        <w:spacing w:line="579" w:lineRule="atLeast"/>
        <w:ind w:firstLine="482"/>
        <w:rPr>
          <w:rFonts w:hint="eastAsia" w:ascii="宋体" w:hAnsi="宋体" w:eastAsia="宋体" w:cs="宋体"/>
          <w:color w:val="000000"/>
          <w:sz w:val="24"/>
        </w:rPr>
      </w:pPr>
      <w:r>
        <w:rPr>
          <w:rFonts w:hint="eastAsia" w:ascii="宋体" w:hAnsi="宋体" w:eastAsia="宋体" w:cs="宋体"/>
          <w:color w:val="000000"/>
          <w:sz w:val="24"/>
        </w:rPr>
        <w:t>③进度保障。为确保本重金属环境安全隐患排查整治技术服务项目严格按照既定工期、节点计划高效落地，结合项目分段实施、点位分散、专业性强、闭环要求高的工作特点，需建立节点管控、组织保障、机制调度、资源保障、沟通联动全方位进度保障体系，确保项目按期保质完成全部排查、评估、整治指导、成果汇总及验收归档工作。投标人需阐述各阶段的工作计划进度及保障措施。</w:t>
      </w:r>
    </w:p>
    <w:p>
      <w:pPr>
        <w:pBdr>
          <w:top w:val="none" w:color="000000" w:sz="0" w:space="0"/>
          <w:left w:val="none" w:color="000000" w:sz="0" w:space="0"/>
          <w:bottom w:val="none" w:color="000000" w:sz="0" w:space="0"/>
          <w:right w:val="none" w:color="000000" w:sz="0" w:space="0"/>
        </w:pBdr>
        <w:spacing w:line="579" w:lineRule="atLeast"/>
        <w:ind w:firstLine="482"/>
      </w:pPr>
      <w:r>
        <w:rPr>
          <w:rFonts w:hint="eastAsia" w:ascii="宋体" w:hAnsi="宋体" w:eastAsia="宋体" w:cs="宋体"/>
          <w:color w:val="000000"/>
          <w:sz w:val="24"/>
        </w:rPr>
        <w:t>④响应能力。本项目针对重金属环境隐患排查整治工作突发性强、时效性高、监管要求严、问题处置紧急的特点，需建立快速对接、即时响应、高效处置、全程跟进、闭环反馈的全方位服务响应机制，全面提升项目现场服务、技术支撑、问题处置、应急保障的综合响应能力，确保各类工作需求、现场问题、突发事项第一时间落地解决，保障项目高效有序推进。投标人需阐述各阶段响应能力、机制及措施等</w:t>
      </w:r>
      <w:r>
        <w:rPr>
          <w:rFonts w:ascii="宋体" w:hAnsi="宋体" w:eastAsia="宋体" w:cs="宋体"/>
          <w:color w:val="000000"/>
          <w:sz w:val="24"/>
        </w:rPr>
        <w:t>。</w:t>
      </w:r>
    </w:p>
    <w:p>
      <w:pPr>
        <w:keepNext w:val="0"/>
        <w:keepLines w:val="0"/>
        <w:pageBreakBefore w:val="0"/>
        <w:widowControl/>
        <w:spacing w:line="580" w:lineRule="exact"/>
        <w:ind w:firstLine="482"/>
        <w:jc w:val="left"/>
        <w:rPr>
          <w:rFonts w:hint="eastAsia" w:ascii="Times New Roman" w:hAnsi="Times New Roman" w:eastAsia="宋体" w:cs="Times New Roman"/>
          <w:b/>
          <w:bCs/>
          <w:color w:val="auto"/>
          <w:sz w:val="24"/>
          <w:szCs w:val="20"/>
          <w:highlight w:val="none"/>
        </w:rPr>
      </w:pPr>
      <w:r>
        <w:rPr>
          <w:rFonts w:hint="eastAsia" w:ascii="Times New Roman" w:hAnsi="Times New Roman" w:eastAsia="宋体" w:cs="Times New Roman"/>
          <w:b/>
          <w:bCs/>
          <w:color w:val="auto"/>
          <w:sz w:val="24"/>
          <w:szCs w:val="20"/>
          <w:highlight w:val="none"/>
          <w:lang w:eastAsia="zh-CN"/>
        </w:rPr>
        <w:t>七、其他</w:t>
      </w:r>
    </w:p>
    <w:p>
      <w:pPr>
        <w:keepNext w:val="0"/>
        <w:keepLines w:val="0"/>
        <w:pageBreakBefore w:val="0"/>
        <w:widowControl/>
        <w:spacing w:line="580" w:lineRule="exact"/>
        <w:ind w:firstLine="482"/>
        <w:jc w:val="left"/>
        <w:rPr>
          <w:rFonts w:hint="eastAsia" w:ascii="Times New Roman" w:hAnsi="Times New Roman" w:cs="Times New Roman" w:eastAsiaTheme="minorEastAsia"/>
          <w:color w:val="auto"/>
          <w:sz w:val="24"/>
          <w:szCs w:val="20"/>
          <w:highlight w:val="none"/>
        </w:rPr>
      </w:pPr>
      <w:r>
        <w:rPr>
          <w:rFonts w:hint="eastAsia" w:ascii="Times New Roman" w:hAnsi="Times New Roman" w:eastAsia="宋体" w:cs="Times New Roman"/>
          <w:color w:val="auto"/>
          <w:sz w:val="24"/>
          <w:szCs w:val="20"/>
          <w:highlight w:val="none"/>
          <w:lang w:val="en-US" w:eastAsia="zh-CN"/>
        </w:rPr>
        <w:t>1.</w:t>
      </w:r>
      <w:r>
        <w:rPr>
          <w:rFonts w:hint="eastAsia" w:ascii="Times New Roman" w:hAnsi="Times New Roman" w:cs="Times New Roman" w:eastAsiaTheme="minorEastAsia"/>
          <w:color w:val="auto"/>
          <w:sz w:val="24"/>
          <w:szCs w:val="20"/>
          <w:highlight w:val="none"/>
          <w:lang w:val="en-US" w:eastAsia="zh-CN"/>
        </w:rPr>
        <w:t>综合能力</w:t>
      </w:r>
    </w:p>
    <w:p>
      <w:pPr>
        <w:keepNext w:val="0"/>
        <w:keepLines w:val="0"/>
        <w:pageBreakBefore w:val="0"/>
        <w:widowControl/>
        <w:spacing w:line="580" w:lineRule="exact"/>
        <w:ind w:firstLine="482"/>
        <w:jc w:val="left"/>
        <w:rPr>
          <w:rFonts w:hint="eastAsia"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lang w:eastAsia="zh-CN"/>
        </w:rPr>
        <w:t>①</w:t>
      </w:r>
      <w:r>
        <w:rPr>
          <w:rFonts w:hint="eastAsia" w:ascii="宋体" w:hAnsi="宋体" w:eastAsia="宋体" w:cs="宋体"/>
          <w:color w:val="auto"/>
          <w:sz w:val="24"/>
          <w:szCs w:val="24"/>
          <w:highlight w:val="none"/>
        </w:rPr>
        <w:t>本项目含现场采样、隐患排查作业，需要完善的质量、环境、职业健康安全管控。</w:t>
      </w:r>
      <w:r>
        <w:rPr>
          <w:rFonts w:hint="eastAsia" w:ascii="宋体" w:hAnsi="宋体" w:eastAsia="宋体" w:cs="宋体"/>
          <w:color w:val="auto"/>
          <w:sz w:val="24"/>
          <w:szCs w:val="24"/>
          <w:highlight w:val="none"/>
          <w:lang w:eastAsia="zh-CN"/>
        </w:rPr>
        <w:t>为</w:t>
      </w:r>
      <w:r>
        <w:rPr>
          <w:rFonts w:hint="eastAsia" w:ascii="宋体" w:hAnsi="宋体" w:eastAsia="宋体" w:cs="宋体"/>
          <w:color w:val="auto"/>
          <w:sz w:val="24"/>
          <w:szCs w:val="24"/>
          <w:highlight w:val="none"/>
        </w:rPr>
        <w:t>证明投标人具备标准化、规范化项目管控与安全运营能力，保障项目实施合规、安全、质量可控，第一，重金属隐患排查工作技术标准要求高、隐患排查识别和后续整改技术支撑难度大，具备质量管理体系认证的单位能够更好地保障全过程的工作质量控制。第二，重金属环境隐患排查属于生态环境治理的范畴，具备环境管理体系认证的单位，在生态环境技术服务方面具有本专业的技术实力储备，同时在组织开展工作过程中会更有效地识别环境问题、减少二次对环境的影响和损害，对于保障重金属隐患排查的客观性和科学性具有显著意义。第三，重金属隐患排查实施过程中，需要深入相关企业现场（车间、场地、堆场、原辅料仓库、危废库等），该类场所有一定的职业暴露风险；具备职业健康安全管理体系认证的单位，对于防止对工作人员造成与工作相关的伤害和健康损害具有更为完善的管理制度和规定，可避免开展重金属隐患排查过程中对相关技术人员造成环境健康损害，降低工作实施的风险，提升项目推进的进度和质量。</w:t>
      </w:r>
      <w:r>
        <w:rPr>
          <w:rFonts w:ascii="宋体" w:hAnsi="宋体" w:eastAsia="宋体" w:cs="宋体"/>
          <w:color w:val="auto"/>
          <w:sz w:val="24"/>
          <w:szCs w:val="24"/>
          <w:highlight w:val="none"/>
        </w:rPr>
        <w:t>故设置</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持有有效期内质量管理体系、环境管理体系、职业健康安全管理体系认证证书</w:t>
      </w:r>
      <w:r>
        <w:rPr>
          <w:rFonts w:hint="eastAsia" w:ascii="宋体" w:hAnsi="宋体" w:eastAsia="宋体" w:cs="宋体"/>
          <w:color w:val="auto"/>
          <w:sz w:val="24"/>
          <w:szCs w:val="24"/>
          <w:highlight w:val="none"/>
          <w:lang w:eastAsia="zh-CN"/>
        </w:rPr>
        <w:t>”的优先</w:t>
      </w:r>
      <w:r>
        <w:rPr>
          <w:rFonts w:hint="eastAsia" w:ascii="Times New Roman" w:hAnsi="Times New Roman" w:cs="Times New Roman" w:eastAsiaTheme="minorEastAsia"/>
          <w:color w:val="auto"/>
          <w:sz w:val="24"/>
          <w:szCs w:val="20"/>
          <w:highlight w:val="none"/>
        </w:rPr>
        <w:t>。</w:t>
      </w:r>
    </w:p>
    <w:p>
      <w:pPr>
        <w:keepNext w:val="0"/>
        <w:keepLines w:val="0"/>
        <w:pageBreakBefore w:val="0"/>
        <w:widowControl/>
        <w:spacing w:line="580" w:lineRule="exact"/>
        <w:ind w:firstLine="482"/>
        <w:jc w:val="left"/>
        <w:rPr>
          <w:rFonts w:hint="eastAsia"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lang w:eastAsia="zh-CN"/>
        </w:rPr>
        <w:t>②</w:t>
      </w:r>
      <w:r>
        <w:rPr>
          <w:rFonts w:ascii="宋体" w:hAnsi="宋体" w:eastAsia="宋体" w:cs="宋体"/>
          <w:color w:val="auto"/>
          <w:sz w:val="24"/>
          <w:highlight w:val="none"/>
        </w:rPr>
        <w:t>本项目重金属隐患排查需依托地下水、土壤</w:t>
      </w:r>
      <w:r>
        <w:rPr>
          <w:rFonts w:hint="eastAsia" w:ascii="宋体" w:hAnsi="宋体" w:eastAsia="宋体" w:cs="宋体"/>
          <w:color w:val="auto"/>
          <w:sz w:val="24"/>
          <w:highlight w:val="none"/>
        </w:rPr>
        <w:t>和</w:t>
      </w:r>
      <w:r>
        <w:rPr>
          <w:rFonts w:ascii="宋体" w:hAnsi="宋体" w:eastAsia="宋体" w:cs="宋体"/>
          <w:color w:val="auto"/>
          <w:sz w:val="24"/>
          <w:highlight w:val="none"/>
        </w:rPr>
        <w:t>沉积物检测数据开展研判，</w:t>
      </w:r>
      <w:r>
        <w:rPr>
          <w:rFonts w:hint="eastAsia" w:ascii="宋体" w:hAnsi="宋体" w:eastAsia="宋体" w:cs="宋体"/>
          <w:color w:val="auto"/>
          <w:sz w:val="24"/>
          <w:highlight w:val="none"/>
        </w:rPr>
        <w:t>检测工作需由具备</w:t>
      </w:r>
      <w:r>
        <w:rPr>
          <w:rFonts w:hint="eastAsia" w:ascii="Times New Roman" w:hAnsi="Times New Roman" w:cs="Times New Roman"/>
          <w:color w:val="auto"/>
          <w:sz w:val="24"/>
          <w:szCs w:val="20"/>
          <w:highlight w:val="none"/>
        </w:rPr>
        <w:t>检验检测机构资质认定证书的单位实施</w:t>
      </w:r>
      <w:r>
        <w:rPr>
          <w:rFonts w:ascii="宋体" w:hAnsi="宋体" w:eastAsia="宋体" w:cs="宋体"/>
          <w:color w:val="auto"/>
          <w:sz w:val="24"/>
          <w:highlight w:val="none"/>
        </w:rPr>
        <w:t>，且</w:t>
      </w:r>
      <w:r>
        <w:rPr>
          <w:rFonts w:hint="eastAsia" w:ascii="宋体" w:hAnsi="宋体" w:eastAsia="宋体" w:cs="宋体"/>
          <w:color w:val="auto"/>
          <w:sz w:val="24"/>
          <w:highlight w:val="none"/>
        </w:rPr>
        <w:t>资质中</w:t>
      </w:r>
      <w:r>
        <w:rPr>
          <w:rFonts w:ascii="宋体" w:hAnsi="宋体" w:eastAsia="宋体" w:cs="宋体"/>
          <w:color w:val="auto"/>
          <w:sz w:val="24"/>
          <w:highlight w:val="none"/>
        </w:rPr>
        <w:t>能力范围覆盖对应</w:t>
      </w:r>
      <w:r>
        <w:rPr>
          <w:rFonts w:hint="eastAsia" w:ascii="宋体" w:hAnsi="宋体" w:eastAsia="宋体" w:cs="宋体"/>
          <w:color w:val="auto"/>
          <w:sz w:val="24"/>
          <w:highlight w:val="none"/>
        </w:rPr>
        <w:t>的</w:t>
      </w:r>
      <w:r>
        <w:rPr>
          <w:rFonts w:ascii="宋体" w:hAnsi="宋体" w:eastAsia="宋体" w:cs="宋体"/>
          <w:color w:val="auto"/>
          <w:sz w:val="24"/>
          <w:highlight w:val="none"/>
        </w:rPr>
        <w:t>检测类别，可保障检测数据合法精准、成果权威，满足项目验收及生态环境备案要求</w:t>
      </w:r>
      <w:r>
        <w:rPr>
          <w:rFonts w:hint="eastAsia" w:ascii="宋体" w:hAnsi="宋体" w:eastAsia="宋体" w:cs="宋体"/>
          <w:color w:val="auto"/>
          <w:sz w:val="24"/>
          <w:szCs w:val="24"/>
          <w:highlight w:val="none"/>
          <w:lang w:eastAsia="zh-CN"/>
        </w:rPr>
        <w:t>。故设置“有效的第三方</w:t>
      </w:r>
      <w:r>
        <w:rPr>
          <w:rFonts w:ascii="宋体" w:hAnsi="宋体" w:eastAsia="宋体" w:cs="宋体"/>
          <w:color w:val="auto"/>
          <w:sz w:val="24"/>
          <w:szCs w:val="24"/>
          <w:highlight w:val="none"/>
        </w:rPr>
        <w:t>检验检测资质</w:t>
      </w:r>
      <w:r>
        <w:rPr>
          <w:rFonts w:hint="eastAsia" w:ascii="宋体" w:hAnsi="宋体" w:eastAsia="宋体" w:cs="宋体"/>
          <w:color w:val="auto"/>
          <w:sz w:val="24"/>
          <w:szCs w:val="24"/>
          <w:highlight w:val="none"/>
          <w:lang w:eastAsia="zh-CN"/>
        </w:rPr>
        <w:t>认定证书</w:t>
      </w:r>
      <w:r>
        <w:rPr>
          <w:rFonts w:ascii="宋体" w:hAnsi="宋体" w:eastAsia="宋体" w:cs="宋体"/>
          <w:color w:val="auto"/>
          <w:sz w:val="24"/>
          <w:szCs w:val="24"/>
          <w:highlight w:val="none"/>
        </w:rPr>
        <w:t>且能力范围覆盖对应检测类别</w:t>
      </w:r>
      <w:r>
        <w:rPr>
          <w:rFonts w:hint="eastAsia" w:ascii="宋体" w:hAnsi="宋体" w:eastAsia="宋体" w:cs="宋体"/>
          <w:color w:val="auto"/>
          <w:sz w:val="24"/>
          <w:szCs w:val="24"/>
          <w:highlight w:val="none"/>
          <w:lang w:eastAsia="zh-CN"/>
        </w:rPr>
        <w:t>”的优先</w:t>
      </w:r>
      <w:r>
        <w:rPr>
          <w:rFonts w:hint="eastAsia" w:ascii="Times New Roman" w:hAnsi="Times New Roman" w:cs="Times New Roman" w:eastAsiaTheme="minorEastAsia"/>
          <w:color w:val="auto"/>
          <w:sz w:val="24"/>
          <w:szCs w:val="20"/>
          <w:highlight w:val="none"/>
        </w:rPr>
        <w:t>。</w:t>
      </w:r>
    </w:p>
    <w:p>
      <w:pPr>
        <w:keepNext w:val="0"/>
        <w:keepLines w:val="0"/>
        <w:pageBreakBefore w:val="0"/>
        <w:widowControl/>
        <w:numPr>
          <w:ilvl w:val="0"/>
          <w:numId w:val="0"/>
        </w:numPr>
        <w:spacing w:line="580" w:lineRule="exact"/>
        <w:ind w:firstLine="482"/>
        <w:jc w:val="left"/>
        <w:rPr>
          <w:rFonts w:hint="eastAsia"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lang w:val="en-US" w:eastAsia="zh-CN" w:bidi="ar-SA"/>
        </w:rPr>
        <w:t>2.</w:t>
      </w:r>
      <w:r>
        <w:rPr>
          <w:rFonts w:hint="eastAsia" w:ascii="Times New Roman" w:hAnsi="Times New Roman" w:eastAsia="宋体" w:cs="Times New Roman"/>
          <w:color w:val="auto"/>
          <w:sz w:val="24"/>
          <w:szCs w:val="20"/>
          <w:highlight w:val="none"/>
          <w:lang w:val="en-US" w:eastAsia="zh-CN"/>
        </w:rPr>
        <w:t>团队组成</w:t>
      </w:r>
    </w:p>
    <w:p>
      <w:pPr>
        <w:keepNext w:val="0"/>
        <w:keepLines w:val="0"/>
        <w:pageBreakBefore w:val="0"/>
        <w:widowControl/>
        <w:spacing w:line="580" w:lineRule="exact"/>
        <w:ind w:firstLine="482"/>
        <w:jc w:val="left"/>
        <w:rPr>
          <w:rFonts w:hint="eastAsia" w:ascii="Times New Roman" w:hAnsi="Times New Roman" w:eastAsia="宋体" w:cs="Times New Roman"/>
          <w:color w:val="auto"/>
          <w:sz w:val="24"/>
          <w:szCs w:val="20"/>
          <w:highlight w:val="none"/>
        </w:rPr>
      </w:pPr>
      <w:r>
        <w:rPr>
          <w:rFonts w:hint="eastAsia" w:ascii="Times New Roman" w:hAnsi="Times New Roman" w:cs="Times New Roman"/>
          <w:color w:val="auto"/>
          <w:sz w:val="24"/>
          <w:szCs w:val="20"/>
          <w:highlight w:val="none"/>
          <w:lang w:val="en-US" w:eastAsia="zh-CN"/>
        </w:rPr>
        <w:t>①</w:t>
      </w:r>
      <w:r>
        <w:rPr>
          <w:rFonts w:ascii="宋体" w:hAnsi="宋体" w:eastAsia="宋体" w:cs="宋体"/>
          <w:color w:val="auto"/>
          <w:sz w:val="24"/>
          <w:szCs w:val="24"/>
          <w:highlight w:val="none"/>
        </w:rPr>
        <w:t>项目负责人统筹重金属隐患排查全流程，上述职称、执业资格可证明其具备深厚环境专业功底与项目统筹研判能力，保障项目总体技术方向可控，故设置</w:t>
      </w:r>
      <w:r>
        <w:rPr>
          <w:rFonts w:hint="eastAsia" w:ascii="宋体" w:hAnsi="宋体" w:eastAsia="宋体" w:cs="宋体"/>
          <w:color w:val="auto"/>
          <w:sz w:val="24"/>
          <w:szCs w:val="24"/>
          <w:highlight w:val="none"/>
          <w:lang w:eastAsia="zh-CN"/>
        </w:rPr>
        <w:t>“</w:t>
      </w:r>
      <w:r>
        <w:rPr>
          <w:rFonts w:hint="eastAsia" w:ascii="Times New Roman" w:hAnsi="Times New Roman" w:cs="Times New Roman"/>
          <w:color w:val="auto"/>
          <w:sz w:val="24"/>
          <w:szCs w:val="20"/>
          <w:highlight w:val="none"/>
          <w:lang w:val="en-US" w:eastAsia="zh-CN"/>
        </w:rPr>
        <w:t>项目负责人具有</w:t>
      </w:r>
      <w:r>
        <w:rPr>
          <w:rFonts w:hint="eastAsia" w:ascii="Times New Roman" w:hAnsi="Times New Roman" w:cs="Times New Roman"/>
          <w:color w:val="auto"/>
          <w:sz w:val="24"/>
          <w:szCs w:val="20"/>
          <w:highlight w:val="none"/>
          <w:lang w:eastAsia="zh-CN"/>
        </w:rPr>
        <w:t>：环境类高级及以上职称、环境影响评价工程师职业资格</w:t>
      </w:r>
      <w:r>
        <w:rPr>
          <w:rFonts w:hint="eastAsia" w:ascii="宋体" w:hAnsi="宋体" w:eastAsia="宋体" w:cs="宋体"/>
          <w:color w:val="auto"/>
          <w:sz w:val="24"/>
          <w:szCs w:val="24"/>
          <w:highlight w:val="none"/>
          <w:lang w:eastAsia="zh-CN"/>
        </w:rPr>
        <w:t>”的优先。</w:t>
      </w:r>
    </w:p>
    <w:p>
      <w:pPr>
        <w:keepNext w:val="0"/>
        <w:keepLines w:val="0"/>
        <w:pageBreakBefore w:val="0"/>
        <w:widowControl/>
        <w:spacing w:line="580" w:lineRule="exact"/>
        <w:ind w:firstLine="482"/>
        <w:jc w:val="left"/>
        <w:rPr>
          <w:rFonts w:ascii="宋体" w:hAnsi="宋体" w:eastAsia="宋体" w:cs="宋体"/>
          <w:color w:val="auto"/>
          <w:sz w:val="24"/>
          <w:szCs w:val="24"/>
          <w:highlight w:val="none"/>
        </w:rPr>
      </w:pPr>
      <w:r>
        <w:rPr>
          <w:rFonts w:hint="eastAsia" w:ascii="Times New Roman" w:hAnsi="Times New Roman" w:cs="Times New Roman"/>
          <w:color w:val="auto"/>
          <w:sz w:val="24"/>
          <w:szCs w:val="20"/>
          <w:highlight w:val="none"/>
          <w:lang w:val="en-US" w:eastAsia="zh-CN"/>
        </w:rPr>
        <w:t>②</w:t>
      </w:r>
      <w:r>
        <w:rPr>
          <w:rFonts w:ascii="宋体" w:hAnsi="宋体" w:eastAsia="宋体" w:cs="宋体"/>
          <w:color w:val="auto"/>
          <w:sz w:val="24"/>
          <w:szCs w:val="24"/>
          <w:highlight w:val="none"/>
        </w:rPr>
        <w:t>技术负责人独立负责项目技术审核，与项目负责人分设岗位，实现管理与技术相互制衡</w:t>
      </w:r>
      <w:r>
        <w:rPr>
          <w:rFonts w:hint="eastAsia" w:ascii="宋体" w:hAnsi="宋体" w:eastAsia="宋体" w:cs="宋体"/>
          <w:color w:val="auto"/>
          <w:sz w:val="24"/>
          <w:szCs w:val="24"/>
          <w:highlight w:val="none"/>
          <w:lang w:eastAsia="zh-CN"/>
        </w:rPr>
        <w:t>，为</w:t>
      </w:r>
      <w:r>
        <w:rPr>
          <w:rFonts w:ascii="宋体" w:hAnsi="宋体" w:eastAsia="宋体" w:cs="宋体"/>
          <w:color w:val="auto"/>
          <w:sz w:val="24"/>
          <w:szCs w:val="24"/>
          <w:highlight w:val="none"/>
        </w:rPr>
        <w:t>能够保障项目技术方案、隐患研判、成果报告严谨准确；</w:t>
      </w:r>
      <w:r>
        <w:rPr>
          <w:rFonts w:hint="eastAsia" w:ascii="宋体" w:hAnsi="宋体" w:eastAsia="宋体" w:cs="宋体"/>
          <w:color w:val="auto"/>
          <w:sz w:val="24"/>
          <w:szCs w:val="24"/>
          <w:highlight w:val="none"/>
          <w:lang w:eastAsia="zh-CN"/>
        </w:rPr>
        <w:t>故设置“</w:t>
      </w:r>
      <w:r>
        <w:rPr>
          <w:rFonts w:hint="eastAsia" w:ascii="Times New Roman" w:hAnsi="Times New Roman" w:cs="Times New Roman"/>
          <w:color w:val="auto"/>
          <w:sz w:val="24"/>
          <w:szCs w:val="20"/>
          <w:highlight w:val="none"/>
          <w:lang w:val="en-US" w:eastAsia="zh-CN"/>
        </w:rPr>
        <w:t>项目技术负责人（与项目负责人不为同一人）具有环境类高级及以上职称的、环境影响评价工程师职业资格证书的</w:t>
      </w:r>
      <w:r>
        <w:rPr>
          <w:rFonts w:hint="eastAsia" w:ascii="宋体" w:hAnsi="宋体" w:eastAsia="宋体" w:cs="宋体"/>
          <w:color w:val="auto"/>
          <w:sz w:val="24"/>
          <w:szCs w:val="24"/>
          <w:highlight w:val="none"/>
          <w:lang w:eastAsia="zh-CN"/>
        </w:rPr>
        <w:t>”的优先</w:t>
      </w:r>
      <w:r>
        <w:rPr>
          <w:rFonts w:ascii="宋体" w:hAnsi="宋体" w:eastAsia="宋体" w:cs="宋体"/>
          <w:color w:val="auto"/>
          <w:sz w:val="24"/>
          <w:szCs w:val="24"/>
          <w:highlight w:val="none"/>
        </w:rPr>
        <w:t>。</w:t>
      </w:r>
    </w:p>
    <w:p>
      <w:pPr>
        <w:keepNext w:val="0"/>
        <w:keepLines w:val="0"/>
        <w:pageBreakBefore w:val="0"/>
        <w:widowControl/>
        <w:spacing w:line="580" w:lineRule="exact"/>
        <w:ind w:firstLine="482"/>
        <w:jc w:val="left"/>
        <w:rPr>
          <w:rFonts w:hint="eastAsia" w:ascii="Times New Roman" w:hAnsi="Times New Roman" w:cs="Times New Roman"/>
          <w:color w:val="auto"/>
          <w:sz w:val="24"/>
          <w:szCs w:val="20"/>
          <w:highlight w:val="none"/>
        </w:rPr>
      </w:pPr>
      <w:r>
        <w:rPr>
          <w:rFonts w:hint="eastAsia" w:ascii="Times New Roman" w:hAnsi="Times New Roman" w:cs="Times New Roman"/>
          <w:color w:val="auto"/>
          <w:sz w:val="24"/>
          <w:szCs w:val="20"/>
          <w:highlight w:val="none"/>
          <w:lang w:val="en-US" w:eastAsia="zh-CN"/>
        </w:rPr>
        <w:t>③</w:t>
      </w:r>
      <w:r>
        <w:rPr>
          <w:rFonts w:ascii="宋体" w:hAnsi="宋体" w:eastAsia="宋体" w:cs="宋体"/>
          <w:color w:val="auto"/>
          <w:sz w:val="24"/>
          <w:szCs w:val="24"/>
          <w:highlight w:val="none"/>
        </w:rPr>
        <w:t>项目现场采样、资料梳理、隐患筛查工作量大，团队成员具备相关职称或执业资格，能够提升团队整体专业水平，减少技术疏漏，保障各项基础工作规范落地，故设置</w:t>
      </w:r>
      <w:r>
        <w:rPr>
          <w:rFonts w:hint="eastAsia" w:ascii="宋体" w:hAnsi="宋体" w:eastAsia="宋体" w:cs="宋体"/>
          <w:color w:val="auto"/>
          <w:sz w:val="24"/>
          <w:szCs w:val="24"/>
          <w:highlight w:val="none"/>
          <w:lang w:eastAsia="zh-CN"/>
        </w:rPr>
        <w:t>“</w:t>
      </w:r>
      <w:r>
        <w:rPr>
          <w:rFonts w:hint="eastAsia" w:ascii="Times New Roman" w:hAnsi="Times New Roman" w:cs="Times New Roman"/>
          <w:color w:val="auto"/>
          <w:sz w:val="24"/>
          <w:szCs w:val="20"/>
          <w:highlight w:val="none"/>
          <w:lang w:val="en-US" w:eastAsia="zh-CN"/>
        </w:rPr>
        <w:t>项目组成员（项目负责人和项目技术负责人除外）：具有环境类高级及以上职称的优先；具有环境影响评价工程师职业资格的优先</w:t>
      </w:r>
      <w:r>
        <w:rPr>
          <w:rFonts w:hint="eastAsia" w:ascii="宋体" w:hAnsi="宋体" w:eastAsia="宋体" w:cs="宋体"/>
          <w:color w:val="auto"/>
          <w:sz w:val="24"/>
          <w:szCs w:val="24"/>
          <w:highlight w:val="none"/>
          <w:lang w:eastAsia="zh-CN"/>
        </w:rPr>
        <w:t>”</w:t>
      </w:r>
      <w:r>
        <w:rPr>
          <w:rFonts w:hint="eastAsia" w:ascii="Times New Roman" w:hAnsi="Times New Roman" w:cs="Times New Roman"/>
          <w:color w:val="auto"/>
          <w:sz w:val="24"/>
          <w:szCs w:val="20"/>
          <w:highlight w:val="none"/>
          <w:lang w:val="en-US" w:eastAsia="zh-CN"/>
        </w:rPr>
        <w:t>的优先。</w:t>
      </w:r>
    </w:p>
    <w:p>
      <w:pPr>
        <w:keepNext w:val="0"/>
        <w:keepLines w:val="0"/>
        <w:pageBreakBefore w:val="0"/>
        <w:widowControl/>
        <w:numPr>
          <w:ilvl w:val="0"/>
          <w:numId w:val="0"/>
        </w:numPr>
        <w:spacing w:line="580" w:lineRule="exact"/>
        <w:ind w:left="0" w:firstLine="482"/>
        <w:jc w:val="left"/>
        <w:rPr>
          <w:rFonts w:hint="default" w:ascii="Times New Roman" w:hAnsi="Times New Roman" w:cs="Times New Roman"/>
          <w:color w:val="auto"/>
          <w:sz w:val="24"/>
          <w:szCs w:val="20"/>
          <w:highlight w:val="none"/>
        </w:rPr>
      </w:pPr>
      <w:r>
        <w:rPr>
          <w:rFonts w:hint="default" w:ascii="Times New Roman" w:hAnsi="Times New Roman" w:cs="Times New Roman" w:eastAsiaTheme="minorEastAsia"/>
          <w:color w:val="auto"/>
          <w:sz w:val="24"/>
          <w:szCs w:val="20"/>
          <w:highlight w:val="none"/>
          <w:lang w:val="en-US" w:eastAsia="zh-CN" w:bidi="ar-SA"/>
        </w:rPr>
        <w:t>3.</w:t>
      </w:r>
      <w:r>
        <w:rPr>
          <w:rFonts w:hint="eastAsia" w:ascii="Times New Roman" w:hAnsi="Times New Roman" w:cs="Times New Roman"/>
          <w:color w:val="auto"/>
          <w:sz w:val="24"/>
          <w:szCs w:val="20"/>
          <w:highlight w:val="none"/>
          <w:lang w:val="en-US" w:eastAsia="zh-CN"/>
        </w:rPr>
        <w:t>业绩经验</w:t>
      </w:r>
    </w:p>
    <w:p>
      <w:pPr>
        <w:keepNext w:val="0"/>
        <w:keepLines w:val="0"/>
        <w:pageBreakBefore w:val="0"/>
        <w:widowControl/>
        <w:numPr>
          <w:ilvl w:val="0"/>
          <w:numId w:val="0"/>
        </w:numPr>
        <w:spacing w:line="580" w:lineRule="exact"/>
        <w:ind w:left="0" w:firstLine="482"/>
        <w:jc w:val="lef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重金属环境安全隐患排查项目专业性强、技术标准特殊，近三年同类项目业绩可直观反映投标人的实操能力，熟悉相关技术规范与隐患研判要求，能够有效降低项目实施风险，保障项目高效落地，故设置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自2023年1月1日（含）以来（以合同签订时间为准），投标人承接过同类重金属环境安全隐患排查项目业绩</w:t>
      </w:r>
      <w:r>
        <w:rPr>
          <w:rFonts w:hint="eastAsia" w:ascii="宋体" w:hAnsi="宋体" w:eastAsia="宋体" w:cs="宋体"/>
          <w:color w:val="auto"/>
          <w:sz w:val="24"/>
          <w:szCs w:val="24"/>
          <w:highlight w:val="none"/>
          <w:lang w:eastAsia="zh-CN"/>
        </w:rPr>
        <w:t>”</w:t>
      </w:r>
    </w:p>
    <w:p>
      <w:pPr>
        <w:keepNext w:val="0"/>
        <w:keepLines w:val="0"/>
        <w:pageBreakBefore w:val="0"/>
        <w:widowControl/>
        <w:numPr>
          <w:ilvl w:val="0"/>
          <w:numId w:val="0"/>
        </w:numPr>
        <w:spacing w:line="580" w:lineRule="exact"/>
        <w:jc w:val="left"/>
        <w:rPr>
          <w:rFonts w:hint="default" w:ascii="Times New Roman" w:hAnsi="Times New Roman" w:cs="Times New Roman"/>
          <w:color w:val="auto"/>
          <w:sz w:val="24"/>
          <w:szCs w:val="20"/>
          <w:highlight w:val="none"/>
        </w:rPr>
      </w:pPr>
      <w:r>
        <w:rPr>
          <w:rFonts w:hint="eastAsia" w:ascii="Times New Roman" w:hAnsi="Times New Roman" w:cs="Times New Roman"/>
          <w:color w:val="auto"/>
          <w:sz w:val="24"/>
          <w:szCs w:val="20"/>
          <w:highlight w:val="none"/>
          <w:lang w:val="en-US" w:eastAsia="zh-CN"/>
        </w:rPr>
        <w:t>的优先</w:t>
      </w:r>
      <w:r>
        <w:rPr>
          <w:rFonts w:ascii="宋体" w:hAnsi="宋体" w:eastAsia="宋体" w:cs="宋体"/>
          <w:color w:val="auto"/>
          <w:sz w:val="24"/>
          <w:szCs w:val="24"/>
          <w:highlight w:val="none"/>
        </w:rPr>
        <w:t>。</w:t>
      </w:r>
    </w:p>
    <w:p>
      <w:pPr>
        <w:keepNext w:val="0"/>
        <w:keepLines w:val="0"/>
        <w:pageBreakBefore w:val="0"/>
        <w:widowControl/>
        <w:spacing w:line="580" w:lineRule="exact"/>
        <w:ind w:firstLine="482"/>
        <w:jc w:val="left"/>
        <w:rPr>
          <w:rFonts w:hint="default" w:ascii="Times New Roman" w:hAnsi="Times New Roman" w:cs="Times New Roman" w:eastAsiaTheme="minorEastAsia"/>
          <w:b/>
          <w:bCs/>
          <w:color w:val="auto"/>
          <w:sz w:val="24"/>
          <w:szCs w:val="20"/>
          <w:highlight w:val="none"/>
        </w:rPr>
      </w:pPr>
      <w:r>
        <w:rPr>
          <w:rFonts w:hint="eastAsia" w:ascii="Times New Roman" w:hAnsi="Times New Roman" w:cs="Times New Roman"/>
          <w:b/>
          <w:bCs/>
          <w:color w:val="auto"/>
          <w:sz w:val="24"/>
          <w:szCs w:val="20"/>
          <w:highlight w:val="none"/>
          <w:lang w:eastAsia="zh-CN"/>
        </w:rPr>
        <w:t>八</w:t>
      </w:r>
      <w:r>
        <w:rPr>
          <w:rFonts w:hint="default" w:ascii="Times New Roman" w:hAnsi="Times New Roman" w:cs="Times New Roman" w:eastAsiaTheme="minorEastAsia"/>
          <w:b/>
          <w:bCs/>
          <w:color w:val="auto"/>
          <w:sz w:val="24"/>
          <w:szCs w:val="20"/>
          <w:highlight w:val="none"/>
        </w:rPr>
        <w:t>、采购标的对应的中小企业划分标准所属行业一览表</w:t>
      </w:r>
    </w:p>
    <w:tbl>
      <w:tblPr>
        <w:tblStyle w:val="39"/>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850"/>
        <w:gridCol w:w="3982"/>
        <w:gridCol w:w="395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31" w:hRule="atLeast"/>
          <w:tblHeader/>
          <w:jc w:val="center"/>
        </w:trPr>
        <w:tc>
          <w:tcPr>
            <w:tcW w:w="850" w:type="dxa"/>
            <w:noWrap w:val="0"/>
            <w:vAlign w:val="center"/>
          </w:tcPr>
          <w:p>
            <w:pPr>
              <w:keepNext w:val="0"/>
              <w:keepLines w:val="0"/>
              <w:pageBreakBefore w:val="0"/>
              <w:widowControl/>
              <w:spacing w:line="600" w:lineRule="exact"/>
              <w:jc w:val="center"/>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序号</w:t>
            </w:r>
          </w:p>
        </w:tc>
        <w:tc>
          <w:tcPr>
            <w:tcW w:w="3982" w:type="dxa"/>
            <w:noWrap w:val="0"/>
            <w:vAlign w:val="center"/>
          </w:tcPr>
          <w:p>
            <w:pPr>
              <w:keepNext w:val="0"/>
              <w:keepLines w:val="0"/>
              <w:pageBreakBefore w:val="0"/>
              <w:widowControl/>
              <w:spacing w:line="600" w:lineRule="exact"/>
              <w:jc w:val="center"/>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采购标的</w:t>
            </w:r>
          </w:p>
        </w:tc>
        <w:tc>
          <w:tcPr>
            <w:tcW w:w="3955" w:type="dxa"/>
            <w:noWrap w:val="0"/>
            <w:vAlign w:val="center"/>
          </w:tcPr>
          <w:p>
            <w:pPr>
              <w:keepNext w:val="0"/>
              <w:keepLines w:val="0"/>
              <w:pageBreakBefore w:val="0"/>
              <w:widowControl/>
              <w:spacing w:line="600" w:lineRule="exact"/>
              <w:jc w:val="center"/>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对应中小企业划分标准所属行业</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850" w:type="dxa"/>
            <w:noWrap w:val="0"/>
            <w:vAlign w:val="center"/>
          </w:tcPr>
          <w:p>
            <w:pPr>
              <w:keepNext w:val="0"/>
              <w:keepLines w:val="0"/>
              <w:pageBreakBefore w:val="0"/>
              <w:widowControl/>
              <w:spacing w:line="600" w:lineRule="exact"/>
              <w:jc w:val="center"/>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1</w:t>
            </w:r>
          </w:p>
        </w:tc>
        <w:tc>
          <w:tcPr>
            <w:tcW w:w="3982" w:type="dxa"/>
            <w:noWrap w:val="0"/>
            <w:vAlign w:val="center"/>
          </w:tcPr>
          <w:p>
            <w:pPr>
              <w:keepNext w:val="0"/>
              <w:keepLines w:val="0"/>
              <w:pageBreakBefore w:val="0"/>
              <w:widowControl/>
              <w:spacing w:line="600" w:lineRule="exact"/>
              <w:jc w:val="center"/>
              <w:rPr>
                <w:rFonts w:hint="eastAsia"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lang w:eastAsia="zh-CN"/>
              </w:rPr>
              <w:t>重金属环境安全隐患排查整治技术服务项目</w:t>
            </w:r>
          </w:p>
        </w:tc>
        <w:tc>
          <w:tcPr>
            <w:tcW w:w="3955" w:type="dxa"/>
            <w:noWrap w:val="0"/>
            <w:vAlign w:val="center"/>
          </w:tcPr>
          <w:p>
            <w:pPr>
              <w:keepNext w:val="0"/>
              <w:keepLines w:val="0"/>
              <w:pageBreakBefore w:val="0"/>
              <w:widowControl/>
              <w:spacing w:line="600" w:lineRule="exact"/>
              <w:ind w:firstLine="482"/>
              <w:jc w:val="center"/>
              <w:rPr>
                <w:rFonts w:hint="default" w:ascii="Times New Roman" w:hAnsi="Times New Roman" w:cs="Times New Roman" w:eastAsiaTheme="minorEastAsia"/>
                <w:color w:val="auto"/>
                <w:sz w:val="24"/>
                <w:szCs w:val="20"/>
                <w:highlight w:val="none"/>
              </w:rPr>
            </w:pPr>
            <w:r>
              <w:rPr>
                <w:rFonts w:hint="eastAsia" w:ascii="Times New Roman" w:hAnsi="Times New Roman" w:eastAsia="宋体" w:cs="Times New Roman"/>
                <w:color w:val="auto"/>
                <w:sz w:val="24"/>
                <w:szCs w:val="20"/>
                <w:highlight w:val="none"/>
                <w:lang w:eastAsia="zh-CN"/>
              </w:rPr>
              <w:t>其他未列明行业</w:t>
            </w:r>
          </w:p>
        </w:tc>
      </w:tr>
    </w:tbl>
    <w:p>
      <w:pPr>
        <w:widowControl/>
        <w:spacing w:line="560" w:lineRule="exact"/>
        <w:ind w:firstLine="482"/>
        <w:jc w:val="left"/>
        <w:rPr>
          <w:rFonts w:hint="default" w:ascii="Times New Roman" w:hAnsi="Times New Roman" w:cs="Times New Roman" w:eastAsiaTheme="minorEastAsia"/>
          <w:color w:val="auto"/>
          <w:sz w:val="24"/>
          <w:szCs w:val="20"/>
          <w:highlight w:val="none"/>
        </w:rPr>
      </w:pP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br w:type="page" w:clear="all"/>
      </w:r>
    </w:p>
    <w:p>
      <w:pPr>
        <w:jc w:val="center"/>
        <w:rPr>
          <w:rFonts w:hint="default" w:ascii="Times New Roman" w:hAnsi="Times New Roman" w:cs="Times New Roman"/>
          <w:b w:val="0"/>
          <w:bCs w:val="0"/>
          <w:color w:val="auto"/>
          <w:highlight w:val="none"/>
        </w:rPr>
      </w:pPr>
      <w:bookmarkStart w:id="57" w:name="_Toc120614281"/>
      <w:r>
        <w:rPr>
          <w:rFonts w:hint="default" w:ascii="Times New Roman" w:hAnsi="Times New Roman" w:eastAsia="黑体" w:cs="Times New Roman"/>
          <w:b w:val="0"/>
          <w:bCs w:val="0"/>
          <w:color w:val="auto"/>
          <w:sz w:val="44"/>
          <w:szCs w:val="44"/>
          <w:highlight w:val="none"/>
        </w:rPr>
        <w:t>第五章  评审方法与评审标准</w:t>
      </w:r>
      <w:bookmarkEnd w:id="57"/>
    </w:p>
    <w:p>
      <w:pPr>
        <w:widowControl/>
        <w:spacing w:line="560" w:lineRule="exact"/>
        <w:ind w:firstLine="482"/>
        <w:jc w:val="left"/>
        <w:rPr>
          <w:rFonts w:hint="default" w:ascii="Times New Roman" w:hAnsi="Times New Roman" w:cs="Times New Roman" w:eastAsiaTheme="minorEastAsia"/>
          <w:b/>
          <w:bCs/>
          <w:color w:val="auto"/>
          <w:sz w:val="24"/>
          <w:szCs w:val="20"/>
          <w:highlight w:val="none"/>
        </w:rPr>
      </w:pPr>
      <w:r>
        <w:rPr>
          <w:rFonts w:hint="default" w:ascii="Times New Roman" w:hAnsi="Times New Roman" w:cs="Times New Roman" w:eastAsiaTheme="minorEastAsia"/>
          <w:b/>
          <w:bCs/>
          <w:color w:val="auto"/>
          <w:sz w:val="24"/>
          <w:szCs w:val="20"/>
          <w:highlight w:val="none"/>
        </w:rPr>
        <w:t>一、定标原则</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lang w:val="en-US" w:eastAsia="zh-CN"/>
        </w:rPr>
        <w:t>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pPr>
        <w:widowControl/>
        <w:spacing w:line="560" w:lineRule="exact"/>
        <w:ind w:firstLine="482"/>
        <w:jc w:val="left"/>
        <w:rPr>
          <w:rFonts w:hint="default" w:ascii="Times New Roman" w:hAnsi="Times New Roman" w:cs="Times New Roman" w:eastAsiaTheme="minorEastAsia"/>
          <w:b/>
          <w:bCs/>
          <w:color w:val="auto"/>
          <w:sz w:val="24"/>
          <w:szCs w:val="20"/>
          <w:highlight w:val="none"/>
        </w:rPr>
      </w:pPr>
      <w:r>
        <w:rPr>
          <w:rFonts w:hint="default" w:ascii="Times New Roman" w:hAnsi="Times New Roman" w:cs="Times New Roman" w:eastAsiaTheme="minorEastAsia"/>
          <w:b/>
          <w:bCs/>
          <w:color w:val="auto"/>
          <w:sz w:val="24"/>
          <w:szCs w:val="20"/>
          <w:highlight w:val="none"/>
        </w:rPr>
        <w:t>政府采购政策功能落实</w:t>
      </w:r>
    </w:p>
    <w:p>
      <w:pPr>
        <w:widowControl/>
        <w:spacing w:line="560" w:lineRule="exact"/>
        <w:ind w:firstLine="482"/>
        <w:jc w:val="left"/>
        <w:rPr>
          <w:rFonts w:hint="default" w:ascii="Times New Roman" w:hAnsi="Times New Roman" w:cs="Times New Roman" w:eastAsiaTheme="minorEastAsia"/>
          <w:b/>
          <w:bCs/>
          <w:color w:val="auto"/>
          <w:sz w:val="24"/>
          <w:szCs w:val="20"/>
          <w:highlight w:val="none"/>
        </w:rPr>
      </w:pPr>
      <w:r>
        <w:rPr>
          <w:rFonts w:hint="default" w:ascii="Times New Roman" w:hAnsi="Times New Roman" w:cs="Times New Roman" w:eastAsiaTheme="minorEastAsia"/>
          <w:b/>
          <w:bCs/>
          <w:color w:val="auto"/>
          <w:sz w:val="24"/>
          <w:szCs w:val="20"/>
          <w:highlight w:val="none"/>
        </w:rPr>
        <w:t>1、小微型企业价格扣除</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（1）本项目专门面向中小企业采购，不再对小型和微型企业</w:t>
      </w:r>
      <w:r>
        <w:rPr>
          <w:rFonts w:hint="default" w:ascii="Times New Roman" w:hAnsi="Times New Roman" w:cs="Times New Roman" w:eastAsiaTheme="minorEastAsia"/>
          <w:color w:val="auto"/>
          <w:sz w:val="24"/>
          <w:szCs w:val="20"/>
          <w:highlight w:val="none"/>
          <w:lang w:val="en-US" w:eastAsia="zh-CN"/>
        </w:rPr>
        <w:t>报价</w:t>
      </w:r>
      <w:r>
        <w:rPr>
          <w:rFonts w:hint="default" w:ascii="Times New Roman" w:hAnsi="Times New Roman" w:cs="Times New Roman" w:eastAsiaTheme="minorEastAsia"/>
          <w:color w:val="auto"/>
          <w:sz w:val="24"/>
          <w:szCs w:val="20"/>
          <w:highlight w:val="none"/>
        </w:rPr>
        <w:t>给予价格扣除。</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（2）供应商需按照</w:t>
      </w:r>
      <w:r>
        <w:rPr>
          <w:rFonts w:hint="default" w:ascii="Times New Roman" w:hAnsi="Times New Roman" w:cs="Times New Roman" w:eastAsiaTheme="minorEastAsia"/>
          <w:color w:val="auto"/>
          <w:sz w:val="24"/>
          <w:szCs w:val="20"/>
          <w:highlight w:val="none"/>
          <w:lang w:val="en-US" w:eastAsia="zh-CN"/>
        </w:rPr>
        <w:t>磋商</w:t>
      </w:r>
      <w:r>
        <w:rPr>
          <w:rFonts w:hint="default" w:ascii="Times New Roman" w:hAnsi="Times New Roman" w:cs="Times New Roman" w:eastAsiaTheme="minorEastAsia"/>
          <w:color w:val="auto"/>
          <w:sz w:val="24"/>
          <w:szCs w:val="20"/>
          <w:highlight w:val="none"/>
        </w:rPr>
        <w:t>文件的要求提供相应的《</w:t>
      </w:r>
      <w:r>
        <w:rPr>
          <w:rFonts w:hint="default" w:ascii="Times New Roman" w:hAnsi="Times New Roman" w:cs="Times New Roman" w:eastAsiaTheme="minorEastAsia"/>
          <w:color w:val="auto"/>
          <w:sz w:val="24"/>
          <w:szCs w:val="20"/>
          <w:highlight w:val="none"/>
          <w:lang w:val="en-US" w:eastAsia="zh-CN"/>
        </w:rPr>
        <w:t>中小</w:t>
      </w:r>
      <w:r>
        <w:rPr>
          <w:rFonts w:hint="default" w:ascii="Times New Roman" w:hAnsi="Times New Roman" w:cs="Times New Roman" w:eastAsiaTheme="minorEastAsia"/>
          <w:color w:val="auto"/>
          <w:sz w:val="24"/>
          <w:szCs w:val="20"/>
          <w:highlight w:val="none"/>
        </w:rPr>
        <w:t>企业声明函》。</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（3）企业标准请参照《关于印发中小企业划型标准规定的通知》（工信部联企业</w:t>
      </w:r>
      <w:r>
        <w:rPr>
          <w:rFonts w:hint="default" w:ascii="Times New Roman" w:hAnsi="Times New Roman" w:cs="Times New Roman" w:eastAsiaTheme="minorEastAsia"/>
          <w:color w:val="auto"/>
          <w:sz w:val="24"/>
          <w:szCs w:val="20"/>
          <w:highlight w:val="none"/>
          <w:lang w:eastAsia="zh-CN"/>
        </w:rPr>
        <w:t>〔2011〕300号</w:t>
      </w:r>
      <w:r>
        <w:rPr>
          <w:rFonts w:hint="default" w:ascii="Times New Roman" w:hAnsi="Times New Roman" w:cs="Times New Roman" w:eastAsiaTheme="minorEastAsia"/>
          <w:color w:val="auto"/>
          <w:sz w:val="24"/>
          <w:szCs w:val="20"/>
          <w:highlight w:val="none"/>
        </w:rPr>
        <w:t>）文件规定自行填写。</w:t>
      </w:r>
    </w:p>
    <w:p>
      <w:pPr>
        <w:widowControl/>
        <w:spacing w:line="560" w:lineRule="exact"/>
        <w:ind w:firstLine="482"/>
        <w:jc w:val="left"/>
        <w:rPr>
          <w:rFonts w:hint="default" w:ascii="Times New Roman" w:hAnsi="Times New Roman" w:cs="Times New Roman" w:eastAsiaTheme="minorEastAsia"/>
          <w:b/>
          <w:bCs/>
          <w:color w:val="auto"/>
          <w:sz w:val="24"/>
          <w:szCs w:val="20"/>
          <w:highlight w:val="none"/>
        </w:rPr>
      </w:pPr>
      <w:r>
        <w:rPr>
          <w:rFonts w:hint="default" w:ascii="Times New Roman" w:hAnsi="Times New Roman" w:cs="Times New Roman" w:eastAsiaTheme="minorEastAsia"/>
          <w:b/>
          <w:bCs/>
          <w:color w:val="auto"/>
          <w:sz w:val="24"/>
          <w:szCs w:val="20"/>
          <w:highlight w:val="none"/>
        </w:rPr>
        <w:t>2、残疾人福利单位价格扣除</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（1）本项目对残疾人福利性单位视同小型、微型企业。</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（2）残疾人福利单位需按照</w:t>
      </w:r>
      <w:r>
        <w:rPr>
          <w:rFonts w:hint="default" w:ascii="Times New Roman" w:hAnsi="Times New Roman" w:cs="Times New Roman" w:eastAsiaTheme="minorEastAsia"/>
          <w:color w:val="auto"/>
          <w:sz w:val="24"/>
          <w:szCs w:val="20"/>
          <w:highlight w:val="none"/>
          <w:lang w:val="en-US" w:eastAsia="zh-CN"/>
        </w:rPr>
        <w:t>磋商</w:t>
      </w:r>
      <w:r>
        <w:rPr>
          <w:rFonts w:hint="default" w:ascii="Times New Roman" w:hAnsi="Times New Roman" w:cs="Times New Roman" w:eastAsiaTheme="minorEastAsia"/>
          <w:color w:val="auto"/>
          <w:sz w:val="24"/>
          <w:szCs w:val="20"/>
          <w:highlight w:val="none"/>
        </w:rPr>
        <w:t>文件的要求提供《残疾人福利性单位声明函》。</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（3）残疾人福利单位标准请参照《关于促进残疾人就业政府采购政策的通知》（财库〔2017〕141号）。</w:t>
      </w:r>
    </w:p>
    <w:p>
      <w:pPr>
        <w:widowControl/>
        <w:spacing w:line="560" w:lineRule="exact"/>
        <w:ind w:firstLine="482"/>
        <w:jc w:val="left"/>
        <w:rPr>
          <w:rFonts w:hint="default" w:ascii="Times New Roman" w:hAnsi="Times New Roman" w:cs="Times New Roman" w:eastAsiaTheme="minorEastAsia"/>
          <w:b/>
          <w:bCs/>
          <w:color w:val="auto"/>
          <w:sz w:val="24"/>
          <w:szCs w:val="20"/>
          <w:highlight w:val="none"/>
        </w:rPr>
      </w:pPr>
      <w:r>
        <w:rPr>
          <w:rFonts w:hint="default" w:ascii="Times New Roman" w:hAnsi="Times New Roman" w:cs="Times New Roman" w:eastAsiaTheme="minorEastAsia"/>
          <w:b/>
          <w:bCs/>
          <w:color w:val="auto"/>
          <w:sz w:val="24"/>
          <w:szCs w:val="20"/>
          <w:highlight w:val="none"/>
        </w:rPr>
        <w:t>3、监狱和戒毒企业价格扣除</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（1）本项目对监狱和戒毒企业（简称监狱企业）视同小型、微型企业。</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（2）监狱企业参加政府采购活动时，需提供由省级以上监狱管理局、戒毒管理局(含新疆生产建设兵团)出具的属于监狱企业的证明文件。供应商如不提供上述证明文件，价格将不做相应扣除。</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（3）监狱企业标准请参照《关于政府采购支持监狱企业发展有关问题的通知》（财库</w:t>
      </w:r>
      <w:r>
        <w:rPr>
          <w:rFonts w:hint="default" w:ascii="Times New Roman" w:hAnsi="Times New Roman" w:cs="Times New Roman" w:eastAsiaTheme="minorEastAsia"/>
          <w:color w:val="auto"/>
          <w:sz w:val="24"/>
          <w:szCs w:val="20"/>
          <w:highlight w:val="none"/>
          <w:lang w:eastAsia="zh-CN"/>
        </w:rPr>
        <w:t>〔2014〕68号</w:t>
      </w:r>
      <w:r>
        <w:rPr>
          <w:rFonts w:hint="default" w:ascii="Times New Roman" w:hAnsi="Times New Roman" w:cs="Times New Roman" w:eastAsiaTheme="minorEastAsia"/>
          <w:color w:val="auto"/>
          <w:sz w:val="24"/>
          <w:szCs w:val="20"/>
          <w:highlight w:val="none"/>
        </w:rPr>
        <w:t>）。</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4、残疾人福利单位、监狱企业属于小型、微型企业的，不重复享受政策。</w:t>
      </w:r>
    </w:p>
    <w:p>
      <w:pPr>
        <w:widowControl/>
        <w:spacing w:line="560" w:lineRule="exact"/>
        <w:ind w:firstLine="482"/>
        <w:jc w:val="left"/>
        <w:rPr>
          <w:rFonts w:hint="default" w:ascii="Times New Roman" w:hAnsi="Times New Roman" w:cs="Times New Roman" w:eastAsiaTheme="minorEastAsia"/>
          <w:b/>
          <w:bCs/>
          <w:color w:val="auto"/>
          <w:sz w:val="24"/>
          <w:szCs w:val="20"/>
          <w:highlight w:val="none"/>
        </w:rPr>
      </w:pPr>
      <w:r>
        <w:rPr>
          <w:rFonts w:hint="default" w:ascii="Times New Roman" w:hAnsi="Times New Roman" w:cs="Times New Roman" w:eastAsiaTheme="minorEastAsia"/>
          <w:color w:val="auto"/>
          <w:sz w:val="24"/>
          <w:szCs w:val="20"/>
          <w:highlight w:val="none"/>
          <w:lang w:val="en-US" w:eastAsia="zh-CN"/>
        </w:rPr>
        <w:t>5</w:t>
      </w:r>
      <w:r>
        <w:rPr>
          <w:rFonts w:hint="default" w:ascii="Times New Roman" w:hAnsi="Times New Roman" w:cs="Times New Roman" w:eastAsiaTheme="minorEastAsia"/>
          <w:color w:val="auto"/>
          <w:sz w:val="24"/>
          <w:szCs w:val="20"/>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w:t>
      </w:r>
      <w:r>
        <w:rPr>
          <w:rFonts w:hint="default" w:ascii="Times New Roman" w:hAnsi="Times New Roman" w:eastAsia="宋体" w:cs="Times New Roman"/>
          <w:b/>
          <w:i/>
          <w:color w:val="auto"/>
          <w:sz w:val="24"/>
          <w:szCs w:val="24"/>
          <w:highlight w:val="none"/>
        </w:rPr>
        <w:t>的或认证证书提供不全的将视为未实质性响应采购要求</w:t>
      </w:r>
      <w:r>
        <w:rPr>
          <w:rFonts w:hint="default" w:ascii="Times New Roman" w:hAnsi="Times New Roman" w:eastAsia="宋体" w:cs="Times New Roman"/>
          <w:i/>
          <w:color w:val="auto"/>
          <w:sz w:val="24"/>
          <w:szCs w:val="24"/>
          <w:highlight w:val="none"/>
        </w:rPr>
        <w:t>。</w:t>
      </w:r>
      <w:r>
        <w:rPr>
          <w:rFonts w:hint="default" w:ascii="Times New Roman" w:hAnsi="Times New Roman" w:eastAsia="宋体" w:cs="Times New Roman"/>
          <w:color w:val="auto"/>
          <w:sz w:val="24"/>
          <w:szCs w:val="24"/>
          <w:highlight w:val="none"/>
        </w:rPr>
        <w:t>其他条件相同情况下，</w:t>
      </w:r>
      <w:r>
        <w:rPr>
          <w:rFonts w:hint="default" w:ascii="Times New Roman" w:hAnsi="Times New Roman" w:eastAsia="宋体" w:cs="Times New Roman"/>
          <w:b w:val="0"/>
          <w:bCs w:val="0"/>
          <w:color w:val="auto"/>
          <w:sz w:val="24"/>
          <w:szCs w:val="24"/>
          <w:highlight w:val="none"/>
        </w:rPr>
        <w:t>应</w:t>
      </w:r>
      <w:r>
        <w:rPr>
          <w:rFonts w:hint="default" w:ascii="Times New Roman" w:hAnsi="Times New Roman" w:cs="Times New Roman" w:eastAsiaTheme="minorEastAsia"/>
          <w:b w:val="0"/>
          <w:bCs w:val="0"/>
          <w:color w:val="auto"/>
          <w:sz w:val="24"/>
          <w:szCs w:val="20"/>
          <w:highlight w:val="none"/>
        </w:rPr>
        <w:t>当优先采购节能产品、环境标志产品。</w:t>
      </w:r>
    </w:p>
    <w:p>
      <w:pPr>
        <w:widowControl/>
        <w:spacing w:line="560" w:lineRule="exact"/>
        <w:ind w:firstLine="482"/>
        <w:jc w:val="left"/>
        <w:rPr>
          <w:rFonts w:hint="default" w:ascii="Times New Roman" w:hAnsi="Times New Roman" w:cs="Times New Roman" w:eastAsiaTheme="minorEastAsia"/>
          <w:b/>
          <w:bCs/>
          <w:color w:val="auto"/>
          <w:sz w:val="24"/>
          <w:szCs w:val="24"/>
          <w:highlight w:val="none"/>
        </w:rPr>
      </w:pPr>
      <w:r>
        <w:rPr>
          <w:rFonts w:hint="default" w:ascii="Times New Roman" w:hAnsi="Times New Roman" w:cs="Times New Roman"/>
          <w:b/>
          <w:bCs/>
          <w:color w:val="auto"/>
          <w:sz w:val="24"/>
          <w:szCs w:val="20"/>
          <w:highlight w:val="none"/>
          <w:lang w:val="en-US" w:eastAsia="zh-CN"/>
        </w:rPr>
        <w:t>二、</w:t>
      </w:r>
      <w:r>
        <w:rPr>
          <w:rFonts w:hint="default" w:ascii="Times New Roman" w:hAnsi="Times New Roman" w:cs="Times New Roman" w:eastAsiaTheme="minorEastAsia"/>
          <w:b/>
          <w:bCs/>
          <w:color w:val="auto"/>
          <w:sz w:val="24"/>
          <w:szCs w:val="20"/>
          <w:highlight w:val="none"/>
        </w:rPr>
        <w:t xml:space="preserve">评审方法与评审标准 </w:t>
      </w:r>
    </w:p>
    <w:p>
      <w:pPr>
        <w:widowControl/>
        <w:spacing w:line="560" w:lineRule="exact"/>
        <w:ind w:firstLine="482"/>
        <w:jc w:val="left"/>
        <w:rPr>
          <w:rFonts w:hint="default" w:ascii="Times New Roman" w:hAnsi="Times New Roman" w:cs="Times New Roman" w:eastAsiaTheme="minorEastAsia"/>
          <w:b/>
          <w:bCs/>
          <w:color w:val="auto"/>
          <w:sz w:val="24"/>
          <w:szCs w:val="24"/>
          <w:highlight w:val="none"/>
        </w:rPr>
      </w:pPr>
      <w:r>
        <w:rPr>
          <w:rFonts w:hint="default" w:ascii="Times New Roman" w:hAnsi="Times New Roman" w:cs="Times New Roman" w:eastAsiaTheme="minorEastAsia"/>
          <w:b/>
          <w:bCs/>
          <w:color w:val="auto"/>
          <w:sz w:val="24"/>
          <w:szCs w:val="20"/>
          <w:highlight w:val="none"/>
        </w:rPr>
        <w:t>本项目总分为100分，具体评分标准如下。</w:t>
      </w:r>
    </w:p>
    <w:tbl>
      <w:tblPr>
        <w:tblStyle w:val="40"/>
        <w:tblW w:w="87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046"/>
        <w:gridCol w:w="850"/>
        <w:gridCol w:w="6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noWrap w:val="0"/>
            <w:tcMar>
              <w:top w:w="80" w:type="dxa"/>
              <w:left w:w="120" w:type="dxa"/>
              <w:bottom w:w="80" w:type="dxa"/>
              <w:right w:w="120" w:type="dxa"/>
            </w:tcMar>
            <w:vAlign w:val="center"/>
          </w:tcPr>
          <w:p>
            <w:pPr>
              <w:keepNext w:val="0"/>
              <w:keepLines w:val="0"/>
              <w:pageBreakBefore w:val="0"/>
              <w:spacing w:after="0" w:line="400" w:lineRule="exact"/>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序号</w:t>
            </w:r>
          </w:p>
        </w:tc>
        <w:tc>
          <w:tcPr>
            <w:tcW w:w="1046" w:type="dxa"/>
            <w:noWrap w:val="0"/>
            <w:tcMar>
              <w:top w:w="80" w:type="dxa"/>
              <w:left w:w="120" w:type="dxa"/>
              <w:bottom w:w="80" w:type="dxa"/>
              <w:right w:w="120" w:type="dxa"/>
            </w:tcMar>
            <w:vAlign w:val="center"/>
          </w:tcPr>
          <w:p>
            <w:pPr>
              <w:keepNext w:val="0"/>
              <w:keepLines w:val="0"/>
              <w:pageBreakBefore w:val="0"/>
              <w:spacing w:after="0" w:line="400" w:lineRule="exact"/>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评分</w:t>
            </w:r>
          </w:p>
          <w:p>
            <w:pPr>
              <w:keepNext w:val="0"/>
              <w:keepLines w:val="0"/>
              <w:pageBreakBefore w:val="0"/>
              <w:spacing w:after="0" w:line="400" w:lineRule="exact"/>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因素</w:t>
            </w:r>
          </w:p>
        </w:tc>
        <w:tc>
          <w:tcPr>
            <w:tcW w:w="850" w:type="dxa"/>
            <w:noWrap w:val="0"/>
            <w:tcMar>
              <w:top w:w="80" w:type="dxa"/>
              <w:left w:w="120" w:type="dxa"/>
              <w:bottom w:w="80" w:type="dxa"/>
              <w:right w:w="120" w:type="dxa"/>
            </w:tcMar>
            <w:vAlign w:val="center"/>
          </w:tcPr>
          <w:p>
            <w:pPr>
              <w:keepNext w:val="0"/>
              <w:keepLines w:val="0"/>
              <w:pageBreakBefore w:val="0"/>
              <w:spacing w:after="0" w:line="400" w:lineRule="exact"/>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分值</w:t>
            </w:r>
          </w:p>
        </w:tc>
        <w:tc>
          <w:tcPr>
            <w:tcW w:w="6068" w:type="dxa"/>
            <w:noWrap w:val="0"/>
            <w:tcMar>
              <w:top w:w="80" w:type="dxa"/>
              <w:left w:w="120" w:type="dxa"/>
              <w:bottom w:w="80" w:type="dxa"/>
              <w:right w:w="120" w:type="dxa"/>
            </w:tcMar>
            <w:vAlign w:val="center"/>
          </w:tcPr>
          <w:p>
            <w:pPr>
              <w:keepNext w:val="0"/>
              <w:keepLines w:val="0"/>
              <w:pageBreakBefore w:val="0"/>
              <w:spacing w:after="0" w:line="400" w:lineRule="exact"/>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noWrap w:val="0"/>
            <w:vAlign w:val="center"/>
          </w:tcPr>
          <w:p>
            <w:pPr>
              <w:keepNext w:val="0"/>
              <w:keepLines w:val="0"/>
              <w:pageBreakBefore w:val="0"/>
              <w:spacing w:after="0" w:line="400" w:lineRule="exact"/>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p>
        </w:tc>
        <w:tc>
          <w:tcPr>
            <w:tcW w:w="1046" w:type="dxa"/>
            <w:noWrap w:val="0"/>
            <w:vAlign w:val="center"/>
          </w:tcPr>
          <w:p>
            <w:pPr>
              <w:keepNext w:val="0"/>
              <w:keepLines w:val="0"/>
              <w:pageBreakBefore w:val="0"/>
              <w:spacing w:after="0" w:line="400" w:lineRule="exact"/>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报价得分</w:t>
            </w:r>
          </w:p>
        </w:tc>
        <w:tc>
          <w:tcPr>
            <w:tcW w:w="850" w:type="dxa"/>
            <w:noWrap w:val="0"/>
            <w:vAlign w:val="center"/>
          </w:tcPr>
          <w:p>
            <w:pPr>
              <w:keepNext w:val="0"/>
              <w:keepLines w:val="0"/>
              <w:pageBreakBefore w:val="0"/>
              <w:spacing w:after="0" w:line="400" w:lineRule="exact"/>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10分</w:t>
            </w:r>
          </w:p>
        </w:tc>
        <w:tc>
          <w:tcPr>
            <w:tcW w:w="6068" w:type="dxa"/>
            <w:noWrap w:val="0"/>
            <w:vAlign w:val="center"/>
          </w:tcPr>
          <w:p>
            <w:pPr>
              <w:keepNext w:val="0"/>
              <w:keepLines w:val="0"/>
              <w:pageBreakBefore w:val="0"/>
              <w:widowControl/>
              <w:spacing w:after="0" w:line="40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价格分采用低价优先法计算，即满足磋商文件要求且最后报价最低的供应商报价为评审基准价，其价格分为满分。其他供应商的价格分统一按照下列公式计算：报价得分=（评审基准价／最后报价）×10。（得分保留两位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noWrap w:val="0"/>
            <w:vAlign w:val="center"/>
          </w:tcPr>
          <w:p>
            <w:pPr>
              <w:keepNext w:val="0"/>
              <w:keepLines w:val="0"/>
              <w:pageBreakBefore w:val="0"/>
              <w:spacing w:after="0" w:line="400" w:lineRule="exact"/>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p>
        </w:tc>
        <w:tc>
          <w:tcPr>
            <w:tcW w:w="1046" w:type="dxa"/>
            <w:noWrap w:val="0"/>
            <w:vAlign w:val="center"/>
          </w:tcPr>
          <w:p>
            <w:pPr>
              <w:keepNext w:val="0"/>
              <w:keepLines w:val="0"/>
              <w:pageBreakBefore w:val="0"/>
              <w:spacing w:after="0" w:line="400" w:lineRule="exact"/>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综合能力</w:t>
            </w:r>
          </w:p>
        </w:tc>
        <w:tc>
          <w:tcPr>
            <w:tcW w:w="850" w:type="dxa"/>
            <w:noWrap w:val="0"/>
            <w:vAlign w:val="center"/>
          </w:tcPr>
          <w:p>
            <w:pPr>
              <w:keepNext w:val="0"/>
              <w:keepLines w:val="0"/>
              <w:pageBreakBefore w:val="0"/>
              <w:spacing w:after="0" w:line="400" w:lineRule="exact"/>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13</w:t>
            </w:r>
            <w:r>
              <w:rPr>
                <w:rFonts w:hint="default" w:ascii="Times New Roman" w:hAnsi="Times New Roman" w:eastAsia="宋体" w:cs="Times New Roman"/>
                <w:color w:val="auto"/>
                <w:sz w:val="24"/>
                <w:szCs w:val="24"/>
                <w:highlight w:val="none"/>
              </w:rPr>
              <w:t>分</w:t>
            </w:r>
          </w:p>
        </w:tc>
        <w:tc>
          <w:tcPr>
            <w:tcW w:w="6068" w:type="dxa"/>
            <w:noWrap w:val="0"/>
            <w:vAlign w:val="center"/>
          </w:tcPr>
          <w:p>
            <w:pPr>
              <w:keepNext w:val="0"/>
              <w:keepLines w:val="0"/>
              <w:pageBreakBefore w:val="0"/>
              <w:widowControl/>
              <w:spacing w:after="0" w:line="40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（1）</w:t>
            </w:r>
            <w:r>
              <w:rPr>
                <w:rFonts w:hint="eastAsia" w:ascii="Times New Roman" w:hAnsi="Times New Roman" w:cs="Times New Roman" w:eastAsiaTheme="minorEastAsia"/>
                <w:color w:val="auto"/>
                <w:sz w:val="24"/>
                <w:szCs w:val="20"/>
                <w:highlight w:val="none"/>
              </w:rPr>
              <w:t>投标人具有有效期内的</w:t>
            </w:r>
            <w:bookmarkStart w:id="58" w:name="OLE_LINK2"/>
            <w:r>
              <w:rPr>
                <w:rFonts w:hint="eastAsia" w:ascii="Times New Roman" w:hAnsi="Times New Roman" w:cs="Times New Roman" w:eastAsiaTheme="minorEastAsia"/>
                <w:color w:val="auto"/>
                <w:sz w:val="24"/>
                <w:szCs w:val="20"/>
                <w:highlight w:val="none"/>
              </w:rPr>
              <w:t>质量管理体系认证证书、环境管理体系认证证书、职业健康安全管理体系认证证书</w:t>
            </w:r>
            <w:bookmarkEnd w:id="58"/>
            <w:r>
              <w:rPr>
                <w:rFonts w:hint="eastAsia" w:ascii="Times New Roman" w:hAnsi="Times New Roman" w:cs="Times New Roman" w:eastAsiaTheme="minorEastAsia"/>
                <w:color w:val="auto"/>
                <w:sz w:val="24"/>
                <w:szCs w:val="20"/>
                <w:highlight w:val="none"/>
              </w:rPr>
              <w:t>的，每有一个得</w:t>
            </w:r>
            <w:r>
              <w:rPr>
                <w:rFonts w:hint="eastAsia" w:ascii="Times New Roman" w:hAnsi="Times New Roman" w:eastAsia="宋体" w:cs="Times New Roman"/>
                <w:color w:val="auto"/>
                <w:sz w:val="24"/>
                <w:szCs w:val="20"/>
                <w:highlight w:val="none"/>
                <w:lang w:val="en-US" w:eastAsia="zh-CN"/>
              </w:rPr>
              <w:t>2</w:t>
            </w:r>
            <w:r>
              <w:rPr>
                <w:rFonts w:hint="eastAsia" w:ascii="Times New Roman" w:hAnsi="Times New Roman" w:cs="Times New Roman" w:eastAsiaTheme="minorEastAsia"/>
                <w:color w:val="auto"/>
                <w:sz w:val="24"/>
                <w:szCs w:val="20"/>
                <w:highlight w:val="none"/>
              </w:rPr>
              <w:t>分。最多得</w:t>
            </w:r>
            <w:r>
              <w:rPr>
                <w:rFonts w:hint="eastAsia" w:ascii="Times New Roman" w:hAnsi="Times New Roman" w:eastAsia="宋体" w:cs="Times New Roman"/>
                <w:color w:val="auto"/>
                <w:sz w:val="24"/>
                <w:szCs w:val="20"/>
                <w:highlight w:val="none"/>
                <w:lang w:val="en-US" w:eastAsia="zh-CN"/>
              </w:rPr>
              <w:t>6</w:t>
            </w:r>
            <w:r>
              <w:rPr>
                <w:rFonts w:hint="eastAsia" w:ascii="Times New Roman" w:hAnsi="Times New Roman" w:cs="Times New Roman" w:eastAsiaTheme="minorEastAsia"/>
                <w:color w:val="auto"/>
                <w:sz w:val="24"/>
                <w:szCs w:val="20"/>
                <w:highlight w:val="none"/>
              </w:rPr>
              <w:t>分。</w:t>
            </w:r>
          </w:p>
          <w:p>
            <w:pPr>
              <w:keepNext w:val="0"/>
              <w:keepLines w:val="0"/>
              <w:pageBreakBefore w:val="0"/>
              <w:widowControl/>
              <w:spacing w:after="0" w:line="400" w:lineRule="exact"/>
              <w:ind w:firstLine="482"/>
              <w:jc w:val="left"/>
              <w:rPr>
                <w:rFonts w:hint="default"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注：投标时须提供上述证书盖章扫描件及国家认证认可监督管理委员会官网（全国认证认可信息公共服务平台）查询截图并盖章，否则不得分。</w:t>
            </w:r>
          </w:p>
          <w:p>
            <w:pPr>
              <w:keepNext w:val="0"/>
              <w:keepLines w:val="0"/>
              <w:pageBreakBefore w:val="0"/>
              <w:widowControl/>
              <w:spacing w:after="0" w:line="400" w:lineRule="exact"/>
              <w:ind w:firstLine="482"/>
              <w:jc w:val="left"/>
              <w:rPr>
                <w:rFonts w:hint="default"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（2）</w:t>
            </w:r>
            <w:bookmarkStart w:id="59" w:name="OLE_LINK1"/>
            <w:r>
              <w:rPr>
                <w:rFonts w:hint="eastAsia" w:ascii="Times New Roman" w:hAnsi="Times New Roman" w:cs="Times New Roman" w:eastAsiaTheme="minorEastAsia"/>
                <w:color w:val="auto"/>
                <w:sz w:val="24"/>
                <w:szCs w:val="20"/>
                <w:highlight w:val="none"/>
              </w:rPr>
              <w:t>投标人持有有效的</w:t>
            </w:r>
            <w:r>
              <w:rPr>
                <w:rFonts w:hint="eastAsia" w:ascii="Times New Roman" w:hAnsi="Times New Roman" w:eastAsia="宋体" w:cs="Times New Roman"/>
                <w:color w:val="auto"/>
                <w:sz w:val="24"/>
                <w:szCs w:val="20"/>
                <w:highlight w:val="none"/>
                <w:lang w:eastAsia="zh-CN"/>
              </w:rPr>
              <w:t>第三方</w:t>
            </w:r>
            <w:r>
              <w:rPr>
                <w:rFonts w:hint="eastAsia" w:ascii="Times New Roman" w:hAnsi="Times New Roman" w:cs="Times New Roman" w:eastAsiaTheme="minorEastAsia"/>
                <w:color w:val="auto"/>
                <w:sz w:val="24"/>
                <w:szCs w:val="20"/>
                <w:highlight w:val="none"/>
              </w:rPr>
              <w:t>检验检测机构资质认定证书</w:t>
            </w:r>
            <w:bookmarkEnd w:id="59"/>
            <w:r>
              <w:rPr>
                <w:rFonts w:hint="eastAsia" w:ascii="Times New Roman" w:hAnsi="Times New Roman" w:cs="Times New Roman" w:eastAsiaTheme="minorEastAsia"/>
                <w:color w:val="auto"/>
                <w:sz w:val="24"/>
                <w:szCs w:val="20"/>
                <w:highlight w:val="none"/>
              </w:rPr>
              <w:t>，</w:t>
            </w:r>
            <w:r>
              <w:rPr>
                <w:rFonts w:ascii="宋体" w:hAnsi="宋体" w:eastAsia="宋体" w:cs="宋体"/>
                <w:color w:val="auto"/>
                <w:sz w:val="24"/>
                <w:szCs w:val="24"/>
                <w:highlight w:val="none"/>
              </w:rPr>
              <w:t>能力范围包含地下水得3</w:t>
            </w:r>
            <w:r>
              <w:rPr>
                <w:rFonts w:hint="eastAsia" w:ascii="宋体" w:hAnsi="宋体" w:eastAsia="宋体" w:cs="宋体"/>
                <w:color w:val="auto"/>
                <w:sz w:val="24"/>
                <w:szCs w:val="24"/>
                <w:highlight w:val="none"/>
                <w:lang w:val="en-US" w:eastAsia="zh-CN"/>
              </w:rPr>
              <w:t>.5</w:t>
            </w:r>
            <w:r>
              <w:rPr>
                <w:rFonts w:ascii="宋体" w:hAnsi="宋体" w:eastAsia="宋体" w:cs="宋体"/>
                <w:color w:val="auto"/>
                <w:sz w:val="24"/>
                <w:szCs w:val="24"/>
                <w:highlight w:val="none"/>
              </w:rPr>
              <w:t>分、包含土壤和沉积物得3</w:t>
            </w:r>
            <w:r>
              <w:rPr>
                <w:rFonts w:hint="eastAsia" w:ascii="宋体" w:hAnsi="宋体" w:eastAsia="宋体" w:cs="宋体"/>
                <w:color w:val="auto"/>
                <w:sz w:val="24"/>
                <w:szCs w:val="24"/>
                <w:highlight w:val="none"/>
                <w:lang w:val="en-US" w:eastAsia="zh-CN"/>
              </w:rPr>
              <w:t>.5</w:t>
            </w:r>
            <w:r>
              <w:rPr>
                <w:rFonts w:ascii="宋体" w:hAnsi="宋体" w:eastAsia="宋体" w:cs="宋体"/>
                <w:color w:val="auto"/>
                <w:sz w:val="24"/>
                <w:szCs w:val="24"/>
                <w:highlight w:val="none"/>
              </w:rPr>
              <w:t xml:space="preserve">分。最多得 </w:t>
            </w:r>
            <w:r>
              <w:rPr>
                <w:rFonts w:hint="eastAsia" w:ascii="宋体" w:hAnsi="宋体" w:eastAsia="宋体" w:cs="宋体"/>
                <w:color w:val="auto"/>
                <w:sz w:val="24"/>
                <w:szCs w:val="24"/>
                <w:highlight w:val="none"/>
                <w:lang w:val="en-US" w:eastAsia="zh-CN"/>
              </w:rPr>
              <w:t>7</w:t>
            </w:r>
            <w:r>
              <w:rPr>
                <w:rFonts w:ascii="宋体" w:hAnsi="宋体" w:eastAsia="宋体" w:cs="宋体"/>
                <w:color w:val="auto"/>
                <w:sz w:val="24"/>
                <w:szCs w:val="24"/>
                <w:highlight w:val="none"/>
              </w:rPr>
              <w:t>分。</w:t>
            </w:r>
          </w:p>
          <w:p>
            <w:pPr>
              <w:keepNext w:val="0"/>
              <w:keepLines w:val="0"/>
              <w:pageBreakBefore w:val="0"/>
              <w:widowControl/>
              <w:spacing w:after="0" w:line="400" w:lineRule="exact"/>
              <w:ind w:firstLine="482"/>
              <w:jc w:val="left"/>
              <w:rPr>
                <w:rFonts w:hint="default"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注：投标时须提供上述证书盖章扫描件和资质认定附表（检测能力明细表）盖章扫描件为依据，否则不得分。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noWrap w:val="0"/>
            <w:vAlign w:val="center"/>
          </w:tcPr>
          <w:p>
            <w:pPr>
              <w:keepNext w:val="0"/>
              <w:keepLines w:val="0"/>
              <w:pageBreakBefore w:val="0"/>
              <w:spacing w:after="0" w:line="400" w:lineRule="exact"/>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3</w:t>
            </w:r>
          </w:p>
        </w:tc>
        <w:tc>
          <w:tcPr>
            <w:tcW w:w="1046" w:type="dxa"/>
            <w:noWrap w:val="0"/>
            <w:vAlign w:val="center"/>
          </w:tcPr>
          <w:p>
            <w:pPr>
              <w:keepNext w:val="0"/>
              <w:keepLines w:val="0"/>
              <w:pageBreakBefore w:val="0"/>
              <w:spacing w:after="0" w:line="400" w:lineRule="exact"/>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团队</w:t>
            </w:r>
          </w:p>
          <w:p>
            <w:pPr>
              <w:keepNext w:val="0"/>
              <w:keepLines w:val="0"/>
              <w:pageBreakBefore w:val="0"/>
              <w:spacing w:after="0" w:line="400" w:lineRule="exact"/>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组成</w:t>
            </w:r>
          </w:p>
        </w:tc>
        <w:tc>
          <w:tcPr>
            <w:tcW w:w="850" w:type="dxa"/>
            <w:noWrap w:val="0"/>
            <w:vAlign w:val="center"/>
          </w:tcPr>
          <w:p>
            <w:pPr>
              <w:keepNext w:val="0"/>
              <w:keepLines w:val="0"/>
              <w:pageBreakBefore w:val="0"/>
              <w:spacing w:after="0" w:line="400" w:lineRule="exact"/>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17分 </w:t>
            </w:r>
          </w:p>
        </w:tc>
        <w:tc>
          <w:tcPr>
            <w:tcW w:w="6068" w:type="dxa"/>
            <w:noWrap w:val="0"/>
            <w:vAlign w:val="center"/>
          </w:tcPr>
          <w:p>
            <w:pPr>
              <w:keepNext w:val="0"/>
              <w:keepLines w:val="0"/>
              <w:pageBreakBefore w:val="0"/>
              <w:widowControl/>
              <w:spacing w:after="0" w:line="400" w:lineRule="exact"/>
              <w:ind w:firstLine="482"/>
              <w:jc w:val="left"/>
              <w:rPr>
                <w:rFonts w:hint="default"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（1）项目负责人具有：环境类高级及以上职称、环境影响评价工程师职业资格的，每有1个得</w:t>
            </w:r>
            <w:r>
              <w:rPr>
                <w:rFonts w:hint="eastAsia" w:ascii="Times New Roman" w:hAnsi="Times New Roman" w:eastAsia="宋体" w:cs="Times New Roman"/>
                <w:color w:val="auto"/>
                <w:sz w:val="24"/>
                <w:szCs w:val="20"/>
                <w:highlight w:val="none"/>
                <w:lang w:val="en-US" w:eastAsia="zh-CN"/>
              </w:rPr>
              <w:t>2</w:t>
            </w:r>
            <w:r>
              <w:rPr>
                <w:rFonts w:hint="eastAsia" w:ascii="Times New Roman" w:hAnsi="Times New Roman" w:cs="Times New Roman" w:eastAsiaTheme="minorEastAsia"/>
                <w:color w:val="auto"/>
                <w:sz w:val="24"/>
                <w:szCs w:val="20"/>
                <w:highlight w:val="none"/>
              </w:rPr>
              <w:t>分。最多得</w:t>
            </w:r>
            <w:r>
              <w:rPr>
                <w:rFonts w:hint="eastAsia" w:ascii="Times New Roman" w:hAnsi="Times New Roman" w:eastAsia="宋体" w:cs="Times New Roman"/>
                <w:color w:val="auto"/>
                <w:sz w:val="24"/>
                <w:szCs w:val="20"/>
                <w:highlight w:val="none"/>
                <w:lang w:val="en-US" w:eastAsia="zh-CN"/>
              </w:rPr>
              <w:t>4</w:t>
            </w:r>
            <w:r>
              <w:rPr>
                <w:rFonts w:hint="eastAsia" w:ascii="Times New Roman" w:hAnsi="Times New Roman" w:cs="Times New Roman" w:eastAsiaTheme="minorEastAsia"/>
                <w:color w:val="auto"/>
                <w:sz w:val="24"/>
                <w:szCs w:val="20"/>
                <w:highlight w:val="none"/>
              </w:rPr>
              <w:t>分。</w:t>
            </w:r>
          </w:p>
          <w:p>
            <w:pPr>
              <w:keepNext w:val="0"/>
              <w:keepLines w:val="0"/>
              <w:pageBreakBefore w:val="0"/>
              <w:widowControl/>
              <w:spacing w:after="0" w:line="400" w:lineRule="exact"/>
              <w:ind w:firstLine="482"/>
              <w:jc w:val="left"/>
              <w:rPr>
                <w:rFonts w:hint="default"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注：以上述证书盖章扫描件为依据，否则不得分。</w:t>
            </w:r>
          </w:p>
          <w:p>
            <w:pPr>
              <w:keepNext w:val="0"/>
              <w:keepLines w:val="0"/>
              <w:pageBreakBefore w:val="0"/>
              <w:widowControl/>
              <w:spacing w:after="0" w:line="400" w:lineRule="exact"/>
              <w:ind w:firstLine="482"/>
              <w:jc w:val="left"/>
              <w:rPr>
                <w:rFonts w:hint="default"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（2）项目技术负责人（与项目负责人不为同一人）具有环境类中级职称的，得</w:t>
            </w:r>
            <w:r>
              <w:rPr>
                <w:rFonts w:hint="eastAsia" w:ascii="Times New Roman" w:hAnsi="Times New Roman" w:eastAsia="宋体" w:cs="Times New Roman"/>
                <w:color w:val="auto"/>
                <w:sz w:val="24"/>
                <w:szCs w:val="20"/>
                <w:highlight w:val="none"/>
                <w:lang w:val="en-US" w:eastAsia="zh-CN"/>
              </w:rPr>
              <w:t>1</w:t>
            </w:r>
            <w:r>
              <w:rPr>
                <w:rFonts w:hint="eastAsia" w:ascii="Times New Roman" w:hAnsi="Times New Roman" w:cs="Times New Roman" w:eastAsiaTheme="minorEastAsia"/>
                <w:color w:val="auto"/>
                <w:sz w:val="24"/>
                <w:szCs w:val="20"/>
                <w:highlight w:val="none"/>
              </w:rPr>
              <w:t>分；环境类高级及以上职称的，得</w:t>
            </w:r>
            <w:r>
              <w:rPr>
                <w:rFonts w:hint="eastAsia" w:ascii="Times New Roman" w:hAnsi="Times New Roman" w:eastAsia="宋体" w:cs="Times New Roman"/>
                <w:color w:val="auto"/>
                <w:sz w:val="24"/>
                <w:szCs w:val="20"/>
                <w:highlight w:val="none"/>
                <w:lang w:val="en-US" w:eastAsia="zh-CN"/>
              </w:rPr>
              <w:t>2</w:t>
            </w:r>
            <w:r>
              <w:rPr>
                <w:rFonts w:hint="eastAsia" w:ascii="Times New Roman" w:hAnsi="Times New Roman" w:cs="Times New Roman" w:eastAsiaTheme="minorEastAsia"/>
                <w:color w:val="auto"/>
                <w:sz w:val="24"/>
                <w:szCs w:val="20"/>
                <w:highlight w:val="none"/>
              </w:rPr>
              <w:t>分；环境影响评价工程师职业资格证书的，得</w:t>
            </w:r>
            <w:r>
              <w:rPr>
                <w:rFonts w:hint="eastAsia" w:ascii="Times New Roman" w:hAnsi="Times New Roman" w:eastAsia="宋体" w:cs="Times New Roman"/>
                <w:color w:val="auto"/>
                <w:sz w:val="24"/>
                <w:szCs w:val="20"/>
                <w:highlight w:val="none"/>
                <w:lang w:val="en-US" w:eastAsia="zh-CN"/>
              </w:rPr>
              <w:t>2</w:t>
            </w:r>
            <w:r>
              <w:rPr>
                <w:rFonts w:hint="eastAsia" w:ascii="Times New Roman" w:hAnsi="Times New Roman" w:cs="Times New Roman" w:eastAsiaTheme="minorEastAsia"/>
                <w:color w:val="auto"/>
                <w:sz w:val="24"/>
                <w:szCs w:val="20"/>
                <w:highlight w:val="none"/>
              </w:rPr>
              <w:t>分。最多得</w:t>
            </w:r>
            <w:r>
              <w:rPr>
                <w:rFonts w:hint="eastAsia" w:ascii="Times New Roman" w:hAnsi="Times New Roman" w:eastAsia="宋体" w:cs="Times New Roman"/>
                <w:color w:val="auto"/>
                <w:sz w:val="24"/>
                <w:szCs w:val="20"/>
                <w:highlight w:val="none"/>
                <w:lang w:val="en-US" w:eastAsia="zh-CN"/>
              </w:rPr>
              <w:t>4</w:t>
            </w:r>
            <w:r>
              <w:rPr>
                <w:rFonts w:hint="eastAsia" w:ascii="Times New Roman" w:hAnsi="Times New Roman" w:cs="Times New Roman" w:eastAsiaTheme="minorEastAsia"/>
                <w:color w:val="auto"/>
                <w:sz w:val="24"/>
                <w:szCs w:val="20"/>
                <w:highlight w:val="none"/>
              </w:rPr>
              <w:t>分。</w:t>
            </w:r>
          </w:p>
          <w:p>
            <w:pPr>
              <w:keepNext w:val="0"/>
              <w:keepLines w:val="0"/>
              <w:pageBreakBefore w:val="0"/>
              <w:widowControl/>
              <w:spacing w:after="0" w:line="400" w:lineRule="exact"/>
              <w:ind w:firstLine="482"/>
              <w:jc w:val="left"/>
              <w:rPr>
                <w:rFonts w:hint="default"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注：以上述证书盖章扫描件为依据，否则不得分。</w:t>
            </w:r>
          </w:p>
          <w:p>
            <w:pPr>
              <w:keepNext w:val="0"/>
              <w:keepLines w:val="0"/>
              <w:pageBreakBefore w:val="0"/>
              <w:widowControl/>
              <w:spacing w:after="0" w:line="400" w:lineRule="exact"/>
              <w:ind w:firstLine="482"/>
              <w:jc w:val="left"/>
              <w:rPr>
                <w:rFonts w:hint="default" w:ascii="Times New Roman" w:hAnsi="Times New Roman" w:cs="Times New Roman" w:eastAsiaTheme="minorEastAsia"/>
                <w:color w:val="auto"/>
                <w:sz w:val="24"/>
                <w:szCs w:val="20"/>
                <w:highlight w:val="none"/>
              </w:rPr>
            </w:pPr>
            <w:r>
              <w:rPr>
                <w:rFonts w:hint="eastAsia" w:ascii="Times New Roman" w:hAnsi="Times New Roman" w:eastAsia="宋体" w:cs="Times New Roman"/>
                <w:color w:val="auto"/>
                <w:sz w:val="24"/>
                <w:szCs w:val="20"/>
                <w:highlight w:val="none"/>
                <w:lang w:eastAsia="zh-CN"/>
              </w:rPr>
              <w:t>（</w:t>
            </w:r>
            <w:r>
              <w:rPr>
                <w:rFonts w:hint="eastAsia" w:ascii="Times New Roman" w:hAnsi="Times New Roman" w:eastAsia="宋体" w:cs="Times New Roman"/>
                <w:color w:val="auto"/>
                <w:sz w:val="24"/>
                <w:szCs w:val="20"/>
                <w:highlight w:val="none"/>
                <w:lang w:val="en-US" w:eastAsia="zh-CN"/>
              </w:rPr>
              <w:t>3</w:t>
            </w:r>
            <w:r>
              <w:rPr>
                <w:rFonts w:hint="eastAsia" w:ascii="Times New Roman" w:hAnsi="Times New Roman" w:eastAsia="宋体" w:cs="Times New Roman"/>
                <w:color w:val="auto"/>
                <w:sz w:val="24"/>
                <w:szCs w:val="20"/>
                <w:highlight w:val="none"/>
                <w:lang w:eastAsia="zh-CN"/>
              </w:rPr>
              <w:t>）</w:t>
            </w:r>
            <w:r>
              <w:rPr>
                <w:rFonts w:hint="eastAsia" w:ascii="Times New Roman" w:hAnsi="Times New Roman" w:cs="Times New Roman" w:eastAsiaTheme="minorEastAsia"/>
                <w:color w:val="auto"/>
                <w:sz w:val="24"/>
                <w:szCs w:val="20"/>
                <w:highlight w:val="none"/>
              </w:rPr>
              <w:t>项目组成员（项目负责人和项目技术负责人除外）每有一个具有环境类中级职称的，得0.5分；每有一个具有环境类高级及以上职称的，得1分；每有一个具有环境影响评价工程师职业资格的，得1分。前述人员不重复计分。最多得</w:t>
            </w:r>
            <w:r>
              <w:rPr>
                <w:rFonts w:hint="default" w:ascii="Times New Roman" w:hAnsi="Times New Roman" w:cs="Times New Roman" w:eastAsiaTheme="minorEastAsia"/>
                <w:color w:val="auto"/>
                <w:sz w:val="24"/>
                <w:szCs w:val="20"/>
                <w:highlight w:val="none"/>
              </w:rPr>
              <w:t>9</w:t>
            </w:r>
            <w:r>
              <w:rPr>
                <w:rFonts w:hint="eastAsia" w:ascii="Times New Roman" w:hAnsi="Times New Roman" w:cs="Times New Roman" w:eastAsiaTheme="minorEastAsia"/>
                <w:color w:val="auto"/>
                <w:sz w:val="24"/>
                <w:szCs w:val="20"/>
                <w:highlight w:val="none"/>
              </w:rPr>
              <w:t>分。</w:t>
            </w:r>
          </w:p>
          <w:p>
            <w:pPr>
              <w:keepNext w:val="0"/>
              <w:keepLines w:val="0"/>
              <w:pageBreakBefore w:val="0"/>
              <w:widowControl/>
              <w:spacing w:after="0" w:line="400" w:lineRule="exact"/>
              <w:ind w:firstLine="482"/>
              <w:jc w:val="left"/>
              <w:rPr>
                <w:rFonts w:hint="default"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注：以上述证书盖章扫描件为依据，否则不得分。</w:t>
            </w:r>
          </w:p>
          <w:p>
            <w:pPr>
              <w:keepNext w:val="0"/>
              <w:keepLines w:val="0"/>
              <w:pageBreakBefore w:val="0"/>
              <w:widowControl/>
              <w:spacing w:after="0" w:line="400" w:lineRule="exact"/>
              <w:jc w:val="left"/>
              <w:rPr>
                <w:rFonts w:hint="default"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投标时须提供以上团队成员在开标之日当月向前3个月中任意一个月在本单位缴纳社保的证明材料加盖投标人公章。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noWrap w:val="0"/>
            <w:vAlign w:val="center"/>
          </w:tcPr>
          <w:p>
            <w:pPr>
              <w:keepNext w:val="0"/>
              <w:keepLines w:val="0"/>
              <w:pageBreakBefore w:val="0"/>
              <w:spacing w:after="0" w:line="400" w:lineRule="exact"/>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4</w:t>
            </w:r>
          </w:p>
        </w:tc>
        <w:tc>
          <w:tcPr>
            <w:tcW w:w="1046" w:type="dxa"/>
            <w:noWrap w:val="0"/>
            <w:vAlign w:val="center"/>
          </w:tcPr>
          <w:p>
            <w:pPr>
              <w:keepNext w:val="0"/>
              <w:keepLines w:val="0"/>
              <w:pageBreakBefore w:val="0"/>
              <w:spacing w:after="0" w:line="400" w:lineRule="exact"/>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业绩</w:t>
            </w:r>
          </w:p>
          <w:p>
            <w:pPr>
              <w:keepNext w:val="0"/>
              <w:keepLines w:val="0"/>
              <w:pageBreakBefore w:val="0"/>
              <w:spacing w:after="0" w:line="400" w:lineRule="exact"/>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经验</w:t>
            </w:r>
          </w:p>
        </w:tc>
        <w:tc>
          <w:tcPr>
            <w:tcW w:w="850" w:type="dxa"/>
            <w:noWrap w:val="0"/>
            <w:vAlign w:val="center"/>
          </w:tcPr>
          <w:p>
            <w:pPr>
              <w:keepNext w:val="0"/>
              <w:keepLines w:val="0"/>
              <w:pageBreakBefore w:val="0"/>
              <w:spacing w:after="0" w:line="400" w:lineRule="exact"/>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10分</w:t>
            </w:r>
          </w:p>
        </w:tc>
        <w:tc>
          <w:tcPr>
            <w:tcW w:w="6068" w:type="dxa"/>
            <w:noWrap w:val="0"/>
            <w:vAlign w:val="center"/>
          </w:tcPr>
          <w:p>
            <w:pPr>
              <w:keepNext w:val="0"/>
              <w:keepLines w:val="0"/>
              <w:pageBreakBefore w:val="0"/>
              <w:widowControl/>
              <w:spacing w:after="0" w:line="400" w:lineRule="exact"/>
              <w:ind w:firstLine="482"/>
              <w:jc w:val="left"/>
              <w:rPr>
                <w:rFonts w:hint="eastAsia"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自2023年1月1日（含）以来（以合同签订时间为准），投标人承接过同类重金属环境安全隐患排查项目业绩，每提供一个得2分，最多得10分。</w:t>
            </w:r>
          </w:p>
          <w:p>
            <w:pPr>
              <w:keepNext w:val="0"/>
              <w:keepLines w:val="0"/>
              <w:pageBreakBefore w:val="0"/>
              <w:widowControl/>
              <w:spacing w:after="0" w:line="400" w:lineRule="exact"/>
              <w:ind w:firstLine="482"/>
              <w:jc w:val="left"/>
              <w:rPr>
                <w:rFonts w:hint="default" w:ascii="Times New Roman" w:hAnsi="Times New Roman" w:cs="Times New Roman" w:eastAsiaTheme="minorEastAsia"/>
                <w:color w:val="auto"/>
                <w:sz w:val="24"/>
                <w:szCs w:val="20"/>
                <w:highlight w:val="none"/>
              </w:rPr>
            </w:pPr>
            <w:r>
              <w:rPr>
                <w:rFonts w:hint="eastAsia" w:ascii="Times New Roman" w:hAnsi="Times New Roman" w:cs="Times New Roman" w:eastAsiaTheme="minorEastAsia"/>
                <w:color w:val="auto"/>
                <w:sz w:val="24"/>
                <w:szCs w:val="20"/>
                <w:highlight w:val="none"/>
              </w:rPr>
              <w:t>投标时须提供合同或协议盖章扫描件（须体现：合同名称页、同类内容页、签订时间页、盖章页）为依据，否则不得分。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Merge w:val="restart"/>
            <w:noWrap w:val="0"/>
            <w:vAlign w:val="center"/>
          </w:tcPr>
          <w:p>
            <w:pPr>
              <w:keepNext w:val="0"/>
              <w:keepLines w:val="0"/>
              <w:pageBreakBefore w:val="0"/>
              <w:spacing w:after="0"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p>
        </w:tc>
        <w:tc>
          <w:tcPr>
            <w:tcW w:w="1046" w:type="dxa"/>
            <w:vMerge w:val="restart"/>
            <w:noWrap w:val="0"/>
            <w:vAlign w:val="center"/>
          </w:tcPr>
          <w:p>
            <w:pPr>
              <w:keepNext w:val="0"/>
              <w:keepLines w:val="0"/>
              <w:pageBreakBefore w:val="0"/>
              <w:spacing w:after="0"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w:t>
            </w:r>
          </w:p>
          <w:p>
            <w:pPr>
              <w:keepNext w:val="0"/>
              <w:keepLines w:val="0"/>
              <w:pageBreakBefore w:val="0"/>
              <w:spacing w:after="0"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评估</w:t>
            </w:r>
          </w:p>
        </w:tc>
        <w:tc>
          <w:tcPr>
            <w:tcW w:w="850" w:type="dxa"/>
            <w:vMerge w:val="restart"/>
            <w:noWrap w:val="0"/>
            <w:vAlign w:val="center"/>
          </w:tcPr>
          <w:p>
            <w:pPr>
              <w:keepNext w:val="0"/>
              <w:keepLines w:val="0"/>
              <w:pageBreakBefore w:val="0"/>
              <w:spacing w:after="0"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50分</w:t>
            </w:r>
          </w:p>
        </w:tc>
        <w:tc>
          <w:tcPr>
            <w:tcW w:w="6068" w:type="dxa"/>
            <w:noWrap w:val="0"/>
            <w:vAlign w:val="center"/>
          </w:tcPr>
          <w:p>
            <w:pPr>
              <w:keepNext w:val="0"/>
              <w:keepLines w:val="0"/>
              <w:pageBreakBefore w:val="0"/>
              <w:widowControl/>
              <w:spacing w:after="0" w:line="400" w:lineRule="exact"/>
              <w:ind w:firstLine="482"/>
              <w:jc w:val="left"/>
              <w:rPr>
                <w:rFonts w:hint="default" w:ascii="Times New Roman" w:hAnsi="Times New Roman" w:cs="Times New Roman" w:eastAsiaTheme="minorEastAsia"/>
                <w:color w:val="auto"/>
                <w:sz w:val="24"/>
                <w:szCs w:val="20"/>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）项目认识理解：</w:t>
            </w:r>
            <w:r>
              <w:rPr>
                <w:rFonts w:hint="default" w:ascii="Times New Roman" w:hAnsi="Times New Roman" w:cs="Times New Roman" w:eastAsiaTheme="minorEastAsia"/>
                <w:color w:val="auto"/>
                <w:sz w:val="24"/>
                <w:szCs w:val="20"/>
                <w:highlight w:val="none"/>
              </w:rPr>
              <w:t>根据投标供应商提供的项目认识理解进行评审，至少包含</w:t>
            </w:r>
            <w:r>
              <w:rPr>
                <w:rFonts w:hint="eastAsia" w:ascii="Times New Roman" w:hAnsi="Times New Roman" w:cs="Times New Roman" w:eastAsiaTheme="minorEastAsia"/>
                <w:color w:val="auto"/>
                <w:sz w:val="24"/>
                <w:szCs w:val="20"/>
                <w:highlight w:val="none"/>
              </w:rPr>
              <w:t>①</w:t>
            </w:r>
            <w:r>
              <w:rPr>
                <w:rFonts w:hint="default" w:ascii="Times New Roman" w:hAnsi="Times New Roman" w:cs="Times New Roman" w:eastAsiaTheme="minorEastAsia"/>
                <w:color w:val="auto"/>
                <w:sz w:val="24"/>
                <w:szCs w:val="20"/>
                <w:highlight w:val="none"/>
              </w:rPr>
              <w:t>对本项目的整体认识</w:t>
            </w:r>
            <w:r>
              <w:rPr>
                <w:rFonts w:hint="eastAsia" w:ascii="Times New Roman" w:hAnsi="Times New Roman" w:cs="Times New Roman" w:eastAsiaTheme="minorEastAsia"/>
                <w:color w:val="auto"/>
                <w:sz w:val="24"/>
                <w:szCs w:val="20"/>
                <w:highlight w:val="none"/>
              </w:rPr>
              <w:t>②</w:t>
            </w:r>
            <w:r>
              <w:rPr>
                <w:rFonts w:hint="default" w:ascii="Times New Roman" w:hAnsi="Times New Roman" w:cs="Times New Roman" w:eastAsiaTheme="minorEastAsia"/>
                <w:color w:val="auto"/>
                <w:sz w:val="24"/>
                <w:szCs w:val="20"/>
                <w:highlight w:val="none"/>
              </w:rPr>
              <w:t>对本项目的需求理解</w:t>
            </w:r>
            <w:r>
              <w:rPr>
                <w:rFonts w:hint="eastAsia" w:ascii="Times New Roman" w:hAnsi="Times New Roman" w:cs="Times New Roman" w:eastAsiaTheme="minorEastAsia"/>
                <w:color w:val="auto"/>
                <w:sz w:val="24"/>
                <w:szCs w:val="20"/>
                <w:highlight w:val="none"/>
              </w:rPr>
              <w:t>③</w:t>
            </w:r>
            <w:r>
              <w:rPr>
                <w:rFonts w:hint="default" w:ascii="Times New Roman" w:hAnsi="Times New Roman" w:cs="Times New Roman" w:eastAsiaTheme="minorEastAsia"/>
                <w:color w:val="auto"/>
                <w:sz w:val="24"/>
                <w:szCs w:val="20"/>
                <w:highlight w:val="none"/>
              </w:rPr>
              <w:t>目标和任务</w:t>
            </w:r>
            <w:r>
              <w:rPr>
                <w:rFonts w:hint="eastAsia" w:ascii="Times New Roman" w:hAnsi="Times New Roman" w:cs="Times New Roman" w:eastAsiaTheme="minorEastAsia"/>
                <w:color w:val="auto"/>
                <w:sz w:val="24"/>
                <w:szCs w:val="20"/>
                <w:highlight w:val="none"/>
              </w:rPr>
              <w:t>④</w:t>
            </w:r>
            <w:r>
              <w:rPr>
                <w:rFonts w:hint="default" w:ascii="Times New Roman" w:hAnsi="Times New Roman" w:cs="Times New Roman" w:eastAsiaTheme="minorEastAsia"/>
                <w:color w:val="auto"/>
                <w:sz w:val="24"/>
                <w:szCs w:val="20"/>
                <w:highlight w:val="none"/>
              </w:rPr>
              <w:t>关键技术。</w:t>
            </w:r>
          </w:p>
          <w:p>
            <w:pPr>
              <w:keepNext w:val="0"/>
              <w:keepLines w:val="0"/>
              <w:pageBreakBefore w:val="0"/>
              <w:widowControl/>
              <w:spacing w:after="0" w:line="400" w:lineRule="exact"/>
              <w:ind w:firstLine="482"/>
              <w:jc w:val="left"/>
              <w:rPr>
                <w:rFonts w:hint="eastAsia" w:ascii="宋体" w:hAnsi="宋体" w:eastAsia="宋体" w:cs="宋体"/>
                <w:color w:val="auto"/>
                <w:sz w:val="24"/>
                <w:szCs w:val="24"/>
                <w:highlight w:val="none"/>
              </w:rPr>
            </w:pPr>
            <w:r>
              <w:rPr>
                <w:rFonts w:hint="default" w:ascii="Times New Roman" w:hAnsi="Times New Roman" w:cs="Times New Roman" w:eastAsiaTheme="minorEastAsia"/>
                <w:color w:val="auto"/>
                <w:sz w:val="24"/>
                <w:szCs w:val="20"/>
                <w:highlight w:val="none"/>
              </w:rPr>
              <w:t>以上方案内容完整的得10分，每有一内容缺失的扣2.5分；每有一处存在缺陷（缺陷是指不适用于本项目，表述前后不一致或内容矛盾，语句有歧义，仅有框架或标题，涉及的规范及标准错误，套用其他项目内容等任意一种情形）扣1分，直至该项分值2.5分扣完为止，未提供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Merge w:val="continue"/>
            <w:noWrap w:val="0"/>
            <w:vAlign w:val="center"/>
          </w:tcPr>
          <w:p>
            <w:pPr>
              <w:keepNext w:val="0"/>
              <w:keepLines w:val="0"/>
              <w:pageBreakBefore w:val="0"/>
              <w:spacing w:after="0" w:line="400" w:lineRule="exact"/>
              <w:jc w:val="center"/>
              <w:rPr>
                <w:rFonts w:hint="eastAsia" w:ascii="宋体" w:hAnsi="宋体" w:eastAsia="宋体" w:cs="宋体"/>
                <w:color w:val="auto"/>
                <w:sz w:val="24"/>
                <w:szCs w:val="24"/>
                <w:highlight w:val="none"/>
                <w:lang w:val="en-US" w:eastAsia="zh-CN"/>
              </w:rPr>
            </w:pPr>
          </w:p>
        </w:tc>
        <w:tc>
          <w:tcPr>
            <w:tcW w:w="1046" w:type="dxa"/>
            <w:vMerge w:val="continue"/>
            <w:noWrap w:val="0"/>
            <w:vAlign w:val="center"/>
          </w:tcPr>
          <w:p>
            <w:pPr>
              <w:keepNext w:val="0"/>
              <w:keepLines w:val="0"/>
              <w:pageBreakBefore w:val="0"/>
              <w:spacing w:after="0" w:line="400" w:lineRule="exact"/>
              <w:jc w:val="center"/>
              <w:rPr>
                <w:rFonts w:hint="eastAsia" w:ascii="宋体" w:hAnsi="宋体" w:eastAsia="宋体" w:cs="宋体"/>
                <w:color w:val="auto"/>
                <w:sz w:val="24"/>
                <w:szCs w:val="24"/>
                <w:highlight w:val="none"/>
                <w:lang w:val="en-US" w:eastAsia="zh-CN"/>
              </w:rPr>
            </w:pPr>
          </w:p>
        </w:tc>
        <w:tc>
          <w:tcPr>
            <w:tcW w:w="850" w:type="dxa"/>
            <w:vMerge w:val="continue"/>
            <w:noWrap w:val="0"/>
            <w:vAlign w:val="center"/>
          </w:tcPr>
          <w:p>
            <w:pPr>
              <w:keepNext w:val="0"/>
              <w:keepLines w:val="0"/>
              <w:pageBreakBefore w:val="0"/>
              <w:spacing w:after="0" w:line="400" w:lineRule="exact"/>
              <w:jc w:val="center"/>
              <w:rPr>
                <w:rFonts w:hint="eastAsia" w:ascii="宋体" w:hAnsi="宋体" w:eastAsia="宋体" w:cs="宋体"/>
                <w:color w:val="auto"/>
                <w:sz w:val="24"/>
                <w:szCs w:val="24"/>
                <w:highlight w:val="none"/>
                <w:lang w:val="en-US" w:eastAsia="zh-CN"/>
              </w:rPr>
            </w:pPr>
          </w:p>
        </w:tc>
        <w:tc>
          <w:tcPr>
            <w:tcW w:w="6068" w:type="dxa"/>
            <w:noWrap w:val="0"/>
            <w:vAlign w:val="center"/>
          </w:tcPr>
          <w:p>
            <w:pPr>
              <w:keepNext w:val="0"/>
              <w:keepLines w:val="0"/>
              <w:pageBreakBefore w:val="0"/>
              <w:widowControl/>
              <w:spacing w:after="0" w:line="400" w:lineRule="exact"/>
              <w:ind w:firstLine="482"/>
              <w:jc w:val="left"/>
              <w:rPr>
                <w:rFonts w:hint="default" w:ascii="Times New Roman" w:hAnsi="Times New Roman" w:cs="Times New Roman" w:eastAsiaTheme="minorEastAsia"/>
                <w:color w:val="auto"/>
                <w:sz w:val="24"/>
                <w:szCs w:val="20"/>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）项目服务设计：</w:t>
            </w:r>
            <w:r>
              <w:rPr>
                <w:rFonts w:hint="default" w:ascii="Times New Roman" w:hAnsi="Times New Roman" w:cs="Times New Roman" w:eastAsiaTheme="minorEastAsia"/>
                <w:color w:val="auto"/>
                <w:sz w:val="24"/>
                <w:szCs w:val="20"/>
                <w:highlight w:val="none"/>
              </w:rPr>
              <w:t>根据投标供应商提供的项目服务设计进行评审，至少包含</w:t>
            </w:r>
            <w:r>
              <w:rPr>
                <w:rFonts w:hint="eastAsia" w:ascii="Times New Roman" w:hAnsi="Times New Roman" w:cs="Times New Roman" w:eastAsiaTheme="minorEastAsia"/>
                <w:color w:val="auto"/>
                <w:sz w:val="24"/>
                <w:szCs w:val="20"/>
                <w:highlight w:val="none"/>
              </w:rPr>
              <w:t>①</w:t>
            </w:r>
            <w:r>
              <w:rPr>
                <w:rFonts w:hint="default" w:ascii="Times New Roman" w:hAnsi="Times New Roman" w:cs="Times New Roman" w:eastAsiaTheme="minorEastAsia"/>
                <w:color w:val="auto"/>
                <w:sz w:val="24"/>
                <w:szCs w:val="20"/>
                <w:highlight w:val="none"/>
              </w:rPr>
              <w:t>服务体系</w:t>
            </w:r>
            <w:r>
              <w:rPr>
                <w:rFonts w:hint="eastAsia" w:ascii="Times New Roman" w:hAnsi="Times New Roman" w:cs="Times New Roman" w:eastAsiaTheme="minorEastAsia"/>
                <w:color w:val="auto"/>
                <w:sz w:val="24"/>
                <w:szCs w:val="20"/>
                <w:highlight w:val="none"/>
              </w:rPr>
              <w:t>②</w:t>
            </w:r>
            <w:r>
              <w:rPr>
                <w:rFonts w:hint="default" w:ascii="Times New Roman" w:hAnsi="Times New Roman" w:cs="Times New Roman" w:eastAsiaTheme="minorEastAsia"/>
                <w:color w:val="auto"/>
                <w:sz w:val="24"/>
                <w:szCs w:val="20"/>
                <w:highlight w:val="none"/>
              </w:rPr>
              <w:t>服务流程</w:t>
            </w:r>
            <w:r>
              <w:rPr>
                <w:rFonts w:hint="eastAsia" w:ascii="Times New Roman" w:hAnsi="Times New Roman" w:cs="Times New Roman" w:eastAsiaTheme="minorEastAsia"/>
                <w:color w:val="auto"/>
                <w:sz w:val="24"/>
                <w:szCs w:val="20"/>
                <w:highlight w:val="none"/>
              </w:rPr>
              <w:t>③</w:t>
            </w:r>
            <w:r>
              <w:rPr>
                <w:rFonts w:hint="default" w:ascii="Times New Roman" w:hAnsi="Times New Roman" w:cs="Times New Roman" w:eastAsiaTheme="minorEastAsia"/>
                <w:color w:val="auto"/>
                <w:sz w:val="24"/>
                <w:szCs w:val="20"/>
                <w:highlight w:val="none"/>
              </w:rPr>
              <w:t>服务内容</w:t>
            </w:r>
            <w:r>
              <w:rPr>
                <w:rFonts w:hint="eastAsia" w:ascii="Times New Roman" w:hAnsi="Times New Roman" w:cs="Times New Roman" w:eastAsiaTheme="minorEastAsia"/>
                <w:color w:val="auto"/>
                <w:sz w:val="24"/>
                <w:szCs w:val="20"/>
                <w:highlight w:val="none"/>
              </w:rPr>
              <w:t>④</w:t>
            </w:r>
            <w:r>
              <w:rPr>
                <w:rFonts w:hint="default" w:ascii="Times New Roman" w:hAnsi="Times New Roman" w:cs="Times New Roman" w:eastAsiaTheme="minorEastAsia"/>
                <w:color w:val="auto"/>
                <w:sz w:val="24"/>
                <w:szCs w:val="20"/>
                <w:highlight w:val="none"/>
              </w:rPr>
              <w:t>技术路线。</w:t>
            </w:r>
          </w:p>
          <w:p>
            <w:pPr>
              <w:keepNext w:val="0"/>
              <w:keepLines w:val="0"/>
              <w:pageBreakBefore w:val="0"/>
              <w:widowControl/>
              <w:spacing w:after="0" w:line="400" w:lineRule="exact"/>
              <w:ind w:firstLine="482"/>
              <w:jc w:val="left"/>
              <w:rPr>
                <w:rFonts w:hint="eastAsia" w:ascii="宋体" w:hAnsi="宋体" w:eastAsia="宋体" w:cs="宋体"/>
                <w:color w:val="auto"/>
                <w:sz w:val="24"/>
                <w:szCs w:val="24"/>
                <w:highlight w:val="none"/>
              </w:rPr>
            </w:pPr>
            <w:r>
              <w:rPr>
                <w:rFonts w:hint="default" w:ascii="Times New Roman" w:hAnsi="Times New Roman" w:cs="Times New Roman" w:eastAsiaTheme="minorEastAsia"/>
                <w:color w:val="auto"/>
                <w:sz w:val="24"/>
                <w:szCs w:val="20"/>
                <w:highlight w:val="none"/>
              </w:rPr>
              <w:t>以上方案内容完整的得10分，每有一内容缺失的扣2.5分；每有一处存在缺陷（缺陷是指不适用于本项目，表述前后不一致或内容矛盾，语句有歧义，仅有框架或标题，涉及的规范及标准错误，套用其他项目内容等任意一种情形）扣1分，直至该项分值2.5分扣完为止，未提供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Merge w:val="continue"/>
            <w:noWrap w:val="0"/>
            <w:vAlign w:val="center"/>
          </w:tcPr>
          <w:p>
            <w:pPr>
              <w:keepNext w:val="0"/>
              <w:keepLines w:val="0"/>
              <w:pageBreakBefore w:val="0"/>
              <w:spacing w:after="0" w:line="400" w:lineRule="exact"/>
              <w:jc w:val="center"/>
              <w:rPr>
                <w:rFonts w:hint="eastAsia" w:ascii="宋体" w:hAnsi="宋体" w:eastAsia="宋体" w:cs="宋体"/>
                <w:color w:val="auto"/>
                <w:sz w:val="24"/>
                <w:szCs w:val="24"/>
                <w:highlight w:val="none"/>
                <w:lang w:val="en-US" w:eastAsia="zh-CN"/>
              </w:rPr>
            </w:pPr>
          </w:p>
        </w:tc>
        <w:tc>
          <w:tcPr>
            <w:tcW w:w="1046" w:type="dxa"/>
            <w:vMerge w:val="continue"/>
            <w:noWrap w:val="0"/>
            <w:vAlign w:val="center"/>
          </w:tcPr>
          <w:p>
            <w:pPr>
              <w:keepNext w:val="0"/>
              <w:keepLines w:val="0"/>
              <w:pageBreakBefore w:val="0"/>
              <w:spacing w:after="0" w:line="400" w:lineRule="exact"/>
              <w:jc w:val="center"/>
              <w:rPr>
                <w:rFonts w:hint="eastAsia" w:ascii="宋体" w:hAnsi="宋体" w:eastAsia="宋体" w:cs="宋体"/>
                <w:color w:val="auto"/>
                <w:sz w:val="24"/>
                <w:szCs w:val="24"/>
                <w:highlight w:val="none"/>
                <w:lang w:val="en-US" w:eastAsia="zh-CN"/>
              </w:rPr>
            </w:pPr>
          </w:p>
        </w:tc>
        <w:tc>
          <w:tcPr>
            <w:tcW w:w="850" w:type="dxa"/>
            <w:vMerge w:val="continue"/>
            <w:noWrap w:val="0"/>
            <w:vAlign w:val="center"/>
          </w:tcPr>
          <w:p>
            <w:pPr>
              <w:keepNext w:val="0"/>
              <w:keepLines w:val="0"/>
              <w:pageBreakBefore w:val="0"/>
              <w:spacing w:after="0" w:line="400" w:lineRule="exact"/>
              <w:jc w:val="center"/>
              <w:rPr>
                <w:rFonts w:hint="eastAsia" w:ascii="宋体" w:hAnsi="宋体" w:eastAsia="宋体" w:cs="宋体"/>
                <w:color w:val="auto"/>
                <w:sz w:val="24"/>
                <w:szCs w:val="24"/>
                <w:highlight w:val="none"/>
                <w:lang w:val="en-US" w:eastAsia="zh-CN"/>
              </w:rPr>
            </w:pPr>
          </w:p>
        </w:tc>
        <w:tc>
          <w:tcPr>
            <w:tcW w:w="6068" w:type="dxa"/>
            <w:noWrap w:val="0"/>
            <w:vAlign w:val="center"/>
          </w:tcPr>
          <w:p>
            <w:pPr>
              <w:keepNext w:val="0"/>
              <w:keepLines w:val="0"/>
              <w:pageBreakBefore w:val="0"/>
              <w:widowControl/>
              <w:spacing w:after="0" w:line="400" w:lineRule="exact"/>
              <w:ind w:firstLine="482"/>
              <w:jc w:val="left"/>
              <w:rPr>
                <w:rFonts w:hint="default" w:ascii="Times New Roman" w:hAnsi="Times New Roman" w:cs="Times New Roman" w:eastAsiaTheme="minorEastAsia"/>
                <w:color w:val="auto"/>
                <w:sz w:val="24"/>
                <w:szCs w:val="20"/>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eastAsia="zh-CN"/>
              </w:rPr>
              <w:t>）质量控制措施</w:t>
            </w:r>
            <w:r>
              <w:rPr>
                <w:rFonts w:hint="eastAsia" w:ascii="宋体" w:hAnsi="宋体" w:eastAsia="宋体" w:cs="宋体"/>
                <w:color w:val="auto"/>
                <w:sz w:val="24"/>
                <w:szCs w:val="24"/>
                <w:highlight w:val="none"/>
                <w:lang w:eastAsia="zh-CN"/>
              </w:rPr>
              <w:t>：</w:t>
            </w:r>
            <w:r>
              <w:rPr>
                <w:rFonts w:hint="default" w:ascii="Times New Roman" w:hAnsi="Times New Roman" w:cs="Times New Roman" w:eastAsiaTheme="minorEastAsia"/>
                <w:color w:val="auto"/>
                <w:sz w:val="24"/>
                <w:szCs w:val="20"/>
                <w:highlight w:val="none"/>
              </w:rPr>
              <w:t>根据投标供应商提供的质量控制措施进行评审，至少包含</w:t>
            </w:r>
            <w:r>
              <w:rPr>
                <w:rFonts w:hint="eastAsia" w:ascii="Times New Roman" w:hAnsi="Times New Roman" w:cs="Times New Roman" w:eastAsiaTheme="minorEastAsia"/>
                <w:color w:val="auto"/>
                <w:sz w:val="24"/>
                <w:szCs w:val="20"/>
                <w:highlight w:val="none"/>
              </w:rPr>
              <w:t>①</w:t>
            </w:r>
            <w:r>
              <w:rPr>
                <w:rFonts w:hint="default" w:ascii="Times New Roman" w:hAnsi="Times New Roman" w:cs="Times New Roman" w:eastAsiaTheme="minorEastAsia"/>
                <w:color w:val="auto"/>
                <w:sz w:val="24"/>
                <w:szCs w:val="20"/>
                <w:highlight w:val="none"/>
              </w:rPr>
              <w:t>质量保证体系</w:t>
            </w:r>
            <w:r>
              <w:rPr>
                <w:rFonts w:hint="eastAsia" w:ascii="Times New Roman" w:hAnsi="Times New Roman" w:cs="Times New Roman" w:eastAsiaTheme="minorEastAsia"/>
                <w:color w:val="auto"/>
                <w:sz w:val="24"/>
                <w:szCs w:val="20"/>
                <w:highlight w:val="none"/>
              </w:rPr>
              <w:t>②</w:t>
            </w:r>
            <w:r>
              <w:rPr>
                <w:rFonts w:hint="default" w:ascii="Times New Roman" w:hAnsi="Times New Roman" w:cs="Times New Roman" w:eastAsiaTheme="minorEastAsia"/>
                <w:color w:val="auto"/>
                <w:sz w:val="24"/>
                <w:szCs w:val="20"/>
                <w:highlight w:val="none"/>
              </w:rPr>
              <w:t>完善的自检制度</w:t>
            </w:r>
            <w:r>
              <w:rPr>
                <w:rFonts w:hint="eastAsia" w:ascii="Times New Roman" w:hAnsi="Times New Roman" w:cs="Times New Roman" w:eastAsiaTheme="minorEastAsia"/>
                <w:color w:val="auto"/>
                <w:sz w:val="24"/>
                <w:szCs w:val="20"/>
                <w:highlight w:val="none"/>
              </w:rPr>
              <w:t>③</w:t>
            </w:r>
            <w:r>
              <w:rPr>
                <w:rFonts w:hint="default" w:ascii="Times New Roman" w:hAnsi="Times New Roman" w:cs="Times New Roman" w:eastAsiaTheme="minorEastAsia"/>
                <w:color w:val="auto"/>
                <w:sz w:val="24"/>
                <w:szCs w:val="20"/>
                <w:highlight w:val="none"/>
              </w:rPr>
              <w:t>质量监督与检查措施</w:t>
            </w:r>
            <w:r>
              <w:rPr>
                <w:rFonts w:hint="eastAsia" w:ascii="Times New Roman" w:hAnsi="Times New Roman" w:cs="Times New Roman" w:eastAsiaTheme="minorEastAsia"/>
                <w:color w:val="auto"/>
                <w:sz w:val="24"/>
                <w:szCs w:val="20"/>
                <w:highlight w:val="none"/>
              </w:rPr>
              <w:t>④</w:t>
            </w:r>
            <w:r>
              <w:rPr>
                <w:rFonts w:hint="default" w:ascii="Times New Roman" w:hAnsi="Times New Roman" w:cs="Times New Roman" w:eastAsiaTheme="minorEastAsia"/>
                <w:color w:val="auto"/>
                <w:sz w:val="24"/>
                <w:szCs w:val="20"/>
                <w:highlight w:val="none"/>
              </w:rPr>
              <w:t>安全管理制度。</w:t>
            </w:r>
          </w:p>
          <w:p>
            <w:pPr>
              <w:keepNext w:val="0"/>
              <w:keepLines w:val="0"/>
              <w:pageBreakBefore w:val="0"/>
              <w:widowControl/>
              <w:spacing w:after="0" w:line="400" w:lineRule="exact"/>
              <w:ind w:firstLine="482"/>
              <w:jc w:val="left"/>
              <w:rPr>
                <w:rFonts w:hint="eastAsia" w:ascii="宋体" w:hAnsi="宋体" w:eastAsia="宋体" w:cs="宋体"/>
                <w:color w:val="auto"/>
                <w:sz w:val="24"/>
                <w:szCs w:val="24"/>
                <w:highlight w:val="none"/>
              </w:rPr>
            </w:pPr>
            <w:r>
              <w:rPr>
                <w:rFonts w:hint="default" w:ascii="Times New Roman" w:hAnsi="Times New Roman" w:cs="Times New Roman" w:eastAsiaTheme="minorEastAsia"/>
                <w:color w:val="auto"/>
                <w:sz w:val="24"/>
                <w:szCs w:val="20"/>
                <w:highlight w:val="none"/>
              </w:rPr>
              <w:t>以上方案内容完整的得10分，每有一内容缺失的扣2.5分；每有一处存在缺陷（缺陷是指不适用于本项目，表述前后不一致或内容矛盾，语句有歧义，仅有框架或标题，涉及的规范及标准错误，套用其他项目内容等任意一种情形）扣1分，直至该项分值2.5分扣完为止，未提供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Merge w:val="continue"/>
            <w:noWrap w:val="0"/>
            <w:vAlign w:val="center"/>
          </w:tcPr>
          <w:p>
            <w:pPr>
              <w:keepNext w:val="0"/>
              <w:keepLines w:val="0"/>
              <w:pageBreakBefore w:val="0"/>
              <w:spacing w:after="0" w:line="400" w:lineRule="exact"/>
              <w:jc w:val="center"/>
              <w:rPr>
                <w:rFonts w:hint="eastAsia" w:ascii="宋体" w:hAnsi="宋体" w:eastAsia="宋体" w:cs="宋体"/>
                <w:color w:val="auto"/>
                <w:sz w:val="24"/>
                <w:szCs w:val="24"/>
                <w:highlight w:val="none"/>
                <w:lang w:val="en-US" w:eastAsia="zh-CN"/>
              </w:rPr>
            </w:pPr>
          </w:p>
        </w:tc>
        <w:tc>
          <w:tcPr>
            <w:tcW w:w="1046" w:type="dxa"/>
            <w:vMerge w:val="continue"/>
            <w:noWrap w:val="0"/>
            <w:vAlign w:val="center"/>
          </w:tcPr>
          <w:p>
            <w:pPr>
              <w:keepNext w:val="0"/>
              <w:keepLines w:val="0"/>
              <w:pageBreakBefore w:val="0"/>
              <w:spacing w:after="0" w:line="400" w:lineRule="exact"/>
              <w:jc w:val="center"/>
              <w:rPr>
                <w:rFonts w:hint="eastAsia" w:ascii="宋体" w:hAnsi="宋体" w:eastAsia="宋体" w:cs="宋体"/>
                <w:color w:val="auto"/>
                <w:sz w:val="24"/>
                <w:szCs w:val="24"/>
                <w:highlight w:val="none"/>
                <w:lang w:val="en-US" w:eastAsia="zh-CN"/>
              </w:rPr>
            </w:pPr>
          </w:p>
        </w:tc>
        <w:tc>
          <w:tcPr>
            <w:tcW w:w="850" w:type="dxa"/>
            <w:vMerge w:val="continue"/>
            <w:noWrap w:val="0"/>
            <w:vAlign w:val="center"/>
          </w:tcPr>
          <w:p>
            <w:pPr>
              <w:keepNext w:val="0"/>
              <w:keepLines w:val="0"/>
              <w:pageBreakBefore w:val="0"/>
              <w:spacing w:after="0" w:line="400" w:lineRule="exact"/>
              <w:jc w:val="center"/>
              <w:rPr>
                <w:rFonts w:hint="eastAsia" w:ascii="宋体" w:hAnsi="宋体" w:eastAsia="宋体" w:cs="宋体"/>
                <w:color w:val="auto"/>
                <w:sz w:val="24"/>
                <w:szCs w:val="24"/>
                <w:highlight w:val="none"/>
                <w:lang w:val="en-US" w:eastAsia="zh-CN"/>
              </w:rPr>
            </w:pPr>
          </w:p>
        </w:tc>
        <w:tc>
          <w:tcPr>
            <w:tcW w:w="6068" w:type="dxa"/>
            <w:noWrap w:val="0"/>
            <w:vAlign w:val="center"/>
          </w:tcPr>
          <w:p>
            <w:pPr>
              <w:keepNext w:val="0"/>
              <w:keepLines w:val="0"/>
              <w:pageBreakBefore w:val="0"/>
              <w:widowControl/>
              <w:spacing w:after="0" w:line="400" w:lineRule="exact"/>
              <w:ind w:firstLine="482"/>
              <w:jc w:val="left"/>
              <w:rPr>
                <w:rFonts w:hint="default" w:ascii="Times New Roman" w:hAnsi="Times New Roman" w:cs="Times New Roman" w:eastAsiaTheme="minorEastAsia"/>
                <w:color w:val="auto"/>
                <w:sz w:val="24"/>
                <w:szCs w:val="20"/>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）技术装备支撑：</w:t>
            </w:r>
            <w:r>
              <w:rPr>
                <w:rFonts w:hint="default" w:ascii="Times New Roman" w:hAnsi="Times New Roman" w:cs="Times New Roman" w:eastAsiaTheme="minorEastAsia"/>
                <w:color w:val="auto"/>
                <w:sz w:val="24"/>
                <w:szCs w:val="20"/>
                <w:highlight w:val="none"/>
              </w:rPr>
              <w:t>根据投标供应商提供的技术装备支撑进行评审，至少包含</w:t>
            </w:r>
            <w:r>
              <w:rPr>
                <w:rFonts w:hint="eastAsia" w:ascii="Times New Roman" w:hAnsi="Times New Roman" w:cs="Times New Roman" w:eastAsiaTheme="minorEastAsia"/>
                <w:color w:val="auto"/>
                <w:sz w:val="24"/>
                <w:szCs w:val="20"/>
                <w:highlight w:val="none"/>
              </w:rPr>
              <w:t>①</w:t>
            </w:r>
            <w:r>
              <w:rPr>
                <w:rFonts w:hint="default" w:ascii="Times New Roman" w:hAnsi="Times New Roman" w:cs="Times New Roman" w:eastAsiaTheme="minorEastAsia"/>
                <w:color w:val="auto"/>
                <w:sz w:val="24"/>
                <w:szCs w:val="20"/>
                <w:highlight w:val="none"/>
              </w:rPr>
              <w:t>自身的技术、装备及检测能力</w:t>
            </w:r>
            <w:r>
              <w:rPr>
                <w:rFonts w:hint="eastAsia" w:ascii="Times New Roman" w:hAnsi="Times New Roman" w:cs="Times New Roman" w:eastAsiaTheme="minorEastAsia"/>
                <w:color w:val="auto"/>
                <w:sz w:val="24"/>
                <w:szCs w:val="20"/>
                <w:highlight w:val="none"/>
              </w:rPr>
              <w:t>②领域全面性③措施科学性</w:t>
            </w:r>
            <w:r>
              <w:rPr>
                <w:rFonts w:hint="eastAsia" w:ascii="Times New Roman" w:hAnsi="Times New Roman" w:cs="Times New Roman" w:eastAsiaTheme="minorEastAsia"/>
                <w:color w:val="auto"/>
                <w:sz w:val="24"/>
                <w:szCs w:val="20"/>
                <w:highlight w:val="none"/>
                <w:lang w:val="en-US" w:eastAsia="zh-CN"/>
              </w:rPr>
              <w:t>④操</w:t>
            </w:r>
            <w:r>
              <w:rPr>
                <w:rFonts w:hint="eastAsia" w:ascii="Times New Roman" w:hAnsi="Times New Roman" w:cs="Times New Roman" w:eastAsiaTheme="minorEastAsia"/>
                <w:color w:val="auto"/>
                <w:sz w:val="24"/>
                <w:szCs w:val="20"/>
                <w:highlight w:val="none"/>
              </w:rPr>
              <w:t>作可行性</w:t>
            </w:r>
            <w:r>
              <w:rPr>
                <w:rFonts w:hint="default" w:ascii="Times New Roman" w:hAnsi="Times New Roman" w:cs="Times New Roman" w:eastAsiaTheme="minorEastAsia"/>
                <w:color w:val="auto"/>
                <w:sz w:val="24"/>
                <w:szCs w:val="20"/>
                <w:highlight w:val="none"/>
              </w:rPr>
              <w:t>。</w:t>
            </w:r>
          </w:p>
          <w:p>
            <w:pPr>
              <w:keepNext w:val="0"/>
              <w:keepLines w:val="0"/>
              <w:pageBreakBefore w:val="0"/>
              <w:widowControl/>
              <w:spacing w:after="0" w:line="400" w:lineRule="exact"/>
              <w:ind w:firstLine="482"/>
              <w:jc w:val="left"/>
              <w:rPr>
                <w:rFonts w:hint="eastAsia" w:ascii="宋体" w:hAnsi="宋体" w:eastAsia="宋体" w:cs="宋体"/>
                <w:color w:val="auto"/>
                <w:sz w:val="24"/>
                <w:szCs w:val="24"/>
                <w:highlight w:val="none"/>
              </w:rPr>
            </w:pPr>
            <w:r>
              <w:rPr>
                <w:rFonts w:hint="default" w:ascii="Times New Roman" w:hAnsi="Times New Roman" w:cs="Times New Roman" w:eastAsiaTheme="minorEastAsia"/>
                <w:color w:val="auto"/>
                <w:sz w:val="24"/>
                <w:szCs w:val="20"/>
                <w:highlight w:val="none"/>
              </w:rPr>
              <w:t>以上方案内容完整的得10分，每有一内容缺失的扣2.5分；每有一处存在缺陷（缺陷是指不适用于本项目，表述前后不一致或内容矛盾，语句有歧义，仅有框架或标题，涉及的规范及标准错误，套用其他项目内容等任意一种情形）扣1分，直至该项分值2.5分扣完为止，未提供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Merge w:val="continue"/>
            <w:noWrap w:val="0"/>
            <w:vAlign w:val="center"/>
          </w:tcPr>
          <w:p>
            <w:pPr>
              <w:keepNext w:val="0"/>
              <w:keepLines w:val="0"/>
              <w:pageBreakBefore w:val="0"/>
              <w:spacing w:after="0" w:line="400" w:lineRule="exact"/>
              <w:jc w:val="center"/>
              <w:rPr>
                <w:rFonts w:hint="eastAsia" w:ascii="宋体" w:hAnsi="宋体" w:eastAsia="宋体" w:cs="宋体"/>
                <w:color w:val="auto"/>
                <w:sz w:val="24"/>
                <w:szCs w:val="24"/>
                <w:highlight w:val="none"/>
                <w:lang w:val="en-US" w:eastAsia="zh-CN"/>
              </w:rPr>
            </w:pPr>
          </w:p>
        </w:tc>
        <w:tc>
          <w:tcPr>
            <w:tcW w:w="1046" w:type="dxa"/>
            <w:vMerge w:val="continue"/>
            <w:noWrap w:val="0"/>
            <w:vAlign w:val="center"/>
          </w:tcPr>
          <w:p>
            <w:pPr>
              <w:keepNext w:val="0"/>
              <w:keepLines w:val="0"/>
              <w:pageBreakBefore w:val="0"/>
              <w:spacing w:after="0" w:line="400" w:lineRule="exact"/>
              <w:jc w:val="center"/>
              <w:rPr>
                <w:rFonts w:hint="eastAsia" w:ascii="宋体" w:hAnsi="宋体" w:eastAsia="宋体" w:cs="宋体"/>
                <w:color w:val="auto"/>
                <w:sz w:val="24"/>
                <w:szCs w:val="24"/>
                <w:highlight w:val="none"/>
                <w:lang w:val="en-US" w:eastAsia="zh-CN"/>
              </w:rPr>
            </w:pPr>
          </w:p>
        </w:tc>
        <w:tc>
          <w:tcPr>
            <w:tcW w:w="850" w:type="dxa"/>
            <w:vMerge w:val="continue"/>
            <w:noWrap w:val="0"/>
            <w:vAlign w:val="center"/>
          </w:tcPr>
          <w:p>
            <w:pPr>
              <w:keepNext w:val="0"/>
              <w:keepLines w:val="0"/>
              <w:pageBreakBefore w:val="0"/>
              <w:spacing w:after="0" w:line="400" w:lineRule="exact"/>
              <w:jc w:val="center"/>
              <w:rPr>
                <w:rFonts w:hint="eastAsia" w:ascii="宋体" w:hAnsi="宋体" w:eastAsia="宋体" w:cs="宋体"/>
                <w:color w:val="auto"/>
                <w:sz w:val="24"/>
                <w:szCs w:val="24"/>
                <w:highlight w:val="none"/>
                <w:lang w:val="en-US" w:eastAsia="zh-CN"/>
              </w:rPr>
            </w:pPr>
          </w:p>
        </w:tc>
        <w:tc>
          <w:tcPr>
            <w:tcW w:w="6068" w:type="dxa"/>
            <w:noWrap w:val="0"/>
            <w:vAlign w:val="center"/>
          </w:tcPr>
          <w:p>
            <w:pPr>
              <w:keepNext w:val="0"/>
              <w:keepLines w:val="0"/>
              <w:pageBreakBefore w:val="0"/>
              <w:widowControl/>
              <w:spacing w:after="0" w:line="400" w:lineRule="exact"/>
              <w:ind w:firstLine="482"/>
              <w:jc w:val="left"/>
              <w:rPr>
                <w:rFonts w:hint="default" w:ascii="Times New Roman" w:hAnsi="Times New Roman" w:cs="Times New Roman" w:eastAsiaTheme="minorEastAsia"/>
                <w:color w:val="auto"/>
                <w:sz w:val="24"/>
                <w:szCs w:val="20"/>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eastAsia="zh-CN"/>
              </w:rPr>
              <w:t>）项目实施保障：</w:t>
            </w:r>
            <w:r>
              <w:rPr>
                <w:rFonts w:hint="default" w:ascii="Times New Roman" w:hAnsi="Times New Roman" w:cs="Times New Roman" w:eastAsiaTheme="minorEastAsia"/>
                <w:color w:val="auto"/>
                <w:sz w:val="24"/>
                <w:szCs w:val="20"/>
                <w:highlight w:val="none"/>
              </w:rPr>
              <w:t>根据投标供应商提供的项目实施保障进行评审，至少包含</w:t>
            </w:r>
            <w:r>
              <w:rPr>
                <w:rFonts w:hint="eastAsia" w:ascii="Times New Roman" w:hAnsi="Times New Roman" w:cs="Times New Roman" w:eastAsiaTheme="minorEastAsia"/>
                <w:color w:val="auto"/>
                <w:sz w:val="24"/>
                <w:szCs w:val="20"/>
                <w:highlight w:val="none"/>
              </w:rPr>
              <w:t>①</w:t>
            </w:r>
            <w:r>
              <w:rPr>
                <w:rFonts w:hint="default" w:ascii="Times New Roman" w:hAnsi="Times New Roman" w:cs="Times New Roman" w:eastAsiaTheme="minorEastAsia"/>
                <w:color w:val="auto"/>
                <w:sz w:val="24"/>
                <w:szCs w:val="20"/>
                <w:highlight w:val="none"/>
              </w:rPr>
              <w:t>实施计划</w:t>
            </w:r>
            <w:r>
              <w:rPr>
                <w:rFonts w:hint="eastAsia" w:ascii="Times New Roman" w:hAnsi="Times New Roman" w:cs="Times New Roman" w:eastAsiaTheme="minorEastAsia"/>
                <w:color w:val="auto"/>
                <w:sz w:val="24"/>
                <w:szCs w:val="20"/>
                <w:highlight w:val="none"/>
              </w:rPr>
              <w:t>②</w:t>
            </w:r>
            <w:r>
              <w:rPr>
                <w:rFonts w:hint="default" w:ascii="Times New Roman" w:hAnsi="Times New Roman" w:cs="Times New Roman" w:eastAsiaTheme="minorEastAsia"/>
                <w:color w:val="auto"/>
                <w:sz w:val="24"/>
                <w:szCs w:val="20"/>
                <w:highlight w:val="none"/>
              </w:rPr>
              <w:t>人员管理</w:t>
            </w:r>
            <w:r>
              <w:rPr>
                <w:rFonts w:hint="eastAsia" w:ascii="Times New Roman" w:hAnsi="Times New Roman" w:cs="Times New Roman" w:eastAsiaTheme="minorEastAsia"/>
                <w:color w:val="auto"/>
                <w:sz w:val="24"/>
                <w:szCs w:val="20"/>
                <w:highlight w:val="none"/>
              </w:rPr>
              <w:t>③</w:t>
            </w:r>
            <w:r>
              <w:rPr>
                <w:rFonts w:hint="default" w:ascii="Times New Roman" w:hAnsi="Times New Roman" w:cs="Times New Roman" w:eastAsiaTheme="minorEastAsia"/>
                <w:color w:val="auto"/>
                <w:sz w:val="24"/>
                <w:szCs w:val="20"/>
                <w:highlight w:val="none"/>
              </w:rPr>
              <w:t>进度保障</w:t>
            </w:r>
            <w:r>
              <w:rPr>
                <w:rFonts w:hint="eastAsia" w:ascii="Times New Roman" w:hAnsi="Times New Roman" w:cs="Times New Roman" w:eastAsiaTheme="minorEastAsia"/>
                <w:color w:val="auto"/>
                <w:sz w:val="24"/>
                <w:szCs w:val="20"/>
                <w:highlight w:val="none"/>
              </w:rPr>
              <w:t>④</w:t>
            </w:r>
            <w:r>
              <w:rPr>
                <w:rFonts w:hint="default" w:ascii="Times New Roman" w:hAnsi="Times New Roman" w:cs="Times New Roman" w:eastAsiaTheme="minorEastAsia"/>
                <w:color w:val="auto"/>
                <w:sz w:val="24"/>
                <w:szCs w:val="20"/>
                <w:highlight w:val="none"/>
              </w:rPr>
              <w:t>响应能力。</w:t>
            </w:r>
          </w:p>
          <w:p>
            <w:pPr>
              <w:keepNext w:val="0"/>
              <w:keepLines w:val="0"/>
              <w:pageBreakBefore w:val="0"/>
              <w:widowControl/>
              <w:spacing w:after="0" w:line="400" w:lineRule="exact"/>
              <w:ind w:firstLine="482"/>
              <w:jc w:val="left"/>
              <w:rPr>
                <w:rFonts w:hint="eastAsia" w:ascii="宋体" w:hAnsi="宋体" w:eastAsia="宋体" w:cs="宋体"/>
                <w:color w:val="auto"/>
                <w:sz w:val="24"/>
                <w:szCs w:val="24"/>
                <w:highlight w:val="none"/>
              </w:rPr>
            </w:pPr>
            <w:r>
              <w:rPr>
                <w:rFonts w:hint="default" w:ascii="Times New Roman" w:hAnsi="Times New Roman" w:cs="Times New Roman" w:eastAsiaTheme="minorEastAsia"/>
                <w:color w:val="auto"/>
                <w:sz w:val="24"/>
                <w:szCs w:val="20"/>
                <w:highlight w:val="none"/>
              </w:rPr>
              <w:t>以上方案内容完整的得10分，每有一内容缺失的扣2.5分；每有一处存在缺陷（缺陷是指不适用于本项目，表述前后不一致或内容矛盾，语句有歧义，仅有框架或标题，涉及的规范及标准错误，套用其他项目内容等任意一种情形）扣1分，直至该项分值2.5分扣完为止，未提供本项不得分。</w:t>
            </w:r>
          </w:p>
        </w:tc>
      </w:tr>
    </w:tbl>
    <w:p>
      <w:pPr>
        <w:pStyle w:val="36"/>
        <w:spacing w:beforeAutospacing="0" w:afterAutospacing="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w:t>
      </w:r>
    </w:p>
    <w:p>
      <w:pPr>
        <w:pStyle w:val="36"/>
        <w:spacing w:beforeAutospacing="0" w:afterAutospacing="0"/>
        <w:jc w:val="both"/>
        <w:rPr>
          <w:rFonts w:hint="default" w:ascii="Times New Roman" w:hAnsi="Times New Roman" w:eastAsia="宋体" w:cs="Times New Roman"/>
          <w:color w:val="auto"/>
          <w:sz w:val="24"/>
          <w:szCs w:val="24"/>
          <w:highlight w:val="none"/>
        </w:rPr>
      </w:pPr>
      <w:r>
        <w:rPr>
          <w:rFonts w:hint="default" w:ascii="Times New Roman" w:hAnsi="Times New Roman" w:eastAsia="黑体" w:cs="Times New Roman"/>
          <w:color w:val="auto"/>
          <w:sz w:val="44"/>
          <w:szCs w:val="44"/>
          <w:highlight w:val="none"/>
        </w:rPr>
        <w:br w:type="page" w:clear="all"/>
      </w:r>
    </w:p>
    <w:p>
      <w:pPr>
        <w:pStyle w:val="36"/>
        <w:spacing w:beforeAutospacing="0" w:afterAutospacing="0"/>
        <w:jc w:val="center"/>
        <w:rPr>
          <w:rFonts w:hint="default" w:ascii="Times New Roman" w:hAnsi="Times New Roman" w:eastAsia="黑体" w:cs="Times New Roman"/>
          <w:color w:val="auto"/>
          <w:sz w:val="44"/>
          <w:szCs w:val="44"/>
          <w:highlight w:val="none"/>
        </w:rPr>
      </w:pPr>
    </w:p>
    <w:p>
      <w:pPr>
        <w:pStyle w:val="36"/>
        <w:spacing w:beforeAutospacing="0" w:afterAutospacing="0"/>
        <w:jc w:val="center"/>
        <w:rPr>
          <w:rFonts w:hint="default" w:ascii="Times New Roman" w:hAnsi="Times New Roman" w:eastAsia="黑体" w:cs="Times New Roman"/>
          <w:color w:val="auto"/>
          <w:sz w:val="44"/>
          <w:szCs w:val="44"/>
          <w:highlight w:val="none"/>
        </w:rPr>
      </w:pPr>
    </w:p>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黑体" w:cs="Times New Roman"/>
          <w:color w:val="auto"/>
          <w:sz w:val="44"/>
          <w:szCs w:val="44"/>
          <w:highlight w:val="none"/>
        </w:rPr>
        <w:t>第六章  响应文件格式</w:t>
      </w:r>
    </w:p>
    <w:p>
      <w:pPr>
        <w:pStyle w:val="36"/>
        <w:spacing w:beforeAutospacing="0" w:afterAutospacing="0"/>
        <w:jc w:val="center"/>
        <w:rPr>
          <w:rFonts w:hint="default" w:ascii="Times New Roman" w:hAnsi="Times New Roman" w:eastAsia="宋体" w:cs="Times New Roman"/>
          <w:b/>
          <w:color w:val="auto"/>
          <w:sz w:val="72"/>
          <w:szCs w:val="72"/>
          <w:highlight w:val="none"/>
        </w:rPr>
      </w:pPr>
      <w:bookmarkStart w:id="60" w:name="_Toc49090576"/>
      <w:bookmarkEnd w:id="60"/>
      <w:bookmarkStart w:id="61" w:name="_Toc120614282"/>
      <w:bookmarkEnd w:id="61"/>
      <w:bookmarkStart w:id="62" w:name="_Toc26554094"/>
      <w:bookmarkStart w:id="63" w:name="_Hlt26955039"/>
      <w:bookmarkStart w:id="64" w:name="_Hlt26671244"/>
    </w:p>
    <w:p>
      <w:pPr>
        <w:pStyle w:val="36"/>
        <w:spacing w:beforeAutospacing="0" w:afterAutospacing="0"/>
        <w:jc w:val="center"/>
        <w:rPr>
          <w:rFonts w:hint="default" w:ascii="Times New Roman" w:hAnsi="Times New Roman" w:eastAsia="宋体" w:cs="Times New Roman"/>
          <w:b/>
          <w:color w:val="auto"/>
          <w:sz w:val="72"/>
          <w:szCs w:val="72"/>
          <w:highlight w:val="none"/>
        </w:rPr>
      </w:pPr>
    </w:p>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b/>
          <w:color w:val="auto"/>
          <w:sz w:val="72"/>
          <w:szCs w:val="72"/>
          <w:highlight w:val="none"/>
        </w:rPr>
        <w:t>响  应  文  件</w:t>
      </w:r>
    </w:p>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center"/>
        <w:rPr>
          <w:rFonts w:hint="default" w:ascii="Times New Roman" w:hAnsi="Times New Roman" w:cs="Times New Roman"/>
          <w:color w:val="auto"/>
          <w:highlight w:val="none"/>
        </w:rPr>
      </w:pPr>
    </w:p>
    <w:p>
      <w:pPr>
        <w:pStyle w:val="36"/>
        <w:spacing w:beforeAutospacing="0" w:afterAutospacing="0"/>
        <w:jc w:val="center"/>
        <w:rPr>
          <w:rFonts w:hint="default" w:ascii="Times New Roman" w:hAnsi="Times New Roman" w:cs="Times New Roman"/>
          <w:color w:val="auto"/>
          <w:highlight w:val="none"/>
        </w:rPr>
      </w:pPr>
    </w:p>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line="360" w:lineRule="auto"/>
        <w:jc w:val="left"/>
        <w:rPr>
          <w:rFonts w:hint="eastAsia" w:ascii="Times New Roman" w:hAnsi="Times New Roman" w:eastAsia="宋体" w:cs="Times New Roman"/>
          <w:b/>
          <w:color w:val="auto"/>
          <w:sz w:val="36"/>
          <w:szCs w:val="36"/>
          <w:highlight w:val="none"/>
          <w:u w:val="single"/>
        </w:rPr>
      </w:pPr>
      <w:r>
        <w:rPr>
          <w:rFonts w:hint="default" w:ascii="Times New Roman" w:hAnsi="Times New Roman" w:eastAsia="宋体" w:cs="Times New Roman"/>
          <w:b/>
          <w:color w:val="auto"/>
          <w:sz w:val="36"/>
          <w:szCs w:val="36"/>
          <w:highlight w:val="none"/>
        </w:rPr>
        <w:t>项</w:t>
      </w:r>
      <w:r>
        <w:rPr>
          <w:rFonts w:hint="default" w:ascii="Times New Roman" w:hAnsi="Times New Roman" w:eastAsia="宋体" w:cs="Times New Roman"/>
          <w:b/>
          <w:color w:val="auto"/>
          <w:sz w:val="36"/>
          <w:szCs w:val="36"/>
          <w:highlight w:val="none"/>
          <w:lang w:val="en-US" w:eastAsia="zh-CN"/>
        </w:rPr>
        <w:t xml:space="preserve"> </w:t>
      </w:r>
      <w:r>
        <w:rPr>
          <w:rFonts w:hint="default" w:ascii="Times New Roman" w:hAnsi="Times New Roman" w:eastAsia="宋体" w:cs="Times New Roman"/>
          <w:b/>
          <w:color w:val="auto"/>
          <w:sz w:val="36"/>
          <w:szCs w:val="36"/>
          <w:highlight w:val="none"/>
        </w:rPr>
        <w:t>目</w:t>
      </w:r>
      <w:r>
        <w:rPr>
          <w:rFonts w:hint="eastAsia" w:ascii="Times New Roman" w:hAnsi="Times New Roman" w:eastAsia="宋体" w:cs="Times New Roman"/>
          <w:b/>
          <w:color w:val="auto"/>
          <w:sz w:val="36"/>
          <w:szCs w:val="36"/>
          <w:highlight w:val="none"/>
          <w:lang w:val="en-US" w:eastAsia="zh-CN"/>
        </w:rPr>
        <w:t xml:space="preserve"> </w:t>
      </w:r>
      <w:r>
        <w:rPr>
          <w:rFonts w:hint="default" w:ascii="Times New Roman" w:hAnsi="Times New Roman" w:eastAsia="宋体" w:cs="Times New Roman"/>
          <w:b/>
          <w:color w:val="auto"/>
          <w:sz w:val="36"/>
          <w:szCs w:val="36"/>
          <w:highlight w:val="none"/>
        </w:rPr>
        <w:t>名</w:t>
      </w:r>
      <w:r>
        <w:rPr>
          <w:rFonts w:hint="default" w:ascii="Times New Roman" w:hAnsi="Times New Roman" w:eastAsia="宋体" w:cs="Times New Roman"/>
          <w:b/>
          <w:color w:val="auto"/>
          <w:sz w:val="36"/>
          <w:szCs w:val="36"/>
          <w:highlight w:val="none"/>
          <w:lang w:val="en-US" w:eastAsia="zh-CN"/>
        </w:rPr>
        <w:t xml:space="preserve"> </w:t>
      </w:r>
      <w:r>
        <w:rPr>
          <w:rFonts w:hint="default" w:ascii="Times New Roman" w:hAnsi="Times New Roman" w:eastAsia="宋体" w:cs="Times New Roman"/>
          <w:b/>
          <w:color w:val="auto"/>
          <w:sz w:val="36"/>
          <w:szCs w:val="36"/>
          <w:highlight w:val="none"/>
        </w:rPr>
        <w:t>称：</w:t>
      </w:r>
      <w:r>
        <w:rPr>
          <w:rFonts w:hint="eastAsia" w:ascii="Times New Roman" w:hAnsi="Times New Roman" w:eastAsia="宋体" w:cs="Times New Roman"/>
          <w:b/>
          <w:color w:val="auto"/>
          <w:sz w:val="36"/>
          <w:szCs w:val="36"/>
          <w:highlight w:val="none"/>
          <w:u w:val="single"/>
          <w:lang w:eastAsia="zh-CN"/>
        </w:rPr>
        <w:t>重金属环境安全隐患排查整治技术服务项目</w:t>
      </w:r>
    </w:p>
    <w:p>
      <w:pPr>
        <w:pStyle w:val="36"/>
        <w:spacing w:beforeAutospacing="0" w:afterAutospacing="0" w:line="360" w:lineRule="auto"/>
        <w:jc w:val="left"/>
        <w:rPr>
          <w:rFonts w:hint="eastAsia" w:ascii="Times New Roman" w:hAnsi="Times New Roman" w:eastAsia="宋体" w:cs="Times New Roman"/>
          <w:b/>
          <w:color w:val="auto"/>
          <w:sz w:val="36"/>
          <w:szCs w:val="36"/>
          <w:highlight w:val="none"/>
          <w:u w:val="single"/>
        </w:rPr>
      </w:pPr>
      <w:r>
        <w:rPr>
          <w:rFonts w:hint="default" w:ascii="Times New Roman" w:hAnsi="Times New Roman" w:eastAsia="宋体" w:cs="Times New Roman"/>
          <w:b/>
          <w:color w:val="auto"/>
          <w:sz w:val="36"/>
          <w:szCs w:val="36"/>
          <w:highlight w:val="none"/>
        </w:rPr>
        <w:t>项</w:t>
      </w:r>
      <w:r>
        <w:rPr>
          <w:rFonts w:hint="default" w:ascii="Times New Roman" w:hAnsi="Times New Roman" w:eastAsia="宋体" w:cs="Times New Roman"/>
          <w:b/>
          <w:color w:val="auto"/>
          <w:sz w:val="36"/>
          <w:szCs w:val="36"/>
          <w:highlight w:val="none"/>
          <w:lang w:val="en-US" w:eastAsia="zh-CN"/>
        </w:rPr>
        <w:t xml:space="preserve"> </w:t>
      </w:r>
      <w:r>
        <w:rPr>
          <w:rFonts w:hint="default" w:ascii="Times New Roman" w:hAnsi="Times New Roman" w:eastAsia="宋体" w:cs="Times New Roman"/>
          <w:b/>
          <w:color w:val="auto"/>
          <w:sz w:val="36"/>
          <w:szCs w:val="36"/>
          <w:highlight w:val="none"/>
        </w:rPr>
        <w:t>目编</w:t>
      </w:r>
      <w:r>
        <w:rPr>
          <w:rFonts w:hint="default" w:ascii="Times New Roman" w:hAnsi="Times New Roman" w:eastAsia="宋体" w:cs="Times New Roman"/>
          <w:b/>
          <w:color w:val="auto"/>
          <w:sz w:val="36"/>
          <w:szCs w:val="36"/>
          <w:highlight w:val="none"/>
          <w:lang w:val="en-US" w:eastAsia="zh-CN"/>
        </w:rPr>
        <w:t xml:space="preserve"> </w:t>
      </w:r>
      <w:r>
        <w:rPr>
          <w:rFonts w:hint="default" w:ascii="Times New Roman" w:hAnsi="Times New Roman" w:eastAsia="宋体" w:cs="Times New Roman"/>
          <w:b/>
          <w:color w:val="auto"/>
          <w:sz w:val="36"/>
          <w:szCs w:val="36"/>
          <w:highlight w:val="none"/>
        </w:rPr>
        <w:t>号：</w:t>
      </w:r>
      <w:r>
        <w:rPr>
          <w:rFonts w:hint="eastAsia" w:ascii="Times New Roman" w:hAnsi="Times New Roman" w:eastAsia="宋体" w:cs="Times New Roman"/>
          <w:b/>
          <w:color w:val="auto"/>
          <w:sz w:val="36"/>
          <w:szCs w:val="36"/>
          <w:highlight w:val="none"/>
          <w:u w:val="single"/>
          <w:lang w:eastAsia="zh-CN"/>
        </w:rPr>
        <w:t>JSZC-320900-YCSJ-C2026-0009</w:t>
      </w:r>
    </w:p>
    <w:p>
      <w:pPr>
        <w:pStyle w:val="36"/>
        <w:spacing w:beforeAutospacing="0" w:afterAutospacing="0" w:line="360" w:lineRule="auto"/>
        <w:jc w:val="left"/>
        <w:rPr>
          <w:rFonts w:hint="default" w:ascii="Times New Roman" w:hAnsi="Times New Roman" w:eastAsia="宋体" w:cs="Times New Roman"/>
          <w:b/>
          <w:color w:val="auto"/>
          <w:sz w:val="36"/>
          <w:szCs w:val="36"/>
          <w:highlight w:val="none"/>
          <w:u w:val="none"/>
        </w:rPr>
      </w:pPr>
      <w:r>
        <w:rPr>
          <w:rFonts w:hint="default" w:ascii="Times New Roman" w:hAnsi="Times New Roman" w:eastAsia="宋体" w:cs="Times New Roman"/>
          <w:b/>
          <w:color w:val="auto"/>
          <w:sz w:val="36"/>
          <w:szCs w:val="36"/>
          <w:highlight w:val="none"/>
        </w:rPr>
        <w:t>供应商名称：</w:t>
      </w:r>
      <w:r>
        <w:rPr>
          <w:rFonts w:hint="default" w:ascii="Times New Roman" w:hAnsi="Times New Roman" w:eastAsia="宋体" w:cs="Times New Roman"/>
          <w:b/>
          <w:color w:val="auto"/>
          <w:sz w:val="36"/>
          <w:szCs w:val="36"/>
          <w:highlight w:val="none"/>
          <w:u w:val="single"/>
        </w:rPr>
        <w:t>（加盖CA电子公章）</w:t>
      </w:r>
      <w:r>
        <w:rPr>
          <w:rFonts w:hint="default" w:ascii="Times New Roman" w:hAnsi="Times New Roman" w:eastAsia="宋体" w:cs="Times New Roman"/>
          <w:b/>
          <w:color w:val="auto"/>
          <w:sz w:val="36"/>
          <w:szCs w:val="36"/>
          <w:highlight w:val="none"/>
          <w:u w:val="single"/>
          <w:lang w:val="en-US" w:eastAsia="zh-CN"/>
        </w:rPr>
        <w:t xml:space="preserve">       </w:t>
      </w:r>
    </w:p>
    <w:p>
      <w:pPr>
        <w:pStyle w:val="36"/>
        <w:spacing w:beforeAutospacing="0" w:afterAutospacing="0" w:line="360" w:lineRule="auto"/>
        <w:jc w:val="left"/>
        <w:rPr>
          <w:rFonts w:hint="default" w:ascii="Times New Roman" w:hAnsi="Times New Roman" w:eastAsia="宋体" w:cs="Times New Roman"/>
          <w:color w:val="auto"/>
          <w:highlight w:val="none"/>
          <w:u w:val="single"/>
        </w:rPr>
      </w:pPr>
      <w:r>
        <w:rPr>
          <w:rFonts w:hint="default" w:ascii="Times New Roman" w:hAnsi="Times New Roman" w:eastAsia="宋体" w:cs="Times New Roman"/>
          <w:b/>
          <w:color w:val="auto"/>
          <w:sz w:val="36"/>
          <w:szCs w:val="36"/>
          <w:highlight w:val="none"/>
        </w:rPr>
        <w:t>日  </w:t>
      </w:r>
      <w:r>
        <w:rPr>
          <w:rFonts w:hint="default" w:ascii="Times New Roman" w:hAnsi="Times New Roman" w:eastAsia="宋体" w:cs="Times New Roman"/>
          <w:b/>
          <w:color w:val="auto"/>
          <w:sz w:val="36"/>
          <w:szCs w:val="36"/>
          <w:highlight w:val="none"/>
          <w:lang w:val="en-US" w:eastAsia="zh-CN"/>
        </w:rPr>
        <w:t xml:space="preserve">     </w:t>
      </w:r>
      <w:r>
        <w:rPr>
          <w:rFonts w:hint="default" w:ascii="Times New Roman" w:hAnsi="Times New Roman" w:eastAsia="宋体" w:cs="Times New Roman"/>
          <w:b/>
          <w:color w:val="auto"/>
          <w:sz w:val="36"/>
          <w:szCs w:val="36"/>
          <w:highlight w:val="none"/>
        </w:rPr>
        <w:t>期：</w:t>
      </w:r>
      <w:r>
        <w:rPr>
          <w:rFonts w:hint="default" w:ascii="Times New Roman" w:hAnsi="Times New Roman" w:eastAsia="宋体" w:cs="Times New Roman"/>
          <w:b/>
          <w:color w:val="auto"/>
          <w:sz w:val="36"/>
          <w:szCs w:val="36"/>
          <w:highlight w:val="none"/>
          <w:u w:val="single"/>
          <w:lang w:val="en-US" w:eastAsia="zh-CN"/>
        </w:rPr>
        <w:t xml:space="preserve">                           </w:t>
      </w:r>
    </w:p>
    <w:p>
      <w:pPr>
        <w:pStyle w:val="36"/>
        <w:spacing w:beforeAutospacing="0" w:afterAutospacing="0" w:line="0" w:lineRule="atLeast"/>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line="0" w:lineRule="atLeast"/>
        <w:jc w:val="left"/>
        <w:rPr>
          <w:rFonts w:hint="default" w:ascii="Times New Roman" w:hAnsi="Times New Roman" w:eastAsia="宋体" w:cs="Times New Roman"/>
          <w:b/>
          <w:color w:val="auto"/>
          <w:sz w:val="32"/>
          <w:szCs w:val="32"/>
          <w:highlight w:val="none"/>
        </w:rPr>
      </w:pPr>
    </w:p>
    <w:p>
      <w:pPr>
        <w:pStyle w:val="36"/>
        <w:spacing w:beforeAutospacing="0" w:afterAutospacing="0" w:line="0" w:lineRule="atLeast"/>
        <w:jc w:val="left"/>
        <w:rPr>
          <w:rFonts w:hint="default" w:ascii="Times New Roman" w:hAnsi="Times New Roman" w:eastAsia="宋体" w:cs="Times New Roman"/>
          <w:b/>
          <w:color w:val="auto"/>
          <w:sz w:val="32"/>
          <w:szCs w:val="32"/>
          <w:highlight w:val="none"/>
        </w:rPr>
      </w:pPr>
    </w:p>
    <w:p>
      <w:pPr>
        <w:pStyle w:val="36"/>
        <w:spacing w:beforeAutospacing="0" w:afterAutospacing="0" w:line="0" w:lineRule="atLeast"/>
        <w:jc w:val="center"/>
        <w:rPr>
          <w:rFonts w:hint="default" w:ascii="Times New Roman" w:hAnsi="Times New Roman" w:eastAsia="宋体" w:cs="Times New Roman"/>
          <w:b/>
          <w:color w:val="auto"/>
          <w:sz w:val="32"/>
          <w:szCs w:val="32"/>
          <w:highlight w:val="none"/>
        </w:rPr>
      </w:pPr>
    </w:p>
    <w:p>
      <w:pPr>
        <w:pStyle w:val="36"/>
        <w:spacing w:beforeAutospacing="0" w:afterAutospacing="0" w:line="0" w:lineRule="atLeast"/>
        <w:jc w:val="center"/>
        <w:rPr>
          <w:rFonts w:hint="default" w:ascii="Times New Roman" w:hAnsi="Times New Roman" w:eastAsia="宋体" w:cs="Times New Roman"/>
          <w:b/>
          <w:color w:val="auto"/>
          <w:sz w:val="32"/>
          <w:szCs w:val="32"/>
          <w:highlight w:val="none"/>
        </w:rPr>
      </w:pPr>
    </w:p>
    <w:p>
      <w:pPr>
        <w:pStyle w:val="36"/>
        <w:spacing w:beforeAutospacing="0" w:afterAutospacing="0" w:line="0" w:lineRule="atLeast"/>
        <w:jc w:val="center"/>
        <w:rPr>
          <w:rFonts w:hint="default" w:ascii="Times New Roman" w:hAnsi="Times New Roman" w:eastAsia="宋体" w:cs="Times New Roman"/>
          <w:b/>
          <w:color w:val="auto"/>
          <w:sz w:val="32"/>
          <w:szCs w:val="32"/>
          <w:highlight w:val="none"/>
        </w:rPr>
      </w:pPr>
    </w:p>
    <w:p>
      <w:pPr>
        <w:pStyle w:val="36"/>
        <w:spacing w:beforeAutospacing="0" w:afterAutospacing="0" w:line="0" w:lineRule="atLeast"/>
        <w:jc w:val="center"/>
        <w:rPr>
          <w:rFonts w:hint="default" w:ascii="Times New Roman" w:hAnsi="Times New Roman" w:eastAsia="宋体" w:cs="Times New Roman"/>
          <w:b/>
          <w:color w:val="auto"/>
          <w:sz w:val="32"/>
          <w:szCs w:val="32"/>
          <w:highlight w:val="none"/>
        </w:rPr>
      </w:pPr>
    </w:p>
    <w:p>
      <w:pPr>
        <w:pStyle w:val="36"/>
        <w:spacing w:beforeAutospacing="0" w:afterAutospacing="0" w:line="0" w:lineRule="atLeast"/>
        <w:jc w:val="center"/>
        <w:rPr>
          <w:rFonts w:hint="default" w:ascii="Times New Roman" w:hAnsi="Times New Roman" w:eastAsia="宋体" w:cs="Times New Roman"/>
          <w:b/>
          <w:color w:val="auto"/>
          <w:sz w:val="32"/>
          <w:szCs w:val="32"/>
          <w:highlight w:val="none"/>
        </w:rPr>
      </w:pPr>
    </w:p>
    <w:p>
      <w:pPr>
        <w:pStyle w:val="36"/>
        <w:spacing w:beforeAutospacing="0" w:afterAutospacing="0" w:line="0" w:lineRule="atLeast"/>
        <w:jc w:val="center"/>
        <w:rPr>
          <w:rFonts w:hint="default" w:ascii="Times New Roman" w:hAnsi="Times New Roman" w:eastAsia="宋体" w:cs="Times New Roman"/>
          <w:b/>
          <w:color w:val="auto"/>
          <w:sz w:val="32"/>
          <w:szCs w:val="32"/>
          <w:highlight w:val="none"/>
        </w:rPr>
      </w:pPr>
    </w:p>
    <w:p>
      <w:pPr>
        <w:pStyle w:val="36"/>
        <w:spacing w:beforeAutospacing="0" w:afterAutospacing="0" w:line="0" w:lineRule="atLeast"/>
        <w:jc w:val="center"/>
        <w:rPr>
          <w:rFonts w:hint="default" w:ascii="Times New Roman" w:hAnsi="Times New Roman" w:eastAsia="宋体" w:cs="Times New Roman"/>
          <w:b/>
          <w:color w:val="auto"/>
          <w:sz w:val="32"/>
          <w:szCs w:val="32"/>
          <w:highlight w:val="none"/>
        </w:rPr>
      </w:pPr>
    </w:p>
    <w:p>
      <w:pPr>
        <w:pStyle w:val="36"/>
        <w:spacing w:beforeAutospacing="0" w:afterAutospacing="0" w:line="0" w:lineRule="atLeast"/>
        <w:jc w:val="center"/>
        <w:rPr>
          <w:rFonts w:hint="default" w:ascii="Times New Roman" w:hAnsi="Times New Roman" w:eastAsia="宋体" w:cs="Times New Roman"/>
          <w:b/>
          <w:color w:val="auto"/>
          <w:sz w:val="32"/>
          <w:szCs w:val="32"/>
          <w:highlight w:val="none"/>
        </w:rPr>
      </w:pPr>
    </w:p>
    <w:p>
      <w:pPr>
        <w:pStyle w:val="36"/>
        <w:spacing w:beforeAutospacing="0" w:afterAutospacing="0" w:line="0" w:lineRule="atLeast"/>
        <w:jc w:val="center"/>
        <w:rPr>
          <w:rFonts w:hint="default" w:ascii="Times New Roman" w:hAnsi="Times New Roman" w:eastAsia="宋体" w:cs="Times New Roman"/>
          <w:b/>
          <w:color w:val="auto"/>
          <w:sz w:val="32"/>
          <w:szCs w:val="32"/>
          <w:highlight w:val="none"/>
        </w:rPr>
      </w:pPr>
    </w:p>
    <w:p>
      <w:pPr>
        <w:pStyle w:val="36"/>
        <w:spacing w:beforeAutospacing="0" w:afterAutospacing="0" w:line="0" w:lineRule="atLeast"/>
        <w:jc w:val="center"/>
        <w:rPr>
          <w:rFonts w:hint="default" w:ascii="Times New Roman" w:hAnsi="Times New Roman" w:eastAsia="宋体" w:cs="Times New Roman"/>
          <w:b/>
          <w:color w:val="auto"/>
          <w:sz w:val="32"/>
          <w:szCs w:val="32"/>
          <w:highlight w:val="none"/>
        </w:rPr>
      </w:pPr>
    </w:p>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b/>
          <w:color w:val="auto"/>
          <w:sz w:val="32"/>
          <w:szCs w:val="32"/>
          <w:highlight w:val="none"/>
        </w:rPr>
        <w:t>响应文件目录</w:t>
      </w:r>
      <w:r>
        <w:rPr>
          <w:rFonts w:hint="default" w:ascii="Times New Roman" w:hAnsi="Times New Roman" w:cs="Times New Roman"/>
          <w:color w:val="auto"/>
          <w:highlight w:val="none"/>
        </w:rPr>
        <w:t> </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一、法人或者其他组织的营业执照等证明文件，自然人的身份证明</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二、上一年度的财务状况报</w:t>
      </w:r>
      <w:r>
        <w:rPr>
          <w:rFonts w:hint="default" w:ascii="Times New Roman" w:hAnsi="Times New Roman" w:cs="Times New Roman" w:eastAsiaTheme="minorEastAsia"/>
          <w:color w:val="auto"/>
          <w:sz w:val="24"/>
          <w:szCs w:val="20"/>
          <w:highlight w:val="none"/>
          <w:lang w:val="en-US" w:eastAsia="zh-CN"/>
        </w:rPr>
        <w:t>告</w:t>
      </w:r>
      <w:r>
        <w:rPr>
          <w:rFonts w:hint="default" w:ascii="Times New Roman" w:hAnsi="Times New Roman" w:cs="Times New Roman" w:eastAsiaTheme="minorEastAsia"/>
          <w:color w:val="auto"/>
          <w:sz w:val="24"/>
          <w:szCs w:val="20"/>
          <w:highlight w:val="none"/>
        </w:rPr>
        <w:t>（</w:t>
      </w:r>
      <w:r>
        <w:rPr>
          <w:rFonts w:hint="default" w:ascii="Times New Roman" w:hAnsi="Times New Roman" w:cs="Times New Roman" w:eastAsiaTheme="minorEastAsia"/>
          <w:color w:val="auto"/>
          <w:sz w:val="24"/>
          <w:szCs w:val="20"/>
          <w:highlight w:val="none"/>
          <w:lang w:val="en-US" w:eastAsia="zh-CN"/>
        </w:rPr>
        <w:t>至少提供资产负债表、利润表、现金流量表，</w:t>
      </w:r>
      <w:r>
        <w:rPr>
          <w:rFonts w:hint="default" w:ascii="Times New Roman" w:hAnsi="Times New Roman" w:cs="Times New Roman" w:eastAsiaTheme="minorEastAsia"/>
          <w:color w:val="auto"/>
          <w:sz w:val="24"/>
          <w:szCs w:val="20"/>
          <w:highlight w:val="none"/>
        </w:rPr>
        <w:t>磋商供应商成立不满一年无需提供）</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lang w:val="en-US" w:eastAsia="zh-CN"/>
        </w:rPr>
        <w:t>三</w:t>
      </w:r>
      <w:r>
        <w:rPr>
          <w:rFonts w:hint="default" w:ascii="Times New Roman" w:hAnsi="Times New Roman" w:cs="Times New Roman" w:eastAsiaTheme="minorEastAsia"/>
          <w:color w:val="auto"/>
          <w:sz w:val="24"/>
          <w:szCs w:val="20"/>
          <w:highlight w:val="none"/>
        </w:rPr>
        <w:t>、具备履行合同所必需的设备和专业技术能力的书面声明</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lang w:val="en-US" w:eastAsia="zh-CN"/>
        </w:rPr>
        <w:t>四</w:t>
      </w:r>
      <w:r>
        <w:rPr>
          <w:rFonts w:hint="default" w:ascii="Times New Roman" w:hAnsi="Times New Roman" w:cs="Times New Roman" w:eastAsiaTheme="minorEastAsia"/>
          <w:color w:val="auto"/>
          <w:sz w:val="24"/>
          <w:szCs w:val="20"/>
          <w:highlight w:val="none"/>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五、参加政府采购活动前 3 年内在经营活动中没有重大违法记录的书面声明</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六、特定资格要求的证明文件（如果本项目设置特定资格要求，则需要提供）</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七、法人授权书</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八、磋商响应函</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九、</w:t>
      </w:r>
      <w:r>
        <w:rPr>
          <w:rFonts w:hint="default" w:ascii="Times New Roman" w:hAnsi="Times New Roman" w:cs="Times New Roman" w:eastAsiaTheme="minorEastAsia"/>
          <w:color w:val="auto"/>
          <w:sz w:val="24"/>
          <w:szCs w:val="20"/>
          <w:highlight w:val="none"/>
          <w:lang w:val="en-US" w:eastAsia="zh-CN"/>
        </w:rPr>
        <w:t>中小</w:t>
      </w:r>
      <w:r>
        <w:rPr>
          <w:rFonts w:hint="default" w:ascii="Times New Roman" w:hAnsi="Times New Roman" w:cs="Times New Roman" w:eastAsiaTheme="minorEastAsia"/>
          <w:color w:val="auto"/>
          <w:sz w:val="24"/>
          <w:szCs w:val="20"/>
          <w:highlight w:val="none"/>
        </w:rPr>
        <w:t>企业声明函</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十、残疾人福利性单位声明函</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十</w:t>
      </w:r>
      <w:r>
        <w:rPr>
          <w:rFonts w:hint="default" w:ascii="Times New Roman" w:hAnsi="Times New Roman" w:cs="Times New Roman" w:eastAsiaTheme="minorEastAsia"/>
          <w:color w:val="auto"/>
          <w:sz w:val="24"/>
          <w:szCs w:val="20"/>
          <w:highlight w:val="none"/>
          <w:lang w:eastAsia="zh-CN"/>
        </w:rPr>
        <w:t>一</w:t>
      </w:r>
      <w:r>
        <w:rPr>
          <w:rFonts w:hint="default" w:ascii="Times New Roman" w:hAnsi="Times New Roman" w:cs="Times New Roman" w:eastAsiaTheme="minorEastAsia"/>
          <w:color w:val="auto"/>
          <w:sz w:val="24"/>
          <w:szCs w:val="20"/>
          <w:highlight w:val="none"/>
        </w:rPr>
        <w:t>、分项报价表</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十</w:t>
      </w:r>
      <w:r>
        <w:rPr>
          <w:rFonts w:hint="default" w:ascii="Times New Roman" w:hAnsi="Times New Roman" w:cs="Times New Roman" w:eastAsiaTheme="minorEastAsia"/>
          <w:color w:val="auto"/>
          <w:sz w:val="24"/>
          <w:szCs w:val="20"/>
          <w:highlight w:val="none"/>
          <w:lang w:eastAsia="zh-CN"/>
        </w:rPr>
        <w:t>二</w:t>
      </w:r>
      <w:r>
        <w:rPr>
          <w:rFonts w:hint="default" w:ascii="Times New Roman" w:hAnsi="Times New Roman" w:cs="Times New Roman" w:eastAsiaTheme="minorEastAsia"/>
          <w:color w:val="auto"/>
          <w:sz w:val="24"/>
          <w:szCs w:val="20"/>
          <w:highlight w:val="none"/>
        </w:rPr>
        <w:t>、技术要求响应及偏离表</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十</w:t>
      </w:r>
      <w:r>
        <w:rPr>
          <w:rFonts w:hint="default" w:ascii="Times New Roman" w:hAnsi="Times New Roman" w:cs="Times New Roman" w:eastAsiaTheme="minorEastAsia"/>
          <w:color w:val="auto"/>
          <w:sz w:val="24"/>
          <w:szCs w:val="20"/>
          <w:highlight w:val="none"/>
          <w:lang w:eastAsia="zh-CN"/>
        </w:rPr>
        <w:t>三</w:t>
      </w:r>
      <w:r>
        <w:rPr>
          <w:rFonts w:hint="default" w:ascii="Times New Roman" w:hAnsi="Times New Roman" w:cs="Times New Roman" w:eastAsiaTheme="minorEastAsia"/>
          <w:color w:val="auto"/>
          <w:sz w:val="24"/>
          <w:szCs w:val="20"/>
          <w:highlight w:val="none"/>
        </w:rPr>
        <w:t>、商务要求响应及偏离表</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十</w:t>
      </w:r>
      <w:r>
        <w:rPr>
          <w:rFonts w:hint="default" w:ascii="Times New Roman" w:hAnsi="Times New Roman" w:cs="Times New Roman" w:eastAsiaTheme="minorEastAsia"/>
          <w:color w:val="auto"/>
          <w:sz w:val="24"/>
          <w:szCs w:val="20"/>
          <w:highlight w:val="none"/>
          <w:lang w:eastAsia="zh-CN"/>
        </w:rPr>
        <w:t>四</w:t>
      </w:r>
      <w:r>
        <w:rPr>
          <w:rFonts w:hint="default" w:ascii="Times New Roman" w:hAnsi="Times New Roman" w:cs="Times New Roman" w:eastAsiaTheme="minorEastAsia"/>
          <w:color w:val="auto"/>
          <w:sz w:val="24"/>
          <w:szCs w:val="20"/>
          <w:highlight w:val="none"/>
        </w:rPr>
        <w:t>、开标一览表</w:t>
      </w:r>
    </w:p>
    <w:p>
      <w:pPr>
        <w:widowControl/>
        <w:spacing w:line="560" w:lineRule="exact"/>
        <w:ind w:firstLine="482"/>
        <w:jc w:val="left"/>
        <w:rPr>
          <w:rFonts w:hint="default" w:ascii="Times New Roman" w:hAnsi="Times New Roman" w:cs="Times New Roman" w:eastAsiaTheme="minorEastAsia"/>
          <w:color w:val="auto"/>
          <w:sz w:val="24"/>
          <w:szCs w:val="20"/>
          <w:highlight w:val="none"/>
        </w:rPr>
      </w:pPr>
      <w:r>
        <w:rPr>
          <w:rFonts w:hint="default" w:ascii="Times New Roman" w:hAnsi="Times New Roman" w:cs="Times New Roman" w:eastAsiaTheme="minorEastAsia"/>
          <w:color w:val="auto"/>
          <w:sz w:val="24"/>
          <w:szCs w:val="20"/>
          <w:highlight w:val="none"/>
        </w:rPr>
        <w:t>十</w:t>
      </w:r>
      <w:r>
        <w:rPr>
          <w:rFonts w:hint="default" w:ascii="Times New Roman" w:hAnsi="Times New Roman" w:cs="Times New Roman" w:eastAsiaTheme="minorEastAsia"/>
          <w:color w:val="auto"/>
          <w:sz w:val="24"/>
          <w:szCs w:val="20"/>
          <w:highlight w:val="none"/>
          <w:lang w:eastAsia="zh-CN"/>
        </w:rPr>
        <w:t>五</w:t>
      </w:r>
      <w:r>
        <w:rPr>
          <w:rFonts w:hint="default" w:ascii="Times New Roman" w:hAnsi="Times New Roman" w:cs="Times New Roman" w:eastAsiaTheme="minorEastAsia"/>
          <w:color w:val="auto"/>
          <w:sz w:val="24"/>
          <w:szCs w:val="20"/>
          <w:highlight w:val="none"/>
        </w:rPr>
        <w:t>、技术方案、服务承诺、培训承诺等</w:t>
      </w:r>
    </w:p>
    <w:p>
      <w:pPr>
        <w:widowControl/>
        <w:spacing w:line="560" w:lineRule="exact"/>
        <w:ind w:firstLine="482"/>
        <w:jc w:val="left"/>
        <w:rPr>
          <w:rFonts w:hint="default" w:ascii="Times New Roman" w:hAnsi="Times New Roman" w:cs="Times New Roman" w:eastAsiaTheme="minorEastAsia"/>
          <w:i w:val="0"/>
          <w:iCs/>
          <w:color w:val="auto"/>
          <w:sz w:val="24"/>
          <w:szCs w:val="24"/>
          <w:highlight w:val="none"/>
          <w:u w:val="none"/>
        </w:rPr>
        <w:sectPr>
          <w:footerReference r:id="rId4" w:type="default"/>
          <w:pgSz w:w="11906" w:h="16838"/>
          <w:pgMar w:top="1440" w:right="1633" w:bottom="1440" w:left="1633" w:header="851" w:footer="992" w:gutter="0"/>
          <w:pgNumType w:start="1"/>
          <w:cols w:space="0" w:num="1"/>
          <w:docGrid w:linePitch="360" w:charSpace="0"/>
        </w:sectPr>
      </w:pPr>
      <w:r>
        <w:rPr>
          <w:rFonts w:hint="default" w:ascii="Times New Roman" w:hAnsi="Times New Roman" w:cs="Times New Roman" w:eastAsiaTheme="minorEastAsia"/>
          <w:color w:val="auto"/>
          <w:sz w:val="24"/>
          <w:szCs w:val="20"/>
          <w:highlight w:val="none"/>
        </w:rPr>
        <w:t>十</w:t>
      </w:r>
      <w:r>
        <w:rPr>
          <w:rFonts w:hint="default" w:ascii="Times New Roman" w:hAnsi="Times New Roman" w:cs="Times New Roman" w:eastAsiaTheme="minorEastAsia"/>
          <w:color w:val="auto"/>
          <w:sz w:val="24"/>
          <w:szCs w:val="20"/>
          <w:highlight w:val="none"/>
          <w:lang w:eastAsia="zh-CN"/>
        </w:rPr>
        <w:t>六</w:t>
      </w:r>
      <w:r>
        <w:rPr>
          <w:rFonts w:hint="default" w:ascii="Times New Roman" w:hAnsi="Times New Roman" w:cs="Times New Roman" w:eastAsiaTheme="minorEastAsia"/>
          <w:color w:val="auto"/>
          <w:sz w:val="24"/>
          <w:szCs w:val="20"/>
          <w:highlight w:val="none"/>
        </w:rPr>
        <w:t>、盐城市政府采购事前信用承诺书</w:t>
      </w:r>
    </w:p>
    <w:p>
      <w:pPr>
        <w:jc w:val="center"/>
        <w:rPr>
          <w:rFonts w:hint="default" w:ascii="Times New Roman" w:hAnsi="Times New Roman" w:eastAsia="黑体" w:cs="Times New Roman"/>
          <w:i/>
          <w:color w:val="auto"/>
          <w:sz w:val="32"/>
          <w:szCs w:val="32"/>
          <w:highlight w:val="none"/>
          <w:u w:val="single"/>
        </w:rPr>
      </w:pPr>
      <w:bookmarkStart w:id="65" w:name="_Hlt26671380"/>
      <w:bookmarkStart w:id="66" w:name="_格式3__银行出具的资信证明"/>
      <w:bookmarkStart w:id="67" w:name="_Toc120614284"/>
      <w:bookmarkStart w:id="68" w:name="_Hlt26955070"/>
      <w:r>
        <w:rPr>
          <w:rFonts w:hint="default" w:ascii="Times New Roman" w:hAnsi="Times New Roman" w:eastAsia="黑体" w:cs="Times New Roman"/>
          <w:i/>
          <w:color w:val="auto"/>
          <w:sz w:val="32"/>
          <w:szCs w:val="32"/>
          <w:highlight w:val="none"/>
          <w:u w:val="single"/>
        </w:rPr>
        <w:t>一、法人或者其他组织的营业执照等证明文件，自然人的身份证明</w:t>
      </w:r>
    </w:p>
    <w:p>
      <w:pPr>
        <w:widowControl/>
        <w:spacing w:before="180"/>
        <w:jc w:val="center"/>
        <w:rPr>
          <w:rFonts w:hint="default" w:ascii="Times New Roman" w:hAnsi="Times New Roman" w:cs="Times New Roman"/>
          <w:b/>
          <w:bCs/>
          <w:color w:val="auto"/>
          <w:sz w:val="32"/>
          <w:szCs w:val="32"/>
          <w:highlight w:val="none"/>
        </w:rPr>
      </w:pPr>
    </w:p>
    <w:p>
      <w:pPr>
        <w:jc w:val="center"/>
        <w:rPr>
          <w:rFonts w:hint="default" w:ascii="Times New Roman" w:hAnsi="Times New Roman" w:eastAsia="黑体" w:cs="Times New Roman"/>
          <w:i/>
          <w:color w:val="auto"/>
          <w:sz w:val="32"/>
          <w:szCs w:val="32"/>
          <w:highlight w:val="none"/>
          <w:u w:val="single"/>
        </w:rPr>
      </w:pPr>
      <w:r>
        <w:rPr>
          <w:rFonts w:hint="default" w:ascii="Times New Roman" w:hAnsi="Times New Roman" w:eastAsia="方正小标宋_GBK" w:cs="Times New Roman"/>
          <w:iCs/>
          <w:color w:val="auto"/>
          <w:sz w:val="30"/>
          <w:szCs w:val="30"/>
          <w:highlight w:val="none"/>
        </w:rPr>
        <w:br w:type="page" w:clear="all"/>
      </w:r>
      <w:r>
        <w:rPr>
          <w:rFonts w:hint="default" w:ascii="Times New Roman" w:hAnsi="Times New Roman" w:eastAsia="黑体" w:cs="Times New Roman"/>
          <w:i/>
          <w:color w:val="auto"/>
          <w:sz w:val="32"/>
          <w:szCs w:val="32"/>
          <w:highlight w:val="none"/>
          <w:u w:val="single"/>
        </w:rPr>
        <w:t>二、</w:t>
      </w:r>
      <w:r>
        <w:rPr>
          <w:rFonts w:hint="default" w:ascii="Times New Roman" w:hAnsi="Times New Roman" w:eastAsia="黑体" w:cs="Times New Roman"/>
          <w:i/>
          <w:color w:val="auto"/>
          <w:sz w:val="32"/>
          <w:szCs w:val="32"/>
          <w:highlight w:val="none"/>
          <w:u w:val="single"/>
          <w:lang w:eastAsia="zh-CN"/>
        </w:rPr>
        <w:t>上</w:t>
      </w:r>
      <w:r>
        <w:rPr>
          <w:rFonts w:hint="default" w:ascii="Times New Roman" w:hAnsi="Times New Roman" w:eastAsia="黑体" w:cs="Times New Roman"/>
          <w:i/>
          <w:color w:val="auto"/>
          <w:sz w:val="32"/>
          <w:szCs w:val="32"/>
          <w:highlight w:val="none"/>
          <w:u w:val="single"/>
          <w:lang w:val="en-US" w:eastAsia="zh-CN"/>
        </w:rPr>
        <w:t>一</w:t>
      </w:r>
      <w:r>
        <w:rPr>
          <w:rFonts w:hint="default" w:ascii="Times New Roman" w:hAnsi="Times New Roman" w:eastAsia="黑体" w:cs="Times New Roman"/>
          <w:i/>
          <w:color w:val="auto"/>
          <w:sz w:val="32"/>
          <w:szCs w:val="32"/>
          <w:highlight w:val="none"/>
          <w:u w:val="single"/>
        </w:rPr>
        <w:t>年度的财务状况报告</w:t>
      </w:r>
    </w:p>
    <w:p>
      <w:pPr>
        <w:tabs>
          <w:tab w:val="left" w:pos="1331"/>
        </w:tabs>
        <w:spacing w:line="500" w:lineRule="exact"/>
        <w:jc w:val="center"/>
        <w:rPr>
          <w:rFonts w:hint="default" w:ascii="Times New Roman" w:hAnsi="Times New Roman" w:cs="Times New Roman"/>
          <w:iCs/>
          <w:color w:val="auto"/>
          <w:sz w:val="24"/>
          <w:highlight w:val="none"/>
        </w:rPr>
      </w:pPr>
      <w:r>
        <w:rPr>
          <w:rFonts w:hint="default" w:ascii="Times New Roman" w:hAnsi="Times New Roman" w:cs="Times New Roman"/>
          <w:iCs/>
          <w:color w:val="auto"/>
          <w:sz w:val="24"/>
          <w:highlight w:val="none"/>
        </w:rPr>
        <w:t>（至少提供资产负债表、利润表、现金流量表，供应商成立不满一年无需提供）</w:t>
      </w:r>
    </w:p>
    <w:p>
      <w:pPr>
        <w:pStyle w:val="202"/>
        <w:widowControl/>
        <w:spacing w:line="500" w:lineRule="exact"/>
        <w:ind w:firstLine="492"/>
        <w:jc w:val="center"/>
        <w:rPr>
          <w:rFonts w:hint="default" w:ascii="Times New Roman" w:hAnsi="Times New Roman" w:eastAsia="宋体" w:cs="Times New Roman"/>
          <w:color w:val="auto"/>
          <w:sz w:val="24"/>
          <w:szCs w:val="24"/>
          <w:highlight w:val="none"/>
        </w:rPr>
      </w:pPr>
    </w:p>
    <w:p>
      <w:pPr>
        <w:widowControl/>
        <w:jc w:val="left"/>
        <w:rPr>
          <w:rFonts w:hint="default" w:ascii="Times New Roman" w:hAnsi="Times New Roman" w:eastAsia="黑体" w:cs="Times New Roman"/>
          <w:i/>
          <w:color w:val="auto"/>
          <w:sz w:val="32"/>
          <w:szCs w:val="32"/>
          <w:highlight w:val="none"/>
          <w:u w:val="single"/>
        </w:rPr>
      </w:pPr>
      <w:r>
        <w:rPr>
          <w:rFonts w:hint="default" w:ascii="Times New Roman" w:hAnsi="Times New Roman" w:eastAsia="方正小标宋_GBK" w:cs="Times New Roman"/>
          <w:iCs/>
          <w:color w:val="auto"/>
          <w:sz w:val="30"/>
          <w:szCs w:val="30"/>
          <w:highlight w:val="none"/>
        </w:rPr>
        <w:br w:type="page" w:clear="all"/>
      </w:r>
      <w:r>
        <w:rPr>
          <w:rFonts w:hint="default" w:ascii="Times New Roman" w:hAnsi="Times New Roman" w:eastAsia="黑体" w:cs="Times New Roman"/>
          <w:i/>
          <w:color w:val="auto"/>
          <w:sz w:val="32"/>
          <w:szCs w:val="32"/>
          <w:highlight w:val="none"/>
          <w:u w:val="single"/>
        </w:rPr>
        <w:t>三、具备履行合同所必需的设备和专业技术能力的书面声明</w:t>
      </w:r>
    </w:p>
    <w:p>
      <w:pPr>
        <w:pStyle w:val="202"/>
        <w:spacing w:before="0" w:after="0" w:line="560" w:lineRule="exact"/>
        <w:ind w:firstLine="48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我单位郑重声明：我单位具备履行本项采购合同所必需的设备和专业技术能力，为履行本项采购合同我公司具备如下主要设备和主要专业技术能力：</w:t>
      </w:r>
    </w:p>
    <w:p>
      <w:pPr>
        <w:pStyle w:val="202"/>
        <w:spacing w:before="0" w:after="0" w:line="560" w:lineRule="exact"/>
        <w:ind w:firstLine="48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主要设备有：</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w:t>
      </w:r>
    </w:p>
    <w:p>
      <w:pPr>
        <w:pStyle w:val="202"/>
        <w:spacing w:before="0" w:after="0" w:line="560" w:lineRule="exact"/>
        <w:ind w:firstLine="48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主要专业技术能力有：</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w:t>
      </w:r>
    </w:p>
    <w:p>
      <w:pPr>
        <w:pStyle w:val="202"/>
        <w:widowControl/>
        <w:ind w:firstLine="492"/>
        <w:jc w:val="center"/>
        <w:rPr>
          <w:rFonts w:hint="default" w:ascii="Times New Roman" w:hAnsi="Times New Roman" w:eastAsia="方正小标宋_GBK" w:cs="Times New Roman"/>
          <w:iCs/>
          <w:color w:val="auto"/>
          <w:sz w:val="24"/>
          <w:szCs w:val="24"/>
          <w:highlight w:val="none"/>
        </w:rPr>
      </w:pPr>
    </w:p>
    <w:p>
      <w:pPr>
        <w:widowControl/>
        <w:jc w:val="center"/>
        <w:rPr>
          <w:rFonts w:hint="default" w:ascii="Times New Roman" w:hAnsi="Times New Roman" w:eastAsia="黑体" w:cs="Times New Roman"/>
          <w:i/>
          <w:color w:val="auto"/>
          <w:sz w:val="32"/>
          <w:szCs w:val="32"/>
          <w:highlight w:val="none"/>
          <w:u w:val="single"/>
        </w:rPr>
      </w:pPr>
      <w:r>
        <w:rPr>
          <w:rFonts w:hint="default" w:ascii="Times New Roman" w:hAnsi="Times New Roman" w:eastAsia="方正小标宋_GBK" w:cs="Times New Roman"/>
          <w:iCs/>
          <w:color w:val="auto"/>
          <w:sz w:val="30"/>
          <w:szCs w:val="30"/>
          <w:highlight w:val="none"/>
        </w:rPr>
        <w:br w:type="page" w:clear="all"/>
      </w:r>
      <w:r>
        <w:rPr>
          <w:rFonts w:hint="default" w:ascii="Times New Roman" w:hAnsi="Times New Roman" w:eastAsia="黑体" w:cs="Times New Roman"/>
          <w:i/>
          <w:color w:val="auto"/>
          <w:sz w:val="32"/>
          <w:szCs w:val="32"/>
          <w:highlight w:val="none"/>
          <w:u w:val="single"/>
        </w:rPr>
        <w:t>四、依法缴纳税收和社会保障资金的相关材料</w:t>
      </w:r>
    </w:p>
    <w:p>
      <w:pPr>
        <w:pStyle w:val="202"/>
        <w:spacing w:before="0" w:after="0" w:line="560" w:lineRule="exact"/>
        <w:ind w:firstLine="48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提供提交响应文件截止时间前一年内至少一个月依法缴纳税收及缴纳社会保障资金的证明材料。供应商依法享受缓缴、免缴税收、社会保障资金的提供证明材料。</w:t>
      </w:r>
    </w:p>
    <w:p>
      <w:pPr>
        <w:pStyle w:val="202"/>
        <w:widowControl/>
        <w:ind w:firstLine="492"/>
        <w:jc w:val="both"/>
        <w:rPr>
          <w:rFonts w:hint="default" w:ascii="Times New Roman" w:hAnsi="Times New Roman" w:eastAsia="宋体" w:cs="Times New Roman"/>
          <w:color w:val="auto"/>
          <w:sz w:val="24"/>
          <w:szCs w:val="24"/>
          <w:highlight w:val="none"/>
        </w:rPr>
      </w:pPr>
    </w:p>
    <w:p>
      <w:pPr>
        <w:widowControl/>
        <w:jc w:val="center"/>
        <w:rPr>
          <w:rFonts w:hint="default" w:ascii="Times New Roman" w:hAnsi="Times New Roman" w:eastAsia="黑体" w:cs="Times New Roman"/>
          <w:i/>
          <w:color w:val="auto"/>
          <w:sz w:val="32"/>
          <w:szCs w:val="32"/>
          <w:highlight w:val="none"/>
          <w:u w:val="single"/>
        </w:rPr>
      </w:pPr>
      <w:r>
        <w:rPr>
          <w:rFonts w:hint="default" w:ascii="Times New Roman" w:hAnsi="Times New Roman" w:eastAsia="方正小标宋_GBK" w:cs="Times New Roman"/>
          <w:iCs/>
          <w:color w:val="auto"/>
          <w:sz w:val="30"/>
          <w:szCs w:val="30"/>
          <w:highlight w:val="none"/>
        </w:rPr>
        <w:br w:type="page" w:clear="all"/>
      </w:r>
      <w:r>
        <w:rPr>
          <w:rFonts w:hint="default" w:ascii="Times New Roman" w:hAnsi="Times New Roman" w:eastAsia="黑体" w:cs="Times New Roman"/>
          <w:i/>
          <w:color w:val="auto"/>
          <w:sz w:val="32"/>
          <w:szCs w:val="32"/>
          <w:highlight w:val="none"/>
          <w:u w:val="single"/>
        </w:rPr>
        <w:t>五、参加政府采购活动前3年内在经营活动中没有重大违法记录的书面声明</w:t>
      </w:r>
    </w:p>
    <w:p>
      <w:pPr>
        <w:pStyle w:val="202"/>
        <w:widowControl/>
        <w:jc w:val="center"/>
        <w:rPr>
          <w:rFonts w:hint="default" w:ascii="Times New Roman" w:hAnsi="Times New Roman" w:eastAsia="方正小标宋_GBK" w:cs="Times New Roman"/>
          <w:bCs/>
          <w:color w:val="auto"/>
          <w:highlight w:val="none"/>
        </w:rPr>
      </w:pPr>
      <w:r>
        <w:rPr>
          <w:rFonts w:hint="default" w:ascii="Times New Roman" w:hAnsi="Times New Roman" w:eastAsia="方正小标宋_GBK" w:cs="Times New Roman"/>
          <w:bCs/>
          <w:color w:val="auto"/>
          <w:sz w:val="44"/>
          <w:szCs w:val="44"/>
          <w:highlight w:val="none"/>
        </w:rPr>
        <w:t>声  明</w:t>
      </w:r>
    </w:p>
    <w:p>
      <w:pPr>
        <w:pStyle w:val="202"/>
        <w:spacing w:before="0" w:after="0" w:line="560" w:lineRule="exact"/>
        <w:ind w:firstLine="48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pPr>
        <w:pStyle w:val="202"/>
        <w:widowControl/>
        <w:spacing w:line="560" w:lineRule="exact"/>
        <w:ind w:firstLine="492"/>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w:t>
      </w:r>
    </w:p>
    <w:p>
      <w:pPr>
        <w:widowControl/>
        <w:spacing w:line="500" w:lineRule="exact"/>
        <w:jc w:val="center"/>
        <w:rPr>
          <w:rFonts w:hint="default" w:ascii="Times New Roman" w:hAnsi="Times New Roman" w:eastAsia="黑体" w:cs="Times New Roman"/>
          <w:i/>
          <w:color w:val="auto"/>
          <w:sz w:val="32"/>
          <w:szCs w:val="32"/>
          <w:highlight w:val="none"/>
          <w:u w:val="single"/>
        </w:rPr>
      </w:pPr>
      <w:r>
        <w:rPr>
          <w:rFonts w:hint="default" w:ascii="Times New Roman" w:hAnsi="Times New Roman" w:eastAsia="方正小标宋_GBK" w:cs="Times New Roman"/>
          <w:iCs/>
          <w:color w:val="auto"/>
          <w:sz w:val="30"/>
          <w:szCs w:val="30"/>
          <w:highlight w:val="none"/>
        </w:rPr>
        <w:br w:type="page" w:clear="all"/>
      </w:r>
      <w:r>
        <w:rPr>
          <w:rFonts w:hint="default" w:ascii="Times New Roman" w:hAnsi="Times New Roman" w:eastAsia="黑体" w:cs="Times New Roman"/>
          <w:i/>
          <w:color w:val="auto"/>
          <w:sz w:val="32"/>
          <w:szCs w:val="32"/>
          <w:highlight w:val="none"/>
          <w:u w:val="single"/>
        </w:rPr>
        <w:t>六、特定资格要求的证明文件</w:t>
      </w:r>
    </w:p>
    <w:p>
      <w:pPr>
        <w:pStyle w:val="202"/>
        <w:spacing w:before="0" w:after="0" w:line="500" w:lineRule="exact"/>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如果本项目申请人的特定资格要求中要求提供的，必须提供。</w:t>
      </w:r>
    </w:p>
    <w:p>
      <w:pPr>
        <w:widowControl/>
        <w:jc w:val="center"/>
        <w:rPr>
          <w:rFonts w:hint="default" w:ascii="Times New Roman" w:hAnsi="Times New Roman" w:eastAsia="黑体" w:cs="Times New Roman"/>
          <w:i/>
          <w:color w:val="auto"/>
          <w:sz w:val="32"/>
          <w:szCs w:val="32"/>
          <w:highlight w:val="none"/>
          <w:u w:val="single"/>
        </w:rPr>
      </w:pPr>
      <w:r>
        <w:rPr>
          <w:rFonts w:hint="default" w:ascii="Times New Roman" w:hAnsi="Times New Roman" w:cs="Times New Roman"/>
          <w:color w:val="auto"/>
          <w:highlight w:val="none"/>
        </w:rPr>
        <w:br w:type="page" w:clear="all"/>
      </w:r>
      <w:r>
        <w:rPr>
          <w:rFonts w:hint="default" w:ascii="Times New Roman" w:hAnsi="Times New Roman" w:eastAsia="黑体" w:cs="Times New Roman"/>
          <w:i/>
          <w:color w:val="auto"/>
          <w:sz w:val="32"/>
          <w:szCs w:val="32"/>
          <w:highlight w:val="none"/>
          <w:u w:val="single"/>
        </w:rPr>
        <w:t>七、法人授权书</w:t>
      </w:r>
    </w:p>
    <w:p>
      <w:pPr>
        <w:pStyle w:val="202"/>
        <w:widowControl/>
        <w:spacing w:before="0" w:after="0" w:line="560" w:lineRule="exact"/>
        <w:ind w:firstLine="48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本授权书声明：（供应商名称）授权（被授权人的姓名）为我方就</w:t>
      </w:r>
      <w:r>
        <w:rPr>
          <w:rFonts w:hint="eastAsia" w:eastAsia="宋体" w:cs="Times New Roman"/>
          <w:color w:val="auto"/>
          <w:sz w:val="24"/>
          <w:szCs w:val="24"/>
          <w:highlight w:val="none"/>
          <w:u w:val="single"/>
          <w:lang w:eastAsia="zh-CN"/>
        </w:rPr>
        <w:t>JSZC-320900-YCSJ-C2026-0009</w:t>
      </w:r>
      <w:r>
        <w:rPr>
          <w:rFonts w:hint="default" w:ascii="Times New Roman" w:hAnsi="Times New Roman" w:eastAsia="宋体" w:cs="Times New Roman"/>
          <w:color w:val="auto"/>
          <w:sz w:val="24"/>
          <w:szCs w:val="24"/>
          <w:highlight w:val="none"/>
        </w:rPr>
        <w:t>号</w:t>
      </w:r>
      <w:r>
        <w:rPr>
          <w:rFonts w:hint="eastAsia" w:eastAsia="宋体" w:cs="Times New Roman"/>
          <w:color w:val="auto"/>
          <w:sz w:val="24"/>
          <w:szCs w:val="24"/>
          <w:highlight w:val="none"/>
          <w:u w:val="single"/>
          <w:lang w:eastAsia="zh-CN"/>
        </w:rPr>
        <w:t>重金属环境安全隐患排查整治技术服务项目</w:t>
      </w:r>
      <w:r>
        <w:rPr>
          <w:rFonts w:hint="default" w:ascii="Times New Roman" w:hAnsi="Times New Roman" w:eastAsia="宋体" w:cs="Times New Roman"/>
          <w:color w:val="auto"/>
          <w:sz w:val="24"/>
          <w:szCs w:val="24"/>
          <w:highlight w:val="none"/>
        </w:rPr>
        <w:t>采购活动的合法代理人，以本单位名义全权处理一切与该项目采购有关的事务。</w:t>
      </w:r>
    </w:p>
    <w:p>
      <w:pPr>
        <w:pStyle w:val="202"/>
        <w:widowControl/>
        <w:spacing w:before="0" w:after="0" w:line="600" w:lineRule="exact"/>
        <w:ind w:firstLine="482"/>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本授权书于年月日起生效，特此声明。</w:t>
      </w:r>
    </w:p>
    <w:p>
      <w:pPr>
        <w:pStyle w:val="202"/>
        <w:widowControl/>
        <w:tabs>
          <w:tab w:val="left" w:pos="360"/>
        </w:tabs>
        <w:spacing w:before="0" w:after="0" w:line="600" w:lineRule="exact"/>
        <w:ind w:firstLine="482"/>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被授权人身份证号码：</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p>
    <w:p>
      <w:pPr>
        <w:pStyle w:val="202"/>
        <w:widowControl/>
        <w:tabs>
          <w:tab w:val="left" w:pos="360"/>
        </w:tabs>
        <w:spacing w:before="0" w:after="0" w:line="600" w:lineRule="exact"/>
        <w:ind w:firstLine="482"/>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被授权人联系电话：</w:t>
      </w:r>
      <w:r>
        <w:rPr>
          <w:rFonts w:hint="default" w:ascii="Times New Roman" w:hAnsi="Times New Roman" w:eastAsia="宋体" w:cs="Times New Roman"/>
          <w:color w:val="auto"/>
          <w:sz w:val="24"/>
          <w:szCs w:val="24"/>
          <w:highlight w:val="none"/>
          <w:u w:val="single"/>
        </w:rPr>
        <w:t xml:space="preserve">（手机）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p>
    <w:p>
      <w:pPr>
        <w:pStyle w:val="202"/>
        <w:widowControl/>
        <w:tabs>
          <w:tab w:val="left" w:pos="360"/>
        </w:tabs>
        <w:spacing w:before="0" w:after="0" w:line="600" w:lineRule="exact"/>
        <w:ind w:firstLine="482"/>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授权单位名称：</w:t>
      </w:r>
      <w:r>
        <w:rPr>
          <w:rFonts w:hint="default" w:ascii="Times New Roman" w:hAnsi="Times New Roman" w:eastAsia="宋体" w:cs="Times New Roman"/>
          <w:color w:val="auto"/>
          <w:sz w:val="24"/>
          <w:szCs w:val="24"/>
          <w:highlight w:val="none"/>
          <w:u w:val="single"/>
        </w:rPr>
        <w:t xml:space="preserve">    （加盖CA电子公章）    </w:t>
      </w:r>
    </w:p>
    <w:p>
      <w:pPr>
        <w:pStyle w:val="202"/>
        <w:widowControl/>
        <w:tabs>
          <w:tab w:val="left" w:pos="360"/>
        </w:tabs>
        <w:spacing w:before="0" w:after="0" w:line="600" w:lineRule="exact"/>
        <w:ind w:firstLine="482"/>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单位地址：</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p>
    <w:p>
      <w:pPr>
        <w:pStyle w:val="202"/>
        <w:widowControl/>
        <w:tabs>
          <w:tab w:val="left" w:pos="360"/>
        </w:tabs>
        <w:spacing w:before="0" w:after="0" w:line="600" w:lineRule="exact"/>
        <w:ind w:firstLine="482"/>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    期：</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p>
    <w:p>
      <w:pPr>
        <w:pStyle w:val="36"/>
        <w:spacing w:beforeAutospacing="0" w:afterAutospacing="0"/>
        <w:jc w:val="both"/>
        <w:rPr>
          <w:rFonts w:hint="default" w:ascii="Times New Roman" w:hAnsi="Times New Roman" w:cs="Times New Roman"/>
          <w:color w:val="auto"/>
          <w:highlight w:val="none"/>
        </w:rPr>
      </w:pPr>
    </w:p>
    <w:p>
      <w:pPr>
        <w:rPr>
          <w:rFonts w:hint="default" w:ascii="Times New Roman" w:hAnsi="Times New Roman" w:eastAsia="黑体" w:cs="Times New Roman"/>
          <w:i/>
          <w:color w:val="auto"/>
          <w:sz w:val="32"/>
          <w:szCs w:val="32"/>
          <w:highlight w:val="none"/>
          <w:u w:val="single"/>
        </w:rPr>
      </w:pPr>
      <w:r>
        <w:rPr>
          <w:rFonts w:hint="default" w:ascii="Times New Roman" w:hAnsi="Times New Roman" w:eastAsia="黑体" w:cs="Times New Roman"/>
          <w:i/>
          <w:color w:val="auto"/>
          <w:sz w:val="32"/>
          <w:szCs w:val="32"/>
          <w:highlight w:val="none"/>
          <w:u w:val="single"/>
        </w:rPr>
        <w:br w:type="page" w:clear="all"/>
      </w:r>
    </w:p>
    <w:p>
      <w:pPr>
        <w:pStyle w:val="36"/>
        <w:keepNext/>
        <w:keepLines/>
        <w:pageBreakBefore w:val="0"/>
        <w:widowControl w:val="0"/>
        <w:spacing w:before="260" w:beforeAutospacing="0" w:afterAutospacing="0" w:line="416" w:lineRule="auto"/>
        <w:jc w:val="center"/>
        <w:rPr>
          <w:rFonts w:hint="default" w:ascii="Times New Roman" w:hAnsi="Times New Roman" w:cs="Times New Roman"/>
          <w:color w:val="auto"/>
          <w:highlight w:val="none"/>
        </w:rPr>
      </w:pPr>
      <w:r>
        <w:rPr>
          <w:rFonts w:hint="default" w:ascii="Times New Roman" w:hAnsi="Times New Roman" w:eastAsia="黑体" w:cs="Times New Roman"/>
          <w:i/>
          <w:color w:val="auto"/>
          <w:sz w:val="32"/>
          <w:szCs w:val="32"/>
          <w:highlight w:val="none"/>
          <w:u w:val="single"/>
        </w:rPr>
        <w:t>八、磋商响应函</w:t>
      </w:r>
    </w:p>
    <w:p>
      <w:pPr>
        <w:keepNext w:val="0"/>
        <w:keepLines w:val="0"/>
        <w:pageBreakBefore w:val="0"/>
        <w:widowControl w:val="0"/>
        <w:spacing w:line="560" w:lineRule="exact"/>
        <w:jc w:val="left"/>
        <w:outlineLvl w:val="2"/>
        <w:rPr>
          <w:rFonts w:hint="eastAsia"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致：盐城市</w:t>
      </w:r>
      <w:r>
        <w:rPr>
          <w:rFonts w:hint="eastAsia" w:ascii="Times New Roman" w:hAnsi="Times New Roman" w:eastAsia="宋体" w:cs="Times New Roman"/>
          <w:color w:val="auto"/>
          <w:sz w:val="24"/>
          <w:highlight w:val="none"/>
          <w:lang w:eastAsia="zh-CN"/>
        </w:rPr>
        <w:t>生态环境局</w:t>
      </w:r>
    </w:p>
    <w:p>
      <w:pPr>
        <w:keepNext w:val="0"/>
        <w:keepLines w:val="0"/>
        <w:pageBreakBefore w:val="0"/>
        <w:widowControl w:val="0"/>
        <w:spacing w:line="560" w:lineRule="exact"/>
        <w:ind w:firstLine="480"/>
        <w:jc w:val="left"/>
        <w:outlineLvl w:val="2"/>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根据贵方的</w:t>
      </w:r>
      <w:r>
        <w:rPr>
          <w:rFonts w:hint="eastAsia" w:ascii="Times New Roman" w:hAnsi="Times New Roman" w:eastAsia="宋体" w:cs="Times New Roman"/>
          <w:color w:val="auto"/>
          <w:sz w:val="24"/>
          <w:highlight w:val="none"/>
          <w:u w:val="single"/>
          <w:lang w:eastAsia="zh-CN"/>
        </w:rPr>
        <w:t>JSZC-320900-YCSJ-C2026-0009</w:t>
      </w:r>
      <w:r>
        <w:rPr>
          <w:rFonts w:hint="default" w:ascii="Times New Roman" w:hAnsi="Times New Roman" w:eastAsia="宋体" w:cs="Times New Roman"/>
          <w:color w:val="auto"/>
          <w:sz w:val="24"/>
          <w:highlight w:val="none"/>
        </w:rPr>
        <w:t>号磋商文件，正式授权下述签字人____(姓名)代表我方______________（供应商的名称），全权处理本次项目磋商的有关事宜。</w:t>
      </w:r>
    </w:p>
    <w:p>
      <w:pPr>
        <w:keepNext w:val="0"/>
        <w:keepLines w:val="0"/>
        <w:pageBreakBefore w:val="0"/>
        <w:widowControl w:val="0"/>
        <w:spacing w:line="560" w:lineRule="exact"/>
        <w:ind w:firstLine="480"/>
        <w:jc w:val="left"/>
        <w:outlineLvl w:val="2"/>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据此函，__________签字人兹宣布同意如下：</w:t>
      </w:r>
    </w:p>
    <w:p>
      <w:pPr>
        <w:keepNext w:val="0"/>
        <w:keepLines w:val="0"/>
        <w:pageBreakBefore w:val="0"/>
        <w:widowControl w:val="0"/>
        <w:spacing w:line="560" w:lineRule="exact"/>
        <w:ind w:firstLine="480"/>
        <w:jc w:val="left"/>
        <w:outlineLvl w:val="2"/>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1.按磋商文件规定的各项要求，向买方提供所需服务（包含与服务相关的货物）。</w:t>
      </w:r>
    </w:p>
    <w:p>
      <w:pPr>
        <w:keepNext w:val="0"/>
        <w:keepLines w:val="0"/>
        <w:pageBreakBefore w:val="0"/>
        <w:widowControl w:val="0"/>
        <w:spacing w:line="560" w:lineRule="exact"/>
        <w:ind w:firstLine="480"/>
        <w:jc w:val="left"/>
        <w:outlineLvl w:val="2"/>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2.我们完全理解贵方不一定将合同授予最低报价的供应商。</w:t>
      </w:r>
    </w:p>
    <w:p>
      <w:pPr>
        <w:keepNext w:val="0"/>
        <w:keepLines w:val="0"/>
        <w:pageBreakBefore w:val="0"/>
        <w:widowControl w:val="0"/>
        <w:spacing w:line="560" w:lineRule="exact"/>
        <w:ind w:firstLine="480"/>
        <w:jc w:val="left"/>
        <w:outlineLvl w:val="2"/>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3.我们已详细审核全部磋商文件及其有效补充文件，我们知道必须放弃提出含糊不清或误解问题的权利。</w:t>
      </w:r>
    </w:p>
    <w:p>
      <w:pPr>
        <w:keepNext w:val="0"/>
        <w:keepLines w:val="0"/>
        <w:pageBreakBefore w:val="0"/>
        <w:widowControl w:val="0"/>
        <w:spacing w:line="560" w:lineRule="exact"/>
        <w:ind w:firstLine="480"/>
        <w:jc w:val="left"/>
        <w:outlineLvl w:val="2"/>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4.我们同意从规定的开标日期起遵循本响应文件，并在规定的磋商有效期期满之前均具有约束力。</w:t>
      </w:r>
    </w:p>
    <w:p>
      <w:pPr>
        <w:keepNext w:val="0"/>
        <w:keepLines w:val="0"/>
        <w:pageBreakBefore w:val="0"/>
        <w:widowControl w:val="0"/>
        <w:spacing w:line="560" w:lineRule="exact"/>
        <w:ind w:firstLine="480"/>
        <w:jc w:val="left"/>
        <w:outlineLvl w:val="2"/>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5.同意向贵方提供贵方可能另外要求的与磋商有关的任何证据或资料，并保证我方已提供和将要提供的文件是真实的、准确的。</w:t>
      </w:r>
    </w:p>
    <w:p>
      <w:pPr>
        <w:keepNext w:val="0"/>
        <w:keepLines w:val="0"/>
        <w:pageBreakBefore w:val="0"/>
        <w:widowControl w:val="0"/>
        <w:spacing w:line="560" w:lineRule="exact"/>
        <w:ind w:firstLine="480"/>
        <w:jc w:val="left"/>
        <w:outlineLvl w:val="2"/>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6.一旦我方成交,我方将根据磋商文件的规定，严格履行合同的责任和义务,并保证在磋商文件规定的时间完成项目，交付买方验收、使用。</w:t>
      </w:r>
    </w:p>
    <w:p>
      <w:pPr>
        <w:keepNext w:val="0"/>
        <w:keepLines w:val="0"/>
        <w:pageBreakBefore w:val="0"/>
        <w:widowControl w:val="0"/>
        <w:spacing w:line="560" w:lineRule="exact"/>
        <w:ind w:firstLine="480"/>
        <w:jc w:val="left"/>
        <w:outlineLvl w:val="2"/>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7.我方与本磋商有关的正式通讯地址为：</w:t>
      </w:r>
    </w:p>
    <w:p>
      <w:pPr>
        <w:spacing w:line="500" w:lineRule="exact"/>
        <w:ind w:firstLine="48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地     址：</w:t>
      </w:r>
    </w:p>
    <w:p>
      <w:pPr>
        <w:spacing w:line="500" w:lineRule="exact"/>
        <w:ind w:firstLine="48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邮     编：</w:t>
      </w:r>
    </w:p>
    <w:p>
      <w:pPr>
        <w:spacing w:line="500" w:lineRule="exact"/>
        <w:ind w:firstLine="48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电     话：</w:t>
      </w:r>
    </w:p>
    <w:p>
      <w:pPr>
        <w:spacing w:line="500" w:lineRule="exact"/>
        <w:ind w:firstLine="48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传   </w:t>
      </w:r>
      <w:r>
        <w:rPr>
          <w:rFonts w:hint="default" w:ascii="Times New Roman" w:hAnsi="Times New Roman" w:cs="Times New Roman"/>
          <w:color w:val="auto"/>
          <w:sz w:val="24"/>
          <w:highlight w:val="none"/>
          <w:lang w:val="en-US" w:eastAsia="zh-CN"/>
        </w:rPr>
        <w:t xml:space="preserve">  </w:t>
      </w:r>
      <w:r>
        <w:rPr>
          <w:rFonts w:hint="default" w:ascii="Times New Roman" w:hAnsi="Times New Roman" w:cs="Times New Roman"/>
          <w:color w:val="auto"/>
          <w:sz w:val="24"/>
          <w:highlight w:val="none"/>
        </w:rPr>
        <w:t>真：</w:t>
      </w:r>
    </w:p>
    <w:p>
      <w:pPr>
        <w:spacing w:line="500" w:lineRule="exact"/>
        <w:ind w:firstLine="48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投标人开户行：</w:t>
      </w:r>
    </w:p>
    <w:p>
      <w:pPr>
        <w:spacing w:line="500" w:lineRule="exact"/>
        <w:ind w:firstLine="48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账     号： </w:t>
      </w:r>
    </w:p>
    <w:p>
      <w:pPr>
        <w:spacing w:line="500" w:lineRule="exact"/>
        <w:ind w:firstLine="480"/>
        <w:jc w:val="left"/>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日     期：______年____月____日</w:t>
      </w:r>
      <w:r>
        <w:rPr>
          <w:rFonts w:hint="default" w:ascii="Times New Roman" w:hAnsi="Times New Roman" w:cs="Times New Roman"/>
          <w:color w:val="auto"/>
          <w:highlight w:val="none"/>
        </w:rPr>
        <w:t> </w:t>
      </w:r>
    </w:p>
    <w:p>
      <w:pPr>
        <w:widowControl/>
        <w:jc w:val="center"/>
        <w:rPr>
          <w:rFonts w:hint="default" w:ascii="Times New Roman" w:hAnsi="Times New Roman" w:eastAsia="黑体" w:cs="Times New Roman"/>
          <w:b w:val="0"/>
          <w:bCs w:val="0"/>
          <w:i/>
          <w:iCs w:val="0"/>
          <w:color w:val="auto"/>
          <w:sz w:val="32"/>
          <w:szCs w:val="32"/>
          <w:highlight w:val="none"/>
          <w:u w:val="single"/>
        </w:rPr>
      </w:pPr>
      <w:r>
        <w:rPr>
          <w:rFonts w:hint="default" w:ascii="Times New Roman" w:hAnsi="Times New Roman" w:eastAsia="黑体" w:cs="Times New Roman"/>
          <w:b w:val="0"/>
          <w:bCs w:val="0"/>
          <w:i/>
          <w:iCs w:val="0"/>
          <w:color w:val="auto"/>
          <w:sz w:val="32"/>
          <w:szCs w:val="32"/>
          <w:highlight w:val="none"/>
          <w:u w:val="single"/>
        </w:rPr>
        <w:t> 九、中小企业声明函（服务）</w:t>
      </w:r>
    </w:p>
    <w:p>
      <w:pPr>
        <w:pBdr>
          <w:top w:val="none" w:color="000000" w:sz="0" w:space="0"/>
          <w:left w:val="none" w:color="000000" w:sz="0" w:space="0"/>
          <w:bottom w:val="none" w:color="000000" w:sz="0" w:space="0"/>
          <w:right w:val="none" w:color="000000" w:sz="0" w:space="0"/>
        </w:pBdr>
        <w:spacing w:line="519" w:lineRule="atLeast"/>
        <w:ind w:firstLine="48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本公司（联合体）郑重声明，根据《政府采购促进中小企业发展管理办法》(财库〔2020〕46号)的规定，本公司（联合体）参加</w:t>
      </w:r>
      <w:r>
        <w:rPr>
          <w:rFonts w:hint="default" w:ascii="Times New Roman" w:hAnsi="Times New Roman" w:cs="Times New Roman"/>
          <w:color w:val="auto"/>
          <w:sz w:val="24"/>
          <w:highlight w:val="none"/>
          <w:u w:val="single"/>
        </w:rPr>
        <w:t>盐城市</w:t>
      </w:r>
      <w:r>
        <w:rPr>
          <w:rFonts w:hint="default" w:ascii="Times New Roman" w:hAnsi="Times New Roman" w:cs="Times New Roman"/>
          <w:color w:val="auto"/>
          <w:sz w:val="24"/>
          <w:highlight w:val="none"/>
          <w:u w:val="single"/>
          <w:lang w:val="en-US" w:eastAsia="zh-CN"/>
        </w:rPr>
        <w:t>生态环境</w:t>
      </w:r>
      <w:r>
        <w:rPr>
          <w:rFonts w:hint="default" w:ascii="Times New Roman" w:hAnsi="Times New Roman" w:cs="Times New Roman"/>
          <w:color w:val="auto"/>
          <w:sz w:val="24"/>
          <w:highlight w:val="none"/>
          <w:u w:val="single"/>
        </w:rPr>
        <w:t>局</w:t>
      </w:r>
      <w:r>
        <w:rPr>
          <w:rFonts w:hint="default" w:ascii="Times New Roman" w:hAnsi="Times New Roman" w:cs="Times New Roman"/>
          <w:color w:val="auto"/>
          <w:sz w:val="24"/>
          <w:highlight w:val="none"/>
        </w:rPr>
        <w:t>组织的采购编号为</w:t>
      </w:r>
      <w:r>
        <w:rPr>
          <w:rFonts w:hint="eastAsia" w:ascii="Times New Roman" w:hAnsi="Times New Roman" w:cs="Times New Roman"/>
          <w:color w:val="auto"/>
          <w:sz w:val="24"/>
          <w:highlight w:val="none"/>
          <w:u w:val="single"/>
          <w:lang w:eastAsia="zh-CN"/>
        </w:rPr>
        <w:t>JSZC-320900-YCSJ-C2026-0009</w:t>
      </w:r>
      <w:r>
        <w:rPr>
          <w:rFonts w:hint="default" w:ascii="Times New Roman" w:hAnsi="Times New Roman" w:cs="Times New Roman"/>
          <w:color w:val="auto"/>
          <w:sz w:val="24"/>
          <w:highlight w:val="none"/>
        </w:rPr>
        <w:t>，</w:t>
      </w:r>
      <w:r>
        <w:rPr>
          <w:rFonts w:hint="eastAsia" w:ascii="Times New Roman" w:hAnsi="Times New Roman" w:eastAsia="宋体" w:cs="Times New Roman"/>
          <w:color w:val="auto"/>
          <w:sz w:val="24"/>
          <w:highlight w:val="none"/>
          <w:u w:val="single"/>
          <w:lang w:eastAsia="zh-CN"/>
        </w:rPr>
        <w:t>重金属环境安全隐患排查整治技术服务项目</w:t>
      </w:r>
      <w:r>
        <w:rPr>
          <w:rFonts w:hint="default" w:ascii="Times New Roman" w:hAnsi="Times New Roman" w:cs="Times New Roman"/>
          <w:color w:val="auto"/>
          <w:sz w:val="24"/>
          <w:highlight w:val="none"/>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pPr>
        <w:pBdr>
          <w:top w:val="none" w:color="000000" w:sz="0" w:space="0"/>
          <w:left w:val="none" w:color="000000" w:sz="0" w:space="0"/>
          <w:bottom w:val="none" w:color="000000" w:sz="0" w:space="0"/>
          <w:right w:val="none" w:color="000000" w:sz="0" w:space="0"/>
        </w:pBdr>
        <w:spacing w:line="519" w:lineRule="atLeast"/>
        <w:ind w:firstLine="48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1.</w:t>
      </w:r>
      <w:r>
        <w:rPr>
          <w:rFonts w:hint="default" w:ascii="Times New Roman" w:hAnsi="Times New Roman" w:cs="Times New Roman"/>
          <w:i/>
          <w:color w:val="auto"/>
          <w:sz w:val="24"/>
          <w:highlight w:val="none"/>
          <w:u w:val="single"/>
        </w:rPr>
        <w:t>（标的名称）</w:t>
      </w:r>
      <w:r>
        <w:rPr>
          <w:rFonts w:hint="default" w:ascii="Times New Roman" w:hAnsi="Times New Roman" w:cs="Times New Roman"/>
          <w:color w:val="auto"/>
          <w:sz w:val="24"/>
          <w:highlight w:val="none"/>
        </w:rPr>
        <w:t>，属于</w:t>
      </w:r>
      <w:r>
        <w:rPr>
          <w:rFonts w:hint="default" w:ascii="Times New Roman" w:hAnsi="Times New Roman" w:cs="Times New Roman"/>
          <w:i/>
          <w:color w:val="auto"/>
          <w:sz w:val="24"/>
          <w:highlight w:val="none"/>
          <w:u w:val="single"/>
        </w:rPr>
        <w:t>（采购文件中明确的所属行业）</w:t>
      </w:r>
      <w:r>
        <w:rPr>
          <w:rFonts w:hint="default" w:ascii="Times New Roman" w:hAnsi="Times New Roman" w:cs="Times New Roman"/>
          <w:color w:val="auto"/>
          <w:sz w:val="24"/>
          <w:highlight w:val="none"/>
        </w:rPr>
        <w:t>行业；承接企业为（</w:t>
      </w:r>
      <w:r>
        <w:rPr>
          <w:rFonts w:hint="default" w:ascii="Times New Roman" w:hAnsi="Times New Roman" w:cs="Times New Roman"/>
          <w:i/>
          <w:color w:val="auto"/>
          <w:sz w:val="24"/>
          <w:highlight w:val="none"/>
          <w:u w:val="single"/>
        </w:rPr>
        <w:t>企业名称</w:t>
      </w:r>
      <w:r>
        <w:rPr>
          <w:rFonts w:hint="default" w:ascii="Times New Roman" w:hAnsi="Times New Roman" w:cs="Times New Roman"/>
          <w:color w:val="auto"/>
          <w:sz w:val="24"/>
          <w:highlight w:val="none"/>
        </w:rPr>
        <w:t>），从业人员</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人，营业收入为</w:t>
      </w:r>
      <w:r>
        <w:rPr>
          <w:rFonts w:hint="default" w:ascii="Times New Roman" w:hAnsi="Times New Roman" w:cs="Times New Roman"/>
          <w:color w:val="auto"/>
          <w:sz w:val="24"/>
          <w:highlight w:val="none"/>
          <w:u w:val="single"/>
        </w:rPr>
        <w:t>     </w:t>
      </w:r>
      <w:r>
        <w:rPr>
          <w:rFonts w:hint="default" w:ascii="Times New Roman" w:hAnsi="Times New Roman" w:cs="Times New Roman"/>
          <w:color w:val="auto"/>
          <w:sz w:val="24"/>
          <w:highlight w:val="none"/>
        </w:rPr>
        <w:t>万元，资产总额为</w:t>
      </w:r>
      <w:r>
        <w:rPr>
          <w:rFonts w:hint="default" w:ascii="Times New Roman" w:hAnsi="Times New Roman" w:cs="Times New Roman"/>
          <w:color w:val="auto"/>
          <w:sz w:val="24"/>
          <w:highlight w:val="none"/>
          <w:u w:val="single"/>
        </w:rPr>
        <w:t>    </w:t>
      </w:r>
      <w:r>
        <w:rPr>
          <w:rFonts w:hint="default" w:ascii="Times New Roman" w:hAnsi="Times New Roman" w:cs="Times New Roman"/>
          <w:color w:val="auto"/>
          <w:sz w:val="24"/>
          <w:highlight w:val="none"/>
        </w:rPr>
        <w:t>万元，属于（</w:t>
      </w:r>
      <w:r>
        <w:rPr>
          <w:rFonts w:hint="default" w:ascii="Times New Roman" w:hAnsi="Times New Roman" w:cs="Times New Roman"/>
          <w:i/>
          <w:color w:val="auto"/>
          <w:sz w:val="24"/>
          <w:highlight w:val="none"/>
          <w:u w:val="single"/>
        </w:rPr>
        <w:t>中型企业、小型企业、微型企业</w:t>
      </w:r>
      <w:r>
        <w:rPr>
          <w:rFonts w:hint="default" w:ascii="Times New Roman" w:hAnsi="Times New Roman" w:cs="Times New Roman"/>
          <w:color w:val="auto"/>
          <w:sz w:val="24"/>
          <w:highlight w:val="none"/>
        </w:rPr>
        <w:t>）；</w:t>
      </w:r>
    </w:p>
    <w:p>
      <w:pPr>
        <w:pBdr>
          <w:top w:val="none" w:color="000000" w:sz="0" w:space="0"/>
          <w:left w:val="none" w:color="000000" w:sz="0" w:space="0"/>
          <w:bottom w:val="none" w:color="000000" w:sz="0" w:space="0"/>
          <w:right w:val="none" w:color="000000" w:sz="0" w:space="0"/>
        </w:pBdr>
        <w:spacing w:line="519" w:lineRule="atLeast"/>
        <w:ind w:firstLine="48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2.</w:t>
      </w:r>
      <w:r>
        <w:rPr>
          <w:rFonts w:hint="default" w:ascii="Times New Roman" w:hAnsi="Times New Roman" w:cs="Times New Roman"/>
          <w:i/>
          <w:color w:val="auto"/>
          <w:sz w:val="24"/>
          <w:highlight w:val="none"/>
          <w:u w:val="single"/>
        </w:rPr>
        <w:t>（标的名称）</w:t>
      </w:r>
      <w:r>
        <w:rPr>
          <w:rFonts w:hint="default" w:ascii="Times New Roman" w:hAnsi="Times New Roman" w:cs="Times New Roman"/>
          <w:color w:val="auto"/>
          <w:sz w:val="24"/>
          <w:highlight w:val="none"/>
        </w:rPr>
        <w:t>，属于</w:t>
      </w:r>
      <w:r>
        <w:rPr>
          <w:rFonts w:hint="default" w:ascii="Times New Roman" w:hAnsi="Times New Roman" w:cs="Times New Roman"/>
          <w:i/>
          <w:color w:val="auto"/>
          <w:sz w:val="24"/>
          <w:highlight w:val="none"/>
          <w:u w:val="single"/>
        </w:rPr>
        <w:t>（采购文件中明确的所属行业）</w:t>
      </w:r>
      <w:r>
        <w:rPr>
          <w:rFonts w:hint="default" w:ascii="Times New Roman" w:hAnsi="Times New Roman" w:cs="Times New Roman"/>
          <w:color w:val="auto"/>
          <w:sz w:val="24"/>
          <w:highlight w:val="none"/>
        </w:rPr>
        <w:t>行业；承接企业为（</w:t>
      </w:r>
      <w:r>
        <w:rPr>
          <w:rFonts w:hint="default" w:ascii="Times New Roman" w:hAnsi="Times New Roman" w:cs="Times New Roman"/>
          <w:i/>
          <w:color w:val="auto"/>
          <w:sz w:val="24"/>
          <w:highlight w:val="none"/>
          <w:u w:val="single"/>
        </w:rPr>
        <w:t>企业名称</w:t>
      </w:r>
      <w:r>
        <w:rPr>
          <w:rFonts w:hint="default" w:ascii="Times New Roman" w:hAnsi="Times New Roman" w:cs="Times New Roman"/>
          <w:color w:val="auto"/>
          <w:sz w:val="24"/>
          <w:highlight w:val="none"/>
        </w:rPr>
        <w:t>），从业人员</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人，营业收入为</w:t>
      </w:r>
      <w:r>
        <w:rPr>
          <w:rFonts w:hint="default" w:ascii="Times New Roman" w:hAnsi="Times New Roman" w:cs="Times New Roman"/>
          <w:color w:val="auto"/>
          <w:sz w:val="24"/>
          <w:highlight w:val="none"/>
          <w:u w:val="single"/>
        </w:rPr>
        <w:t>     </w:t>
      </w:r>
      <w:r>
        <w:rPr>
          <w:rFonts w:hint="default" w:ascii="Times New Roman" w:hAnsi="Times New Roman" w:cs="Times New Roman"/>
          <w:color w:val="auto"/>
          <w:sz w:val="24"/>
          <w:highlight w:val="none"/>
        </w:rPr>
        <w:t>万元，资产总额为</w:t>
      </w:r>
      <w:r>
        <w:rPr>
          <w:rFonts w:hint="default" w:ascii="Times New Roman" w:hAnsi="Times New Roman" w:cs="Times New Roman"/>
          <w:color w:val="auto"/>
          <w:sz w:val="24"/>
          <w:highlight w:val="none"/>
          <w:u w:val="single"/>
        </w:rPr>
        <w:t>    </w:t>
      </w:r>
      <w:r>
        <w:rPr>
          <w:rFonts w:hint="default" w:ascii="Times New Roman" w:hAnsi="Times New Roman" w:cs="Times New Roman"/>
          <w:color w:val="auto"/>
          <w:sz w:val="24"/>
          <w:highlight w:val="none"/>
        </w:rPr>
        <w:t>万元，属于（</w:t>
      </w:r>
      <w:r>
        <w:rPr>
          <w:rFonts w:hint="default" w:ascii="Times New Roman" w:hAnsi="Times New Roman" w:cs="Times New Roman"/>
          <w:i/>
          <w:color w:val="auto"/>
          <w:sz w:val="24"/>
          <w:highlight w:val="none"/>
          <w:u w:val="single"/>
        </w:rPr>
        <w:t>中型企业、小型企业、微型企业</w:t>
      </w:r>
      <w:r>
        <w:rPr>
          <w:rFonts w:hint="default" w:ascii="Times New Roman" w:hAnsi="Times New Roman" w:cs="Times New Roman"/>
          <w:color w:val="auto"/>
          <w:sz w:val="24"/>
          <w:highlight w:val="none"/>
        </w:rPr>
        <w:t>）；</w:t>
      </w:r>
    </w:p>
    <w:p>
      <w:pPr>
        <w:pBdr>
          <w:top w:val="none" w:color="000000" w:sz="0" w:space="0"/>
          <w:left w:val="none" w:color="000000" w:sz="0" w:space="0"/>
          <w:bottom w:val="none" w:color="000000" w:sz="0" w:space="0"/>
          <w:right w:val="none" w:color="000000" w:sz="0" w:space="0"/>
        </w:pBdr>
        <w:spacing w:line="519" w:lineRule="atLeast"/>
        <w:ind w:firstLine="48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w:t>
      </w:r>
    </w:p>
    <w:p>
      <w:pPr>
        <w:pBdr>
          <w:top w:val="none" w:color="000000" w:sz="0" w:space="0"/>
          <w:left w:val="none" w:color="000000" w:sz="0" w:space="0"/>
          <w:bottom w:val="none" w:color="000000" w:sz="0" w:space="0"/>
          <w:right w:val="none" w:color="000000" w:sz="0" w:space="0"/>
        </w:pBdr>
        <w:spacing w:line="519" w:lineRule="atLeast"/>
        <w:ind w:firstLine="48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以上企业，不属于大企业的分支机构，不存在控股股东为大企业的情形，也不存在与大企业的负责人为同一人的情形。</w:t>
      </w:r>
    </w:p>
    <w:p>
      <w:pPr>
        <w:pBdr>
          <w:top w:val="none" w:color="000000" w:sz="0" w:space="0"/>
          <w:left w:val="none" w:color="000000" w:sz="0" w:space="0"/>
          <w:bottom w:val="none" w:color="000000" w:sz="0" w:space="0"/>
          <w:right w:val="none" w:color="000000" w:sz="0" w:space="0"/>
        </w:pBdr>
        <w:spacing w:line="519" w:lineRule="atLeast"/>
        <w:ind w:firstLine="480"/>
        <w:outlineLvl w:val="2"/>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本企业对上述声明内容的真实性负责。如有虚假，将依法承担相应责任</w:t>
      </w:r>
    </w:p>
    <w:p>
      <w:pPr>
        <w:pBdr>
          <w:top w:val="none" w:color="000000" w:sz="0" w:space="0"/>
          <w:left w:val="none" w:color="000000" w:sz="0" w:space="0"/>
          <w:bottom w:val="none" w:color="000000" w:sz="0" w:space="0"/>
          <w:right w:val="none" w:color="000000" w:sz="0" w:space="0"/>
        </w:pBdr>
        <w:spacing w:line="519" w:lineRule="atLeast"/>
        <w:ind w:firstLine="48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pPr>
        <w:pBdr>
          <w:top w:val="none" w:color="000000" w:sz="0" w:space="0"/>
          <w:left w:val="none" w:color="000000" w:sz="0" w:space="0"/>
          <w:bottom w:val="none" w:color="000000" w:sz="0" w:space="0"/>
          <w:right w:val="none" w:color="000000" w:sz="0" w:space="0"/>
        </w:pBdr>
        <w:spacing w:line="519" w:lineRule="atLeast"/>
        <w:ind w:firstLine="480"/>
        <w:jc w:val="right"/>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企业名称（加盖CA电子公章）：</w:t>
      </w:r>
    </w:p>
    <w:p>
      <w:pPr>
        <w:pBdr>
          <w:top w:val="none" w:color="000000" w:sz="0" w:space="0"/>
          <w:left w:val="none" w:color="000000" w:sz="0" w:space="0"/>
          <w:bottom w:val="none" w:color="000000" w:sz="0" w:space="0"/>
          <w:right w:val="none" w:color="000000" w:sz="0" w:space="0"/>
        </w:pBdr>
        <w:spacing w:line="519" w:lineRule="atLeast"/>
        <w:ind w:firstLine="480"/>
        <w:jc w:val="right"/>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日  期：</w:t>
      </w:r>
    </w:p>
    <w:p>
      <w:pPr>
        <w:pBdr>
          <w:top w:val="none" w:color="000000" w:sz="0" w:space="0"/>
          <w:left w:val="none" w:color="000000" w:sz="0" w:space="0"/>
          <w:bottom w:val="none" w:color="000000" w:sz="0" w:space="0"/>
          <w:right w:val="none" w:color="000000" w:sz="0" w:space="0"/>
        </w:pBdr>
        <w:spacing w:line="499" w:lineRule="atLeast"/>
        <w:ind w:firstLine="48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备注1：从业人员、营业收入、资产总额填报上一年度数据，无上一年度数据的新成立企业可不填报。</w:t>
      </w:r>
    </w:p>
    <w:p>
      <w:pPr>
        <w:pBdr>
          <w:top w:val="none" w:color="000000" w:sz="0" w:space="0"/>
          <w:left w:val="none" w:color="000000" w:sz="0" w:space="0"/>
          <w:bottom w:val="none" w:color="000000" w:sz="0" w:space="0"/>
          <w:right w:val="none" w:color="000000" w:sz="0" w:space="0"/>
        </w:pBdr>
        <w:spacing w:line="499" w:lineRule="atLeast"/>
        <w:ind w:firstLine="48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备注2：供应商如不提供此声明函，价格将不做相应扣除（如项目全面面向中小企业，则资格审查不通过）。</w:t>
      </w:r>
    </w:p>
    <w:p>
      <w:pPr>
        <w:widowControl/>
        <w:jc w:val="center"/>
        <w:rPr>
          <w:rFonts w:hint="default" w:ascii="Times New Roman" w:hAnsi="Times New Roman" w:eastAsia="黑体" w:cs="Times New Roman"/>
          <w:i/>
          <w:color w:val="auto"/>
          <w:sz w:val="32"/>
          <w:szCs w:val="32"/>
          <w:highlight w:val="none"/>
          <w:u w:val="single"/>
        </w:rPr>
      </w:pPr>
    </w:p>
    <w:p>
      <w:pPr>
        <w:widowControl/>
        <w:jc w:val="center"/>
        <w:rPr>
          <w:rFonts w:hint="default" w:ascii="Times New Roman" w:hAnsi="Times New Roman" w:eastAsia="黑体" w:cs="Times New Roman"/>
          <w:i/>
          <w:color w:val="auto"/>
          <w:sz w:val="32"/>
          <w:szCs w:val="32"/>
          <w:highlight w:val="none"/>
          <w:u w:val="single"/>
        </w:rPr>
      </w:pPr>
    </w:p>
    <w:p>
      <w:pPr>
        <w:widowControl/>
        <w:jc w:val="center"/>
        <w:rPr>
          <w:rFonts w:hint="default" w:ascii="Times New Roman" w:hAnsi="Times New Roman" w:eastAsia="黑体" w:cs="Times New Roman"/>
          <w:i/>
          <w:color w:val="auto"/>
          <w:sz w:val="32"/>
          <w:szCs w:val="32"/>
          <w:highlight w:val="none"/>
          <w:u w:val="single"/>
        </w:rPr>
      </w:pPr>
    </w:p>
    <w:p>
      <w:pPr>
        <w:widowControl/>
        <w:jc w:val="center"/>
        <w:rPr>
          <w:rFonts w:hint="default" w:ascii="Times New Roman" w:hAnsi="Times New Roman" w:eastAsia="黑体" w:cs="Times New Roman"/>
          <w:i/>
          <w:color w:val="auto"/>
          <w:sz w:val="32"/>
          <w:szCs w:val="32"/>
          <w:highlight w:val="none"/>
          <w:u w:val="single"/>
        </w:rPr>
      </w:pPr>
      <w:r>
        <w:rPr>
          <w:rFonts w:hint="default" w:ascii="Times New Roman" w:hAnsi="Times New Roman" w:eastAsia="黑体" w:cs="Times New Roman"/>
          <w:i/>
          <w:color w:val="auto"/>
          <w:sz w:val="32"/>
          <w:szCs w:val="32"/>
          <w:highlight w:val="none"/>
          <w:u w:val="single"/>
        </w:rPr>
        <w:t>十、残疾人福利性单位声明函</w:t>
      </w:r>
    </w:p>
    <w:p>
      <w:pPr>
        <w:spacing w:line="520" w:lineRule="exact"/>
        <w:ind w:firstLine="48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cs="Times New Roman"/>
          <w:color w:val="auto"/>
          <w:sz w:val="24"/>
          <w:highlight w:val="none"/>
          <w:u w:val="single"/>
        </w:rPr>
        <w:t>盐城市</w:t>
      </w:r>
      <w:r>
        <w:rPr>
          <w:rFonts w:hint="default" w:ascii="Times New Roman" w:hAnsi="Times New Roman" w:cs="Times New Roman"/>
          <w:color w:val="auto"/>
          <w:sz w:val="24"/>
          <w:highlight w:val="none"/>
          <w:u w:val="single"/>
          <w:lang w:val="en-US" w:eastAsia="zh-CN"/>
        </w:rPr>
        <w:t>生态环境</w:t>
      </w:r>
      <w:r>
        <w:rPr>
          <w:rFonts w:hint="default" w:ascii="Times New Roman" w:hAnsi="Times New Roman" w:cs="Times New Roman"/>
          <w:color w:val="auto"/>
          <w:sz w:val="24"/>
          <w:highlight w:val="none"/>
          <w:u w:val="single"/>
        </w:rPr>
        <w:t>局</w:t>
      </w:r>
      <w:r>
        <w:rPr>
          <w:rFonts w:hint="default" w:ascii="Times New Roman" w:hAnsi="Times New Roman" w:cs="Times New Roman"/>
          <w:color w:val="auto"/>
          <w:sz w:val="24"/>
          <w:highlight w:val="none"/>
        </w:rPr>
        <w:t>的采购文件编号为</w:t>
      </w:r>
      <w:r>
        <w:rPr>
          <w:rFonts w:hint="eastAsia" w:ascii="Times New Roman" w:hAnsi="Times New Roman" w:cs="Times New Roman"/>
          <w:color w:val="auto"/>
          <w:sz w:val="24"/>
          <w:highlight w:val="none"/>
          <w:u w:val="single"/>
          <w:lang w:eastAsia="zh-CN"/>
        </w:rPr>
        <w:t>JSZC-320900-YCSJ-C2026-0009</w:t>
      </w:r>
      <w:r>
        <w:rPr>
          <w:rFonts w:hint="default" w:ascii="Times New Roman" w:hAnsi="Times New Roman" w:cs="Times New Roman"/>
          <w:color w:val="auto"/>
          <w:sz w:val="24"/>
          <w:highlight w:val="none"/>
        </w:rPr>
        <w:t>的</w:t>
      </w:r>
      <w:r>
        <w:rPr>
          <w:rFonts w:hint="eastAsia" w:ascii="Times New Roman" w:hAnsi="Times New Roman" w:eastAsia="宋体" w:cs="Times New Roman"/>
          <w:color w:val="auto"/>
          <w:sz w:val="24"/>
          <w:highlight w:val="none"/>
          <w:u w:val="single"/>
          <w:lang w:eastAsia="zh-CN"/>
        </w:rPr>
        <w:t>重金属环境安全隐患排查整治技术服务项目</w:t>
      </w:r>
      <w:r>
        <w:rPr>
          <w:rFonts w:hint="default" w:ascii="Times New Roman" w:hAnsi="Times New Roman" w:cs="Times New Roman"/>
          <w:color w:val="auto"/>
          <w:sz w:val="24"/>
          <w:highlight w:val="none"/>
        </w:rPr>
        <w:t>采购活动由本单位提供服务。</w:t>
      </w:r>
    </w:p>
    <w:p>
      <w:pPr>
        <w:spacing w:line="520" w:lineRule="exact"/>
        <w:ind w:firstLine="48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本单位对上述声明的真实性负责。如有虚假，将依法承担相应责任。</w:t>
      </w:r>
    </w:p>
    <w:p>
      <w:pPr>
        <w:spacing w:line="500" w:lineRule="exact"/>
        <w:ind w:firstLine="482"/>
        <w:jc w:val="left"/>
        <w:rPr>
          <w:rFonts w:hint="default" w:ascii="Times New Roman" w:hAnsi="Times New Roman" w:cs="Times New Roman"/>
          <w:color w:val="auto"/>
          <w:sz w:val="24"/>
          <w:highlight w:val="none"/>
        </w:rPr>
      </w:pPr>
    </w:p>
    <w:p>
      <w:pPr>
        <w:pBdr>
          <w:top w:val="none" w:color="000000" w:sz="0" w:space="0"/>
          <w:left w:val="none" w:color="000000" w:sz="0" w:space="0"/>
          <w:bottom w:val="none" w:color="000000" w:sz="0" w:space="0"/>
          <w:right w:val="none" w:color="000000" w:sz="0" w:space="0"/>
        </w:pBdr>
        <w:spacing w:line="500" w:lineRule="exact"/>
        <w:ind w:firstLine="482"/>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备注：1、供应商如不提供此声明函，价格将不做相应扣除（如项目全面面向中小企业，则资格审查不通过）。2、中标人为残疾人福利单位的，此声明函将随中标结果同时公告，接受社会监督</w:t>
      </w:r>
    </w:p>
    <w:p>
      <w:pPr>
        <w:spacing w:line="520" w:lineRule="exact"/>
        <w:ind w:firstLine="480"/>
        <w:jc w:val="left"/>
        <w:rPr>
          <w:rFonts w:hint="default" w:ascii="Times New Roman" w:hAnsi="Times New Roman" w:cs="Times New Roman"/>
          <w:color w:val="auto"/>
          <w:sz w:val="24"/>
          <w:highlight w:val="none"/>
        </w:rPr>
      </w:pPr>
    </w:p>
    <w:p>
      <w:pPr>
        <w:spacing w:line="520" w:lineRule="exact"/>
        <w:ind w:firstLine="48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w:t>
      </w:r>
    </w:p>
    <w:p>
      <w:pPr>
        <w:spacing w:line="520" w:lineRule="exact"/>
        <w:ind w:right="480" w:firstLine="480"/>
        <w:jc w:val="righ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企业名称（加盖CA电子公章）：        </w:t>
      </w:r>
    </w:p>
    <w:p>
      <w:pPr>
        <w:pStyle w:val="36"/>
        <w:spacing w:beforeAutospacing="0" w:afterAutospacing="0" w:line="0" w:lineRule="atLeast"/>
        <w:jc w:val="center"/>
        <w:rPr>
          <w:rFonts w:hint="default" w:ascii="Times New Roman" w:hAnsi="Times New Roman" w:cs="Times New Roman"/>
          <w:color w:val="auto"/>
          <w:highlight w:val="none"/>
        </w:rPr>
      </w:pPr>
      <w:r>
        <w:rPr>
          <w:rFonts w:hint="eastAsia" w:ascii="Times New Roman" w:hAnsi="Times New Roman" w:eastAsia="宋体" w:cs="Times New Roman"/>
          <w:color w:val="auto"/>
          <w:sz w:val="24"/>
          <w:highlight w:val="none"/>
          <w:lang w:val="en-US" w:eastAsia="zh-CN"/>
        </w:rPr>
        <w:t xml:space="preserve">            </w:t>
      </w:r>
      <w:r>
        <w:rPr>
          <w:rFonts w:hint="default" w:ascii="Times New Roman" w:hAnsi="Times New Roman" w:cs="Times New Roman"/>
          <w:color w:val="auto"/>
          <w:sz w:val="24"/>
          <w:highlight w:val="none"/>
        </w:rPr>
        <w:t xml:space="preserve">日  期： </w:t>
      </w:r>
    </w:p>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line="0" w:lineRule="atLeast"/>
        <w:jc w:val="cente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r>
        <w:rPr>
          <w:rFonts w:hint="default" w:ascii="Times New Roman" w:hAnsi="Times New Roman" w:eastAsia="黑体" w:cs="Times New Roman"/>
          <w:b/>
          <w:color w:val="auto"/>
          <w:sz w:val="32"/>
          <w:szCs w:val="32"/>
          <w:highlight w:val="none"/>
          <w:lang w:val="en-US" w:eastAsia="zh-CN"/>
        </w:rPr>
        <w:br w:type="page" w:clear="all"/>
      </w:r>
    </w:p>
    <w:p>
      <w:pPr>
        <w:jc w:val="center"/>
        <w:rPr>
          <w:rFonts w:hint="default" w:ascii="Times New Roman" w:hAnsi="Times New Roman" w:eastAsia="黑体" w:cs="Times New Roman"/>
          <w:i/>
          <w:color w:val="auto"/>
          <w:sz w:val="32"/>
          <w:szCs w:val="32"/>
          <w:highlight w:val="none"/>
          <w:u w:val="single"/>
        </w:rPr>
      </w:pPr>
      <w:r>
        <w:rPr>
          <w:rFonts w:hint="default" w:ascii="Times New Roman" w:hAnsi="Times New Roman" w:eastAsia="黑体" w:cs="Times New Roman"/>
          <w:i/>
          <w:color w:val="auto"/>
          <w:sz w:val="32"/>
          <w:szCs w:val="32"/>
          <w:highlight w:val="none"/>
          <w:u w:val="single"/>
        </w:rPr>
        <w:t>十</w:t>
      </w:r>
      <w:r>
        <w:rPr>
          <w:rFonts w:hint="default" w:ascii="Times New Roman" w:hAnsi="Times New Roman" w:eastAsia="黑体" w:cs="Times New Roman"/>
          <w:i/>
          <w:color w:val="auto"/>
          <w:sz w:val="32"/>
          <w:szCs w:val="32"/>
          <w:highlight w:val="none"/>
          <w:u w:val="single"/>
          <w:lang w:eastAsia="zh-CN"/>
        </w:rPr>
        <w:t>一</w:t>
      </w:r>
      <w:r>
        <w:rPr>
          <w:rFonts w:hint="default" w:ascii="Times New Roman" w:hAnsi="Times New Roman" w:eastAsia="黑体" w:cs="Times New Roman"/>
          <w:i/>
          <w:color w:val="auto"/>
          <w:sz w:val="32"/>
          <w:szCs w:val="32"/>
          <w:highlight w:val="none"/>
          <w:u w:val="single"/>
        </w:rPr>
        <w:t>、分项报价表（服务类）</w:t>
      </w:r>
    </w:p>
    <w:tbl>
      <w:tblPr>
        <w:tblStyle w:val="39"/>
        <w:tblW w:w="8397" w:type="dxa"/>
        <w:tblCellSpacing w:w="0" w:type="dxa"/>
        <w:tblInd w:w="10" w:type="dxa"/>
        <w:tblLayout w:type="fixed"/>
        <w:tblCellMar>
          <w:top w:w="0" w:type="dxa"/>
          <w:left w:w="108" w:type="dxa"/>
          <w:bottom w:w="0" w:type="dxa"/>
          <w:right w:w="108" w:type="dxa"/>
        </w:tblCellMar>
      </w:tblPr>
      <w:tblGrid>
        <w:gridCol w:w="982"/>
        <w:gridCol w:w="1257"/>
        <w:gridCol w:w="1174"/>
        <w:gridCol w:w="966"/>
        <w:gridCol w:w="952"/>
        <w:gridCol w:w="1382"/>
        <w:gridCol w:w="1684"/>
      </w:tblGrid>
      <w:tr>
        <w:tblPrEx>
          <w:tblCellMar>
            <w:top w:w="0" w:type="dxa"/>
            <w:left w:w="108" w:type="dxa"/>
            <w:bottom w:w="0" w:type="dxa"/>
            <w:right w:w="108" w:type="dxa"/>
          </w:tblCellMar>
        </w:tblPrEx>
        <w:trPr>
          <w:trHeight w:val="955" w:hRule="atLeast"/>
          <w:tblCellSpacing w:w="0" w:type="dxa"/>
        </w:trPr>
        <w:tc>
          <w:tcPr>
            <w:tcW w:w="982"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序号</w:t>
            </w:r>
          </w:p>
        </w:tc>
        <w:tc>
          <w:tcPr>
            <w:tcW w:w="125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1</w:t>
            </w:r>
          </w:p>
        </w:tc>
        <w:tc>
          <w:tcPr>
            <w:tcW w:w="117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2</w:t>
            </w:r>
          </w:p>
        </w:tc>
        <w:tc>
          <w:tcPr>
            <w:tcW w:w="9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3</w:t>
            </w:r>
          </w:p>
        </w:tc>
        <w:tc>
          <w:tcPr>
            <w:tcW w:w="9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4</w:t>
            </w:r>
          </w:p>
        </w:tc>
        <w:tc>
          <w:tcPr>
            <w:tcW w:w="138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5</w:t>
            </w:r>
          </w:p>
        </w:tc>
        <w:tc>
          <w:tcPr>
            <w:tcW w:w="168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6</w:t>
            </w:r>
          </w:p>
        </w:tc>
      </w:tr>
      <w:tr>
        <w:tblPrEx>
          <w:tblCellMar>
            <w:top w:w="0" w:type="dxa"/>
            <w:left w:w="108" w:type="dxa"/>
            <w:bottom w:w="0" w:type="dxa"/>
            <w:right w:w="108" w:type="dxa"/>
          </w:tblCellMar>
        </w:tblPrEx>
        <w:trPr>
          <w:trHeight w:val="1054" w:hRule="atLeast"/>
          <w:tblCellSpacing w:w="0" w:type="dxa"/>
        </w:trPr>
        <w:tc>
          <w:tcPr>
            <w:tcW w:w="982"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pPr>
              <w:rPr>
                <w:rFonts w:hint="default" w:ascii="Times New Roman" w:hAnsi="Times New Roman" w:cs="Times New Roman"/>
                <w:color w:val="auto"/>
                <w:sz w:val="24"/>
                <w:highlight w:val="none"/>
              </w:rPr>
            </w:pPr>
          </w:p>
        </w:tc>
        <w:tc>
          <w:tcPr>
            <w:tcW w:w="125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分项服务名称</w:t>
            </w:r>
          </w:p>
        </w:tc>
        <w:tc>
          <w:tcPr>
            <w:tcW w:w="117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交付期</w:t>
            </w:r>
          </w:p>
        </w:tc>
        <w:tc>
          <w:tcPr>
            <w:tcW w:w="9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分项单位</w:t>
            </w:r>
          </w:p>
        </w:tc>
        <w:tc>
          <w:tcPr>
            <w:tcW w:w="9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数量</w:t>
            </w:r>
          </w:p>
        </w:tc>
        <w:tc>
          <w:tcPr>
            <w:tcW w:w="138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分项</w:t>
            </w:r>
          </w:p>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单价</w:t>
            </w:r>
          </w:p>
        </w:tc>
        <w:tc>
          <w:tcPr>
            <w:tcW w:w="168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分项</w:t>
            </w:r>
          </w:p>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总价</w:t>
            </w:r>
          </w:p>
        </w:tc>
      </w:tr>
      <w:tr>
        <w:tblPrEx>
          <w:tblCellMar>
            <w:top w:w="0" w:type="dxa"/>
            <w:left w:w="108" w:type="dxa"/>
            <w:bottom w:w="0" w:type="dxa"/>
            <w:right w:w="108" w:type="dxa"/>
          </w:tblCellMar>
        </w:tblPrEx>
        <w:trPr>
          <w:trHeight w:val="855" w:hRule="atLeast"/>
          <w:tblCellSpacing w:w="0" w:type="dxa"/>
        </w:trPr>
        <w:tc>
          <w:tcPr>
            <w:tcW w:w="98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1</w:t>
            </w:r>
          </w:p>
        </w:tc>
        <w:tc>
          <w:tcPr>
            <w:tcW w:w="125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17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9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9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38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68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tblPrEx>
          <w:tblCellMar>
            <w:top w:w="0" w:type="dxa"/>
            <w:left w:w="108" w:type="dxa"/>
            <w:bottom w:w="0" w:type="dxa"/>
            <w:right w:w="108" w:type="dxa"/>
          </w:tblCellMar>
        </w:tblPrEx>
        <w:trPr>
          <w:trHeight w:val="855" w:hRule="atLeast"/>
          <w:tblCellSpacing w:w="0" w:type="dxa"/>
        </w:trPr>
        <w:tc>
          <w:tcPr>
            <w:tcW w:w="98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2</w:t>
            </w:r>
          </w:p>
        </w:tc>
        <w:tc>
          <w:tcPr>
            <w:tcW w:w="125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17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9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9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38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68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tblPrEx>
          <w:tblCellMar>
            <w:top w:w="0" w:type="dxa"/>
            <w:left w:w="108" w:type="dxa"/>
            <w:bottom w:w="0" w:type="dxa"/>
            <w:right w:w="108" w:type="dxa"/>
          </w:tblCellMar>
        </w:tblPrEx>
        <w:trPr>
          <w:trHeight w:val="855" w:hRule="atLeast"/>
          <w:tblCellSpacing w:w="0" w:type="dxa"/>
        </w:trPr>
        <w:tc>
          <w:tcPr>
            <w:tcW w:w="98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3</w:t>
            </w:r>
          </w:p>
        </w:tc>
        <w:tc>
          <w:tcPr>
            <w:tcW w:w="125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17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9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9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38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68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tblPrEx>
          <w:tblCellMar>
            <w:top w:w="0" w:type="dxa"/>
            <w:left w:w="108" w:type="dxa"/>
            <w:bottom w:w="0" w:type="dxa"/>
            <w:right w:w="108" w:type="dxa"/>
          </w:tblCellMar>
        </w:tblPrEx>
        <w:trPr>
          <w:trHeight w:val="855" w:hRule="atLeast"/>
          <w:tblCellSpacing w:w="0" w:type="dxa"/>
        </w:trPr>
        <w:tc>
          <w:tcPr>
            <w:tcW w:w="98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w:t>
            </w:r>
          </w:p>
        </w:tc>
        <w:tc>
          <w:tcPr>
            <w:tcW w:w="125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w:t>
            </w:r>
          </w:p>
        </w:tc>
        <w:tc>
          <w:tcPr>
            <w:tcW w:w="117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9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9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38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68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tblPrEx>
          <w:tblCellMar>
            <w:top w:w="0" w:type="dxa"/>
            <w:left w:w="108" w:type="dxa"/>
            <w:bottom w:w="0" w:type="dxa"/>
            <w:right w:w="108" w:type="dxa"/>
          </w:tblCellMar>
        </w:tblPrEx>
        <w:trPr>
          <w:trHeight w:val="802" w:hRule="atLeast"/>
          <w:tblCellSpacing w:w="0" w:type="dxa"/>
        </w:trPr>
        <w:tc>
          <w:tcPr>
            <w:tcW w:w="6713" w:type="dxa"/>
            <w:gridSpan w:val="6"/>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总报价（人民币：元）</w:t>
            </w:r>
          </w:p>
        </w:tc>
        <w:tc>
          <w:tcPr>
            <w:tcW w:w="168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spacing w:beforeAutospacing="0" w:afterAutospacing="0" w:line="0" w:lineRule="atLeast"/>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bl>
    <w:p>
      <w:pPr>
        <w:pStyle w:val="202"/>
        <w:spacing w:line="560" w:lineRule="exact"/>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2.“投标分项报价表”中“投标总报价”数额应当与“开标一览表”中“投标总报价”数额一致。</w:t>
      </w:r>
    </w:p>
    <w:p>
      <w:pPr>
        <w:rPr>
          <w:rFonts w:hint="default" w:ascii="Times New Roman" w:hAnsi="Times New Roman" w:eastAsia="黑体" w:cs="Times New Roman"/>
          <w:b w:val="0"/>
          <w:bCs/>
          <w:i/>
          <w:color w:val="auto"/>
          <w:sz w:val="32"/>
          <w:szCs w:val="32"/>
          <w:highlight w:val="none"/>
          <w:u w:val="single"/>
        </w:rPr>
      </w:pPr>
      <w:r>
        <w:rPr>
          <w:rFonts w:hint="default" w:ascii="Times New Roman" w:hAnsi="Times New Roman" w:eastAsia="黑体" w:cs="Times New Roman"/>
          <w:b w:val="0"/>
          <w:bCs/>
          <w:i/>
          <w:color w:val="auto"/>
          <w:sz w:val="32"/>
          <w:szCs w:val="32"/>
          <w:highlight w:val="none"/>
          <w:u w:val="single"/>
        </w:rPr>
        <w:br w:type="page" w:clear="all"/>
      </w:r>
    </w:p>
    <w:p>
      <w:pPr>
        <w:pStyle w:val="36"/>
        <w:keepNext/>
        <w:keepLines/>
        <w:spacing w:before="260" w:beforeAutospacing="0" w:after="260" w:afterAutospacing="0" w:line="415" w:lineRule="auto"/>
        <w:jc w:val="center"/>
        <w:rPr>
          <w:rFonts w:hint="default" w:ascii="Times New Roman" w:hAnsi="Times New Roman" w:eastAsia="黑体" w:cs="Times New Roman"/>
          <w:b w:val="0"/>
          <w:bCs/>
          <w:i/>
          <w:color w:val="auto"/>
          <w:sz w:val="32"/>
          <w:szCs w:val="32"/>
          <w:highlight w:val="none"/>
          <w:u w:val="single"/>
        </w:rPr>
      </w:pPr>
      <w:r>
        <w:rPr>
          <w:rFonts w:hint="default" w:ascii="Times New Roman" w:hAnsi="Times New Roman" w:eastAsia="黑体" w:cs="Times New Roman"/>
          <w:b w:val="0"/>
          <w:bCs/>
          <w:i/>
          <w:color w:val="auto"/>
          <w:sz w:val="32"/>
          <w:szCs w:val="32"/>
          <w:highlight w:val="none"/>
          <w:u w:val="single"/>
        </w:rPr>
        <w:t>十</w:t>
      </w:r>
      <w:r>
        <w:rPr>
          <w:rFonts w:hint="default" w:ascii="Times New Roman" w:hAnsi="Times New Roman" w:eastAsia="黑体" w:cs="Times New Roman"/>
          <w:b w:val="0"/>
          <w:bCs/>
          <w:i/>
          <w:color w:val="auto"/>
          <w:sz w:val="32"/>
          <w:szCs w:val="32"/>
          <w:highlight w:val="none"/>
          <w:u w:val="single"/>
          <w:lang w:eastAsia="zh-CN"/>
        </w:rPr>
        <w:t>二</w:t>
      </w:r>
      <w:r>
        <w:rPr>
          <w:rFonts w:hint="default" w:ascii="Times New Roman" w:hAnsi="Times New Roman" w:eastAsia="黑体" w:cs="Times New Roman"/>
          <w:b w:val="0"/>
          <w:bCs/>
          <w:i/>
          <w:color w:val="auto"/>
          <w:sz w:val="32"/>
          <w:szCs w:val="32"/>
          <w:highlight w:val="none"/>
          <w:u w:val="single"/>
        </w:rPr>
        <w:t>、技术要求响应及偏离表</w:t>
      </w:r>
    </w:p>
    <w:tbl>
      <w:tblPr>
        <w:tblStyle w:val="39"/>
        <w:tblW w:w="8477" w:type="dxa"/>
        <w:tblCellSpacing w:w="0" w:type="dxa"/>
        <w:tblInd w:w="10" w:type="dxa"/>
        <w:tblLayout w:type="fixed"/>
        <w:tblCellMar>
          <w:top w:w="0" w:type="dxa"/>
          <w:left w:w="108" w:type="dxa"/>
          <w:bottom w:w="0" w:type="dxa"/>
          <w:right w:w="108" w:type="dxa"/>
        </w:tblCellMar>
      </w:tblPr>
      <w:tblGrid>
        <w:gridCol w:w="908"/>
        <w:gridCol w:w="2482"/>
        <w:gridCol w:w="2250"/>
        <w:gridCol w:w="1622"/>
        <w:gridCol w:w="1215"/>
      </w:tblGrid>
      <w:tr>
        <w:tblPrEx>
          <w:tblCellMar>
            <w:top w:w="0" w:type="dxa"/>
            <w:left w:w="108" w:type="dxa"/>
            <w:bottom w:w="0" w:type="dxa"/>
            <w:right w:w="108" w:type="dxa"/>
          </w:tblCellMar>
        </w:tblPrEx>
        <w:trPr>
          <w:trHeight w:val="740" w:hRule="atLeast"/>
          <w:tblCellSpacing w:w="0" w:type="dxa"/>
        </w:trPr>
        <w:tc>
          <w:tcPr>
            <w:tcW w:w="9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序号</w:t>
            </w:r>
          </w:p>
        </w:tc>
        <w:tc>
          <w:tcPr>
            <w:tcW w:w="24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磋商文件要求</w:t>
            </w:r>
          </w:p>
        </w:tc>
        <w:tc>
          <w:tcPr>
            <w:tcW w:w="2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响应情况</w:t>
            </w:r>
          </w:p>
        </w:tc>
        <w:tc>
          <w:tcPr>
            <w:tcW w:w="16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超出、符合或偏离</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证明</w:t>
            </w:r>
          </w:p>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材料</w:t>
            </w:r>
          </w:p>
        </w:tc>
      </w:tr>
      <w:tr>
        <w:tblPrEx>
          <w:tblCellMar>
            <w:top w:w="0" w:type="dxa"/>
            <w:left w:w="108" w:type="dxa"/>
            <w:bottom w:w="0" w:type="dxa"/>
            <w:right w:w="108" w:type="dxa"/>
          </w:tblCellMar>
        </w:tblPrEx>
        <w:trPr>
          <w:trHeight w:val="757" w:hRule="atLeast"/>
          <w:tblCellSpacing w:w="0" w:type="dxa"/>
        </w:trPr>
        <w:tc>
          <w:tcPr>
            <w:tcW w:w="9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4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6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tblPrEx>
          <w:tblCellMar>
            <w:top w:w="0" w:type="dxa"/>
            <w:left w:w="108" w:type="dxa"/>
            <w:bottom w:w="0" w:type="dxa"/>
            <w:right w:w="108" w:type="dxa"/>
          </w:tblCellMar>
        </w:tblPrEx>
        <w:trPr>
          <w:trHeight w:val="757" w:hRule="atLeast"/>
          <w:tblCellSpacing w:w="0" w:type="dxa"/>
        </w:trPr>
        <w:tc>
          <w:tcPr>
            <w:tcW w:w="9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4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6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tblPrEx>
          <w:tblCellMar>
            <w:top w:w="0" w:type="dxa"/>
            <w:left w:w="108" w:type="dxa"/>
            <w:bottom w:w="0" w:type="dxa"/>
            <w:right w:w="108" w:type="dxa"/>
          </w:tblCellMar>
        </w:tblPrEx>
        <w:trPr>
          <w:trHeight w:val="757" w:hRule="atLeast"/>
          <w:tblCellSpacing w:w="0" w:type="dxa"/>
        </w:trPr>
        <w:tc>
          <w:tcPr>
            <w:tcW w:w="9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4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6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tblPrEx>
          <w:tblCellMar>
            <w:top w:w="0" w:type="dxa"/>
            <w:left w:w="108" w:type="dxa"/>
            <w:bottom w:w="0" w:type="dxa"/>
            <w:right w:w="108" w:type="dxa"/>
          </w:tblCellMar>
        </w:tblPrEx>
        <w:trPr>
          <w:trHeight w:val="757" w:hRule="atLeast"/>
          <w:tblCellSpacing w:w="0" w:type="dxa"/>
        </w:trPr>
        <w:tc>
          <w:tcPr>
            <w:tcW w:w="9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4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6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tblPrEx>
          <w:tblCellMar>
            <w:top w:w="0" w:type="dxa"/>
            <w:left w:w="108" w:type="dxa"/>
            <w:bottom w:w="0" w:type="dxa"/>
            <w:right w:w="108" w:type="dxa"/>
          </w:tblCellMar>
        </w:tblPrEx>
        <w:trPr>
          <w:trHeight w:val="757" w:hRule="atLeast"/>
          <w:tblCellSpacing w:w="0" w:type="dxa"/>
        </w:trPr>
        <w:tc>
          <w:tcPr>
            <w:tcW w:w="9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4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6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tblPrEx>
          <w:tblCellMar>
            <w:top w:w="0" w:type="dxa"/>
            <w:left w:w="108" w:type="dxa"/>
            <w:bottom w:w="0" w:type="dxa"/>
            <w:right w:w="108" w:type="dxa"/>
          </w:tblCellMar>
        </w:tblPrEx>
        <w:trPr>
          <w:trHeight w:val="757" w:hRule="atLeast"/>
          <w:tblCellSpacing w:w="0" w:type="dxa"/>
        </w:trPr>
        <w:tc>
          <w:tcPr>
            <w:tcW w:w="9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4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6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tblPrEx>
          <w:tblCellMar>
            <w:top w:w="0" w:type="dxa"/>
            <w:left w:w="108" w:type="dxa"/>
            <w:bottom w:w="0" w:type="dxa"/>
            <w:right w:w="108" w:type="dxa"/>
          </w:tblCellMar>
        </w:tblPrEx>
        <w:trPr>
          <w:trHeight w:val="757" w:hRule="atLeast"/>
          <w:tblCellSpacing w:w="0" w:type="dxa"/>
        </w:trPr>
        <w:tc>
          <w:tcPr>
            <w:tcW w:w="9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4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w:t>
            </w:r>
          </w:p>
        </w:tc>
        <w:tc>
          <w:tcPr>
            <w:tcW w:w="2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6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bl>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注： 行数不够，可自行添加。</w:t>
      </w:r>
    </w:p>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rPr>
          <w:rFonts w:hint="default" w:ascii="Times New Roman" w:hAnsi="Times New Roman" w:eastAsia="黑体" w:cs="Times New Roman"/>
          <w:b/>
          <w:color w:val="auto"/>
          <w:sz w:val="32"/>
          <w:szCs w:val="32"/>
          <w:highlight w:val="none"/>
        </w:rPr>
      </w:pPr>
      <w:bookmarkStart w:id="69" w:name="_Hlt26955054"/>
      <w:r>
        <w:rPr>
          <w:rFonts w:hint="default" w:ascii="Times New Roman" w:hAnsi="Times New Roman" w:eastAsia="黑体" w:cs="Times New Roman"/>
          <w:b/>
          <w:color w:val="auto"/>
          <w:sz w:val="32"/>
          <w:szCs w:val="32"/>
          <w:highlight w:val="none"/>
        </w:rPr>
        <w:br w:type="page" w:clear="all"/>
      </w:r>
    </w:p>
    <w:p>
      <w:pPr>
        <w:pStyle w:val="36"/>
        <w:keepNext/>
        <w:keepLines/>
        <w:spacing w:before="260" w:beforeAutospacing="0" w:after="260" w:afterAutospacing="0" w:line="415" w:lineRule="auto"/>
        <w:jc w:val="center"/>
        <w:rPr>
          <w:rFonts w:hint="default" w:ascii="Times New Roman" w:hAnsi="Times New Roman" w:eastAsia="黑体" w:cs="Times New Roman"/>
          <w:b w:val="0"/>
          <w:bCs/>
          <w:i/>
          <w:color w:val="auto"/>
          <w:sz w:val="32"/>
          <w:szCs w:val="32"/>
          <w:highlight w:val="none"/>
          <w:u w:val="single"/>
        </w:rPr>
      </w:pPr>
      <w:r>
        <w:rPr>
          <w:rFonts w:hint="default" w:ascii="Times New Roman" w:hAnsi="Times New Roman" w:eastAsia="黑体" w:cs="Times New Roman"/>
          <w:b w:val="0"/>
          <w:bCs/>
          <w:i/>
          <w:color w:val="auto"/>
          <w:sz w:val="32"/>
          <w:szCs w:val="32"/>
          <w:highlight w:val="none"/>
          <w:u w:val="single"/>
          <w:lang w:val="en-US" w:eastAsia="zh-CN"/>
        </w:rPr>
        <w:t>十三、</w:t>
      </w:r>
      <w:r>
        <w:rPr>
          <w:rFonts w:hint="default" w:ascii="Times New Roman" w:hAnsi="Times New Roman" w:eastAsia="黑体" w:cs="Times New Roman"/>
          <w:b w:val="0"/>
          <w:bCs/>
          <w:i/>
          <w:color w:val="auto"/>
          <w:sz w:val="32"/>
          <w:szCs w:val="32"/>
          <w:highlight w:val="none"/>
          <w:u w:val="single"/>
        </w:rPr>
        <w:t>商务要求响应及偏离表</w:t>
      </w:r>
    </w:p>
    <w:tbl>
      <w:tblPr>
        <w:tblStyle w:val="39"/>
        <w:tblW w:w="8477" w:type="dxa"/>
        <w:tblCellSpacing w:w="0" w:type="dxa"/>
        <w:tblInd w:w="10" w:type="dxa"/>
        <w:tblLayout w:type="fixed"/>
        <w:tblCellMar>
          <w:top w:w="0" w:type="dxa"/>
          <w:left w:w="108" w:type="dxa"/>
          <w:bottom w:w="0" w:type="dxa"/>
          <w:right w:w="108" w:type="dxa"/>
        </w:tblCellMar>
      </w:tblPr>
      <w:tblGrid>
        <w:gridCol w:w="908"/>
        <w:gridCol w:w="2482"/>
        <w:gridCol w:w="2250"/>
        <w:gridCol w:w="1622"/>
        <w:gridCol w:w="1215"/>
      </w:tblGrid>
      <w:tr>
        <w:tblPrEx>
          <w:tblCellMar>
            <w:top w:w="0" w:type="dxa"/>
            <w:left w:w="108" w:type="dxa"/>
            <w:bottom w:w="0" w:type="dxa"/>
            <w:right w:w="108" w:type="dxa"/>
          </w:tblCellMar>
        </w:tblPrEx>
        <w:trPr>
          <w:trHeight w:val="740" w:hRule="atLeast"/>
          <w:tblCellSpacing w:w="0" w:type="dxa"/>
        </w:trPr>
        <w:tc>
          <w:tcPr>
            <w:tcW w:w="9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序号</w:t>
            </w:r>
          </w:p>
        </w:tc>
        <w:tc>
          <w:tcPr>
            <w:tcW w:w="24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磋商文件要求</w:t>
            </w:r>
          </w:p>
        </w:tc>
        <w:tc>
          <w:tcPr>
            <w:tcW w:w="2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响应情况</w:t>
            </w:r>
          </w:p>
        </w:tc>
        <w:tc>
          <w:tcPr>
            <w:tcW w:w="16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超出、符合或偏离</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证明</w:t>
            </w:r>
          </w:p>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材料</w:t>
            </w:r>
          </w:p>
        </w:tc>
      </w:tr>
      <w:tr>
        <w:tblPrEx>
          <w:tblCellMar>
            <w:top w:w="0" w:type="dxa"/>
            <w:left w:w="108" w:type="dxa"/>
            <w:bottom w:w="0" w:type="dxa"/>
            <w:right w:w="108" w:type="dxa"/>
          </w:tblCellMar>
        </w:tblPrEx>
        <w:trPr>
          <w:trHeight w:val="757" w:hRule="atLeast"/>
          <w:tblCellSpacing w:w="0" w:type="dxa"/>
        </w:trPr>
        <w:tc>
          <w:tcPr>
            <w:tcW w:w="9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4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6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tblPrEx>
          <w:tblCellMar>
            <w:top w:w="0" w:type="dxa"/>
            <w:left w:w="108" w:type="dxa"/>
            <w:bottom w:w="0" w:type="dxa"/>
            <w:right w:w="108" w:type="dxa"/>
          </w:tblCellMar>
        </w:tblPrEx>
        <w:trPr>
          <w:trHeight w:val="757" w:hRule="atLeast"/>
          <w:tblCellSpacing w:w="0" w:type="dxa"/>
        </w:trPr>
        <w:tc>
          <w:tcPr>
            <w:tcW w:w="9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4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6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tblPrEx>
          <w:tblCellMar>
            <w:top w:w="0" w:type="dxa"/>
            <w:left w:w="108" w:type="dxa"/>
            <w:bottom w:w="0" w:type="dxa"/>
            <w:right w:w="108" w:type="dxa"/>
          </w:tblCellMar>
        </w:tblPrEx>
        <w:trPr>
          <w:trHeight w:val="757" w:hRule="atLeast"/>
          <w:tblCellSpacing w:w="0" w:type="dxa"/>
        </w:trPr>
        <w:tc>
          <w:tcPr>
            <w:tcW w:w="9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4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6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tblPrEx>
          <w:tblCellMar>
            <w:top w:w="0" w:type="dxa"/>
            <w:left w:w="108" w:type="dxa"/>
            <w:bottom w:w="0" w:type="dxa"/>
            <w:right w:w="108" w:type="dxa"/>
          </w:tblCellMar>
        </w:tblPrEx>
        <w:trPr>
          <w:trHeight w:val="757" w:hRule="atLeast"/>
          <w:tblCellSpacing w:w="0" w:type="dxa"/>
        </w:trPr>
        <w:tc>
          <w:tcPr>
            <w:tcW w:w="9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4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6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tblPrEx>
          <w:tblCellMar>
            <w:top w:w="0" w:type="dxa"/>
            <w:left w:w="108" w:type="dxa"/>
            <w:bottom w:w="0" w:type="dxa"/>
            <w:right w:w="108" w:type="dxa"/>
          </w:tblCellMar>
        </w:tblPrEx>
        <w:trPr>
          <w:trHeight w:val="757" w:hRule="atLeast"/>
          <w:tblCellSpacing w:w="0" w:type="dxa"/>
        </w:trPr>
        <w:tc>
          <w:tcPr>
            <w:tcW w:w="9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4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6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tblPrEx>
          <w:tblCellMar>
            <w:top w:w="0" w:type="dxa"/>
            <w:left w:w="108" w:type="dxa"/>
            <w:bottom w:w="0" w:type="dxa"/>
            <w:right w:w="108" w:type="dxa"/>
          </w:tblCellMar>
        </w:tblPrEx>
        <w:trPr>
          <w:trHeight w:val="757" w:hRule="atLeast"/>
          <w:tblCellSpacing w:w="0" w:type="dxa"/>
        </w:trPr>
        <w:tc>
          <w:tcPr>
            <w:tcW w:w="9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4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6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tblPrEx>
          <w:tblCellMar>
            <w:top w:w="0" w:type="dxa"/>
            <w:left w:w="108" w:type="dxa"/>
            <w:bottom w:w="0" w:type="dxa"/>
            <w:right w:w="108" w:type="dxa"/>
          </w:tblCellMar>
        </w:tblPrEx>
        <w:trPr>
          <w:trHeight w:val="757" w:hRule="atLeast"/>
          <w:tblCellSpacing w:w="0" w:type="dxa"/>
        </w:trPr>
        <w:tc>
          <w:tcPr>
            <w:tcW w:w="9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24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w:t>
            </w:r>
          </w:p>
        </w:tc>
        <w:tc>
          <w:tcPr>
            <w:tcW w:w="2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6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bl>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注： 行数不够，可自行添加。</w:t>
      </w:r>
    </w:p>
    <w:p>
      <w:pPr>
        <w:pStyle w:val="36"/>
        <w:spacing w:beforeAutospacing="0" w:afterAutospacing="0" w:line="480" w:lineRule="auto"/>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line="480" w:lineRule="auto"/>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center"/>
        <w:rPr>
          <w:rFonts w:hint="default" w:ascii="Times New Roman" w:hAnsi="Times New Roman" w:cs="Times New Roman"/>
          <w:color w:val="auto"/>
          <w:highlight w:val="none"/>
        </w:rPr>
      </w:pPr>
      <w:bookmarkStart w:id="70" w:name="_Hlt26671374"/>
      <w:bookmarkStart w:id="71" w:name="_Toc462564146"/>
      <w:bookmarkStart w:id="72" w:name="_格式2__法定代表人授权书"/>
      <w:bookmarkStart w:id="73" w:name="_Hlt26609389"/>
      <w:bookmarkStart w:id="74" w:name="_Hlt26955066"/>
      <w:r>
        <w:rPr>
          <w:rFonts w:hint="default" w:ascii="Times New Roman" w:hAnsi="Times New Roman" w:cs="Times New Roman"/>
          <w:color w:val="auto"/>
          <w:highlight w:val="none"/>
        </w:rPr>
        <w:t> </w:t>
      </w:r>
    </w:p>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center"/>
        <w:rPr>
          <w:rFonts w:hint="default" w:ascii="Times New Roman" w:hAnsi="Times New Roman" w:cs="Times New Roman"/>
          <w:color w:val="auto"/>
          <w:highlight w:val="none"/>
        </w:rPr>
      </w:pPr>
    </w:p>
    <w:p>
      <w:pPr>
        <w:pStyle w:val="36"/>
        <w:spacing w:beforeAutospacing="0" w:afterAutospacing="0"/>
        <w:jc w:val="center"/>
        <w:rPr>
          <w:rFonts w:hint="default" w:ascii="Times New Roman" w:hAnsi="Times New Roman" w:cs="Times New Roman"/>
          <w:color w:val="auto"/>
          <w:highlight w:val="none"/>
        </w:rPr>
      </w:pPr>
    </w:p>
    <w:p>
      <w:pPr>
        <w:pStyle w:val="36"/>
        <w:spacing w:beforeAutospacing="0" w:afterAutospacing="0"/>
        <w:jc w:val="center"/>
        <w:rPr>
          <w:rFonts w:hint="default" w:ascii="Times New Roman" w:hAnsi="Times New Roman" w:cs="Times New Roman"/>
          <w:color w:val="auto"/>
          <w:highlight w:val="none"/>
        </w:rPr>
      </w:pPr>
    </w:p>
    <w:p>
      <w:pPr>
        <w:pStyle w:val="36"/>
        <w:spacing w:beforeAutospacing="0" w:afterAutospacing="0"/>
        <w:jc w:val="center"/>
        <w:rPr>
          <w:rFonts w:hint="default" w:ascii="Times New Roman" w:hAnsi="Times New Roman" w:cs="Times New Roman"/>
          <w:color w:val="auto"/>
          <w:highlight w:val="none"/>
        </w:rPr>
      </w:pPr>
    </w:p>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br w:type="page" w:clear="all"/>
      </w:r>
    </w:p>
    <w:p>
      <w:pPr>
        <w:pStyle w:val="36"/>
        <w:keepNext/>
        <w:keepLines/>
        <w:spacing w:before="260" w:beforeAutospacing="0" w:after="260" w:afterAutospacing="0" w:line="415" w:lineRule="auto"/>
        <w:jc w:val="center"/>
        <w:rPr>
          <w:rFonts w:hint="default" w:ascii="Times New Roman" w:hAnsi="Times New Roman" w:eastAsia="黑体" w:cs="Times New Roman"/>
          <w:b w:val="0"/>
          <w:bCs/>
          <w:i/>
          <w:color w:val="auto"/>
          <w:sz w:val="32"/>
          <w:szCs w:val="32"/>
          <w:highlight w:val="none"/>
          <w:u w:val="single"/>
        </w:rPr>
      </w:pPr>
      <w:r>
        <w:rPr>
          <w:rFonts w:hint="default" w:ascii="Times New Roman" w:hAnsi="Times New Roman" w:eastAsia="黑体" w:cs="Times New Roman"/>
          <w:b w:val="0"/>
          <w:bCs/>
          <w:i/>
          <w:color w:val="auto"/>
          <w:sz w:val="32"/>
          <w:szCs w:val="32"/>
          <w:highlight w:val="none"/>
          <w:u w:val="single"/>
          <w:lang w:val="en-US" w:eastAsia="zh-CN"/>
        </w:rPr>
        <w:t>十四、磋商报价表</w:t>
      </w:r>
    </w:p>
    <w:p>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jc w:val="left"/>
        <w:rPr>
          <w:rFonts w:hint="default" w:ascii="Times New Roman" w:hAnsi="Times New Roman" w:eastAsia="宋体" w:cs="Times New Roman"/>
          <w:color w:val="auto"/>
          <w:highlight w:val="none"/>
        </w:rPr>
      </w:pPr>
      <w:r>
        <w:rPr>
          <w:rFonts w:hint="default" w:ascii="Times New Roman" w:hAnsi="Times New Roman" w:cs="Times New Roman"/>
          <w:color w:val="auto"/>
          <w:sz w:val="24"/>
          <w:szCs w:val="24"/>
          <w:highlight w:val="none"/>
        </w:rPr>
        <w:t>本次为首次报价     </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货币单位：人民币元</w:t>
      </w:r>
    </w:p>
    <w:p>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rPr>
        <w:t>项目编号：</w:t>
      </w:r>
      <w:r>
        <w:rPr>
          <w:rFonts w:hint="eastAsia" w:ascii="Times New Roman" w:hAnsi="Times New Roman" w:eastAsia="宋体" w:cs="Times New Roman"/>
          <w:color w:val="auto"/>
          <w:sz w:val="24"/>
          <w:highlight w:val="none"/>
          <w:lang w:eastAsia="zh-CN"/>
        </w:rPr>
        <w:t>JSZC-320900-YCSJ-C2026-0009</w:t>
      </w:r>
    </w:p>
    <w:tbl>
      <w:tblPr>
        <w:tblStyle w:val="39"/>
        <w:tblW w:w="8409" w:type="dxa"/>
        <w:tblCellSpacing w:w="0" w:type="dxa"/>
        <w:tblInd w:w="30" w:type="dxa"/>
        <w:tblLayout w:type="fixed"/>
        <w:tblCellMar>
          <w:top w:w="0" w:type="dxa"/>
          <w:left w:w="108" w:type="dxa"/>
          <w:bottom w:w="0" w:type="dxa"/>
          <w:right w:w="108" w:type="dxa"/>
        </w:tblCellMar>
      </w:tblPr>
      <w:tblGrid>
        <w:gridCol w:w="3009"/>
        <w:gridCol w:w="2951"/>
        <w:gridCol w:w="2449"/>
      </w:tblGrid>
      <w:tr>
        <w:tblPrEx>
          <w:tblCellMar>
            <w:top w:w="0" w:type="dxa"/>
            <w:left w:w="108" w:type="dxa"/>
            <w:bottom w:w="0" w:type="dxa"/>
            <w:right w:w="108" w:type="dxa"/>
          </w:tblCellMar>
        </w:tblPrEx>
        <w:trPr>
          <w:tblCellSpacing w:w="0" w:type="dxa"/>
        </w:trPr>
        <w:tc>
          <w:tcPr>
            <w:tcW w:w="3009"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项目名称</w:t>
            </w:r>
          </w:p>
        </w:tc>
        <w:tc>
          <w:tcPr>
            <w:tcW w:w="2951"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项目内容</w:t>
            </w:r>
          </w:p>
        </w:tc>
        <w:tc>
          <w:tcPr>
            <w:tcW w:w="2449"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总价（小写）</w:t>
            </w:r>
          </w:p>
        </w:tc>
      </w:tr>
      <w:tr>
        <w:tblPrEx>
          <w:tblCellMar>
            <w:top w:w="0" w:type="dxa"/>
            <w:left w:w="108" w:type="dxa"/>
            <w:bottom w:w="0" w:type="dxa"/>
            <w:right w:w="108" w:type="dxa"/>
          </w:tblCellMar>
        </w:tblPrEx>
        <w:trPr>
          <w:tblCellSpacing w:w="0" w:type="dxa"/>
        </w:trPr>
        <w:tc>
          <w:tcPr>
            <w:tcW w:w="3009"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0"/>
                <w:highlight w:val="none"/>
                <w:lang w:eastAsia="zh-CN"/>
              </w:rPr>
              <w:t>重金属环境安全隐患排查整治技术服务项目</w:t>
            </w:r>
          </w:p>
        </w:tc>
        <w:tc>
          <w:tcPr>
            <w:tcW w:w="2951"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详见响应文件</w:t>
            </w:r>
          </w:p>
        </w:tc>
        <w:tc>
          <w:tcPr>
            <w:tcW w:w="2449"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元</w:t>
            </w:r>
          </w:p>
        </w:tc>
      </w:tr>
      <w:tr>
        <w:tblPrEx>
          <w:tblCellMar>
            <w:top w:w="0" w:type="dxa"/>
            <w:left w:w="108" w:type="dxa"/>
            <w:bottom w:w="0" w:type="dxa"/>
            <w:right w:w="108" w:type="dxa"/>
          </w:tblCellMar>
        </w:tblPrEx>
        <w:trPr>
          <w:trHeight w:val="1016" w:hRule="atLeast"/>
          <w:tblCellSpacing w:w="0" w:type="dxa"/>
        </w:trPr>
        <w:tc>
          <w:tcPr>
            <w:tcW w:w="3009"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总价（大写）：</w:t>
            </w:r>
          </w:p>
        </w:tc>
        <w:tc>
          <w:tcPr>
            <w:tcW w:w="5400" w:type="dxa"/>
            <w:gridSpan w:val="2"/>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金额大写</w:t>
            </w:r>
          </w:p>
        </w:tc>
      </w:tr>
    </w:tbl>
    <w:p>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报价说明:</w:t>
      </w:r>
    </w:p>
    <w:p>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rPr>
        <w:t>1、报价包括完成项目的所有费用，采购人不再支付报价以外的任何费用。</w:t>
      </w:r>
    </w:p>
    <w:p>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rPr>
        <w:t>2、报价以总价为准，大小写不一致以大写为准。</w:t>
      </w:r>
    </w:p>
    <w:p>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jc w:val="left"/>
        <w:rPr>
          <w:rFonts w:hint="default" w:ascii="Times New Roman" w:hAnsi="Times New Roman" w:cs="Times New Roman"/>
          <w:color w:val="auto"/>
          <w:highlight w:val="none"/>
        </w:rPr>
      </w:pPr>
      <w:r>
        <w:rPr>
          <w:rFonts w:hint="default" w:ascii="Times New Roman" w:hAnsi="Times New Roman" w:eastAsia="宋体" w:cs="Times New Roman"/>
          <w:color w:val="auto"/>
          <w:sz w:val="24"/>
          <w:szCs w:val="24"/>
          <w:highlight w:val="none"/>
        </w:rPr>
        <w:t>3、偏离说明:详见《偏离表》。   </w:t>
      </w:r>
      <w:r>
        <w:rPr>
          <w:rFonts w:hint="default" w:ascii="Times New Roman" w:hAnsi="Times New Roman" w:cs="Times New Roman"/>
          <w:color w:val="auto"/>
          <w:highlight w:val="none"/>
        </w:rPr>
        <w:t> </w:t>
      </w:r>
    </w:p>
    <w:p>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                                     </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   </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供应商（电子签章）：</w:t>
      </w:r>
    </w:p>
    <w:p>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jc w:val="both"/>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                                         </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 日期：    年    月    日</w:t>
      </w:r>
    </w:p>
    <w:p>
      <w:pPr>
        <w:pStyle w:val="36"/>
        <w:spacing w:beforeAutospacing="0" w:afterAutospacing="0" w:line="0" w:lineRule="atLeast"/>
        <w:ind w:firstLine="480"/>
        <w:jc w:val="both"/>
        <w:rPr>
          <w:rFonts w:hint="default" w:ascii="Times New Roman" w:hAnsi="Times New Roman" w:eastAsia="宋体" w:cs="Times New Roman"/>
          <w:color w:val="auto"/>
          <w:highlight w:val="none"/>
        </w:rPr>
      </w:pPr>
    </w:p>
    <w:p>
      <w:pPr>
        <w:pStyle w:val="36"/>
        <w:spacing w:beforeAutospacing="0" w:afterAutospacing="0" w:line="0" w:lineRule="atLeast"/>
        <w:ind w:firstLine="480"/>
        <w:jc w:val="both"/>
        <w:rPr>
          <w:rFonts w:hint="default" w:ascii="Times New Roman" w:hAnsi="Times New Roman" w:eastAsia="宋体" w:cs="Times New Roman"/>
          <w:color w:val="auto"/>
          <w:highlight w:val="none"/>
        </w:rPr>
      </w:pPr>
    </w:p>
    <w:p>
      <w:pPr>
        <w:pStyle w:val="36"/>
        <w:spacing w:beforeAutospacing="0" w:afterAutospacing="0" w:line="0" w:lineRule="atLeast"/>
        <w:ind w:firstLine="480"/>
        <w:jc w:val="both"/>
        <w:rPr>
          <w:rFonts w:hint="default" w:ascii="Times New Roman" w:hAnsi="Times New Roman" w:eastAsia="宋体" w:cs="Times New Roman"/>
          <w:color w:val="auto"/>
          <w:highlight w:val="none"/>
        </w:rPr>
      </w:pPr>
    </w:p>
    <w:p>
      <w:pPr>
        <w:rPr>
          <w:rFonts w:hint="default" w:ascii="Times New Roman" w:hAnsi="Times New Roman" w:eastAsia="黑体" w:cs="Times New Roman"/>
          <w:b/>
          <w:color w:val="auto"/>
          <w:sz w:val="32"/>
          <w:szCs w:val="32"/>
          <w:highlight w:val="none"/>
        </w:rPr>
      </w:pPr>
      <w:r>
        <w:rPr>
          <w:rFonts w:hint="default" w:ascii="Times New Roman" w:hAnsi="Times New Roman" w:eastAsia="宋体" w:cs="Times New Roman"/>
          <w:color w:val="auto"/>
          <w:highlight w:val="none"/>
          <w:lang w:val="en-US" w:eastAsia="zh-CN"/>
        </w:rPr>
        <w:br w:type="page" w:clear="all"/>
      </w:r>
    </w:p>
    <w:p>
      <w:pPr>
        <w:pStyle w:val="36"/>
        <w:keepNext/>
        <w:keepLines/>
        <w:spacing w:before="260" w:beforeAutospacing="0" w:after="260" w:afterAutospacing="0" w:line="415" w:lineRule="auto"/>
        <w:jc w:val="center"/>
        <w:rPr>
          <w:rFonts w:hint="default" w:ascii="Times New Roman" w:hAnsi="Times New Roman" w:eastAsia="黑体" w:cs="Times New Roman"/>
          <w:i/>
          <w:color w:val="auto"/>
          <w:sz w:val="32"/>
          <w:szCs w:val="32"/>
          <w:highlight w:val="none"/>
          <w:u w:val="single"/>
        </w:rPr>
      </w:pPr>
      <w:r>
        <w:rPr>
          <w:rFonts w:hint="default" w:ascii="Times New Roman" w:hAnsi="Times New Roman" w:eastAsia="黑体" w:cs="Times New Roman"/>
          <w:i/>
          <w:color w:val="auto"/>
          <w:sz w:val="32"/>
          <w:szCs w:val="32"/>
          <w:highlight w:val="none"/>
          <w:u w:val="single"/>
          <w:lang w:val="en-US" w:eastAsia="zh-CN" w:bidi="ar-SA"/>
        </w:rPr>
        <w:t>十五、技术方案、服务承诺、培训承诺等</w:t>
      </w:r>
    </w:p>
    <w:p>
      <w:pPr>
        <w:pStyle w:val="36"/>
        <w:tabs>
          <w:tab w:val="left" w:pos="2160"/>
        </w:tabs>
        <w:spacing w:beforeAutospacing="0" w:afterAutospacing="0"/>
        <w:jc w:val="both"/>
        <w:rPr>
          <w:rFonts w:hint="default" w:ascii="Times New Roman" w:hAnsi="Times New Roman" w:cs="Times New Roman"/>
          <w:color w:val="auto"/>
          <w:highlight w:val="none"/>
        </w:rPr>
      </w:pPr>
    </w:p>
    <w:p>
      <w:pPr>
        <w:widowControl/>
        <w:spacing w:line="499" w:lineRule="atLeast"/>
        <w:ind w:firstLine="1600"/>
        <w:rPr>
          <w:rFonts w:hint="default" w:ascii="Times New Roman" w:hAnsi="Times New Roman" w:eastAsia="宋体" w:cs="Times New Roman"/>
          <w:color w:val="auto"/>
          <w:sz w:val="32"/>
          <w:szCs w:val="32"/>
          <w:highlight w:val="none"/>
        </w:rPr>
      </w:pPr>
    </w:p>
    <w:p>
      <w:pPr>
        <w:widowControl/>
        <w:spacing w:line="499" w:lineRule="atLeast"/>
        <w:ind w:firstLine="1600"/>
        <w:rPr>
          <w:rFonts w:hint="default" w:ascii="Times New Roman" w:hAnsi="Times New Roman" w:eastAsia="宋体" w:cs="Times New Roman"/>
          <w:color w:val="auto"/>
          <w:sz w:val="32"/>
          <w:szCs w:val="32"/>
          <w:highlight w:val="none"/>
        </w:rPr>
      </w:pPr>
    </w:p>
    <w:p>
      <w:pPr>
        <w:widowControl/>
        <w:spacing w:line="499" w:lineRule="atLeast"/>
        <w:ind w:firstLine="1600"/>
        <w:rPr>
          <w:rFonts w:hint="default" w:ascii="Times New Roman" w:hAnsi="Times New Roman" w:eastAsia="宋体" w:cs="Times New Roman"/>
          <w:color w:val="auto"/>
          <w:sz w:val="32"/>
          <w:szCs w:val="32"/>
          <w:highlight w:val="none"/>
        </w:rPr>
      </w:pPr>
    </w:p>
    <w:p>
      <w:pPr>
        <w:widowControl/>
        <w:spacing w:line="499" w:lineRule="atLeast"/>
        <w:ind w:firstLine="1600"/>
        <w:rPr>
          <w:rFonts w:hint="default" w:ascii="Times New Roman" w:hAnsi="Times New Roman" w:eastAsia="宋体" w:cs="Times New Roman"/>
          <w:color w:val="auto"/>
          <w:sz w:val="32"/>
          <w:szCs w:val="32"/>
          <w:highlight w:val="none"/>
        </w:rPr>
      </w:pPr>
    </w:p>
    <w:p>
      <w:pPr>
        <w:widowControl/>
        <w:spacing w:line="499" w:lineRule="atLeast"/>
        <w:ind w:firstLine="1600"/>
        <w:rPr>
          <w:rFonts w:hint="default" w:ascii="Times New Roman" w:hAnsi="Times New Roman" w:eastAsia="宋体" w:cs="Times New Roman"/>
          <w:color w:val="auto"/>
          <w:sz w:val="32"/>
          <w:szCs w:val="32"/>
          <w:highlight w:val="none"/>
        </w:rPr>
      </w:pPr>
    </w:p>
    <w:p>
      <w:pPr>
        <w:widowControl/>
        <w:spacing w:line="499" w:lineRule="atLeast"/>
        <w:ind w:firstLine="1600"/>
        <w:rPr>
          <w:rFonts w:hint="default" w:ascii="Times New Roman" w:hAnsi="Times New Roman" w:eastAsia="宋体" w:cs="Times New Roman"/>
          <w:color w:val="auto"/>
          <w:sz w:val="32"/>
          <w:szCs w:val="32"/>
          <w:highlight w:val="none"/>
        </w:rPr>
      </w:pPr>
    </w:p>
    <w:p>
      <w:pPr>
        <w:widowControl/>
        <w:spacing w:line="499" w:lineRule="atLeast"/>
        <w:ind w:firstLine="1600"/>
        <w:rPr>
          <w:rFonts w:hint="default" w:ascii="Times New Roman" w:hAnsi="Times New Roman" w:eastAsia="宋体" w:cs="Times New Roman"/>
          <w:color w:val="auto"/>
          <w:sz w:val="32"/>
          <w:szCs w:val="32"/>
          <w:highlight w:val="none"/>
        </w:rPr>
      </w:pPr>
    </w:p>
    <w:p>
      <w:pPr>
        <w:widowControl/>
        <w:spacing w:line="499" w:lineRule="atLeast"/>
        <w:ind w:firstLine="1600"/>
        <w:rPr>
          <w:rFonts w:hint="default" w:ascii="Times New Roman" w:hAnsi="Times New Roman" w:eastAsia="宋体" w:cs="Times New Roman"/>
          <w:color w:val="auto"/>
          <w:sz w:val="32"/>
          <w:szCs w:val="32"/>
          <w:highlight w:val="none"/>
        </w:rPr>
      </w:pPr>
    </w:p>
    <w:p>
      <w:pPr>
        <w:widowControl/>
        <w:spacing w:line="499" w:lineRule="atLeast"/>
        <w:ind w:firstLine="1600"/>
        <w:rPr>
          <w:rFonts w:hint="default" w:ascii="Times New Roman" w:hAnsi="Times New Roman" w:eastAsia="宋体" w:cs="Times New Roman"/>
          <w:color w:val="auto"/>
          <w:sz w:val="32"/>
          <w:szCs w:val="32"/>
          <w:highlight w:val="none"/>
        </w:rPr>
      </w:pPr>
    </w:p>
    <w:p>
      <w:pPr>
        <w:widowControl/>
        <w:spacing w:line="499" w:lineRule="atLeast"/>
        <w:ind w:firstLine="1600"/>
        <w:rPr>
          <w:rFonts w:hint="default" w:ascii="Times New Roman" w:hAnsi="Times New Roman" w:eastAsia="宋体" w:cs="Times New Roman"/>
          <w:color w:val="auto"/>
          <w:sz w:val="32"/>
          <w:szCs w:val="32"/>
          <w:highlight w:val="none"/>
        </w:rPr>
      </w:pPr>
    </w:p>
    <w:p>
      <w:pPr>
        <w:widowControl/>
        <w:spacing w:line="499" w:lineRule="atLeast"/>
        <w:ind w:firstLine="1600"/>
        <w:rPr>
          <w:rFonts w:hint="default" w:ascii="Times New Roman" w:hAnsi="Times New Roman" w:eastAsia="宋体" w:cs="Times New Roman"/>
          <w:color w:val="auto"/>
          <w:sz w:val="32"/>
          <w:szCs w:val="32"/>
          <w:highlight w:val="none"/>
        </w:rPr>
      </w:pPr>
    </w:p>
    <w:p>
      <w:pPr>
        <w:widowControl/>
        <w:spacing w:line="499" w:lineRule="atLeast"/>
        <w:ind w:firstLine="1600"/>
        <w:rPr>
          <w:rFonts w:hint="default" w:ascii="Times New Roman" w:hAnsi="Times New Roman" w:eastAsia="宋体" w:cs="Times New Roman"/>
          <w:color w:val="auto"/>
          <w:sz w:val="32"/>
          <w:szCs w:val="32"/>
          <w:highlight w:val="none"/>
        </w:rPr>
      </w:pPr>
    </w:p>
    <w:p>
      <w:pPr>
        <w:widowControl/>
        <w:spacing w:line="499" w:lineRule="atLeast"/>
        <w:ind w:firstLine="1600"/>
        <w:rPr>
          <w:rFonts w:hint="default" w:ascii="Times New Roman" w:hAnsi="Times New Roman" w:eastAsia="宋体" w:cs="Times New Roman"/>
          <w:color w:val="auto"/>
          <w:sz w:val="32"/>
          <w:szCs w:val="32"/>
          <w:highlight w:val="none"/>
        </w:rPr>
      </w:pPr>
    </w:p>
    <w:p>
      <w:pPr>
        <w:widowControl/>
        <w:spacing w:line="499" w:lineRule="atLeast"/>
        <w:ind w:firstLine="1600"/>
        <w:rPr>
          <w:rFonts w:hint="default" w:ascii="Times New Roman" w:hAnsi="Times New Roman" w:eastAsia="宋体" w:cs="Times New Roman"/>
          <w:color w:val="auto"/>
          <w:sz w:val="32"/>
          <w:szCs w:val="32"/>
          <w:highlight w:val="none"/>
        </w:rPr>
      </w:pPr>
    </w:p>
    <w:p>
      <w:pPr>
        <w:widowControl/>
        <w:spacing w:line="499" w:lineRule="atLeast"/>
        <w:ind w:firstLine="1600"/>
        <w:rPr>
          <w:rFonts w:hint="default" w:ascii="Times New Roman" w:hAnsi="Times New Roman" w:eastAsia="宋体" w:cs="Times New Roman"/>
          <w:color w:val="auto"/>
          <w:sz w:val="32"/>
          <w:szCs w:val="32"/>
          <w:highlight w:val="none"/>
        </w:rPr>
      </w:pPr>
    </w:p>
    <w:p>
      <w:pPr>
        <w:widowControl/>
        <w:spacing w:line="499" w:lineRule="atLeast"/>
        <w:ind w:firstLine="1600"/>
        <w:rPr>
          <w:rFonts w:hint="default" w:ascii="Times New Roman" w:hAnsi="Times New Roman" w:eastAsia="宋体" w:cs="Times New Roman"/>
          <w:color w:val="auto"/>
          <w:sz w:val="32"/>
          <w:szCs w:val="32"/>
          <w:highlight w:val="none"/>
        </w:rPr>
      </w:pPr>
    </w:p>
    <w:p>
      <w:pPr>
        <w:widowControl/>
        <w:spacing w:line="499" w:lineRule="atLeast"/>
        <w:ind w:firstLine="1600"/>
        <w:rPr>
          <w:rFonts w:hint="default" w:ascii="Times New Roman" w:hAnsi="Times New Roman" w:eastAsia="宋体" w:cs="Times New Roman"/>
          <w:color w:val="auto"/>
          <w:sz w:val="32"/>
          <w:szCs w:val="32"/>
          <w:highlight w:val="none"/>
        </w:rPr>
      </w:pPr>
    </w:p>
    <w:p>
      <w:pPr>
        <w:widowControl/>
        <w:spacing w:line="499" w:lineRule="atLeast"/>
        <w:ind w:firstLine="1600"/>
        <w:rPr>
          <w:rFonts w:hint="default" w:ascii="Times New Roman" w:hAnsi="Times New Roman" w:eastAsia="宋体" w:cs="Times New Roman"/>
          <w:color w:val="auto"/>
          <w:sz w:val="32"/>
          <w:szCs w:val="32"/>
          <w:highlight w:val="none"/>
        </w:rPr>
      </w:pPr>
    </w:p>
    <w:p>
      <w:pPr>
        <w:widowControl/>
        <w:spacing w:line="499" w:lineRule="atLeast"/>
        <w:rPr>
          <w:rFonts w:hint="default" w:ascii="Times New Roman" w:hAnsi="Times New Roman" w:eastAsia="宋体" w:cs="Times New Roman"/>
          <w:color w:val="auto"/>
          <w:sz w:val="32"/>
          <w:szCs w:val="32"/>
          <w:highlight w:val="none"/>
        </w:rPr>
      </w:pPr>
    </w:p>
    <w:p>
      <w:pPr>
        <w:pStyle w:val="36"/>
        <w:keepNext/>
        <w:keepLines/>
        <w:spacing w:before="260" w:beforeAutospacing="0" w:after="260" w:afterAutospacing="0" w:line="415" w:lineRule="auto"/>
        <w:jc w:val="center"/>
        <w:rPr>
          <w:rFonts w:hint="default" w:ascii="Times New Roman" w:hAnsi="Times New Roman" w:eastAsia="黑体" w:cs="Times New Roman"/>
          <w:i/>
          <w:color w:val="auto"/>
          <w:sz w:val="32"/>
          <w:szCs w:val="32"/>
          <w:highlight w:val="none"/>
          <w:u w:val="single"/>
        </w:rPr>
        <w:sectPr>
          <w:footerReference r:id="rId5" w:type="default"/>
          <w:pgSz w:w="11906" w:h="16838"/>
          <w:pgMar w:top="1440" w:right="1633" w:bottom="1440" w:left="1633" w:header="851" w:footer="992" w:gutter="0"/>
          <w:cols w:space="0" w:num="1"/>
          <w:docGrid w:linePitch="360" w:charSpace="0"/>
        </w:sectPr>
      </w:pPr>
    </w:p>
    <w:p>
      <w:pPr>
        <w:pStyle w:val="36"/>
        <w:keepNext/>
        <w:keepLines/>
        <w:spacing w:before="260" w:beforeAutospacing="0" w:after="260" w:afterAutospacing="0" w:line="415" w:lineRule="auto"/>
        <w:jc w:val="center"/>
        <w:rPr>
          <w:rFonts w:hint="default" w:ascii="Times New Roman" w:hAnsi="Times New Roman" w:eastAsia="黑体" w:cs="Times New Roman"/>
          <w:i/>
          <w:color w:val="auto"/>
          <w:sz w:val="32"/>
          <w:szCs w:val="32"/>
          <w:highlight w:val="none"/>
          <w:u w:val="single"/>
        </w:rPr>
      </w:pPr>
      <w:r>
        <w:rPr>
          <w:rFonts w:hint="default" w:ascii="Times New Roman" w:hAnsi="Times New Roman" w:eastAsia="黑体" w:cs="Times New Roman"/>
          <w:i/>
          <w:color w:val="auto"/>
          <w:sz w:val="32"/>
          <w:szCs w:val="32"/>
          <w:highlight w:val="none"/>
          <w:u w:val="single"/>
          <w:lang w:val="en-US" w:eastAsia="zh-CN" w:bidi="ar-SA"/>
        </w:rPr>
        <w:t>十六、盐城市政府采购事前信用承诺书</w:t>
      </w:r>
    </w:p>
    <w:p>
      <w:pPr>
        <w:keepNext w:val="0"/>
        <w:keepLines w:val="0"/>
        <w:pageBreakBefore w:val="0"/>
        <w:widowControl/>
        <w:spacing w:line="520" w:lineRule="atLeast"/>
        <w:ind w:firstLine="480"/>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为营造我市公开、公平、公正、诚实守信的政府采购交易环境，树立诚信守法的投标人形象，本人代表本单位作出以下承诺：</w:t>
      </w:r>
    </w:p>
    <w:p>
      <w:pPr>
        <w:keepNext w:val="0"/>
        <w:keepLines w:val="0"/>
        <w:pageBreakBefore w:val="0"/>
        <w:widowControl/>
        <w:spacing w:line="520" w:lineRule="atLeas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default" w:ascii="Times New Roman" w:hAnsi="Times New Roman" w:eastAsia="宋体" w:cs="Times New Roman"/>
          <w:color w:val="auto"/>
          <w:sz w:val="24"/>
          <w:highlight w:val="none"/>
          <w:lang w:eastAsia="zh-CN"/>
        </w:rPr>
        <w:t>虚假成分</w:t>
      </w:r>
      <w:r>
        <w:rPr>
          <w:rFonts w:hint="default" w:ascii="Times New Roman" w:hAnsi="Times New Roman" w:eastAsia="宋体" w:cs="Times New Roman"/>
          <w:color w:val="auto"/>
          <w:sz w:val="24"/>
          <w:highlight w:val="none"/>
        </w:rPr>
        <w:t>，并对所提供资料的真实性负责；</w:t>
      </w:r>
    </w:p>
    <w:p>
      <w:pPr>
        <w:keepNext w:val="0"/>
        <w:keepLines w:val="0"/>
        <w:pageBreakBefore w:val="0"/>
        <w:widowControl/>
        <w:spacing w:line="520" w:lineRule="atLeast"/>
        <w:ind w:firstLine="480"/>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pPr>
        <w:keepNext w:val="0"/>
        <w:keepLines w:val="0"/>
        <w:pageBreakBefore w:val="0"/>
        <w:widowControl/>
        <w:spacing w:line="520" w:lineRule="atLeas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（三）严格依照国家和省、市关于政府采购的法律、法规、规章、规范性文件，参加政府采购投标活动；积极履行社会责任，促进廉政建设； </w:t>
      </w:r>
    </w:p>
    <w:p>
      <w:pPr>
        <w:keepNext w:val="0"/>
        <w:keepLines w:val="0"/>
        <w:pageBreakBefore w:val="0"/>
        <w:widowControl/>
        <w:spacing w:line="520" w:lineRule="atLeas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（四）严格遵守即时信息公示规定，及时</w:t>
      </w:r>
      <w:r>
        <w:rPr>
          <w:rFonts w:hint="default" w:ascii="Times New Roman" w:hAnsi="Times New Roman" w:eastAsia="宋体" w:cs="Times New Roman"/>
          <w:color w:val="auto"/>
          <w:sz w:val="24"/>
          <w:highlight w:val="none"/>
          <w:lang w:eastAsia="zh-CN"/>
        </w:rPr>
        <w:t>维护和更新</w:t>
      </w:r>
      <w:r>
        <w:rPr>
          <w:rFonts w:hint="default" w:ascii="Times New Roman" w:hAnsi="Times New Roman" w:eastAsia="宋体" w:cs="Times New Roman"/>
          <w:color w:val="auto"/>
          <w:sz w:val="24"/>
          <w:highlight w:val="none"/>
        </w:rPr>
        <w:t>盐城市政府采购网中与本单位相关的信息；</w:t>
      </w:r>
    </w:p>
    <w:p>
      <w:pPr>
        <w:keepNext w:val="0"/>
        <w:keepLines w:val="0"/>
        <w:pageBreakBefore w:val="0"/>
        <w:widowControl/>
        <w:spacing w:line="520" w:lineRule="atLeas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pPr>
        <w:keepNext w:val="0"/>
        <w:keepLines w:val="0"/>
        <w:pageBreakBefore w:val="0"/>
        <w:widowControl/>
        <w:spacing w:line="520" w:lineRule="atLeas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（六）自觉接受政府、行业组织、社会公众、新闻舆论的监督；</w:t>
      </w:r>
    </w:p>
    <w:p>
      <w:pPr>
        <w:keepNext w:val="0"/>
        <w:keepLines w:val="0"/>
        <w:pageBreakBefore w:val="0"/>
        <w:widowControl/>
        <w:spacing w:line="520" w:lineRule="atLeast"/>
        <w:ind w:firstLine="480"/>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pPr>
        <w:keepNext w:val="0"/>
        <w:keepLines w:val="0"/>
        <w:pageBreakBefore w:val="0"/>
        <w:widowControl/>
        <w:spacing w:line="520" w:lineRule="atLeas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（八）本人已认真阅读了上述承诺，并向本单位员工作了宣传教育。</w:t>
      </w:r>
    </w:p>
    <w:p>
      <w:pPr>
        <w:keepNext w:val="0"/>
        <w:keepLines w:val="0"/>
        <w:pageBreakBefore w:val="0"/>
        <w:widowControl/>
        <w:spacing w:line="520" w:lineRule="atLeast"/>
        <w:jc w:val="righ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法定代表人签名：</w:t>
      </w:r>
      <w:r>
        <w:rPr>
          <w:rFonts w:hint="default" w:ascii="Times New Roman" w:hAnsi="Times New Roman" w:eastAsia="宋体" w:cs="Times New Roman"/>
          <w:color w:val="auto"/>
          <w:sz w:val="24"/>
          <w:highlight w:val="none"/>
          <w:lang w:val="en-US" w:eastAsia="zh-CN"/>
        </w:rPr>
        <w:t xml:space="preserve">       </w:t>
      </w:r>
    </w:p>
    <w:p>
      <w:pPr>
        <w:keepNext w:val="0"/>
        <w:keepLines w:val="0"/>
        <w:pageBreakBefore w:val="0"/>
        <w:widowControl/>
        <w:spacing w:line="520" w:lineRule="atLeast"/>
        <w:jc w:val="righ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单位名称（盖章）：</w:t>
      </w:r>
      <w:r>
        <w:rPr>
          <w:rFonts w:hint="default" w:ascii="Times New Roman" w:hAnsi="Times New Roman" w:eastAsia="宋体" w:cs="Times New Roman"/>
          <w:color w:val="auto"/>
          <w:sz w:val="24"/>
          <w:highlight w:val="none"/>
          <w:lang w:val="en-US" w:eastAsia="zh-CN"/>
        </w:rPr>
        <w:t xml:space="preserve">     </w:t>
      </w:r>
    </w:p>
    <w:p>
      <w:pPr>
        <w:keepNext w:val="0"/>
        <w:keepLines w:val="0"/>
        <w:pageBreakBefore w:val="0"/>
        <w:widowControl/>
        <w:spacing w:line="520" w:lineRule="atLeast"/>
        <w:jc w:val="righ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年</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月</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日</w:t>
      </w:r>
      <w:r>
        <w:rPr>
          <w:rFonts w:hint="default" w:ascii="Times New Roman" w:hAnsi="Times New Roman" w:eastAsia="宋体" w:cs="Times New Roman"/>
          <w:color w:val="auto"/>
          <w:sz w:val="24"/>
          <w:highlight w:val="none"/>
          <w:lang w:val="en-US" w:eastAsia="zh-CN"/>
        </w:rPr>
        <w:t xml:space="preserve">          </w:t>
      </w:r>
    </w:p>
    <w:p>
      <w:pPr>
        <w:pStyle w:val="36"/>
        <w:spacing w:beforeAutospacing="0" w:afterAutospacing="0"/>
        <w:jc w:val="cente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pStyle w:val="36"/>
        <w:spacing w:beforeAutospacing="0" w:afterAutospacing="0"/>
        <w:jc w:val="center"/>
        <w:rPr>
          <w:rFonts w:hint="default" w:ascii="Times New Roman" w:hAnsi="Times New Roman" w:eastAsia="宋体" w:cs="Times New Roman"/>
          <w:b/>
          <w:color w:val="auto"/>
          <w:sz w:val="32"/>
          <w:szCs w:val="32"/>
          <w:highlight w:val="none"/>
        </w:rPr>
        <w:sectPr>
          <w:pgSz w:w="11906" w:h="16838"/>
          <w:pgMar w:top="1440" w:right="1633" w:bottom="1440" w:left="1633" w:header="851" w:footer="992" w:gutter="0"/>
          <w:cols w:space="0" w:num="1"/>
          <w:docGrid w:linePitch="360" w:charSpace="0"/>
        </w:sectPr>
      </w:pPr>
    </w:p>
    <w:p>
      <w:pPr>
        <w:pStyle w:val="36"/>
        <w:spacing w:beforeAutospacing="0" w:afterAutospacing="0"/>
        <w:jc w:val="center"/>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质疑函范本</w:t>
      </w:r>
    </w:p>
    <w:p>
      <w:pPr>
        <w:pStyle w:val="36"/>
        <w:spacing w:before="290" w:beforeAutospacing="0" w:afterAutospacing="0" w:line="360" w:lineRule="auto"/>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一、质疑供应商基本信息</w:t>
      </w:r>
    </w:p>
    <w:p>
      <w:pPr>
        <w:pStyle w:val="36"/>
        <w:spacing w:beforeAutospacing="0" w:afterAutospacing="0" w:line="360" w:lineRule="auto"/>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质疑供应商：</w:t>
      </w:r>
      <w:r>
        <w:rPr>
          <w:rFonts w:hint="default" w:ascii="Times New Roman" w:hAnsi="Times New Roman" w:eastAsia="宋体" w:cs="Times New Roman"/>
          <w:color w:val="auto"/>
          <w:highlight w:val="none"/>
          <w:u w:val="single"/>
        </w:rPr>
        <w:t>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 xml:space="preserve">       </w:t>
      </w:r>
    </w:p>
    <w:p>
      <w:pPr>
        <w:pStyle w:val="36"/>
        <w:spacing w:beforeAutospacing="0" w:afterAutospacing="0" w:line="360" w:lineRule="auto"/>
        <w:jc w:val="both"/>
        <w:rPr>
          <w:rFonts w:hint="default" w:ascii="Times New Roman" w:hAnsi="Times New Roman" w:eastAsia="宋体" w:cs="Times New Roman"/>
          <w:color w:val="auto"/>
          <w:highlight w:val="none"/>
          <w:u w:val="single"/>
        </w:rPr>
      </w:pPr>
      <w:r>
        <w:rPr>
          <w:rFonts w:hint="default" w:ascii="Times New Roman" w:hAnsi="Times New Roman" w:eastAsia="宋体" w:cs="Times New Roman"/>
          <w:color w:val="auto"/>
          <w:highlight w:val="none"/>
        </w:rPr>
        <w:t>地址：</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      </w:t>
      </w:r>
    </w:p>
    <w:p>
      <w:pPr>
        <w:pStyle w:val="36"/>
        <w:spacing w:beforeAutospacing="0" w:afterAutospacing="0" w:line="360" w:lineRule="auto"/>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邮编：</w:t>
      </w:r>
      <w:r>
        <w:rPr>
          <w:rFonts w:hint="default" w:ascii="Times New Roman" w:hAnsi="Times New Roman" w:eastAsia="宋体" w:cs="Times New Roman"/>
          <w:color w:val="auto"/>
          <w:highlight w:val="none"/>
          <w:u w:val="single"/>
        </w:rPr>
        <w:t>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 xml:space="preserve">        </w:t>
      </w:r>
    </w:p>
    <w:p>
      <w:pPr>
        <w:pStyle w:val="36"/>
        <w:spacing w:beforeAutospacing="0" w:afterAutospacing="0" w:line="360" w:lineRule="auto"/>
        <w:jc w:val="both"/>
        <w:rPr>
          <w:rFonts w:hint="default" w:ascii="Times New Roman" w:hAnsi="Times New Roman" w:eastAsia="宋体" w:cs="Times New Roman"/>
          <w:color w:val="auto"/>
          <w:highlight w:val="none"/>
          <w:u w:val="single"/>
        </w:rPr>
      </w:pPr>
      <w:r>
        <w:rPr>
          <w:rFonts w:hint="default" w:ascii="Times New Roman" w:hAnsi="Times New Roman" w:eastAsia="宋体" w:cs="Times New Roman"/>
          <w:color w:val="auto"/>
          <w:highlight w:val="none"/>
        </w:rPr>
        <w:t>联系人：</w:t>
      </w:r>
      <w:r>
        <w:rPr>
          <w:rFonts w:hint="default" w:ascii="Times New Roman" w:hAnsi="Times New Roman" w:eastAsia="宋体" w:cs="Times New Roman"/>
          <w:color w:val="auto"/>
          <w:highlight w:val="none"/>
          <w:u w:val="single"/>
        </w:rPr>
        <w:t>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 xml:space="preserve">       </w:t>
      </w:r>
    </w:p>
    <w:p>
      <w:pPr>
        <w:pStyle w:val="36"/>
        <w:spacing w:beforeAutospacing="0" w:afterAutospacing="0" w:line="360" w:lineRule="auto"/>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联系电话：</w:t>
      </w:r>
      <w:r>
        <w:rPr>
          <w:rFonts w:hint="default" w:ascii="Times New Roman" w:hAnsi="Times New Roman" w:eastAsia="宋体" w:cs="Times New Roman"/>
          <w:color w:val="auto"/>
          <w:highlight w:val="none"/>
          <w:u w:val="single"/>
        </w:rPr>
        <w:t xml:space="preserve">                                           </w:t>
      </w:r>
    </w:p>
    <w:p>
      <w:pPr>
        <w:pStyle w:val="36"/>
        <w:spacing w:beforeAutospacing="0" w:afterAutospacing="0" w:line="360" w:lineRule="auto"/>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授权代表：</w:t>
      </w:r>
      <w:r>
        <w:rPr>
          <w:rFonts w:hint="default" w:ascii="Times New Roman" w:hAnsi="Times New Roman" w:eastAsia="宋体" w:cs="Times New Roman"/>
          <w:color w:val="auto"/>
          <w:highlight w:val="none"/>
          <w:u w:val="single"/>
        </w:rPr>
        <w:t>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 xml:space="preserve">        </w:t>
      </w:r>
    </w:p>
    <w:p>
      <w:pPr>
        <w:pStyle w:val="36"/>
        <w:spacing w:beforeAutospacing="0" w:afterAutospacing="0" w:line="360" w:lineRule="auto"/>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联系电话：</w:t>
      </w:r>
      <w:r>
        <w:rPr>
          <w:rFonts w:hint="default" w:ascii="Times New Roman" w:hAnsi="Times New Roman" w:eastAsia="宋体" w:cs="Times New Roman"/>
          <w:color w:val="auto"/>
          <w:highlight w:val="none"/>
          <w:u w:val="single"/>
        </w:rPr>
        <w:t>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 xml:space="preserve">     </w:t>
      </w:r>
    </w:p>
    <w:p>
      <w:pPr>
        <w:pStyle w:val="36"/>
        <w:spacing w:beforeAutospacing="0" w:afterAutospacing="0" w:line="360" w:lineRule="auto"/>
        <w:jc w:val="both"/>
        <w:rPr>
          <w:rFonts w:hint="default" w:ascii="Times New Roman" w:hAnsi="Times New Roman" w:eastAsia="宋体" w:cs="Times New Roman"/>
          <w:color w:val="auto"/>
          <w:highlight w:val="none"/>
          <w:u w:val="single"/>
        </w:rPr>
      </w:pPr>
      <w:r>
        <w:rPr>
          <w:rFonts w:hint="default" w:ascii="Times New Roman" w:hAnsi="Times New Roman" w:eastAsia="宋体" w:cs="Times New Roman"/>
          <w:color w:val="auto"/>
          <w:highlight w:val="none"/>
        </w:rPr>
        <w:t>地址： </w:t>
      </w:r>
      <w:r>
        <w:rPr>
          <w:rFonts w:hint="default" w:ascii="Times New Roman" w:hAnsi="Times New Roman" w:eastAsia="宋体" w:cs="Times New Roman"/>
          <w:color w:val="auto"/>
          <w:highlight w:val="none"/>
          <w:u w:val="single"/>
        </w:rPr>
        <w:t>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 xml:space="preserve">        </w:t>
      </w:r>
    </w:p>
    <w:p>
      <w:pPr>
        <w:pStyle w:val="36"/>
        <w:spacing w:beforeAutospacing="0" w:afterAutospacing="0" w:line="360" w:lineRule="auto"/>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邮编：</w:t>
      </w:r>
      <w:r>
        <w:rPr>
          <w:rFonts w:hint="default" w:ascii="Times New Roman" w:hAnsi="Times New Roman" w:eastAsia="宋体" w:cs="Times New Roman"/>
          <w:color w:val="auto"/>
          <w:highlight w:val="none"/>
          <w:u w:val="single"/>
        </w:rPr>
        <w:t xml:space="preserve">                                </w:t>
      </w:r>
    </w:p>
    <w:p>
      <w:pPr>
        <w:pStyle w:val="36"/>
        <w:spacing w:beforeAutospacing="0" w:afterAutospacing="0" w:line="360" w:lineRule="auto"/>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二、质疑项目基本情况</w:t>
      </w:r>
    </w:p>
    <w:p>
      <w:pPr>
        <w:pStyle w:val="36"/>
        <w:spacing w:beforeAutospacing="0" w:afterAutospacing="0" w:line="360" w:lineRule="auto"/>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质疑项目的名称：</w:t>
      </w:r>
      <w:r>
        <w:rPr>
          <w:rFonts w:hint="default" w:ascii="Times New Roman" w:hAnsi="Times New Roman" w:eastAsia="宋体" w:cs="Times New Roman"/>
          <w:color w:val="auto"/>
          <w:highlight w:val="none"/>
          <w:u w:val="single"/>
        </w:rPr>
        <w:t xml:space="preserve">                            </w:t>
      </w:r>
    </w:p>
    <w:p>
      <w:pPr>
        <w:pStyle w:val="36"/>
        <w:spacing w:beforeAutospacing="0" w:afterAutospacing="0" w:line="360" w:lineRule="auto"/>
        <w:jc w:val="both"/>
        <w:rPr>
          <w:rFonts w:hint="default" w:ascii="Times New Roman" w:hAnsi="Times New Roman" w:eastAsia="宋体" w:cs="Times New Roman"/>
          <w:color w:val="auto"/>
          <w:highlight w:val="none"/>
          <w:u w:val="single"/>
        </w:rPr>
      </w:pPr>
      <w:r>
        <w:rPr>
          <w:rFonts w:hint="default" w:ascii="Times New Roman" w:hAnsi="Times New Roman" w:eastAsia="宋体" w:cs="Times New Roman"/>
          <w:color w:val="auto"/>
          <w:highlight w:val="none"/>
        </w:rPr>
        <w:t>质疑项目的编号：</w:t>
      </w:r>
      <w:r>
        <w:rPr>
          <w:rFonts w:hint="default" w:ascii="Times New Roman" w:hAnsi="Times New Roman" w:eastAsia="宋体" w:cs="Times New Roman"/>
          <w:color w:val="auto"/>
          <w:highlight w:val="none"/>
          <w:u w:val="single"/>
        </w:rPr>
        <w:t xml:space="preserve">                          </w:t>
      </w:r>
    </w:p>
    <w:p>
      <w:pPr>
        <w:pStyle w:val="36"/>
        <w:spacing w:beforeAutospacing="0" w:afterAutospacing="0" w:line="360" w:lineRule="auto"/>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包号：</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u w:val="single"/>
        </w:rPr>
        <w:t xml:space="preserve">    </w:t>
      </w:r>
    </w:p>
    <w:p>
      <w:pPr>
        <w:pStyle w:val="36"/>
        <w:spacing w:beforeAutospacing="0" w:afterAutospacing="0" w:line="360" w:lineRule="auto"/>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采购人名称：</w:t>
      </w:r>
      <w:r>
        <w:rPr>
          <w:rFonts w:hint="default" w:ascii="Times New Roman" w:hAnsi="Times New Roman" w:eastAsia="宋体" w:cs="Times New Roman"/>
          <w:color w:val="auto"/>
          <w:highlight w:val="none"/>
          <w:u w:val="single"/>
        </w:rPr>
        <w:t xml:space="preserve">                            </w:t>
      </w:r>
    </w:p>
    <w:p>
      <w:pPr>
        <w:pStyle w:val="36"/>
        <w:spacing w:beforeAutospacing="0" w:afterAutospacing="0" w:line="360" w:lineRule="auto"/>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磋商</w:t>
      </w:r>
      <w:r>
        <w:rPr>
          <w:rFonts w:hint="default" w:ascii="Times New Roman" w:hAnsi="Times New Roman" w:eastAsia="宋体" w:cs="Times New Roman"/>
          <w:color w:val="auto"/>
          <w:highlight w:val="none"/>
        </w:rPr>
        <w:t>文件获取日期：</w:t>
      </w:r>
      <w:r>
        <w:rPr>
          <w:rFonts w:hint="default" w:ascii="Times New Roman" w:hAnsi="Times New Roman" w:eastAsia="宋体" w:cs="Times New Roman"/>
          <w:color w:val="auto"/>
          <w:highlight w:val="none"/>
          <w:u w:val="single"/>
        </w:rPr>
        <w:t xml:space="preserve">                             </w:t>
      </w:r>
    </w:p>
    <w:p>
      <w:pPr>
        <w:pStyle w:val="36"/>
        <w:spacing w:beforeAutospacing="0" w:afterAutospacing="0" w:line="360" w:lineRule="auto"/>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三、质疑事项具体内容</w:t>
      </w:r>
    </w:p>
    <w:p>
      <w:pPr>
        <w:pStyle w:val="36"/>
        <w:spacing w:beforeAutospacing="0" w:afterAutospacing="0" w:line="360" w:lineRule="auto"/>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质疑事项1：</w:t>
      </w:r>
      <w:r>
        <w:rPr>
          <w:rFonts w:hint="default" w:ascii="Times New Roman" w:hAnsi="Times New Roman" w:eastAsia="宋体" w:cs="Times New Roman"/>
          <w:color w:val="auto"/>
          <w:highlight w:val="none"/>
          <w:u w:val="single"/>
        </w:rPr>
        <w:t xml:space="preserve">                             </w:t>
      </w:r>
    </w:p>
    <w:p>
      <w:pPr>
        <w:pStyle w:val="36"/>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事实依据：</w:t>
      </w:r>
      <w:r>
        <w:rPr>
          <w:rFonts w:hint="default" w:ascii="Times New Roman" w:hAnsi="Times New Roman" w:eastAsia="宋体" w:cs="Times New Roman"/>
          <w:color w:val="auto"/>
          <w:highlight w:val="none"/>
          <w:u w:val="single"/>
        </w:rPr>
        <w:t xml:space="preserve">                                                   </w:t>
      </w:r>
    </w:p>
    <w:p>
      <w:pPr>
        <w:pStyle w:val="36"/>
        <w:spacing w:beforeAutospacing="0" w:afterAutospacing="0" w:line="360" w:lineRule="auto"/>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法律依据：</w:t>
      </w:r>
      <w:r>
        <w:rPr>
          <w:rFonts w:hint="default" w:ascii="Times New Roman" w:hAnsi="Times New Roman" w:eastAsia="宋体" w:cs="Times New Roman"/>
          <w:color w:val="auto"/>
          <w:highlight w:val="none"/>
          <w:u w:val="single"/>
        </w:rPr>
        <w:t xml:space="preserve">                                                    </w:t>
      </w:r>
    </w:p>
    <w:p>
      <w:pPr>
        <w:pStyle w:val="36"/>
        <w:spacing w:beforeAutospacing="0" w:afterAutospacing="0" w:line="360" w:lineRule="auto"/>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质疑事项2</w:t>
      </w:r>
    </w:p>
    <w:p>
      <w:pPr>
        <w:pStyle w:val="36"/>
        <w:spacing w:beforeAutospacing="0" w:afterAutospacing="0" w:line="360" w:lineRule="auto"/>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p>
    <w:p>
      <w:pPr>
        <w:pStyle w:val="36"/>
        <w:spacing w:beforeAutospacing="0" w:afterAutospacing="0" w:line="360" w:lineRule="auto"/>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四、与质疑事项相关的质疑请求</w:t>
      </w:r>
    </w:p>
    <w:p>
      <w:pPr>
        <w:pStyle w:val="36"/>
        <w:spacing w:beforeAutospacing="0" w:afterAutospacing="0" w:line="360" w:lineRule="auto"/>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请求：</w:t>
      </w:r>
      <w:r>
        <w:rPr>
          <w:rFonts w:hint="default" w:ascii="Times New Roman" w:hAnsi="Times New Roman" w:eastAsia="宋体" w:cs="Times New Roman"/>
          <w:color w:val="auto"/>
          <w:highlight w:val="none"/>
          <w:u w:val="single"/>
        </w:rPr>
        <w:t xml:space="preserve">                                                          </w:t>
      </w:r>
    </w:p>
    <w:p>
      <w:pPr>
        <w:pStyle w:val="36"/>
        <w:spacing w:beforeAutospacing="0" w:afterAutospacing="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签字(签章)：                 公章：               日期：    </w:t>
      </w:r>
    </w:p>
    <w:p>
      <w:pPr>
        <w:pStyle w:val="36"/>
        <w:spacing w:beforeAutospacing="0" w:afterAutospacing="0" w:line="0" w:lineRule="atLeast"/>
        <w:jc w:val="both"/>
        <w:rPr>
          <w:rFonts w:hint="default" w:ascii="Times New Roman" w:hAnsi="Times New Roman" w:eastAsia="宋体" w:cs="Times New Roman"/>
          <w:color w:val="auto"/>
          <w:highlight w:val="none"/>
        </w:rPr>
      </w:pPr>
      <w:r>
        <w:rPr>
          <w:rFonts w:hint="default" w:ascii="Times New Roman" w:hAnsi="Times New Roman" w:eastAsia="宋体" w:cs="Times New Roman"/>
          <w:b/>
          <w:color w:val="auto"/>
          <w:highlight w:val="none"/>
        </w:rPr>
        <w:t>质疑函制作说明：</w:t>
      </w:r>
    </w:p>
    <w:p>
      <w:pPr>
        <w:pStyle w:val="36"/>
        <w:widowControl/>
        <w:spacing w:beforeAutospacing="0" w:afterAutospacing="0" w:line="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1.供应商提出质疑时，应提交质疑函和必要的证明材料。</w:t>
      </w:r>
    </w:p>
    <w:p>
      <w:pPr>
        <w:pStyle w:val="36"/>
        <w:widowControl/>
        <w:spacing w:beforeAutospacing="0" w:afterAutospacing="0" w:line="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36"/>
        <w:widowControl/>
        <w:spacing w:beforeAutospacing="0" w:afterAutospacing="0" w:line="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3.质疑供应商若对项目的某一分包进行质疑，质疑函中应列明具体分包号。</w:t>
      </w:r>
    </w:p>
    <w:p>
      <w:pPr>
        <w:pStyle w:val="36"/>
        <w:widowControl/>
        <w:spacing w:beforeAutospacing="0" w:afterAutospacing="0" w:line="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4.质疑函的质疑事项应具体、明确，并有必要的事实依据和法律依据。</w:t>
      </w:r>
    </w:p>
    <w:p>
      <w:pPr>
        <w:pStyle w:val="36"/>
        <w:widowControl/>
        <w:spacing w:beforeAutospacing="0" w:afterAutospacing="0" w:line="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5.质疑函的质疑请求应与质疑事项相关。</w:t>
      </w:r>
    </w:p>
    <w:p>
      <w:pPr>
        <w:pStyle w:val="36"/>
        <w:widowControl/>
        <w:spacing w:beforeAutospacing="0" w:afterAutospacing="0" w:line="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6.质疑供应商为自然人的，质疑函应由本人签字；质疑供应商为法人或者其他组织的，质疑函应由法定代表人、主要负责人，或者其授权代表签字或者盖章，并加盖公章。</w:t>
      </w:r>
    </w:p>
    <w:p>
      <w:pPr>
        <w:pStyle w:val="36"/>
        <w:spacing w:beforeAutospacing="0" w:afterAutospacing="0"/>
        <w:ind w:firstLine="42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w:t>
      </w:r>
    </w:p>
    <w:p>
      <w:pPr>
        <w:rPr>
          <w:rFonts w:hint="default" w:ascii="Times New Roman" w:hAnsi="Times New Roman" w:cs="Times New Roman"/>
          <w:color w:val="auto"/>
          <w:highlight w:val="none"/>
        </w:rPr>
      </w:pPr>
    </w:p>
    <w:p>
      <w:pPr>
        <w:pStyle w:val="36"/>
        <w:spacing w:beforeAutospacing="0" w:afterAutospacing="0"/>
        <w:ind w:firstLine="42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bookmarkEnd w:id="0"/>
      <w:bookmarkEnd w:id="32"/>
      <w:bookmarkEnd w:id="33"/>
      <w:bookmarkEnd w:id="34"/>
      <w:bookmarkEnd w:id="35"/>
      <w:bookmarkEnd w:id="36"/>
      <w:bookmarkEnd w:id="37"/>
      <w:bookmarkEnd w:id="38"/>
      <w:bookmarkEnd w:id="39"/>
      <w:bookmarkEnd w:id="40"/>
      <w:bookmarkEnd w:id="41"/>
      <w:bookmarkEnd w:id="42"/>
      <w:bookmarkEnd w:id="43"/>
      <w:bookmarkEnd w:id="52"/>
      <w:bookmarkEnd w:id="53"/>
      <w:bookmarkEnd w:id="62"/>
      <w:bookmarkEnd w:id="63"/>
      <w:bookmarkEnd w:id="64"/>
      <w:bookmarkEnd w:id="65"/>
      <w:bookmarkEnd w:id="66"/>
      <w:bookmarkEnd w:id="67"/>
      <w:bookmarkEnd w:id="68"/>
      <w:bookmarkEnd w:id="69"/>
      <w:bookmarkEnd w:id="70"/>
      <w:bookmarkEnd w:id="71"/>
      <w:bookmarkEnd w:id="72"/>
      <w:bookmarkEnd w:id="73"/>
      <w:bookmarkEnd w:id="74"/>
    </w:p>
    <w:p>
      <w:pPr>
        <w:rPr>
          <w:rFonts w:hint="default" w:ascii="Times New Roman" w:hAnsi="Times New Roman" w:cs="Times New Roman"/>
          <w:color w:val="auto"/>
          <w:highlight w:val="none"/>
        </w:rPr>
      </w:pPr>
    </w:p>
    <w:sectPr>
      <w:pgSz w:w="11906" w:h="16838"/>
      <w:pgMar w:top="1440" w:right="1633" w:bottom="1440" w:left="1633"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Verdana">
    <w:panose1 w:val="020B0604030504040204"/>
    <w:charset w:val="00"/>
    <w:family w:val="auto"/>
    <w:pitch w:val="default"/>
    <w:sig w:usb0="A1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AFF" w:usb1="C0007843" w:usb2="00000009" w:usb3="00000000" w:csb0="400001FF" w:csb1="FFFF0000"/>
  </w:font>
  <w:font w:name="Cambria">
    <w:panose1 w:val="02040503050406030204"/>
    <w:charset w:val="00"/>
    <w:family w:val="auto"/>
    <w:pitch w:val="default"/>
    <w:sig w:usb0="E00002FF" w:usb1="400004FF" w:usb2="00000000" w:usb3="00000000" w:csb0="2000019F" w:csb1="00000000"/>
  </w:font>
  <w:font w:name="等线">
    <w:panose1 w:val="02010600030101010101"/>
    <w:charset w:val="86"/>
    <w:family w:val="auto"/>
    <w:pitch w:val="default"/>
    <w:sig w:usb0="A00002BF" w:usb1="38CF7CFA" w:usb2="00000016" w:usb3="00000000" w:csb0="0004000F" w:csb1="00000000"/>
  </w:font>
  <w:font w:name="方正仿宋_GB2312">
    <w:panose1 w:val="02000000000000000000"/>
    <w:charset w:val="86"/>
    <w:family w:val="auto"/>
    <w:pitch w:val="default"/>
    <w:sig w:usb0="A00002BF" w:usb1="184F6CFA" w:usb2="00000012" w:usb3="00000000" w:csb0="00040001"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方正小标宋_GBK">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0ukX88AgAAbwQAAA4AAAAAAAAAAQAgAAAAHwEAAGRycy9lMm9E&#10;b2MueG1sUEsFBgAAAAAGAAYAWQEAAM0FAAAAAA==&#10;">
              <v:fill on="f" focussize="0,0"/>
              <v:stroke on="f" weight="0.5pt"/>
              <v:imagedata o:title=""/>
              <o:lock v:ext="edit" aspectratio="f"/>
              <v:textbox inset="0mm,0mm,0mm,0mm" style="mso-fit-shape-to-text:t;">
                <w:txbxContent>
                  <w:p>
                    <w:pPr>
                      <w:pStyle w:val="25"/>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NpqzE8AgAAbwQAAA4AAAAAAAAAAQAgAAAAHwEAAGRycy9lMm9E&#10;b2MueG1sUEsFBgAAAAAGAAYAWQEAAM0FAAAAAA==&#10;">
              <v:fill on="f" focussize="0,0"/>
              <v:stroke on="f" weight="0.5pt"/>
              <v:imagedata o:title=""/>
              <o:lock v:ext="edit" aspectratio="f"/>
              <v:textbox inset="0mm,0mm,0mm,0mm" style="mso-fit-shape-to-text:t;">
                <w:txbxContent>
                  <w:p>
                    <w:pPr>
                      <w:pStyle w:val="25"/>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rPr>
        <w:b w:val="0"/>
        <w:bCs w:val="0"/>
        <w:sz w:val="18"/>
        <w:szCs w:val="18"/>
      </w:rPr>
    </w:pPr>
    <w:r>
      <w:rPr>
        <w:rFonts w:hint="eastAsia" w:ascii="宋体" w:hAnsi="宋体" w:cs="宋体"/>
        <w:b w:val="0"/>
        <w:bCs w:val="0"/>
        <w:spacing w:val="23"/>
        <w:sz w:val="24"/>
        <w:szCs w:val="24"/>
      </w:rPr>
      <w:t>盐城市</w:t>
    </w:r>
    <w:r>
      <w:rPr>
        <w:rFonts w:hint="eastAsia" w:ascii="宋体" w:hAnsi="宋体" w:eastAsia="宋体" w:cs="宋体"/>
        <w:b w:val="0"/>
        <w:bCs w:val="0"/>
        <w:spacing w:val="23"/>
        <w:sz w:val="24"/>
        <w:szCs w:val="24"/>
        <w:lang w:eastAsia="zh-CN"/>
      </w:rPr>
      <w:t>生态环境</w:t>
    </w:r>
    <w:r>
      <w:rPr>
        <w:rFonts w:hint="eastAsia" w:ascii="宋体" w:hAnsi="宋体" w:cs="宋体"/>
        <w:b w:val="0"/>
        <w:bCs w:val="0"/>
        <w:spacing w:val="23"/>
        <w:sz w:val="24"/>
        <w:szCs w:val="24"/>
      </w:rPr>
      <w:t>局JSZC-320900-J</w:t>
    </w:r>
    <w:r>
      <w:rPr>
        <w:rFonts w:hint="eastAsia" w:ascii="宋体" w:hAnsi="宋体" w:eastAsia="宋体" w:cs="宋体"/>
        <w:b w:val="0"/>
        <w:bCs w:val="0"/>
        <w:spacing w:val="23"/>
        <w:sz w:val="24"/>
        <w:szCs w:val="24"/>
        <w:lang w:val="en-US" w:eastAsia="zh-CN"/>
      </w:rPr>
      <w:t>CSJ</w:t>
    </w:r>
    <w:r>
      <w:rPr>
        <w:rFonts w:hint="eastAsia" w:ascii="宋体" w:hAnsi="宋体" w:cs="宋体"/>
        <w:b w:val="0"/>
        <w:bCs w:val="0"/>
        <w:spacing w:val="23"/>
        <w:sz w:val="24"/>
        <w:szCs w:val="24"/>
      </w:rPr>
      <w:t>-C2026-</w:t>
    </w:r>
    <w:r>
      <w:rPr>
        <w:rFonts w:hint="eastAsia" w:ascii="宋体" w:hAnsi="宋体" w:eastAsia="宋体" w:cs="宋体"/>
        <w:b w:val="0"/>
        <w:bCs w:val="0"/>
        <w:spacing w:val="23"/>
        <w:sz w:val="24"/>
        <w:szCs w:val="24"/>
        <w:lang w:eastAsia="zh-CN"/>
      </w:rPr>
      <w:t>0009</w:t>
    </w:r>
    <w:r>
      <w:rPr>
        <w:rFonts w:hint="eastAsia" w:ascii="宋体" w:hAnsi="宋体" w:cs="宋体"/>
        <w:b w:val="0"/>
        <w:bCs w:val="0"/>
        <w:spacing w:val="23"/>
        <w:sz w:val="24"/>
        <w:szCs w:val="24"/>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59ADCABA"/>
    <w:multiLevelType w:val="multilevel"/>
    <w:tmpl w:val="59ADCABA"/>
    <w:lvl w:ilvl="0" w:tentative="0">
      <w:start w:val="2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4Mzc2NGRmOGQ2ODFkZjg4MmU3Mjc5Y2VmZWEwMmYifQ=="/>
  </w:docVars>
  <w:rsids>
    <w:rsidRoot w:val="00000000"/>
    <w:rsid w:val="00AD5C72"/>
    <w:rsid w:val="10BB15FD"/>
    <w:rsid w:val="15E213DA"/>
    <w:rsid w:val="1D2D5631"/>
    <w:rsid w:val="239A32F4"/>
    <w:rsid w:val="29D86AFF"/>
    <w:rsid w:val="3845787B"/>
    <w:rsid w:val="4AF8077D"/>
    <w:rsid w:val="512322CB"/>
    <w:rsid w:val="59C208D3"/>
    <w:rsid w:val="64835103"/>
    <w:rsid w:val="6AE83F12"/>
    <w:rsid w:val="6CA125CA"/>
    <w:rsid w:val="73814F04"/>
    <w:rsid w:val="76261D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qFormat="1" w:unhideWhenUsed="0" w:uiPriority="0" w:semiHidden="0"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sz w:val="48"/>
      <w:szCs w:val="48"/>
      <w:lang w:val="en-US" w:eastAsia="zh-CN" w:bidi="ar"/>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5">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1"/>
    <w:semiHidden/>
    <w:qFormat/>
    <w:uiPriority w:val="0"/>
    <w:pPr>
      <w:jc w:val="left"/>
    </w:pPr>
    <w:rPr>
      <w:rFonts w:ascii="宋体" w:hAnsi="Calibri" w:cs="宋体"/>
      <w:color w:val="000000"/>
      <w:sz w:val="24"/>
    </w:rPr>
  </w:style>
  <w:style w:type="paragraph" w:styleId="12">
    <w:name w:val="toc 7"/>
    <w:basedOn w:val="1"/>
    <w:next w:val="1"/>
    <w:unhideWhenUsed/>
    <w:qFormat/>
    <w:uiPriority w:val="39"/>
    <w:pPr>
      <w:spacing w:after="57"/>
      <w:ind w:left="1701" w:right="0" w:firstLine="0"/>
    </w:pPr>
  </w:style>
  <w:style w:type="paragraph" w:styleId="13">
    <w:name w:val="Note Heading"/>
    <w:basedOn w:val="1"/>
    <w:next w:val="1"/>
    <w:qFormat/>
    <w:uiPriority w:val="0"/>
    <w:rPr>
      <w:rFonts w:ascii="Verdana" w:hAnsi="Verdana"/>
      <w:szCs w:val="20"/>
    </w:r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unhideWhenUsed/>
    <w:qFormat/>
    <w:uiPriority w:val="99"/>
    <w:pPr>
      <w:spacing w:after="120"/>
    </w:pPr>
  </w:style>
  <w:style w:type="paragraph" w:styleId="17">
    <w:name w:val="Body Text Indent"/>
    <w:basedOn w:val="1"/>
    <w:next w:val="18"/>
    <w:qFormat/>
    <w:uiPriority w:val="0"/>
    <w:pPr>
      <w:ind w:firstLine="645"/>
    </w:pPr>
    <w:rPr>
      <w:rFonts w:ascii="楷体_GB2312" w:eastAsia="楷体_GB2312"/>
      <w:sz w:val="32"/>
      <w:szCs w:val="20"/>
    </w:rPr>
  </w:style>
  <w:style w:type="paragraph" w:styleId="18">
    <w:name w:val="envelope return"/>
    <w:basedOn w:val="1"/>
    <w:qFormat/>
    <w:uiPriority w:val="0"/>
    <w:rPr>
      <w:rFonts w:ascii="Arial" w:hAnsi="Arial"/>
    </w:rPr>
  </w:style>
  <w:style w:type="paragraph" w:styleId="19">
    <w:name w:val="Block Text"/>
    <w:basedOn w:val="1"/>
    <w:qFormat/>
    <w:uiPriority w:val="0"/>
    <w:pPr>
      <w:tabs>
        <w:tab w:val="left" w:pos="9000"/>
      </w:tabs>
      <w:spacing w:after="120"/>
      <w:ind w:left="1440" w:right="1440"/>
    </w:pPr>
    <w:rPr>
      <w:rFonts w:ascii="Calibri" w:hAnsi="Calibri" w:eastAsia="宋体" w:cs="Arial"/>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qFormat/>
    <w:uiPriority w:val="0"/>
    <w:rPr>
      <w:rFonts w:ascii="宋体" w:hAnsi="Courier New"/>
      <w:szCs w:val="20"/>
    </w:rPr>
  </w:style>
  <w:style w:type="paragraph" w:styleId="23">
    <w:name w:val="toc 8"/>
    <w:basedOn w:val="1"/>
    <w:next w:val="1"/>
    <w:unhideWhenUsed/>
    <w:qFormat/>
    <w:uiPriority w:val="39"/>
    <w:pPr>
      <w:spacing w:after="57"/>
      <w:ind w:left="1984" w:right="0" w:firstLine="0"/>
    </w:pPr>
  </w:style>
  <w:style w:type="paragraph" w:styleId="24">
    <w:name w:val="endnote text"/>
    <w:basedOn w:val="1"/>
    <w:link w:val="194"/>
    <w:semiHidden/>
    <w:unhideWhenUsed/>
    <w:qFormat/>
    <w:uiPriority w:val="99"/>
    <w:pPr>
      <w:spacing w:after="0" w:line="240" w:lineRule="auto"/>
    </w:pPr>
    <w:rPr>
      <w:sz w:val="20"/>
    </w:rPr>
  </w:style>
  <w:style w:type="paragraph" w:styleId="25">
    <w:name w:val="footer"/>
    <w:basedOn w:val="1"/>
    <w:link w:val="197"/>
    <w:qFormat/>
    <w:uiPriority w:val="0"/>
    <w:pPr>
      <w:tabs>
        <w:tab w:val="center" w:pos="4153"/>
        <w:tab w:val="right" w:pos="8306"/>
      </w:tabs>
      <w:jc w:val="left"/>
    </w:pPr>
    <w:rPr>
      <w:sz w:val="18"/>
      <w:szCs w:val="18"/>
    </w:rPr>
  </w:style>
  <w:style w:type="paragraph" w:styleId="26">
    <w:name w:val="header"/>
    <w:basedOn w:val="1"/>
    <w:link w:val="196"/>
    <w:qFormat/>
    <w:uiPriority w:val="0"/>
    <w:pPr>
      <w:pBdr>
        <w:bottom w:val="single" w:color="auto" w:sz="6" w:space="1"/>
      </w:pBdr>
      <w:tabs>
        <w:tab w:val="center" w:pos="4153"/>
        <w:tab w:val="right" w:pos="8306"/>
      </w:tabs>
      <w:jc w:val="center"/>
    </w:pPr>
    <w:rPr>
      <w:sz w:val="18"/>
      <w:szCs w:val="18"/>
    </w:rPr>
  </w:style>
  <w:style w:type="paragraph" w:styleId="27">
    <w:name w:val="toc 1"/>
    <w:basedOn w:val="1"/>
    <w:next w:val="1"/>
    <w:unhideWhenUsed/>
    <w:qFormat/>
    <w:uiPriority w:val="39"/>
    <w:pPr>
      <w:spacing w:after="57"/>
      <w:ind w:left="0" w:right="0" w:firstLine="0"/>
    </w:p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60"/>
    <w:qFormat/>
    <w:uiPriority w:val="11"/>
    <w:pPr>
      <w:spacing w:before="200" w:after="200"/>
    </w:pPr>
    <w:rPr>
      <w:sz w:val="24"/>
      <w:szCs w:val="24"/>
    </w:rPr>
  </w:style>
  <w:style w:type="paragraph" w:styleId="30">
    <w:name w:val="footnote text"/>
    <w:basedOn w:val="1"/>
    <w:link w:val="193"/>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Cambria" w:hAnsi="Cambria"/>
      <w:sz w:val="24"/>
    </w:rPr>
  </w:style>
  <w:style w:type="paragraph" w:styleId="36">
    <w:name w:val="Normal (Web)"/>
    <w:basedOn w:val="1"/>
    <w:qFormat/>
    <w:uiPriority w:val="0"/>
    <w:pPr>
      <w:spacing w:beforeAutospacing="1" w:afterAutospacing="1"/>
      <w:jc w:val="left"/>
    </w:pPr>
    <w:rPr>
      <w:rFonts w:cs="Times New Roman"/>
      <w:sz w:val="24"/>
    </w:rPr>
  </w:style>
  <w:style w:type="paragraph" w:styleId="37">
    <w:name w:val="Title"/>
    <w:basedOn w:val="1"/>
    <w:next w:val="1"/>
    <w:link w:val="59"/>
    <w:qFormat/>
    <w:uiPriority w:val="10"/>
    <w:pPr>
      <w:spacing w:before="300" w:after="200"/>
      <w:contextualSpacing/>
    </w:pPr>
    <w:rPr>
      <w:sz w:val="48"/>
      <w:szCs w:val="48"/>
    </w:rPr>
  </w:style>
  <w:style w:type="paragraph" w:styleId="38">
    <w:name w:val="Body Text First Indent 2"/>
    <w:basedOn w:val="17"/>
    <w:next w:val="1"/>
    <w:qFormat/>
    <w:uiPriority w:val="0"/>
    <w:pPr>
      <w:spacing w:line="360" w:lineRule="auto"/>
      <w:ind w:firstLine="420"/>
    </w:pPr>
    <w:rPr>
      <w:rFonts w:ascii="宋体" w:hAnsi="宋体" w:eastAsia="宋体"/>
      <w:sz w:val="21"/>
    </w:rPr>
  </w:style>
  <w:style w:type="table" w:styleId="40">
    <w:name w:val="Table Grid"/>
    <w:basedOn w:val="39"/>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0"/>
    <w:rPr>
      <w:b/>
    </w:rPr>
  </w:style>
  <w:style w:type="character" w:styleId="43">
    <w:name w:val="endnote reference"/>
    <w:basedOn w:val="41"/>
    <w:semiHidden/>
    <w:unhideWhenUsed/>
    <w:qFormat/>
    <w:uiPriority w:val="99"/>
    <w:rPr>
      <w:vertAlign w:val="superscript"/>
    </w:rPr>
  </w:style>
  <w:style w:type="character" w:styleId="44">
    <w:name w:val="Emphasis"/>
    <w:qFormat/>
    <w:uiPriority w:val="0"/>
    <w:rPr>
      <w:i/>
    </w:rPr>
  </w:style>
  <w:style w:type="character" w:styleId="45">
    <w:name w:val="Hyperlink"/>
    <w:unhideWhenUsed/>
    <w:qFormat/>
    <w:uiPriority w:val="99"/>
    <w:rPr>
      <w:color w:val="0563C1" w:themeColor="hyperlink"/>
      <w:u w:val="single"/>
      <w14:textFill>
        <w14:solidFill>
          <w14:schemeClr w14:val="hlink"/>
        </w14:solidFill>
      </w14:textFill>
    </w:rPr>
  </w:style>
  <w:style w:type="character" w:styleId="46">
    <w:name w:val="annotation reference"/>
    <w:basedOn w:val="41"/>
    <w:semiHidden/>
    <w:unhideWhenUsed/>
    <w:qFormat/>
    <w:uiPriority w:val="99"/>
    <w:rPr>
      <w:sz w:val="21"/>
      <w:szCs w:val="21"/>
    </w:rPr>
  </w:style>
  <w:style w:type="character" w:styleId="47">
    <w:name w:val="footnote reference"/>
    <w:basedOn w:val="41"/>
    <w:unhideWhenUsed/>
    <w:qFormat/>
    <w:uiPriority w:val="99"/>
    <w:rPr>
      <w:vertAlign w:val="superscript"/>
    </w:rPr>
  </w:style>
  <w:style w:type="character" w:customStyle="1" w:styleId="48">
    <w:name w:val="Heading 1 Char"/>
    <w:basedOn w:val="41"/>
    <w:qFormat/>
    <w:uiPriority w:val="9"/>
    <w:rPr>
      <w:rFonts w:ascii="Arial" w:hAnsi="Arial" w:eastAsia="Arial" w:cs="Arial"/>
      <w:sz w:val="40"/>
      <w:szCs w:val="40"/>
    </w:rPr>
  </w:style>
  <w:style w:type="character" w:customStyle="1" w:styleId="49">
    <w:name w:val="Heading 2 Char"/>
    <w:basedOn w:val="41"/>
    <w:qFormat/>
    <w:uiPriority w:val="9"/>
    <w:rPr>
      <w:rFonts w:ascii="Arial" w:hAnsi="Arial" w:eastAsia="Arial" w:cs="Arial"/>
      <w:sz w:val="34"/>
    </w:rPr>
  </w:style>
  <w:style w:type="character" w:customStyle="1" w:styleId="50">
    <w:name w:val="Heading 3 Char"/>
    <w:basedOn w:val="41"/>
    <w:link w:val="5"/>
    <w:qFormat/>
    <w:uiPriority w:val="9"/>
    <w:rPr>
      <w:rFonts w:ascii="Arial" w:hAnsi="Arial" w:eastAsia="Arial" w:cs="Arial"/>
      <w:sz w:val="30"/>
      <w:szCs w:val="30"/>
    </w:rPr>
  </w:style>
  <w:style w:type="character" w:customStyle="1" w:styleId="51">
    <w:name w:val="Heading 4 Char"/>
    <w:basedOn w:val="41"/>
    <w:link w:val="6"/>
    <w:qFormat/>
    <w:uiPriority w:val="9"/>
    <w:rPr>
      <w:rFonts w:ascii="Arial" w:hAnsi="Arial" w:eastAsia="Arial" w:cs="Arial"/>
      <w:b/>
      <w:bCs/>
      <w:sz w:val="26"/>
      <w:szCs w:val="26"/>
    </w:rPr>
  </w:style>
  <w:style w:type="character" w:customStyle="1" w:styleId="52">
    <w:name w:val="Heading 5 Char"/>
    <w:basedOn w:val="41"/>
    <w:link w:val="7"/>
    <w:qFormat/>
    <w:uiPriority w:val="9"/>
    <w:rPr>
      <w:rFonts w:ascii="Arial" w:hAnsi="Arial" w:eastAsia="Arial" w:cs="Arial"/>
      <w:b/>
      <w:bCs/>
      <w:sz w:val="24"/>
      <w:szCs w:val="24"/>
    </w:rPr>
  </w:style>
  <w:style w:type="character" w:customStyle="1" w:styleId="53">
    <w:name w:val="Heading 6 Char"/>
    <w:basedOn w:val="41"/>
    <w:link w:val="8"/>
    <w:qFormat/>
    <w:uiPriority w:val="9"/>
    <w:rPr>
      <w:rFonts w:ascii="Arial" w:hAnsi="Arial" w:eastAsia="Arial" w:cs="Arial"/>
      <w:b/>
      <w:bCs/>
      <w:sz w:val="22"/>
      <w:szCs w:val="22"/>
    </w:rPr>
  </w:style>
  <w:style w:type="character" w:customStyle="1" w:styleId="54">
    <w:name w:val="Heading 7 Char"/>
    <w:basedOn w:val="41"/>
    <w:link w:val="9"/>
    <w:qFormat/>
    <w:uiPriority w:val="9"/>
    <w:rPr>
      <w:rFonts w:ascii="Arial" w:hAnsi="Arial" w:eastAsia="Arial" w:cs="Arial"/>
      <w:b/>
      <w:bCs/>
      <w:i/>
      <w:iCs/>
      <w:sz w:val="22"/>
      <w:szCs w:val="22"/>
    </w:rPr>
  </w:style>
  <w:style w:type="character" w:customStyle="1" w:styleId="55">
    <w:name w:val="Heading 8 Char"/>
    <w:basedOn w:val="41"/>
    <w:link w:val="10"/>
    <w:qFormat/>
    <w:uiPriority w:val="9"/>
    <w:rPr>
      <w:rFonts w:ascii="Arial" w:hAnsi="Arial" w:eastAsia="Arial" w:cs="Arial"/>
      <w:i/>
      <w:iCs/>
      <w:sz w:val="22"/>
      <w:szCs w:val="22"/>
    </w:rPr>
  </w:style>
  <w:style w:type="character" w:customStyle="1" w:styleId="56">
    <w:name w:val="Heading 9 Char"/>
    <w:basedOn w:val="41"/>
    <w:link w:val="11"/>
    <w:qFormat/>
    <w:uiPriority w:val="9"/>
    <w:rPr>
      <w:rFonts w:ascii="Arial" w:hAnsi="Arial" w:eastAsia="Arial" w:cs="Arial"/>
      <w:i/>
      <w:iCs/>
      <w:sz w:val="21"/>
      <w:szCs w:val="21"/>
    </w:rPr>
  </w:style>
  <w:style w:type="paragraph" w:styleId="57">
    <w:name w:val="List Paragraph"/>
    <w:basedOn w:val="1"/>
    <w:qFormat/>
    <w:uiPriority w:val="34"/>
    <w:pPr>
      <w:ind w:left="720"/>
      <w:contextualSpacing/>
    </w:pPr>
  </w:style>
  <w:style w:type="paragraph" w:styleId="58">
    <w:name w:val="No Spacing"/>
    <w:qFormat/>
    <w:uiPriority w:val="1"/>
    <w:pPr>
      <w:spacing w:before="0" w:after="0" w:line="240" w:lineRule="auto"/>
    </w:pPr>
    <w:rPr>
      <w:rFonts w:hint="default" w:ascii="Times New Roman" w:hAnsi="Times New Roman" w:eastAsia="宋体" w:cs="Times New Roman"/>
    </w:rPr>
  </w:style>
  <w:style w:type="character" w:customStyle="1" w:styleId="59">
    <w:name w:val="Title Char"/>
    <w:basedOn w:val="41"/>
    <w:link w:val="37"/>
    <w:qFormat/>
    <w:uiPriority w:val="10"/>
    <w:rPr>
      <w:sz w:val="48"/>
      <w:szCs w:val="48"/>
    </w:rPr>
  </w:style>
  <w:style w:type="character" w:customStyle="1" w:styleId="60">
    <w:name w:val="Subtitle Char"/>
    <w:basedOn w:val="41"/>
    <w:link w:val="29"/>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basedOn w:val="41"/>
    <w:qFormat/>
    <w:uiPriority w:val="99"/>
  </w:style>
  <w:style w:type="character" w:customStyle="1" w:styleId="66">
    <w:name w:val="Footer Char"/>
    <w:basedOn w:val="41"/>
    <w:qFormat/>
    <w:uiPriority w:val="99"/>
  </w:style>
  <w:style w:type="character" w:customStyle="1" w:styleId="67">
    <w:name w:val="Caption Char"/>
    <w:qFormat/>
    <w:uiPriority w:val="99"/>
  </w:style>
  <w:style w:type="table" w:customStyle="1" w:styleId="68">
    <w:name w:val="Table Grid Light"/>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basedOn w:val="39"/>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6">
    <w:name w:val="Grid Table 1 Light - Accent 2"/>
    <w:basedOn w:val="3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7">
    <w:name w:val="Grid Table 1 Light - Accent 3"/>
    <w:basedOn w:val="3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8">
    <w:name w:val="Grid Table 1 Light - Accent 4"/>
    <w:basedOn w:val="3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9">
    <w:name w:val="Grid Table 1 Light - Accent 5"/>
    <w:basedOn w:val="39"/>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0">
    <w:name w:val="Grid Table 1 Light - Accent 6"/>
    <w:basedOn w:val="3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1">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basedOn w:val="39"/>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2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2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2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2 - Accent 5"/>
    <w:basedOn w:val="39"/>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2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basedOn w:val="39"/>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0">
    <w:name w:val="Grid Table 3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3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3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3 - Accent 5"/>
    <w:basedOn w:val="39"/>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3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basedOn w:val="39"/>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7">
    <w:name w:val="Grid Table 4 - Accent 2"/>
    <w:basedOn w:val="39"/>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8">
    <w:name w:val="Grid Table 4 - Accent 3"/>
    <w:basedOn w:val="39"/>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9">
    <w:name w:val="Grid Table 4 - Accent 4"/>
    <w:basedOn w:val="39"/>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0">
    <w:name w:val="Grid Table 4 - Accent 5"/>
    <w:basedOn w:val="39"/>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1">
    <w:name w:val="Grid Table 4 - Accent 6"/>
    <w:basedOn w:val="39"/>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2">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4">
    <w:name w:val="Grid Table 5 Dark - Accent 2"/>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5">
    <w:name w:val="Grid Table 5 Dark - Accent 3"/>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6">
    <w:name w:val="Grid Table 5 Dark- Accent 4"/>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7">
    <w:name w:val="Grid Table 5 Dark - Accent 5"/>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8">
    <w:name w:val="Grid Table 5 Dark - Accent 6"/>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9">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basedOn w:val="39"/>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basedOn w:val="39"/>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3">
    <w:name w:val="Grid Table 6 Colorful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basedOn w:val="39"/>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5">
    <w:name w:val="Grid Table 6 Colorful - Accent 6"/>
    <w:basedOn w:val="39"/>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6">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basedOn w:val="39"/>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basedOn w:val="39"/>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basedOn w:val="39"/>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0">
    <w:name w:val="Grid Table 7 Colorful - Accent 4"/>
    <w:basedOn w:val="39"/>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basedOn w:val="39"/>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2">
    <w:name w:val="Grid Table 7 Colorful - Accent 6"/>
    <w:basedOn w:val="39"/>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3">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basedOn w:val="39"/>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5">
    <w:name w:val="List Table 1 Light - Accent 2"/>
    <w:basedOn w:val="39"/>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6">
    <w:name w:val="List Table 1 Light - Accent 3"/>
    <w:basedOn w:val="39"/>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7">
    <w:name w:val="List Table 1 Light - Accent 4"/>
    <w:basedOn w:val="39"/>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8">
    <w:name w:val="List Table 1 Light - Accent 5"/>
    <w:basedOn w:val="39"/>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9">
    <w:name w:val="List Table 1 Light - Accent 6"/>
    <w:basedOn w:val="39"/>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0">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basedOn w:val="39"/>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2">
    <w:name w:val="List Table 2 - Accent 2"/>
    <w:basedOn w:val="39"/>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3">
    <w:name w:val="List Table 2 - Accent 3"/>
    <w:basedOn w:val="39"/>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4">
    <w:name w:val="List Table 2 - Accent 4"/>
    <w:basedOn w:val="39"/>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5">
    <w:name w:val="List Table 2 - Accent 5"/>
    <w:basedOn w:val="39"/>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6">
    <w:name w:val="List Table 2 - Accent 6"/>
    <w:basedOn w:val="39"/>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7">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basedOn w:val="39"/>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9">
    <w:name w:val="List Table 3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0">
    <w:name w:val="List Table 3 - Accent 3"/>
    <w:basedOn w:val="39"/>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1">
    <w:name w:val="List Table 3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2">
    <w:name w:val="List Table 3 - Accent 5"/>
    <w:basedOn w:val="39"/>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3">
    <w:name w:val="List Table 3 - Accent 6"/>
    <w:basedOn w:val="39"/>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4">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basedOn w:val="39"/>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6">
    <w:name w:val="List Table 4 - Accent 2"/>
    <w:basedOn w:val="39"/>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7">
    <w:name w:val="List Table 4 - Accent 3"/>
    <w:basedOn w:val="39"/>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8">
    <w:name w:val="List Table 4 - Accent 4"/>
    <w:basedOn w:val="39"/>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9">
    <w:name w:val="List Table 4 - Accent 5"/>
    <w:basedOn w:val="39"/>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0">
    <w:name w:val="List Table 4 - Accent 6"/>
    <w:basedOn w:val="39"/>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1">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basedOn w:val="39"/>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3">
    <w:name w:val="List Table 5 Dark - Accent 2"/>
    <w:basedOn w:val="39"/>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4">
    <w:name w:val="List Table 5 Dark - Accent 3"/>
    <w:basedOn w:val="39"/>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5">
    <w:name w:val="List Table 5 Dark - Accent 4"/>
    <w:basedOn w:val="39"/>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6">
    <w:name w:val="List Table 5 Dark - Accent 5"/>
    <w:basedOn w:val="39"/>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7">
    <w:name w:val="List Table 5 Dark - Accent 6"/>
    <w:basedOn w:val="39"/>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8">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basedOn w:val="39"/>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0">
    <w:name w:val="List Table 6 Colorful - Accent 2"/>
    <w:basedOn w:val="39"/>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basedOn w:val="39"/>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basedOn w:val="39"/>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basedOn w:val="39"/>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basedOn w:val="39"/>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basedOn w:val="39"/>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7">
    <w:name w:val="List Table 7 Colorful - Accent 2"/>
    <w:basedOn w:val="39"/>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basedOn w:val="39"/>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basedOn w:val="39"/>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basedOn w:val="39"/>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basedOn w:val="39"/>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2">
    <w:name w:val="Lined - Accent"/>
    <w:basedOn w:val="3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basedOn w:val="39"/>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Lined - Accent 2"/>
    <w:basedOn w:val="39"/>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Lined - Accent 3"/>
    <w:basedOn w:val="39"/>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Lined - Accent 4"/>
    <w:basedOn w:val="39"/>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Lined - Accent 5"/>
    <w:basedOn w:val="39"/>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Lined - Accent 6"/>
    <w:basedOn w:val="39"/>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amp; Lined - Accent"/>
    <w:basedOn w:val="3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basedOn w:val="39"/>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1">
    <w:name w:val="Bordered &amp; Lined - Accent 2"/>
    <w:basedOn w:val="39"/>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2">
    <w:name w:val="Bordered &amp; Lined - Accent 3"/>
    <w:basedOn w:val="39"/>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3">
    <w:name w:val="Bordered &amp; Lined - Accent 4"/>
    <w:basedOn w:val="39"/>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4">
    <w:name w:val="Bordered &amp; Lined - Accent 5"/>
    <w:basedOn w:val="39"/>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5">
    <w:name w:val="Bordered &amp; Lined - Accent 6"/>
    <w:basedOn w:val="39"/>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6">
    <w:name w:val="Bordered"/>
    <w:basedOn w:val="3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basedOn w:val="39"/>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8">
    <w:name w:val="Bordered - Accent 2"/>
    <w:basedOn w:val="3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9">
    <w:name w:val="Bordered - Accent 3"/>
    <w:basedOn w:val="3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0">
    <w:name w:val="Bordered - Accent 4"/>
    <w:basedOn w:val="3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1">
    <w:name w:val="Bordered - Accent 5"/>
    <w:basedOn w:val="39"/>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2">
    <w:name w:val="Bordered - Accent 6"/>
    <w:basedOn w:val="3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3">
    <w:name w:val="Footnote Text Char"/>
    <w:link w:val="30"/>
    <w:qFormat/>
    <w:uiPriority w:val="99"/>
    <w:rPr>
      <w:sz w:val="18"/>
    </w:rPr>
  </w:style>
  <w:style w:type="character" w:customStyle="1" w:styleId="194">
    <w:name w:val="Endnote Text Char"/>
    <w:link w:val="24"/>
    <w:qFormat/>
    <w:uiPriority w:val="99"/>
    <w:rPr>
      <w:sz w:val="20"/>
    </w:rPr>
  </w:style>
  <w:style w:type="paragraph" w:customStyle="1" w:styleId="195">
    <w:name w:val="TOC Heading"/>
    <w:unhideWhenUsed/>
    <w:qFormat/>
    <w:uiPriority w:val="39"/>
    <w:rPr>
      <w:rFonts w:hint="default" w:ascii="Times New Roman" w:hAnsi="Times New Roman" w:eastAsia="宋体" w:cs="Times New Roman"/>
    </w:rPr>
  </w:style>
  <w:style w:type="character" w:customStyle="1" w:styleId="196">
    <w:name w:val="页眉 Char"/>
    <w:basedOn w:val="41"/>
    <w:link w:val="26"/>
    <w:qFormat/>
    <w:uiPriority w:val="0"/>
    <w:rPr>
      <w:rFonts w:asciiTheme="minorHAnsi" w:hAnsiTheme="minorHAnsi" w:eastAsiaTheme="minorEastAsia" w:cstheme="minorBidi"/>
      <w:sz w:val="18"/>
      <w:szCs w:val="18"/>
    </w:rPr>
  </w:style>
  <w:style w:type="character" w:customStyle="1" w:styleId="197">
    <w:name w:val="页脚 Char"/>
    <w:basedOn w:val="41"/>
    <w:link w:val="25"/>
    <w:qFormat/>
    <w:uiPriority w:val="0"/>
    <w:rPr>
      <w:rFonts w:asciiTheme="minorHAnsi" w:hAnsiTheme="minorHAnsi" w:eastAsiaTheme="minorEastAsia" w:cstheme="minorBidi"/>
      <w:sz w:val="18"/>
      <w:szCs w:val="18"/>
    </w:rPr>
  </w:style>
  <w:style w:type="paragraph" w:customStyle="1" w:styleId="198">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199">
    <w:name w:val="正文首行缩进 21"/>
    <w:basedOn w:val="200"/>
    <w:qFormat/>
    <w:uiPriority w:val="0"/>
    <w:pPr>
      <w:ind w:firstLine="420"/>
    </w:pPr>
  </w:style>
  <w:style w:type="paragraph" w:customStyle="1" w:styleId="200">
    <w:name w:val="正文文本缩进1"/>
    <w:basedOn w:val="1"/>
    <w:qFormat/>
    <w:uiPriority w:val="0"/>
    <w:pPr>
      <w:spacing w:after="120"/>
      <w:ind w:left="420"/>
    </w:pPr>
  </w:style>
  <w:style w:type="paragraph" w:customStyle="1" w:styleId="201">
    <w:name w:val="页眉12"/>
    <w:basedOn w:val="1"/>
    <w:qFormat/>
    <w:uiPriority w:val="0"/>
    <w:pPr>
      <w:pBdr>
        <w:bottom w:val="single" w:color="000000" w:sz="6" w:space="1"/>
      </w:pBdr>
      <w:tabs>
        <w:tab w:val="center" w:pos="4153"/>
        <w:tab w:val="right" w:pos="8306"/>
      </w:tabs>
      <w:jc w:val="center"/>
    </w:pPr>
    <w:rPr>
      <w:sz w:val="18"/>
      <w:szCs w:val="18"/>
    </w:rPr>
  </w:style>
  <w:style w:type="paragraph" w:customStyle="1" w:styleId="202">
    <w:name w:val="普通(网站)12"/>
    <w:basedOn w:val="1"/>
    <w:qFormat/>
    <w:uiPriority w:val="0"/>
    <w:pPr>
      <w:spacing w:before="120" w:after="120" w:line="0" w:lineRule="atLeast"/>
      <w:jc w:val="left"/>
    </w:pPr>
    <w:rPr>
      <w:rFonts w:ascii="Times New Roman" w:hAnsi="Times New Roman" w:eastAsia="方正仿宋_GB2312" w:cs="Times New Roman"/>
      <w:sz w:val="32"/>
      <w:szCs w:val="32"/>
    </w:rPr>
  </w:style>
  <w:style w:type="paragraph" w:customStyle="1" w:styleId="203">
    <w:name w:val="列出段落"/>
    <w:basedOn w:val="1"/>
    <w:qFormat/>
    <w:uiPriority w:val="99"/>
    <w:pPr>
      <w:ind w:firstLine="420"/>
    </w:pPr>
    <w:rPr>
      <w:sz w:val="21"/>
      <w:szCs w:val="24"/>
    </w:rPr>
  </w:style>
  <w:style w:type="paragraph" w:customStyle="1" w:styleId="204">
    <w:name w:val="段"/>
    <w:next w:val="205"/>
    <w:qFormat/>
    <w:uiPriority w:val="0"/>
    <w:pPr>
      <w:widowControl w:val="0"/>
      <w:ind w:firstLine="200"/>
      <w:jc w:val="both"/>
    </w:pPr>
    <w:rPr>
      <w:rFonts w:hint="default" w:ascii="宋体" w:hAnsi="宋体" w:eastAsia="宋体" w:cs="宋体"/>
      <w:color w:val="000000"/>
      <w:sz w:val="21"/>
      <w:szCs w:val="21"/>
      <w:lang w:val="en-US" w:eastAsia="zh-CN" w:bidi="ar-SA"/>
    </w:rPr>
  </w:style>
  <w:style w:type="paragraph" w:customStyle="1" w:styleId="205">
    <w:name w:val="正文 A"/>
    <w:next w:val="204"/>
    <w:qFormat/>
    <w:uiPriority w:val="0"/>
    <w:pPr>
      <w:widowControl w:val="0"/>
      <w:jc w:val="both"/>
    </w:pPr>
    <w:rPr>
      <w:rFonts w:hint="default" w:ascii="Times New Roman" w:hAnsi="Times New Roman" w:eastAsia="Calibri" w:cs="Calibri"/>
      <w:color w:val="000000"/>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73</Pages>
  <Words>32491</Words>
  <Characters>34063</Characters>
  <TotalTime>103</TotalTime>
  <ScaleCrop>false</ScaleCrop>
  <LinksUpToDate>false</LinksUpToDate>
  <CharactersWithSpaces>35758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2014-11-05T04:08:00Z</dcterms:created>
  <dc:creator>正式环境陈艳测试账号</dc:creator>
  <cp:lastModifiedBy>桑坦德怎么天天下雨</cp:lastModifiedBy>
  <cp:lastPrinted>2026-09-22T10:06:19Z</cp:lastPrinted>
  <dcterms:modified xsi:type="dcterms:W3CDTF">2026-09-22T11:42:23Z</dcterms:modified>
  <cp:revision>196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6A166D6B181D4F8485DC324E7EB441CA_13</vt:lpwstr>
  </property>
  <property fmtid="{D5CDD505-2E9C-101B-9397-08002B2CF9AE}" pid="4" name="KSOTemplateDocerSaveRecord">
    <vt:lpwstr>eyJoZGlkIjoiZWM2YzlkZjQzNGU5N2MwMDg3MjcyZDA0YjIzMTljNzMiLCJ1c2VySWQiOiIyMjIzMjI0NTcifQ==</vt:lpwstr>
  </property>
</Properties>
</file>