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120" w:beforeAutospacing="0" w:after="12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120" w:beforeAutospacing="0" w:after="120" w:afterAutospacing="0" w:line="360" w:lineRule="auto"/>
        <w:shd w:val="clear" w:color="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61"/>
        <w:jc w:val="center"/>
        <w:spacing w:before="120" w:beforeAutospacing="0" w:after="120" w:afterAutospacing="0" w:line="360" w:lineRule="auto"/>
        <w:shd w:val="clear" w:color="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单一来源采</w:t>
      </w:r>
      <w:bookmarkStart w:id="265" w:name="_GoBack"/>
      <w:r/>
      <w:bookmarkEnd w:id="265"/>
      <w:r>
        <w:rPr>
          <w:rFonts w:hint="eastAsia" w:ascii="宋体" w:hAnsi="宋体" w:eastAsia="宋体" w:cs="宋体"/>
          <w:b/>
          <w:color w:val="000000"/>
          <w:sz w:val="84"/>
          <w:szCs w:val="84"/>
          <w:highlight w:val="none"/>
        </w:rPr>
        <w:t xml:space="preserve">购文件</w:t>
      </w:r>
      <w:r/>
    </w:p>
    <w:p>
      <w:pPr>
        <w:pStyle w:val="861"/>
        <w:jc w:val="center"/>
        <w:spacing w:before="120" w:beforeAutospacing="0" w:after="120" w:afterAutospacing="0" w:line="360" w:lineRule="auto"/>
        <w:shd w:val="clear" w:color="auto"/>
        <w:rPr>
          <w:rFonts w:hint="eastAsia" w:ascii="宋体" w:hAnsi="宋体" w:eastAsia="宋体" w:cs="宋体"/>
          <w:b w:val="0"/>
          <w:bCs/>
          <w:color w:val="000000"/>
          <w:sz w:val="22"/>
          <w:szCs w:val="22"/>
          <w:highlight w:val="none"/>
          <w:lang w:eastAsia="zh-CN"/>
        </w:rPr>
      </w:pPr>
      <w:r>
        <w:rPr>
          <w:rFonts w:hint="eastAsia" w:ascii="宋体" w:hAnsi="宋体" w:eastAsia="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lang w:val="en-US" w:eastAsia="zh-CN"/>
        </w:rPr>
        <w:t xml:space="preserve">服务类</w:t>
      </w:r>
      <w:r>
        <w:rPr>
          <w:rFonts w:hint="eastAsia" w:ascii="宋体" w:hAnsi="宋体" w:eastAsia="宋体" w:cs="宋体"/>
          <w:b w:val="0"/>
          <w:bCs/>
          <w:color w:val="000000"/>
          <w:sz w:val="22"/>
          <w:szCs w:val="22"/>
          <w:highlight w:val="none"/>
          <w:lang w:eastAsia="zh-CN"/>
        </w:rPr>
        <w:t xml:space="preserve">）</w:t>
      </w:r>
      <w:r/>
    </w:p>
    <w:p>
      <w:pPr>
        <w:pStyle w:val="861"/>
        <w:ind w:firstLine="562"/>
        <w:jc w:val="both"/>
        <w:spacing w:before="120" w:beforeAutospacing="0" w:after="120" w:afterAutospacing="0" w:line="360" w:lineRule="auto"/>
        <w:shd w:val="clear" w:color="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pacing w:val="-20"/>
          <w:sz w:val="28"/>
          <w:szCs w:val="28"/>
          <w:highlight w:val="none"/>
          <w:lang w:eastAsia="zh-CN"/>
        </w:rPr>
        <w:t xml:space="preserve">射阳县自然资源和规划局射阳县202</w:t>
      </w:r>
      <w:r>
        <w:rPr>
          <w:rFonts w:hint="eastAsia" w:ascii="宋体" w:hAnsi="宋体" w:cs="宋体"/>
          <w:b/>
          <w:color w:val="auto"/>
          <w:spacing w:val="-20"/>
          <w:sz w:val="28"/>
          <w:szCs w:val="28"/>
          <w:highlight w:val="none"/>
          <w:lang w:val="en-US" w:eastAsia="zh-CN"/>
        </w:rPr>
        <w:t xml:space="preserve">6</w:t>
      </w:r>
      <w:r>
        <w:rPr>
          <w:rFonts w:hint="eastAsia" w:ascii="宋体" w:hAnsi="宋体" w:eastAsia="宋体" w:cs="宋体"/>
          <w:b/>
          <w:color w:val="auto"/>
          <w:spacing w:val="-20"/>
          <w:sz w:val="28"/>
          <w:szCs w:val="28"/>
          <w:highlight w:val="none"/>
          <w:lang w:eastAsia="zh-CN"/>
        </w:rPr>
        <w:t xml:space="preserve">年射阳河北片区互花米草治理项目</w:t>
      </w:r>
      <w:r/>
    </w:p>
    <w:p>
      <w:pPr>
        <w:pStyle w:val="861"/>
        <w:ind w:firstLine="562"/>
        <w:jc w:val="both"/>
        <w:spacing w:before="120" w:beforeAutospacing="0" w:after="120" w:afterAutospacing="0" w:line="360" w:lineRule="auto"/>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项目编号：</w:t>
      </w:r>
      <w:r>
        <w:rPr>
          <w:rFonts w:hint="eastAsia" w:ascii="宋体" w:hAnsi="宋体" w:cs="宋体"/>
          <w:b/>
          <w:color w:val="auto"/>
          <w:sz w:val="28"/>
          <w:szCs w:val="28"/>
          <w:highlight w:val="none"/>
          <w:lang w:val="en-US" w:eastAsia="zh-CN"/>
        </w:rPr>
        <w:t xml:space="preserve">JSZC-320924-HHWX-D2026-0002</w:t>
      </w:r>
      <w:r/>
    </w:p>
    <w:p>
      <w:pPr>
        <w:pStyle w:val="861"/>
        <w:jc w:val="center"/>
        <w:spacing w:before="120" w:beforeAutospacing="0" w:after="120" w:afterAutospacing="0" w:line="360" w:lineRule="auto"/>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861"/>
        <w:jc w:val="center"/>
        <w:keepLines w:val="0"/>
        <w:keepNext w:val="0"/>
        <w:pageBreakBefore w:val="0"/>
        <w:spacing w:before="120" w:beforeAutospacing="0" w:after="120" w:afterAutospacing="0" w:line="520" w:lineRule="exact"/>
        <w:shd w:val="clear" w:color="auto"/>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射阳县自然资源和规划局</w:t>
      </w:r>
      <w:r/>
    </w:p>
    <w:p>
      <w:pPr>
        <w:pStyle w:val="861"/>
        <w:jc w:val="center"/>
        <w:keepLines w:val="0"/>
        <w:keepNext w:val="0"/>
        <w:pageBreakBefore w:val="0"/>
        <w:spacing w:before="120" w:beforeAutospacing="0" w:after="120" w:afterAutospacing="0" w:line="520" w:lineRule="exact"/>
        <w:shd w:val="clear" w:color="auto"/>
        <w:widowControl w:val="off"/>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江苏恒为信土地房地产资产评估造价咨询有限公司</w:t>
      </w:r>
      <w:r/>
    </w:p>
    <w:p>
      <w:pPr>
        <w:pStyle w:val="861"/>
        <w:jc w:val="center"/>
        <w:keepLines w:val="0"/>
        <w:keepNext w:val="0"/>
        <w:pageBreakBefore w:val="0"/>
        <w:spacing w:before="120" w:beforeAutospacing="0" w:after="120" w:afterAutospacing="0" w:line="520" w:lineRule="exact"/>
        <w:shd w:val="clear" w:color="auto"/>
        <w:widowControl w:val="off"/>
        <w:rPr>
          <w:rFonts w:hint="default" w:ascii="宋体" w:hAnsi="宋体" w:eastAsia="宋体" w:cs="宋体"/>
          <w:color w:val="000000"/>
          <w:sz w:val="21"/>
          <w:szCs w:val="21"/>
          <w:highlight w:val="none"/>
          <w:lang w:val="en-US"/>
        </w:rPr>
        <w:sectPr>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b/>
          <w:color w:val="000000"/>
          <w:sz w:val="28"/>
          <w:szCs w:val="28"/>
          <w:highlight w:val="none"/>
          <w:lang w:val="en-US" w:eastAsia="zh-CN"/>
        </w:rPr>
        <w:t xml:space="preserve">202</w:t>
      </w:r>
      <w:r>
        <w:rPr>
          <w:rFonts w:hint="eastAsia" w:ascii="宋体" w:hAnsi="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年</w:t>
      </w:r>
      <w:r>
        <w:rPr>
          <w:rFonts w:hint="eastAsia" w:ascii="宋体" w:hAnsi="宋体" w:cs="宋体"/>
          <w:b/>
          <w:color w:val="000000"/>
          <w:sz w:val="28"/>
          <w:szCs w:val="28"/>
          <w:highlight w:val="none"/>
          <w:lang w:val="en-US" w:eastAsia="zh-CN"/>
        </w:rPr>
        <w:t xml:space="preserve">6月</w:t>
      </w:r>
      <w:r/>
    </w:p>
    <w:p>
      <w:pPr>
        <w:pStyle w:val="861"/>
        <w:jc w:val="both"/>
        <w:spacing w:beforeAutospacing="0" w:afterAutospacing="0" w:line="480" w:lineRule="auto"/>
        <w:shd w:val="clear" w:color="auto"/>
        <w:rPr>
          <w:rFonts w:hint="eastAsia" w:ascii="宋体" w:hAnsi="宋体" w:eastAsia="宋体" w:cs="宋体"/>
          <w:b/>
          <w:color w:val="000000"/>
          <w:sz w:val="44"/>
          <w:szCs w:val="44"/>
          <w:highlight w:val="none"/>
          <w:lang w:val="en-US" w:eastAsia="zh-CN"/>
        </w:rPr>
      </w:pPr>
      <w:r>
        <w:rPr>
          <w:rFonts w:hint="eastAsia" w:ascii="宋体" w:hAnsi="宋体" w:eastAsia="宋体" w:cs="宋体"/>
          <w:b/>
          <w:color w:val="000000"/>
          <w:sz w:val="44"/>
          <w:szCs w:val="44"/>
          <w:highlight w:val="none"/>
          <w:lang w:val="en-US" w:eastAsia="zh-CN"/>
        </w:rPr>
      </w:r>
      <w:r/>
    </w:p>
    <w:sdt>
      <w:sdtPr>
        <w15:appearance w15:val="boundingBox"/>
        <w15:color w:val="dbdbdb"/>
        <w:id w:val="147455156"/>
        <w:docPartObj>
          <w:docPartGallery w:val="Table of Contents"/>
          <w:docPartUnique w:val="true"/>
        </w:docPartObj>
        <w:rPr>
          <w:rFonts w:ascii="宋体" w:hAnsi="宋体" w:eastAsia="宋体" w:cs="宋体"/>
          <w:b/>
          <w:bCs/>
          <w:sz w:val="22"/>
          <w:szCs w:val="28"/>
          <w:highlight w:val="none"/>
          <w:lang w:val="en-US" w:eastAsia="zh-CN" w:bidi="ar-SA"/>
        </w:rPr>
      </w:sdtPr>
      <w:sdtContent>
        <w:p>
          <w:pPr>
            <w:ind w:left="0" w:right="0" w:firstLine="0"/>
            <w:jc w:val="center"/>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目</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录</w:t>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_Toc6569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单一来源采购邀请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_Toc31893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_Toc28670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_Toc28670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_Toc24083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_Toc24083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_Toc14443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_Toc14443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6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highlight w:val="none"/>
            </w:rPr>
          </w:pPr>
          <w:r>
            <w:rPr>
              <w:rFonts w:hint="eastAsia" w:ascii="宋体" w:hAnsi="宋体" w:eastAsia="宋体" w:cs="宋体"/>
              <w:sz w:val="28"/>
              <w:szCs w:val="28"/>
              <w:highlight w:val="none"/>
            </w:rPr>
            <w:fldChar w:fldCharType="end"/>
          </w:r>
          <w:r/>
        </w:p>
      </w:sdtContent>
    </w:sdt>
    <w:p>
      <w:pPr>
        <w:rPr>
          <w:highlight w:val="none"/>
        </w:rPr>
      </w:pPr>
      <w:r>
        <w:rPr>
          <w:highlight w:val="none"/>
        </w:rPr>
      </w:r>
      <w:r/>
    </w:p>
    <w:p>
      <w:pPr>
        <w:pStyle w:val="861"/>
        <w:jc w:val="both"/>
        <w:spacing w:beforeAutospacing="0" w:afterAutospacing="0" w:line="48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Autospacing="0" w:afterAutospacing="0"/>
        <w:shd w:val="clear" w:color="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r>
      <w:r/>
    </w:p>
    <w:p>
      <w:pPr>
        <w:pStyle w:val="861"/>
        <w:jc w:val="center"/>
        <w:spacing w:beforeAutospacing="0" w:afterAutospacing="0"/>
        <w:shd w:val="clear" w:color="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r>
      <w:r/>
    </w:p>
    <w:p>
      <w:pPr>
        <w:pStyle w:val="861"/>
        <w:jc w:val="center"/>
        <w:spacing w:beforeAutospacing="0" w:afterAutospacing="0"/>
        <w:shd w:val="clear" w:color="auto"/>
        <w:rPr>
          <w:rFonts w:hint="eastAsia" w:ascii="宋体" w:hAnsi="宋体" w:eastAsia="宋体" w:cs="宋体"/>
          <w:highlight w:val="none"/>
        </w:rPr>
        <w:outlineLvl w:val="0"/>
      </w:pPr>
      <w:r>
        <w:rPr>
          <w:highlight w:val="none"/>
        </w:rPr>
      </w:r>
      <w:r>
        <w:rPr>
          <w:highlight w:val="none"/>
        </w:rPr>
      </w:r>
    </w:p>
    <w:p>
      <w:pPr>
        <w:pStyle w:val="861"/>
        <w:jc w:val="center"/>
        <w:spacing w:beforeAutospacing="0" w:afterAutospacing="0"/>
        <w:shd w:val="clear" w:color="auto"/>
        <w:rPr>
          <w:highlight w:val="none"/>
        </w:rPr>
        <w:outlineLvl w:val="0"/>
      </w:pPr>
      <w:r>
        <w:rPr>
          <w:highlight w:val="none"/>
        </w:rPr>
      </w:r>
      <w:r>
        <w:rPr>
          <w:highlight w:val="none"/>
        </w:rPr>
      </w:r>
    </w:p>
    <w:p>
      <w:pPr>
        <w:pStyle w:val="861"/>
        <w:jc w:val="center"/>
        <w:spacing w:beforeAutospacing="0" w:afterAutospacing="0"/>
        <w:shd w:val="clear" w:color="auto"/>
        <w:rPr>
          <w:highlight w:val="none"/>
        </w:rPr>
        <w:outlineLvl w:val="0"/>
      </w:pPr>
      <w:r/>
      <w:bookmarkStart w:id="0" w:name="_Toc6569"/>
      <w:r>
        <w:rPr>
          <w:rFonts w:hint="eastAsia" w:ascii="宋体" w:hAnsi="宋体" w:eastAsia="宋体" w:cs="宋体"/>
          <w:b/>
          <w:bCs/>
          <w:color w:val="000000"/>
          <w:sz w:val="40"/>
          <w:szCs w:val="40"/>
          <w:highlight w:val="none"/>
        </w:rPr>
        <w:t xml:space="preserve">第一章  单一来源采购邀请</w:t>
      </w:r>
      <w:bookmarkEnd w:id="0"/>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射阳县自然资源和规划局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江苏恒为信土地房地产资产评估造价咨询有限公司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lang w:eastAsia="zh-CN"/>
        </w:rPr>
        <w:t xml:space="preserve">射阳县自然资源和规划局射阳县202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年射阳河北片区互花米草治理项目</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JSZC-320924-HHWX-D2026-0002</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)进行单一来源采购，</w:t>
      </w:r>
      <w:r>
        <w:rPr>
          <w:rFonts w:hint="eastAsia" w:ascii="宋体" w:hAnsi="宋体" w:eastAsia="宋体" w:cs="宋体"/>
          <w:color w:val="000000"/>
          <w:sz w:val="24"/>
          <w:szCs w:val="24"/>
          <w:highlight w:val="none"/>
          <w:lang w:val="en-US" w:eastAsia="zh-CN"/>
        </w:rPr>
        <w:t xml:space="preserve">特邀请</w:t>
      </w:r>
      <w:r>
        <w:rPr>
          <w:rFonts w:hint="eastAsia" w:ascii="宋体" w:hAnsi="宋体" w:eastAsia="宋体" w:cs="宋体"/>
          <w:b/>
          <w:bCs/>
          <w:color w:val="000000"/>
          <w:sz w:val="24"/>
          <w:szCs w:val="24"/>
          <w:highlight w:val="none"/>
          <w:lang w:val="en-US" w:eastAsia="zh-CN"/>
        </w:rPr>
        <w:t xml:space="preserve">北京绿冠生态科技股份有限公司</w:t>
      </w:r>
      <w:r>
        <w:rPr>
          <w:rFonts w:hint="eastAsia" w:ascii="宋体" w:hAnsi="宋体" w:eastAsia="宋体" w:cs="宋体"/>
          <w:color w:val="000000"/>
          <w:sz w:val="24"/>
          <w:szCs w:val="24"/>
          <w:highlight w:val="none"/>
          <w:lang w:val="en-US" w:eastAsia="zh-CN"/>
        </w:rPr>
        <w:t xml:space="preserve">参与本项目投标</w:t>
      </w:r>
      <w:r>
        <w:rPr>
          <w:rFonts w:hint="eastAsia" w:ascii="宋体" w:hAnsi="宋体" w:eastAsia="宋体" w:cs="宋体"/>
          <w:color w:val="000000"/>
          <w:sz w:val="24"/>
          <w:szCs w:val="24"/>
          <w:highlight w:val="none"/>
        </w:rPr>
        <w:t xml:space="preserve">。</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000000"/>
          <w:sz w:val="24"/>
          <w:szCs w:val="24"/>
          <w:highlight w:val="none"/>
          <w:lang w:val="en-US" w:eastAsia="zh-CN"/>
        </w:rPr>
        <w:outlineLvl w:val="0"/>
      </w:pPr>
      <w:r/>
      <w:bookmarkStart w:id="1" w:name="_Toc28359079"/>
      <w:r/>
      <w:bookmarkStart w:id="2" w:name="_Toc35393621"/>
      <w:r/>
      <w:bookmarkStart w:id="3" w:name="_Toc35393790"/>
      <w:r/>
      <w:bookmarkStart w:id="4" w:name="_Hlk24379207"/>
      <w:r/>
      <w:bookmarkStart w:id="5" w:name="_Toc38985263"/>
      <w:r/>
      <w:bookmarkStart w:id="6" w:name="_Toc8605"/>
      <w:r/>
      <w:bookmarkStart w:id="7" w:name="_Toc28359002"/>
      <w:r/>
      <w:bookmarkStart w:id="8" w:name="_Toc17536"/>
      <w:r>
        <w:rPr>
          <w:rFonts w:hint="eastAsia" w:ascii="宋体" w:hAnsi="宋体" w:eastAsia="宋体" w:cs="宋体"/>
          <w:b/>
          <w:color w:val="000000"/>
          <w:sz w:val="24"/>
          <w:szCs w:val="24"/>
          <w:highlight w:val="none"/>
          <w:lang w:val="en-US" w:eastAsia="zh-CN"/>
        </w:rPr>
        <w:t xml:space="preserve">一、项目基本情况</w:t>
      </w:r>
      <w:bookmarkEnd w:id="1"/>
      <w:r/>
      <w:bookmarkEnd w:id="2"/>
      <w:r/>
      <w:bookmarkEnd w:id="3"/>
      <w:r/>
      <w:bookmarkEnd w:id="4"/>
      <w:r/>
      <w:bookmarkEnd w:id="5"/>
      <w:r/>
      <w:bookmarkEnd w:id="6"/>
      <w:r/>
      <w:bookmarkEnd w:id="7"/>
      <w:r/>
      <w:bookmarkEnd w:id="8"/>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bookmarkStart w:id="9" w:name="_Toc38985264"/>
      <w:r/>
      <w:bookmarkStart w:id="10" w:name="_Toc35393791"/>
      <w:r/>
      <w:bookmarkStart w:id="11" w:name="_Toc28359080"/>
      <w:r/>
      <w:bookmarkStart w:id="12" w:name="_Toc35393622"/>
      <w:r/>
      <w:bookmarkStart w:id="13" w:name="_Toc28359003"/>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JSZC-320924-HHWX-D2026-0002</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射阳县自然资源和规划局射阳县202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年射阳河北片区互花米草治理项目</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3.项目类型：服务类</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单一来源采购</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5.预算金额：</w:t>
      </w:r>
      <w:r>
        <w:rPr>
          <w:rFonts w:hint="eastAsia" w:ascii="宋体" w:hAnsi="宋体" w:cs="宋体"/>
          <w:color w:val="000000"/>
          <w:sz w:val="24"/>
          <w:szCs w:val="24"/>
          <w:highlight w:val="none"/>
          <w:lang w:val="en-US" w:eastAsia="zh-CN"/>
        </w:rPr>
        <w:t xml:space="preserve">170</w:t>
      </w:r>
      <w:r>
        <w:rPr>
          <w:rFonts w:hint="eastAsia" w:ascii="宋体" w:hAnsi="宋体" w:eastAsia="宋体" w:cs="宋体"/>
          <w:color w:val="000000"/>
          <w:sz w:val="24"/>
          <w:szCs w:val="24"/>
          <w:highlight w:val="none"/>
          <w:lang w:val="en-US" w:eastAsia="zh-CN"/>
        </w:rPr>
        <w:t xml:space="preserve">万元</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1150元/亩，报价超过最高限价的将作为无效响应处理。</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互花米草治理专项行动，202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年射阳河北片区互花米草治理面积约</w:t>
      </w:r>
      <w:r>
        <w:rPr>
          <w:rFonts w:hint="eastAsia" w:ascii="宋体" w:hAnsi="宋体" w:cs="宋体"/>
          <w:color w:val="000000"/>
          <w:sz w:val="24"/>
          <w:szCs w:val="24"/>
          <w:highlight w:val="none"/>
          <w:lang w:val="en-US" w:eastAsia="zh-CN"/>
        </w:rPr>
        <w:t xml:space="preserve">1499.95</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单一来源</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.合同履行期限：本项目自合同签订之日起至202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年12月31日止【治理期：1年；管护期：2年（至202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年12月31日止）】。</w:t>
      </w:r>
      <w:r>
        <w:rPr>
          <w:rFonts w:hint="eastAsia" w:ascii="宋体" w:hAnsi="宋体" w:eastAsia="宋体" w:cs="宋体"/>
          <w:color w:val="000000"/>
          <w:sz w:val="24"/>
          <w:szCs w:val="24"/>
          <w:highlight w:val="none"/>
          <w:lang w:val="en-US" w:eastAsia="zh-CN"/>
        </w:rPr>
        <w:t xml:space="preserve"> </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w:t>
      </w:r>
      <w:r>
        <w:rPr>
          <w:rFonts w:hint="eastAsia" w:ascii="宋体" w:hAnsi="宋体" w:eastAsia="宋体" w:cs="宋体"/>
          <w:b/>
          <w:bCs/>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联合体参与单一来源采购活动。</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000000"/>
          <w:sz w:val="24"/>
          <w:szCs w:val="24"/>
          <w:highlight w:val="none"/>
          <w:lang w:val="en-US" w:eastAsia="zh-CN"/>
        </w:rPr>
        <w:outlineLvl w:val="0"/>
      </w:pPr>
      <w:r/>
      <w:bookmarkStart w:id="14" w:name="_Toc15988"/>
      <w:r/>
      <w:bookmarkStart w:id="15" w:name="_Toc19109"/>
      <w:r>
        <w:rPr>
          <w:rFonts w:hint="eastAsia" w:ascii="宋体" w:hAnsi="宋体" w:eastAsia="宋体" w:cs="宋体"/>
          <w:b/>
          <w:color w:val="000000"/>
          <w:sz w:val="24"/>
          <w:szCs w:val="24"/>
          <w:highlight w:val="none"/>
          <w:lang w:val="en-US" w:eastAsia="zh-CN"/>
        </w:rPr>
        <w:t xml:space="preserve">二、</w:t>
      </w:r>
      <w:bookmarkEnd w:id="9"/>
      <w:r/>
      <w:bookmarkEnd w:id="10"/>
      <w:r/>
      <w:bookmarkEnd w:id="11"/>
      <w:r/>
      <w:bookmarkEnd w:id="12"/>
      <w:r/>
      <w:bookmarkEnd w:id="13"/>
      <w:r>
        <w:rPr>
          <w:rFonts w:hint="eastAsia" w:ascii="宋体" w:hAnsi="宋体" w:eastAsia="宋体" w:cs="宋体"/>
          <w:b/>
          <w:color w:val="000000"/>
          <w:sz w:val="24"/>
          <w:szCs w:val="24"/>
          <w:highlight w:val="none"/>
          <w:lang w:val="en-US" w:eastAsia="zh-CN"/>
        </w:rPr>
        <w:t xml:space="preserve">合格单一来源供应商资格要求</w:t>
      </w:r>
      <w:bookmarkEnd w:id="14"/>
      <w:r/>
      <w:bookmarkEnd w:id="15"/>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w:t>
      </w:r>
      <w:r>
        <w:rPr>
          <w:rFonts w:hint="eastAsia" w:ascii="宋体" w:hAnsi="宋体" w:eastAsia="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rPr>
        <w:t xml:space="preserve">关系的不同供应商，不得参加同一合同项下的政府采购活动。</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w:t>
      </w:r>
      <w:r>
        <w:rPr>
          <w:rFonts w:hint="eastAsia" w:ascii="宋体" w:hAnsi="宋体" w:eastAsia="宋体" w:cs="宋体"/>
          <w:color w:val="auto"/>
          <w:sz w:val="24"/>
          <w:szCs w:val="24"/>
          <w:highlight w:val="none"/>
        </w:rPr>
        <w:t xml:space="preserve">策需满足的资格要求：本项目为专门面向中小企业采购的项目。</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auto"/>
          <w:sz w:val="24"/>
          <w:szCs w:val="24"/>
          <w:highlight w:val="none"/>
          <w:lang w:val="en-US" w:eastAsia="zh-CN"/>
        </w:rPr>
        <w:outlineLvl w:val="0"/>
      </w:pPr>
      <w:r/>
      <w:bookmarkStart w:id="16" w:name="_Toc7669"/>
      <w:r/>
      <w:bookmarkStart w:id="17" w:name="_Toc13258"/>
      <w:r>
        <w:rPr>
          <w:rFonts w:hint="eastAsia" w:ascii="宋体" w:hAnsi="宋体" w:eastAsia="宋体" w:cs="宋体"/>
          <w:b/>
          <w:color w:val="auto"/>
          <w:sz w:val="24"/>
          <w:szCs w:val="24"/>
          <w:highlight w:val="none"/>
          <w:lang w:val="en-US" w:eastAsia="zh-CN"/>
        </w:rPr>
        <w:t xml:space="preserve">三、获取单一来源文件</w:t>
      </w:r>
      <w:bookmarkEnd w:id="16"/>
      <w:r/>
      <w:bookmarkEnd w:id="17"/>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日，每天上午00:00至12:00，下午12:00至23:59（北京时间，法定节假日除外 ）。</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2.地点：“苏采云”系统内免费下载（供应商必须在苏采云系统中获取采购文件，方能参与政府采购项目）。</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 潜在供应商访问电子招标响应交易平台的网络地址和方法：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潜在供应商访问“苏采云”系统方法：江苏省政府采购网首页-“苏采云”链接。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 采购文件（后缀名为“.kedt”）、供应商操作手册及政府采购客户端工具可通过“苏采云”系统相应链接进行下载。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3.4 采购代理机构将数据电文形式的采购文件加载至“苏采云”系统，供潜在供应商下载或者查阅。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3.5 请潜在供应商提前安装相应的控件（详见《“苏采云”系统供应商操作手册》）并使用谷歌浏览器登录“苏采云”系统参与不见面开评标。 </w:t>
      </w:r>
      <w:r/>
    </w:p>
    <w:p>
      <w:pPr>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如潜在供应商未按上述要求操作，将自行承担所产生的风险。</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auto"/>
          <w:sz w:val="24"/>
          <w:szCs w:val="24"/>
          <w:highlight w:val="none"/>
          <w:lang w:val="en-US" w:eastAsia="zh-CN"/>
        </w:rPr>
        <w:outlineLvl w:val="0"/>
      </w:pPr>
      <w:r/>
      <w:bookmarkStart w:id="18" w:name="_Toc35393624"/>
      <w:r/>
      <w:bookmarkStart w:id="19" w:name="_Toc38985266"/>
      <w:r/>
      <w:bookmarkStart w:id="20" w:name="_Toc28359082"/>
      <w:r/>
      <w:bookmarkStart w:id="21" w:name="_Toc29286"/>
      <w:r/>
      <w:bookmarkStart w:id="22" w:name="_Toc35393793"/>
      <w:r/>
      <w:bookmarkStart w:id="23" w:name="_Toc28359005"/>
      <w:r/>
      <w:bookmarkStart w:id="24" w:name="_Toc32699"/>
      <w:r>
        <w:rPr>
          <w:rFonts w:hint="eastAsia" w:ascii="宋体" w:hAnsi="宋体" w:eastAsia="宋体" w:cs="宋体"/>
          <w:b/>
          <w:color w:val="auto"/>
          <w:sz w:val="24"/>
          <w:szCs w:val="24"/>
          <w:highlight w:val="none"/>
          <w:lang w:val="en-US" w:eastAsia="zh-CN"/>
        </w:rPr>
        <w:t xml:space="preserve">四、提交</w:t>
      </w:r>
      <w:bookmarkEnd w:id="18"/>
      <w:r/>
      <w:bookmarkEnd w:id="19"/>
      <w:r>
        <w:rPr>
          <w:rFonts w:hint="eastAsia" w:ascii="宋体" w:hAnsi="宋体" w:eastAsia="宋体" w:cs="宋体"/>
          <w:b/>
          <w:color w:val="auto"/>
          <w:sz w:val="24"/>
          <w:szCs w:val="24"/>
          <w:highlight w:val="none"/>
          <w:lang w:val="en-US" w:eastAsia="zh-CN"/>
        </w:rPr>
        <w:t xml:space="preserve">响应文件截止时间</w:t>
      </w:r>
      <w:bookmarkEnd w:id="20"/>
      <w:r/>
      <w:bookmarkEnd w:id="21"/>
      <w:r/>
      <w:bookmarkEnd w:id="22"/>
      <w:r/>
      <w:bookmarkEnd w:id="23"/>
      <w:r/>
      <w:bookmarkEnd w:id="24"/>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pPr>
      <w:r/>
      <w:bookmarkStart w:id="25" w:name="_Toc35393627"/>
      <w:r/>
      <w:bookmarkStart w:id="26" w:name="_Toc28359085"/>
      <w:r/>
      <w:bookmarkStart w:id="27" w:name="_Toc28359008"/>
      <w:r/>
      <w:bookmarkStart w:id="28" w:name="_Toc35393796"/>
      <w:r/>
      <w:bookmarkStart w:id="29" w:name="_Toc38985269"/>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月</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日</w:t>
      </w:r>
      <w:r>
        <w:rPr>
          <w:rFonts w:hint="eastAsia" w:ascii="宋体" w:hAnsi="宋体" w:cs="宋体"/>
          <w:b/>
          <w:bCs/>
          <w:color w:val="auto"/>
          <w:sz w:val="24"/>
          <w:szCs w:val="24"/>
          <w:highlight w:val="none"/>
          <w:lang w:val="en-US" w:eastAsia="zh-CN"/>
        </w:rPr>
        <w:t xml:space="preserve">15时00</w:t>
      </w:r>
      <w:r>
        <w:rPr>
          <w:rFonts w:hint="eastAsia" w:ascii="宋体" w:hAnsi="宋体" w:eastAsia="宋体" w:cs="宋体"/>
          <w:b/>
          <w:bCs/>
          <w:color w:val="auto"/>
          <w:sz w:val="24"/>
          <w:szCs w:val="24"/>
          <w:highlight w:val="none"/>
          <w:lang w:val="en-US" w:eastAsia="zh-CN"/>
        </w:rPr>
        <w:t xml:space="preserve">分（北京时间）</w:t>
      </w:r>
      <w:r>
        <w:rPr>
          <w:rFonts w:hint="eastAsia" w:ascii="宋体" w:hAnsi="宋体" w:eastAsia="宋体" w:cs="宋体"/>
          <w:color w:val="auto"/>
          <w:sz w:val="24"/>
          <w:szCs w:val="24"/>
          <w:highlight w:val="none"/>
          <w:lang w:val="en-US" w:eastAsia="zh-CN"/>
        </w:rPr>
        <w:t xml:space="preserve">。</w:t>
      </w:r>
      <w:r/>
    </w:p>
    <w:p>
      <w:pPr>
        <w:pStyle w:val="861"/>
        <w:ind w:firstLine="482"/>
        <w:jc w:val="lef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2.地点：“苏采云”政府采购交易系统网上开标大厅。</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000000"/>
          <w:sz w:val="24"/>
          <w:szCs w:val="24"/>
          <w:highlight w:val="none"/>
          <w:lang w:val="en-US" w:eastAsia="zh-CN"/>
        </w:rPr>
        <w:outlineLvl w:val="0"/>
      </w:pPr>
      <w:r/>
      <w:bookmarkStart w:id="30" w:name="_Toc24699"/>
      <w:r/>
      <w:bookmarkStart w:id="31" w:name="_Toc5156"/>
      <w:r>
        <w:rPr>
          <w:rFonts w:hint="eastAsia" w:ascii="宋体" w:hAnsi="宋体" w:eastAsia="宋体" w:cs="宋体"/>
          <w:b/>
          <w:color w:val="000000"/>
          <w:sz w:val="24"/>
          <w:szCs w:val="24"/>
          <w:highlight w:val="none"/>
          <w:lang w:val="en-US" w:eastAsia="zh-CN"/>
        </w:rPr>
        <w:t xml:space="preserve">五、其他</w:t>
      </w:r>
      <w:bookmarkEnd w:id="30"/>
      <w:r/>
      <w:bookmarkEnd w:id="31"/>
      <w:r/>
      <w:bookmarkEnd w:id="25"/>
      <w:r/>
      <w:bookmarkEnd w:id="26"/>
      <w:r/>
      <w:bookmarkEnd w:id="27"/>
      <w:r/>
      <w:bookmarkEnd w:id="28"/>
      <w:r/>
      <w:bookmarkEnd w:id="29"/>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bookmarkStart w:id="32" w:name="_Toc28359086"/>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2.有关本次采购的事项若存在变动或修改，敬请及时关注采购代理机构在“中国政府采购网”、“江苏政府采购网”、“盐城市政府采购网”发布的更正公告。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3.本次单一来源采购不收取投标保证金，不收取质量保证金。</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4.电子响应文件一份(通过系统提交)；纸质响应文件正本一份，副本二份</w:t>
      </w:r>
      <w:r>
        <w:rPr>
          <w:rFonts w:hint="eastAsia" w:ascii="宋体" w:hAnsi="宋体" w:cs="宋体"/>
          <w:color w:val="000000"/>
          <w:sz w:val="24"/>
          <w:szCs w:val="24"/>
          <w:highlight w:val="none"/>
          <w:lang w:val="en-US" w:eastAsia="zh-CN"/>
        </w:rPr>
        <w:t xml:space="preserve">，PDF一份</w:t>
      </w:r>
      <w:r>
        <w:rPr>
          <w:rFonts w:hint="eastAsia" w:ascii="宋体" w:hAnsi="宋体" w:eastAsia="宋体" w:cs="宋体"/>
          <w:color w:val="000000"/>
          <w:sz w:val="24"/>
          <w:szCs w:val="24"/>
          <w:highlight w:val="none"/>
          <w:lang w:val="en-US" w:eastAsia="zh-CN"/>
        </w:rPr>
        <w:t xml:space="preserve">（评审结束后由成交候选人提供）。</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5.因供应商的系统环境、操作等原因导致的问题由供应商自行承担负责。</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商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供应商自行承担。</w:t>
      </w:r>
      <w:r/>
    </w:p>
    <w:p>
      <w:pPr>
        <w:pStyle w:val="861"/>
        <w:ind w:firstLine="499"/>
        <w:jc w:val="left"/>
        <w:keepLines/>
        <w:keepNext/>
        <w:pageBreakBefore w:val="0"/>
        <w:spacing w:before="145" w:beforeAutospacing="0" w:after="145" w:afterAutospacing="0" w:line="360" w:lineRule="auto"/>
        <w:shd w:val="clear" w:color="auto"/>
        <w:widowControl w:val="off"/>
        <w:rPr>
          <w:rFonts w:hint="eastAsia" w:ascii="宋体" w:hAnsi="宋体" w:eastAsia="宋体" w:cs="宋体"/>
          <w:b/>
          <w:color w:val="000000"/>
          <w:sz w:val="24"/>
          <w:szCs w:val="24"/>
          <w:highlight w:val="none"/>
          <w:lang w:val="en-US" w:eastAsia="zh-CN"/>
        </w:rPr>
        <w:outlineLvl w:val="0"/>
      </w:pPr>
      <w:r/>
      <w:bookmarkStart w:id="33" w:name="_Toc8309"/>
      <w:r/>
      <w:bookmarkStart w:id="34" w:name="_Toc10728"/>
      <w:r>
        <w:rPr>
          <w:rFonts w:hint="eastAsia" w:ascii="宋体" w:hAnsi="宋体" w:eastAsia="宋体" w:cs="宋体"/>
          <w:b/>
          <w:color w:val="000000"/>
          <w:sz w:val="24"/>
          <w:szCs w:val="24"/>
          <w:highlight w:val="none"/>
          <w:lang w:val="en-US" w:eastAsia="zh-CN"/>
        </w:rPr>
        <w:t xml:space="preserve">六、凡对本次采购提出询问，请按以下方式联系。</w:t>
      </w:r>
      <w:bookmarkEnd w:id="33"/>
      <w:r/>
      <w:bookmarkEnd w:id="34"/>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outlineLvl w:val="1"/>
      </w:pPr>
      <w:r/>
      <w:bookmarkStart w:id="35" w:name="_Toc120614211"/>
      <w:r>
        <w:rPr>
          <w:rFonts w:hint="eastAsia" w:ascii="宋体" w:hAnsi="宋体" w:eastAsia="宋体" w:cs="宋体"/>
          <w:color w:val="000000"/>
          <w:sz w:val="24"/>
          <w:szCs w:val="24"/>
          <w:highlight w:val="none"/>
          <w:lang w:val="en-US" w:eastAsia="zh-CN"/>
        </w:rPr>
        <w:t xml:space="preserve">1.采购人信息</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称：射阳县自然资源和规划局</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址：射阳县经济开发区幸福大道26号联创中心A座8楼 </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bookmarkStart w:id="36" w:name="_Toc28359021"/>
      <w:r/>
      <w:bookmarkStart w:id="37" w:name="_Toc35393808"/>
      <w:r/>
      <w:bookmarkStart w:id="38" w:name="_Toc35393639"/>
      <w:r/>
      <w:bookmarkStart w:id="39" w:name="_Toc28359098"/>
      <w:r>
        <w:rPr>
          <w:rFonts w:hint="eastAsia" w:ascii="宋体" w:hAnsi="宋体" w:eastAsia="宋体" w:cs="宋体"/>
          <w:color w:val="000000"/>
          <w:sz w:val="24"/>
          <w:szCs w:val="24"/>
          <w:highlight w:val="none"/>
          <w:lang w:val="en-US" w:eastAsia="zh-CN"/>
        </w:rPr>
        <w:t xml:space="preserve">程先生 18261255088</w:t>
      </w:r>
      <w:r/>
    </w:p>
    <w:p>
      <w:pPr>
        <w:ind w:firstLine="480"/>
        <w:jc w:val="left"/>
        <w:spacing w:line="360" w:lineRule="auto"/>
        <w:shd w:val="clear" w:color="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2.采购代理机构信息</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称：江苏恒为信土地房地产资产评估造价咨询有限公司</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址：射阳县经济开发区幸福大道26号联创中心B座3楼303室 </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联系方式：李政 15161740486 </w:t>
      </w:r>
      <w:r/>
    </w:p>
    <w:p>
      <w:pPr>
        <w:ind w:firstLine="480"/>
        <w:jc w:val="left"/>
        <w:spacing w:line="360" w:lineRule="auto"/>
        <w:shd w:val="clear" w:color="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3.项目联系方式</w:t>
      </w:r>
      <w:bookmarkEnd w:id="36"/>
      <w:r/>
      <w:bookmarkEnd w:id="37"/>
      <w:r/>
      <w:bookmarkEnd w:id="38"/>
      <w:r/>
      <w:bookmarkEnd w:id="39"/>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项目联系人：李政 </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　　 话：15161740486  </w:t>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3"/>
        <w:shd w:val="clear" w:color="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r>
      <w:r/>
    </w:p>
    <w:p>
      <w:pPr>
        <w:pStyle w:val="861"/>
        <w:jc w:val="center"/>
        <w:keepNext/>
        <w:spacing w:beforeAutospacing="0" w:afterAutospacing="0"/>
        <w:shd w:val="clear" w:color="auto"/>
        <w:rPr>
          <w:rFonts w:hint="eastAsia" w:ascii="宋体" w:hAnsi="宋体" w:eastAsia="宋体" w:cs="宋体"/>
          <w:b/>
          <w:bCs/>
          <w:color w:val="000000"/>
          <w:sz w:val="40"/>
          <w:szCs w:val="40"/>
          <w:highlight w:val="none"/>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outlineLvl w:val="0"/>
      </w:pPr>
      <w:r>
        <w:rPr>
          <w:rFonts w:hint="eastAsia" w:ascii="宋体" w:hAnsi="宋体" w:eastAsia="宋体" w:cs="宋体"/>
          <w:b/>
          <w:bCs/>
          <w:color w:val="000000"/>
          <w:sz w:val="40"/>
          <w:szCs w:val="40"/>
          <w:highlight w:val="none"/>
        </w:rPr>
      </w:r>
      <w:r/>
    </w:p>
    <w:p>
      <w:pPr>
        <w:pStyle w:val="861"/>
        <w:jc w:val="center"/>
        <w:keepNext/>
        <w:spacing w:beforeAutospacing="0" w:afterAutospacing="0"/>
        <w:shd w:val="clear" w:color="auto"/>
        <w:rPr>
          <w:rFonts w:hint="eastAsia" w:ascii="宋体" w:hAnsi="宋体" w:eastAsia="宋体" w:cs="宋体"/>
          <w:b/>
          <w:bCs/>
          <w:color w:val="000000"/>
          <w:sz w:val="40"/>
          <w:szCs w:val="40"/>
          <w:highlight w:val="none"/>
        </w:rPr>
        <w:outlineLvl w:val="0"/>
      </w:pPr>
      <w:r/>
      <w:bookmarkStart w:id="40" w:name="_Toc31893"/>
      <w:r>
        <w:rPr>
          <w:rFonts w:hint="eastAsia" w:ascii="宋体" w:hAnsi="宋体" w:eastAsia="宋体" w:cs="宋体"/>
          <w:b/>
          <w:bCs/>
          <w:color w:val="000000"/>
          <w:sz w:val="40"/>
          <w:szCs w:val="40"/>
          <w:highlight w:val="none"/>
        </w:rPr>
        <w:t xml:space="preserve">第二章  </w:t>
      </w:r>
      <w:bookmarkEnd w:id="35"/>
      <w:r>
        <w:rPr>
          <w:rFonts w:hint="eastAsia" w:ascii="宋体" w:hAnsi="宋体" w:eastAsia="宋体" w:cs="宋体"/>
          <w:b/>
          <w:bCs/>
          <w:color w:val="000000"/>
          <w:sz w:val="40"/>
          <w:szCs w:val="40"/>
          <w:highlight w:val="none"/>
        </w:rPr>
        <w:t xml:space="preserve">供应商须知</w:t>
      </w:r>
      <w:bookmarkEnd w:id="40"/>
      <w:r/>
      <w:r/>
    </w:p>
    <w:p>
      <w:pPr>
        <w:pStyle w:val="861"/>
        <w:ind w:firstLine="498"/>
        <w:jc w:val="both"/>
        <w:keepLines/>
        <w:keepNext/>
        <w:pageBreakBefore w:val="0"/>
        <w:spacing w:before="145" w:beforeAutospacing="0" w:after="145" w:afterAutospacing="0" w:line="360" w:lineRule="auto"/>
        <w:shd w:val="clear" w:color="auto"/>
        <w:widowControl w:val="off"/>
        <w:rPr>
          <w:rFonts w:hint="eastAsia" w:ascii="宋体" w:hAnsi="宋体" w:eastAsia="宋体" w:cs="宋体"/>
          <w:highlight w:val="none"/>
        </w:rPr>
        <w:outlineLvl w:val="0"/>
      </w:pPr>
      <w:r/>
      <w:bookmarkStart w:id="41" w:name="_Toc20823275"/>
      <w:r/>
      <w:bookmarkStart w:id="42" w:name="_Toc31184"/>
      <w:r/>
      <w:bookmarkStart w:id="43" w:name="_Toc16938519"/>
      <w:r/>
      <w:bookmarkStart w:id="44" w:name="_Toc3113"/>
      <w:r/>
      <w:bookmarkStart w:id="45" w:name="_Toc120614214"/>
      <w:r/>
      <w:bookmarkStart w:id="46" w:name="_Toc513029203"/>
      <w:r>
        <w:rPr>
          <w:rFonts w:hint="eastAsia" w:ascii="宋体" w:hAnsi="宋体" w:eastAsia="宋体" w:cs="宋体"/>
          <w:b/>
          <w:color w:val="000000"/>
          <w:sz w:val="32"/>
          <w:szCs w:val="32"/>
          <w:highlight w:val="none"/>
        </w:rPr>
        <w:t xml:space="preserve">一、总则</w:t>
      </w:r>
      <w:bookmarkEnd w:id="41"/>
      <w:r/>
      <w:bookmarkEnd w:id="42"/>
      <w:r/>
      <w:bookmarkEnd w:id="43"/>
      <w:r/>
      <w:bookmarkEnd w:id="44"/>
      <w:r/>
      <w:bookmarkEnd w:id="45"/>
      <w:r/>
      <w:bookmarkEnd w:id="46"/>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47" w:name="_Toc20823276"/>
      <w:r/>
      <w:bookmarkStart w:id="48" w:name="_Toc458694821"/>
      <w:r/>
      <w:bookmarkStart w:id="49" w:name="_Toc16938520"/>
      <w:r/>
      <w:bookmarkStart w:id="50" w:name="_Toc513029204"/>
      <w:r/>
      <w:bookmarkStart w:id="51" w:name="_Hlt16619475"/>
      <w:r>
        <w:rPr>
          <w:rFonts w:hint="eastAsia" w:ascii="宋体" w:hAnsi="宋体" w:eastAsia="宋体" w:cs="宋体"/>
          <w:color w:val="000000"/>
          <w:sz w:val="28"/>
          <w:szCs w:val="28"/>
          <w:highlight w:val="none"/>
        </w:rPr>
        <w:t xml:space="preserve">1</w:t>
      </w:r>
      <w:bookmarkEnd w:id="47"/>
      <w:r>
        <w:rPr>
          <w:rFonts w:hint="eastAsia" w:ascii="宋体" w:hAnsi="宋体" w:eastAsia="宋体" w:cs="宋体"/>
          <w:color w:val="000000"/>
          <w:sz w:val="28"/>
          <w:szCs w:val="28"/>
          <w:highlight w:val="none"/>
        </w:rPr>
        <w:t xml:space="preserve">、采购方式</w:t>
      </w:r>
      <w:bookmarkEnd w:id="48"/>
      <w:r/>
      <w:bookmarkEnd w:id="49"/>
      <w:r/>
      <w:bookmarkEnd w:id="50"/>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1.1 本次政府采购活动采取单一来源采购方式。</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52" w:name="_Toc513029205"/>
      <w:r/>
      <w:bookmarkStart w:id="53" w:name="_Toc16938521"/>
      <w:r/>
      <w:bookmarkStart w:id="54" w:name="_Toc20823277"/>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bookmarkStart w:id="55" w:name="_Toc16938522"/>
      <w:r/>
      <w:bookmarkStart w:id="56" w:name="_Toc20823278"/>
      <w:r/>
      <w:bookmarkStart w:id="57" w:name="_Toc513029206"/>
      <w:r>
        <w:rPr>
          <w:rFonts w:hint="eastAsia" w:ascii="宋体" w:hAnsi="宋体" w:eastAsia="宋体" w:cs="宋体"/>
          <w:color w:val="000000"/>
          <w:highlight w:val="none"/>
        </w:rPr>
        <w:t xml:space="preserve">2. 1 满足采购文件中合格单一来源供应商资格要求的规定。</w:t>
      </w:r>
      <w:bookmarkEnd w:id="55"/>
      <w:r/>
      <w:bookmarkEnd w:id="56"/>
      <w:r/>
      <w:bookmarkEnd w:id="57"/>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2. 2 满足本采购文件实质性条款的规定。</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3、适用法律</w:t>
      </w:r>
      <w:r/>
    </w:p>
    <w:p>
      <w:pPr>
        <w:pStyle w:val="861"/>
        <w:ind w:firstLine="42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3.1 本次采购及由此产生的合同受中华人民共和国有关的法律法规制约和保护。</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58" w:name="_Toc462564067"/>
      <w:r/>
      <w:bookmarkStart w:id="59" w:name="_Toc513029207"/>
      <w:r/>
      <w:bookmarkStart w:id="60" w:name="_Toc16938523"/>
      <w:r/>
      <w:bookmarkStart w:id="61" w:name="_Toc20823279"/>
      <w:r>
        <w:rPr>
          <w:rFonts w:hint="eastAsia" w:ascii="宋体" w:hAnsi="宋体" w:eastAsia="宋体" w:cs="宋体"/>
          <w:color w:val="000000"/>
          <w:sz w:val="28"/>
          <w:szCs w:val="28"/>
          <w:highlight w:val="none"/>
        </w:rPr>
        <w:t xml:space="preserve">4、相关费用</w:t>
      </w:r>
      <w:bookmarkEnd w:id="58"/>
      <w:r/>
      <w:bookmarkEnd w:id="59"/>
      <w:r/>
      <w:bookmarkEnd w:id="60"/>
      <w:r/>
      <w:bookmarkEnd w:id="61"/>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4.1供应商应自行承担所有与参加本次采购有关的费用，无论采购过程中的做法和结果如何，</w:t>
      </w:r>
      <w:r>
        <w:rPr>
          <w:rFonts w:hint="eastAsia" w:ascii="宋体" w:hAnsi="宋体" w:eastAsia="宋体" w:cs="宋体"/>
          <w:color w:val="000000"/>
          <w:highlight w:val="none"/>
          <w:lang w:val="en-US" w:eastAsia="zh-CN"/>
        </w:rPr>
        <w:t xml:space="preserve">江苏恒为信土地房地产资产评估造价咨询有限公司</w:t>
      </w:r>
      <w:r>
        <w:rPr>
          <w:rFonts w:hint="eastAsia" w:ascii="宋体" w:hAnsi="宋体" w:eastAsia="宋体" w:cs="宋体"/>
          <w:color w:val="000000"/>
          <w:highlight w:val="none"/>
        </w:rPr>
        <w:t xml:space="preserve">（以下简称</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）在任何情况下均无义务和责任承担这些费用。</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4.2本次采购</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和采购人不收取标书工本费。</w:t>
      </w:r>
      <w:r/>
    </w:p>
    <w:p>
      <w:pPr>
        <w:ind w:firstLine="482"/>
        <w:keepLines w:val="0"/>
        <w:keepNext w:val="0"/>
        <w:pageBreakBefore w:val="0"/>
        <w:spacing w:line="360" w:lineRule="auto"/>
        <w:shd w:val="clear" w:color="auto"/>
        <w:widowControl w:val="off"/>
        <w:rPr>
          <w:rFonts w:hint="eastAsia" w:ascii="宋体" w:hAnsi="宋体" w:eastAsia="宋体" w:cs="宋体"/>
          <w:color w:val="000000"/>
          <w:sz w:val="24"/>
          <w:szCs w:val="32"/>
          <w:highlight w:val="none"/>
          <w:lang w:val="en-US" w:eastAsia="zh-CN"/>
        </w:rPr>
        <w:outlineLvl w:val="9"/>
      </w:pPr>
      <w:r>
        <w:rPr>
          <w:rFonts w:hint="eastAsia" w:ascii="宋体" w:hAnsi="宋体" w:eastAsia="宋体" w:cs="宋体"/>
          <w:color w:val="000000"/>
          <w:sz w:val="24"/>
          <w:szCs w:val="32"/>
          <w:highlight w:val="none"/>
          <w:lang w:val="en-US" w:eastAsia="zh-CN"/>
        </w:rPr>
        <w:t xml:space="preserve">4.3本次采购代理服务费参照苏招协[2022]002号文标准的</w:t>
      </w:r>
      <w:r>
        <w:rPr>
          <w:rFonts w:hint="eastAsia" w:ascii="宋体" w:hAnsi="宋体" w:cs="宋体"/>
          <w:color w:val="000000"/>
          <w:sz w:val="24"/>
          <w:szCs w:val="32"/>
          <w:highlight w:val="none"/>
          <w:lang w:val="en-US" w:eastAsia="zh-CN"/>
        </w:rPr>
        <w:t xml:space="preserve">100</w:t>
      </w:r>
      <w:r>
        <w:rPr>
          <w:rFonts w:hint="eastAsia" w:ascii="宋体" w:hAnsi="宋体" w:eastAsia="宋体" w:cs="宋体"/>
          <w:color w:val="000000"/>
          <w:sz w:val="24"/>
          <w:szCs w:val="32"/>
          <w:highlight w:val="none"/>
          <w:lang w:val="en-US" w:eastAsia="zh-CN"/>
        </w:rPr>
        <w:t xml:space="preserve">%计取</w:t>
      </w:r>
      <w:r>
        <w:rPr>
          <w:rFonts w:hint="eastAsia" w:ascii="宋体" w:hAnsi="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lang w:val="en-US" w:eastAsia="zh-CN"/>
        </w:rPr>
        <w:t xml:space="preserve">不单独列项，供应商在报价时综合考虑，由中标单位在领取成交通知书前向代理机构一次性付清。</w:t>
      </w:r>
      <w:r/>
    </w:p>
    <w:p>
      <w:pPr>
        <w:ind w:firstLine="482"/>
        <w:keepLines w:val="0"/>
        <w:keepNext w:val="0"/>
        <w:pageBreakBefore w:val="0"/>
        <w:spacing w:line="360" w:lineRule="auto"/>
        <w:shd w:val="clear" w:color="auto"/>
        <w:widowControl w:val="off"/>
        <w:rPr>
          <w:rFonts w:hint="eastAsia" w:ascii="宋体" w:hAnsi="宋体" w:eastAsia="宋体" w:cs="宋体"/>
          <w:color w:val="000000"/>
          <w:sz w:val="24"/>
          <w:szCs w:val="32"/>
          <w:highlight w:val="none"/>
          <w:lang w:val="en-US" w:eastAsia="zh-CN"/>
        </w:rPr>
        <w:outlineLvl w:val="9"/>
      </w:pPr>
      <w:r>
        <w:rPr>
          <w:rFonts w:hint="eastAsia" w:ascii="宋体" w:hAnsi="宋体" w:eastAsia="宋体" w:cs="宋体"/>
          <w:color w:val="000000"/>
          <w:sz w:val="24"/>
          <w:szCs w:val="32"/>
          <w:highlight w:val="none"/>
          <w:lang w:val="en-US" w:eastAsia="zh-CN"/>
        </w:rPr>
        <w:t xml:space="preserve"> 4.4供应商如果未按规定缴纳采购代理服务费，按商业银行同期贷款利率上浮20%后的利率支付资金占用费（损害赔偿）。</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5、采购文件的约束力</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861"/>
        <w:ind w:firstLine="321"/>
        <w:jc w:val="both"/>
        <w:keepLines/>
        <w:keepNext/>
        <w:pageBreakBefore w:val="0"/>
        <w:spacing w:before="145" w:beforeAutospacing="0" w:after="145" w:afterAutospacing="0" w:line="360" w:lineRule="auto"/>
        <w:shd w:val="clear" w:color="auto"/>
        <w:widowControl w:val="off"/>
        <w:rPr>
          <w:rFonts w:hint="eastAsia" w:ascii="宋体" w:hAnsi="宋体" w:eastAsia="宋体" w:cs="宋体"/>
          <w:highlight w:val="none"/>
        </w:rPr>
        <w:outlineLvl w:val="0"/>
      </w:pPr>
      <w:r/>
      <w:bookmarkStart w:id="62" w:name="_Toc120614215"/>
      <w:r/>
      <w:bookmarkStart w:id="63" w:name="_Toc20823281"/>
      <w:r/>
      <w:bookmarkStart w:id="64" w:name="_Toc16938525"/>
      <w:r/>
      <w:bookmarkStart w:id="65" w:name="_Toc513029209"/>
      <w:r/>
      <w:bookmarkStart w:id="66" w:name="_Toc2526"/>
      <w:r/>
      <w:bookmarkStart w:id="67" w:name="_Toc20172"/>
      <w:r>
        <w:rPr>
          <w:rFonts w:hint="eastAsia" w:ascii="宋体" w:hAnsi="宋体" w:eastAsia="宋体" w:cs="宋体"/>
          <w:b/>
          <w:color w:val="000000"/>
          <w:sz w:val="32"/>
          <w:szCs w:val="32"/>
          <w:highlight w:val="none"/>
        </w:rPr>
        <w:t xml:space="preserve">二、</w:t>
      </w:r>
      <w:bookmarkEnd w:id="62"/>
      <w:r/>
      <w:bookmarkEnd w:id="63"/>
      <w:r/>
      <w:bookmarkEnd w:id="64"/>
      <w:r/>
      <w:bookmarkEnd w:id="65"/>
      <w:r>
        <w:rPr>
          <w:rFonts w:hint="eastAsia" w:ascii="宋体" w:hAnsi="宋体" w:eastAsia="宋体" w:cs="宋体"/>
          <w:b/>
          <w:color w:val="000000"/>
          <w:sz w:val="32"/>
          <w:szCs w:val="32"/>
          <w:highlight w:val="none"/>
        </w:rPr>
        <w:t xml:space="preserve">采购文件</w:t>
      </w:r>
      <w:bookmarkEnd w:id="66"/>
      <w:r/>
      <w:bookmarkEnd w:id="67"/>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68" w:name="_Toc513029210"/>
      <w:r/>
      <w:bookmarkStart w:id="69" w:name="_Toc16938526"/>
      <w:r/>
      <w:bookmarkStart w:id="70" w:name="_Toc20823282"/>
      <w:r>
        <w:rPr>
          <w:rFonts w:hint="eastAsia" w:ascii="宋体" w:hAnsi="宋体" w:eastAsia="宋体" w:cs="宋体"/>
          <w:color w:val="000000"/>
          <w:sz w:val="28"/>
          <w:szCs w:val="28"/>
          <w:highlight w:val="none"/>
        </w:rPr>
        <w:t xml:space="preserve">6、采购文件构成</w:t>
      </w:r>
      <w:bookmarkEnd w:id="68"/>
      <w:r/>
      <w:bookmarkEnd w:id="69"/>
      <w:r/>
      <w:bookmarkEnd w:id="70"/>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6.1采购文件由以下部分组成：</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（1）单一来源采购邀请</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（2）供应商须知</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（3）合同文本</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（4）采购需求</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）响应文件格式</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请仔细检查采购文件是否齐全，如有缺漏请立即与</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联系解决。</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outlineLvl w:val="9"/>
      </w:pPr>
      <w:r>
        <w:rPr>
          <w:rFonts w:hint="eastAsia" w:ascii="宋体" w:hAnsi="宋体" w:eastAsia="宋体" w:cs="宋体"/>
          <w:color w:val="000000"/>
          <w:highlight w:val="none"/>
        </w:rPr>
        <w:t xml:space="preserve">6.2 供应商应认真阅读采购文件中所有的事项、格式、条款和规范等要求。按采购文件要求和规定编制单一来源</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响应文件（以下简称“响应文件”），并保证所提供的全部资料的真实性，以使其响应文件对采购文件作出实质性响应，否则其风险由供应商自行承担。</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71" w:name="_Toc20823283"/>
      <w:r/>
      <w:bookmarkStart w:id="72" w:name="_Toc462564070"/>
      <w:r/>
      <w:bookmarkStart w:id="73" w:name="_Toc513029211"/>
      <w:r/>
      <w:bookmarkStart w:id="74" w:name="_Toc16938527"/>
      <w:r>
        <w:rPr>
          <w:rFonts w:hint="eastAsia" w:ascii="宋体" w:hAnsi="宋体" w:eastAsia="宋体" w:cs="宋体"/>
          <w:color w:val="000000"/>
          <w:sz w:val="28"/>
          <w:szCs w:val="28"/>
          <w:highlight w:val="none"/>
        </w:rPr>
        <w:t xml:space="preserve">7、采购文件的澄清</w:t>
      </w:r>
      <w:bookmarkEnd w:id="71"/>
      <w:r/>
      <w:bookmarkEnd w:id="72"/>
      <w:r/>
      <w:bookmarkEnd w:id="73"/>
      <w:r/>
      <w:bookmarkEnd w:id="74"/>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9"/>
      </w:pPr>
      <w:r/>
      <w:bookmarkStart w:id="75" w:name="_Toc20823284"/>
      <w:r/>
      <w:bookmarkStart w:id="76" w:name="_Toc16938528"/>
      <w:r/>
      <w:bookmarkStart w:id="77" w:name="_Toc513029212"/>
      <w:r/>
      <w:bookmarkStart w:id="78" w:name="_Toc462564071"/>
      <w:r>
        <w:rPr>
          <w:rFonts w:hint="eastAsia" w:ascii="宋体" w:hAnsi="宋体" w:eastAsia="宋体" w:cs="宋体"/>
          <w:color w:val="auto"/>
          <w:highlight w:val="none"/>
        </w:rPr>
        <w:t xml:space="preserve">7.1 供应商如果要求对采购文件进行澄清的，应在响应文件接收截止时间（以下简称“截止时间”）三天前，在苏采云系统中通知</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将在苏采云系统中对澄清要求予以答复。</w:t>
      </w:r>
      <w:bookmarkEnd w:id="75"/>
      <w:r/>
      <w:bookmarkEnd w:id="76"/>
      <w:r/>
      <w:bookmarkEnd w:id="77"/>
      <w:r/>
      <w:bookmarkEnd w:id="78"/>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79" w:name="_Toc20823285"/>
      <w:r/>
      <w:bookmarkStart w:id="80" w:name="_Toc16938529"/>
      <w:r/>
      <w:bookmarkStart w:id="81" w:name="_Toc513029213"/>
      <w:r/>
      <w:bookmarkStart w:id="82" w:name="_Toc462564072"/>
      <w:r/>
      <w:bookmarkStart w:id="83" w:name="_Toc120614216"/>
      <w:r>
        <w:rPr>
          <w:rFonts w:hint="eastAsia" w:ascii="宋体" w:hAnsi="宋体" w:eastAsia="宋体" w:cs="宋体"/>
          <w:color w:val="000000"/>
          <w:sz w:val="28"/>
          <w:szCs w:val="28"/>
          <w:highlight w:val="none"/>
        </w:rPr>
        <w:t xml:space="preserve">8、采购文件的修改</w:t>
      </w:r>
      <w:bookmarkEnd w:id="79"/>
      <w:r/>
      <w:bookmarkEnd w:id="80"/>
      <w:r/>
      <w:bookmarkEnd w:id="81"/>
      <w:r/>
      <w:bookmarkEnd w:id="82"/>
      <w:r/>
      <w:bookmarkEnd w:id="83"/>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8.1 在截止时间前，</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可以以补充文件的方式对采购文件进行修改。</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8.2</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有权按照政府采购的有关要求推迟截止时间。</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8.3采购文件的补充文件将作为采购文件的组成部分，并对供应商具有约束力。</w:t>
      </w:r>
      <w:r/>
    </w:p>
    <w:p>
      <w:pPr>
        <w:pStyle w:val="861"/>
        <w:ind w:firstLine="482"/>
        <w:jc w:val="both"/>
        <w:keepLines/>
        <w:keepNext/>
        <w:pageBreakBefore w:val="0"/>
        <w:spacing w:before="145" w:beforeAutospacing="0" w:after="145" w:afterAutospacing="0" w:line="360" w:lineRule="auto"/>
        <w:shd w:val="clear" w:color="auto"/>
        <w:widowControl w:val="off"/>
        <w:rPr>
          <w:rFonts w:hint="eastAsia" w:ascii="宋体" w:hAnsi="宋体" w:eastAsia="宋体" w:cs="宋体"/>
          <w:highlight w:val="none"/>
        </w:rPr>
        <w:outlineLvl w:val="0"/>
      </w:pPr>
      <w:r/>
      <w:bookmarkStart w:id="84" w:name="_Toc9340"/>
      <w:r/>
      <w:bookmarkStart w:id="85" w:name="_Toc643"/>
      <w:r>
        <w:rPr>
          <w:rFonts w:hint="eastAsia" w:ascii="宋体" w:hAnsi="宋体" w:eastAsia="宋体" w:cs="宋体"/>
          <w:b/>
          <w:color w:val="000000"/>
          <w:sz w:val="32"/>
          <w:szCs w:val="32"/>
          <w:highlight w:val="none"/>
        </w:rPr>
        <w:t xml:space="preserve">三、响应文件的编制</w:t>
      </w:r>
      <w:bookmarkEnd w:id="84"/>
      <w:r/>
      <w:bookmarkEnd w:id="85"/>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86" w:name="_Toc462564073"/>
      <w:r/>
      <w:bookmarkStart w:id="87" w:name="_Toc20823286"/>
      <w:r/>
      <w:bookmarkStart w:id="88" w:name="_Toc513029214"/>
      <w:r/>
      <w:bookmarkStart w:id="89" w:name="_Toc16938530"/>
      <w:r>
        <w:rPr>
          <w:rFonts w:hint="eastAsia" w:ascii="宋体" w:hAnsi="宋体" w:eastAsia="宋体" w:cs="宋体"/>
          <w:color w:val="000000"/>
          <w:sz w:val="28"/>
          <w:szCs w:val="28"/>
          <w:highlight w:val="none"/>
        </w:rPr>
        <w:t xml:space="preserve">9、响应文件的语言及度量衡单位</w:t>
      </w:r>
      <w:bookmarkEnd w:id="86"/>
      <w:r/>
      <w:bookmarkEnd w:id="87"/>
      <w:r/>
      <w:bookmarkEnd w:id="88"/>
      <w:r/>
      <w:bookmarkEnd w:id="89"/>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9.1供应商提交的响应文件以及供应商与</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就有关采购活动的所有来往通知、函件和文件均应使用</w:t>
      </w:r>
      <w:r>
        <w:rPr>
          <w:rFonts w:hint="eastAsia" w:ascii="宋体" w:hAnsi="宋体" w:eastAsia="宋体" w:cs="宋体"/>
          <w:b/>
          <w:color w:val="000000"/>
          <w:highlight w:val="none"/>
        </w:rPr>
        <w:t xml:space="preserve">简体中文</w:t>
      </w:r>
      <w:r>
        <w:rPr>
          <w:rFonts w:hint="eastAsia" w:ascii="宋体" w:hAnsi="宋体" w:eastAsia="宋体" w:cs="宋体"/>
          <w:color w:val="000000"/>
          <w:highlight w:val="none"/>
        </w:rPr>
        <w:t xml:space="preserve">。</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9.2 除技术性能另有规定外，响应文件所使用的度量衡单位，均须采用国家法定计量单位。</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90" w:name="_Toc20823287"/>
      <w:r/>
      <w:bookmarkStart w:id="91" w:name="_Toc16938531"/>
      <w:r/>
      <w:bookmarkStart w:id="92" w:name="_Toc462564074"/>
      <w:r/>
      <w:bookmarkStart w:id="93" w:name="_Toc513029215"/>
      <w:r>
        <w:rPr>
          <w:rFonts w:hint="eastAsia" w:ascii="宋体" w:hAnsi="宋体" w:eastAsia="宋体" w:cs="宋体"/>
          <w:color w:val="000000"/>
          <w:sz w:val="28"/>
          <w:szCs w:val="28"/>
          <w:highlight w:val="none"/>
        </w:rPr>
        <w:t xml:space="preserve">10、响应文件构成</w:t>
      </w:r>
      <w:bookmarkEnd w:id="90"/>
      <w:r/>
      <w:bookmarkEnd w:id="91"/>
      <w:r/>
      <w:bookmarkEnd w:id="92"/>
      <w:r/>
      <w:bookmarkEnd w:id="93"/>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bookmarkStart w:id="94" w:name="_Toc49090509"/>
      <w:r/>
      <w:bookmarkStart w:id="95" w:name="_Toc49090507"/>
      <w:r/>
      <w:bookmarkStart w:id="96" w:name="_Toc14577354"/>
      <w:r/>
      <w:bookmarkStart w:id="97" w:name="_Toc49090508"/>
      <w:r/>
      <w:bookmarkStart w:id="98" w:name="_Toc14577357"/>
      <w:r/>
      <w:bookmarkStart w:id="99" w:name="_Toc513029216"/>
      <w:r/>
      <w:bookmarkStart w:id="100" w:name="_Toc14577355"/>
      <w:r/>
      <w:bookmarkStart w:id="101" w:name="_Toc513029219"/>
      <w:r/>
      <w:bookmarkStart w:id="102" w:name="_Hlt26670360"/>
      <w:r/>
      <w:bookmarkStart w:id="103" w:name="_Hlt26668975"/>
      <w:r/>
      <w:bookmarkStart w:id="104" w:name="_Hlt26954838"/>
      <w:r>
        <w:rPr>
          <w:rFonts w:hint="eastAsia" w:ascii="宋体" w:hAnsi="宋体" w:eastAsia="宋体" w:cs="宋体"/>
          <w:color w:val="000000"/>
          <w:highlight w:val="none"/>
        </w:rPr>
        <w:t xml:space="preserve">10.1 供应商编写的响应文件应包括资格证明文件、符合性证明文件、技术要求响应及偏离表、符合性检查响应对照表、其他证明文件、单一来源响应函等部分。</w:t>
      </w:r>
      <w:bookmarkEnd w:id="94"/>
      <w:r/>
      <w:bookmarkEnd w:id="95"/>
      <w:r/>
      <w:bookmarkEnd w:id="96"/>
      <w:r/>
      <w:bookmarkEnd w:id="97"/>
      <w:r/>
      <w:bookmarkEnd w:id="98"/>
      <w:r/>
      <w:bookmarkEnd w:id="99"/>
      <w:r/>
      <w:bookmarkEnd w:id="100"/>
      <w:r/>
      <w:bookmarkEnd w:id="101"/>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11、证明供应商及响应标的符合采购文件规定的文件</w:t>
      </w:r>
      <w:r/>
    </w:p>
    <w:p>
      <w:pPr>
        <w:pStyle w:val="861"/>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11.1 供应商应按照法律、法规、规章和规范性文件以及采购文件要求提交证明文件，证明其及响应标的符合采购文件规定。</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11.2采购文件对证明文件无明确形式要求的，证明文件可以以文字资料、图纸和数据等形式提交。</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12、分项报价表</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bookmarkStart w:id="105" w:name="_Hlt26954848"/>
      <w:r/>
      <w:bookmarkStart w:id="106" w:name="_Hlt26670482"/>
      <w:r/>
      <w:bookmarkStart w:id="107" w:name="_Hlt26670486"/>
      <w:r/>
      <w:bookmarkStart w:id="108" w:name="_Hlt26954731"/>
      <w:r/>
      <w:bookmarkStart w:id="109" w:name="_Hlt26954846"/>
      <w:r>
        <w:rPr>
          <w:rFonts w:hint="eastAsia" w:ascii="宋体" w:hAnsi="宋体" w:eastAsia="宋体" w:cs="宋体"/>
          <w:color w:val="000000"/>
          <w:highlight w:val="none"/>
        </w:rPr>
        <w:t xml:space="preserve">12.1 供应商应按照采购文件规定格式填报分项报价表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如需要时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12.2报价货币。响应文件中的单价和总价无特殊规定的采用人民币报价，以元为单位标注。采购文件中另有规定的按规定执行。</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13、技术要求响应及偏离表、商务要求响应及偏离表</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13.1供应商需对采购文件中的技术要求与商务要求逐项作出响应或偏离，并说明原因。</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13.2供应商可在响应文件中提供认为需要的其他技术文件或说明。</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lang w:eastAsia="zh-CN"/>
        </w:rPr>
        <w:outlineLvl w:val="1"/>
      </w:pPr>
      <w:r/>
      <w:bookmarkStart w:id="110" w:name="_Toc14577359"/>
      <w:r/>
      <w:bookmarkStart w:id="111" w:name="_Toc49090510"/>
      <w:r>
        <w:rPr>
          <w:rFonts w:hint="eastAsia" w:ascii="宋体" w:hAnsi="宋体" w:eastAsia="宋体" w:cs="宋体"/>
          <w:color w:val="000000"/>
          <w:sz w:val="28"/>
          <w:szCs w:val="28"/>
          <w:highlight w:val="none"/>
        </w:rPr>
        <w:t xml:space="preserve">14、服务承诺、培训计划、人员安排及其他</w:t>
      </w:r>
      <w:bookmarkEnd w:id="110"/>
      <w:r/>
      <w:bookmarkEnd w:id="111"/>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如有要求时须提供</w:t>
      </w:r>
      <w:r>
        <w:rPr>
          <w:rFonts w:hint="eastAsia" w:ascii="宋体" w:hAnsi="宋体" w:eastAsia="宋体" w:cs="宋体"/>
          <w:color w:val="000000"/>
          <w:sz w:val="28"/>
          <w:szCs w:val="28"/>
          <w:highlight w:val="none"/>
          <w:lang w:eastAsia="zh-CN"/>
        </w:rPr>
        <w:t xml:space="preserve">）</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 供应商需根据采购文件要求提供有关售后服务的管理制度，售后服务机构的分布情况，售后服务人员的数量、素质、技术水平及售后服务的反应能力等。</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 供应商需根据采购文件要求提供培训计划。</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14.3 供应商需根据采购文件要求提供所投标的的主要组成部分、功能设计、实现思路及关键技术等。</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112" w:name="_Toc14577360"/>
      <w:r/>
      <w:bookmarkStart w:id="113" w:name="_Toc49090511"/>
      <w:r>
        <w:rPr>
          <w:rFonts w:hint="eastAsia" w:ascii="宋体" w:hAnsi="宋体" w:eastAsia="宋体" w:cs="宋体"/>
          <w:color w:val="000000"/>
          <w:sz w:val="28"/>
          <w:szCs w:val="28"/>
          <w:highlight w:val="none"/>
        </w:rPr>
        <w:t xml:space="preserve">15、单一来源响应函</w:t>
      </w:r>
      <w:bookmarkEnd w:id="112"/>
      <w:r/>
      <w:bookmarkEnd w:id="113"/>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15.1 供应商应按照采购文件中提供的格式完整、正确填写单一来源响应函。</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16、单一来源采购有效期</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16.1 单一来源采购有效期（以下简称“有效期”）为</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规定的响应文件接收截止之日后</w:t>
      </w:r>
      <w:r>
        <w:rPr>
          <w:rFonts w:hint="eastAsia" w:ascii="宋体" w:hAnsi="宋体" w:eastAsia="宋体" w:cs="宋体"/>
          <w:b/>
          <w:color w:val="000000"/>
          <w:highlight w:val="none"/>
          <w:u w:val="single"/>
        </w:rPr>
        <w:t xml:space="preserve">三十（30）天</w:t>
      </w:r>
      <w:r>
        <w:rPr>
          <w:rFonts w:hint="eastAsia" w:ascii="宋体" w:hAnsi="宋体" w:eastAsia="宋体" w:cs="宋体"/>
          <w:color w:val="000000"/>
          <w:highlight w:val="none"/>
        </w:rPr>
        <w:t xml:space="preserve">。有效期比规定期限短的将被视为未响应采购文件要求而予以拒绝。</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17、有效期的延长</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17.1在特殊情况下，</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lang w:val="en-US" w:eastAsia="zh-CN"/>
        </w:rPr>
        <w:t xml:space="preserve">代理机构</w:t>
      </w:r>
      <w:r>
        <w:rPr>
          <w:rFonts w:hint="eastAsia" w:ascii="宋体" w:hAnsi="宋体" w:eastAsia="宋体" w:cs="宋体"/>
          <w:color w:val="000000"/>
          <w:highlight w:val="none"/>
        </w:rPr>
        <w:t xml:space="preserve">于原有效期满之前，可向供应商提出延长有效期的要求。这种要求与答复均应采用书面形式。供应商可以拒绝</w:t>
      </w:r>
      <w:r>
        <w:rPr>
          <w:rFonts w:hint="eastAsia" w:ascii="宋体" w:hAnsi="宋体" w:eastAsia="宋体" w:cs="宋体"/>
          <w:color w:val="000000"/>
          <w:highlight w:val="none"/>
          <w:lang w:val="en-US" w:eastAsia="zh-CN"/>
        </w:rPr>
        <w:t xml:space="preserve">采购代理机构</w:t>
      </w:r>
      <w:r>
        <w:rPr>
          <w:rFonts w:hint="eastAsia" w:ascii="宋体" w:hAnsi="宋体" w:eastAsia="宋体" w:cs="宋体"/>
          <w:color w:val="000000"/>
          <w:highlight w:val="none"/>
        </w:rPr>
        <w:t xml:space="preserve">的这一要求而放弃单一来源采购活动，同意延长有效期的供应商既不能要求也不允许修改其响应文件。受有效期约束的所有权利与义务均延长至新的有效期。</w:t>
      </w:r>
      <w:r/>
    </w:p>
    <w:p>
      <w:pPr>
        <w:pStyle w:val="861"/>
        <w:ind w:firstLine="482"/>
        <w:jc w:val="both"/>
        <w:keepLines/>
        <w:keepNext/>
        <w:pageBreakBefore w:val="0"/>
        <w:spacing w:before="145" w:beforeAutospacing="0" w:after="145" w:afterAutospacing="0" w:line="360" w:lineRule="auto"/>
        <w:shd w:val="clear" w:color="auto"/>
        <w:widowControl w:val="off"/>
        <w:rPr>
          <w:rFonts w:hint="eastAsia" w:ascii="宋体" w:hAnsi="宋体" w:eastAsia="宋体" w:cs="宋体"/>
          <w:highlight w:val="none"/>
        </w:rPr>
        <w:outlineLvl w:val="0"/>
      </w:pPr>
      <w:r/>
      <w:bookmarkStart w:id="114" w:name="_Toc120614217"/>
      <w:r/>
      <w:bookmarkStart w:id="115" w:name="_Toc513029224"/>
      <w:r/>
      <w:bookmarkStart w:id="116" w:name="_Toc13684"/>
      <w:r/>
      <w:bookmarkStart w:id="117" w:name="_Toc16938540"/>
      <w:r/>
      <w:bookmarkStart w:id="118" w:name="_Toc31994"/>
      <w:r/>
      <w:bookmarkStart w:id="119" w:name="_Toc20823296"/>
      <w:r/>
      <w:bookmarkStart w:id="120" w:name="_Hlt26954739"/>
      <w:r/>
      <w:bookmarkStart w:id="121" w:name="_Hlt26954852"/>
      <w:r>
        <w:rPr>
          <w:rFonts w:hint="eastAsia" w:ascii="宋体" w:hAnsi="宋体" w:eastAsia="宋体" w:cs="宋体"/>
          <w:b/>
          <w:color w:val="000000"/>
          <w:sz w:val="32"/>
          <w:szCs w:val="32"/>
          <w:highlight w:val="none"/>
        </w:rPr>
        <w:t xml:space="preserve">四、响应文件的递交</w:t>
      </w:r>
      <w:bookmarkEnd w:id="114"/>
      <w:r/>
      <w:bookmarkEnd w:id="115"/>
      <w:r/>
      <w:bookmarkEnd w:id="116"/>
      <w:r/>
      <w:bookmarkEnd w:id="117"/>
      <w:r/>
      <w:bookmarkEnd w:id="118"/>
      <w:r/>
      <w:bookmarkEnd w:id="119"/>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122" w:name="_Toc462564084"/>
      <w:r/>
      <w:bookmarkStart w:id="123" w:name="_Toc16938541"/>
      <w:r/>
      <w:bookmarkStart w:id="124" w:name="_Toc20823297"/>
      <w:r/>
      <w:bookmarkStart w:id="125" w:name="_Toc513029225"/>
      <w:r>
        <w:rPr>
          <w:rFonts w:hint="eastAsia" w:ascii="宋体" w:hAnsi="宋体" w:eastAsia="宋体" w:cs="宋体"/>
          <w:color w:val="000000"/>
          <w:sz w:val="28"/>
          <w:szCs w:val="28"/>
          <w:highlight w:val="none"/>
        </w:rPr>
        <w:t xml:space="preserve">18、电子</w:t>
      </w:r>
      <w:bookmarkEnd w:id="122"/>
      <w:r/>
      <w:bookmarkEnd w:id="123"/>
      <w:r/>
      <w:bookmarkEnd w:id="124"/>
      <w:r/>
      <w:bookmarkEnd w:id="125"/>
      <w:r>
        <w:rPr>
          <w:rFonts w:hint="eastAsia" w:ascii="宋体" w:hAnsi="宋体" w:eastAsia="宋体" w:cs="宋体"/>
          <w:color w:val="000000"/>
          <w:sz w:val="28"/>
          <w:szCs w:val="28"/>
          <w:highlight w:val="none"/>
        </w:rPr>
        <w:t xml:space="preserve">响应文件的递交</w:t>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18.1供应商应当按照《操作手册》规定，在截止时间前制作并上传电子响应文件。</w:t>
      </w:r>
      <w:bookmarkStart w:id="126" w:name="_Toc16938542"/>
      <w:r/>
      <w:bookmarkEnd w:id="126"/>
      <w:r/>
      <w:bookmarkStart w:id="127" w:name="_Toc20823298"/>
      <w:r/>
      <w:bookmarkEnd w:id="127"/>
      <w:r/>
      <w:bookmarkStart w:id="128" w:name="_Toc513029226"/>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19、提交响应文件截止时间</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b/>
          <w:bCs/>
          <w:highlight w:val="none"/>
        </w:rPr>
      </w:pPr>
      <w:r>
        <w:rPr>
          <w:rFonts w:hint="eastAsia" w:ascii="宋体" w:hAnsi="宋体" w:eastAsia="宋体" w:cs="宋体"/>
          <w:b/>
          <w:bCs/>
          <w:i/>
          <w:color w:val="000000"/>
          <w:highlight w:val="none"/>
          <w:u w:val="single"/>
        </w:rPr>
        <w:t xml:space="preserve">19.1供应商上传电子响应文件的时间不得迟于单一来源采购邀请中规定的截止时间。</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bookmarkStart w:id="129" w:name="_Toc16938543"/>
      <w:r/>
      <w:bookmarkStart w:id="130" w:name="_Toc20823299"/>
      <w:r/>
      <w:bookmarkStart w:id="131" w:name="_Toc513029227"/>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bookmarkEnd w:id="129"/>
      <w:r/>
      <w:bookmarkEnd w:id="130"/>
      <w:r/>
      <w:bookmarkEnd w:id="131"/>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19.2 </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可以按照规定，通过修改采购文件酌情延长截止时间，在此情况下，供应商的所有权利和义务以及供应商受制的截止时间以延长后新的截止时间为准。</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20、响应文件的拒收</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20.1 </w:t>
      </w: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拒绝接收在其规定的截止时间后上传的任何电子响应文件。</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132" w:name="_Toc16938544"/>
      <w:r/>
      <w:bookmarkStart w:id="133" w:name="_Toc20823300"/>
      <w:r/>
      <w:bookmarkStart w:id="134" w:name="_Toc513029228"/>
      <w:r>
        <w:rPr>
          <w:rFonts w:hint="eastAsia" w:ascii="宋体" w:hAnsi="宋体" w:eastAsia="宋体" w:cs="宋体"/>
          <w:color w:val="000000"/>
          <w:sz w:val="28"/>
          <w:szCs w:val="28"/>
          <w:highlight w:val="none"/>
        </w:rPr>
        <w:t xml:space="preserve">21、响应文件的撤回和修改</w:t>
      </w:r>
      <w:bookmarkEnd w:id="132"/>
      <w:r/>
      <w:bookmarkEnd w:id="133"/>
      <w:r/>
      <w:bookmarkEnd w:id="134"/>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21.1响应文件的撤回</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21.1.1 电子响应文件的撤回</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供应商可在截止时间前，撤回其电子响应文件，具体操作方法见《操作手册》。</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21.1.2供应商撤回电子响应文件，则认为其不再参与本项目采购活动。</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21.2响应文件的修改</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供应商可在截止时间前，对其电子响应文件进行修改，具体操作方法见《操作手册》。</w:t>
      </w:r>
      <w:r/>
    </w:p>
    <w:p>
      <w:pPr>
        <w:pStyle w:val="861"/>
        <w:ind w:firstLine="480"/>
        <w:jc w:val="both"/>
        <w:pageBreakBefore w:val="0"/>
        <w:spacing w:beforeAutospacing="0" w:afterAutospacing="0" w:line="36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21.3 在截止时间之后，供应商不得对其电子响应文件作任何修改。</w:t>
      </w:r>
      <w:r/>
    </w:p>
    <w:p>
      <w:pPr>
        <w:pStyle w:val="861"/>
        <w:ind w:firstLine="480"/>
        <w:jc w:val="both"/>
        <w:pageBreakBefore w:val="0"/>
        <w:spacing w:beforeAutospacing="0" w:afterAutospacing="0" w:line="36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21.4 在截止时间至有效期满之间的这段时间内，供应商不得撤回其响应文件。</w:t>
      </w:r>
      <w:r/>
    </w:p>
    <w:p>
      <w:pPr>
        <w:pStyle w:val="861"/>
        <w:ind w:firstLine="482"/>
        <w:jc w:val="both"/>
        <w:keepLines/>
        <w:keepNext/>
        <w:pageBreakBefore w:val="0"/>
        <w:spacing w:before="145" w:beforeAutospacing="0" w:after="145" w:afterAutospacing="0" w:line="360" w:lineRule="exact"/>
        <w:shd w:val="clear" w:color="auto"/>
        <w:widowControl w:val="off"/>
        <w:rPr>
          <w:rFonts w:hint="eastAsia" w:ascii="宋体" w:hAnsi="宋体" w:eastAsia="宋体" w:cs="宋体"/>
          <w:highlight w:val="none"/>
        </w:rPr>
        <w:outlineLvl w:val="0"/>
      </w:pPr>
      <w:r/>
      <w:bookmarkStart w:id="135" w:name="_Toc20823301"/>
      <w:r/>
      <w:bookmarkStart w:id="136" w:name="_Toc29517"/>
      <w:r/>
      <w:bookmarkStart w:id="137" w:name="_Toc23720"/>
      <w:r/>
      <w:bookmarkStart w:id="138" w:name="_Toc513029229"/>
      <w:r/>
      <w:bookmarkStart w:id="139" w:name="_Toc120614218"/>
      <w:r/>
      <w:bookmarkStart w:id="140" w:name="_Toc16938545"/>
      <w:r>
        <w:rPr>
          <w:rFonts w:hint="eastAsia" w:ascii="宋体" w:hAnsi="宋体" w:eastAsia="宋体" w:cs="宋体"/>
          <w:b/>
          <w:color w:val="000000"/>
          <w:sz w:val="32"/>
          <w:szCs w:val="32"/>
          <w:highlight w:val="none"/>
        </w:rPr>
        <w:t xml:space="preserve">五、响应文件的解密与评审</w:t>
      </w:r>
      <w:bookmarkEnd w:id="135"/>
      <w:r/>
      <w:bookmarkEnd w:id="136"/>
      <w:r/>
      <w:bookmarkEnd w:id="137"/>
      <w:r/>
      <w:bookmarkEnd w:id="138"/>
      <w:r/>
      <w:bookmarkEnd w:id="139"/>
      <w:r/>
      <w:bookmarkEnd w:id="140"/>
      <w:r/>
      <w:r/>
    </w:p>
    <w:p>
      <w:pPr>
        <w:pStyle w:val="861"/>
        <w:ind w:firstLine="420"/>
        <w:jc w:val="both"/>
        <w:keepLines/>
        <w:keepNext/>
        <w:pageBreakBefore w:val="0"/>
        <w:spacing w:beforeAutospacing="0" w:afterAutospacing="0" w:line="400" w:lineRule="exact"/>
        <w:shd w:val="clear" w:color="auto"/>
        <w:widowControl w:val="off"/>
        <w:rPr>
          <w:rFonts w:hint="eastAsia" w:ascii="宋体" w:hAnsi="宋体" w:eastAsia="宋体" w:cs="宋体"/>
          <w:color w:val="000000"/>
          <w:sz w:val="28"/>
          <w:szCs w:val="28"/>
          <w:highlight w:val="none"/>
        </w:rPr>
        <w:outlineLvl w:val="1"/>
      </w:pPr>
      <w:r/>
      <w:bookmarkStart w:id="141" w:name="_Toc513029230"/>
      <w:r/>
      <w:bookmarkStart w:id="142" w:name="_Toc16938546"/>
      <w:r/>
      <w:bookmarkStart w:id="143" w:name="_Toc20823302"/>
      <w:r>
        <w:rPr>
          <w:rFonts w:hint="eastAsia" w:ascii="宋体" w:hAnsi="宋体" w:eastAsia="宋体" w:cs="宋体"/>
          <w:color w:val="000000"/>
          <w:sz w:val="28"/>
          <w:szCs w:val="28"/>
          <w:highlight w:val="none"/>
        </w:rPr>
        <w:t xml:space="preserve">22、</w:t>
      </w:r>
      <w:bookmarkEnd w:id="141"/>
      <w:r/>
      <w:bookmarkEnd w:id="142"/>
      <w:r/>
      <w:bookmarkEnd w:id="143"/>
      <w:r>
        <w:rPr>
          <w:rFonts w:hint="eastAsia" w:ascii="宋体" w:hAnsi="宋体" w:eastAsia="宋体" w:cs="宋体"/>
          <w:color w:val="000000"/>
          <w:sz w:val="28"/>
          <w:szCs w:val="28"/>
          <w:highlight w:val="none"/>
        </w:rPr>
        <w:t xml:space="preserve">响应文件解密</w:t>
      </w:r>
      <w:r/>
    </w:p>
    <w:p>
      <w:pPr>
        <w:pStyle w:val="861"/>
        <w:ind w:firstLine="360"/>
        <w:jc w:val="both"/>
        <w:pageBreakBefore w:val="0"/>
        <w:spacing w:beforeAutospacing="0" w:afterAutospacing="0" w:line="36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22.1供应商应当按照《操作手册》规定，在苏采云系统规定的时间内对响应文件进行解密。</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bookmarkStart w:id="144" w:name="_Toc513029231"/>
      <w:r/>
      <w:bookmarkStart w:id="145" w:name="_Toc20823303"/>
      <w:r/>
      <w:bookmarkStart w:id="146" w:name="_Toc16938547"/>
      <w:r>
        <w:rPr>
          <w:rFonts w:hint="eastAsia" w:ascii="宋体" w:hAnsi="宋体" w:eastAsia="宋体" w:cs="宋体"/>
          <w:color w:val="000000"/>
          <w:sz w:val="28"/>
          <w:szCs w:val="28"/>
          <w:highlight w:val="none"/>
        </w:rPr>
        <w:t xml:space="preserve">23、单一来源</w:t>
      </w:r>
      <w:r>
        <w:rPr>
          <w:rFonts w:hint="eastAsia" w:ascii="宋体" w:hAnsi="宋体" w:eastAsia="宋体" w:cs="宋体"/>
          <w:color w:val="000000"/>
          <w:sz w:val="28"/>
          <w:szCs w:val="28"/>
          <w:highlight w:val="none"/>
          <w:lang w:eastAsia="zh-CN"/>
        </w:rPr>
        <w:t xml:space="preserve">协商</w:t>
      </w:r>
      <w:r>
        <w:rPr>
          <w:rFonts w:hint="eastAsia" w:ascii="宋体" w:hAnsi="宋体" w:eastAsia="宋体" w:cs="宋体"/>
          <w:color w:val="000000"/>
          <w:sz w:val="28"/>
          <w:szCs w:val="28"/>
          <w:highlight w:val="none"/>
        </w:rPr>
        <w:t xml:space="preserve">小组</w:t>
      </w:r>
      <w:bookmarkEnd w:id="144"/>
      <w:r/>
      <w:bookmarkEnd w:id="145"/>
      <w:r/>
      <w:bookmarkEnd w:id="146"/>
      <w:r/>
      <w:r/>
    </w:p>
    <w:p>
      <w:pPr>
        <w:pStyle w:val="861"/>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 23.1单一来源</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小组（以下简称“</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小组”）由政府采购评审专家、采购人代表组成，且人员构成符合政府采购有关规定。</w:t>
      </w:r>
      <w:r/>
    </w:p>
    <w:p>
      <w:pPr>
        <w:pStyle w:val="861"/>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23.2</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小组应当按照客观、公正、审慎的原则评审供应商的响应文件，并与供应商协商采购标的的价格。</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24、单一来源</w:t>
      </w:r>
      <w:r>
        <w:rPr>
          <w:rFonts w:hint="eastAsia" w:ascii="宋体" w:hAnsi="宋体" w:eastAsia="宋体" w:cs="宋体"/>
          <w:color w:val="000000"/>
          <w:sz w:val="28"/>
          <w:szCs w:val="28"/>
          <w:highlight w:val="none"/>
          <w:lang w:eastAsia="zh-CN"/>
        </w:rPr>
        <w:t xml:space="preserve">协商</w:t>
      </w:r>
      <w:r>
        <w:rPr>
          <w:rFonts w:hint="eastAsia" w:ascii="宋体" w:hAnsi="宋体" w:eastAsia="宋体" w:cs="宋体"/>
          <w:color w:val="000000"/>
          <w:sz w:val="28"/>
          <w:szCs w:val="28"/>
          <w:highlight w:val="none"/>
        </w:rPr>
        <w:t xml:space="preserve">过程的保密与公正</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bookmarkStart w:id="147" w:name="_Toc20823304"/>
      <w:r/>
      <w:bookmarkStart w:id="148" w:name="_Toc513029232"/>
      <w:r/>
      <w:bookmarkStart w:id="149" w:name="_Toc16938548"/>
      <w:r>
        <w:rPr>
          <w:rFonts w:hint="eastAsia" w:ascii="宋体" w:hAnsi="宋体" w:eastAsia="宋体" w:cs="宋体"/>
          <w:color w:val="000000"/>
          <w:highlight w:val="none"/>
        </w:rPr>
        <w:t xml:space="preserve">24.1</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小组、采购人和</w:t>
      </w:r>
      <w:r>
        <w:rPr>
          <w:rFonts w:hint="eastAsia" w:ascii="宋体" w:hAnsi="宋体" w:eastAsia="宋体" w:cs="宋体"/>
          <w:color w:val="000000"/>
          <w:highlight w:val="none"/>
          <w:lang w:eastAsia="zh-CN"/>
        </w:rPr>
        <w:t xml:space="preserve">采购代理机</w:t>
      </w:r>
      <w:r>
        <w:rPr>
          <w:rFonts w:hint="eastAsia" w:ascii="宋体" w:hAnsi="宋体" w:eastAsia="宋体" w:cs="宋体"/>
          <w:color w:val="auto"/>
          <w:highlight w:val="none"/>
          <w:lang w:eastAsia="zh-CN"/>
        </w:rPr>
        <w:t xml:space="preserve">构</w:t>
      </w:r>
      <w:r>
        <w:rPr>
          <w:rFonts w:hint="eastAsia" w:ascii="宋体" w:hAnsi="宋体" w:eastAsia="宋体" w:cs="宋体"/>
          <w:color w:val="auto"/>
          <w:highlight w:val="none"/>
        </w:rPr>
        <w:t xml:space="preserve">工作人员、相关监督人员等与评审工作有关的人员，对评审、单一来源</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情况以及在评审、单一来源</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过程（以下简称“</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过程”）中获悉的国家秘密、商业秘密负有保密责任。</w:t>
      </w:r>
      <w:bookmarkEnd w:id="147"/>
      <w:r/>
      <w:bookmarkEnd w:id="148"/>
      <w:r/>
      <w:bookmarkEnd w:id="149"/>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24.2在</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过程中，供应商不得以任何行为影响评审及</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过程，否则将会导致其响应文件被拒绝。</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25、评审及</w:t>
      </w:r>
      <w:r>
        <w:rPr>
          <w:rFonts w:hint="eastAsia" w:ascii="宋体" w:hAnsi="宋体" w:eastAsia="宋体" w:cs="宋体"/>
          <w:color w:val="auto"/>
          <w:sz w:val="28"/>
          <w:szCs w:val="28"/>
          <w:highlight w:val="none"/>
          <w:lang w:eastAsia="zh-CN"/>
        </w:rPr>
        <w:t xml:space="preserve">协商</w:t>
      </w:r>
      <w:r>
        <w:rPr>
          <w:rFonts w:hint="eastAsia" w:ascii="宋体" w:hAnsi="宋体" w:eastAsia="宋体" w:cs="宋体"/>
          <w:color w:val="auto"/>
          <w:sz w:val="28"/>
          <w:szCs w:val="28"/>
          <w:highlight w:val="none"/>
        </w:rPr>
        <w:t xml:space="preserve">过程中的澄清</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25.1项目评审及</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过程中，</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小组有权要求供应商对响应文件中含义不明确、同类问题表述不一致或者有明显文字和计算错误的内容等作出必要的澄清、说明或者更正。</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25.2需要供应商进行澄清、说明和更正的，</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 接到</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小组澄清、说明和更正要求的供应商如未按规定做出澄清、说明和 更正，其风险由供应商自行承担。</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bookmarkStart w:id="150" w:name="_Toc16938549"/>
      <w:r/>
      <w:bookmarkStart w:id="151" w:name="_Toc513029233"/>
      <w:r/>
      <w:bookmarkStart w:id="152" w:name="_Toc20823305"/>
      <w:r>
        <w:rPr>
          <w:rFonts w:hint="eastAsia" w:ascii="宋体" w:hAnsi="宋体" w:eastAsia="宋体" w:cs="宋体"/>
          <w:color w:val="auto"/>
          <w:sz w:val="28"/>
          <w:szCs w:val="28"/>
          <w:highlight w:val="none"/>
        </w:rPr>
        <w:t xml:space="preserve">26、对响应文件的审</w:t>
      </w:r>
      <w:bookmarkEnd w:id="150"/>
      <w:r/>
      <w:bookmarkEnd w:id="151"/>
      <w:r/>
      <w:bookmarkEnd w:id="152"/>
      <w:r>
        <w:rPr>
          <w:rFonts w:hint="eastAsia" w:ascii="宋体" w:hAnsi="宋体" w:eastAsia="宋体" w:cs="宋体"/>
          <w:color w:val="auto"/>
          <w:sz w:val="28"/>
          <w:szCs w:val="28"/>
          <w:highlight w:val="none"/>
        </w:rPr>
        <w:t xml:space="preserve">查</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 资格审查：由</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小组依据法律法规和</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文件的规定，对响应文件中的资格证明文件进行审查，以确定供应商是否具备参加单一来源</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的资格。</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小组在进行资格审查的同时，将在“信用中国”网站（www.creditchina.gov.cn）查询供应商的信用记录，以确定供应商是否具备</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资格,查询结果留存并归档。</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 符合性审查：依据采购文件的规定，由</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小组从响应文件的有效性、完整性和对采购文件的响应程度进行审查，以确定是否对</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文件的实质性要求作出响应。</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未通过资格审查或符合性审查的供应商，</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小组将在苏采云系统中告知未通过资格审查或符合性审查的原因，评审结束后，</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小组将不再告知未通过资格审查或符合性审查的原因。</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26.2在正式进行</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之前，</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小组将首先审查每份响应文件是否实质性响应了采购文件的要求。实质性响应的响应文件应该是与采购文件要求的条款、条件和规格相符，没有重大偏离或保留。</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的权利或供应商的义务。重大偏离由</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小组按照少数服从多数的原则认定。</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小组决定响应文件的响应性只根据响应文件本身的内容，而不寻求外部的证据。</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26.3未实质性响应采购文件的情形</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26.3.2供应商未按照采购文件要求上传电子响应文件的。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26.3.3供应商提交两个（含两个）以上不同的响应文件或者最后报价的。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26.3.4供应商不具备采购文件中规定资格要求的。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26.3.6不符合采购文件中规定的实质性要求和条件的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26.3.9本项目采购产品被财政部、国家发改委、生态环境部等列入“节能产品品目清单”、“环境标志产品品目清单”强制采购范围，而</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供应商所</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产品不在强制采购范围内的。（采购的产品如属于政府强制采购节能产品品目清单范围内，响应文件中必须提供国家确定的认证机构出具的、处于有效期之内的该节能产品认证证书图片）</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26.3.10响应文件未按照</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文件要求加盖CA电子公章的。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26.4未实质性响应采购文件的响应文件按无效响应处理。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26.5如果响应文件实质上没有响应采购文件的要求，</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小组将予以拒绝。</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bookmarkStart w:id="153" w:name="_Toc16938550"/>
      <w:r/>
      <w:bookmarkStart w:id="154" w:name="_Toc20823306"/>
      <w:r/>
      <w:bookmarkStart w:id="155" w:name="_Toc513029234"/>
      <w:r>
        <w:rPr>
          <w:rFonts w:hint="eastAsia" w:ascii="宋体" w:hAnsi="宋体" w:eastAsia="宋体" w:cs="宋体"/>
          <w:color w:val="auto"/>
          <w:highlight w:val="none"/>
        </w:rPr>
        <w:t xml:space="preserve">26.6供应商在项目评审及</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全过程中应保持通讯畅通，并安排专人与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及</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小组联系。</w:t>
      </w:r>
      <w:bookmarkEnd w:id="153"/>
      <w:r/>
      <w:bookmarkEnd w:id="154"/>
      <w:r/>
      <w:bookmarkEnd w:id="155"/>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26.7</w:t>
      </w:r>
      <w:r>
        <w:rPr>
          <w:rFonts w:hint="eastAsia" w:ascii="宋体" w:hAnsi="宋体" w:eastAsia="宋体" w:cs="宋体"/>
          <w:color w:val="auto"/>
          <w:highlight w:val="none"/>
        </w:rPr>
        <w:t xml:space="preserve">评审过程中出现下列情形之一的，评审委员会应当启动异常低价投标审查程序：</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（1）响应报价低于全部通过符合性审查供应商响应报价平均值50%的，即投标（响应）报价&lt;全部通过符合性审查供应商响应报价平均值×50%；</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（2）响应报价低于通过符合性审查的次低报价供应商响应报价50%的，即投标（响应）报价&lt;通过符合性审查的次低报价供应商响应报价×50%；</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（3）响应报价低于采购项目最高限价50%的，即响应报价&lt;采购项目最高限价×50%；</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27、单一来源</w:t>
      </w:r>
      <w:r>
        <w:rPr>
          <w:rFonts w:hint="eastAsia" w:ascii="宋体" w:hAnsi="宋体" w:eastAsia="宋体" w:cs="宋体"/>
          <w:color w:val="auto"/>
          <w:sz w:val="28"/>
          <w:szCs w:val="28"/>
          <w:highlight w:val="none"/>
          <w:lang w:eastAsia="zh-CN"/>
        </w:rPr>
        <w:t xml:space="preserve">协商</w:t>
      </w:r>
      <w:r>
        <w:rPr>
          <w:rFonts w:hint="eastAsia" w:ascii="宋体" w:hAnsi="宋体" w:eastAsia="宋体" w:cs="宋体"/>
          <w:color w:val="auto"/>
          <w:sz w:val="28"/>
          <w:szCs w:val="28"/>
          <w:highlight w:val="none"/>
        </w:rPr>
        <w:t xml:space="preserve">及成交原则</w:t>
      </w:r>
      <w:r/>
    </w:p>
    <w:p>
      <w:pPr>
        <w:pStyle w:val="861"/>
        <w:ind w:left="479"/>
        <w:jc w:val="both"/>
        <w:pageBreakBefore w:val="0"/>
        <w:spacing w:beforeAutospacing="0" w:afterAutospacing="0" w:line="360" w:lineRule="auto"/>
        <w:shd w:val="clear" w:color="auto"/>
        <w:widowControl w:val="off"/>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rPr>
        <w:t xml:space="preserve">27.1单一来源</w:t>
      </w:r>
      <w:r>
        <w:rPr>
          <w:rFonts w:hint="eastAsia" w:ascii="宋体" w:hAnsi="宋体" w:eastAsia="宋体" w:cs="宋体"/>
          <w:color w:val="auto"/>
          <w:highlight w:val="none"/>
          <w:lang w:eastAsia="zh-CN"/>
        </w:rPr>
        <w:t xml:space="preserve">协商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 对于通过资格审查和符合性审查的供应商，</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小组将通过苏采云系统与其就采购标的的价格、服务等内容进行单一来源</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w:t>
      </w:r>
      <w:r/>
    </w:p>
    <w:p>
      <w:pPr>
        <w:pStyle w:val="861"/>
        <w:ind w:firstLine="478"/>
        <w:jc w:val="both"/>
        <w:pageBreakBefore w:val="0"/>
        <w:spacing w:beforeAutospacing="0" w:afterAutospacing="0" w:line="360" w:lineRule="auto"/>
        <w:shd w:val="clear" w:color="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27.1.2供应商应当在苏采云系统中以书面形式对</w:t>
      </w:r>
      <w:r>
        <w:rPr>
          <w:rFonts w:hint="eastAsia" w:ascii="宋体" w:hAnsi="宋体" w:eastAsia="宋体" w:cs="宋体"/>
          <w:b/>
          <w:bCs/>
          <w:color w:val="auto"/>
          <w:highlight w:val="none"/>
          <w:lang w:eastAsia="zh-CN"/>
        </w:rPr>
        <w:t xml:space="preserve">协商</w:t>
      </w:r>
      <w:r>
        <w:rPr>
          <w:rFonts w:hint="eastAsia" w:ascii="宋体" w:hAnsi="宋体" w:eastAsia="宋体" w:cs="宋体"/>
          <w:b/>
          <w:bCs/>
          <w:color w:val="auto"/>
          <w:highlight w:val="none"/>
        </w:rPr>
        <w:t xml:space="preserve">过程中做出的承诺与澄清进行确认，并在</w:t>
      </w:r>
      <w:r>
        <w:rPr>
          <w:rFonts w:hint="eastAsia" w:ascii="宋体" w:hAnsi="宋体" w:eastAsia="宋体" w:cs="宋体"/>
          <w:b/>
          <w:bCs/>
          <w:color w:val="auto"/>
          <w:highlight w:val="none"/>
          <w:lang w:eastAsia="zh-CN"/>
        </w:rPr>
        <w:t xml:space="preserve">协商</w:t>
      </w:r>
      <w:r>
        <w:rPr>
          <w:rFonts w:hint="eastAsia" w:ascii="宋体" w:hAnsi="宋体" w:eastAsia="宋体" w:cs="宋体"/>
          <w:b/>
          <w:bCs/>
          <w:color w:val="auto"/>
          <w:highlight w:val="none"/>
        </w:rPr>
        <w:t xml:space="preserve">小组规定的时间内完成最后报价。</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27.1.3 供应商的最后报价在响应产品数量没有增加，配置、服务没有重大提高的情况下，一般不允许高于第一次报价。否则，</w:t>
      </w:r>
      <w:r>
        <w:rPr>
          <w:rFonts w:hint="eastAsia" w:ascii="宋体" w:hAnsi="宋体" w:eastAsia="宋体" w:cs="宋体"/>
          <w:b/>
          <w:bCs/>
          <w:color w:val="auto"/>
          <w:highlight w:val="none"/>
          <w:lang w:eastAsia="zh-CN"/>
        </w:rPr>
        <w:t xml:space="preserve">协商</w:t>
      </w:r>
      <w:r>
        <w:rPr>
          <w:rFonts w:hint="eastAsia" w:ascii="宋体" w:hAnsi="宋体" w:eastAsia="宋体" w:cs="宋体"/>
          <w:b/>
          <w:bCs/>
          <w:color w:val="auto"/>
          <w:highlight w:val="none"/>
        </w:rPr>
        <w:t xml:space="preserve">小组有权拒绝该最后报价并不再给予报价补救机会。</w:t>
      </w:r>
      <w:r/>
    </w:p>
    <w:p>
      <w:pPr>
        <w:pStyle w:val="861"/>
        <w:ind w:firstLine="36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27.2成交原则</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小组根据政府采购相关法律、规章的规定，在供应商的响应情况能保证采购项目质量且最后报价合理的基础上确定其为成交供应商。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27.3单一来源</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终止情形处理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将终止采购活动，发布项目终止公告并说明原因，重新开展采购活动：</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27.3.1 因情况变化，不再符合规定的单一来源采购方式适用情形的；</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27.3.2 出现影响采购公正的违法、违规行为的；</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27.3.3供应商最后报价超过采购预算的；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27.3.4供应商的技术方案、服务承诺、商务条款等不能满足采购人或</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小组的要求；</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27.3.5 法律、法规、规章规定的其他应当终止的情形。</w:t>
      </w:r>
      <w:r/>
    </w:p>
    <w:p>
      <w:pPr>
        <w:pStyle w:val="861"/>
        <w:ind w:firstLine="482"/>
        <w:jc w:val="both"/>
        <w:keepLines/>
        <w:keepNext/>
        <w:pageBreakBefore w:val="0"/>
        <w:spacing w:before="145" w:beforeAutospacing="0" w:after="145" w:afterAutospacing="0" w:line="360" w:lineRule="auto"/>
        <w:shd w:val="clear" w:color="auto"/>
        <w:widowControl w:val="off"/>
        <w:rPr>
          <w:rFonts w:hint="eastAsia" w:ascii="宋体" w:hAnsi="宋体" w:eastAsia="宋体" w:cs="宋体"/>
          <w:color w:val="auto"/>
          <w:highlight w:val="none"/>
        </w:rPr>
        <w:outlineLvl w:val="0"/>
      </w:pPr>
      <w:r/>
      <w:bookmarkStart w:id="156" w:name="_Toc26660"/>
      <w:r/>
      <w:bookmarkStart w:id="157" w:name="_Toc26205"/>
      <w:r>
        <w:rPr>
          <w:rFonts w:hint="eastAsia" w:ascii="宋体" w:hAnsi="宋体" w:eastAsia="宋体" w:cs="宋体"/>
          <w:b/>
          <w:color w:val="auto"/>
          <w:sz w:val="32"/>
          <w:szCs w:val="32"/>
          <w:highlight w:val="none"/>
        </w:rPr>
        <w:t xml:space="preserve">六、成交</w:t>
      </w:r>
      <w:bookmarkEnd w:id="156"/>
      <w:r/>
      <w:bookmarkEnd w:id="157"/>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28、确定成交供应商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小组根据</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情况编写单一来源评审报告，推荐成交候选供应商。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采购人根据</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小组推荐的成交候选供应商确定成交供应商。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 若有充分证据证明，成交供应商出现下列情况之一的，一经查实，将被取消成交资格：</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工作人员恶意串通的。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工作人员行贿或者提供其他不正当利益的。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28.3.5不满足本采购文件规定的实质性要求，但在评审过程中又未被</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小组发现的。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28.3.6成交后无正当理由拒不与采购人签订政府采购合同或者未按照采购文件确定的事项签订政府采购合同的。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成交供应商被取消成交资格后，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有权重新组织采购。</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bookmarkStart w:id="158" w:name="_Toc200451960"/>
      <w:r>
        <w:rPr>
          <w:rFonts w:hint="eastAsia" w:ascii="宋体" w:hAnsi="宋体" w:eastAsia="宋体" w:cs="宋体"/>
          <w:color w:val="auto"/>
          <w:sz w:val="28"/>
          <w:szCs w:val="28"/>
          <w:highlight w:val="none"/>
        </w:rPr>
        <w:t xml:space="preserve">29、质疑处理</w:t>
      </w:r>
      <w:bookmarkEnd w:id="158"/>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提出质疑。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、采购人将只对供应商第一次质疑作出答复。</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29.3质疑函必须按照本采购文件中《质疑函范本》要求的格式和内容进行填写。供应商如组成联合体参加</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，则《质疑函范本》中要求签字、盖章、加盖公章之处，联合体各方均须按要求签字、盖章、加盖公章。</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29.4采购代理机构只接收以纸质原件形式送达的质疑,采购人和采购代理机构不接受未填写快递运单的快件。</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采购人质疑接收人及联系方式见单一来源文件第一章。</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质疑人（或授权委托人）须是供应商正式员工，授权委托人须提供供应商为其缴纳的本年度近期社保证明。</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29.5.4未参加单一来源采购活动的供应商所提出的质疑。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，联合体中任何一方或多方未按要求签字、盖章、加盖公章的质疑。</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30、成交通知书</w:t>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30.1成交结果确定后，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61"/>
        <w:ind w:firstLine="643"/>
        <w:jc w:val="both"/>
        <w:keepLines/>
        <w:keepNext/>
        <w:pageBreakBefore w:val="0"/>
        <w:spacing w:before="145" w:beforeAutospacing="0" w:after="145" w:afterAutospacing="0" w:line="360" w:lineRule="auto"/>
        <w:shd w:val="clear" w:color="auto"/>
        <w:widowControl w:val="off"/>
        <w:rPr>
          <w:rFonts w:hint="eastAsia" w:ascii="宋体" w:hAnsi="宋体" w:eastAsia="宋体" w:cs="宋体"/>
          <w:color w:val="auto"/>
          <w:highlight w:val="none"/>
        </w:rPr>
        <w:outlineLvl w:val="0"/>
      </w:pPr>
      <w:r/>
      <w:bookmarkStart w:id="159" w:name="_Toc513029236"/>
      <w:r/>
      <w:bookmarkStart w:id="160" w:name="_Toc16938552"/>
      <w:r/>
      <w:bookmarkStart w:id="161" w:name="_Toc21526"/>
      <w:r/>
      <w:bookmarkStart w:id="162" w:name="_Toc20823308"/>
      <w:r/>
      <w:bookmarkStart w:id="163" w:name="_Toc13702"/>
      <w:r/>
      <w:bookmarkStart w:id="164" w:name="_Toc120614220"/>
      <w:r>
        <w:rPr>
          <w:rFonts w:hint="eastAsia" w:ascii="宋体" w:hAnsi="宋体" w:eastAsia="宋体" w:cs="宋体"/>
          <w:b/>
          <w:color w:val="auto"/>
          <w:sz w:val="32"/>
          <w:szCs w:val="32"/>
          <w:highlight w:val="none"/>
        </w:rPr>
        <w:t xml:space="preserve">七、授予合同</w:t>
      </w:r>
      <w:bookmarkEnd w:id="159"/>
      <w:r/>
      <w:bookmarkEnd w:id="160"/>
      <w:r/>
      <w:bookmarkEnd w:id="161"/>
      <w:r/>
      <w:bookmarkEnd w:id="162"/>
      <w:r/>
      <w:bookmarkEnd w:id="163"/>
      <w:r/>
      <w:bookmarkEnd w:id="164"/>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9"/>
      </w:pPr>
      <w:r/>
      <w:bookmarkStart w:id="165" w:name="_Toc16938553"/>
      <w:r/>
      <w:bookmarkStart w:id="166" w:name="_Toc513029237"/>
      <w:r/>
      <w:bookmarkStart w:id="167" w:name="_Toc20823309"/>
      <w:r>
        <w:rPr>
          <w:rFonts w:hint="eastAsia" w:ascii="宋体" w:hAnsi="宋体" w:eastAsia="宋体" w:cs="宋体"/>
          <w:color w:val="auto"/>
          <w:sz w:val="28"/>
          <w:szCs w:val="28"/>
          <w:highlight w:val="none"/>
        </w:rPr>
        <w:t xml:space="preserve">31. 签订合同</w:t>
      </w:r>
      <w:bookmarkEnd w:id="165"/>
      <w:r/>
      <w:bookmarkEnd w:id="166"/>
      <w:r/>
      <w:bookmarkEnd w:id="167"/>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31.l</w:t>
      </w:r>
      <w:r>
        <w:rPr>
          <w:rFonts w:hint="eastAsia" w:ascii="宋体" w:hAnsi="宋体" w:eastAsia="宋体" w:cs="宋体"/>
          <w:color w:val="auto"/>
          <w:highlight w:val="none"/>
          <w:lang w:val="en-US" w:eastAsia="zh-CN"/>
        </w:rPr>
        <w:t xml:space="preserve">成交供应商应当在中标通知书发出之日起三十日内（原则上应在15日内签订采购合同），按照采购文件确定的事项与采购人签订政府采购合同。合同签订后2个工作日内合同公示。所签订的合同不得对采购文件确定的事项和中标人响应文件作实质性修改。</w:t>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31.2采购文件、成交供应商的响应文件及</w:t>
      </w:r>
      <w:r>
        <w:rPr>
          <w:rFonts w:hint="eastAsia" w:ascii="宋体" w:hAnsi="宋体" w:eastAsia="宋体" w:cs="宋体"/>
          <w:color w:val="auto"/>
          <w:highlight w:val="none"/>
          <w:lang w:eastAsia="zh-CN"/>
        </w:rPr>
        <w:t xml:space="preserve">协商</w:t>
      </w:r>
      <w:r>
        <w:rPr>
          <w:rFonts w:hint="eastAsia" w:ascii="宋体" w:hAnsi="宋体" w:eastAsia="宋体" w:cs="宋体"/>
          <w:color w:val="auto"/>
          <w:highlight w:val="none"/>
        </w:rPr>
        <w:t xml:space="preserve">过程中有关澄清、承诺文件均应作为合同附件。</w:t>
      </w:r>
      <w:r/>
    </w:p>
    <w:p>
      <w:pPr>
        <w:pStyle w:val="861"/>
        <w:ind w:firstLine="60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b/>
          <w:bCs/>
          <w:color w:val="auto"/>
          <w:highlight w:val="none"/>
        </w:rPr>
        <w:t xml:space="preserve">，</w:t>
      </w:r>
      <w:r>
        <w:rPr>
          <w:rFonts w:hint="eastAsia" w:ascii="宋体" w:hAnsi="宋体" w:eastAsia="宋体" w:cs="宋体"/>
          <w:b/>
          <w:bCs/>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32、标的物的追加</w:t>
      </w:r>
      <w:r/>
    </w:p>
    <w:p>
      <w:pPr>
        <w:pStyle w:val="861"/>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68" w:name="_Toc120614221"/>
      <w:r/>
      <w:bookmarkStart w:id="169" w:name="_Toc20823314"/>
      <w:r/>
      <w:bookmarkStart w:id="170" w:name="_Toc513029242"/>
      <w:r/>
      <w:bookmarkStart w:id="171" w:name="_Toc16938558"/>
      <w:r/>
      <w:bookmarkStart w:id="172" w:name="_Toc479757207"/>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33、</w:t>
      </w:r>
      <w:r>
        <w:rPr>
          <w:rFonts w:hint="eastAsia" w:ascii="宋体" w:hAnsi="宋体" w:eastAsia="宋体" w:cs="宋体"/>
          <w:color w:val="auto"/>
          <w:sz w:val="28"/>
          <w:szCs w:val="28"/>
          <w:highlight w:val="none"/>
        </w:rPr>
        <w:t xml:space="preserve">政府采购履约资金扶持政策</w:t>
      </w:r>
      <w:bookmarkEnd w:id="168"/>
      <w:r/>
      <w:bookmarkEnd w:id="169"/>
      <w:r/>
      <w:bookmarkEnd w:id="170"/>
      <w:r/>
      <w:bookmarkEnd w:id="171"/>
      <w:r/>
      <w:bookmarkEnd w:id="172"/>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34.履约保证金</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34.1履约保证金缴纳</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34.1.1履约保证金的缴纳比例和是否缴纳由采购人与成交供应商协商确定。确需收取履约保证金的，中标后签订合同时中标方须缴纳中标金额10%的履约保证</w:t>
      </w:r>
      <w:r>
        <w:rPr>
          <w:rFonts w:hint="eastAsia" w:ascii="宋体" w:hAnsi="宋体" w:eastAsia="宋体" w:cs="宋体"/>
          <w:color w:val="auto"/>
          <w:highlight w:val="none"/>
          <w:lang w:val="en-US" w:eastAsia="zh-CN"/>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3%）。</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34.2合同履行结束后，甲方应及时退还交纳的履约保证金。</w:t>
      </w:r>
      <w:r/>
    </w:p>
    <w:p>
      <w:pPr>
        <w:pStyle w:val="861"/>
        <w:numPr>
          <w:ilvl w:val="0"/>
          <w:numId w:val="0"/>
        </w:numPr>
        <w:ind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34.3履约保证金的退还：</w:t>
      </w:r>
      <w:r/>
    </w:p>
    <w:p>
      <w:pPr>
        <w:pStyle w:val="861"/>
        <w:numPr>
          <w:ilvl w:val="0"/>
          <w:numId w:val="0"/>
        </w:numPr>
        <w:ind w:left="479" w:firstLine="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34.3.1方式：无息退还至供应商缴纳履约保证金的账户。如为保函，在到期时自行失效。34.3.2时间：验收合格且采购人收到发票后30日内。</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sectPr>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highlight w:val="none"/>
          <w:lang w:val="en-US" w:eastAsia="zh-CN"/>
        </w:rPr>
        <w:t xml:space="preserve">34.3.3条件：按合同要求全部履约完成并经采购人验收合格，且采购人收到中标人出具的发票</w:t>
      </w:r>
      <w:r/>
    </w:p>
    <w:p>
      <w:pPr>
        <w:pStyle w:val="861"/>
        <w:keepNext/>
        <w:pageBreakBefore w:val="0"/>
        <w:spacing w:beforeAutospacing="0" w:afterAutospacing="0" w:line="240" w:lineRule="auto"/>
        <w:shd w:val="clear" w:color="auto"/>
        <w:widowControl w:val="off"/>
        <w:rPr>
          <w:rFonts w:hint="eastAsia" w:ascii="宋体" w:hAnsi="宋体" w:eastAsia="宋体" w:cs="宋体"/>
          <w:color w:val="auto"/>
          <w:highlight w:val="none"/>
          <w:lang w:val="en-US" w:eastAsia="zh-CN"/>
        </w:rPr>
        <w:sectPr>
          <w:footnotePr/>
          <w:endnotePr/>
          <w:type w:val="continuous"/>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color w:val="auto"/>
          <w:highlight w:val="none"/>
          <w:lang w:val="en-US" w:eastAsia="zh-CN"/>
        </w:rPr>
      </w:r>
      <w:r/>
    </w:p>
    <w:p>
      <w:pPr>
        <w:pStyle w:val="861"/>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34.3.4不予退还情形：</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除不可抗力情况外，供应商出现下列情形之一的，其履约保证金，采购人将视情节决定不予退还或部分不予退还。</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（1）中标人无正当理由拒绝签订合同的，或者在签订合同时向采购人提出附加条件或者更改合同实质性内容要求的；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（2）中标人不履行与采购人订立的合同的；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（3）中标人所供货物或服务不符合采购文件规定要求的；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（4）中标人采取欺骗、弄虚作假方式响应的；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（5）中标人将合同内容转包、违法分包的；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（6）中标人故意捏造事实或伪造证明材料，进行虚假恶意投诉或反映的。</w:t>
      </w:r>
      <w:r/>
    </w:p>
    <w:p>
      <w:pPr>
        <w:pStyle w:val="861"/>
        <w:ind w:firstLine="480"/>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lang w:val="en-US" w:eastAsia="zh-CN"/>
        </w:rPr>
        <w:t xml:space="preserve">34.3.5逾期退还的违约责任：采购人逾期无故未退还履约保证金的，按中国人民银行同期贷款基准利率上浮20%后的利率支付超期资金占用费，但因供应商自身原因导致无法及时退还的除外。</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35、政府采购节能产品、环境标志产品</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36、绿色包装</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61"/>
        <w:ind w:firstLine="420"/>
        <w:jc w:val="both"/>
        <w:keepLines/>
        <w:keepNext/>
        <w:pageBreakBefore w:val="0"/>
        <w:spacing w:beforeAutospacing="0" w:afterAutospacing="0" w:line="360" w:lineRule="auto"/>
        <w:shd w:val="clear" w:color="auto"/>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37、采购项目需满足的政府采购政策目标和具体支持对象</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37.1小微型企业价格扣除</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37.1.1本项目对小型和微型企业产品给予20%的价格扣除，用扣除后的价格参与评审。</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37.1.2供应商需按照采购文件的要求提供相应的《小微企业声明函》。</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37.1.3企业标准请参照《关于印发中小企业划型标准规定的通知》（工信部联企业[2011]300号）文件规定自行填写。</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37.2残疾人福利单位价格扣除</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37.2.1本项目对残疾人福利性单位视同小型、微型企业，给予20%的价格扣除，用扣除后的价格参与评审。</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37.2.2残疾人福利单位需按照采购文件的要求提供《残疾人福利性单位声明函》。</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color w:val="auto"/>
          <w:highlight w:val="none"/>
          <w:lang w:val="en-US" w:eastAsia="zh-CN"/>
        </w:rPr>
        <w:t xml:space="preserve">37.2.3残疾人福利单位标准请参照《关于促进残疾人就业政府</w:t>
      </w:r>
      <w:r>
        <w:rPr>
          <w:rFonts w:hint="eastAsia" w:ascii="宋体" w:hAnsi="宋体" w:eastAsia="宋体" w:cs="宋体"/>
          <w:highlight w:val="none"/>
          <w:lang w:val="en-US" w:eastAsia="zh-CN"/>
        </w:rPr>
        <w:t xml:space="preserve">采购政策的通知》（财库〔2017〕141号）。</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37.3监狱和戒毒企业价格扣除</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37.3.1本项目对监狱和戒毒企业（简称监狱企业）视同小型、微型企业，给予20%的价格扣除，用扣除后的价格参与评审。</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37.3.2监狱企业参加政府采购活动时，需提供由省级以上监狱管理局、戒毒管理局(含新疆生产建设兵团)出具的属于监狱企业的证明文件。供应商如不提供上述证明文件，价格将不做相应扣除。</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37.3.3监狱企业标准请参照《关于政府采购支持监狱企业发展有关问题的通知》（财库[2014]68号）。</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37.4残疾人福利单位、监狱企业属于小型、微型企业的，不重复享受政策。</w:t>
      </w:r>
      <w:r/>
    </w:p>
    <w:p>
      <w:pPr>
        <w:pStyle w:val="861"/>
        <w:numPr>
          <w:ilvl w:val="0"/>
          <w:numId w:val="0"/>
        </w:numPr>
        <w:ind w:firstLine="600"/>
        <w:jc w:val="both"/>
        <w:pageBreakBefore w:val="0"/>
        <w:spacing w:beforeAutospacing="0" w:afterAutospacing="0" w:line="360" w:lineRule="auto"/>
        <w:shd w:val="clear" w:color="auto"/>
        <w:widowControl w:val="off"/>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t xml:space="preserve">38、“信易购、政采贷”政策 </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38.1根据射财库【2021】17号文件要求采购人应当政府采购活动中应用第三方信用报告，通过“信易购”应用场景，促进市场主体诚信经营。从2022年开始所有政府采购项目纳入信易购管理；</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38.2政府采购落实“政采贷”政策，依据《关于深入推进政府采购线上合同信用融资工作的通知》（苏财购﹝2021﹞82号）。 </w:t>
      </w:r>
      <w:r/>
    </w:p>
    <w:p>
      <w:pPr>
        <w:pStyle w:val="861"/>
        <w:numPr>
          <w:ilvl w:val="0"/>
          <w:numId w:val="0"/>
        </w:numPr>
        <w:ind w:firstLine="600"/>
        <w:jc w:val="both"/>
        <w:pageBreakBefore w:val="0"/>
        <w:spacing w:beforeAutospacing="0" w:afterAutospacing="0" w:line="360" w:lineRule="auto"/>
        <w:shd w:val="clear" w:color="auto"/>
        <w:widowControl w:val="off"/>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t xml:space="preserve">39、绿色数据中心政策 </w:t>
      </w:r>
      <w:r/>
    </w:p>
    <w:p>
      <w:pPr>
        <w:pStyle w:val="861"/>
        <w:numPr>
          <w:ilvl w:val="0"/>
          <w:numId w:val="0"/>
        </w:numPr>
        <w:ind w:firstLine="480"/>
        <w:jc w:val="both"/>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本</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文件中若涉及到数据中心采购，应按照《&lt;绿色数据中心政府采购需求标准（试行）&gt;的通知》（财库〔2023〕7号）执行。</w:t>
      </w:r>
      <w:r/>
    </w:p>
    <w:p>
      <w:pPr>
        <w:pStyle w:val="861"/>
        <w:jc w:val="center"/>
        <w:keepNext/>
        <w:spacing w:beforeAutospacing="0" w:afterAutospacing="0"/>
        <w:shd w:val="clear" w:color="auto"/>
        <w:rPr>
          <w:rFonts w:hint="eastAsia" w:ascii="宋体" w:hAnsi="宋体" w:eastAsia="宋体" w:cs="宋体"/>
          <w:b/>
          <w:bCs/>
          <w:color w:val="000000"/>
          <w:sz w:val="36"/>
          <w:szCs w:val="36"/>
          <w:highlight w:val="none"/>
        </w:rPr>
        <w:outlineLvl w:val="0"/>
      </w:pPr>
      <w:r/>
      <w:bookmarkStart w:id="173" w:name="_Toc28670"/>
      <w:r/>
      <w:bookmarkStart w:id="174" w:name="_Toc513029243"/>
      <w:r/>
      <w:bookmarkStart w:id="175" w:name="_Toc20823315"/>
      <w:r/>
      <w:bookmarkStart w:id="176" w:name="_Toc16938559"/>
      <w:r>
        <w:rPr>
          <w:rFonts w:hint="eastAsia" w:ascii="宋体" w:hAnsi="宋体" w:eastAsia="宋体" w:cs="宋体"/>
          <w:b/>
          <w:bCs/>
          <w:color w:val="000000"/>
          <w:sz w:val="36"/>
          <w:szCs w:val="36"/>
          <w:highlight w:val="none"/>
        </w:rPr>
        <w:t xml:space="preserve">第三章  合同文本</w:t>
      </w:r>
      <w:bookmarkEnd w:id="173"/>
      <w:r/>
      <w:r/>
    </w:p>
    <w:p>
      <w:pPr>
        <w:pStyle w:val="861"/>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以下为成交后签定本项目合同的通用条款，成交供应商不得提出实质性的修改。</w:t>
      </w:r>
      <w:bookmarkEnd w:id="174"/>
      <w:r/>
      <w:bookmarkEnd w:id="175"/>
      <w:r/>
      <w:bookmarkEnd w:id="176"/>
      <w:r/>
      <w:r/>
    </w:p>
    <w:p>
      <w:pPr>
        <w:pStyle w:val="861"/>
        <w:jc w:val="center"/>
        <w:spacing w:before="145" w:beforeAutospacing="0" w:after="145" w:afterAutospacing="0"/>
        <w:shd w:val="clear" w:color="auto"/>
        <w:rPr>
          <w:rFonts w:hint="eastAsia" w:ascii="宋体" w:hAnsi="宋体" w:eastAsia="宋体" w:cs="宋体"/>
          <w:highlight w:val="none"/>
        </w:rPr>
        <w:outlineLvl w:val="0"/>
      </w:pPr>
      <w:r/>
      <w:bookmarkStart w:id="177" w:name="_Toc7227"/>
      <w:r/>
      <w:bookmarkStart w:id="178" w:name="_Toc10288"/>
      <w:r>
        <w:rPr>
          <w:rFonts w:hint="eastAsia" w:ascii="宋体" w:hAnsi="宋体" w:eastAsia="宋体" w:cs="宋体"/>
          <w:b/>
          <w:color w:val="000000"/>
          <w:sz w:val="30"/>
          <w:szCs w:val="30"/>
          <w:highlight w:val="none"/>
        </w:rPr>
        <w:t xml:space="preserve">盐城市政府采购合同（合同编号）</w:t>
      </w:r>
      <w:bookmarkEnd w:id="177"/>
      <w:r/>
      <w:bookmarkEnd w:id="178"/>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射阳县自然资源和规划局射阳县202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年射阳河北片区互花米草治理项目</w:t>
      </w:r>
      <w:r>
        <w:rPr>
          <w:rFonts w:hint="eastAsia" w:ascii="宋体" w:hAnsi="宋体" w:eastAsia="宋体" w:cs="宋体"/>
          <w:color w:val="000000"/>
          <w:highlight w:val="none"/>
        </w:rPr>
        <w:t xml:space="preserve">                      </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项目编号：</w:t>
      </w:r>
      <w:r>
        <w:rPr>
          <w:rFonts w:hint="eastAsia" w:ascii="宋体" w:hAnsi="宋体" w:cs="宋体"/>
          <w:color w:val="000000"/>
          <w:highlight w:val="none"/>
          <w:lang w:val="en-US" w:eastAsia="zh-CN"/>
        </w:rPr>
        <w:t xml:space="preserve">JSZC-320924-HHWX-D2026-0002</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甲方：（买方）_________</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乙方：（卖方）_________</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u w:val="single"/>
          <w:lang w:eastAsia="zh-CN"/>
        </w:rPr>
        <w:t xml:space="preserve">射阳县自然资源和规划局射阳县202</w:t>
      </w:r>
      <w:r>
        <w:rPr>
          <w:rFonts w:hint="eastAsia" w:ascii="宋体" w:hAnsi="宋体" w:cs="宋体"/>
          <w:color w:val="000000"/>
          <w:highlight w:val="none"/>
          <w:u w:val="single"/>
          <w:lang w:val="en-US" w:eastAsia="zh-CN"/>
        </w:rPr>
        <w:t xml:space="preserve">6</w:t>
      </w:r>
      <w:r>
        <w:rPr>
          <w:rFonts w:hint="eastAsia" w:ascii="宋体" w:hAnsi="宋体" w:eastAsia="宋体" w:cs="宋体"/>
          <w:color w:val="000000"/>
          <w:highlight w:val="none"/>
          <w:u w:val="single"/>
          <w:lang w:eastAsia="zh-CN"/>
        </w:rPr>
        <w:t xml:space="preserve">年射阳河北片区互花米草治理</w:t>
      </w:r>
      <w:r>
        <w:rPr>
          <w:rFonts w:hint="eastAsia" w:ascii="宋体" w:hAnsi="宋体" w:eastAsia="宋体" w:cs="宋体"/>
          <w:color w:val="000000"/>
          <w:highlight w:val="none"/>
        </w:rPr>
        <w:t xml:space="preserve">项目单一来源采购的结果，签署本合同。</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79" w:name="_Toc12267"/>
      <w:r/>
      <w:bookmarkStart w:id="180" w:name="_Toc31252"/>
      <w:r>
        <w:rPr>
          <w:rFonts w:hint="eastAsia" w:ascii="宋体" w:hAnsi="宋体" w:eastAsia="宋体" w:cs="宋体"/>
          <w:b/>
          <w:color w:val="000000"/>
          <w:highlight w:val="none"/>
        </w:rPr>
        <w:t xml:space="preserve">一、合同内容</w:t>
      </w:r>
      <w:bookmarkEnd w:id="179"/>
      <w:r/>
      <w:bookmarkEnd w:id="180"/>
      <w:r/>
      <w:r/>
    </w:p>
    <w:p>
      <w:pPr>
        <w:pStyle w:val="861"/>
        <w:ind w:firstLine="480"/>
        <w:jc w:val="both"/>
        <w:keepLines w:val="0"/>
        <w:keepNext w:val="0"/>
        <w:pageBreakBefore w:val="0"/>
        <w:spacing w:beforeAutospacing="0" w:afterAutospacing="0" w:line="24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 标的名称</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t xml:space="preserve">射阳县自然资源和规划局射阳县202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年射阳河北片区互花米草治理项目</w:t>
      </w:r>
      <w:r>
        <w:rPr>
          <w:rFonts w:hint="eastAsia" w:ascii="宋体" w:hAnsi="宋体" w:eastAsia="宋体" w:cs="宋体"/>
          <w:color w:val="000000"/>
          <w:highlight w:val="none"/>
        </w:rPr>
        <w:t xml:space="preserve">       </w:t>
      </w:r>
      <w:r/>
    </w:p>
    <w:p>
      <w:pPr>
        <w:pStyle w:val="861"/>
        <w:ind w:firstLine="480"/>
        <w:jc w:val="both"/>
        <w:keepLines w:val="0"/>
        <w:keepNext w:val="0"/>
        <w:pageBreakBefore w:val="0"/>
        <w:spacing w:beforeAutospacing="0" w:afterAutospacing="0" w:line="24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1.2标的质量：</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 履行时间（期限）：</w:t>
      </w:r>
      <w:r>
        <w:rPr>
          <w:rFonts w:hint="eastAsia" w:ascii="宋体" w:hAnsi="宋体" w:eastAsia="宋体" w:cs="宋体"/>
          <w:color w:val="000000"/>
          <w:highlight w:val="none"/>
          <w:lang w:val="en-US" w:eastAsia="zh-CN"/>
        </w:rPr>
        <w:t xml:space="preserve">本项目自合同签订之日起至202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年12月31日止【治理期：1年；管护期：2年（至202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年12月31日止）】。</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 履行地点：采购方指定地点。</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履行方式：根据治理区互花米草分布特征及地形地貌条件，采用药剂治理方式进行治理</w:t>
      </w:r>
      <w:r>
        <w:rPr>
          <w:rFonts w:hint="eastAsia" w:ascii="宋体" w:hAnsi="宋体" w:cs="宋体"/>
          <w:color w:val="000000"/>
          <w:highlight w:val="none"/>
          <w:lang w:eastAsia="zh-CN"/>
        </w:rPr>
        <w:t xml:space="preserve">。</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default" w:ascii="宋体" w:hAnsi="宋体" w:eastAsia="宋体" w:cs="宋体"/>
          <w:color w:val="000000"/>
          <w:highlight w:val="none"/>
          <w:lang w:val="en-US" w:eastAsia="zh-CN"/>
        </w:rPr>
      </w:pPr>
      <w:r/>
      <w:bookmarkStart w:id="181" w:name="_Toc4724"/>
      <w:r>
        <w:rPr>
          <w:rFonts w:hint="eastAsia" w:ascii="宋体" w:hAnsi="宋体" w:eastAsia="宋体" w:cs="宋体"/>
          <w:color w:val="000000"/>
          <w:highlight w:val="none"/>
          <w:lang w:val="en-US" w:eastAsia="zh-CN"/>
        </w:rPr>
        <w:t xml:space="preserve">1.7服务内容及要求：</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1.7.1互花米草治理专项行动，202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年射阳河北片区互花米草治理面积约</w:t>
      </w:r>
      <w:r>
        <w:rPr>
          <w:rFonts w:hint="eastAsia" w:ascii="宋体" w:hAnsi="宋体" w:cs="宋体"/>
          <w:color w:val="000000"/>
          <w:sz w:val="24"/>
          <w:szCs w:val="24"/>
          <w:highlight w:val="none"/>
          <w:lang w:val="en-US" w:eastAsia="zh-CN" w:bidi="ar-SA"/>
        </w:rPr>
        <w:t xml:space="preserve">1499.95</w:t>
      </w:r>
      <w:r>
        <w:rPr>
          <w:rFonts w:hint="eastAsia" w:ascii="宋体" w:hAnsi="宋体" w:eastAsia="宋体" w:cs="宋体"/>
          <w:color w:val="000000"/>
          <w:sz w:val="24"/>
          <w:szCs w:val="24"/>
          <w:highlight w:val="none"/>
          <w:lang w:val="en-US" w:eastAsia="zh-CN" w:bidi="ar-SA"/>
        </w:rPr>
        <w:t xml:space="preserve">亩。</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1.7.2实施范围：沿海滩涂（南至射阳河，北至苏北灌溉总渠）。</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1.7.3互花米草除治总面积：约</w:t>
      </w:r>
      <w:r>
        <w:rPr>
          <w:rFonts w:hint="eastAsia" w:ascii="宋体" w:hAnsi="宋体" w:cs="宋体"/>
          <w:color w:val="000000"/>
          <w:sz w:val="24"/>
          <w:szCs w:val="24"/>
          <w:highlight w:val="none"/>
          <w:lang w:val="en-US" w:eastAsia="zh-CN" w:bidi="ar-SA"/>
        </w:rPr>
        <w:t xml:space="preserve">1499.95</w:t>
      </w:r>
      <w:r>
        <w:rPr>
          <w:rFonts w:hint="eastAsia" w:ascii="宋体" w:hAnsi="宋体" w:eastAsia="宋体" w:cs="宋体"/>
          <w:color w:val="000000"/>
          <w:sz w:val="24"/>
          <w:szCs w:val="24"/>
          <w:highlight w:val="none"/>
          <w:lang w:val="en-US" w:eastAsia="zh-CN" w:bidi="ar-SA"/>
        </w:rPr>
        <w:t xml:space="preserve">亩（详见图）。</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其中：</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（1）合同签订后30日内完成药剂喷洒工作，确保202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年10月底前除治范围内的互花米草全部死亡，经检查验收合格；</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年8月底前，完成对复发互花米草的除治（药剂喷洒）工作，确保药剂喷洒完成后除治范围内复发的互花米草全部死亡，经检查验收合格；</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（3）202</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年6月底前，完成对再次复发互花米草的除治（药剂喷洒）工作，确保药剂喷洒完成后除治范围内复发的互花米草全部死亡，经检查验收合格；</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备注：采购标的需执行的国家相关标准、行业标准、地方标准或者其他标准、规范：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1.《中国湿地保护行动计划》（2000年）；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2.《全国湿地保护工程规划》（2002-2030年）；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3.《互花米草生态控制技术规范》（DB31/T 1243-2020）；</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4.《海洋监测技术规程第7部分：卫星遥感技术方法》（HY/T 147.7）（2013年5月）；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5.《海岸带生态系统现状调查与评估技术导则 第4部分：盐沼》（T/CAOE 20.4）（2020年5月）；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6.《自然资源部国家林业和草原局关于做好自然保护区范围及功能分区优化调整前期有关工作的函》【自然资函（2000 年）71 号】；</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7.《自然资源部办公厅水利部办公厅发展改革委办公厅财政部办公厅关于印发海岸带保护修复工程工作方案》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8.《滨海湿地生态监测技术规程》（HY/T 080-2005）；</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9.《互花米草防治专项行动计划（2022-2025年）》（2022年12月）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10.《江苏省互花米草治理技术手册（第一版）》；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11.《江苏省互花米草防治攻坚战三年行动方案（2023—2025年）》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12.《江苏省林业局办公室关于印发江苏省互花米草治理任务验收办法（试行）的通知》（苏林办湿〔2024〕1号）；</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13.国家林业和草原局办公室关于印发《互花米草综合防治技术指南》的通知;</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14.其他相关的国家、行业、地方的技术标准、规程、规范。</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注：如上述标准及规范要求有出入则以较严格者为准，如标准、规范修改或更新的，则以修改或更新后的内容为准。</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1.7.4 服务内容要求：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核实确认辖区内互花米草的分布现状和数量等工作，从生态建设、环境提升的角度，进行划定区域互花米草治理作业。</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（一）治理技术措施：</w:t>
      </w:r>
      <w:r/>
    </w:p>
    <w:p>
      <w:pPr>
        <w:ind w:firstLine="480"/>
        <w:spacing w:line="360" w:lineRule="auto"/>
        <w:rPr>
          <w:rFonts w:hint="eastAsia" w:ascii="宋体" w:hAnsi="宋体" w:eastAsia="宋体" w:cs="宋体"/>
          <w:b/>
          <w:bCs/>
          <w:color w:val="c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1、采用无人机及其他合理方式喷洒，清除由互花米草种子繁殖的实生苗，以及从繁殖体片段上萌发的无性繁殖苗。</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2、若发现地块外有遗漏的个别株（丛）互花米草也应一并治理，不再增加治理费用。</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（二）作业要点</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1、治理阶段（具体以实际的时间为准）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相关部门部署方案统一行动，同步开展互花米草全面治理工作。应根据互花米草的生长环境、地质及分布情况，因地制宜科学选用绿色安全生物制剂治理方法，要根据本地互花米草生物学特性、生长规律、潮汐规律，抓住种子成熟前的治理有利时机，科学安排无人机与合理方式进行治理等作业工序，提高治理成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喷洒制剂：互花米草萌发至种子成熟前，采用无人机及其他合理方式对现存互花米草喷洒生物制剂，水量根据药剂配比合理安排。</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喷洒时机：选择适宜潮汐期，保证喷洒后光和作用时间超过2-3小时。</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喷洒剂量：选择对环境无影响的绿色环保药剂，对剂量严格把控。</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2、监管阶段（具体以实际验收的时间为准）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切实加强互花米草监视监测，建立长效监管机制，做好预防防范工作，巩固治理成果。</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（三）后继管护</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1、管护范围：以采购人指定划分区域为准。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落实管护责任，做好治理后至202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的管护工作，确保治理成效。治理区及周边邻近区域一旦发现互花米草，如出现零星发生的新发植株，应采用无人机或其他喷洒设备补喷，及时治理；如出现斑块状种群，应采安全绿色的药剂治理方法及时治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2、管护期：本项目管护期至202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年12月31日，如果管护期内管护区域内面积有做其他用途，该管护区域面积将不在计算当年管护费用，每年根据实际管护面积进行结算。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（四）档案管理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档案内容：主要包括治理方案，治理相关材料（包括合同、治理记录、进度报表、检查验收、工作总结等），以及联防联治、宣传培训等相关图片或影像资料等。档案管理：按照不同的内容，分类归集立卷，根据治理进度，及时更新归档。跨年度的档案，放在所针对的最新的年度归档。</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（五）检测要求：</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标后成交供应商即安排进场检测，由有资质的第三方机构按规范要求对生态环境影响进行检测并出具相应的检测报告。检测分三个阶段，一是施工前（中标后），二是施工中，三是施工结束后两个月内。采购人委托检测机构对中标人生态环境进行实时监测。</w:t>
      </w:r>
      <w:r/>
    </w:p>
    <w:p>
      <w:pPr>
        <w:numPr>
          <w:ilvl w:val="0"/>
          <w:numId w:val="1"/>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监测内容：调查范围内药剂残留情况(植物、沉积物、湖间带生物、海水动物)、生物多样性指标(潮间带生物、土壤微生物、鸟类，渔业资源、游生物)以及周边海域海洋环境指标(沉积物、海水)。</w:t>
      </w:r>
      <w:r/>
    </w:p>
    <w:p>
      <w:pPr>
        <w:numPr>
          <w:ilvl w:val="0"/>
          <w:numId w:val="1"/>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采购标的的验收标准：</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级自查。以省级林业主管部门已下达的所有互花米草治理任务清单为依据，市级林业主管部门负责组织互花米草治理任务完成情况全面自查。省级核查。在市级验收申请报告的基础上，省级林业主管部门负责组织全面实地核查，完成综合验收报告，并将验收结果通报全省。并提供相关治理资料（照片、影像、文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）采购标的的其他技术、服务等要求：</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1、在履约过程中，成交供应商不得转包和分包，一经发现，采购单位有权解除本合同，并且已完成的工程量不予结算，所造成的责任与损失均由成交供应商承担；</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在履约过程中，如果成交供应商出现以下行为，将记录其不良行为，报盐城市发改委信用办，同时三年内不得参与盐城市范围内政府采购交易活动：</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1.成交供应商转包和分包项目的；</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2.成交供应商不能按照合同约定的服务时间保质保量完成本项目的，且造成不良后果的；</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信用承诺：在治理互花米草过程中若有残余药物流失到环境中，将造成环境污染对生物造成危害或死亡等行为，由此所产生的一切责任及经济损失由中标单位负责，与采购单位无关。中标单位中标后除需跟采购单位签订合同外，还需签订相关责任承诺书。</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4.其他不良行为。</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82" w:name="_Toc20878"/>
      <w:r>
        <w:rPr>
          <w:rFonts w:hint="eastAsia" w:ascii="宋体" w:hAnsi="宋体" w:eastAsia="宋体" w:cs="宋体"/>
          <w:b/>
          <w:color w:val="000000"/>
          <w:highlight w:val="none"/>
        </w:rPr>
        <w:t xml:space="preserve">二、合同金额</w:t>
      </w:r>
      <w:bookmarkEnd w:id="181"/>
      <w:r/>
      <w:bookmarkEnd w:id="182"/>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 本合同金额为（大写）：______________圆（___________元）人民币。</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83" w:name="_Toc30042"/>
      <w:r/>
      <w:bookmarkStart w:id="184" w:name="_Toc28160"/>
      <w:r>
        <w:rPr>
          <w:rFonts w:hint="eastAsia" w:ascii="宋体" w:hAnsi="宋体" w:eastAsia="宋体" w:cs="宋体"/>
          <w:b/>
          <w:color w:val="000000"/>
          <w:highlight w:val="none"/>
        </w:rPr>
        <w:t xml:space="preserve">三、技术资料</w:t>
      </w:r>
      <w:bookmarkEnd w:id="183"/>
      <w:r/>
      <w:bookmarkEnd w:id="184"/>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3.1乙方应按采购文件规定的时间向甲方提供与合同标的有关的技术资料。</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85" w:name="_Toc3639"/>
      <w:r/>
      <w:bookmarkStart w:id="186" w:name="_Toc1557"/>
      <w:r>
        <w:rPr>
          <w:rFonts w:hint="eastAsia" w:ascii="宋体" w:hAnsi="宋体" w:eastAsia="宋体" w:cs="宋体"/>
          <w:b/>
          <w:color w:val="000000"/>
          <w:highlight w:val="none"/>
        </w:rPr>
        <w:t xml:space="preserve">四、知识产权</w:t>
      </w:r>
      <w:bookmarkEnd w:id="185"/>
      <w:r/>
      <w:bookmarkEnd w:id="186"/>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87" w:name="_Toc23761"/>
      <w:r/>
      <w:bookmarkStart w:id="188" w:name="_Toc29282"/>
      <w:r>
        <w:rPr>
          <w:rFonts w:hint="eastAsia" w:ascii="宋体" w:hAnsi="宋体" w:eastAsia="宋体" w:cs="宋体"/>
          <w:b/>
          <w:color w:val="000000"/>
          <w:highlight w:val="none"/>
        </w:rPr>
        <w:t xml:space="preserve">五、产权担保</w:t>
      </w:r>
      <w:bookmarkEnd w:id="187"/>
      <w:r/>
      <w:bookmarkEnd w:id="188"/>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5.1 乙方保证所交付的合同标的的所有权完全属于乙方且无任何抵押、查封等产权瑕疵。</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89" w:name="_Toc24134"/>
      <w:r/>
      <w:bookmarkStart w:id="190" w:name="_Toc18206"/>
      <w:r>
        <w:rPr>
          <w:rFonts w:hint="eastAsia" w:ascii="宋体" w:hAnsi="宋体" w:eastAsia="宋体" w:cs="宋体"/>
          <w:b/>
          <w:color w:val="000000"/>
          <w:highlight w:val="none"/>
        </w:rPr>
        <w:t xml:space="preserve">六、履约保证金</w:t>
      </w:r>
      <w:bookmarkEnd w:id="189"/>
      <w:r/>
      <w:bookmarkEnd w:id="190"/>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6.1 乙方交纳人民币___</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___元作为本合同的履约保证金。</w:t>
      </w:r>
      <w:r/>
    </w:p>
    <w:p>
      <w:pPr>
        <w:pStyle w:val="861"/>
        <w:ind w:firstLine="482"/>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highlight w:val="none"/>
        </w:rPr>
        <w:outlineLvl w:val="0"/>
      </w:pPr>
      <w:r/>
      <w:bookmarkStart w:id="191" w:name="_Toc5661"/>
      <w:r/>
      <w:bookmarkStart w:id="192" w:name="_Toc10142"/>
      <w:r>
        <w:rPr>
          <w:rFonts w:hint="eastAsia" w:ascii="宋体" w:hAnsi="宋体" w:eastAsia="宋体" w:cs="宋体"/>
          <w:b/>
          <w:color w:val="000000"/>
          <w:highlight w:val="none"/>
        </w:rPr>
        <w:t xml:space="preserve">七、合同转包或分包</w:t>
      </w:r>
      <w:bookmarkEnd w:id="191"/>
      <w:r/>
      <w:bookmarkEnd w:id="192"/>
      <w:r/>
      <w:r/>
    </w:p>
    <w:p>
      <w:pPr>
        <w:pStyle w:val="861"/>
        <w:ind w:firstLine="480"/>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7.1乙方不得将合同标的转包给他人履行。</w:t>
      </w:r>
      <w:r/>
    </w:p>
    <w:p>
      <w:pPr>
        <w:pStyle w:val="861"/>
        <w:ind w:firstLine="480"/>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7.2乙方不得将合同标的分包给他人履行。</w:t>
      </w:r>
      <w:r/>
    </w:p>
    <w:p>
      <w:pPr>
        <w:pStyle w:val="861"/>
        <w:ind w:firstLine="480"/>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93" w:name="_Toc1628"/>
      <w:r/>
      <w:bookmarkStart w:id="194" w:name="_Toc3772"/>
      <w:r>
        <w:rPr>
          <w:rFonts w:hint="eastAsia" w:ascii="宋体" w:hAnsi="宋体" w:eastAsia="宋体" w:cs="宋体"/>
          <w:b/>
          <w:color w:val="000000"/>
          <w:highlight w:val="none"/>
        </w:rPr>
        <w:t xml:space="preserve">八、合同款项支付</w:t>
      </w:r>
      <w:bookmarkEnd w:id="193"/>
      <w:r/>
      <w:bookmarkEnd w:id="194"/>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8.2首次除治工作全部完成后，经验收合格，于2025年年底前，采购人收到发票后10个工作日内付至合同总价（中标价）的60%（包括以前已支付的预付款）。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8.3 202</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年对复发互花米草除治工作全部完成后，经验收合格，于202</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年年底前，采购人收到发票后10个工作日内付至合同总价（中标价）的80%（包括以前已支付的预付款、进度款）。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8.4 202</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年对复发互花米草除治工作全部完成，经验收合格，根据主管部门最终确认合格面积乘合同单价，计算并修正合同总价，按修正合同总价，于202</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年年底前采购人收到发票后10个工作日内，结清剩余费用。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说明：按以上进度付款，无任何利息补偿。本项目最终合同结算总价根据省相关部门最终确认合格面积乘合同单价。付款前，中标单位须开具税务部门认可的增值税发票。 </w:t>
      </w:r>
      <w:r/>
    </w:p>
    <w:p>
      <w:pPr>
        <w:pStyle w:val="861"/>
        <w:ind w:firstLine="482"/>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color w:val="auto"/>
          <w:highlight w:val="none"/>
        </w:rPr>
        <w:outlineLvl w:val="0"/>
      </w:pPr>
      <w:r/>
      <w:bookmarkStart w:id="195" w:name="_Toc3581"/>
      <w:r/>
      <w:bookmarkStart w:id="196" w:name="_Toc19579"/>
      <w:r>
        <w:rPr>
          <w:rFonts w:hint="eastAsia" w:ascii="宋体" w:hAnsi="宋体" w:eastAsia="宋体" w:cs="宋体"/>
          <w:b/>
          <w:color w:val="auto"/>
          <w:highlight w:val="none"/>
        </w:rPr>
        <w:t xml:space="preserve">九、税费</w:t>
      </w:r>
      <w:bookmarkEnd w:id="195"/>
      <w:r/>
      <w:bookmarkEnd w:id="196"/>
      <w:r/>
      <w:r/>
    </w:p>
    <w:p>
      <w:pPr>
        <w:pStyle w:val="861"/>
        <w:ind w:firstLine="480"/>
        <w:jc w:val="both"/>
        <w:keepLines w:val="0"/>
        <w:keepNext w:val="0"/>
        <w:pageBreakBefore w:val="0"/>
        <w:spacing w:before="145" w:beforeAutospacing="0" w:after="145"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9.1本合同执行中相关的一切税费均由乙方负担。</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97" w:name="_Toc20219"/>
      <w:r/>
      <w:bookmarkStart w:id="198" w:name="_Toc21268"/>
      <w:r>
        <w:rPr>
          <w:rFonts w:hint="eastAsia" w:ascii="宋体" w:hAnsi="宋体" w:eastAsia="宋体" w:cs="宋体"/>
          <w:b/>
          <w:color w:val="000000"/>
          <w:highlight w:val="none"/>
        </w:rPr>
        <w:t xml:space="preserve">十、项目验收</w:t>
      </w:r>
      <w:bookmarkEnd w:id="197"/>
      <w:r/>
      <w:bookmarkEnd w:id="198"/>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10.1 甲方依法组织履约验收工作。</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10.3 对于实际使用人和甲方分离的项目，甲方邀请实际使用人参与验收。</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10.4 如有必要，甲方邀请参加本项目的其他供应商或第三方专业机构及专家参与验收，相关意见将作为验收书的参考资料。</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199" w:name="_Toc7095"/>
      <w:r/>
      <w:bookmarkStart w:id="200" w:name="_Toc31245"/>
      <w:r>
        <w:rPr>
          <w:rFonts w:hint="eastAsia" w:ascii="宋体" w:hAnsi="宋体" w:eastAsia="宋体" w:cs="宋体"/>
          <w:b/>
          <w:color w:val="000000"/>
          <w:highlight w:val="none"/>
        </w:rPr>
        <w:t xml:space="preserve">十一、违约责任</w:t>
      </w:r>
      <w:bookmarkEnd w:id="199"/>
      <w:r/>
      <w:bookmarkEnd w:id="200"/>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000000"/>
          <w:highlight w:val="none"/>
        </w:rPr>
        <w:t xml:space="preserve">11.1 甲方无正当理由拒绝接</w:t>
      </w:r>
      <w:r>
        <w:rPr>
          <w:rFonts w:hint="eastAsia" w:ascii="宋体" w:hAnsi="宋体" w:eastAsia="宋体" w:cs="宋体"/>
          <w:color w:val="auto"/>
          <w:highlight w:val="none"/>
        </w:rPr>
        <w:t xml:space="preserve">受乙方提供合同标的的，甲方向乙方偿付拒绝接受合同价款总值</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 甲方无故逾期验收和办理合同款项支付手续的,甲方应按逾期付款总额</w:t>
      </w:r>
      <w:r>
        <w:rPr>
          <w:rFonts w:hint="eastAsia" w:ascii="宋体" w:hAnsi="宋体" w:cs="宋体"/>
          <w:color w:val="auto"/>
          <w:highlight w:val="none"/>
          <w:u w:val="single"/>
          <w:lang w:val="en-US" w:eastAsia="zh-CN"/>
        </w:rPr>
        <w:t xml:space="preserve">万分之一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auto"/>
          <w:highlight w:val="none"/>
        </w:rPr>
        <w:t xml:space="preserve">11.3 乙方逾期交付合同标的的，乙方应按逾期交付</w:t>
      </w:r>
      <w:r>
        <w:rPr>
          <w:rFonts w:hint="eastAsia" w:ascii="宋体" w:hAnsi="宋体" w:eastAsia="宋体" w:cs="宋体"/>
          <w:color w:val="000000"/>
          <w:highlight w:val="none"/>
        </w:rPr>
        <w:t xml:space="preserve">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支付合同价款总额</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10%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的违约金，如造成甲方损失超过违约金的，超出部分由乙方继续承担赔偿责任。 </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乙方交付合同标的的标准不符合合同规定及</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文件规定标准的，甲方有权拒绝接受合同标的，并可单方面解除合同。</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201" w:name="_Toc6326"/>
      <w:r/>
      <w:bookmarkStart w:id="202" w:name="_Toc3494"/>
      <w:r>
        <w:rPr>
          <w:rFonts w:hint="eastAsia" w:ascii="宋体" w:hAnsi="宋体" w:eastAsia="宋体" w:cs="宋体"/>
          <w:b/>
          <w:color w:val="000000"/>
          <w:highlight w:val="none"/>
        </w:rPr>
        <w:t xml:space="preserve">十二、不可抗力事件处理</w:t>
      </w:r>
      <w:bookmarkEnd w:id="201"/>
      <w:r/>
      <w:bookmarkEnd w:id="202"/>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12.1 在合同有效期内，任何一方因不可抗力事件导致不能履行合同，则合同履行期可延长，其延长期与不可抗力影响 期相同。</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12.2 不可抗力事件发生后，应立即通知对方，并寄送有关权威机构出具的证明。</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12.3 不可抗力事件延续120天以上，双方应通过友好协商，确定是否继续履行合同。</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203" w:name="_Toc6257"/>
      <w:r/>
      <w:bookmarkStart w:id="204" w:name="_Toc14237"/>
      <w:r>
        <w:rPr>
          <w:rFonts w:hint="eastAsia" w:ascii="宋体" w:hAnsi="宋体" w:eastAsia="宋体" w:cs="宋体"/>
          <w:b/>
          <w:color w:val="000000"/>
          <w:highlight w:val="none"/>
        </w:rPr>
        <w:t xml:space="preserve">十三、解决争议的方法</w:t>
      </w:r>
      <w:bookmarkEnd w:id="203"/>
      <w:r/>
      <w:bookmarkEnd w:id="204"/>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13.1双方在签订、履行合同中所发生的一切争议，应通过友好协商解决。如协商不成，由甲方住所地人民法院管辖。</w:t>
      </w:r>
      <w:r/>
    </w:p>
    <w:p>
      <w:pPr>
        <w:pStyle w:val="861"/>
        <w:ind w:firstLine="482"/>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outlineLvl w:val="0"/>
      </w:pPr>
      <w:r/>
      <w:bookmarkStart w:id="205" w:name="_Toc714"/>
      <w:r/>
      <w:bookmarkStart w:id="206" w:name="_Toc25055"/>
      <w:r>
        <w:rPr>
          <w:rFonts w:hint="eastAsia" w:ascii="宋体" w:hAnsi="宋体" w:eastAsia="宋体" w:cs="宋体"/>
          <w:b/>
          <w:color w:val="000000"/>
          <w:highlight w:val="none"/>
        </w:rPr>
        <w:t xml:space="preserve">十四、合同生效及其它</w:t>
      </w:r>
      <w:bookmarkEnd w:id="205"/>
      <w:r/>
      <w:bookmarkEnd w:id="206"/>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14.1 合同经双方法定代表人或授权委托代表人签字并加盖单位公章后生效。</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14.2本合同未尽事宜，遵照《民法典》、《政府采购法》有关条文执行。</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14.3 本合同正本一式</w:t>
      </w:r>
      <w:r>
        <w:rPr>
          <w:rFonts w:hint="eastAsia" w:ascii="宋体" w:hAnsi="宋体" w:eastAsia="宋体" w:cs="宋体"/>
          <w:color w:val="000000"/>
          <w:highlight w:val="none"/>
          <w:lang w:eastAsia="zh-CN"/>
        </w:rPr>
        <w:t xml:space="preserve">三</w:t>
      </w:r>
      <w:r>
        <w:rPr>
          <w:rFonts w:hint="eastAsia" w:ascii="宋体" w:hAnsi="宋体" w:eastAsia="宋体" w:cs="宋体"/>
          <w:color w:val="000000"/>
          <w:highlight w:val="none"/>
        </w:rPr>
        <w:t xml:space="preserve">份，具有同等法律效力，甲方、乙方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采购代理机构</w:t>
      </w:r>
      <w:r>
        <w:rPr>
          <w:rFonts w:hint="eastAsia" w:ascii="宋体" w:hAnsi="宋体" w:eastAsia="宋体" w:cs="宋体"/>
          <w:color w:val="000000"/>
          <w:highlight w:val="none"/>
        </w:rPr>
        <w:t xml:space="preserve">各执一份。</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甲方：                        乙方： </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地址：                        地址： </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法定代表人或授权代表：        法定代表人或授权代表：</w:t>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keepLines w:val="0"/>
        <w:keepNext w:val="0"/>
        <w:pageBreakBefore w:val="0"/>
        <w:spacing w:before="120" w:beforeAutospacing="0" w:after="12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联系电话：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联系电话：          </w:t>
      </w:r>
      <w:r/>
    </w:p>
    <w:p>
      <w:pPr>
        <w:pStyle w:val="861"/>
        <w:ind w:firstLine="420"/>
        <w:jc w:val="righ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p>
    <w:p>
      <w:pPr>
        <w:pStyle w:val="861"/>
        <w:ind w:firstLine="420"/>
        <w:jc w:val="right"/>
        <w:keepLines w:val="0"/>
        <w:keepNext w:val="0"/>
        <w:pageBreakBefore w:val="0"/>
        <w:spacing w:beforeAutospacing="0" w:afterAutospacing="0" w:line="360" w:lineRule="auto"/>
        <w:shd w:val="clear" w:color="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61"/>
        <w:ind w:firstLine="420"/>
        <w:jc w:val="right"/>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sz w:val="21"/>
          <w:szCs w:val="21"/>
          <w:highlight w:val="none"/>
        </w:rPr>
        <w:t xml:space="preserve">签订日期：   年    月   日</w:t>
      </w:r>
      <w:r/>
    </w:p>
    <w:p>
      <w:pPr>
        <w:pStyle w:val="861"/>
        <w:jc w:val="center"/>
        <w:keepNext/>
        <w:spacing w:beforeAutospacing="0" w:afterAutospacing="0" w:line="360" w:lineRule="auto"/>
        <w:shd w:val="clear" w:color="auto"/>
        <w:rPr>
          <w:rFonts w:hint="eastAsia" w:ascii="宋体" w:hAnsi="宋体" w:eastAsia="宋体" w:cs="宋体"/>
          <w:b/>
          <w:bCs/>
          <w:color w:val="000000"/>
          <w:sz w:val="40"/>
          <w:szCs w:val="40"/>
          <w:highlight w:val="none"/>
        </w:rPr>
        <w:outlineLvl w:val="0"/>
      </w:pPr>
      <w:r/>
      <w:bookmarkStart w:id="207" w:name="_Toc479757211"/>
      <w:r/>
      <w:bookmarkStart w:id="208" w:name="_Toc20823346"/>
      <w:r/>
      <w:bookmarkStart w:id="209" w:name="_Toc120614244"/>
      <w:r/>
      <w:bookmarkStart w:id="210" w:name="_Toc462564139"/>
      <w:r/>
      <w:bookmarkStart w:id="211" w:name="_Toc16938590"/>
      <w:r/>
      <w:bookmarkStart w:id="212" w:name="_Hlt16619350"/>
      <w:r/>
      <w:bookmarkStart w:id="213" w:name="_Hlt16619369"/>
      <w:r>
        <w:rPr>
          <w:rFonts w:hint="eastAsia" w:ascii="宋体" w:hAnsi="宋体" w:eastAsia="宋体" w:cs="宋体"/>
          <w:color w:val="000000"/>
          <w:sz w:val="44"/>
          <w:szCs w:val="44"/>
          <w:highlight w:val="none"/>
        </w:rPr>
        <w:br w:type="page" w:clear="all"/>
      </w:r>
      <w:bookmarkStart w:id="214" w:name="_Toc24083"/>
      <w:r>
        <w:rPr>
          <w:rFonts w:hint="eastAsia" w:ascii="宋体" w:hAnsi="宋体" w:eastAsia="宋体" w:cs="宋体"/>
          <w:b/>
          <w:bCs/>
          <w:color w:val="000000"/>
          <w:sz w:val="40"/>
          <w:szCs w:val="40"/>
          <w:highlight w:val="none"/>
        </w:rPr>
        <w:t xml:space="preserve"> 第</w:t>
      </w:r>
      <w:bookmarkEnd w:id="207"/>
      <w:r>
        <w:rPr>
          <w:rFonts w:hint="eastAsia" w:ascii="宋体" w:hAnsi="宋体" w:eastAsia="宋体" w:cs="宋体"/>
          <w:b/>
          <w:bCs/>
          <w:color w:val="000000"/>
          <w:sz w:val="40"/>
          <w:szCs w:val="40"/>
          <w:highlight w:val="none"/>
        </w:rPr>
        <w:t xml:space="preserve">四章 采购需求</w:t>
      </w:r>
      <w:bookmarkEnd w:id="208"/>
      <w:r/>
      <w:bookmarkEnd w:id="209"/>
      <w:r/>
      <w:bookmarkEnd w:id="210"/>
      <w:r/>
      <w:bookmarkEnd w:id="211"/>
      <w:r/>
      <w:bookmarkEnd w:id="214"/>
      <w:r/>
      <w:bookmarkStart w:id="215" w:name="_Toc26554093"/>
      <w:r/>
      <w:bookmarkEnd w:id="215"/>
      <w:r/>
      <w:bookmarkStart w:id="216" w:name="_Toc49090575"/>
      <w:r/>
      <w:bookmarkEnd w:id="216"/>
      <w:r/>
      <w:r/>
    </w:p>
    <w:p>
      <w:pPr>
        <w:pStyle w:val="861"/>
        <w:jc w:val="both"/>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本项目为服务类项目</w:t>
      </w:r>
      <w:r/>
    </w:p>
    <w:p>
      <w:pPr>
        <w:pStyle w:val="870"/>
        <w:ind w:firstLine="56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一、项目概况</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1、预算总价：</w:t>
      </w:r>
      <w:r>
        <w:rPr>
          <w:rFonts w:hint="eastAsia" w:ascii="宋体" w:hAnsi="宋体" w:cs="宋体"/>
          <w:color w:val="000000"/>
          <w:sz w:val="24"/>
          <w:szCs w:val="24"/>
          <w:highlight w:val="none"/>
          <w:lang w:val="en-US" w:eastAsia="zh-CN" w:bidi="ar-SA"/>
        </w:rPr>
        <w:t xml:space="preserve">170</w:t>
      </w:r>
      <w:r>
        <w:rPr>
          <w:rFonts w:hint="eastAsia" w:ascii="宋体" w:hAnsi="宋体" w:eastAsia="宋体" w:cs="宋体"/>
          <w:color w:val="000000"/>
          <w:sz w:val="24"/>
          <w:szCs w:val="24"/>
          <w:highlight w:val="none"/>
          <w:lang w:val="en-US" w:eastAsia="zh-CN" w:bidi="ar-SA"/>
        </w:rPr>
        <w:t xml:space="preserve">万元。</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最高限价：1150元/亩，报价超过最高限价的将作为无效响应处理。</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2、互花米草治理专项行动，202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年射阳河北片区互花米草治理面积约</w:t>
      </w:r>
      <w:r>
        <w:rPr>
          <w:rFonts w:hint="eastAsia" w:ascii="宋体" w:hAnsi="宋体" w:cs="宋体"/>
          <w:color w:val="000000"/>
          <w:sz w:val="24"/>
          <w:szCs w:val="24"/>
          <w:highlight w:val="none"/>
          <w:lang w:val="en-US" w:eastAsia="zh-CN" w:bidi="ar-SA"/>
        </w:rPr>
        <w:t xml:space="preserve">1499.95</w:t>
      </w:r>
      <w:r>
        <w:rPr>
          <w:rFonts w:hint="eastAsia" w:ascii="宋体" w:hAnsi="宋体" w:eastAsia="宋体" w:cs="宋体"/>
          <w:color w:val="000000"/>
          <w:sz w:val="24"/>
          <w:szCs w:val="24"/>
          <w:highlight w:val="none"/>
          <w:lang w:val="en-US" w:eastAsia="zh-CN" w:bidi="ar-SA"/>
        </w:rPr>
        <w:t xml:space="preserve">亩。</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3、实施范围：沿海滩涂（南至射阳河，北至苏北灌溉总渠）。</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4、互花米草除治总面积：约</w:t>
      </w:r>
      <w:r>
        <w:rPr>
          <w:rFonts w:hint="eastAsia" w:ascii="宋体" w:hAnsi="宋体" w:cs="宋体"/>
          <w:color w:val="000000"/>
          <w:sz w:val="24"/>
          <w:szCs w:val="24"/>
          <w:highlight w:val="none"/>
          <w:lang w:val="en-US" w:eastAsia="zh-CN" w:bidi="ar-SA"/>
        </w:rPr>
        <w:t xml:space="preserve">1499.95</w:t>
      </w:r>
      <w:r>
        <w:rPr>
          <w:rFonts w:hint="eastAsia" w:ascii="宋体" w:hAnsi="宋体" w:eastAsia="宋体" w:cs="宋体"/>
          <w:color w:val="000000"/>
          <w:sz w:val="24"/>
          <w:szCs w:val="24"/>
          <w:highlight w:val="none"/>
          <w:lang w:val="en-US" w:eastAsia="zh-CN" w:bidi="ar-SA"/>
        </w:rPr>
        <w:t xml:space="preserve">亩（详见图）。</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其中：</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（1）合同签订后30日内完成药剂喷洒工作，确保202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年10月底前除治范围内的互花米草全部死亡，经检查验收合格；</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年8月底前，完成对复发互花米草的除治（药剂喷洒）工作，确保药剂喷洒完成后除治范围内复发的互花米草全部死亡，经检查验收合格；</w:t>
      </w:r>
      <w:r/>
    </w:p>
    <w:p>
      <w:pPr>
        <w:ind w:firstLine="6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（3）202</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年6月底前，完成对再次复发互花米草的除治（药剂喷洒）工作，确保药剂喷洒完成后除治范围内复发的互花米草全部死亡，经检查验收合格；</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备注：采购标的需执行的国家相关标准、行业标准、地方标准或者其他标准、规范：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1.《中国湿地保护行动计划》（2000年）；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2.《全国湿地保护工程规划》（2002-2030年）；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3.《互花米草生态控制技术规范》（DB31/T 1243-2020）；</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4.《海洋监测技术规程第7部分：卫星遥感技术方法》（HY/T 147.7）（2013年5月）；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5.《海岸带生态系统现状调查与评估技术导则 第4部分：盐沼》（T/CAOE 20.4）（2020年5月）；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6.《自然资源部国家林业和草原局关于做好自然保护区范围及功能分区优化调整前期有关工作的函》【自然资函（2000 年）71 号】；</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7.《自然资源部办公厅水利部办公厅发展改革委办公厅财政部办公厅关于印发海岸带保护修复工程工作方案》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8.《滨海湿地生态监测技术规程》（HY/T 080-2005）；</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9.《互花米草防治专项行动计划（2022-2025年）》（2022年12月）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10.《江苏省互花米草治理技术手册（第一版）》；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11.《江苏省互花米草防治攻坚战三年行动方案（2023—2025年）》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12.《江苏省林业局办公室关于印发江苏省互花米草治理任务验收办法（试行）的通知》（苏林办湿〔2024〕1号）；</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13.国家林业和草原局办公室关于印发《互花米草综合防治技术指南》的通知;</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14.其他相关的国家、行业、地方的技术标准、规程、规范。</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注：如上述标准及规范要求有出入则以较严格者为准，如标准、规范修改或更新的，则以修改或更新后的内容为准。</w:t>
      </w:r>
      <w:r/>
    </w:p>
    <w:p>
      <w:pPr>
        <w:ind w:firstLine="482"/>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二、服务内容要求：</w:t>
      </w:r>
      <w:r>
        <w:rPr>
          <w:rFonts w:hint="eastAsia" w:ascii="宋体" w:hAnsi="宋体" w:eastAsia="宋体" w:cs="宋体"/>
          <w:color w:val="000000"/>
          <w:sz w:val="24"/>
          <w:szCs w:val="24"/>
          <w:highlight w:val="none"/>
          <w:lang w:val="en-US" w:eastAsia="zh-CN" w:bidi="ar-SA"/>
        </w:rPr>
        <w:t xml:space="preserve">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核实确认辖区内互花米草的分布现状和数量等工作，从生态建设、环境提升的角度，进行划定区域互花米草治理作业。</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（一）治理技术措施：</w:t>
      </w:r>
      <w:r/>
    </w:p>
    <w:p>
      <w:pPr>
        <w:ind w:firstLine="480"/>
        <w:spacing w:line="360" w:lineRule="auto"/>
        <w:rPr>
          <w:rFonts w:hint="eastAsia" w:ascii="宋体" w:hAnsi="宋体" w:eastAsia="宋体" w:cs="宋体"/>
          <w:b/>
          <w:bCs/>
          <w:color w:val="c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1、采用无人机及其他合理方式喷洒，清除由互花米草种子繁殖的实生苗，以及从繁殖体片段上萌发的无性繁殖苗。</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2、若发现地块外有遗漏的个别株（丛）互花米草也应一并治理，不再增加治理费用。</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（二）作业要点</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1、治理阶段（具体以实际的时间为准）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相关部门部署方案统一行动，同步开展互花米草全面治理工作。应根据互花米草的生长环境、地质及分布情况，因地制宜科学选用绿色安全生物制剂治理方法，要根据本地互花米草生物学特性、生长规律、潮汐规律，抓住种子成熟前的治理有利时机，科学安排无人机与合理方式进行治理等作业工序，提高治理成效。</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喷洒制剂：互花米草萌发至种子成熟前，采用无人机及其他合理方式对现存互花米草喷洒生物制剂，水量根据药剂配比合理安排。</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喷洒时机：选择适宜潮汐期，保证喷洒后光和作用时间超过2-3小时。</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喷洒剂量：选择对环境无影响的绿色环保药剂，对剂量严格把控。</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2、监管阶段（具体以实际验收的时间为准）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切实加强互花米草监视监测，建立长效监管机制，做好预防防范工作，巩固治理成果。</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（三）后继管护</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1、管护范围：以采购人指定划分区域为准。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落实管护责任，做好治理后至202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的管护工作，确保治理成效。治理区及周边邻近区域一旦发现互花米草，如出现零星发生的新发植株，应采用无人机或其他喷洒设备补喷，及时治理；如出现斑块状种群，应采安全绿色的药剂治理方法及时治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2、管护期：本项目管护期至202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年12月31日，如果管护期内管护区域内面积有做其他用途，该管护区域面积将不在计算当年管护费用，每年根据实际管护面积进行结算。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（四）档案管理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档案内容：主要包括治理方案，治理相关材料（包括合同、治理记录、进度报表、检查验收、工作总结等），以及联防联治、宣传培训等相关图片或影像资料等。档案管理：按照不同的内容，分类归集立卷，根据治理进度，及时更新归档。跨年度的档案，放在所针对的最新的年度归档。</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（五）检测要求：</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标后成交供应商即安排进场检测，由有资质的第三方机构按规范要求对生态环境影响进行检测并出具相应的检测报告。检测分三个阶段，一是施工前（中标后），二是施工中，三是施工结束后两个月内。采购人委托检测机构对中标人生态环境进行实时监测。</w:t>
      </w:r>
      <w:r/>
    </w:p>
    <w:p>
      <w:pPr>
        <w:numPr>
          <w:ilvl w:val="0"/>
          <w:numId w:val="1"/>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监测内容：调查范围内药剂残留情况(植物、沉积物、湖间带生物、海水动物)、生物多样性指标(潮间带生物、土壤微生物、鸟类，渔业资源、游生物)以及周边海域海洋环境指标(沉积物、海水)。</w:t>
      </w:r>
      <w:r/>
    </w:p>
    <w:p>
      <w:pPr>
        <w:numPr>
          <w:ilvl w:val="0"/>
          <w:numId w:val="1"/>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采购标的的验收标准：</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级自查。以省级林业主管部门已下达的所有互花米草治理任务清单为依据，市级林业主管部门负责组织互花米草治理任务完成情况全面自查。省级核查。在市级验收申请报告的基础上，省级林业主管部门负责组织全面实地核查，完成综合验收报告，并将验收结果通报全省。并提供相关治理资料（照片、影像、文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）采购标的的其他技术、服务等要求：</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1、在履约过程中，成交供应商不得转包和分包，一经发现，采购单位有权解除本合同，并且已完成的工程量不予结算，所造成的责任与损失均由成交供应商承担；</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在履约过程中，如果成交供应商出现以下行为，将记录其不良行为，报盐城市发改委信用办，同时三年内不得参与盐城市范围内政府采购交易活动：</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1.成交供应商转包和分包项目的；</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2.成交供应商不能按照合同约定的服务时间保质保量完成本项目的，且造成不良后果的；</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信用承诺：在治理互花米草过程中若有残余药物流失到环境中，将造成环境污染对生物造成危害或死亡等行为，由此所产生的一切责任及经济损失由中标单位负责，与采购单位无关。中标单位中标后除需跟采购单位签订合同外，还需签订相关责任承诺书。</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4.其他不良行为。</w:t>
      </w:r>
      <w:r/>
    </w:p>
    <w:p>
      <w:pPr>
        <w:pStyle w:val="866"/>
        <w:ind w:left="0"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三、合同履行期限及地点：</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合同履行期限：本项目自合同签订之日起至202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年12月31日止【治理期：1年；管护期：2年（至202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年12月31日止）】。</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地点：采购方指定地点。</w:t>
      </w:r>
      <w:r/>
    </w:p>
    <w:p>
      <w:p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四、付款方式: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2、首次除治工作全部完成后，经验收合格，于202</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年年底前，采购人收到发票后10个工作日内付至合同总价（中标价）的60%（包括以前已支付的预付款）。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3、202</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年对复发互花米草除治工作全部完成后，经验收合格，于202</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年年底前，采购人收到发票后10个工作日内付至合同总价（中标价）的80%（包括以前已支付的预付款、进度款）。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年对复发互花米草除治工作全部完成，经验收合格，根据主管部门最终确认合格面积乘合同单价，计算并修正合同总价，按修正合同总价，于202</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年年底前采购人收到发票后10个工作日内，结清剩余费用。 </w:t>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说明：按以上进度付款，无任何利息补偿。本项目最终合同结算总价根据省相关部门最终确认合格面积乘合同单价。付款前，中标单位须开具税务部门认可的增值税专用发票。 </w:t>
      </w:r>
      <w:r/>
    </w:p>
    <w:p>
      <w:p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五、采购标的对应的中小企业划分标准所属行业一览表</w:t>
      </w:r>
      <w:r/>
    </w:p>
    <w:tbl>
      <w:tblPr>
        <w:tblStyle w:val="847"/>
        <w:tblW w:w="875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3878"/>
        <w:gridCol w:w="3734"/>
      </w:tblGrid>
      <w:tr>
        <w:trPr>
          <w:jc w:val="center"/>
          <w:tblCellSpacing w:w="0" w:type="dxa"/>
          <w:trHeight w:val="645"/>
        </w:trPr>
        <w:tc>
          <w:tcPr>
            <w:shd w:val="clear" w:color="auto" w:fill="auto"/>
            <w:tcW w:w="1145"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shd w:val="clear" w:color="auto" w:fill="auto"/>
            <w:tcW w:w="3878"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采购标的</w:t>
            </w:r>
            <w:r/>
          </w:p>
        </w:tc>
        <w:tc>
          <w:tcPr>
            <w:shd w:val="clear" w:color="auto" w:fill="auto"/>
            <w:tcW w:w="3734"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对应中小企业划分标准所属行业</w:t>
            </w:r>
            <w:r/>
          </w:p>
        </w:tc>
      </w:tr>
      <w:tr>
        <w:trPr>
          <w:jc w:val="center"/>
          <w:tblCellSpacing w:w="0" w:type="dxa"/>
          <w:trHeight w:val="295"/>
        </w:trPr>
        <w:tc>
          <w:tcPr>
            <w:shd w:val="clear" w:color="auto" w:fill="auto"/>
            <w:tcW w:w="1145"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shd w:val="clear" w:color="auto" w:fill="auto"/>
            <w:tcW w:w="3878"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射阳县自然资源和规划局射阳县202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lang w:val="en-US" w:eastAsia="zh-CN"/>
              </w:rPr>
              <w:t xml:space="preserve">年射阳河北片区互花米草治理项目</w:t>
            </w:r>
            <w:r/>
          </w:p>
        </w:tc>
        <w:tc>
          <w:tcPr>
            <w:shd w:val="clear" w:color="auto" w:fill="auto"/>
            <w:tcW w:w="3734" w:type="dxa"/>
            <w:vAlign w:val="center"/>
            <w:textDirection w:val="lrTb"/>
            <w:noWrap w:val="false"/>
          </w:tcPr>
          <w:p>
            <w:pPr>
              <w:pStyle w:val="861"/>
              <w:jc w:val="center"/>
              <w:spacing w:beforeAutospacing="0" w:afterAutospacing="0" w:line="360" w:lineRule="auto"/>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其他未列明行业</w:t>
            </w:r>
            <w:r/>
          </w:p>
        </w:tc>
      </w:tr>
    </w:tbl>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sectPr>
          <w:footnotePr/>
          <w:endnotePr/>
          <w:type w:val="continuous"/>
          <w:pgSz w:w="11906" w:h="16838" w:orient="portrait"/>
          <w:pgMar w:top="1134" w:right="1134" w:bottom="1134" w:left="1134" w:header="851" w:footer="992" w:gutter="0"/>
          <w:cols w:num="1" w:sep="0" w:space="425" w:equalWidth="1"/>
          <w:docGrid w:linePitch="360"/>
        </w:sectPr>
        <w:outlineLvl w:val="9"/>
      </w:pPr>
      <w:r>
        <w:rPr>
          <w:rFonts w:hint="eastAsia" w:ascii="宋体" w:hAnsi="宋体" w:eastAsia="宋体" w:cs="宋体"/>
          <w:color w:val="000000"/>
          <w:sz w:val="24"/>
          <w:szCs w:val="24"/>
          <w:highlight w:val="none"/>
          <w:lang w:val="en-US" w:eastAsia="zh-CN" w:bidi="ar-SA"/>
        </w:rPr>
      </w:r>
      <w:r/>
    </w:p>
    <w:p>
      <w:pPr>
        <w:pStyle w:val="8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861"/>
        <w:ind w:firstLine="480"/>
        <w:jc w:val="center"/>
        <w:spacing w:beforeAutospacing="0" w:afterAutospacing="0" w:line="360" w:lineRule="auto"/>
        <w:shd w:val="clear" w:color="auto"/>
        <w:rPr>
          <w:rFonts w:hint="eastAsia" w:ascii="宋体" w:hAnsi="宋体" w:eastAsia="宋体" w:cs="宋体"/>
          <w:b/>
          <w:bCs/>
          <w:color w:val="000000"/>
          <w:sz w:val="40"/>
          <w:szCs w:val="40"/>
          <w:highlight w:val="none"/>
        </w:rPr>
      </w:pPr>
      <w:r/>
      <w:bookmarkStart w:id="217" w:name="_Toc14443"/>
      <w:r/>
      <w:bookmarkStart w:id="218" w:name="_Toc120614281"/>
      <w:r>
        <w:rPr>
          <w:rFonts w:hint="eastAsia" w:ascii="宋体" w:hAnsi="宋体" w:eastAsia="宋体" w:cs="宋体"/>
          <w:b/>
          <w:bCs/>
          <w:color w:val="000000"/>
          <w:sz w:val="40"/>
          <w:szCs w:val="40"/>
          <w:highlight w:val="none"/>
        </w:rPr>
        <w:t xml:space="preserve">第五章  响应文件格式</w:t>
      </w:r>
      <w:bookmarkEnd w:id="217"/>
      <w:r/>
      <w:r/>
    </w:p>
    <w:p>
      <w:pPr>
        <w:pStyle w:val="861"/>
        <w:jc w:val="center"/>
        <w:spacing w:beforeAutospacing="0" w:afterAutospacing="0"/>
        <w:shd w:val="clear" w:color="auto"/>
        <w:rPr>
          <w:rFonts w:hint="eastAsia" w:ascii="宋体" w:hAnsi="宋体" w:eastAsia="宋体" w:cs="宋体"/>
          <w:b/>
          <w:color w:val="000000"/>
          <w:sz w:val="72"/>
          <w:szCs w:val="72"/>
          <w:highlight w:val="none"/>
        </w:rPr>
        <w:outlineLvl w:val="9"/>
      </w:pPr>
      <w:r/>
      <w:bookmarkStart w:id="219" w:name="_Toc120614282"/>
      <w:r/>
      <w:bookmarkEnd w:id="219"/>
      <w:r/>
      <w:bookmarkStart w:id="220" w:name="_Toc49090576"/>
      <w:r/>
      <w:bookmarkEnd w:id="220"/>
      <w:r/>
      <w:bookmarkStart w:id="221" w:name="_Hlt26955039"/>
      <w:r/>
      <w:bookmarkStart w:id="222" w:name="_Toc26554094"/>
      <w:r/>
      <w:bookmarkStart w:id="223" w:name="_Hlt26671244"/>
      <w:r/>
      <w:r/>
    </w:p>
    <w:p>
      <w:pPr>
        <w:pStyle w:val="861"/>
        <w:jc w:val="center"/>
        <w:spacing w:beforeAutospacing="0" w:afterAutospacing="0"/>
        <w:shd w:val="clear" w:color="auto"/>
        <w:rPr>
          <w:rFonts w:hint="eastAsia" w:ascii="宋体" w:hAnsi="宋体" w:eastAsia="宋体" w:cs="宋体"/>
          <w:b/>
          <w:color w:val="000000"/>
          <w:sz w:val="72"/>
          <w:szCs w:val="72"/>
          <w:highlight w:val="none"/>
        </w:rPr>
        <w:outlineLvl w:val="9"/>
      </w:pPr>
      <w:r>
        <w:rPr>
          <w:rFonts w:hint="eastAsia" w:ascii="宋体" w:hAnsi="宋体" w:eastAsia="宋体" w:cs="宋体"/>
          <w:b/>
          <w:color w:val="000000"/>
          <w:sz w:val="72"/>
          <w:szCs w:val="72"/>
          <w:highlight w:val="none"/>
        </w:rPr>
      </w:r>
      <w:r/>
    </w:p>
    <w:p>
      <w:pPr>
        <w:pStyle w:val="861"/>
        <w:jc w:val="center"/>
        <w:spacing w:beforeAutospacing="0" w:afterAutospacing="0"/>
        <w:shd w:val="clear" w:color="auto"/>
        <w:rPr>
          <w:rFonts w:hint="eastAsia" w:ascii="宋体" w:hAnsi="宋体" w:eastAsia="宋体" w:cs="宋体"/>
          <w:b/>
          <w:color w:val="000000"/>
          <w:sz w:val="72"/>
          <w:szCs w:val="72"/>
          <w:highlight w:val="none"/>
        </w:rPr>
        <w:outlineLvl w:val="9"/>
      </w:pPr>
      <w:r>
        <w:rPr>
          <w:rFonts w:hint="eastAsia" w:ascii="宋体" w:hAnsi="宋体" w:eastAsia="宋体" w:cs="宋体"/>
          <w:b/>
          <w:color w:val="000000"/>
          <w:sz w:val="72"/>
          <w:szCs w:val="72"/>
          <w:highlight w:val="none"/>
        </w:rPr>
      </w:r>
      <w:r/>
    </w:p>
    <w:p>
      <w:pPr>
        <w:pStyle w:val="861"/>
        <w:jc w:val="center"/>
        <w:spacing w:beforeAutospacing="0" w:afterAutospacing="0"/>
        <w:shd w:val="clear" w:color="auto"/>
        <w:rPr>
          <w:rFonts w:hint="eastAsia" w:ascii="宋体" w:hAnsi="宋体" w:eastAsia="宋体" w:cs="宋体"/>
          <w:highlight w:val="none"/>
        </w:rPr>
        <w:outlineLvl w:val="0"/>
      </w:pPr>
      <w:r/>
      <w:bookmarkStart w:id="224" w:name="_Toc29504"/>
      <w:r/>
      <w:bookmarkStart w:id="225" w:name="_Toc14317"/>
      <w:r>
        <w:rPr>
          <w:rFonts w:hint="eastAsia" w:ascii="宋体" w:hAnsi="宋体" w:eastAsia="宋体" w:cs="宋体"/>
          <w:b/>
          <w:color w:val="000000"/>
          <w:sz w:val="72"/>
          <w:szCs w:val="72"/>
          <w:highlight w:val="none"/>
        </w:rPr>
        <w:t xml:space="preserve">响  应  文  件</w:t>
      </w:r>
      <w:bookmarkEnd w:id="224"/>
      <w:r/>
      <w:bookmarkEnd w:id="225"/>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1084"/>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1"/>
        <w:ind w:firstLine="1084"/>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采 购 编 号：</w:t>
      </w:r>
      <w:r>
        <w:rPr>
          <w:rFonts w:hint="eastAsia" w:ascii="宋体" w:hAnsi="宋体" w:eastAsia="宋体" w:cs="宋体"/>
          <w:b/>
          <w:color w:val="000000"/>
          <w:sz w:val="36"/>
          <w:szCs w:val="36"/>
          <w:highlight w:val="none"/>
          <w:u w:val="single"/>
        </w:rPr>
        <w:t xml:space="preserve">            </w:t>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   </w:t>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jc w:val="both"/>
        <w:spacing w:beforeAutospacing="0" w:afterAutospacing="0"/>
        <w:shd w:val="clear" w:color="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61"/>
        <w:ind w:firstLine="1084"/>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供应商名称 ：</w:t>
      </w:r>
      <w:r>
        <w:rPr>
          <w:rFonts w:hint="eastAsia" w:ascii="宋体" w:hAnsi="宋体" w:eastAsia="宋体" w:cs="宋体"/>
          <w:b/>
          <w:color w:val="000000"/>
          <w:sz w:val="36"/>
          <w:szCs w:val="36"/>
          <w:highlight w:val="none"/>
          <w:u w:val="single"/>
        </w:rPr>
        <w:t xml:space="preserve">（加盖CA电子公章）</w:t>
      </w:r>
      <w:r/>
    </w:p>
    <w:p>
      <w:pPr>
        <w:pStyle w:val="861"/>
        <w:jc w:val="both"/>
        <w:spacing w:beforeAutospacing="0" w:afterAutospacing="0"/>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1"/>
        <w:jc w:val="both"/>
        <w:spacing w:beforeAutospacing="0" w:afterAutospacing="0"/>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61"/>
        <w:jc w:val="both"/>
        <w:spacing w:beforeAutospacing="0" w:afterAutospacing="0"/>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61"/>
        <w:jc w:val="center"/>
        <w:spacing w:beforeAutospacing="0" w:afterAutospacing="0" w:line="0" w:lineRule="atLeast"/>
        <w:shd w:val="clear" w:color="auto"/>
        <w:rPr>
          <w:rFonts w:hint="eastAsia" w:ascii="宋体" w:hAnsi="宋体" w:eastAsia="宋体" w:cs="宋体"/>
          <w:b/>
          <w:color w:val="000000"/>
          <w:sz w:val="32"/>
          <w:szCs w:val="32"/>
          <w:highlight w:val="none"/>
        </w:rPr>
      </w:pPr>
      <w:r>
        <w:rPr>
          <w:rFonts w:hint="eastAsia" w:ascii="宋体" w:hAnsi="宋体" w:eastAsia="宋体" w:cs="宋体"/>
          <w:highlight w:val="none"/>
        </w:rPr>
        <w:t xml:space="preserve">  </w:t>
      </w:r>
      <w:r/>
    </w:p>
    <w:p>
      <w:pPr>
        <w:pStyle w:val="861"/>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响应文件目录</w:t>
      </w:r>
      <w:r/>
    </w:p>
    <w:p>
      <w:pPr>
        <w:pStyle w:val="861"/>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numPr>
          <w:ilvl w:val="0"/>
          <w:numId w:val="2"/>
        </w:numPr>
        <w:ind w:firstLine="482"/>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法人或者其他组织的营业执照等证明文件，自然人的身份证明；</w:t>
      </w:r>
      <w:r/>
    </w:p>
    <w:p>
      <w:pPr>
        <w:numPr>
          <w:ilvl w:val="0"/>
          <w:numId w:val="0"/>
        </w:numPr>
        <w:ind w:firstLine="480"/>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二、上一年度的财务状况报表（至少提供资产负债表、利润表、现金流量表，协商供应商成立不满一年无需提供）； </w:t>
      </w:r>
      <w:r/>
    </w:p>
    <w:p>
      <w:pPr>
        <w:ind w:firstLine="482"/>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三、依法缴纳税收和社会保障资金的相关材料；</w:t>
      </w:r>
      <w:r/>
    </w:p>
    <w:p>
      <w:pPr>
        <w:ind w:firstLine="482"/>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四、具备履行合同所必需的设备和专业技术能力的证明材料；</w:t>
      </w:r>
      <w:r/>
    </w:p>
    <w:p>
      <w:pPr>
        <w:ind w:firstLine="482"/>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五、参加政府采购活动前3年内，在经营活动中没有重大违法记录的书面声明；</w:t>
      </w:r>
      <w:r/>
    </w:p>
    <w:p>
      <w:pPr>
        <w:ind w:firstLine="482"/>
        <w:keepLines w:val="0"/>
        <w:keepNext w:val="0"/>
        <w:pageBreakBefore w:val="0"/>
        <w:spacing w:line="560" w:lineRule="exact"/>
        <w:shd w:val="clear" w:color="auto"/>
        <w:widowControl w:val="off"/>
        <w:rPr>
          <w:rFonts w:hint="eastAsia" w:ascii="宋体" w:hAnsi="宋体" w:eastAsia="宋体" w:cs="宋体"/>
          <w:i w:val="0"/>
          <w:iCs/>
          <w:color w:val="000000"/>
          <w:sz w:val="24"/>
          <w:szCs w:val="21"/>
          <w:highlight w:val="none"/>
          <w:u w:val="none"/>
          <w:lang w:val="en-US" w:eastAsia="zh-CN"/>
        </w:rPr>
        <w:outlineLvl w:val="9"/>
      </w:pPr>
      <w:r>
        <w:rPr>
          <w:rFonts w:hint="eastAsia" w:ascii="宋体" w:hAnsi="宋体" w:eastAsia="宋体" w:cs="宋体"/>
          <w:i w:val="0"/>
          <w:iCs/>
          <w:color w:val="000000"/>
          <w:sz w:val="24"/>
          <w:szCs w:val="21"/>
          <w:highlight w:val="none"/>
          <w:u w:val="none"/>
          <w:lang w:val="en-US" w:eastAsia="zh-CN"/>
        </w:rPr>
        <w:t xml:space="preserve">六、法律、行政法规规定的其他条件的证明材料。</w:t>
      </w:r>
      <w:r/>
    </w:p>
    <w:p>
      <w:pPr>
        <w:ind w:firstLine="482"/>
        <w:keepLines w:val="0"/>
        <w:keepNext w:val="0"/>
        <w:pageBreakBefore w:val="0"/>
        <w:spacing w:line="560" w:lineRule="exact"/>
        <w:shd w:val="clear" w:color="auto"/>
        <w:widowControl w:val="off"/>
        <w:rPr>
          <w:rFonts w:hint="eastAsia" w:ascii="宋体" w:hAnsi="宋体" w:eastAsia="宋体" w:cs="宋体"/>
          <w:i/>
          <w:iCs w:val="0"/>
          <w:color w:val="000000"/>
          <w:sz w:val="24"/>
          <w:szCs w:val="21"/>
          <w:highlight w:val="none"/>
          <w:u w:val="single"/>
          <w:lang w:val="en-US" w:eastAsia="zh-CN"/>
        </w:rPr>
      </w:pPr>
      <w:r>
        <w:rPr>
          <w:rFonts w:hint="eastAsia" w:ascii="宋体" w:hAnsi="宋体" w:eastAsia="宋体" w:cs="宋体"/>
          <w:i/>
          <w:iCs w:val="0"/>
          <w:color w:val="000000"/>
          <w:sz w:val="24"/>
          <w:szCs w:val="21"/>
          <w:highlight w:val="none"/>
          <w:u w:val="single"/>
          <w:lang w:val="en-US" w:eastAsia="zh-CN"/>
        </w:rPr>
        <w:t xml:space="preserve">七、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八</w:t>
      </w:r>
      <w:r>
        <w:rPr>
          <w:rFonts w:hint="eastAsia" w:ascii="宋体" w:hAnsi="宋体" w:eastAsia="宋体" w:cs="宋体"/>
          <w:i/>
          <w:color w:val="000000"/>
          <w:highlight w:val="none"/>
          <w:u w:val="single"/>
        </w:rPr>
        <w:t xml:space="preserve">、特定资格要求的证明文件（如果本项目设置特定资格要求，则需要提供）</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highlight w:val="none"/>
          <w:lang w:val="en-US" w:eastAsia="zh-CN"/>
        </w:rPr>
      </w:pPr>
      <w:r>
        <w:rPr>
          <w:rFonts w:hint="eastAsia" w:ascii="宋体" w:hAnsi="宋体" w:eastAsia="宋体" w:cs="宋体"/>
          <w:i/>
          <w:color w:val="000000"/>
          <w:highlight w:val="none"/>
          <w:u w:val="single"/>
          <w:lang w:val="en-US" w:eastAsia="zh-CN"/>
        </w:rPr>
        <w:t xml:space="preserve">九</w:t>
      </w:r>
      <w:r>
        <w:rPr>
          <w:rFonts w:hint="eastAsia" w:ascii="宋体" w:hAnsi="宋体" w:eastAsia="宋体" w:cs="宋体"/>
          <w:i/>
          <w:color w:val="000000"/>
          <w:highlight w:val="none"/>
          <w:u w:val="single"/>
        </w:rPr>
        <w:t xml:space="preserve">、法人授权书</w:t>
      </w:r>
      <w:r>
        <w:rPr>
          <w:rFonts w:hint="eastAsia" w:ascii="宋体" w:hAnsi="宋体" w:cs="宋体"/>
          <w:i/>
          <w:color w:val="000000"/>
          <w:highlight w:val="none"/>
          <w:u w:val="single"/>
          <w:lang w:val="en-US" w:eastAsia="zh-CN"/>
        </w:rPr>
        <w:t xml:space="preserve">或法定代表人（单位负责人）身份证明</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十</w:t>
      </w:r>
      <w:r>
        <w:rPr>
          <w:rFonts w:hint="eastAsia" w:ascii="宋体" w:hAnsi="宋体" w:eastAsia="宋体" w:cs="宋体"/>
          <w:i/>
          <w:color w:val="000000"/>
          <w:highlight w:val="none"/>
          <w:u w:val="single"/>
        </w:rPr>
        <w:t xml:space="preserve">、单一来源响应函</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十</w:t>
      </w:r>
      <w:r>
        <w:rPr>
          <w:rFonts w:hint="eastAsia" w:ascii="宋体" w:hAnsi="宋体" w:cs="宋体"/>
          <w:i/>
          <w:color w:val="000000"/>
          <w:highlight w:val="none"/>
          <w:u w:val="single"/>
          <w:lang w:val="en-US" w:eastAsia="zh-CN"/>
        </w:rPr>
        <w:t xml:space="preserve">二</w:t>
      </w:r>
      <w:r>
        <w:rPr>
          <w:rFonts w:hint="eastAsia" w:ascii="宋体" w:hAnsi="宋体" w:eastAsia="宋体" w:cs="宋体"/>
          <w:i/>
          <w:color w:val="000000"/>
          <w:highlight w:val="none"/>
          <w:u w:val="single"/>
          <w:lang w:val="en-US" w:eastAsia="zh-CN"/>
        </w:rPr>
        <w:t xml:space="preserve">、</w:t>
      </w:r>
      <w:r>
        <w:rPr>
          <w:rFonts w:hint="eastAsia" w:ascii="宋体" w:hAnsi="宋体" w:eastAsia="宋体" w:cs="宋体"/>
          <w:i/>
          <w:color w:val="000000"/>
          <w:highlight w:val="none"/>
          <w:u w:val="single"/>
        </w:rPr>
        <w:t xml:space="preserve">符合性检查响应对照表</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w:t>
      </w:r>
      <w:r>
        <w:rPr>
          <w:rFonts w:hint="eastAsia" w:ascii="宋体" w:hAnsi="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lang w:val="en-US" w:eastAsia="zh-CN"/>
        </w:rPr>
        <w:t xml:space="preserve">、开标一览表（格式）</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w:t>
      </w:r>
      <w:r>
        <w:rPr>
          <w:rFonts w:hint="eastAsia" w:ascii="宋体" w:hAnsi="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lang w:val="en-US" w:eastAsia="zh-CN"/>
        </w:rPr>
        <w:t xml:space="preserve">、盐城市政府采购事前信用承诺书</w:t>
      </w:r>
      <w:r/>
    </w:p>
    <w:p>
      <w:pPr>
        <w:pStyle w:val="861"/>
        <w:ind w:firstLine="482"/>
        <w:jc w:val="both"/>
        <w:keepLines w:val="0"/>
        <w:keepNext w:val="0"/>
        <w:pageBreakBefore w:val="0"/>
        <w:spacing w:beforeAutospacing="0" w:afterAutospacing="0" w:line="560" w:lineRule="exact"/>
        <w:shd w:val="clear" w:color="auto"/>
        <w:widowControl w:val="off"/>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480"/>
        <w:jc w:val="both"/>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shd w:val="clear" w:color="auto"/>
        <w:rPr>
          <w:rFonts w:hint="eastAsia" w:ascii="宋体" w:hAnsi="宋体" w:eastAsia="宋体" w:cs="宋体"/>
          <w:color w:val="000000"/>
          <w:sz w:val="24"/>
          <w:szCs w:val="21"/>
          <w:highlight w:val="none"/>
        </w:rPr>
      </w:pPr>
      <w:r/>
      <w:bookmarkStart w:id="226" w:name="_Toc120614284"/>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二、上一年度的财务状况报表（至少提供资产负债表、利润表、现金流量表，协商供应商成立不满一年无需提供）</w:t>
      </w:r>
      <w:r/>
    </w:p>
    <w:p>
      <w:pPr>
        <w:shd w:val="clear" w:color="auto"/>
        <w:rPr>
          <w:rFonts w:hint="eastAsia" w:ascii="宋体" w:hAnsi="宋体" w:eastAsia="宋体" w:cs="宋体"/>
          <w:i/>
          <w:color w:val="000000"/>
          <w:sz w:val="32"/>
          <w:szCs w:val="32"/>
          <w:highlight w:val="none"/>
          <w:u w:val="single"/>
        </w:rPr>
        <w:outlineLvl w:val="0"/>
      </w:pPr>
      <w:r/>
      <w:bookmarkStart w:id="227" w:name="_Toc2350"/>
      <w:r/>
      <w:bookmarkStart w:id="228" w:name="_Toc31192"/>
      <w:r/>
      <w:bookmarkStart w:id="229" w:name="_Toc26381"/>
      <w:r>
        <w:rPr>
          <w:rFonts w:hint="eastAsia" w:ascii="宋体" w:hAnsi="宋体" w:eastAsia="宋体" w:cs="宋体"/>
          <w:i/>
          <w:color w:val="000000"/>
          <w:sz w:val="32"/>
          <w:szCs w:val="32"/>
          <w:highlight w:val="none"/>
          <w:u w:val="single"/>
        </w:rPr>
        <w:t xml:space="preserve">三、</w:t>
      </w:r>
      <w:bookmarkEnd w:id="227"/>
      <w:r>
        <w:rPr>
          <w:rFonts w:hint="eastAsia" w:ascii="宋体" w:hAnsi="宋体" w:eastAsia="宋体" w:cs="宋体"/>
          <w:i/>
          <w:color w:val="000000"/>
          <w:sz w:val="32"/>
          <w:szCs w:val="32"/>
          <w:highlight w:val="none"/>
          <w:u w:val="single"/>
        </w:rPr>
        <w:t xml:space="preserve">依法缴纳税收和社会保障资金的相关材料</w:t>
      </w:r>
      <w:bookmarkEnd w:id="228"/>
      <w:r/>
      <w:bookmarkEnd w:id="229"/>
      <w:r/>
      <w:r/>
    </w:p>
    <w:p>
      <w:pPr>
        <w:ind w:firstLine="480"/>
        <w:shd w:val="clear" w:color="auto"/>
        <w:rPr>
          <w:rFonts w:hint="eastAsia" w:ascii="宋体" w:hAnsi="宋体" w:eastAsia="宋体" w:cs="宋体"/>
          <w:i/>
          <w:color w:val="000000"/>
          <w:sz w:val="32"/>
          <w:szCs w:val="32"/>
          <w:highlight w:val="none"/>
          <w:u w:val="single"/>
        </w:rPr>
      </w:pPr>
      <w:r>
        <w:rPr>
          <w:rFonts w:hint="eastAsia" w:ascii="宋体" w:hAnsi="宋体" w:eastAsia="宋体" w:cs="宋体"/>
          <w:bCs/>
          <w:color w:val="000000"/>
          <w:sz w:val="24"/>
          <w:szCs w:val="21"/>
          <w:highlight w:val="none"/>
        </w:rPr>
        <w:t xml:space="preserve">提供提交</w:t>
      </w:r>
      <w:r>
        <w:rPr>
          <w:rFonts w:hint="eastAsia" w:ascii="宋体" w:hAnsi="宋体" w:eastAsia="宋体" w:cs="宋体"/>
          <w:bCs/>
          <w:color w:val="000000"/>
          <w:sz w:val="24"/>
          <w:szCs w:val="21"/>
          <w:highlight w:val="none"/>
          <w:lang w:val="en-US" w:eastAsia="zh-CN"/>
        </w:rPr>
        <w:t xml:space="preserve">响应</w:t>
      </w:r>
      <w:r>
        <w:rPr>
          <w:rFonts w:hint="eastAsia" w:ascii="宋体" w:hAnsi="宋体" w:eastAsia="宋体" w:cs="宋体"/>
          <w:bCs/>
          <w:color w:val="000000"/>
          <w:sz w:val="24"/>
          <w:szCs w:val="21"/>
          <w:highlight w:val="none"/>
        </w:rPr>
        <w:t xml:space="preserve">文件截止时间前一年内至少一个月依法缴纳税收及缴纳社会保障资金的证明材料。</w:t>
      </w:r>
      <w:r>
        <w:rPr>
          <w:rFonts w:hint="eastAsia" w:ascii="宋体" w:hAnsi="宋体" w:eastAsia="宋体" w:cs="宋体"/>
          <w:bCs/>
          <w:color w:val="000000"/>
          <w:sz w:val="24"/>
          <w:szCs w:val="21"/>
          <w:highlight w:val="none"/>
          <w:lang w:eastAsia="zh-CN"/>
        </w:rPr>
        <w:t xml:space="preserve">供应商</w:t>
      </w:r>
      <w:r>
        <w:rPr>
          <w:rFonts w:hint="eastAsia" w:ascii="宋体" w:hAnsi="宋体" w:eastAsia="宋体" w:cs="宋体"/>
          <w:bCs/>
          <w:color w:val="000000"/>
          <w:sz w:val="24"/>
          <w:szCs w:val="21"/>
          <w:highlight w:val="none"/>
        </w:rPr>
        <w:t xml:space="preserve">依法享受缓缴、免缴税收、社会保障资金的提供证明材料。</w:t>
      </w:r>
      <w:r/>
    </w:p>
    <w:p>
      <w:pPr>
        <w:shd w:val="clear" w:color="auto"/>
        <w:rPr>
          <w:rFonts w:hint="eastAsia" w:ascii="宋体" w:hAnsi="宋体" w:eastAsia="宋体" w:cs="宋体"/>
          <w:i/>
          <w:color w:val="000000"/>
          <w:sz w:val="32"/>
          <w:szCs w:val="32"/>
          <w:highlight w:val="none"/>
          <w:u w:val="single"/>
        </w:rPr>
        <w:outlineLvl w:val="0"/>
      </w:pPr>
      <w:r/>
      <w:bookmarkStart w:id="230" w:name="_Toc2125"/>
      <w:r/>
      <w:bookmarkStart w:id="231" w:name="_Toc17079"/>
      <w:r/>
      <w:bookmarkStart w:id="232" w:name="_Toc16049"/>
      <w:r>
        <w:rPr>
          <w:rFonts w:hint="eastAsia" w:ascii="宋体" w:hAnsi="宋体" w:eastAsia="宋体" w:cs="宋体"/>
          <w:i/>
          <w:color w:val="000000"/>
          <w:sz w:val="32"/>
          <w:szCs w:val="32"/>
          <w:highlight w:val="none"/>
          <w:u w:val="single"/>
        </w:rPr>
        <w:t xml:space="preserve">四、</w:t>
      </w:r>
      <w:bookmarkEnd w:id="230"/>
      <w:r>
        <w:rPr>
          <w:rFonts w:hint="eastAsia" w:ascii="宋体" w:hAnsi="宋体" w:eastAsia="宋体" w:cs="宋体"/>
          <w:i/>
          <w:color w:val="000000"/>
          <w:sz w:val="32"/>
          <w:szCs w:val="32"/>
          <w:highlight w:val="none"/>
          <w:u w:val="single"/>
        </w:rPr>
        <w:t xml:space="preserve">具备履行合同所必需的设备和专业技术能力的证明材料</w:t>
      </w:r>
      <w:bookmarkEnd w:id="231"/>
      <w:r/>
      <w:bookmarkEnd w:id="232"/>
      <w:r/>
      <w:r/>
    </w:p>
    <w:p>
      <w:pPr>
        <w:ind w:firstLine="492"/>
        <w:spacing w:line="460" w:lineRule="exact"/>
        <w:shd w:val="clear" w:color="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主要设备有：</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w:t>
      </w:r>
      <w:r/>
    </w:p>
    <w:p>
      <w:pPr>
        <w:ind w:firstLine="492"/>
        <w:spacing w:line="460" w:lineRule="exact"/>
        <w:shd w:val="clear" w:color="auto"/>
        <w:rPr>
          <w:rFonts w:hint="eastAsia" w:ascii="宋体" w:hAnsi="宋体" w:eastAsia="宋体" w:cs="宋体"/>
          <w:color w:val="000000"/>
          <w:szCs w:val="21"/>
          <w:highlight w:val="none"/>
        </w:rPr>
      </w:pPr>
      <w:r>
        <w:rPr>
          <w:rFonts w:hint="eastAsia" w:ascii="宋体" w:hAnsi="宋体" w:eastAsia="宋体" w:cs="宋体"/>
          <w:bCs/>
          <w:color w:val="000000"/>
          <w:sz w:val="24"/>
          <w:szCs w:val="21"/>
          <w:highlight w:val="none"/>
        </w:rPr>
        <w:t xml:space="preserve">主要专业技术能力有：</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                       </w:t>
      </w:r>
      <w:r/>
    </w:p>
    <w:p>
      <w:pPr>
        <w:shd w:val="clear" w:color="auto"/>
        <w:rPr>
          <w:rFonts w:hint="eastAsia" w:ascii="宋体" w:hAnsi="宋体" w:eastAsia="宋体" w:cs="宋体"/>
          <w:i/>
          <w:color w:val="000000"/>
          <w:sz w:val="32"/>
          <w:szCs w:val="32"/>
          <w:highlight w:val="none"/>
          <w:u w:val="single"/>
        </w:rPr>
        <w:outlineLvl w:val="0"/>
      </w:pPr>
      <w:r/>
      <w:bookmarkStart w:id="233" w:name="_Toc9868"/>
      <w:r/>
      <w:bookmarkStart w:id="234" w:name="_Toc3152"/>
      <w:r/>
      <w:bookmarkStart w:id="235" w:name="_Toc11688"/>
      <w:r>
        <w:rPr>
          <w:rFonts w:hint="eastAsia" w:ascii="宋体" w:hAnsi="宋体" w:eastAsia="宋体" w:cs="宋体"/>
          <w:i/>
          <w:color w:val="000000"/>
          <w:sz w:val="32"/>
          <w:szCs w:val="32"/>
          <w:highlight w:val="none"/>
          <w:u w:val="single"/>
        </w:rPr>
        <w:t xml:space="preserve">五、</w:t>
      </w:r>
      <w:bookmarkEnd w:id="233"/>
      <w:r>
        <w:rPr>
          <w:rFonts w:hint="eastAsia" w:ascii="宋体" w:hAnsi="宋体" w:eastAsia="宋体" w:cs="宋体"/>
          <w:i/>
          <w:color w:val="000000"/>
          <w:sz w:val="32"/>
          <w:szCs w:val="32"/>
          <w:highlight w:val="none"/>
          <w:u w:val="single"/>
        </w:rPr>
        <w:t xml:space="preserve">参加政府采购活动前3年内，在经营活动中没有重大违法记录的书面声明</w:t>
      </w:r>
      <w:bookmarkEnd w:id="234"/>
      <w:r/>
      <w:bookmarkEnd w:id="235"/>
      <w:r/>
      <w:r/>
    </w:p>
    <w:p>
      <w:pPr>
        <w:spacing w:line="460" w:lineRule="exact"/>
        <w:shd w:val="clear" w:color="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                 声  明</w:t>
      </w:r>
      <w:r/>
    </w:p>
    <w:p>
      <w:pPr>
        <w:spacing w:line="460" w:lineRule="exact"/>
        <w:shd w:val="clear" w:color="auto"/>
        <w:rPr>
          <w:rFonts w:hint="eastAsia" w:ascii="宋体" w:hAnsi="宋体" w:eastAsia="宋体" w:cs="宋体"/>
          <w:highlight w:val="none"/>
        </w:rPr>
      </w:pPr>
      <w:r>
        <w:rPr>
          <w:rFonts w:hint="eastAsia" w:ascii="宋体" w:hAnsi="宋体" w:eastAsia="宋体" w:cs="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both"/>
        <w:shd w:val="clear" w:color="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jc w:val="both"/>
        <w:shd w:val="clear" w:color="auto"/>
        <w:rPr>
          <w:rFonts w:hint="eastAsia" w:ascii="宋体" w:hAnsi="宋体" w:eastAsia="宋体" w:cs="宋体"/>
          <w:i/>
          <w:color w:val="000000"/>
          <w:sz w:val="32"/>
          <w:szCs w:val="32"/>
          <w:highlight w:val="none"/>
          <w:u w:val="single"/>
          <w:lang w:val="en-US" w:eastAsia="zh-CN"/>
        </w:rPr>
        <w:outlineLvl w:val="9"/>
      </w:pPr>
      <w:r>
        <w:rPr>
          <w:rFonts w:hint="eastAsia" w:ascii="宋体" w:hAnsi="宋体" w:eastAsia="宋体" w:cs="宋体"/>
          <w:i/>
          <w:color w:val="000000"/>
          <w:sz w:val="32"/>
          <w:szCs w:val="32"/>
          <w:highlight w:val="none"/>
          <w:u w:val="single"/>
        </w:rPr>
        <w:t xml:space="preserve">六、法律、行政法规规定的其他条件的证明材料</w:t>
      </w:r>
      <w:r>
        <w:rPr>
          <w:rFonts w:hint="eastAsia" w:ascii="宋体" w:hAnsi="宋体" w:eastAsia="宋体" w:cs="宋体"/>
          <w:i/>
          <w:color w:val="000000"/>
          <w:sz w:val="32"/>
          <w:szCs w:val="32"/>
          <w:highlight w:val="none"/>
          <w:u w:val="single"/>
          <w:lang w:eastAsia="zh-CN"/>
        </w:rPr>
        <w:t xml:space="preserve">。</w:t>
      </w:r>
      <w:r/>
    </w:p>
    <w:p>
      <w:pPr>
        <w:jc w:val="both"/>
        <w:shd w:val="clear" w:color="auto"/>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jc w:val="both"/>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lang w:val="en-US" w:eastAsia="zh-CN"/>
        </w:rPr>
        <w:t xml:space="preserve">七</w:t>
      </w:r>
      <w:r>
        <w:rPr>
          <w:rFonts w:hint="eastAsia" w:ascii="宋体" w:hAnsi="宋体" w:eastAsia="宋体" w:cs="宋体"/>
          <w:i/>
          <w:color w:val="000000"/>
          <w:sz w:val="32"/>
          <w:szCs w:val="32"/>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jc w:val="both"/>
        <w:shd w:val="clear" w:color="auto"/>
        <w:rPr>
          <w:rFonts w:hint="eastAsia" w:ascii="宋体" w:hAnsi="宋体" w:eastAsia="宋体" w:cs="宋体"/>
          <w:i/>
          <w:color w:val="000000"/>
          <w:sz w:val="32"/>
          <w:szCs w:val="32"/>
          <w:highlight w:val="none"/>
          <w:u w:val="single"/>
          <w:lang w:val="en-US" w:eastAsia="zh-CN"/>
        </w:rPr>
        <w:outlineLvl w:val="9"/>
      </w:pPr>
      <w:r>
        <w:rPr>
          <w:rFonts w:hint="eastAsia" w:ascii="宋体" w:hAnsi="宋体" w:eastAsia="宋体" w:cs="宋体"/>
          <w:i/>
          <w:color w:val="000000"/>
          <w:sz w:val="32"/>
          <w:szCs w:val="32"/>
          <w:highlight w:val="none"/>
          <w:u w:val="single"/>
          <w:lang w:val="en-US" w:eastAsia="zh-CN"/>
        </w:rPr>
      </w:r>
      <w:r/>
    </w:p>
    <w:p>
      <w:pPr>
        <w:jc w:val="both"/>
        <w:shd w:val="clear" w:color="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lang w:val="en-US" w:eastAsia="zh-CN"/>
        </w:rPr>
        <w:t xml:space="preserve">八</w:t>
      </w:r>
      <w:r>
        <w:rPr>
          <w:rFonts w:hint="eastAsia" w:ascii="宋体" w:hAnsi="宋体" w:eastAsia="宋体" w:cs="宋体"/>
          <w:i/>
          <w:color w:val="000000"/>
          <w:sz w:val="32"/>
          <w:szCs w:val="32"/>
          <w:highlight w:val="none"/>
          <w:u w:val="single"/>
        </w:rPr>
        <w:t xml:space="preserve">、特定资格要求的证明文件（如果本项目设置特定资格要求，则需要提供）</w:t>
      </w:r>
      <w:r/>
    </w:p>
    <w:p>
      <w:pPr>
        <w:jc w:val="center"/>
        <w:shd w:val="clear" w:color="auto"/>
        <w:rPr>
          <w:rFonts w:hint="eastAsia" w:ascii="宋体" w:hAnsi="宋体" w:eastAsia="宋体" w:cs="宋体"/>
          <w:i/>
          <w:color w:val="000000"/>
          <w:sz w:val="32"/>
          <w:szCs w:val="32"/>
          <w:highlight w:val="none"/>
          <w:u w:val="single"/>
          <w:lang w:val="en-US" w:eastAsia="zh-CN"/>
        </w:rPr>
        <w:outlineLvl w:val="0"/>
      </w:pPr>
      <w:r/>
      <w:bookmarkStart w:id="236" w:name="_Toc26277"/>
      <w:r/>
      <w:r/>
    </w:p>
    <w:p>
      <w:pPr>
        <w:jc w:val="center"/>
        <w:shd w:val="clear" w:color="auto"/>
        <w:rPr>
          <w:rFonts w:hint="eastAsia" w:ascii="宋体" w:hAnsi="宋体" w:eastAsia="宋体" w:cs="宋体"/>
          <w:i/>
          <w:color w:val="000000"/>
          <w:sz w:val="32"/>
          <w:szCs w:val="32"/>
          <w:highlight w:val="none"/>
          <w:u w:val="single"/>
        </w:rPr>
        <w:outlineLvl w:val="0"/>
      </w:pPr>
      <w:r/>
      <w:bookmarkStart w:id="237" w:name="_Toc21589"/>
      <w:r/>
      <w:bookmarkStart w:id="238" w:name="_Toc20557"/>
      <w:r>
        <w:rPr>
          <w:rFonts w:hint="eastAsia" w:ascii="宋体" w:hAnsi="宋体" w:eastAsia="宋体" w:cs="宋体"/>
          <w:i/>
          <w:color w:val="000000"/>
          <w:sz w:val="32"/>
          <w:szCs w:val="32"/>
          <w:highlight w:val="none"/>
          <w:u w:val="single"/>
          <w:lang w:val="en-US" w:eastAsia="zh-CN"/>
        </w:rPr>
        <w:t xml:space="preserve">九</w:t>
      </w:r>
      <w:r>
        <w:rPr>
          <w:rFonts w:hint="eastAsia" w:ascii="宋体" w:hAnsi="宋体" w:eastAsia="宋体" w:cs="宋体"/>
          <w:i/>
          <w:color w:val="000000"/>
          <w:sz w:val="32"/>
          <w:szCs w:val="32"/>
          <w:highlight w:val="none"/>
          <w:u w:val="single"/>
        </w:rPr>
        <w:t xml:space="preserve">、法人授权书</w:t>
      </w:r>
      <w:bookmarkEnd w:id="236"/>
      <w:r/>
      <w:bookmarkEnd w:id="237"/>
      <w:r/>
      <w:bookmarkEnd w:id="238"/>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致：【采购单位】</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本人</w:t>
      </w:r>
      <w:r>
        <w:rPr>
          <w:rFonts w:hint="eastAsia" w:ascii="宋体" w:hAnsi="宋体" w:eastAsia="宋体" w:cs="宋体"/>
          <w:sz w:val="22"/>
          <w:szCs w:val="20"/>
          <w:highlight w:val="none"/>
          <w:u w:val="single"/>
        </w:rPr>
        <w:t xml:space="preserve">（姓名）</w:t>
      </w:r>
      <w:r>
        <w:rPr>
          <w:rFonts w:hint="eastAsia" w:ascii="宋体" w:hAnsi="宋体" w:eastAsia="宋体" w:cs="宋体"/>
          <w:sz w:val="22"/>
          <w:szCs w:val="20"/>
          <w:highlight w:val="none"/>
          <w:u w:val="single"/>
          <w:lang w:val="en-US" w:eastAsia="zh-CN"/>
        </w:rPr>
        <w:t xml:space="preserve">   </w:t>
      </w:r>
      <w:r>
        <w:rPr>
          <w:rFonts w:hint="eastAsia" w:ascii="宋体" w:hAnsi="宋体" w:eastAsia="宋体" w:cs="宋体"/>
          <w:sz w:val="22"/>
          <w:szCs w:val="20"/>
          <w:highlight w:val="none"/>
        </w:rPr>
        <w:t xml:space="preserve">系</w:t>
      </w:r>
      <w:r>
        <w:rPr>
          <w:rFonts w:hint="eastAsia" w:ascii="宋体" w:hAnsi="宋体" w:eastAsia="宋体" w:cs="宋体"/>
          <w:sz w:val="22"/>
          <w:szCs w:val="20"/>
          <w:highlight w:val="none"/>
          <w:u w:val="single"/>
        </w:rPr>
        <w:t xml:space="preserve">（</w:t>
      </w:r>
      <w:r>
        <w:rPr>
          <w:rFonts w:hint="eastAsia" w:ascii="宋体" w:hAnsi="宋体" w:eastAsia="宋体" w:cs="宋体"/>
          <w:sz w:val="22"/>
          <w:szCs w:val="20"/>
          <w:highlight w:val="none"/>
          <w:u w:val="single"/>
          <w:lang w:eastAsia="zh-CN"/>
        </w:rPr>
        <w:t xml:space="preserve">供应商</w:t>
      </w:r>
      <w:r>
        <w:rPr>
          <w:rFonts w:hint="eastAsia" w:ascii="宋体" w:hAnsi="宋体" w:eastAsia="宋体" w:cs="宋体"/>
          <w:sz w:val="22"/>
          <w:szCs w:val="20"/>
          <w:highlight w:val="none"/>
          <w:u w:val="single"/>
        </w:rPr>
        <w:t xml:space="preserve">名称）</w:t>
      </w:r>
      <w:r>
        <w:rPr>
          <w:rFonts w:hint="eastAsia" w:ascii="宋体" w:hAnsi="宋体" w:eastAsia="宋体" w:cs="宋体"/>
          <w:sz w:val="22"/>
          <w:szCs w:val="20"/>
          <w:highlight w:val="none"/>
          <w:u w:val="single"/>
          <w:lang w:val="en-US" w:eastAsia="zh-CN"/>
        </w:rPr>
        <w:t xml:space="preserve">   </w:t>
      </w:r>
      <w:r>
        <w:rPr>
          <w:rFonts w:hint="eastAsia" w:ascii="宋体" w:hAnsi="宋体" w:eastAsia="宋体" w:cs="宋体"/>
          <w:sz w:val="22"/>
          <w:szCs w:val="20"/>
          <w:highlight w:val="none"/>
        </w:rPr>
        <w:t xml:space="preserve">的法定代表人（单位负责人），现授权</w:t>
      </w:r>
      <w:r>
        <w:rPr>
          <w:rFonts w:hint="eastAsia" w:ascii="宋体" w:hAnsi="宋体" w:eastAsia="宋体" w:cs="宋体"/>
          <w:sz w:val="22"/>
          <w:szCs w:val="20"/>
          <w:highlight w:val="none"/>
          <w:u w:val="single"/>
        </w:rPr>
        <w:t xml:space="preserve">（姓名）</w:t>
      </w:r>
      <w:r>
        <w:rPr>
          <w:rFonts w:hint="eastAsia" w:ascii="宋体" w:hAnsi="宋体" w:eastAsia="宋体" w:cs="宋体"/>
          <w:sz w:val="22"/>
          <w:szCs w:val="20"/>
          <w:highlight w:val="none"/>
        </w:rPr>
        <w:t xml:space="preserve">为我方代理人。代理人根据授权，以我方名义签署、澄清确认、递交、撤回、修改</w:t>
      </w:r>
      <w:r>
        <w:rPr>
          <w:rFonts w:hint="eastAsia" w:ascii="宋体" w:hAnsi="宋体" w:eastAsia="宋体" w:cs="宋体"/>
          <w:sz w:val="22"/>
          <w:szCs w:val="20"/>
          <w:highlight w:val="none"/>
          <w:u w:val="single"/>
        </w:rPr>
        <w:t xml:space="preserve">【项目名称】</w:t>
      </w:r>
      <w:r>
        <w:rPr>
          <w:rFonts w:hint="eastAsia" w:ascii="宋体" w:hAnsi="宋体" w:eastAsia="宋体" w:cs="宋体"/>
          <w:sz w:val="22"/>
          <w:szCs w:val="20"/>
          <w:highlight w:val="none"/>
        </w:rPr>
        <w:t xml:space="preserve">项目（项目编号：</w:t>
      </w:r>
      <w:r>
        <w:rPr>
          <w:rFonts w:hint="eastAsia" w:ascii="宋体" w:hAnsi="宋体" w:eastAsia="宋体" w:cs="宋体"/>
          <w:sz w:val="22"/>
          <w:szCs w:val="20"/>
          <w:highlight w:val="none"/>
          <w:u w:val="single"/>
        </w:rPr>
        <w:t xml:space="preserve">【项目编号】</w:t>
      </w:r>
      <w:r>
        <w:rPr>
          <w:rFonts w:hint="eastAsia" w:ascii="宋体" w:hAnsi="宋体" w:eastAsia="宋体" w:cs="宋体"/>
          <w:sz w:val="22"/>
          <w:szCs w:val="20"/>
          <w:highlight w:val="none"/>
        </w:rPr>
        <w:t xml:space="preserve">）以本单位名义全权处理一切与该项目采购有关的事务。</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授权期限：自本授权委托书签署之日起至响应有效期届满之日止。</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被授权人无转委托权。</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lang w:eastAsia="zh-CN"/>
        </w:rPr>
        <w:t xml:space="preserve">供应商</w:t>
      </w:r>
      <w:r>
        <w:rPr>
          <w:rFonts w:hint="eastAsia" w:ascii="宋体" w:hAnsi="宋体" w:eastAsia="宋体" w:cs="宋体"/>
          <w:sz w:val="22"/>
          <w:szCs w:val="20"/>
          <w:highlight w:val="none"/>
        </w:rPr>
        <w:t xml:space="preserve">名称（加盖CA电子公章）：________________ </w:t>
      </w:r>
      <w:r/>
    </w:p>
    <w:p>
      <w:pPr>
        <w:pStyle w:val="863"/>
        <w:ind w:firstLine="0"/>
        <w:shd w:val="clear" w:color="auto"/>
        <w:rPr>
          <w:rFonts w:hint="eastAsia" w:ascii="宋体" w:hAnsi="宋体" w:eastAsia="宋体" w:cs="宋体"/>
          <w:sz w:val="22"/>
          <w:szCs w:val="20"/>
          <w:highlight w:val="none"/>
          <w:lang w:val="en-US" w:eastAsia="zh-CN"/>
        </w:rPr>
      </w:pPr>
      <w:r>
        <w:rPr>
          <w:rFonts w:hint="eastAsia" w:ascii="宋体" w:hAnsi="宋体" w:eastAsia="宋体" w:cs="宋体"/>
          <w:sz w:val="22"/>
          <w:szCs w:val="20"/>
          <w:highlight w:val="none"/>
        </w:rPr>
        <w:t xml:space="preserve">地址：</w:t>
      </w:r>
      <w:r>
        <w:rPr>
          <w:rFonts w:hint="eastAsia" w:ascii="宋体" w:hAnsi="宋体" w:eastAsia="宋体" w:cs="宋体"/>
          <w:sz w:val="22"/>
          <w:szCs w:val="20"/>
          <w:highlight w:val="none"/>
          <w:u w:val="single"/>
          <w:lang w:val="en-US" w:eastAsia="zh-CN"/>
        </w:rPr>
        <w:t xml:space="preserve">             </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法定代表人（单位负责人）（签字、签章或印鉴）：________________ </w:t>
      </w:r>
      <w:r/>
    </w:p>
    <w:p>
      <w:pPr>
        <w:pStyle w:val="863"/>
        <w:ind w:firstLine="0"/>
        <w:shd w:val="clear" w:color="auto"/>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法定代表人（单位负责人）联系电话：</w:t>
      </w:r>
      <w:r>
        <w:rPr>
          <w:rFonts w:hint="eastAsia" w:ascii="宋体" w:hAnsi="宋体" w:eastAsia="宋体" w:cs="宋体"/>
          <w:sz w:val="22"/>
          <w:szCs w:val="20"/>
          <w:highlight w:val="none"/>
          <w:u w:val="none"/>
        </w:rPr>
        <w:t xml:space="preserve">（手机）</w:t>
      </w:r>
      <w:r>
        <w:rPr>
          <w:rFonts w:hint="eastAsia" w:ascii="宋体" w:hAnsi="宋体" w:eastAsia="宋体" w:cs="宋体"/>
          <w:sz w:val="22"/>
          <w:szCs w:val="20"/>
          <w:highlight w:val="none"/>
          <w:u w:val="single"/>
          <w:lang w:val="en-US" w:eastAsia="zh-CN"/>
        </w:rPr>
        <w:t xml:space="preserve">                </w:t>
      </w:r>
      <w:r>
        <w:rPr>
          <w:rFonts w:hint="eastAsia" w:ascii="宋体" w:hAnsi="宋体" w:eastAsia="宋体" w:cs="宋体"/>
          <w:sz w:val="22"/>
          <w:szCs w:val="20"/>
          <w:highlight w:val="none"/>
          <w:u w:val="single"/>
        </w:rPr>
        <w:t xml:space="preserve">       </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被授权人（签字/签章）：________________   </w:t>
      </w:r>
      <w:r/>
    </w:p>
    <w:p>
      <w:pPr>
        <w:pStyle w:val="863"/>
        <w:ind w:firstLine="0"/>
        <w:shd w:val="clear" w:color="auto"/>
        <w:rPr>
          <w:rFonts w:hint="eastAsia" w:ascii="宋体" w:hAnsi="宋体" w:eastAsia="宋体" w:cs="宋体"/>
          <w:sz w:val="22"/>
          <w:szCs w:val="20"/>
          <w:highlight w:val="none"/>
          <w:lang w:val="en-US" w:eastAsia="zh-CN"/>
        </w:rPr>
      </w:pPr>
      <w:r>
        <w:rPr>
          <w:rFonts w:hint="eastAsia" w:ascii="宋体" w:hAnsi="宋体" w:eastAsia="宋体" w:cs="宋体"/>
          <w:sz w:val="22"/>
          <w:szCs w:val="20"/>
          <w:highlight w:val="none"/>
        </w:rPr>
        <w:t xml:space="preserve">被授权人身份证号码：</w:t>
      </w:r>
      <w:r>
        <w:rPr>
          <w:rFonts w:hint="eastAsia" w:ascii="宋体" w:hAnsi="宋体" w:eastAsia="宋体" w:cs="宋体"/>
          <w:sz w:val="22"/>
          <w:szCs w:val="20"/>
          <w:highlight w:val="none"/>
          <w:lang w:val="en-US" w:eastAsia="zh-CN"/>
        </w:rPr>
        <w:t xml:space="preserve"> </w:t>
      </w:r>
      <w:r>
        <w:rPr>
          <w:rFonts w:hint="eastAsia" w:ascii="宋体" w:hAnsi="宋体" w:eastAsia="宋体" w:cs="宋体"/>
          <w:sz w:val="22"/>
          <w:szCs w:val="20"/>
          <w:highlight w:val="none"/>
          <w:u w:val="single"/>
          <w:lang w:val="en-US" w:eastAsia="zh-CN"/>
        </w:rPr>
        <w:t xml:space="preserve">       </w:t>
      </w:r>
      <w:r>
        <w:rPr>
          <w:rFonts w:hint="eastAsia" w:ascii="宋体" w:hAnsi="宋体" w:eastAsia="宋体" w:cs="宋体"/>
          <w:sz w:val="22"/>
          <w:szCs w:val="20"/>
          <w:highlight w:val="none"/>
          <w:lang w:val="en-US" w:eastAsia="zh-CN"/>
        </w:rPr>
        <w:t xml:space="preserve"> </w:t>
      </w:r>
      <w:r/>
    </w:p>
    <w:p>
      <w:pPr>
        <w:pStyle w:val="863"/>
        <w:ind w:firstLine="0"/>
        <w:shd w:val="clear" w:color="auto"/>
        <w:rPr>
          <w:rFonts w:hint="eastAsia" w:ascii="宋体" w:hAnsi="宋体" w:eastAsia="宋体" w:cs="宋体"/>
          <w:sz w:val="22"/>
          <w:szCs w:val="20"/>
          <w:highlight w:val="none"/>
          <w:u w:val="single"/>
          <w:lang w:val="en-US" w:eastAsia="zh-CN"/>
        </w:rPr>
      </w:pPr>
      <w:r>
        <w:rPr>
          <w:rFonts w:hint="eastAsia" w:ascii="宋体" w:hAnsi="宋体" w:eastAsia="宋体" w:cs="宋体"/>
          <w:sz w:val="22"/>
          <w:szCs w:val="20"/>
          <w:highlight w:val="none"/>
        </w:rPr>
        <w:t xml:space="preserve">被授权人联系电话：（手机）</w:t>
      </w:r>
      <w:r>
        <w:rPr>
          <w:rFonts w:hint="eastAsia" w:ascii="宋体" w:hAnsi="宋体" w:eastAsia="宋体" w:cs="宋体"/>
          <w:sz w:val="22"/>
          <w:szCs w:val="20"/>
          <w:highlight w:val="none"/>
          <w:lang w:val="en-US" w:eastAsia="zh-CN"/>
        </w:rPr>
        <w:t xml:space="preserve"> </w:t>
      </w:r>
      <w:r>
        <w:rPr>
          <w:rFonts w:hint="eastAsia" w:ascii="宋体" w:hAnsi="宋体" w:eastAsia="宋体" w:cs="宋体"/>
          <w:sz w:val="22"/>
          <w:szCs w:val="20"/>
          <w:highlight w:val="none"/>
          <w:u w:val="single"/>
          <w:lang w:val="en-US" w:eastAsia="zh-CN"/>
        </w:rPr>
        <w:t xml:space="preserve">      </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日期：_____年______月______日</w:t>
      </w:r>
      <w:r/>
    </w:p>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法定代表人（单位负责人）有效期内的身份证正反面电子件：</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37"/>
        <w:gridCol w:w="4737"/>
      </w:tblGrid>
      <w:tr>
        <w:trPr>
          <w:jc w:val="center"/>
          <w:trHeight w:val="924"/>
        </w:trPr>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3"/>
        <w:ind w:firstLine="0"/>
        <w:shd w:val="clear" w:color="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被授权人有效期内的身份证正反面电子件：</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37"/>
        <w:gridCol w:w="4737"/>
      </w:tblGrid>
      <w:tr>
        <w:trPr>
          <w:jc w:val="center"/>
          <w:trHeight w:val="924"/>
        </w:trPr>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3"/>
        <w:ind w:left="420" w:firstLine="482"/>
        <w:shd w:val="clear" w:color="auto"/>
        <w:rPr>
          <w:rFonts w:hint="eastAsia" w:ascii="宋体" w:hAnsi="宋体" w:eastAsia="宋体" w:cs="宋体"/>
          <w:b/>
          <w:bCs/>
          <w:sz w:val="24"/>
          <w:szCs w:val="21"/>
          <w:highlight w:val="none"/>
        </w:rPr>
        <w:outlineLvl w:val="0"/>
      </w:pPr>
      <w:r/>
      <w:bookmarkStart w:id="239" w:name="_Toc6536"/>
      <w:r/>
      <w:bookmarkStart w:id="240" w:name="_Toc26163"/>
      <w:r>
        <w:rPr>
          <w:rFonts w:hint="eastAsia" w:ascii="宋体" w:hAnsi="宋体" w:eastAsia="宋体" w:cs="宋体"/>
          <w:b/>
          <w:bCs/>
          <w:sz w:val="24"/>
          <w:szCs w:val="21"/>
          <w:highlight w:val="none"/>
        </w:rPr>
        <w:t xml:space="preserve">填报说明：</w:t>
      </w:r>
      <w:bookmarkEnd w:id="239"/>
      <w:r/>
      <w:bookmarkEnd w:id="240"/>
      <w:r/>
      <w:r/>
    </w:p>
    <w:p>
      <w:pPr>
        <w:pStyle w:val="863"/>
        <w:ind w:firstLine="0"/>
        <w:shd w:val="clear" w:color="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1、若</w:t>
      </w:r>
      <w:r>
        <w:rPr>
          <w:rFonts w:hint="eastAsia" w:ascii="宋体" w:hAnsi="宋体" w:eastAsia="宋体" w:cs="宋体"/>
          <w:sz w:val="21"/>
          <w:szCs w:val="18"/>
          <w:highlight w:val="none"/>
          <w:lang w:eastAsia="zh-CN"/>
        </w:rPr>
        <w:t xml:space="preserve">供应商</w:t>
      </w:r>
      <w:r>
        <w:rPr>
          <w:rFonts w:hint="eastAsia" w:ascii="宋体" w:hAnsi="宋体" w:eastAsia="宋体" w:cs="宋体"/>
          <w:sz w:val="21"/>
          <w:szCs w:val="18"/>
          <w:highlight w:val="none"/>
        </w:rPr>
        <w:t xml:space="preserve">为事业单位或其他组织或分支机构（仅当</w:t>
      </w:r>
      <w:r>
        <w:rPr>
          <w:rFonts w:hint="eastAsia" w:ascii="宋体" w:hAnsi="宋体" w:eastAsia="宋体" w:cs="宋体"/>
          <w:sz w:val="21"/>
          <w:szCs w:val="18"/>
          <w:highlight w:val="none"/>
          <w:lang w:val="en-US" w:eastAsia="zh-CN"/>
        </w:rPr>
        <w:t xml:space="preserve">采购</w:t>
      </w:r>
      <w:r>
        <w:rPr>
          <w:rFonts w:hint="eastAsia" w:ascii="宋体" w:hAnsi="宋体" w:eastAsia="宋体" w:cs="宋体"/>
          <w:sz w:val="21"/>
          <w:szCs w:val="18"/>
          <w:highlight w:val="none"/>
        </w:rPr>
        <w:t xml:space="preserve">文件注明允许分支机构</w:t>
      </w:r>
      <w:r>
        <w:rPr>
          <w:rFonts w:hint="eastAsia" w:ascii="宋体" w:hAnsi="宋体" w:eastAsia="宋体" w:cs="宋体"/>
          <w:sz w:val="21"/>
          <w:szCs w:val="18"/>
          <w:highlight w:val="none"/>
          <w:lang w:val="en-US" w:eastAsia="zh-CN"/>
        </w:rPr>
        <w:t xml:space="preserve">响应</w:t>
      </w:r>
      <w:r>
        <w:rPr>
          <w:rFonts w:hint="eastAsia" w:ascii="宋体" w:hAnsi="宋体" w:eastAsia="宋体" w:cs="宋体"/>
          <w:sz w:val="21"/>
          <w:szCs w:val="18"/>
          <w:highlight w:val="none"/>
        </w:rPr>
        <w:t xml:space="preserve">的），则法定代表人（单位负责人）处的签署人可为单位负责人。</w:t>
      </w:r>
      <w:r/>
    </w:p>
    <w:p>
      <w:pPr>
        <w:pStyle w:val="863"/>
        <w:ind w:firstLine="0"/>
        <w:shd w:val="clear" w:color="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2、若</w:t>
      </w:r>
      <w:r>
        <w:rPr>
          <w:rFonts w:hint="eastAsia" w:ascii="宋体" w:hAnsi="宋体" w:eastAsia="宋体" w:cs="宋体"/>
          <w:sz w:val="21"/>
          <w:szCs w:val="18"/>
          <w:highlight w:val="none"/>
          <w:lang w:val="en-US" w:eastAsia="zh-CN"/>
        </w:rPr>
        <w:t xml:space="preserve">采购</w:t>
      </w:r>
      <w:r>
        <w:rPr>
          <w:rFonts w:hint="eastAsia" w:ascii="宋体" w:hAnsi="宋体" w:eastAsia="宋体" w:cs="宋体"/>
          <w:sz w:val="21"/>
          <w:szCs w:val="18"/>
          <w:highlight w:val="none"/>
        </w:rPr>
        <w:t xml:space="preserve">文件中全部签字之处均为法定代表人（单位负责人）本人签署，则可不提供本《授权委托书》，但须提供《法定代表人（单位负责人）身份证明》。</w:t>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63"/>
        <w:ind w:left="0" w:firstLine="0"/>
        <w:jc w:val="center"/>
        <w:shd w:val="clear" w:color="auto"/>
        <w:rPr>
          <w:rFonts w:hint="eastAsia" w:ascii="宋体" w:hAnsi="宋体" w:eastAsia="宋体" w:cs="宋体"/>
          <w:b/>
          <w:bCs/>
          <w:highlight w:val="none"/>
        </w:rPr>
        <w:outlineLvl w:val="9"/>
      </w:pPr>
      <w:r>
        <w:rPr>
          <w:rFonts w:hint="eastAsia" w:ascii="宋体" w:hAnsi="宋体" w:eastAsia="宋体" w:cs="宋体"/>
          <w:b/>
          <w:bCs/>
          <w:highlight w:val="none"/>
        </w:rPr>
        <w:t xml:space="preserve">法定代表人（单位负责人）身份证明</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致：【采购单位】</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兹证明，</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姓名：____性别：____年龄：____职务：____ 系 </w:t>
      </w:r>
      <w:r>
        <w:rPr>
          <w:rFonts w:hint="eastAsia" w:ascii="宋体" w:hAnsi="宋体" w:eastAsia="宋体" w:cs="宋体"/>
          <w:sz w:val="21"/>
          <w:szCs w:val="18"/>
          <w:highlight w:val="none"/>
          <w:u w:val="single"/>
        </w:rPr>
        <w:t xml:space="preserve">（</w:t>
      </w:r>
      <w:r>
        <w:rPr>
          <w:rFonts w:hint="eastAsia" w:ascii="宋体" w:hAnsi="宋体" w:eastAsia="宋体" w:cs="宋体"/>
          <w:sz w:val="21"/>
          <w:szCs w:val="18"/>
          <w:highlight w:val="none"/>
          <w:u w:val="single"/>
          <w:lang w:val="en-US" w:eastAsia="zh-CN"/>
        </w:rPr>
        <w:t xml:space="preserve">供应商</w:t>
      </w:r>
      <w:r>
        <w:rPr>
          <w:rFonts w:hint="eastAsia" w:ascii="宋体" w:hAnsi="宋体" w:eastAsia="宋体" w:cs="宋体"/>
          <w:sz w:val="21"/>
          <w:szCs w:val="18"/>
          <w:highlight w:val="none"/>
          <w:u w:val="single"/>
        </w:rPr>
        <w:t xml:space="preserve">名称）</w:t>
      </w:r>
      <w:r>
        <w:rPr>
          <w:rFonts w:hint="eastAsia" w:ascii="宋体" w:hAnsi="宋体" w:eastAsia="宋体" w:cs="宋体"/>
          <w:sz w:val="21"/>
          <w:szCs w:val="18"/>
          <w:highlight w:val="none"/>
        </w:rPr>
        <w:t xml:space="preserve">的法定代表人（单位负责人）。</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附：法定代表人（单位负责人）有效期内的身份证正反面电子件。（可电子粘贴）</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6"/>
        <w:gridCol w:w="3797"/>
      </w:tblGrid>
      <w:tr>
        <w:trPr>
          <w:jc w:val="center"/>
          <w:trHeight w:val="1474"/>
        </w:trPr>
        <w:tc>
          <w:tcPr>
            <w:tcBorders>
              <w:top w:val="single" w:color="auto" w:sz="4" w:space="0"/>
              <w:left w:val="single" w:color="auto" w:sz="4" w:space="0"/>
              <w:bottom w:val="single" w:color="auto" w:sz="4" w:space="0"/>
              <w:right w:val="single" w:color="auto" w:sz="4" w:space="0"/>
            </w:tcBorders>
            <w:tcW w:w="5036"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jc w:val="center"/>
              <w:spacing w:line="600" w:lineRule="exact"/>
              <w:shd w:val="clear" w:color="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3"/>
        <w:ind w:firstLine="0"/>
        <w:shd w:val="clear" w:color="auto"/>
        <w:rPr>
          <w:rFonts w:hint="eastAsia" w:ascii="宋体" w:hAnsi="宋体" w:eastAsia="宋体" w:cs="宋体"/>
          <w:sz w:val="21"/>
          <w:szCs w:val="18"/>
          <w:highlight w:val="none"/>
        </w:rPr>
      </w:pPr>
      <w:r>
        <w:rPr>
          <w:rFonts w:hint="eastAsia" w:ascii="宋体" w:hAnsi="宋体" w:eastAsia="宋体" w:cs="宋体"/>
          <w:sz w:val="21"/>
          <w:szCs w:val="18"/>
          <w:highlight w:val="none"/>
        </w:rPr>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lang w:val="en-US" w:eastAsia="zh-CN"/>
        </w:rPr>
        <w:t xml:space="preserve">供应商</w:t>
      </w:r>
      <w:r>
        <w:rPr>
          <w:rFonts w:hint="eastAsia" w:ascii="宋体" w:hAnsi="宋体" w:eastAsia="宋体" w:cs="宋体"/>
          <w:sz w:val="21"/>
          <w:szCs w:val="18"/>
          <w:highlight w:val="none"/>
        </w:rPr>
        <w:t xml:space="preserve">名称（加盖CA电子公章）：________________ </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法定代表人（单位负责人）（签字、签章或印鉴）：_______ </w:t>
      </w:r>
      <w:r/>
    </w:p>
    <w:p>
      <w:pPr>
        <w:pStyle w:val="863"/>
        <w:ind w:firstLine="420"/>
        <w:keepLines w:val="0"/>
        <w:keepNext w:val="0"/>
        <w:pageBreakBefore w:val="0"/>
        <w:shd w:val="clear" w:color="auto"/>
        <w:widowControl w:val="off"/>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日期：_____年______月______</w:t>
      </w:r>
      <w:r/>
    </w:p>
    <w:p>
      <w:pPr>
        <w:shd w:val="clear" w:color="auto"/>
        <w:rPr>
          <w:rFonts w:hint="eastAsia" w:ascii="宋体" w:hAnsi="宋体" w:eastAsia="宋体" w:cs="宋体"/>
          <w:sz w:val="21"/>
          <w:szCs w:val="18"/>
          <w:highlight w:val="none"/>
        </w:rPr>
      </w:pPr>
      <w:r>
        <w:rPr>
          <w:rFonts w:hint="eastAsia" w:ascii="宋体" w:hAnsi="宋体" w:eastAsia="宋体" w:cs="宋体"/>
          <w:sz w:val="21"/>
          <w:szCs w:val="18"/>
          <w:highlight w:val="non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jc w:val="center"/>
        <w:spacing w:beforeAutospacing="0" w:afterAutospacing="0"/>
        <w:shd w:val="clear" w:color="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61"/>
        <w:ind w:firstLine="3390"/>
        <w:jc w:val="both"/>
        <w:keepLines/>
        <w:keepNext/>
        <w:spacing w:before="260" w:beforeAutospacing="0" w:after="260" w:afterAutospacing="0" w:line="415" w:lineRule="auto"/>
        <w:shd w:val="clear" w:color="auto"/>
        <w:rPr>
          <w:rFonts w:hint="eastAsia" w:ascii="宋体" w:hAnsi="宋体" w:eastAsia="宋体" w:cs="宋体"/>
          <w:highlight w:val="none"/>
        </w:rPr>
        <w:outlineLvl w:val="0"/>
      </w:pPr>
      <w:r/>
      <w:bookmarkStart w:id="241" w:name="_Toc3863"/>
      <w:r/>
      <w:bookmarkStart w:id="242" w:name="_Toc1454"/>
      <w:r/>
      <w:bookmarkStart w:id="243" w:name="_Hlt26671380"/>
      <w:r/>
      <w:bookmarkStart w:id="244" w:name="_Hlt26955070"/>
      <w:r/>
      <w:bookmarkStart w:id="245" w:name="_格式3__银行出具的资信证明"/>
      <w:r>
        <w:rPr>
          <w:rFonts w:hint="eastAsia" w:ascii="宋体" w:hAnsi="宋体" w:eastAsia="宋体" w:cs="宋体"/>
          <w:b/>
          <w:i/>
          <w:color w:val="000000"/>
          <w:sz w:val="32"/>
          <w:szCs w:val="32"/>
          <w:highlight w:val="none"/>
          <w:u w:val="single"/>
        </w:rPr>
        <w:t xml:space="preserve"> </w:t>
      </w:r>
      <w:r>
        <w:rPr>
          <w:rFonts w:hint="eastAsia" w:ascii="宋体" w:hAnsi="宋体" w:eastAsia="宋体" w:cs="宋体"/>
          <w:b/>
          <w:i/>
          <w:color w:val="000000"/>
          <w:sz w:val="32"/>
          <w:szCs w:val="32"/>
          <w:highlight w:val="none"/>
          <w:u w:val="single"/>
          <w:lang w:val="en-US" w:eastAsia="zh-CN"/>
        </w:rPr>
        <w:t xml:space="preserve">十</w:t>
      </w:r>
      <w:r>
        <w:rPr>
          <w:rFonts w:hint="eastAsia" w:ascii="宋体" w:hAnsi="宋体" w:eastAsia="宋体" w:cs="宋体"/>
          <w:b/>
          <w:i/>
          <w:color w:val="000000"/>
          <w:sz w:val="32"/>
          <w:szCs w:val="32"/>
          <w:highlight w:val="none"/>
          <w:u w:val="single"/>
        </w:rPr>
        <w:t xml:space="preserve">、单一来源响应函</w:t>
      </w:r>
      <w:bookmarkEnd w:id="241"/>
      <w:r/>
      <w:bookmarkEnd w:id="242"/>
      <w:r/>
      <w:r/>
    </w:p>
    <w:p>
      <w:pPr>
        <w:pStyle w:val="861"/>
        <w:keepLines w:val="0"/>
        <w:keepNext w:val="0"/>
        <w:pageBreakBefore w:val="0"/>
        <w:spacing w:beforeAutospacing="0" w:afterAutospacing="0" w:line="36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江苏恒为信土地房地产资产评估造价咨询有限公司</w:t>
      </w:r>
      <w:r/>
    </w:p>
    <w:p>
      <w:pPr>
        <w:pStyle w:val="861"/>
        <w:ind w:firstLine="480"/>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根据贵方的项目</w:t>
      </w:r>
      <w:r>
        <w:rPr>
          <w:rFonts w:hint="eastAsia" w:ascii="宋体" w:hAnsi="宋体" w:eastAsia="宋体" w:cs="宋体"/>
          <w:color w:val="000000"/>
          <w:highlight w:val="none"/>
          <w:u w:val="single"/>
          <w:lang w:eastAsia="zh-CN"/>
        </w:rPr>
        <w:t xml:space="preserve">射阳县自然资源和规划局射阳县202</w:t>
      </w:r>
      <w:r>
        <w:rPr>
          <w:rFonts w:hint="eastAsia" w:ascii="宋体" w:hAnsi="宋体" w:cs="宋体"/>
          <w:color w:val="000000"/>
          <w:highlight w:val="none"/>
          <w:u w:val="single"/>
          <w:lang w:val="en-US" w:eastAsia="zh-CN"/>
        </w:rPr>
        <w:t xml:space="preserve">6</w:t>
      </w:r>
      <w:r>
        <w:rPr>
          <w:rFonts w:hint="eastAsia" w:ascii="宋体" w:hAnsi="宋体" w:eastAsia="宋体" w:cs="宋体"/>
          <w:color w:val="000000"/>
          <w:highlight w:val="none"/>
          <w:u w:val="single"/>
          <w:lang w:eastAsia="zh-CN"/>
        </w:rPr>
        <w:t xml:space="preserve">年射阳河北片区互花米草治理项目</w:t>
      </w:r>
      <w:r>
        <w:rPr>
          <w:rFonts w:hint="eastAsia" w:ascii="宋体" w:hAnsi="宋体" w:cs="宋体"/>
          <w:color w:val="000000"/>
          <w:highlight w:val="none"/>
          <w:u w:val="single"/>
          <w:lang w:eastAsia="zh-CN"/>
        </w:rPr>
        <w:t xml:space="preserve">JSZC-320924-HHWX-D2026-0002-</w:t>
      </w:r>
      <w:r>
        <w:rPr>
          <w:rFonts w:hint="eastAsia" w:ascii="宋体" w:hAnsi="宋体" w:eastAsia="宋体" w:cs="宋体"/>
          <w:color w:val="000000"/>
          <w:highlight w:val="none"/>
        </w:rPr>
        <w:t xml:space="preserve">号采购文件，正式授权下述签字人______(姓名)代表我方______________（供应商的名称），全权处理本次项目单一来源采购的有关事宜。</w:t>
      </w:r>
      <w:r/>
    </w:p>
    <w:p>
      <w:pPr>
        <w:pStyle w:val="861"/>
        <w:ind w:firstLine="480"/>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861"/>
        <w:ind w:firstLine="480"/>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1.按采购文件规定的各项要求，向买方提供所需服务（包含服务相关的货物）。</w:t>
      </w:r>
      <w:r/>
    </w:p>
    <w:p>
      <w:pPr>
        <w:pStyle w:val="861"/>
        <w:ind w:firstLine="480"/>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2.我们已详细审核全部采购文件及其有效补充文件，我们知道必须放弃提出含糊不清或误解问题的权利。</w:t>
      </w:r>
      <w:r/>
    </w:p>
    <w:p>
      <w:pPr>
        <w:pStyle w:val="861"/>
        <w:ind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3.我们同意从规定的单一来源</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时间起遵循本响应文件，并在规定的单一来源</w:t>
      </w:r>
      <w:r>
        <w:rPr>
          <w:rFonts w:hint="eastAsia" w:ascii="宋体" w:hAnsi="宋体" w:eastAsia="宋体" w:cs="宋体"/>
          <w:color w:val="000000"/>
          <w:highlight w:val="none"/>
          <w:lang w:eastAsia="zh-CN"/>
        </w:rPr>
        <w:t xml:space="preserve">协商</w:t>
      </w:r>
      <w:r>
        <w:rPr>
          <w:rFonts w:hint="eastAsia" w:ascii="宋体" w:hAnsi="宋体" w:eastAsia="宋体" w:cs="宋体"/>
          <w:color w:val="000000"/>
          <w:highlight w:val="none"/>
        </w:rPr>
        <w:t xml:space="preserve">有效期期满之前均具有约束力。</w:t>
      </w:r>
      <w:r/>
    </w:p>
    <w:p>
      <w:pPr>
        <w:pStyle w:val="861"/>
        <w:ind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4.同意向贵方提供贵方可能另外要求的与单一来源采购有关的任何证据或资料，并保证我方已提供和将要提供的文件是真实的、准确的。</w:t>
      </w:r>
      <w:r/>
    </w:p>
    <w:p>
      <w:pPr>
        <w:pStyle w:val="861"/>
        <w:ind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5.一旦我方成交,我方将根据采购文件的规定，严格履行合同的责任和义务,并保证在采购文件规定的时间完成项目，交付买方验收、使用。</w:t>
      </w:r>
      <w:r/>
    </w:p>
    <w:p>
      <w:pPr>
        <w:pStyle w:val="861"/>
        <w:ind w:left="425"/>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6.我方与本次单一来源采购有关的正式通讯地址为：</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861"/>
        <w:ind w:left="420" w:firstLine="480"/>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861"/>
        <w:ind w:firstLine="240"/>
        <w:jc w:val="center"/>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r/>
    </w:p>
    <w:p>
      <w:pPr>
        <w:pStyle w:val="861"/>
        <w:ind w:firstLine="240"/>
        <w:jc w:val="center"/>
        <w:spacing w:beforeAutospacing="0" w:afterAutospacing="0" w:line="0" w:lineRule="atLeast"/>
        <w:shd w:val="clear" w:color="auto"/>
        <w:rPr>
          <w:rFonts w:hint="eastAsia" w:ascii="宋体" w:hAnsi="宋体" w:eastAsia="宋体" w:cs="宋体"/>
          <w:highlight w:val="none"/>
        </w:rPr>
      </w:pPr>
      <w:r>
        <w:rPr>
          <w:rFonts w:hint="eastAsia" w:ascii="宋体" w:hAnsi="宋体" w:eastAsia="宋体" w:cs="宋体"/>
          <w:highlight w:val="none"/>
        </w:rPr>
      </w:r>
      <w:bookmarkEnd w:id="32"/>
      <w:r/>
      <w:bookmarkEnd w:id="51"/>
      <w:r/>
      <w:bookmarkEnd w:id="102"/>
      <w:r/>
      <w:bookmarkEnd w:id="103"/>
      <w:r/>
      <w:bookmarkEnd w:id="104"/>
      <w:r/>
      <w:bookmarkEnd w:id="105"/>
      <w:r/>
      <w:bookmarkEnd w:id="106"/>
      <w:r/>
      <w:bookmarkEnd w:id="107"/>
      <w:r/>
      <w:bookmarkEnd w:id="108"/>
      <w:r/>
      <w:bookmarkEnd w:id="109"/>
      <w:r/>
      <w:bookmarkEnd w:id="120"/>
      <w:r/>
      <w:bookmarkEnd w:id="121"/>
      <w:r/>
      <w:bookmarkEnd w:id="128"/>
      <w:r/>
      <w:bookmarkEnd w:id="212"/>
      <w:r/>
      <w:bookmarkEnd w:id="213"/>
      <w:r/>
      <w:bookmarkEnd w:id="218"/>
      <w:r/>
      <w:bookmarkEnd w:id="221"/>
      <w:r/>
      <w:bookmarkEnd w:id="222"/>
      <w:r/>
      <w:bookmarkEnd w:id="223"/>
      <w:r/>
      <w:bookmarkEnd w:id="226"/>
      <w:r/>
      <w:bookmarkEnd w:id="243"/>
      <w:r/>
      <w:bookmarkEnd w:id="244"/>
      <w:r/>
      <w:bookmarkEnd w:id="245"/>
      <w:r/>
      <w:r/>
    </w:p>
    <w:p>
      <w:pPr>
        <w:pStyle w:val="861"/>
        <w:jc w:val="center"/>
        <w:spacing w:beforeAutospacing="0" w:afterAutospacing="0" w:line="0" w:lineRule="atLeast"/>
        <w:shd w:val="clear" w:color="auto"/>
        <w:rPr>
          <w:rFonts w:hint="eastAsia" w:ascii="宋体" w:hAnsi="宋体" w:eastAsia="宋体" w:cs="宋体"/>
          <w:highlight w:val="none"/>
        </w:rPr>
        <w:outlineLvl w:val="0"/>
      </w:pPr>
      <w:r/>
      <w:bookmarkStart w:id="246" w:name="_Toc13228"/>
      <w:r/>
      <w:bookmarkStart w:id="247" w:name="_Toc18465"/>
      <w:r>
        <w:rPr>
          <w:rFonts w:hint="eastAsia" w:ascii="宋体" w:hAnsi="宋体" w:eastAsia="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企业声明函（服务）</w:t>
      </w:r>
      <w:bookmarkEnd w:id="246"/>
      <w:r/>
      <w:bookmarkEnd w:id="247"/>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lang w:val="en-US" w:eastAsia="zh-CN"/>
        </w:rPr>
        <w:t xml:space="preserve">江苏恒为信土地房地产资产评估造价咨询有限公司</w:t>
      </w:r>
      <w:r>
        <w:rPr>
          <w:rFonts w:hint="eastAsia" w:ascii="宋体" w:hAnsi="宋体" w:eastAsia="宋体" w:cs="宋体"/>
          <w:color w:val="000000"/>
          <w:highlight w:val="none"/>
        </w:rPr>
        <w:t xml:space="preserve">组织的</w:t>
      </w:r>
      <w:r>
        <w:rPr>
          <w:rFonts w:hint="eastAsia" w:ascii="宋体" w:hAnsi="宋体" w:eastAsia="宋体" w:cs="宋体"/>
          <w:color w:val="000000"/>
          <w:highlight w:val="none"/>
          <w:u w:val="single"/>
          <w:lang w:eastAsia="zh-CN"/>
        </w:rPr>
        <w:t xml:space="preserve">射阳县自然资源和规划局</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lang w:val="en-US" w:eastAsia="zh-CN"/>
        </w:rPr>
        <w:t xml:space="preserve"> </w:t>
      </w:r>
      <w:r>
        <w:rPr>
          <w:rFonts w:hint="eastAsia" w:ascii="宋体" w:hAnsi="宋体" w:cs="宋体"/>
          <w:color w:val="000000"/>
          <w:highlight w:val="none"/>
          <w:u w:val="single"/>
          <w:lang w:val="en-US" w:eastAsia="zh-CN"/>
        </w:rPr>
        <w:t xml:space="preserve">JSZC-320924-HHWX-D2026-0002</w:t>
      </w:r>
      <w:r>
        <w:rPr>
          <w:rFonts w:hint="eastAsia" w:ascii="宋体" w:hAnsi="宋体" w:eastAsia="宋体" w:cs="宋体"/>
          <w:color w:val="000000"/>
          <w:highlight w:val="none"/>
          <w:u w:val="single"/>
          <w:lang w:eastAsia="zh-CN"/>
        </w:rPr>
        <w:t xml:space="preserve">射阳县自然资源和规划局射阳县202</w:t>
      </w:r>
      <w:r>
        <w:rPr>
          <w:rFonts w:hint="eastAsia" w:ascii="宋体" w:hAnsi="宋体" w:cs="宋体"/>
          <w:color w:val="000000"/>
          <w:highlight w:val="none"/>
          <w:u w:val="single"/>
          <w:lang w:val="en-US" w:eastAsia="zh-CN"/>
        </w:rPr>
        <w:t xml:space="preserve">6</w:t>
      </w:r>
      <w:r>
        <w:rPr>
          <w:rFonts w:hint="eastAsia" w:ascii="宋体" w:hAnsi="宋体" w:eastAsia="宋体" w:cs="宋体"/>
          <w:color w:val="000000"/>
          <w:highlight w:val="none"/>
          <w:u w:val="single"/>
          <w:lang w:eastAsia="zh-CN"/>
        </w:rPr>
        <w:t xml:space="preserve">年射阳河北片区互花米草治理项目</w:t>
      </w:r>
      <w:r>
        <w:rPr>
          <w:rFonts w:hint="eastAsia" w:ascii="宋体" w:hAnsi="宋体" w:eastAsia="宋体" w:cs="宋体"/>
          <w:color w:val="000000"/>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lang w:eastAsia="zh-CN"/>
        </w:rPr>
        <w:t xml:space="preserve">射阳县自然资源和规划局射阳县202</w:t>
      </w:r>
      <w:r>
        <w:rPr>
          <w:rFonts w:hint="eastAsia" w:ascii="宋体" w:hAnsi="宋体" w:cs="宋体"/>
          <w:color w:val="000000"/>
          <w:highlight w:val="none"/>
          <w:u w:val="single"/>
          <w:lang w:val="en-US" w:eastAsia="zh-CN"/>
        </w:rPr>
        <w:t xml:space="preserve">6</w:t>
      </w:r>
      <w:r>
        <w:rPr>
          <w:rFonts w:hint="eastAsia" w:ascii="宋体" w:hAnsi="宋体" w:eastAsia="宋体" w:cs="宋体"/>
          <w:color w:val="000000"/>
          <w:highlight w:val="none"/>
          <w:u w:val="single"/>
          <w:lang w:eastAsia="zh-CN"/>
        </w:rPr>
        <w:t xml:space="preserve">年射阳河北片区互花米草治理项目</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业；承接企业为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，从业人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中型企业、</w:t>
      </w:r>
      <w:r>
        <w:rPr>
          <w:rFonts w:hint="eastAsia" w:ascii="宋体" w:hAnsi="宋体" w:eastAsia="宋体" w:cs="宋体"/>
          <w:color w:val="000000"/>
          <w:highlight w:val="none"/>
          <w:u w:val="single"/>
        </w:rPr>
        <w:t xml:space="preserve">小型企业、微型企业）；</w:t>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61"/>
        <w:ind w:firstLine="363"/>
        <w:jc w:val="both"/>
        <w:keepLines w:val="0"/>
        <w:keepNext w:val="0"/>
        <w:pageBreakBefore w:val="0"/>
        <w:spacing w:beforeAutospacing="0" w:afterAutospacing="0" w:line="360" w:lineRule="auto"/>
        <w:shd w:val="clear" w:color="auto"/>
        <w:widowControl w:val="off"/>
        <w:rPr>
          <w:rFonts w:hint="eastAsia" w:ascii="宋体" w:hAnsi="宋体" w:eastAsia="宋体" w:cs="宋体"/>
          <w:highlight w:val="none"/>
          <w:lang w:val="en-US" w:eastAsia="zh-CN"/>
        </w:rPr>
        <w:outlineLvl w:val="9"/>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lang w:eastAsia="zh-CN"/>
        </w:rPr>
        <w:t xml:space="preserve">。</w:t>
      </w:r>
      <w:r/>
    </w:p>
    <w:p>
      <w:pPr>
        <w:pStyle w:val="861"/>
        <w:ind w:right="720"/>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right="180" w:firstLine="360"/>
        <w:jc w:val="right"/>
        <w:spacing w:beforeAutospacing="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1"/>
        <w:ind w:right="180" w:firstLine="360"/>
        <w:jc w:val="right"/>
        <w:spacing w:beforeAutospacing="0" w:afterAutospacing="0" w:line="360" w:lineRule="auto"/>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1"/>
        <w:ind w:right="180" w:firstLine="360"/>
        <w:jc w:val="right"/>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名称（加盖CA电子公章）：</w:t>
      </w:r>
      <w:r/>
    </w:p>
    <w:p>
      <w:pPr>
        <w:pStyle w:val="861"/>
        <w:ind w:right="480" w:firstLine="7128"/>
        <w:jc w:val="both"/>
        <w:spacing w:beforeAutospacing="0" w:afterAutospacing="0" w:line="360" w:lineRule="auto"/>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right="480" w:firstLine="7128"/>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61"/>
        <w:ind w:firstLine="240"/>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pStyle w:val="861"/>
        <w:ind w:firstLine="480"/>
        <w:jc w:val="both"/>
        <w:spacing w:beforeAutospacing="0" w:afterAutospacing="0" w:line="360" w:lineRule="auto"/>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spacing w:beforeAutospacing="0" w:afterAutospacing="0" w:line="360" w:lineRule="auto"/>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firstLine="480"/>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61"/>
        <w:ind w:firstLine="480"/>
        <w:jc w:val="both"/>
        <w:spacing w:beforeAutospacing="0" w:afterAutospacing="0" w:line="360" w:lineRule="auto"/>
        <w:shd w:val="clear" w:color="auto"/>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center"/>
        <w:spacing w:line="360" w:lineRule="auto"/>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2"/>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1"/>
        <w:ind w:right="1560" w:firstLine="480"/>
        <w:jc w:val="center"/>
        <w:spacing w:beforeAutospacing="0" w:afterAutospacing="0" w:line="0" w:lineRule="atLeast"/>
        <w:shd w:val="clear" w:color="auto"/>
        <w:tabs>
          <w:tab w:val="left" w:pos="4864" w:leader="none"/>
        </w:tabs>
        <w:rPr>
          <w:rFonts w:hint="eastAsia" w:ascii="宋体" w:hAnsi="宋体" w:eastAsia="宋体" w:cs="宋体"/>
          <w:highlight w:val="none"/>
        </w:rPr>
      </w:pPr>
      <w:r>
        <w:rPr>
          <w:rFonts w:hint="eastAsia" w:ascii="宋体" w:hAnsi="宋体" w:eastAsia="宋体" w:cs="宋体"/>
          <w:b/>
          <w:color w:val="000000"/>
          <w:sz w:val="32"/>
          <w:szCs w:val="32"/>
          <w:highlight w:val="none"/>
        </w:rPr>
        <w:br w:type="page" w:clear="all"/>
      </w:r>
      <w:r/>
    </w:p>
    <w:p>
      <w:pPr>
        <w:pStyle w:val="861"/>
        <w:jc w:val="center"/>
        <w:keepLines/>
        <w:keepNext/>
        <w:spacing w:before="260" w:beforeAutospacing="0" w:after="260" w:afterAutospacing="0" w:line="415" w:lineRule="auto"/>
        <w:shd w:val="clear" w:color="auto"/>
        <w:rPr>
          <w:rFonts w:hint="eastAsia" w:ascii="宋体" w:hAnsi="宋体" w:eastAsia="宋体" w:cs="宋体"/>
          <w:b/>
          <w:bCs/>
          <w:sz w:val="32"/>
          <w:szCs w:val="32"/>
          <w:highlight w:val="none"/>
        </w:rPr>
        <w:outlineLvl w:val="0"/>
      </w:pPr>
      <w:r/>
      <w:bookmarkStart w:id="248" w:name="_Toc16533"/>
      <w:r/>
      <w:bookmarkStart w:id="249" w:name="_Toc21585"/>
      <w:r>
        <w:rPr>
          <w:rFonts w:hint="eastAsia" w:ascii="宋体" w:hAnsi="宋体" w:eastAsia="宋体" w:cs="宋体"/>
          <w:b/>
          <w:i/>
          <w:color w:val="000000"/>
          <w:sz w:val="32"/>
          <w:szCs w:val="32"/>
          <w:highlight w:val="none"/>
          <w:u w:val="single"/>
          <w:lang w:val="en-US" w:eastAsia="zh-CN"/>
        </w:rPr>
        <w:t xml:space="preserve">十</w:t>
      </w:r>
      <w:r>
        <w:rPr>
          <w:rFonts w:hint="eastAsia" w:ascii="宋体" w:hAnsi="宋体" w:cs="宋体"/>
          <w:b/>
          <w:i/>
          <w:color w:val="000000"/>
          <w:sz w:val="32"/>
          <w:szCs w:val="32"/>
          <w:highlight w:val="none"/>
          <w:u w:val="single"/>
          <w:lang w:val="en-US" w:eastAsia="zh-CN"/>
        </w:rPr>
        <w:t xml:space="preserve">二</w:t>
      </w:r>
      <w:r>
        <w:rPr>
          <w:rFonts w:hint="eastAsia" w:ascii="宋体" w:hAnsi="宋体" w:eastAsia="宋体" w:cs="宋体"/>
          <w:b/>
          <w:i/>
          <w:color w:val="000000"/>
          <w:sz w:val="32"/>
          <w:szCs w:val="32"/>
          <w:highlight w:val="none"/>
          <w:u w:val="single"/>
          <w:lang w:val="en-US" w:eastAsia="zh-CN"/>
        </w:rPr>
        <w:t xml:space="preserve">、符合性检查响应对照表</w:t>
      </w:r>
      <w:bookmarkEnd w:id="248"/>
      <w:r/>
      <w:bookmarkEnd w:id="249"/>
      <w:r/>
      <w:r/>
    </w:p>
    <w:p>
      <w:pPr>
        <w:ind w:firstLine="210"/>
        <w:shd w:val="clear" w:color="auto"/>
        <w:rPr>
          <w:rFonts w:hint="eastAsia" w:ascii="宋体" w:hAnsi="宋体" w:eastAsia="宋体" w:cs="宋体"/>
          <w:szCs w:val="28"/>
          <w:highlight w:val="none"/>
          <w:lang w:val="zh-CN"/>
        </w:rPr>
      </w:pPr>
      <w:r>
        <w:rPr>
          <w:rFonts w:hint="eastAsia" w:ascii="宋体" w:hAnsi="宋体" w:eastAsia="宋体" w:cs="宋体"/>
          <w:szCs w:val="28"/>
          <w:highlight w:val="none"/>
          <w:lang w:val="zh-CN"/>
        </w:rPr>
      </w:r>
      <w:r/>
    </w:p>
    <w:tbl>
      <w:tblPr>
        <w:tblStyle w:val="84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shd w:val="clear" w:color="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3837" w:type="dxa"/>
            <w:vAlign w:val="center"/>
            <w:textDirection w:val="lrTb"/>
            <w:noWrap w:val="false"/>
          </w:tcPr>
          <w:p>
            <w:pPr>
              <w:jc w:val="center"/>
              <w:spacing w:line="240" w:lineRule="atLeast"/>
              <w:shd w:val="clear" w:color="auto"/>
              <w:rPr>
                <w:rFonts w:hint="eastAsia" w:ascii="宋体" w:hAnsi="宋体" w:eastAsia="宋体" w:cs="宋体"/>
                <w:b/>
                <w:highlight w:val="none"/>
              </w:rPr>
            </w:pPr>
            <w:r>
              <w:rPr>
                <w:rFonts w:hint="eastAsia" w:ascii="宋体" w:hAnsi="宋体" w:eastAsia="宋体" w:cs="宋体"/>
                <w:b/>
                <w:highlight w:val="none"/>
              </w:rPr>
              <w:t xml:space="preserve">符合性检查响应内容</w:t>
            </w:r>
            <w:r/>
          </w:p>
        </w:tc>
        <w:tc>
          <w:tcPr>
            <w:tcW w:w="3290" w:type="dxa"/>
            <w:vAlign w:val="center"/>
            <w:textDirection w:val="lrTb"/>
            <w:noWrap w:val="false"/>
          </w:tcPr>
          <w:p>
            <w:pPr>
              <w:jc w:val="center"/>
              <w:spacing w:line="240" w:lineRule="atLeast"/>
              <w:shd w:val="clear" w:color="auto"/>
              <w:rPr>
                <w:rFonts w:hint="eastAsia" w:ascii="宋体" w:hAnsi="宋体" w:eastAsia="宋体" w:cs="宋体"/>
                <w:b/>
                <w:highlight w:val="none"/>
              </w:rPr>
            </w:pPr>
            <w:r>
              <w:rPr>
                <w:rFonts w:hint="eastAsia" w:ascii="宋体" w:hAnsi="宋体" w:eastAsia="宋体" w:cs="宋体"/>
                <w:b/>
                <w:highlight w:val="none"/>
              </w:rPr>
              <w:t xml:space="preserve">是否响应</w:t>
            </w:r>
            <w:r/>
          </w:p>
          <w:p>
            <w:pPr>
              <w:jc w:val="center"/>
              <w:spacing w:line="240" w:lineRule="atLeast"/>
              <w:shd w:val="clear" w:color="auto"/>
              <w:rPr>
                <w:rFonts w:hint="eastAsia" w:ascii="宋体" w:hAnsi="宋体" w:eastAsia="宋体" w:cs="宋体"/>
                <w:b/>
                <w:highlight w:val="none"/>
              </w:rPr>
            </w:pPr>
            <w:r>
              <w:rPr>
                <w:rFonts w:hint="eastAsia" w:ascii="宋体" w:hAnsi="宋体" w:eastAsia="宋体" w:cs="宋体"/>
                <w:b/>
                <w:highlight w:val="none"/>
              </w:rPr>
              <w:t xml:space="preserve">（填是或者否）</w:t>
            </w:r>
            <w:r/>
          </w:p>
        </w:tc>
        <w:tc>
          <w:tcPr>
            <w:tcW w:w="1785" w:type="dxa"/>
            <w:vAlign w:val="center"/>
            <w:textDirection w:val="lrTb"/>
            <w:noWrap w:val="false"/>
          </w:tcPr>
          <w:p>
            <w:pPr>
              <w:jc w:val="center"/>
              <w:spacing w:line="240" w:lineRule="atLeast"/>
              <w:shd w:val="clear" w:color="auto"/>
              <w:rPr>
                <w:rFonts w:hint="eastAsia" w:ascii="宋体" w:hAnsi="宋体" w:eastAsia="宋体" w:cs="宋体"/>
                <w:b/>
                <w:highlight w:val="none"/>
                <w:lang w:eastAsia="zh-CN"/>
              </w:rPr>
            </w:pPr>
            <w:r>
              <w:rPr>
                <w:rFonts w:hint="eastAsia" w:ascii="宋体" w:hAnsi="宋体" w:eastAsia="宋体" w:cs="宋体"/>
                <w:b/>
                <w:highlight w:val="none"/>
                <w:lang w:val="en-US" w:eastAsia="zh-CN"/>
              </w:rPr>
              <w:t xml:space="preserve">备注</w:t>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szCs w:val="22"/>
                <w:highlight w:val="none"/>
                <w:lang w:val="en-US" w:eastAsia="zh-CN"/>
              </w:rPr>
              <w:t xml:space="preserve">1</w:t>
            </w:r>
            <w:r/>
          </w:p>
        </w:tc>
        <w:tc>
          <w:tcPr>
            <w:tcW w:w="3837" w:type="dxa"/>
            <w:vAlign w:val="center"/>
            <w:textDirection w:val="lrTb"/>
            <w:noWrap w:val="false"/>
          </w:tcPr>
          <w:p>
            <w:pP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szCs w:val="22"/>
                <w:highlight w:val="none"/>
                <w:lang w:val="en-US" w:eastAsia="zh-CN"/>
              </w:rPr>
              <w:t xml:space="preserve">投标报价</w:t>
            </w:r>
            <w:r/>
          </w:p>
        </w:tc>
        <w:tc>
          <w:tcPr>
            <w:tcW w:w="3290" w:type="dxa"/>
            <w:vAlign w:val="center"/>
            <w:textDirection w:val="lrTb"/>
            <w:noWrap w:val="false"/>
          </w:tcPr>
          <w:p>
            <w:pPr>
              <w:shd w:val="clear" w:color="auto"/>
              <w:rPr>
                <w:rFonts w:hint="eastAsia" w:ascii="宋体" w:hAnsi="宋体" w:eastAsia="宋体" w:cs="宋体"/>
                <w:b/>
                <w:highlight w:val="none"/>
              </w:rPr>
            </w:pPr>
            <w:r>
              <w:rPr>
                <w:rFonts w:hint="eastAsia" w:ascii="宋体" w:hAnsi="宋体" w:eastAsia="宋体" w:cs="宋体"/>
                <w:b/>
                <w:highlight w:val="none"/>
              </w:rPr>
            </w:r>
            <w:r/>
          </w:p>
        </w:tc>
        <w:tc>
          <w:tcPr>
            <w:tcW w:w="1785" w:type="dxa"/>
            <w:vAlign w:val="center"/>
            <w:textDirection w:val="lrTb"/>
            <w:noWrap w:val="false"/>
          </w:tcPr>
          <w:p>
            <w:pPr>
              <w:shd w:val="clear" w:color="auto"/>
              <w:rPr>
                <w:rFonts w:hint="eastAsia" w:ascii="宋体" w:hAnsi="宋体" w:eastAsia="宋体" w:cs="宋体"/>
                <w:b/>
                <w:highlight w:val="none"/>
              </w:rPr>
            </w:pPr>
            <w:r>
              <w:rPr>
                <w:rFonts w:hint="eastAsia" w:ascii="宋体" w:hAnsi="宋体" w:eastAsia="宋体" w:cs="宋体"/>
                <w:b/>
                <w:highlight w:val="none"/>
              </w:rPr>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eastAsia="zh-CN"/>
              </w:rPr>
            </w:pPr>
            <w:r>
              <w:rPr>
                <w:rFonts w:hint="eastAsia" w:ascii="宋体" w:hAnsi="宋体" w:eastAsia="宋体" w:cs="宋体"/>
                <w:iCs/>
                <w:sz w:val="24"/>
                <w:szCs w:val="22"/>
                <w:highlight w:val="none"/>
                <w:lang w:val="en-US" w:eastAsia="zh-CN"/>
              </w:rPr>
              <w:t xml:space="preserve">2</w:t>
            </w:r>
            <w:r/>
          </w:p>
        </w:tc>
        <w:tc>
          <w:tcPr>
            <w:tcW w:w="3837" w:type="dxa"/>
            <w:vAlign w:val="center"/>
            <w:textDirection w:val="lrTb"/>
            <w:noWrap w:val="false"/>
          </w:tcPr>
          <w:p>
            <w:pP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szCs w:val="22"/>
                <w:highlight w:val="none"/>
                <w:lang w:val="en-US" w:eastAsia="zh-CN"/>
              </w:rPr>
              <w:t xml:space="preserve">付款方式</w:t>
            </w:r>
            <w:r/>
          </w:p>
        </w:tc>
        <w:tc>
          <w:tcPr>
            <w:tcW w:w="3290" w:type="dxa"/>
            <w:vAlign w:val="center"/>
            <w:textDirection w:val="lrTb"/>
            <w:noWrap w:val="false"/>
          </w:tcPr>
          <w:p>
            <w:pPr>
              <w:shd w:val="clear" w:color="auto"/>
              <w:rPr>
                <w:rFonts w:hint="eastAsia" w:ascii="宋体" w:hAnsi="宋体" w:eastAsia="宋体" w:cs="宋体"/>
                <w:b/>
                <w:highlight w:val="none"/>
              </w:rPr>
            </w:pPr>
            <w:r>
              <w:rPr>
                <w:rFonts w:hint="eastAsia" w:ascii="宋体" w:hAnsi="宋体" w:eastAsia="宋体" w:cs="宋体"/>
                <w:b/>
                <w:highlight w:val="none"/>
              </w:rPr>
            </w:r>
            <w:r/>
          </w:p>
        </w:tc>
        <w:tc>
          <w:tcPr>
            <w:tcW w:w="1785" w:type="dxa"/>
            <w:vAlign w:val="center"/>
            <w:textDirection w:val="lrTb"/>
            <w:noWrap w:val="false"/>
          </w:tcPr>
          <w:p>
            <w:pPr>
              <w:shd w:val="clear" w:color="auto"/>
              <w:rPr>
                <w:rFonts w:hint="eastAsia" w:ascii="宋体" w:hAnsi="宋体" w:eastAsia="宋体" w:cs="宋体"/>
                <w:b/>
                <w:highlight w:val="none"/>
              </w:rPr>
            </w:pPr>
            <w:r>
              <w:rPr>
                <w:rFonts w:hint="eastAsia" w:ascii="宋体" w:hAnsi="宋体" w:eastAsia="宋体" w:cs="宋体"/>
                <w:b/>
                <w:highlight w:val="none"/>
              </w:rPr>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eastAsia="zh-CN"/>
              </w:rPr>
            </w:pPr>
            <w:r>
              <w:rPr>
                <w:rFonts w:hint="eastAsia" w:ascii="宋体" w:hAnsi="宋体" w:eastAsia="宋体" w:cs="宋体"/>
                <w:iCs/>
                <w:sz w:val="24"/>
                <w:szCs w:val="22"/>
                <w:highlight w:val="none"/>
                <w:lang w:val="en-US" w:eastAsia="zh-CN"/>
              </w:rPr>
              <w:t xml:space="preserve">3</w:t>
            </w:r>
            <w:r/>
          </w:p>
        </w:tc>
        <w:tc>
          <w:tcPr>
            <w:tcW w:w="3837"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t xml:space="preserve">合同履行期限 </w:t>
            </w:r>
            <w:r/>
          </w:p>
        </w:tc>
        <w:tc>
          <w:tcPr>
            <w:tcW w:w="3290" w:type="dxa"/>
            <w:vAlign w:val="center"/>
            <w:textDirection w:val="lrTb"/>
            <w:noWrap w:val="false"/>
          </w:tcPr>
          <w:p>
            <w:pPr>
              <w:shd w:val="clear" w:color="auto"/>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val="false"/>
          </w:tcPr>
          <w:p>
            <w:pPr>
              <w:shd w:val="clear" w:color="auto"/>
              <w:rPr>
                <w:rFonts w:hint="eastAsia" w:ascii="宋体" w:hAnsi="宋体" w:eastAsia="宋体" w:cs="宋体"/>
                <w:highlight w:val="none"/>
              </w:rPr>
            </w:pPr>
            <w:r>
              <w:rPr>
                <w:rFonts w:hint="eastAsia" w:ascii="宋体" w:hAnsi="宋体" w:eastAsia="宋体" w:cs="宋体"/>
                <w:highlight w:val="none"/>
              </w:rPr>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eastAsia="zh-CN"/>
              </w:rPr>
            </w:pPr>
            <w:r>
              <w:rPr>
                <w:rFonts w:hint="eastAsia" w:ascii="宋体" w:hAnsi="宋体" w:eastAsia="宋体" w:cs="宋体"/>
                <w:iCs/>
                <w:sz w:val="24"/>
                <w:szCs w:val="22"/>
                <w:highlight w:val="none"/>
                <w:lang w:val="en-US" w:eastAsia="zh-CN"/>
              </w:rPr>
              <w:t xml:space="preserve">4</w:t>
            </w:r>
            <w:r/>
          </w:p>
        </w:tc>
        <w:tc>
          <w:tcPr>
            <w:tcW w:w="3837" w:type="dxa"/>
            <w:vAlign w:val="center"/>
            <w:textDirection w:val="lrTb"/>
            <w:noWrap w:val="false"/>
          </w:tcPr>
          <w:p>
            <w:pP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highlight w:val="none"/>
                <w:lang w:val="en-US" w:eastAsia="zh-CN"/>
              </w:rPr>
              <w:t xml:space="preserve">实质性响应内容（详见附件1）</w:t>
            </w:r>
            <w:r/>
          </w:p>
        </w:tc>
        <w:tc>
          <w:tcPr>
            <w:tcW w:w="3290"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c>
          <w:tcPr>
            <w:tcW w:w="1785"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szCs w:val="22"/>
                <w:highlight w:val="none"/>
                <w:lang w:val="en-US" w:eastAsia="zh-CN"/>
              </w:rPr>
            </w:r>
            <w:r/>
          </w:p>
        </w:tc>
        <w:tc>
          <w:tcPr>
            <w:tcW w:w="3837" w:type="dxa"/>
            <w:vAlign w:val="center"/>
            <w:textDirection w:val="lrTb"/>
            <w:noWrap w:val="false"/>
          </w:tcPr>
          <w:p>
            <w:pPr>
              <w:shd w:val="clear" w:color="auto"/>
              <w:rPr>
                <w:rFonts w:hint="eastAsia" w:ascii="宋体" w:hAnsi="宋体" w:eastAsia="宋体" w:cs="宋体"/>
                <w:iCs/>
                <w:sz w:val="24"/>
                <w:highlight w:val="none"/>
                <w:lang w:val="en-US" w:eastAsia="zh-CN"/>
              </w:rPr>
            </w:pPr>
            <w:r>
              <w:rPr>
                <w:rFonts w:hint="eastAsia" w:ascii="宋体" w:hAnsi="宋体" w:eastAsia="宋体" w:cs="宋体"/>
                <w:iCs/>
                <w:sz w:val="24"/>
                <w:highlight w:val="none"/>
                <w:lang w:val="en-US" w:eastAsia="zh-CN"/>
              </w:rPr>
            </w:r>
            <w:r/>
          </w:p>
        </w:tc>
        <w:tc>
          <w:tcPr>
            <w:tcW w:w="3290"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c>
          <w:tcPr>
            <w:tcW w:w="1785"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r>
      <w:tr>
        <w:trPr>
          <w:trHeight w:val="585"/>
        </w:trPr>
        <w:tc>
          <w:tcPr>
            <w:tcW w:w="646" w:type="dxa"/>
            <w:vAlign w:val="center"/>
            <w:textDirection w:val="lrTb"/>
            <w:noWrap w:val="false"/>
          </w:tcPr>
          <w:p>
            <w:pPr>
              <w:jc w:val="center"/>
              <w:shd w:val="clear" w:color="auto"/>
              <w:rPr>
                <w:rFonts w:hint="eastAsia" w:ascii="宋体" w:hAnsi="宋体" w:eastAsia="宋体" w:cs="宋体"/>
                <w:iCs/>
                <w:sz w:val="24"/>
                <w:szCs w:val="22"/>
                <w:highlight w:val="none"/>
                <w:lang w:val="en-US" w:eastAsia="zh-CN"/>
              </w:rPr>
            </w:pPr>
            <w:r>
              <w:rPr>
                <w:rFonts w:hint="eastAsia" w:ascii="宋体" w:hAnsi="宋体" w:eastAsia="宋体" w:cs="宋体"/>
                <w:iCs/>
                <w:sz w:val="24"/>
                <w:szCs w:val="22"/>
                <w:highlight w:val="none"/>
                <w:lang w:val="en-US" w:eastAsia="zh-CN"/>
              </w:rPr>
            </w:r>
            <w:r/>
          </w:p>
        </w:tc>
        <w:tc>
          <w:tcPr>
            <w:tcW w:w="3837" w:type="dxa"/>
            <w:vAlign w:val="center"/>
            <w:textDirection w:val="lrTb"/>
            <w:noWrap w:val="false"/>
          </w:tcPr>
          <w:p>
            <w:pPr>
              <w:shd w:val="clear" w:color="auto"/>
              <w:rPr>
                <w:rFonts w:hint="eastAsia" w:ascii="宋体" w:hAnsi="宋体" w:eastAsia="宋体" w:cs="宋体"/>
                <w:iCs/>
                <w:sz w:val="24"/>
                <w:highlight w:val="none"/>
                <w:lang w:val="en-US" w:eastAsia="zh-CN"/>
              </w:rPr>
            </w:pPr>
            <w:r>
              <w:rPr>
                <w:rFonts w:hint="eastAsia" w:ascii="宋体" w:hAnsi="宋体" w:eastAsia="宋体" w:cs="宋体"/>
                <w:iCs/>
                <w:sz w:val="24"/>
                <w:highlight w:val="none"/>
                <w:lang w:val="en-US" w:eastAsia="zh-CN"/>
              </w:rPr>
            </w:r>
            <w:r/>
          </w:p>
        </w:tc>
        <w:tc>
          <w:tcPr>
            <w:tcW w:w="3290"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c>
          <w:tcPr>
            <w:tcW w:w="1785" w:type="dxa"/>
            <w:vAlign w:val="center"/>
            <w:textDirection w:val="lrTb"/>
            <w:noWrap w:val="false"/>
          </w:tcPr>
          <w:p>
            <w:pPr>
              <w:shd w:val="clear" w:color="auto"/>
              <w:rPr>
                <w:rFonts w:hint="eastAsia" w:ascii="宋体" w:hAnsi="宋体" w:eastAsia="宋体" w:cs="宋体"/>
                <w:iCs/>
                <w:sz w:val="24"/>
                <w:szCs w:val="22"/>
                <w:highlight w:val="none"/>
              </w:rPr>
            </w:pPr>
            <w:r>
              <w:rPr>
                <w:rFonts w:hint="eastAsia" w:ascii="宋体" w:hAnsi="宋体" w:eastAsia="宋体" w:cs="宋体"/>
                <w:iCs/>
                <w:sz w:val="24"/>
                <w:szCs w:val="22"/>
                <w:highlight w:val="none"/>
              </w:rPr>
            </w:r>
            <w:r/>
          </w:p>
        </w:tc>
      </w:tr>
    </w:tbl>
    <w:p>
      <w:pPr>
        <w:ind w:firstLine="210"/>
        <w:shd w:val="clear" w:color="auto"/>
        <w:rPr>
          <w:rFonts w:hint="eastAsia" w:ascii="宋体" w:hAnsi="宋体" w:eastAsia="宋体" w:cs="宋体"/>
          <w:color w:val="ff0000"/>
          <w:szCs w:val="28"/>
          <w:highlight w:val="none"/>
          <w:lang w:val="zh-CN"/>
        </w:rPr>
      </w:pPr>
      <w:r>
        <w:rPr>
          <w:rFonts w:hint="eastAsia" w:ascii="宋体" w:hAnsi="宋体" w:eastAsia="宋体" w:cs="宋体"/>
          <w:color w:val="ff0000"/>
          <w:szCs w:val="28"/>
          <w:highlight w:val="none"/>
          <w:lang w:val="zh-CN"/>
        </w:rPr>
      </w:r>
      <w:r/>
    </w:p>
    <w:p>
      <w:pPr>
        <w:ind w:firstLine="210"/>
        <w:shd w:val="clear" w:color="auto"/>
        <w:rPr>
          <w:rFonts w:hint="eastAsia" w:ascii="宋体" w:hAnsi="宋体" w:eastAsia="宋体" w:cs="宋体"/>
          <w:color w:val="ff0000"/>
          <w:szCs w:val="28"/>
          <w:highlight w:val="none"/>
          <w:lang w:val="zh-CN"/>
        </w:rPr>
      </w:pPr>
      <w:r>
        <w:rPr>
          <w:rFonts w:hint="eastAsia" w:ascii="宋体" w:hAnsi="宋体" w:eastAsia="宋体" w:cs="宋体"/>
          <w:color w:val="ff0000"/>
          <w:szCs w:val="28"/>
          <w:highlight w:val="none"/>
          <w:lang w:val="zh-CN"/>
        </w:rPr>
      </w:r>
      <w:r/>
    </w:p>
    <w:p>
      <w:pPr>
        <w:ind w:firstLine="210"/>
        <w:shd w:val="clear" w:color="auto"/>
        <w:rPr>
          <w:rFonts w:hint="eastAsia" w:ascii="宋体" w:hAnsi="宋体" w:eastAsia="宋体" w:cs="宋体"/>
          <w:szCs w:val="28"/>
          <w:highlight w:val="none"/>
          <w:lang w:val="zh-CN" w:eastAsia="zh-CN"/>
        </w:rPr>
      </w:pPr>
      <w:r>
        <w:rPr>
          <w:rFonts w:hint="eastAsia" w:ascii="宋体" w:hAnsi="宋体" w:cs="宋体"/>
          <w:color w:val="ff0000"/>
          <w:szCs w:val="28"/>
          <w:highlight w:val="none"/>
          <w:lang w:val="en-US" w:eastAsia="zh-CN"/>
        </w:rPr>
        <w:t xml:space="preserve"> </w:t>
      </w:r>
      <w:r/>
    </w:p>
    <w:p>
      <w:pPr>
        <w:ind w:firstLine="210"/>
        <w:shd w:val="clear" w:color="auto"/>
        <w:rPr>
          <w:rFonts w:hint="eastAsia" w:ascii="宋体" w:hAnsi="宋体" w:eastAsia="宋体" w:cs="宋体"/>
          <w:szCs w:val="28"/>
          <w:highlight w:val="none"/>
          <w:lang w:val="zh-CN"/>
        </w:rPr>
      </w:pPr>
      <w:r>
        <w:rPr>
          <w:rFonts w:hint="eastAsia" w:ascii="宋体" w:hAnsi="宋体" w:eastAsia="宋体" w:cs="宋体"/>
          <w:szCs w:val="28"/>
          <w:highlight w:val="none"/>
          <w:lang w:val="zh-CN"/>
        </w:rPr>
      </w:r>
      <w:r/>
    </w:p>
    <w:p>
      <w:pPr>
        <w:pStyle w:val="861"/>
        <w:ind w:right="1560" w:firstLine="624"/>
        <w:jc w:val="center"/>
        <w:spacing w:beforeAutospacing="0" w:afterAutospacing="0" w:line="0" w:lineRule="atLeast"/>
        <w:shd w:val="clear" w:color="auto"/>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供应商全称（加盖CA电子公章）：</w:t>
      </w:r>
      <w:r/>
    </w:p>
    <w:p>
      <w:pPr>
        <w:pStyle w:val="861"/>
        <w:ind w:right="1560" w:firstLine="480"/>
        <w:jc w:val="center"/>
        <w:spacing w:beforeAutospacing="0" w:afterAutospacing="0" w:line="0" w:lineRule="atLeast"/>
        <w:shd w:val="clear" w:color="auto"/>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ind w:left="420"/>
        <w:jc w:val="center"/>
        <w:shd w:val="clear" w:color="auto"/>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ind w:left="0" w:firstLine="0"/>
        <w:shd w:val="clear" w:color="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45"/>
        <w:jc w:val="left"/>
        <w:spacing w:line="360" w:lineRule="auto"/>
        <w:shd w:val="clear" w:color="auto"/>
        <w:rPr>
          <w:rFonts w:hint="eastAsia" w:ascii="宋体" w:hAnsi="宋体" w:eastAsia="宋体" w:cs="宋体"/>
          <w:b/>
          <w:bCs/>
          <w:sz w:val="32"/>
          <w:szCs w:val="32"/>
          <w:highlight w:val="none"/>
          <w:lang w:val="en-US" w:eastAsia="zh-CN"/>
        </w:rPr>
        <w:outlineLvl w:val="0"/>
      </w:pPr>
      <w:r/>
      <w:bookmarkStart w:id="250" w:name="_Toc15499"/>
      <w:r/>
      <w:bookmarkStart w:id="251" w:name="_Toc8713"/>
      <w:r>
        <w:rPr>
          <w:rFonts w:hint="eastAsia" w:ascii="宋体" w:hAnsi="宋体" w:eastAsia="宋体" w:cs="宋体"/>
          <w:b/>
          <w:bCs/>
          <w:sz w:val="32"/>
          <w:szCs w:val="32"/>
          <w:highlight w:val="none"/>
        </w:rPr>
        <w:t xml:space="preserve">附件</w:t>
      </w:r>
      <w:r>
        <w:rPr>
          <w:rFonts w:hint="eastAsia" w:ascii="宋体" w:hAnsi="宋体" w:eastAsia="宋体" w:cs="宋体"/>
          <w:b/>
          <w:bCs/>
          <w:sz w:val="32"/>
          <w:szCs w:val="32"/>
          <w:highlight w:val="none"/>
          <w:lang w:val="en-US" w:eastAsia="zh-CN"/>
        </w:rPr>
        <w:t xml:space="preserve">1</w:t>
      </w:r>
      <w:r>
        <w:rPr>
          <w:rFonts w:hint="eastAsia" w:ascii="宋体" w:hAnsi="宋体" w:eastAsia="宋体" w:cs="宋体"/>
          <w:b/>
          <w:bCs/>
          <w:sz w:val="32"/>
          <w:szCs w:val="32"/>
          <w:highlight w:val="none"/>
        </w:rPr>
        <w:t xml:space="preserve">、</w:t>
      </w:r>
      <w:bookmarkEnd w:id="250"/>
      <w:r/>
      <w:bookmarkEnd w:id="251"/>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val="en-US" w:eastAsia="zh-CN"/>
        </w:rPr>
        <w:t xml:space="preserve"> </w:t>
      </w:r>
      <w:r/>
    </w:p>
    <w:p>
      <w:pPr>
        <w:pStyle w:val="845"/>
        <w:jc w:val="center"/>
        <w:spacing w:line="360" w:lineRule="auto"/>
        <w:shd w:val="clear" w:color="auto"/>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t xml:space="preserve">实质性响应内容</w:t>
      </w:r>
      <w:r/>
    </w:p>
    <w:p>
      <w:pPr>
        <w:pStyle w:val="861"/>
        <w:ind w:firstLine="480"/>
        <w:jc w:val="both"/>
        <w:spacing w:beforeAutospacing="0" w:afterAutospacing="0" w:line="460" w:lineRule="exact"/>
        <w:shd w:val="clear" w:color="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w:t>
      </w:r>
      <w:r/>
    </w:p>
    <w:p>
      <w:pPr>
        <w:pStyle w:val="861"/>
        <w:ind w:firstLine="1024"/>
        <w:jc w:val="both"/>
        <w:spacing w:beforeAutospacing="0" w:afterAutospacing="0" w:line="460" w:lineRule="exact"/>
        <w:shd w:val="clear" w:color="auto"/>
        <w:rPr>
          <w:rFonts w:hint="eastAsia" w:ascii="宋体" w:hAnsi="宋体" w:eastAsia="宋体" w:cs="宋体"/>
          <w:sz w:val="22"/>
          <w:szCs w:val="22"/>
          <w:highlight w:val="none"/>
          <w:lang w:val="en-US" w:eastAsia="zh-CN"/>
        </w:rPr>
        <w:outlineLvl w:val="9"/>
      </w:pPr>
      <w:r>
        <w:rPr>
          <w:rFonts w:hint="eastAsia" w:ascii="宋体" w:hAnsi="宋体" w:eastAsia="宋体" w:cs="宋体"/>
          <w:color w:val="000000"/>
          <w:sz w:val="24"/>
          <w:szCs w:val="24"/>
          <w:highlight w:val="none"/>
          <w:lang w:val="en-US" w:eastAsia="zh-CN"/>
        </w:rPr>
        <w:t xml:space="preserve">我公司承诺完全响应采购文件</w:t>
      </w:r>
      <w:r>
        <w:rPr>
          <w:rFonts w:hint="eastAsia" w:ascii="宋体" w:hAnsi="宋体" w:eastAsia="宋体" w:cs="宋体"/>
          <w:color w:val="000000"/>
          <w:sz w:val="24"/>
          <w:szCs w:val="24"/>
          <w:highlight w:val="none"/>
        </w:rPr>
        <w:t xml:space="preserve">第四章采购需求</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第三章合同文本</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color w:val="000000"/>
          <w:sz w:val="24"/>
          <w:szCs w:val="24"/>
          <w:highlight w:val="none"/>
          <w:lang w:val="en-US" w:eastAsia="zh-CN"/>
        </w:rPr>
        <w:t xml:space="preserve">的全部内容。</w:t>
      </w:r>
      <w:r/>
    </w:p>
    <w:p>
      <w:pPr>
        <w:pStyle w:val="866"/>
        <w:ind w:firstLine="640"/>
        <w:spacing w:line="579" w:lineRule="exact"/>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68"/>
        <w:ind w:firstLine="560"/>
        <w:shd w:val="clear" w:color="auto"/>
        <w:rPr>
          <w:rFonts w:hint="eastAsia" w:ascii="宋体" w:hAnsi="宋体" w:eastAsia="宋体" w:cs="宋体"/>
          <w:szCs w:val="28"/>
          <w:highlight w:val="none"/>
        </w:rPr>
      </w:pPr>
      <w:r>
        <w:rPr>
          <w:rFonts w:hint="eastAsia" w:ascii="宋体" w:hAnsi="宋体" w:eastAsia="宋体" w:cs="宋体"/>
          <w:szCs w:val="28"/>
          <w:highlight w:val="none"/>
        </w:rPr>
      </w:r>
      <w:r/>
    </w:p>
    <w:p>
      <w:pPr>
        <w:pStyle w:val="868"/>
        <w:ind w:firstLine="560"/>
        <w:shd w:val="clear" w:color="auto"/>
        <w:rPr>
          <w:rFonts w:hint="eastAsia" w:ascii="宋体" w:hAnsi="宋体" w:eastAsia="宋体" w:cs="宋体"/>
          <w:szCs w:val="28"/>
          <w:highlight w:val="none"/>
        </w:rPr>
      </w:pPr>
      <w:r>
        <w:rPr>
          <w:rFonts w:hint="eastAsia" w:ascii="宋体" w:hAnsi="宋体" w:eastAsia="宋体" w:cs="宋体"/>
          <w:szCs w:val="28"/>
          <w:highlight w:val="none"/>
        </w:rPr>
      </w:r>
      <w:r/>
    </w:p>
    <w:p>
      <w:pPr>
        <w:ind w:firstLine="4305"/>
        <w:spacing w:line="560" w:lineRule="exact"/>
        <w:shd w:val="clear" w:color="auto"/>
        <w:rPr>
          <w:rFonts w:hint="eastAsia" w:ascii="宋体" w:hAnsi="宋体" w:eastAsia="宋体" w:cs="宋体"/>
          <w:bCs/>
          <w:szCs w:val="28"/>
          <w:highlight w:val="none"/>
        </w:rPr>
      </w:pPr>
      <w:r>
        <w:rPr>
          <w:rFonts w:hint="eastAsia" w:ascii="宋体" w:hAnsi="宋体" w:eastAsia="宋体" w:cs="宋体"/>
          <w:bCs/>
          <w:szCs w:val="28"/>
          <w:highlight w:val="none"/>
          <w:lang w:eastAsia="zh-CN"/>
        </w:rPr>
        <w:t xml:space="preserve">供应商</w:t>
      </w:r>
      <w:r>
        <w:rPr>
          <w:rFonts w:hint="eastAsia" w:ascii="宋体" w:hAnsi="宋体" w:eastAsia="宋体" w:cs="宋体"/>
          <w:color w:val="000000"/>
          <w:sz w:val="24"/>
          <w:szCs w:val="24"/>
          <w:highlight w:val="none"/>
        </w:rPr>
        <w:t xml:space="preserve">（加盖CA电子签章）</w:t>
      </w:r>
      <w:r>
        <w:rPr>
          <w:rFonts w:hint="eastAsia" w:ascii="宋体" w:hAnsi="宋体" w:eastAsia="宋体" w:cs="宋体"/>
          <w:bCs/>
          <w:szCs w:val="28"/>
          <w:highlight w:val="none"/>
        </w:rPr>
        <w:t xml:space="preserve">：</w:t>
      </w:r>
      <w:r/>
    </w:p>
    <w:p>
      <w:pPr>
        <w:pStyle w:val="856"/>
        <w:ind w:left="0" w:right="0" w:firstLine="4340"/>
        <w:spacing w:line="560" w:lineRule="exact"/>
        <w:shd w:val="clear" w:color="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日期：</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年 </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月 </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日</w:t>
      </w:r>
      <w:r/>
    </w:p>
    <w:p>
      <w:pPr>
        <w:ind w:firstLine="1600"/>
        <w:spacing w:line="499" w:lineRule="atLeast"/>
        <w:shd w:val="clear" w:color="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57"/>
        <w:ind w:left="0" w:firstLine="0"/>
        <w:shd w:val="clear"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shd w:val="clear" w:color="auto"/>
        <w:rPr>
          <w:rFonts w:hint="eastAsia" w:ascii="宋体" w:hAnsi="宋体" w:eastAsia="宋体" w:cs="宋体"/>
          <w:szCs w:val="24"/>
          <w:highlight w:val="none"/>
        </w:rPr>
      </w:pPr>
      <w:r>
        <w:rPr>
          <w:rFonts w:hint="eastAsia" w:ascii="宋体" w:hAnsi="宋体" w:eastAsia="宋体" w:cs="宋体"/>
          <w:szCs w:val="24"/>
          <w:highlight w:val="none"/>
        </w:rPr>
      </w:r>
      <w:r/>
    </w:p>
    <w:p>
      <w:pPr>
        <w:pStyle w:val="861"/>
        <w:jc w:val="center"/>
        <w:spacing w:beforeAutospacing="0" w:afterAutospacing="0" w:line="0" w:lineRule="atLeast"/>
        <w:shd w:val="clear" w:color="auto"/>
        <w:rPr>
          <w:rFonts w:hint="eastAsia" w:ascii="宋体" w:hAnsi="宋体" w:eastAsia="宋体" w:cs="宋体"/>
          <w:b/>
          <w:i/>
          <w:iCs/>
          <w:color w:val="000000"/>
          <w:sz w:val="32"/>
          <w:szCs w:val="32"/>
          <w:highlight w:val="none"/>
          <w:u w:val="single"/>
          <w:lang w:val="en-US" w:eastAsia="zh-CN"/>
        </w:rPr>
        <w:outlineLvl w:val="0"/>
      </w:pPr>
      <w:r/>
      <w:bookmarkStart w:id="252" w:name="_Toc6228"/>
      <w:r/>
      <w:bookmarkStart w:id="253" w:name="_Toc1393"/>
      <w:r/>
      <w:bookmarkStart w:id="254" w:name="_Toc123986650"/>
      <w:r>
        <w:rPr>
          <w:rFonts w:hint="eastAsia" w:ascii="宋体" w:hAnsi="宋体" w:eastAsia="宋体" w:cs="宋体"/>
          <w:b/>
          <w:i/>
          <w:iCs/>
          <w:color w:val="000000"/>
          <w:sz w:val="32"/>
          <w:szCs w:val="32"/>
          <w:highlight w:val="none"/>
          <w:u w:val="single"/>
          <w:lang w:val="en-US" w:eastAsia="zh-CN"/>
        </w:rPr>
        <w:t xml:space="preserve">十</w:t>
      </w:r>
      <w:r>
        <w:rPr>
          <w:rFonts w:hint="eastAsia" w:ascii="宋体" w:hAnsi="宋体" w:cs="宋体"/>
          <w:b/>
          <w:i/>
          <w:iCs/>
          <w:color w:val="000000"/>
          <w:sz w:val="32"/>
          <w:szCs w:val="32"/>
          <w:highlight w:val="none"/>
          <w:u w:val="single"/>
          <w:lang w:val="en-US" w:eastAsia="zh-CN"/>
        </w:rPr>
        <w:t xml:space="preserve">三</w:t>
      </w:r>
      <w:r>
        <w:rPr>
          <w:rFonts w:hint="eastAsia" w:ascii="宋体" w:hAnsi="宋体" w:eastAsia="宋体" w:cs="宋体"/>
          <w:b/>
          <w:i/>
          <w:iCs/>
          <w:color w:val="000000"/>
          <w:sz w:val="32"/>
          <w:szCs w:val="32"/>
          <w:highlight w:val="none"/>
          <w:u w:val="single"/>
          <w:lang w:val="en-US" w:eastAsia="zh-CN"/>
        </w:rPr>
        <w:t xml:space="preserve">、开标一览表（格式）</w:t>
      </w:r>
      <w:bookmarkEnd w:id="252"/>
      <w:r/>
      <w:bookmarkEnd w:id="253"/>
      <w:r/>
      <w:r/>
    </w:p>
    <w:p>
      <w:pPr>
        <w:pStyle w:val="845"/>
        <w:shd w:val="clear" w:color="auto"/>
        <w:rPr>
          <w:rFonts w:hint="eastAsia" w:ascii="宋体" w:hAnsi="宋体" w:eastAsia="宋体" w:cs="宋体"/>
          <w:b/>
          <w:bCs/>
          <w:highlight w:val="none"/>
        </w:rPr>
        <w:outlineLvl w:val="9"/>
      </w:pPr>
      <w:r>
        <w:rPr>
          <w:rFonts w:hint="eastAsia" w:ascii="宋体" w:hAnsi="宋体" w:eastAsia="宋体" w:cs="宋体"/>
          <w:b/>
          <w:bCs/>
          <w:highlight w:val="none"/>
        </w:rPr>
      </w:r>
      <w:r/>
    </w:p>
    <w:p>
      <w:pPr>
        <w:pStyle w:val="845"/>
        <w:shd w:val="clear" w:color="auto"/>
        <w:rPr>
          <w:rFonts w:hint="eastAsia" w:ascii="宋体" w:hAnsi="宋体" w:eastAsia="宋体" w:cs="宋体"/>
          <w:b/>
          <w:bCs/>
          <w:highlight w:val="none"/>
        </w:rPr>
        <w:outlineLvl w:val="9"/>
      </w:pPr>
      <w:r>
        <w:rPr>
          <w:rFonts w:hint="eastAsia" w:ascii="宋体" w:hAnsi="宋体" w:eastAsia="宋体" w:cs="宋体"/>
          <w:b/>
          <w:bCs/>
          <w:highlight w:val="none"/>
        </w:rPr>
        <w:t xml:space="preserve">（一轮报价表）</w:t>
      </w:r>
      <w:bookmarkEnd w:id="254"/>
      <w:r/>
      <w:r/>
    </w:p>
    <w:tbl>
      <w:tblPr>
        <w:tblStyle w:val="847"/>
        <w:tblpPr w:horzAnchor="margin" w:tblpXSpec="center" w:vertAnchor="text" w:tblpY="19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940"/>
      </w:tblGrid>
      <w:tr>
        <w:trPr>
          <w:cantSplit/>
          <w:trHeight w:val="1024"/>
        </w:trPr>
        <w:tc>
          <w:tcPr>
            <w:tcW w:w="1242" w:type="dxa"/>
            <w:vAlign w:val="center"/>
            <w:textDirection w:val="lrTb"/>
            <w:noWrap w:val="false"/>
          </w:tcPr>
          <w:p>
            <w:pPr>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tc>
        <w:tc>
          <w:tcPr>
            <w:tcW w:w="7940" w:type="dxa"/>
            <w:vAlign w:val="center"/>
            <w:textDirection w:val="lrTb"/>
            <w:noWrap w:val="false"/>
          </w:tcPr>
          <w:p>
            <w:pPr>
              <w:shd w:val="clear" w:color="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JSZC-320924-HHWX-D2026-0002</w:t>
            </w:r>
            <w:r/>
          </w:p>
        </w:tc>
      </w:tr>
      <w:tr>
        <w:trPr>
          <w:cantSplit/>
          <w:trHeight w:val="1080"/>
        </w:trPr>
        <w:tc>
          <w:tcPr>
            <w:tcW w:w="1242" w:type="dxa"/>
            <w:vAlign w:val="center"/>
            <w:textDirection w:val="lrTb"/>
            <w:noWrap w:val="false"/>
          </w:tcPr>
          <w:p>
            <w:pPr>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7940" w:type="dxa"/>
            <w:vAlign w:val="center"/>
            <w:textDirection w:val="lrTb"/>
            <w:noWrap w:val="false"/>
          </w:tcPr>
          <w:p>
            <w:pPr>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射阳县自然资源和规划局射阳县202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年射阳河北片区互花米草治理项目</w:t>
            </w:r>
            <w:r/>
          </w:p>
        </w:tc>
      </w:tr>
      <w:tr>
        <w:trPr>
          <w:cantSplit/>
          <w:trHeight w:val="1306"/>
        </w:trPr>
        <w:tc>
          <w:tcPr>
            <w:gridSpan w:val="2"/>
            <w:tcW w:w="9182" w:type="dxa"/>
            <w:vAlign w:val="center"/>
            <w:textDirection w:val="lrTb"/>
            <w:noWrap w:val="false"/>
          </w:tcPr>
          <w:p>
            <w:pPr>
              <w:shd w:val="clear" w:color="auto"/>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rPr>
              <w:t xml:space="preserve">投标总报价：</w:t>
            </w:r>
            <w:r>
              <w:rPr>
                <w:rFonts w:hint="eastAsia" w:ascii="宋体" w:hAnsi="宋体" w:eastAsia="宋体" w:cs="宋体"/>
                <w:sz w:val="24"/>
                <w:szCs w:val="24"/>
                <w:highlight w:val="none"/>
              </w:rPr>
              <w:t xml:space="preserve">     </w:t>
            </w:r>
            <w:r/>
          </w:p>
        </w:tc>
      </w:tr>
    </w:tbl>
    <w:p>
      <w:pPr>
        <w:ind w:firstLine="241"/>
        <w:spacing w:line="348"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声明：表中的“报价”是本次投标</w:t>
      </w:r>
      <w:r>
        <w:rPr>
          <w:rFonts w:hint="eastAsia" w:ascii="宋体" w:hAnsi="宋体" w:eastAsia="宋体" w:cs="宋体"/>
          <w:b/>
          <w:sz w:val="24"/>
          <w:szCs w:val="24"/>
          <w:highlight w:val="none"/>
          <w:lang w:val="en-US" w:eastAsia="zh-CN"/>
        </w:rPr>
        <w:t xml:space="preserve">货物及</w:t>
      </w:r>
      <w:r>
        <w:rPr>
          <w:rFonts w:hint="eastAsia" w:ascii="宋体" w:hAnsi="宋体" w:eastAsia="宋体" w:cs="宋体"/>
          <w:b/>
          <w:sz w:val="24"/>
          <w:szCs w:val="24"/>
          <w:highlight w:val="none"/>
        </w:rPr>
        <w:t xml:space="preserve">相关服务全部费用的报价。</w:t>
      </w:r>
      <w:r/>
    </w:p>
    <w:p>
      <w:pPr>
        <w:ind w:firstLine="210"/>
        <w:shd w:val="clear" w:color="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r>
      <w:r/>
    </w:p>
    <w:p>
      <w:pPr>
        <w:ind w:firstLine="210"/>
        <w:shd w:val="clear" w:color="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小数点后保留两位。</w:t>
      </w:r>
      <w:r/>
    </w:p>
    <w:p>
      <w:pPr>
        <w:jc w:val="center"/>
        <w:spacing w:after="100" w:afterAutospacing="1" w:line="400" w:lineRule="exact"/>
        <w:shd w:val="clear" w:color="auto"/>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jc w:val="center"/>
        <w:spacing w:after="100" w:afterAutospacing="1" w:line="400" w:lineRule="exact"/>
        <w:shd w:val="clear" w:color="auto"/>
        <w:rPr>
          <w:rFonts w:hint="eastAsia" w:ascii="宋体" w:hAnsi="宋体" w:eastAsia="宋体" w:cs="宋体"/>
          <w:sz w:val="24"/>
          <w:szCs w:val="32"/>
          <w:highlight w:val="none"/>
        </w:rPr>
      </w:pPr>
      <w:r>
        <w:rPr>
          <w:rFonts w:hint="eastAsia" w:ascii="宋体" w:hAnsi="宋体" w:eastAsia="宋体" w:cs="宋体"/>
          <w:sz w:val="24"/>
          <w:szCs w:val="32"/>
          <w:highlight w:val="none"/>
          <w:lang w:eastAsia="zh-CN"/>
        </w:rPr>
        <w:t xml:space="preserve">供应商</w:t>
      </w:r>
      <w:r>
        <w:rPr>
          <w:rFonts w:hint="eastAsia" w:ascii="宋体" w:hAnsi="宋体" w:eastAsia="宋体" w:cs="宋体"/>
          <w:sz w:val="24"/>
          <w:szCs w:val="32"/>
          <w:highlight w:val="none"/>
        </w:rPr>
        <w:t xml:space="preserve">（加盖CA电子签章）：</w:t>
      </w:r>
      <w:r/>
    </w:p>
    <w:p>
      <w:pPr>
        <w:ind w:firstLine="3024"/>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sz w:val="24"/>
          <w:szCs w:val="32"/>
          <w:highlight w:val="none"/>
        </w:rPr>
        <w:t xml:space="preserve">日期：      年     月     日</w:t>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863"/>
        <w:shd w:val="clear" w:color="auto"/>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shd w:val="clear" w:color="auto"/>
        <w:widowControl/>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jc w:val="center"/>
        <w:spacing w:line="499" w:lineRule="atLeast"/>
        <w:shd w:val="clear" w:color="auto"/>
        <w:widowControl/>
        <w:rPr>
          <w:rFonts w:hint="eastAsia" w:ascii="宋体" w:hAnsi="宋体" w:eastAsia="宋体" w:cs="宋体"/>
          <w:b/>
          <w:bCs/>
          <w:sz w:val="24"/>
          <w:highlight w:val="none"/>
        </w:rPr>
        <w:outlineLvl w:val="0"/>
      </w:pPr>
      <w:r/>
      <w:bookmarkStart w:id="255" w:name="_Toc28208"/>
      <w:r/>
      <w:bookmarkStart w:id="256" w:name="_Toc9391"/>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、盐城市政府采购事前信用承诺书</w:t>
      </w:r>
      <w:bookmarkEnd w:id="255"/>
      <w:r/>
      <w:bookmarkEnd w:id="256"/>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 月 日</w:t>
      </w:r>
      <w:r/>
    </w:p>
    <w:p>
      <w:pPr>
        <w:pStyle w:val="861"/>
        <w:jc w:val="center"/>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pStyle w:val="861"/>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1"/>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1"/>
        <w:jc w:val="center"/>
        <w:spacing w:beforeAutospacing="0" w:afterAutospacing="0"/>
        <w:shd w:val="clear" w:color="auto"/>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t xml:space="preserve">质疑函范本</w:t>
      </w:r>
      <w:r/>
    </w:p>
    <w:p>
      <w:pPr>
        <w:pStyle w:val="861"/>
        <w:jc w:val="both"/>
        <w:spacing w:before="290" w:beforeAutospacing="0" w:afterAutospacing="0" w:line="360" w:lineRule="auto"/>
        <w:shd w:val="clear" w:color="auto"/>
        <w:rPr>
          <w:rFonts w:hint="eastAsia" w:ascii="宋体" w:hAnsi="宋体" w:eastAsia="宋体" w:cs="宋体"/>
          <w:highlight w:val="none"/>
        </w:rPr>
        <w:outlineLvl w:val="0"/>
      </w:pPr>
      <w:r/>
      <w:bookmarkStart w:id="257" w:name="_Toc13397"/>
      <w:r/>
      <w:bookmarkStart w:id="258" w:name="_Toc20746"/>
      <w:r>
        <w:rPr>
          <w:rFonts w:hint="eastAsia" w:ascii="宋体" w:hAnsi="宋体" w:eastAsia="宋体" w:cs="宋体"/>
          <w:color w:val="000000"/>
          <w:highlight w:val="none"/>
        </w:rPr>
        <w:t xml:space="preserve">一、质疑供应商基本信息</w:t>
      </w:r>
      <w:bookmarkEnd w:id="257"/>
      <w:r/>
      <w:bookmarkEnd w:id="258"/>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outlineLvl w:val="0"/>
      </w:pPr>
      <w:r/>
      <w:bookmarkStart w:id="259" w:name="_Toc8177"/>
      <w:r/>
      <w:bookmarkStart w:id="260" w:name="_Toc23274"/>
      <w:r>
        <w:rPr>
          <w:rFonts w:hint="eastAsia" w:ascii="宋体" w:hAnsi="宋体" w:eastAsia="宋体" w:cs="宋体"/>
          <w:color w:val="000000"/>
          <w:highlight w:val="none"/>
        </w:rPr>
        <w:t xml:space="preserve">二、质疑项目基本情况</w:t>
      </w:r>
      <w:bookmarkEnd w:id="259"/>
      <w:r/>
      <w:bookmarkEnd w:id="260"/>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outlineLvl w:val="0"/>
      </w:pPr>
      <w:r/>
      <w:bookmarkStart w:id="261" w:name="_Toc18678"/>
      <w:r/>
      <w:bookmarkStart w:id="262" w:name="_Toc9061"/>
      <w:r>
        <w:rPr>
          <w:rFonts w:hint="eastAsia" w:ascii="宋体" w:hAnsi="宋体" w:eastAsia="宋体" w:cs="宋体"/>
          <w:color w:val="000000"/>
          <w:highlight w:val="none"/>
        </w:rPr>
        <w:t xml:space="preserve">三、质疑事项具体内容</w:t>
      </w:r>
      <w:bookmarkEnd w:id="261"/>
      <w:r/>
      <w:bookmarkEnd w:id="262"/>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1"/>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61"/>
        <w:jc w:val="both"/>
        <w:spacing w:beforeAutospacing="0" w:afterAutospacing="0" w:line="360" w:lineRule="auto"/>
        <w:shd w:val="clear" w:color="auto"/>
        <w:rPr>
          <w:rFonts w:hint="eastAsia" w:ascii="宋体" w:hAnsi="宋体" w:eastAsia="宋体" w:cs="宋体"/>
          <w:highlight w:val="none"/>
        </w:rPr>
        <w:outlineLvl w:val="0"/>
      </w:pPr>
      <w:r/>
      <w:bookmarkStart w:id="263" w:name="_Toc13054"/>
      <w:r/>
      <w:bookmarkStart w:id="264" w:name="_Toc17500"/>
      <w:r>
        <w:rPr>
          <w:rFonts w:hint="eastAsia" w:ascii="宋体" w:hAnsi="宋体" w:eastAsia="宋体" w:cs="宋体"/>
          <w:color w:val="000000"/>
          <w:highlight w:val="none"/>
        </w:rPr>
        <w:t xml:space="preserve">四、与质疑事项相关的质疑请求</w:t>
      </w:r>
      <w:bookmarkEnd w:id="263"/>
      <w:r/>
      <w:bookmarkEnd w:id="264"/>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1"/>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1"/>
        <w:ind w:firstLine="480"/>
        <w:spacing w:beforeAutospacing="0" w:afterAutospacing="0" w:line="360" w:lineRule="auto"/>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1"/>
        <w:ind w:firstLine="420"/>
        <w:jc w:val="both"/>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861"/>
        <w:jc w:val="center"/>
        <w:spacing w:beforeAutospacing="0" w:afterAutospacing="0"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5"/>
    <w:uiPriority w:val="9"/>
    <w:rPr>
      <w:rFonts w:ascii="Arial" w:hAnsi="Arial" w:eastAsia="Arial" w:cs="Arial"/>
      <w:sz w:val="40"/>
      <w:szCs w:val="40"/>
    </w:rPr>
  </w:style>
  <w:style w:type="paragraph" w:styleId="673">
    <w:name w:val="Heading 2"/>
    <w:basedOn w:val="844"/>
    <w:next w:val="844"/>
    <w:link w:val="674"/>
    <w:uiPriority w:val="9"/>
    <w:unhideWhenUsed/>
    <w:qFormat/>
    <w:pPr>
      <w:keepLines/>
      <w:keepNext/>
      <w:spacing w:before="360" w:after="200"/>
      <w:outlineLvl w:val="1"/>
    </w:pPr>
    <w:rPr>
      <w:rFonts w:ascii="Arial" w:hAnsi="Arial" w:eastAsia="Arial" w:cs="Arial"/>
      <w:sz w:val="34"/>
    </w:rPr>
  </w:style>
  <w:style w:type="character" w:styleId="674">
    <w:name w:val="Heading 2 Char"/>
    <w:basedOn w:val="846"/>
    <w:link w:val="673"/>
    <w:uiPriority w:val="9"/>
    <w:rPr>
      <w:rFonts w:ascii="Arial" w:hAnsi="Arial" w:eastAsia="Arial" w:cs="Arial"/>
      <w:sz w:val="34"/>
    </w:rPr>
  </w:style>
  <w:style w:type="paragraph" w:styleId="675">
    <w:name w:val="Heading 3"/>
    <w:basedOn w:val="844"/>
    <w:next w:val="844"/>
    <w:link w:val="676"/>
    <w:uiPriority w:val="9"/>
    <w:unhideWhenUsed/>
    <w:qFormat/>
    <w:pPr>
      <w:keepLines/>
      <w:keepNext/>
      <w:spacing w:before="320" w:after="200"/>
      <w:outlineLvl w:val="2"/>
    </w:pPr>
    <w:rPr>
      <w:rFonts w:ascii="Arial" w:hAnsi="Arial" w:eastAsia="Arial" w:cs="Arial"/>
      <w:sz w:val="30"/>
      <w:szCs w:val="30"/>
    </w:rPr>
  </w:style>
  <w:style w:type="character" w:styleId="676">
    <w:name w:val="Heading 3 Char"/>
    <w:basedOn w:val="846"/>
    <w:link w:val="675"/>
    <w:uiPriority w:val="9"/>
    <w:rPr>
      <w:rFonts w:ascii="Arial" w:hAnsi="Arial" w:eastAsia="Arial" w:cs="Arial"/>
      <w:sz w:val="30"/>
      <w:szCs w:val="30"/>
    </w:rPr>
  </w:style>
  <w:style w:type="paragraph" w:styleId="677">
    <w:name w:val="Heading 4"/>
    <w:basedOn w:val="844"/>
    <w:next w:val="844"/>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6"/>
    <w:link w:val="677"/>
    <w:uiPriority w:val="9"/>
    <w:rPr>
      <w:rFonts w:ascii="Arial" w:hAnsi="Arial" w:eastAsia="Arial" w:cs="Arial"/>
      <w:b/>
      <w:bCs/>
      <w:sz w:val="26"/>
      <w:szCs w:val="26"/>
    </w:rPr>
  </w:style>
  <w:style w:type="paragraph" w:styleId="679">
    <w:name w:val="Heading 5"/>
    <w:basedOn w:val="844"/>
    <w:next w:val="844"/>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6"/>
    <w:link w:val="679"/>
    <w:uiPriority w:val="9"/>
    <w:rPr>
      <w:rFonts w:ascii="Arial" w:hAnsi="Arial" w:eastAsia="Arial" w:cs="Arial"/>
      <w:b/>
      <w:bCs/>
      <w:sz w:val="24"/>
      <w:szCs w:val="24"/>
    </w:rPr>
  </w:style>
  <w:style w:type="paragraph" w:styleId="681">
    <w:name w:val="Heading 6"/>
    <w:basedOn w:val="844"/>
    <w:next w:val="844"/>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6"/>
    <w:link w:val="681"/>
    <w:uiPriority w:val="9"/>
    <w:rPr>
      <w:rFonts w:ascii="Arial" w:hAnsi="Arial" w:eastAsia="Arial" w:cs="Arial"/>
      <w:b/>
      <w:bCs/>
      <w:sz w:val="22"/>
      <w:szCs w:val="22"/>
    </w:rPr>
  </w:style>
  <w:style w:type="paragraph" w:styleId="683">
    <w:name w:val="Heading 7"/>
    <w:basedOn w:val="844"/>
    <w:next w:val="844"/>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6"/>
    <w:link w:val="683"/>
    <w:uiPriority w:val="9"/>
    <w:rPr>
      <w:rFonts w:ascii="Arial" w:hAnsi="Arial" w:eastAsia="Arial" w:cs="Arial"/>
      <w:b/>
      <w:bCs/>
      <w:i/>
      <w:iCs/>
      <w:sz w:val="22"/>
      <w:szCs w:val="22"/>
    </w:rPr>
  </w:style>
  <w:style w:type="paragraph" w:styleId="685">
    <w:name w:val="Heading 8"/>
    <w:basedOn w:val="844"/>
    <w:next w:val="844"/>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6"/>
    <w:link w:val="685"/>
    <w:uiPriority w:val="9"/>
    <w:rPr>
      <w:rFonts w:ascii="Arial" w:hAnsi="Arial" w:eastAsia="Arial" w:cs="Arial"/>
      <w:i/>
      <w:iCs/>
      <w:sz w:val="22"/>
      <w:szCs w:val="22"/>
    </w:rPr>
  </w:style>
  <w:style w:type="paragraph" w:styleId="687">
    <w:name w:val="Heading 9"/>
    <w:basedOn w:val="844"/>
    <w:next w:val="844"/>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6"/>
    <w:link w:val="687"/>
    <w:uiPriority w:val="9"/>
    <w:rPr>
      <w:rFonts w:ascii="Arial" w:hAnsi="Arial" w:eastAsia="Arial" w:cs="Arial"/>
      <w:i/>
      <w:iCs/>
      <w:sz w:val="21"/>
      <w:szCs w:val="21"/>
    </w:rPr>
  </w:style>
  <w:style w:type="paragraph" w:styleId="689">
    <w:name w:val="Title"/>
    <w:basedOn w:val="844"/>
    <w:next w:val="844"/>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4"/>
    <w:next w:val="844"/>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4"/>
    <w:next w:val="844"/>
    <w:link w:val="694"/>
    <w:uiPriority w:val="29"/>
    <w:qFormat/>
    <w:pPr>
      <w:ind w:left="720" w:right="720"/>
    </w:pPr>
    <w:rPr>
      <w:i/>
    </w:rPr>
  </w:style>
  <w:style w:type="character" w:styleId="694">
    <w:name w:val="Quote Char"/>
    <w:link w:val="693"/>
    <w:uiPriority w:val="29"/>
    <w:rPr>
      <w:i/>
    </w:rPr>
  </w:style>
  <w:style w:type="paragraph" w:styleId="695">
    <w:name w:val="Intense Quote"/>
    <w:basedOn w:val="844"/>
    <w:next w:val="8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9"/>
    <w:uiPriority w:val="99"/>
  </w:style>
  <w:style w:type="character" w:styleId="698">
    <w:name w:val="Footer Char"/>
    <w:basedOn w:val="846"/>
    <w:link w:val="858"/>
    <w:uiPriority w:val="99"/>
  </w:style>
  <w:style w:type="paragraph" w:styleId="699">
    <w:name w:val="Caption"/>
    <w:basedOn w:val="844"/>
    <w:next w:val="844"/>
    <w:uiPriority w:val="35"/>
    <w:semiHidden/>
    <w:unhideWhenUsed/>
    <w:qFormat/>
    <w:pPr>
      <w:spacing w:line="276" w:lineRule="auto"/>
    </w:pPr>
    <w:rPr>
      <w:b/>
      <w:bCs/>
      <w:color w:val="4f81bd" w:themeColor="accent1"/>
      <w:sz w:val="18"/>
      <w:szCs w:val="18"/>
    </w:rPr>
  </w:style>
  <w:style w:type="character" w:styleId="700">
    <w:name w:val="Caption Char"/>
    <w:basedOn w:val="699"/>
    <w:link w:val="858"/>
    <w:uiPriority w:val="99"/>
  </w:style>
  <w:style w:type="table" w:styleId="701">
    <w:name w:val="Table Grid"/>
    <w:basedOn w:val="8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8">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9">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0">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1">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2">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3">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3">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4">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5">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6">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7">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8">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0">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1">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2">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3">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4">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5">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4">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5">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6">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7">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8">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9">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1">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2">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3">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4">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5">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6">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8">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9">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0">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1">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2">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3">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5">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6">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7">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8">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9">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0">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6"/>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6"/>
    <w:uiPriority w:val="99"/>
    <w:semiHidden/>
    <w:unhideWhenUsed/>
    <w:rPr>
      <w:vertAlign w:val="superscript"/>
    </w:r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Calibri" w:hAnsi="Calibri" w:eastAsia="宋体" w:cs="宋体"/>
      <w:sz w:val="21"/>
      <w:szCs w:val="24"/>
      <w:lang w:val="en-US" w:eastAsia="zh-CN" w:bidi="ar-SA"/>
    </w:rPr>
  </w:style>
  <w:style w:type="paragraph" w:styleId="845">
    <w:name w:val="Heading 1"/>
    <w:basedOn w:val="844"/>
    <w:next w:val="844"/>
    <w:uiPriority w:val="0"/>
    <w:qFormat/>
    <w:pPr>
      <w:jc w:val="center"/>
      <w:keepNext/>
      <w:outlineLvl w:val="0"/>
    </w:pPr>
    <w:rPr>
      <w:rFonts w:ascii="楷体_GB2312" w:eastAsia="楷体_GB2312"/>
      <w:szCs w:val="28"/>
    </w:rPr>
  </w:style>
  <w:style w:type="character" w:styleId="846" w:default="1">
    <w:name w:val="Default Paragraph Font"/>
    <w:uiPriority w:val="0"/>
    <w:semiHidden/>
    <w:qFormat/>
  </w:style>
  <w:style w:type="table" w:styleId="847" w:default="1">
    <w:name w:val="Normal Table"/>
    <w:uiPriority w:val="0"/>
    <w:semiHidden/>
    <w:qFormat/>
    <w:tblPr>
      <w:tblCellMar>
        <w:left w:w="108" w:type="dxa"/>
        <w:top w:w="0" w:type="dxa"/>
        <w:right w:w="108" w:type="dxa"/>
        <w:bottom w:w="0" w:type="dxa"/>
      </w:tblCellMar>
    </w:tblPr>
  </w:style>
  <w:style w:type="paragraph" w:styleId="848">
    <w:name w:val="table of authorities"/>
    <w:basedOn w:val="844"/>
    <w:next w:val="844"/>
    <w:uiPriority w:val="0"/>
    <w:qFormat/>
    <w:pPr>
      <w:ind w:left="42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49">
    <w:name w:val="Body Text"/>
    <w:basedOn w:val="844"/>
    <w:next w:val="850"/>
    <w:uiPriority w:val="0"/>
    <w:qFormat/>
    <w:pPr>
      <w:spacing w:after="120"/>
    </w:pPr>
    <w:rPr>
      <w:szCs w:val="20"/>
    </w:rPr>
  </w:style>
  <w:style w:type="paragraph" w:styleId="850" w:customStyle="1">
    <w:name w:val="一级条标题"/>
    <w:basedOn w:val="851"/>
    <w:next w:val="85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1" w:customStyle="1">
    <w:name w:val="章标题"/>
    <w:next w:val="844"/>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2" w:customStyle="1">
    <w:name w:val="段"/>
    <w:next w:val="85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53" w:customStyle="1">
    <w:name w:val="正文 A"/>
    <w:next w:val="852"/>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854">
    <w:name w:val="Body Text Indent"/>
    <w:basedOn w:val="844"/>
    <w:next w:val="855"/>
    <w:uiPriority w:val="0"/>
    <w:qFormat/>
    <w:pPr>
      <w:ind w:left="420"/>
      <w:spacing w:after="120"/>
    </w:pPr>
    <w:rPr>
      <w:sz w:val="24"/>
    </w:rPr>
  </w:style>
  <w:style w:type="paragraph" w:styleId="855">
    <w:name w:val="envelope return"/>
    <w:basedOn w:val="844"/>
    <w:uiPriority w:val="99"/>
    <w:qFormat/>
    <w:rPr>
      <w:rFonts w:ascii="Arial" w:hAnsi="Arial" w:cs="Arial"/>
    </w:rPr>
  </w:style>
  <w:style w:type="paragraph" w:styleId="856">
    <w:name w:val="Block Text"/>
    <w:basedOn w:val="844"/>
    <w:uiPriority w:val="99"/>
    <w:qFormat/>
    <w:pPr>
      <w:ind w:left="256" w:right="6" w:firstLine="624"/>
      <w:spacing w:before="100" w:beforeAutospacing="1" w:after="100" w:afterAutospacing="1"/>
    </w:pPr>
    <w:rPr>
      <w:rFonts w:ascii="Times New Roman" w:hAnsi="Times New Roman" w:eastAsia="仿宋"/>
      <w:szCs w:val="28"/>
    </w:rPr>
  </w:style>
  <w:style w:type="paragraph" w:styleId="857">
    <w:name w:val="Body Text Indent 2"/>
    <w:basedOn w:val="844"/>
    <w:uiPriority w:val="0"/>
    <w:qFormat/>
    <w:pPr>
      <w:ind w:firstLine="525"/>
      <w:jc w:val="both"/>
      <w:spacing w:line="420" w:lineRule="exact"/>
    </w:pPr>
    <w:rPr>
      <w:rFonts w:ascii="宋体" w:eastAsia="宋体"/>
      <w:color w:val="auto"/>
      <w:sz w:val="21"/>
      <w:szCs w:val="20"/>
      <w:lang w:bidi="ar-SA"/>
    </w:rPr>
  </w:style>
  <w:style w:type="paragraph" w:styleId="858">
    <w:name w:val="Footer"/>
    <w:basedOn w:val="844"/>
    <w:uiPriority w:val="0"/>
    <w:qFormat/>
    <w:pPr>
      <w:jc w:val="left"/>
      <w:tabs>
        <w:tab w:val="center" w:pos="4153" w:leader="none"/>
        <w:tab w:val="right" w:pos="8306" w:leader="none"/>
      </w:tabs>
    </w:pPr>
    <w:rPr>
      <w:sz w:val="18"/>
      <w:szCs w:val="18"/>
    </w:rPr>
  </w:style>
  <w:style w:type="paragraph" w:styleId="859">
    <w:name w:val="Header"/>
    <w:basedOn w:val="84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44"/>
    <w:next w:val="844"/>
    <w:uiPriority w:val="0"/>
    <w:qFormat/>
  </w:style>
  <w:style w:type="paragraph" w:styleId="861">
    <w:name w:val="Normal (Web)"/>
    <w:basedOn w:val="844"/>
    <w:uiPriority w:val="0"/>
    <w:qFormat/>
    <w:pPr>
      <w:jc w:val="left"/>
      <w:spacing w:beforeAutospacing="1" w:afterAutospacing="1"/>
    </w:pPr>
    <w:rPr>
      <w:rFonts w:cs="Times New Roman"/>
      <w:sz w:val="24"/>
    </w:rPr>
  </w:style>
  <w:style w:type="paragraph" w:styleId="862">
    <w:name w:val="Body Text First Indent"/>
    <w:basedOn w:val="849"/>
    <w:uiPriority w:val="0"/>
    <w:qFormat/>
    <w:pPr>
      <w:ind w:firstLine="420"/>
    </w:pPr>
    <w:rPr>
      <w:sz w:val="24"/>
    </w:rPr>
  </w:style>
  <w:style w:type="paragraph" w:styleId="863">
    <w:name w:val="Body Text First Indent 2"/>
    <w:basedOn w:val="854"/>
    <w:uiPriority w:val="0"/>
    <w:qFormat/>
    <w:pPr>
      <w:ind w:firstLine="420"/>
    </w:pPr>
  </w:style>
  <w:style w:type="paragraph" w:styleId="864" w:customStyle="1">
    <w:name w:val="正文文本1"/>
    <w:basedOn w:val="844"/>
    <w:next w:val="844"/>
    <w:uiPriority w:val="0"/>
    <w:qFormat/>
    <w:pPr>
      <w:jc w:val="center"/>
    </w:pPr>
    <w:rPr>
      <w:rFonts w:eastAsia="仿宋_GB2312"/>
      <w:sz w:val="28"/>
    </w:rPr>
  </w:style>
  <w:style w:type="paragraph" w:styleId="865" w:customStyle="1">
    <w:name w:val="_Style 340"/>
    <w:next w:val="866"/>
    <w:uiPriority w:val="0"/>
    <w:qFormat/>
    <w:pPr>
      <w:ind w:firstLine="420"/>
      <w:jc w:val="both"/>
      <w:widowControl w:val="off"/>
    </w:pPr>
    <w:rPr>
      <w:rFonts w:ascii="Calibri" w:hAnsi="Calibri" w:eastAsia="宋体" w:cs="Times New Roman"/>
      <w:sz w:val="21"/>
      <w:szCs w:val="22"/>
      <w:lang w:val="en-US" w:eastAsia="zh-CN" w:bidi="ar-SA"/>
    </w:rPr>
  </w:style>
  <w:style w:type="paragraph" w:styleId="866">
    <w:name w:val="List Paragraph"/>
    <w:basedOn w:val="844"/>
    <w:uiPriority w:val="34"/>
    <w:qFormat/>
    <w:pPr>
      <w:ind w:firstLine="420"/>
    </w:pPr>
  </w:style>
  <w:style w:type="paragraph" w:styleId="867" w:customStyle="1">
    <w:name w:val="文本块1"/>
    <w:basedOn w:val="844"/>
    <w:uiPriority w:val="99"/>
    <w:qFormat/>
    <w:pPr>
      <w:ind w:left="1440" w:right="1440"/>
      <w:spacing w:after="120"/>
      <w:tabs>
        <w:tab w:val="left" w:pos="9000" w:leader="none"/>
      </w:tabs>
    </w:pPr>
  </w:style>
  <w:style w:type="paragraph" w:styleId="868" w:customStyle="1">
    <w:name w:val="正文空2格  1."/>
    <w:basedOn w:val="844"/>
    <w:uiPriority w:val="0"/>
    <w:qFormat/>
    <w:pPr>
      <w:ind w:firstLine="480"/>
    </w:pPr>
    <w:rPr>
      <w:rFonts w:cs="宋体"/>
      <w:szCs w:val="20"/>
    </w:rPr>
  </w:style>
  <w:style w:type="paragraph" w:styleId="869">
    <w:name w:val="No Spacing"/>
    <w:uiPriority w:val="1"/>
    <w:qFormat/>
    <w:pPr>
      <w:jc w:val="both"/>
      <w:widowControl w:val="off"/>
    </w:pPr>
    <w:rPr>
      <w:rFonts w:ascii="Calibri" w:hAnsi="Calibri" w:eastAsia="宋体" w:cs="Times New Roman"/>
      <w:sz w:val="21"/>
      <w:szCs w:val="22"/>
      <w:lang w:val="en-US" w:eastAsia="zh-CN" w:bidi="ar-SA"/>
    </w:rPr>
  </w:style>
  <w:style w:type="paragraph" w:styleId="870" w:customStyle="1">
    <w:name w:val="列出段落1"/>
    <w:basedOn w:val="844"/>
    <w:uiPriority w:val="34"/>
    <w:qFormat/>
    <w:pPr>
      <w:ind w:firstLine="420"/>
    </w:p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顾硕频</cp:lastModifiedBy>
  <cp:revision>2</cp:revision>
  <dcterms:created xsi:type="dcterms:W3CDTF">2025-04-22T13:44:00Z</dcterms:created>
  <dcterms:modified xsi:type="dcterms:W3CDTF">2026-07-08T10:00:13Z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eyJoZGlkIjoiZjU5Yjk4MWFjYTU0OGYwNDI3N2I5Y2E3MmU3MjhlYjYiLCJ1c2VySWQiOiI3MzY3NTU1MDYifQ==</vt:lpwstr>
  </property>
  <property fmtid="{D5CDD505-2E9C-101B-9397-08002B2CF9AE}" pid="4" name="ICV">
    <vt:lpwstr>4B6D683FB95E44C5A14E58952192A9C1_12</vt:lpwstr>
  </property>
</Properties>
</file>