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spacing w:before="120" w:beforeAutospacing="0" w:after="120" w:afterAutospacing="0" w:line="360" w:lineRule="auto"/>
      </w:pPr>
      <w:r>
        <w:t xml:space="preserve"> </w:t>
      </w:r>
      <w:r/>
    </w:p>
    <w:p>
      <w:pPr>
        <w:pStyle w:val="731"/>
        <w:jc w:val="center"/>
        <w:spacing w:before="120" w:beforeAutospacing="0" w:after="120" w:afterAutospacing="0" w:line="360" w:lineRule="auto"/>
      </w:pPr>
      <w:r>
        <w:rPr>
          <w:rFonts w:ascii="Arial" w:hAnsi="Arial" w:cs="Arial"/>
          <w:b/>
          <w:color w:val="000000"/>
          <w:sz w:val="84"/>
          <w:szCs w:val="84"/>
        </w:rPr>
        <w:t xml:space="preserve">招 标 文 件</w:t>
      </w:r>
      <w:r/>
    </w:p>
    <w:p>
      <w:pPr>
        <w:pStyle w:val="731"/>
        <w:ind w:hanging="28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31"/>
        <w:ind w:right="745"/>
        <w:spacing w:before="120" w:beforeAutospacing="0" w:after="120" w:afterAutospacing="0" w:line="360" w:lineRule="auto"/>
        <w:rPr>
          <w:rFonts w:hint="eastAsia" w:eastAsiaTheme="minorEastAsia"/>
          <w:lang w:eastAsia="zh-CN"/>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江苏省盐城技师学院幼儿健康与护理家政服务专业设备采购项目及数字化智慧养老实训基地设备采购项目</w:t>
      </w:r>
      <w:r/>
    </w:p>
    <w:p>
      <w:pPr>
        <w:pStyle w:val="731"/>
        <w:ind w:firstLine="709"/>
        <w:jc w:val="both"/>
        <w:spacing w:before="120" w:beforeAutospacing="0" w:after="120" w:afterAutospacing="0" w:line="360" w:lineRule="auto"/>
      </w:pPr>
      <w:r>
        <w:rPr>
          <w:rFonts w:ascii="Arial" w:hAnsi="Arial" w:cs="Arial"/>
          <w:b/>
          <w:color w:val="000000"/>
          <w:sz w:val="32"/>
          <w:szCs w:val="32"/>
        </w:rPr>
        <w:t xml:space="preserve">项目编号：</w:t>
      </w:r>
      <w:r>
        <w:rPr>
          <w:rFonts w:hint="eastAsia" w:ascii="Arial" w:hAnsi="Arial" w:cs="Arial"/>
          <w:b/>
          <w:color w:val="000000"/>
          <w:sz w:val="32"/>
          <w:szCs w:val="32"/>
        </w:rPr>
        <w:t xml:space="preserve">JSZC-320900-JSZH-G2026-0065</w:t>
      </w:r>
      <w:r/>
    </w:p>
    <w:p>
      <w:pPr>
        <w:pStyle w:val="731"/>
        <w:spacing w:beforeAutospacing="0" w:afterAutospacing="0" w:line="360" w:lineRule="auto"/>
      </w:pPr>
      <w:r>
        <w:t xml:space="preserve"> </w:t>
      </w:r>
      <w:r/>
    </w:p>
    <w:p>
      <w:pPr>
        <w:pStyle w:val="731"/>
        <w:spacing w:beforeAutospacing="0" w:afterAutospacing="0" w:line="360" w:lineRule="auto"/>
      </w:pPr>
      <w:r>
        <w:t xml:space="preserve"> </w:t>
      </w:r>
      <w:r/>
    </w:p>
    <w:p>
      <w:pPr>
        <w:pStyle w:val="731"/>
        <w:spacing w:beforeAutospacing="0" w:afterAutospacing="0" w:line="360" w:lineRule="auto"/>
      </w:pPr>
      <w:r>
        <w:t xml:space="preserve"> </w:t>
      </w:r>
      <w:r/>
    </w:p>
    <w:p>
      <w:pPr>
        <w:pStyle w:val="731"/>
        <w:spacing w:beforeAutospacing="0" w:afterAutospacing="0" w:line="360" w:lineRule="auto"/>
      </w:pPr>
      <w:r/>
      <w:r/>
    </w:p>
    <w:p>
      <w:pPr>
        <w:pStyle w:val="731"/>
        <w:spacing w:beforeAutospacing="0" w:afterAutospacing="0" w:line="360" w:lineRule="auto"/>
      </w:pPr>
      <w:r/>
      <w:r/>
    </w:p>
    <w:p>
      <w:pPr>
        <w:pStyle w:val="731"/>
        <w:spacing w:beforeAutospacing="0" w:afterAutospacing="0" w:line="360" w:lineRule="auto"/>
      </w:pPr>
      <w:r/>
      <w:r/>
    </w:p>
    <w:p>
      <w:pPr>
        <w:pStyle w:val="731"/>
        <w:spacing w:beforeAutospacing="0" w:afterAutospacing="0" w:line="360" w:lineRule="auto"/>
      </w:pPr>
      <w:r/>
      <w:r/>
    </w:p>
    <w:p>
      <w:pPr>
        <w:pStyle w:val="731"/>
        <w:spacing w:beforeAutospacing="0" w:afterAutospacing="0" w:line="360" w:lineRule="auto"/>
      </w:pPr>
      <w:r/>
      <w:r/>
    </w:p>
    <w:p>
      <w:pPr>
        <w:pStyle w:val="731"/>
        <w:spacing w:beforeAutospacing="0" w:afterAutospacing="0" w:line="360" w:lineRule="auto"/>
      </w:pPr>
      <w:r>
        <w:t xml:space="preserve"> </w:t>
      </w:r>
      <w:r/>
    </w:p>
    <w:p>
      <w:pPr>
        <w:pStyle w:val="731"/>
        <w:spacing w:beforeAutospacing="0" w:afterAutospacing="0" w:line="360" w:lineRule="auto"/>
      </w:pPr>
      <w:r>
        <w:t xml:space="preserve"> </w:t>
      </w:r>
      <w:r/>
    </w:p>
    <w:p>
      <w:pPr>
        <w:pStyle w:val="731"/>
        <w:spacing w:beforeAutospacing="0" w:afterAutospacing="0" w:line="360" w:lineRule="auto"/>
      </w:pPr>
      <w:r>
        <w:t xml:space="preserve"> </w:t>
      </w:r>
      <w:r/>
    </w:p>
    <w:p>
      <w:pPr>
        <w:pStyle w:val="731"/>
        <w:spacing w:beforeAutospacing="0" w:afterAutospacing="0" w:line="360" w:lineRule="auto"/>
      </w:pPr>
      <w:r>
        <w:t xml:space="preserve"> </w:t>
      </w:r>
      <w:r/>
    </w:p>
    <w:p>
      <w:pPr>
        <w:pStyle w:val="731"/>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江苏省盐城技师学院</w:t>
      </w:r>
      <w:r/>
    </w:p>
    <w:p>
      <w:pPr>
        <w:pStyle w:val="731"/>
        <w:jc w:val="center"/>
        <w:spacing w:before="120" w:beforeAutospacing="0" w:after="120" w:afterAutospacing="0" w:line="360" w:lineRule="auto"/>
      </w:pPr>
      <w:r>
        <w:rPr>
          <w:rFonts w:ascii="Arial" w:hAnsi="Arial" w:cs="Arial"/>
          <w:b/>
          <w:color w:val="000000"/>
          <w:sz w:val="32"/>
          <w:szCs w:val="32"/>
        </w:rPr>
        <w:t xml:space="preserve">2026年8月</w:t>
      </w:r>
      <w:r/>
    </w:p>
    <w:p>
      <w:pPr>
        <w:pStyle w:val="731"/>
        <w:jc w:val="center"/>
        <w:spacing w:before="120" w:beforeAutospacing="0" w:after="120" w:afterAutospacing="0" w:line="360" w:lineRule="auto"/>
      </w:pPr>
      <w:r>
        <w:t xml:space="preserve"> </w:t>
      </w:r>
      <w:r>
        <w:rPr>
          <w:rFonts w:ascii="Times New Roman" w:hAnsi="Times New Roman"/>
          <w:color w:val="000000"/>
          <w:sz w:val="21"/>
          <w:szCs w:val="21"/>
        </w:rPr>
        <w:br w:type="page" w:clear="all"/>
      </w:r>
      <w:r/>
    </w:p>
    <w:p>
      <w:pPr>
        <w:pStyle w:val="731"/>
        <w:jc w:val="both"/>
        <w:spacing w:beforeAutospacing="0" w:afterAutospacing="0"/>
      </w:pPr>
      <w:r/>
      <w:r/>
    </w:p>
    <w:sdt>
      <w:sdtPr>
        <w15:appearance w15:val="boundingBox"/>
        <w:id w:val="-593088384"/>
        <w:docPartObj>
          <w:docPartGallery w:val="Table of Contents"/>
          <w:docPartUnique w:val="true"/>
        </w:docPartObj>
        <w:rPr>
          <w:rFonts w:ascii="黑体" w:hAnsi="黑体" w:eastAsia="黑体" w:cstheme="minorBidi"/>
          <w:color w:val="auto"/>
          <w:sz w:val="44"/>
          <w:szCs w:val="44"/>
          <w:lang w:val="zh-CN"/>
        </w:rPr>
      </w:sdtPr>
      <w:sdtContent>
        <w:p>
          <w:pPr>
            <w:pStyle w:val="900"/>
            <w:jc w:val="center"/>
            <w:rPr>
              <w:rFonts w:ascii="黑体" w:hAnsi="黑体" w:eastAsia="黑体"/>
              <w:color w:val="auto"/>
              <w:sz w:val="44"/>
              <w:szCs w:val="44"/>
              <w:lang w:val="zh-CN"/>
            </w:rPr>
          </w:pPr>
          <w:r>
            <w:rPr>
              <w:rFonts w:hint="eastAsia" w:ascii="黑体" w:hAnsi="黑体" w:eastAsia="黑体"/>
              <w:color w:val="auto"/>
              <w:sz w:val="44"/>
              <w:szCs w:val="44"/>
              <w:lang w:val="zh-CN"/>
            </w:rPr>
            <w:t xml:space="preserve">总 </w:t>
          </w:r>
          <w:r>
            <w:rPr>
              <w:rFonts w:ascii="黑体" w:hAnsi="黑体" w:eastAsia="黑体"/>
              <w:color w:val="auto"/>
              <w:sz w:val="44"/>
              <w:szCs w:val="44"/>
              <w:lang w:val="zh-CN"/>
            </w:rPr>
            <w:t xml:space="preserve">目</w:t>
          </w:r>
          <w:r>
            <w:rPr>
              <w:rFonts w:hint="eastAsia" w:ascii="黑体" w:hAnsi="黑体" w:eastAsia="黑体"/>
              <w:color w:val="auto"/>
              <w:sz w:val="44"/>
              <w:szCs w:val="44"/>
              <w:lang w:val="zh-CN"/>
            </w:rPr>
            <w:t xml:space="preserve"> </w:t>
          </w:r>
          <w:r>
            <w:rPr>
              <w:rFonts w:ascii="黑体" w:hAnsi="黑体" w:eastAsia="黑体"/>
              <w:color w:val="auto"/>
              <w:sz w:val="44"/>
              <w:szCs w:val="44"/>
              <w:lang w:val="zh-CN"/>
            </w:rPr>
            <w:t xml:space="preserve">录</w:t>
          </w:r>
          <w:r>
            <w:rPr>
              <w:rFonts w:hint="eastAsia" w:ascii="黑体" w:hAnsi="黑体" w:eastAsia="黑体"/>
              <w:color w:val="auto"/>
              <w:sz w:val="44"/>
              <w:szCs w:val="44"/>
              <w:lang w:val="zh-CN"/>
            </w:rPr>
            <w:t xml:space="preserve"> </w:t>
          </w:r>
          <w:r/>
        </w:p>
        <w:p>
          <w:pPr>
            <w:pStyle w:val="723"/>
            <w:tabs>
              <w:tab w:val="right" w:pos="8296" w:leader="dot"/>
            </w:tabs>
            <w:rPr>
              <w:rFonts w:ascii="黑体" w:hAnsi="黑体" w:eastAsia="黑体" w:cstheme="minorBidi"/>
              <w:sz w:val="32"/>
              <w:szCs w:val="32"/>
            </w:rPr>
          </w:pPr>
          <w:r>
            <w:rPr>
              <w:rFonts w:ascii="黑体" w:hAnsi="黑体" w:eastAsia="黑体"/>
              <w:sz w:val="32"/>
              <w:szCs w:val="32"/>
            </w:rPr>
            <w:fldChar w:fldCharType="begin"/>
          </w:r>
          <w:r>
            <w:rPr>
              <w:rFonts w:ascii="黑体" w:hAnsi="黑体" w:eastAsia="黑体"/>
              <w:sz w:val="32"/>
              <w:szCs w:val="32"/>
            </w:rPr>
            <w:instrText xml:space="preserve"> TOC \o "1-3" \h \z \u </w:instrText>
          </w:r>
          <w:r>
            <w:rPr>
              <w:rFonts w:ascii="黑体" w:hAnsi="黑体" w:eastAsia="黑体"/>
              <w:sz w:val="32"/>
              <w:szCs w:val="32"/>
            </w:rPr>
            <w:fldChar w:fldCharType="separate"/>
          </w:r>
          <w:r>
            <w:fldChar w:fldCharType="begin"/>
          </w:r>
          <w:r>
            <w:instrText xml:space="preserve"> HYPERLINK \l "_Toc234256913" </w:instrText>
          </w:r>
          <w:r>
            <w:fldChar w:fldCharType="separate"/>
          </w:r>
          <w:r>
            <w:rPr>
              <w:rStyle w:val="740"/>
              <w:rFonts w:ascii="黑体" w:hAnsi="黑体" w:eastAsia="黑体"/>
              <w:sz w:val="32"/>
              <w:szCs w:val="32"/>
            </w:rPr>
            <w:t xml:space="preserve">第一章</w:t>
          </w:r>
          <w:r>
            <w:rPr>
              <w:rStyle w:val="740"/>
              <w:rFonts w:ascii="Calibri" w:hAnsi="Calibri" w:eastAsia="黑体" w:cs="Calibri"/>
              <w:sz w:val="32"/>
              <w:szCs w:val="32"/>
            </w:rPr>
            <w:t xml:space="preserve"> </w:t>
          </w:r>
          <w:r>
            <w:rPr>
              <w:rStyle w:val="740"/>
              <w:rFonts w:ascii="黑体" w:hAnsi="黑体" w:eastAsia="黑体"/>
              <w:sz w:val="32"/>
              <w:szCs w:val="32"/>
            </w:rPr>
            <w:t xml:space="preserve">招标公告</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_Toc234256913 \h </w:instrText>
          </w:r>
          <w:r>
            <w:rPr>
              <w:rFonts w:ascii="黑体" w:hAnsi="黑体" w:eastAsia="黑体"/>
              <w:sz w:val="32"/>
              <w:szCs w:val="32"/>
            </w:rPr>
            <w:fldChar w:fldCharType="separate"/>
          </w:r>
          <w:r>
            <w:rPr>
              <w:rFonts w:ascii="黑体" w:hAnsi="黑体" w:eastAsia="黑体"/>
              <w:sz w:val="32"/>
              <w:szCs w:val="32"/>
            </w:rPr>
            <w:t xml:space="preserve">3</w:t>
          </w:r>
          <w:r>
            <w:rPr>
              <w:rFonts w:ascii="黑体" w:hAnsi="黑体" w:eastAsia="黑体"/>
              <w:sz w:val="32"/>
              <w:szCs w:val="32"/>
            </w:rPr>
            <w:fldChar w:fldCharType="end"/>
          </w:r>
          <w:r>
            <w:rPr>
              <w:rFonts w:ascii="黑体" w:hAnsi="黑体" w:eastAsia="黑体"/>
              <w:sz w:val="32"/>
              <w:szCs w:val="32"/>
            </w:rPr>
            <w:fldChar w:fldCharType="end"/>
          </w:r>
          <w:r/>
        </w:p>
        <w:p>
          <w:pPr>
            <w:pStyle w:val="723"/>
            <w:tabs>
              <w:tab w:val="right" w:pos="8296" w:leader="dot"/>
            </w:tabs>
            <w:rPr>
              <w:rFonts w:ascii="黑体" w:hAnsi="黑体" w:eastAsia="黑体" w:cstheme="minorBidi"/>
              <w:sz w:val="32"/>
              <w:szCs w:val="32"/>
            </w:rPr>
          </w:pPr>
          <w:r>
            <w:fldChar w:fldCharType="begin"/>
          </w:r>
          <w:r>
            <w:instrText xml:space="preserve"> HYPERLINK \l "_Toc234256914" </w:instrText>
          </w:r>
          <w:r>
            <w:fldChar w:fldCharType="separate"/>
          </w:r>
          <w:r>
            <w:rPr>
              <w:rStyle w:val="740"/>
              <w:rFonts w:ascii="黑体" w:hAnsi="黑体" w:eastAsia="黑体"/>
              <w:sz w:val="32"/>
              <w:szCs w:val="32"/>
            </w:rPr>
            <w:t xml:space="preserve">第二章</w:t>
          </w:r>
          <w:r>
            <w:rPr>
              <w:rStyle w:val="740"/>
              <w:rFonts w:ascii="Calibri" w:hAnsi="Calibri" w:eastAsia="黑体" w:cs="Calibri"/>
              <w:sz w:val="32"/>
              <w:szCs w:val="32"/>
            </w:rPr>
            <w:t xml:space="preserve"> </w:t>
          </w:r>
          <w:r>
            <w:rPr>
              <w:rStyle w:val="740"/>
              <w:rFonts w:ascii="黑体" w:hAnsi="黑体" w:eastAsia="黑体"/>
              <w:sz w:val="32"/>
              <w:szCs w:val="32"/>
            </w:rPr>
            <w:t xml:space="preserve"> 投标人须知</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_Toc234256914 \h </w:instrText>
          </w:r>
          <w:r>
            <w:rPr>
              <w:rFonts w:ascii="黑体" w:hAnsi="黑体" w:eastAsia="黑体"/>
              <w:sz w:val="32"/>
              <w:szCs w:val="32"/>
            </w:rPr>
            <w:fldChar w:fldCharType="separate"/>
          </w:r>
          <w:r>
            <w:rPr>
              <w:rFonts w:ascii="黑体" w:hAnsi="黑体" w:eastAsia="黑体"/>
              <w:sz w:val="32"/>
              <w:szCs w:val="32"/>
            </w:rPr>
            <w:t xml:space="preserve">7</w:t>
          </w:r>
          <w:r>
            <w:rPr>
              <w:rFonts w:ascii="黑体" w:hAnsi="黑体" w:eastAsia="黑体"/>
              <w:sz w:val="32"/>
              <w:szCs w:val="32"/>
            </w:rPr>
            <w:fldChar w:fldCharType="end"/>
          </w:r>
          <w:r>
            <w:rPr>
              <w:rFonts w:ascii="黑体" w:hAnsi="黑体" w:eastAsia="黑体"/>
              <w:sz w:val="32"/>
              <w:szCs w:val="32"/>
            </w:rPr>
            <w:fldChar w:fldCharType="end"/>
          </w:r>
          <w:r/>
        </w:p>
        <w:p>
          <w:pPr>
            <w:pStyle w:val="723"/>
            <w:tabs>
              <w:tab w:val="right" w:pos="8296" w:leader="dot"/>
            </w:tabs>
            <w:rPr>
              <w:rFonts w:ascii="黑体" w:hAnsi="黑体" w:eastAsia="黑体" w:cstheme="minorBidi"/>
              <w:sz w:val="32"/>
              <w:szCs w:val="32"/>
            </w:rPr>
          </w:pPr>
          <w:r>
            <w:fldChar w:fldCharType="begin"/>
          </w:r>
          <w:r>
            <w:instrText xml:space="preserve"> HYPERLINK \l "_Toc234256915" </w:instrText>
          </w:r>
          <w:r>
            <w:fldChar w:fldCharType="separate"/>
          </w:r>
          <w:r>
            <w:rPr>
              <w:rStyle w:val="740"/>
              <w:rFonts w:ascii="黑体" w:hAnsi="黑体" w:eastAsia="黑体"/>
              <w:sz w:val="32"/>
              <w:szCs w:val="32"/>
            </w:rPr>
            <w:t xml:space="preserve">第三章  合同条款</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_Toc234256915 \h </w:instrText>
          </w:r>
          <w:r>
            <w:rPr>
              <w:rFonts w:ascii="黑体" w:hAnsi="黑体" w:eastAsia="黑体"/>
              <w:sz w:val="32"/>
              <w:szCs w:val="32"/>
            </w:rPr>
            <w:fldChar w:fldCharType="separate"/>
          </w:r>
          <w:r>
            <w:rPr>
              <w:rFonts w:ascii="黑体" w:hAnsi="黑体" w:eastAsia="黑体"/>
              <w:sz w:val="32"/>
              <w:szCs w:val="32"/>
            </w:rPr>
            <w:t xml:space="preserve">24</w:t>
          </w:r>
          <w:r>
            <w:rPr>
              <w:rFonts w:ascii="黑体" w:hAnsi="黑体" w:eastAsia="黑体"/>
              <w:sz w:val="32"/>
              <w:szCs w:val="32"/>
            </w:rPr>
            <w:fldChar w:fldCharType="end"/>
          </w:r>
          <w:r>
            <w:rPr>
              <w:rFonts w:ascii="黑体" w:hAnsi="黑体" w:eastAsia="黑体"/>
              <w:sz w:val="32"/>
              <w:szCs w:val="32"/>
            </w:rPr>
            <w:fldChar w:fldCharType="end"/>
          </w:r>
          <w:r/>
        </w:p>
        <w:p>
          <w:pPr>
            <w:pStyle w:val="723"/>
            <w:tabs>
              <w:tab w:val="right" w:pos="8296" w:leader="dot"/>
            </w:tabs>
            <w:rPr>
              <w:rFonts w:ascii="黑体" w:hAnsi="黑体" w:eastAsia="黑体" w:cstheme="minorBidi"/>
              <w:sz w:val="32"/>
              <w:szCs w:val="32"/>
            </w:rPr>
          </w:pPr>
          <w:r>
            <w:fldChar w:fldCharType="begin"/>
          </w:r>
          <w:r>
            <w:instrText xml:space="preserve"> HYPERLINK \l "_Toc234256916" </w:instrText>
          </w:r>
          <w:r>
            <w:fldChar w:fldCharType="separate"/>
          </w:r>
          <w:r>
            <w:rPr>
              <w:rStyle w:val="740"/>
              <w:rFonts w:ascii="黑体" w:hAnsi="黑体" w:eastAsia="黑体"/>
              <w:sz w:val="32"/>
              <w:szCs w:val="32"/>
            </w:rPr>
            <w:t xml:space="preserve">第四章 采购需求</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_Toc234256916 \h </w:instrText>
          </w:r>
          <w:r>
            <w:rPr>
              <w:rFonts w:ascii="黑体" w:hAnsi="黑体" w:eastAsia="黑体"/>
              <w:sz w:val="32"/>
              <w:szCs w:val="32"/>
            </w:rPr>
            <w:fldChar w:fldCharType="separate"/>
          </w:r>
          <w:r>
            <w:rPr>
              <w:rFonts w:ascii="黑体" w:hAnsi="黑体" w:eastAsia="黑体"/>
              <w:sz w:val="32"/>
              <w:szCs w:val="32"/>
            </w:rPr>
            <w:t xml:space="preserve">30</w:t>
          </w:r>
          <w:r>
            <w:rPr>
              <w:rFonts w:ascii="黑体" w:hAnsi="黑体" w:eastAsia="黑体"/>
              <w:sz w:val="32"/>
              <w:szCs w:val="32"/>
            </w:rPr>
            <w:fldChar w:fldCharType="end"/>
          </w:r>
          <w:r>
            <w:rPr>
              <w:rFonts w:ascii="黑体" w:hAnsi="黑体" w:eastAsia="黑体"/>
              <w:sz w:val="32"/>
              <w:szCs w:val="32"/>
            </w:rPr>
            <w:fldChar w:fldCharType="end"/>
          </w:r>
          <w:r/>
        </w:p>
        <w:p>
          <w:pPr>
            <w:pStyle w:val="723"/>
            <w:tabs>
              <w:tab w:val="right" w:pos="8296" w:leader="dot"/>
            </w:tabs>
            <w:rPr>
              <w:rFonts w:ascii="黑体" w:hAnsi="黑体" w:eastAsia="黑体" w:cstheme="minorBidi"/>
              <w:sz w:val="32"/>
              <w:szCs w:val="32"/>
            </w:rPr>
          </w:pPr>
          <w:r>
            <w:fldChar w:fldCharType="begin"/>
          </w:r>
          <w:r>
            <w:instrText xml:space="preserve"> HYPERLINK \l "_Toc234256917" </w:instrText>
          </w:r>
          <w:r>
            <w:fldChar w:fldCharType="separate"/>
          </w:r>
          <w:r>
            <w:rPr>
              <w:rStyle w:val="740"/>
              <w:rFonts w:ascii="黑体" w:hAnsi="黑体" w:eastAsia="黑体"/>
              <w:sz w:val="32"/>
              <w:szCs w:val="32"/>
            </w:rPr>
            <w:t xml:space="preserve">第五章</w:t>
          </w:r>
          <w:r>
            <w:rPr>
              <w:rStyle w:val="740"/>
              <w:rFonts w:ascii="Calibri" w:hAnsi="Calibri" w:eastAsia="黑体" w:cs="Calibri"/>
              <w:sz w:val="32"/>
              <w:szCs w:val="32"/>
            </w:rPr>
            <w:t xml:space="preserve"> </w:t>
          </w:r>
          <w:r>
            <w:rPr>
              <w:rStyle w:val="740"/>
              <w:rFonts w:ascii="黑体" w:hAnsi="黑体" w:eastAsia="黑体"/>
              <w:sz w:val="32"/>
              <w:szCs w:val="32"/>
            </w:rPr>
            <w:t xml:space="preserve"> 评标方法与评标标准</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_Toc234256917 \h </w:instrText>
          </w:r>
          <w:r>
            <w:rPr>
              <w:rFonts w:ascii="黑体" w:hAnsi="黑体" w:eastAsia="黑体"/>
              <w:sz w:val="32"/>
              <w:szCs w:val="32"/>
            </w:rPr>
            <w:fldChar w:fldCharType="separate"/>
          </w:r>
          <w:r>
            <w:rPr>
              <w:rFonts w:ascii="黑体" w:hAnsi="黑体" w:eastAsia="黑体"/>
              <w:sz w:val="32"/>
              <w:szCs w:val="32"/>
            </w:rPr>
            <w:t xml:space="preserve">84</w:t>
          </w:r>
          <w:r>
            <w:rPr>
              <w:rFonts w:ascii="黑体" w:hAnsi="黑体" w:eastAsia="黑体"/>
              <w:sz w:val="32"/>
              <w:szCs w:val="32"/>
            </w:rPr>
            <w:fldChar w:fldCharType="end"/>
          </w:r>
          <w:r>
            <w:rPr>
              <w:rFonts w:ascii="黑体" w:hAnsi="黑体" w:eastAsia="黑体"/>
              <w:sz w:val="32"/>
              <w:szCs w:val="32"/>
            </w:rPr>
            <w:fldChar w:fldCharType="end"/>
          </w:r>
          <w:r/>
        </w:p>
        <w:p>
          <w:pPr>
            <w:pStyle w:val="723"/>
            <w:tabs>
              <w:tab w:val="right" w:pos="8296" w:leader="dot"/>
            </w:tabs>
            <w:rPr>
              <w:rFonts w:ascii="黑体" w:hAnsi="黑体" w:eastAsia="黑体" w:cstheme="minorBidi"/>
              <w:sz w:val="32"/>
              <w:szCs w:val="32"/>
            </w:rPr>
          </w:pPr>
          <w:r>
            <w:fldChar w:fldCharType="begin"/>
          </w:r>
          <w:r>
            <w:instrText xml:space="preserve"> HYPERLINK \l "_Toc234256918" </w:instrText>
          </w:r>
          <w:r>
            <w:fldChar w:fldCharType="separate"/>
          </w:r>
          <w:r>
            <w:rPr>
              <w:rStyle w:val="740"/>
              <w:rFonts w:ascii="黑体" w:hAnsi="黑体" w:eastAsia="黑体"/>
              <w:sz w:val="32"/>
              <w:szCs w:val="32"/>
            </w:rPr>
            <w:t xml:space="preserve">第六章</w:t>
          </w:r>
          <w:r>
            <w:rPr>
              <w:rStyle w:val="740"/>
              <w:rFonts w:ascii="Calibri" w:hAnsi="Calibri" w:eastAsia="黑体" w:cs="Calibri"/>
              <w:sz w:val="32"/>
              <w:szCs w:val="32"/>
            </w:rPr>
            <w:t xml:space="preserve"> </w:t>
          </w:r>
          <w:r>
            <w:rPr>
              <w:rStyle w:val="740"/>
              <w:rFonts w:ascii="黑体" w:hAnsi="黑体" w:eastAsia="黑体"/>
              <w:sz w:val="32"/>
              <w:szCs w:val="32"/>
            </w:rPr>
            <w:t xml:space="preserve"> 投标文件格式</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_Toc234256918 \h </w:instrText>
          </w:r>
          <w:r>
            <w:rPr>
              <w:rFonts w:ascii="黑体" w:hAnsi="黑体" w:eastAsia="黑体"/>
              <w:sz w:val="32"/>
              <w:szCs w:val="32"/>
            </w:rPr>
            <w:fldChar w:fldCharType="separate"/>
          </w:r>
          <w:r>
            <w:rPr>
              <w:rFonts w:ascii="黑体" w:hAnsi="黑体" w:eastAsia="黑体"/>
              <w:sz w:val="32"/>
              <w:szCs w:val="32"/>
            </w:rPr>
            <w:t xml:space="preserve">88</w:t>
          </w:r>
          <w:r>
            <w:rPr>
              <w:rFonts w:ascii="黑体" w:hAnsi="黑体" w:eastAsia="黑体"/>
              <w:sz w:val="32"/>
              <w:szCs w:val="32"/>
            </w:rPr>
            <w:fldChar w:fldCharType="end"/>
          </w:r>
          <w:r>
            <w:rPr>
              <w:rFonts w:ascii="黑体" w:hAnsi="黑体" w:eastAsia="黑体"/>
              <w:sz w:val="32"/>
              <w:szCs w:val="32"/>
            </w:rPr>
            <w:fldChar w:fldCharType="end"/>
          </w:r>
          <w:r/>
        </w:p>
        <w:p>
          <w:pPr>
            <w:rPr>
              <w:rFonts w:ascii="黑体" w:hAnsi="黑体" w:eastAsia="黑体"/>
              <w:sz w:val="32"/>
              <w:szCs w:val="32"/>
            </w:rPr>
          </w:pPr>
          <w:r>
            <w:rPr>
              <w:rFonts w:ascii="黑体" w:hAnsi="黑体" w:eastAsia="黑体"/>
              <w:b/>
              <w:bCs/>
              <w:sz w:val="32"/>
              <w:szCs w:val="32"/>
              <w:lang w:val="zh-CN"/>
            </w:rPr>
            <w:fldChar w:fldCharType="end"/>
          </w:r>
          <w:r/>
        </w:p>
      </w:sdtContent>
    </w:sdt>
    <w:p>
      <w:pPr>
        <w:pStyle w:val="731"/>
        <w:jc w:val="both"/>
        <w:spacing w:beforeAutospacing="0" w:afterAutospacing="0"/>
      </w:pPr>
      <w:r/>
      <w:r/>
    </w:p>
    <w:p>
      <w:pPr>
        <w:pStyle w:val="731"/>
        <w:jc w:val="both"/>
        <w:spacing w:beforeAutospacing="0" w:afterAutospacing="0"/>
      </w:pPr>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t xml:space="preserve"> </w:t>
      </w:r>
      <w:r/>
    </w:p>
    <w:p>
      <w:pPr>
        <w:pStyle w:val="731"/>
        <w:jc w:val="both"/>
        <w:spacing w:beforeAutospacing="0" w:afterAutospacing="0"/>
      </w:pPr>
      <w:r/>
      <w:r/>
    </w:p>
    <w:p>
      <w:pPr>
        <w:pStyle w:val="731"/>
        <w:jc w:val="both"/>
        <w:spacing w:beforeAutospacing="0" w:afterAutospacing="0"/>
      </w:pPr>
      <w:r/>
      <w:r/>
    </w:p>
    <w:p>
      <w:pPr>
        <w:pStyle w:val="731"/>
        <w:jc w:val="both"/>
        <w:spacing w:beforeAutospacing="0" w:afterAutospacing="0"/>
      </w:pPr>
      <w:r/>
      <w:r/>
    </w:p>
    <w:p>
      <w:pPr>
        <w:pStyle w:val="731"/>
        <w:jc w:val="both"/>
        <w:spacing w:beforeAutospacing="0" w:afterAutospacing="0"/>
      </w:pPr>
      <w:r/>
      <w:r/>
    </w:p>
    <w:p>
      <w:pPr>
        <w:pStyle w:val="731"/>
        <w:jc w:val="both"/>
        <w:spacing w:beforeAutospacing="0" w:afterAutospacing="0"/>
      </w:pPr>
      <w:r/>
      <w:r/>
    </w:p>
    <w:p>
      <w:pPr>
        <w:pStyle w:val="731"/>
        <w:jc w:val="both"/>
        <w:spacing w:beforeAutospacing="0" w:afterAutospacing="0"/>
      </w:pPr>
      <w:r/>
      <w:r/>
    </w:p>
    <w:p>
      <w:pPr>
        <w:pStyle w:val="731"/>
        <w:jc w:val="both"/>
        <w:spacing w:beforeAutospacing="0" w:afterAutospacing="0"/>
      </w:pPr>
      <w:r/>
      <w:r/>
    </w:p>
    <w:p>
      <w:pPr>
        <w:pStyle w:val="901"/>
      </w:pPr>
      <w:r/>
      <w:bookmarkStart w:id="0" w:name="_Toc234256913"/>
      <w:r/>
      <w:bookmarkStart w:id="1" w:name="_Toc28359086"/>
      <w:r>
        <w:rPr>
          <w:rFonts w:hint="eastAsia"/>
        </w:rPr>
        <w:t xml:space="preserve">第一章 招标公告</w:t>
      </w:r>
      <w:bookmarkEnd w:id="0"/>
      <w:r/>
      <w:r/>
    </w:p>
    <w:p>
      <w:pPr>
        <w:pStyle w:val="731"/>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31"/>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lang w:eastAsia="zh-CN"/>
        </w:rPr>
        <w:t xml:space="preserve">江苏省盐城技师学院幼儿健康与护理家政服务专业设备采购项目及数字化智慧养老实训基地设备采购项目</w:t>
      </w:r>
      <w:r>
        <w:rPr>
          <w:rFonts w:hint="eastAsia" w:ascii="宋体" w:hAnsi="宋体" w:eastAsia="宋体" w:cs="宋体"/>
          <w:color w:val="auto"/>
          <w:u w:val="single"/>
        </w:rPr>
        <w:t xml:space="preserve"> </w:t>
      </w:r>
      <w:r>
        <w:rPr>
          <w:rFonts w:hint="eastAsia" w:ascii="宋体" w:hAnsi="宋体" w:eastAsia="宋体" w:cs="宋体"/>
          <w:color w:val="auto"/>
        </w:rPr>
        <w:t xml:space="preserve">招标项目的潜在投标人应在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lang w:val="en-US" w:eastAsia="zh-CN"/>
        </w:rPr>
        <w:t xml:space="preserve">2026</w:t>
      </w:r>
      <w:r>
        <w:rPr>
          <w:rFonts w:hint="eastAsia" w:ascii="宋体" w:hAnsi="宋体" w:eastAsia="宋体" w:cs="宋体"/>
          <w:color w:val="auto"/>
          <w:u w:val="single"/>
        </w:rPr>
        <w:t xml:space="preserve">年</w:t>
      </w:r>
      <w:r>
        <w:rPr>
          <w:rFonts w:hint="eastAsia" w:ascii="宋体" w:hAnsi="宋体" w:eastAsia="宋体" w:cs="宋体"/>
          <w:color w:val="auto"/>
          <w:u w:val="single"/>
          <w:lang w:val="en-US" w:eastAsia="zh-CN"/>
        </w:rPr>
        <w:t xml:space="preserve">9</w:t>
      </w:r>
      <w:r>
        <w:rPr>
          <w:rFonts w:hint="eastAsia" w:ascii="宋体" w:hAnsi="宋体" w:eastAsia="宋体" w:cs="宋体"/>
          <w:color w:val="auto"/>
          <w:u w:val="single"/>
        </w:rPr>
        <w:t xml:space="preserve">月</w:t>
      </w:r>
      <w:r>
        <w:rPr>
          <w:rFonts w:hint="eastAsia" w:ascii="宋体" w:hAnsi="宋体" w:eastAsia="宋体" w:cs="宋体"/>
          <w:color w:val="auto"/>
          <w:u w:val="single"/>
          <w:lang w:val="en-US" w:eastAsia="zh-CN"/>
        </w:rPr>
        <w:t xml:space="preserve">9</w:t>
      </w:r>
      <w:r>
        <w:rPr>
          <w:rFonts w:hint="eastAsia" w:ascii="宋体" w:hAnsi="宋体" w:eastAsia="宋体" w:cs="宋体"/>
          <w:color w:val="auto"/>
          <w:u w:val="single"/>
        </w:rPr>
        <w:t xml:space="preserve">日</w:t>
      </w:r>
      <w:r>
        <w:rPr>
          <w:rFonts w:hint="eastAsia" w:ascii="宋体" w:hAnsi="宋体" w:eastAsia="宋体" w:cs="宋体"/>
          <w:color w:val="auto"/>
          <w:u w:val="single"/>
          <w:lang w:val="en-US" w:eastAsia="zh-CN"/>
        </w:rPr>
        <w:t xml:space="preserve">9</w:t>
      </w:r>
      <w:r>
        <w:rPr>
          <w:rFonts w:hint="eastAsia" w:ascii="宋体" w:hAnsi="宋体" w:eastAsia="宋体" w:cs="宋体"/>
          <w:color w:val="auto"/>
          <w:u w:val="single"/>
        </w:rPr>
        <w:t xml:space="preserve">点</w:t>
      </w:r>
      <w:r>
        <w:rPr>
          <w:rFonts w:hint="eastAsia" w:ascii="宋体" w:hAnsi="宋体" w:eastAsia="宋体" w:cs="宋体"/>
          <w:color w:val="auto"/>
          <w:u w:val="single"/>
          <w:lang w:val="en-US" w:eastAsia="zh-CN"/>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731"/>
        <w:ind w:firstLine="498"/>
        <w:jc w:val="both"/>
        <w:keepLines/>
        <w:keepNext/>
        <w:spacing w:beforeAutospacing="0" w:afterAutospacing="0" w:line="360" w:lineRule="auto"/>
        <w:rPr>
          <w:rFonts w:ascii="宋体" w:hAnsi="宋体" w:eastAsia="宋体" w:cs="宋体"/>
        </w:rPr>
      </w:pPr>
      <w:r/>
      <w:bookmarkStart w:id="2" w:name="_Hlk24379207"/>
      <w:r/>
      <w:bookmarkStart w:id="3" w:name="_Toc35393621"/>
      <w:r/>
      <w:bookmarkStart w:id="4" w:name="_Toc35393790"/>
      <w:r/>
      <w:bookmarkStart w:id="5" w:name="_Toc28359002"/>
      <w:r/>
      <w:bookmarkStart w:id="6" w:name="_Toc28359079"/>
      <w:r/>
      <w:bookmarkStart w:id="7" w:name="_Toc38985263"/>
      <w:r>
        <w:rPr>
          <w:rFonts w:hint="eastAsia" w:ascii="宋体" w:hAnsi="宋体" w:eastAsia="宋体" w:cs="宋体"/>
          <w:b/>
          <w:color w:val="000000"/>
        </w:rPr>
        <w:t xml:space="preserve">一、项目基本情况</w:t>
      </w:r>
      <w:bookmarkEnd w:id="2"/>
      <w:r/>
      <w:bookmarkEnd w:id="3"/>
      <w:r/>
      <w:bookmarkEnd w:id="4"/>
      <w:r/>
      <w:bookmarkEnd w:id="5"/>
      <w:r/>
      <w:bookmarkEnd w:id="6"/>
      <w:r/>
      <w:bookmarkEnd w:id="7"/>
      <w:r/>
      <w:r/>
    </w:p>
    <w:p>
      <w:pPr>
        <w:pStyle w:val="731"/>
        <w:ind w:firstLine="48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1.项目编号：JSZC-320900-JSZH-G2026-0065</w:t>
      </w:r>
      <w:r/>
    </w:p>
    <w:p>
      <w:pPr>
        <w:pStyle w:val="731"/>
        <w:ind w:firstLine="480"/>
        <w:jc w:val="both"/>
        <w:spacing w:beforeAutospacing="0" w:afterAutospacing="0" w:line="360" w:lineRule="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2.项目名称：</w:t>
      </w:r>
      <w:r>
        <w:rPr>
          <w:rFonts w:hint="eastAsia" w:ascii="宋体" w:hAnsi="宋体" w:eastAsia="宋体" w:cs="宋体"/>
          <w:color w:val="333333"/>
          <w:shd w:val="clear" w:color="auto" w:fill="ffffff"/>
          <w:lang w:eastAsia="zh-CN"/>
        </w:rPr>
        <w:t xml:space="preserve">江苏省盐城技师学院幼儿健康与护理家政服务专业设备采购项目及数字化智慧养老实训基地设备采购项目</w:t>
      </w:r>
      <w:r/>
    </w:p>
    <w:p>
      <w:pPr>
        <w:pStyle w:val="731"/>
        <w:ind w:firstLine="480"/>
        <w:jc w:val="both"/>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3.采购方式：公开招标</w:t>
      </w:r>
      <w:r/>
    </w:p>
    <w:p>
      <w:pPr>
        <w:pStyle w:val="731"/>
        <w:ind w:firstLine="480"/>
        <w:jc w:val="both"/>
        <w:spacing w:beforeAutospacing="0" w:afterAutospacing="0" w:line="360" w:lineRule="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4.预算金额：459</w:t>
      </w:r>
      <w:r>
        <w:rPr>
          <w:rFonts w:hint="eastAsia" w:ascii="宋体" w:hAnsi="宋体" w:eastAsia="宋体" w:cs="宋体"/>
          <w:color w:val="333333"/>
          <w:shd w:val="clear" w:color="auto" w:fill="ffffff"/>
          <w:lang w:val="en-US" w:eastAsia="zh-CN"/>
        </w:rPr>
        <w:t xml:space="preserve">.</w:t>
      </w:r>
      <w:r>
        <w:rPr>
          <w:rFonts w:hint="eastAsia" w:ascii="宋体" w:hAnsi="宋体" w:eastAsia="宋体" w:cs="宋体"/>
          <w:color w:val="333333"/>
          <w:shd w:val="clear" w:color="auto" w:fill="ffffff"/>
        </w:rPr>
        <w:t xml:space="preserve">67万元</w:t>
      </w:r>
      <w:r>
        <w:rPr>
          <w:rFonts w:hint="eastAsia" w:ascii="宋体" w:hAnsi="宋体" w:eastAsia="宋体" w:cs="宋体"/>
          <w:color w:val="333333"/>
          <w:shd w:val="clear" w:color="auto" w:fill="ffffff"/>
          <w:lang w:eastAsia="zh-CN"/>
        </w:rPr>
        <w:t xml:space="preserve">（采购包</w:t>
      </w:r>
      <w:r>
        <w:rPr>
          <w:rFonts w:hint="eastAsia" w:ascii="宋体" w:hAnsi="宋体" w:eastAsia="宋体" w:cs="宋体"/>
          <w:color w:val="333333"/>
          <w:shd w:val="clear" w:color="auto" w:fill="ffffff"/>
          <w:lang w:val="en-US" w:eastAsia="zh-CN"/>
        </w:rPr>
        <w:t xml:space="preserve">一</w:t>
      </w:r>
      <w:r>
        <w:rPr>
          <w:rFonts w:hint="eastAsia" w:ascii="宋体" w:hAnsi="宋体" w:eastAsia="宋体" w:cs="宋体"/>
          <w:color w:val="333333"/>
          <w:shd w:val="clear" w:color="auto" w:fill="ffffff"/>
          <w:lang w:eastAsia="zh-CN"/>
        </w:rPr>
        <w:t xml:space="preserve">：</w:t>
      </w:r>
      <w:r>
        <w:rPr>
          <w:rFonts w:hint="eastAsia" w:ascii="宋体" w:hAnsi="宋体" w:eastAsia="宋体" w:cs="宋体"/>
          <w:color w:val="333333"/>
          <w:shd w:val="clear" w:color="auto" w:fill="ffffff"/>
          <w:lang w:val="en-US" w:eastAsia="zh-CN"/>
        </w:rPr>
        <w:t xml:space="preserve">237.42</w:t>
      </w:r>
      <w:r>
        <w:rPr>
          <w:rFonts w:hint="eastAsia" w:ascii="宋体" w:hAnsi="宋体" w:eastAsia="宋体" w:cs="宋体"/>
          <w:color w:val="333333"/>
          <w:shd w:val="clear" w:color="auto" w:fill="ffffff"/>
          <w:lang w:eastAsia="zh-CN"/>
        </w:rPr>
        <w:t xml:space="preserve">万元；采购包</w:t>
      </w:r>
      <w:r>
        <w:rPr>
          <w:rFonts w:hint="eastAsia" w:ascii="宋体" w:hAnsi="宋体" w:eastAsia="宋体" w:cs="宋体"/>
          <w:color w:val="333333"/>
          <w:shd w:val="clear" w:color="auto" w:fill="ffffff"/>
          <w:lang w:val="en-US" w:eastAsia="zh-CN"/>
        </w:rPr>
        <w:t xml:space="preserve">二:222.25</w:t>
      </w:r>
      <w:r>
        <w:rPr>
          <w:rFonts w:hint="eastAsia" w:ascii="宋体" w:hAnsi="宋体" w:eastAsia="宋体" w:cs="宋体"/>
          <w:color w:val="333333"/>
          <w:shd w:val="clear" w:color="auto" w:fill="ffffff"/>
          <w:lang w:eastAsia="zh-CN"/>
        </w:rPr>
        <w:t xml:space="preserve">万元；）</w:t>
      </w:r>
      <w:r/>
    </w:p>
    <w:p>
      <w:pPr>
        <w:pStyle w:val="731"/>
        <w:ind w:firstLine="480"/>
        <w:jc w:val="both"/>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5.最高限价（如有）：包一：幼儿健康与护理家政服务专业设备采购项目</w:t>
      </w:r>
      <w:r>
        <w:rPr>
          <w:rFonts w:hint="eastAsia" w:ascii="宋体" w:hAnsi="宋体" w:eastAsia="宋体" w:cs="宋体"/>
          <w:color w:val="333333"/>
          <w:shd w:val="clear" w:color="auto" w:fill="ffffff"/>
          <w:lang w:val="en-US" w:eastAsia="zh-CN"/>
        </w:rPr>
        <w:t xml:space="preserve">237.42</w:t>
      </w:r>
      <w:r>
        <w:rPr>
          <w:rFonts w:hint="eastAsia" w:ascii="宋体" w:hAnsi="宋体" w:eastAsia="宋体" w:cs="宋体"/>
          <w:color w:val="333333"/>
          <w:shd w:val="clear" w:color="auto" w:fill="ffffff"/>
        </w:rPr>
        <w:t xml:space="preserve">万元；包二：</w:t>
      </w:r>
      <w:r>
        <w:rPr>
          <w:rFonts w:hint="eastAsia" w:ascii="宋体" w:hAnsi="宋体" w:eastAsia="宋体" w:cs="宋体"/>
          <w:color w:val="333333"/>
          <w:shd w:val="clear" w:color="auto" w:fill="ffffff"/>
          <w:lang w:eastAsia="zh-CN"/>
        </w:rPr>
        <w:t xml:space="preserve">数字化智慧养老实训基地设备采购项目</w:t>
      </w:r>
      <w:r>
        <w:rPr>
          <w:rFonts w:hint="eastAsia" w:ascii="宋体" w:hAnsi="宋体" w:eastAsia="宋体" w:cs="宋体"/>
          <w:color w:val="333333"/>
          <w:shd w:val="clear" w:color="auto" w:fill="ffffff"/>
          <w:lang w:val="en-US" w:eastAsia="zh-CN"/>
        </w:rPr>
        <w:t xml:space="preserve">222.25</w:t>
      </w:r>
      <w:r>
        <w:rPr>
          <w:rFonts w:hint="eastAsia" w:ascii="宋体" w:hAnsi="宋体" w:eastAsia="宋体" w:cs="宋体"/>
          <w:color w:val="333333"/>
          <w:shd w:val="clear" w:color="auto" w:fill="ffffff"/>
        </w:rPr>
        <w:t xml:space="preserve">万元。 本项目兼投兼中，定标顺序为包一 →包二。  </w:t>
      </w:r>
      <w:r/>
    </w:p>
    <w:p>
      <w:pPr>
        <w:pStyle w:val="731"/>
        <w:ind w:firstLine="480"/>
        <w:jc w:val="both"/>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6.采购需求（简介）：</w:t>
      </w:r>
      <w:r>
        <w:rPr>
          <w:rFonts w:hint="eastAsia" w:ascii="宋体" w:hAnsi="宋体" w:eastAsia="宋体" w:cs="宋体"/>
          <w:color w:val="333333"/>
          <w:shd w:val="clear" w:color="auto" w:fill="ffffff"/>
          <w:lang w:eastAsia="zh-CN"/>
        </w:rPr>
        <w:t xml:space="preserve">江苏省盐城技师学院幼儿健康与护理家政服务专业设备采购项目及数字化智慧养老实训基地设备采购项目</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本项目分二个包：（包一）</w:t>
      </w:r>
      <w:r>
        <w:rPr>
          <w:rFonts w:hint="eastAsia" w:ascii="宋体" w:hAnsi="宋体" w:eastAsia="宋体" w:cs="宋体"/>
          <w:color w:val="333333"/>
          <w:shd w:val="clear" w:color="auto" w:fill="ffffff"/>
          <w:lang w:eastAsia="zh-CN"/>
        </w:rPr>
        <w:t xml:space="preserve">幼儿健康与护理家政服务专业设备采购；</w:t>
      </w:r>
      <w:r>
        <w:rPr>
          <w:rFonts w:hint="eastAsia" w:ascii="宋体" w:hAnsi="宋体" w:eastAsia="宋体" w:cs="宋体"/>
          <w:color w:val="333333"/>
          <w:shd w:val="clear" w:color="auto" w:fill="ffffff"/>
          <w:lang w:val="en-US" w:eastAsia="zh-CN"/>
        </w:rPr>
        <w:t xml:space="preserve">（包二）数字化智慧养老实训基地设采购。</w:t>
      </w:r>
      <w:r>
        <w:rPr>
          <w:rFonts w:hint="eastAsia" w:ascii="宋体" w:hAnsi="宋体" w:eastAsia="宋体" w:cs="宋体"/>
          <w:color w:val="333333"/>
          <w:shd w:val="clear" w:color="auto" w:fill="ffffff"/>
        </w:rPr>
        <w:t xml:space="preserve">详见本招标文件第四章采购需求。</w:t>
      </w:r>
      <w:r/>
    </w:p>
    <w:p>
      <w:pPr>
        <w:pStyle w:val="731"/>
        <w:ind w:firstLine="480"/>
        <w:jc w:val="both"/>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7.合同履行期限：合同履行期限：合同生效后60个日历天（此期限不包括采购人验收时间），供应商应在此期限内完成全部货物的交付、安装与调试。</w:t>
      </w:r>
      <w:r/>
    </w:p>
    <w:p>
      <w:pPr>
        <w:pStyle w:val="731"/>
        <w:ind w:firstLine="480"/>
        <w:jc w:val="both"/>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8.本项目（是/否）接受联合体：不接受联合体。</w:t>
      </w:r>
      <w:r/>
    </w:p>
    <w:p>
      <w:pPr>
        <w:pStyle w:val="731"/>
        <w:ind w:firstLine="498"/>
        <w:jc w:val="both"/>
        <w:keepLines/>
        <w:keepNext/>
        <w:spacing w:beforeAutospacing="0" w:afterAutospacing="0" w:line="360" w:lineRule="auto"/>
        <w:rPr>
          <w:rFonts w:ascii="宋体" w:hAnsi="宋体" w:eastAsia="宋体" w:cs="宋体"/>
        </w:rPr>
      </w:pPr>
      <w:r/>
      <w:bookmarkStart w:id="8" w:name="_Toc28359003"/>
      <w:r/>
      <w:bookmarkStart w:id="9" w:name="_Toc35393622"/>
      <w:r/>
      <w:bookmarkStart w:id="10" w:name="_Toc28359080"/>
      <w:r/>
      <w:bookmarkStart w:id="11" w:name="_Toc35393791"/>
      <w:r/>
      <w:bookmarkStart w:id="12" w:name="_Toc38985264"/>
      <w:r>
        <w:rPr>
          <w:rFonts w:hint="eastAsia" w:ascii="宋体" w:hAnsi="宋体" w:eastAsia="宋体" w:cs="宋体"/>
          <w:b/>
          <w:color w:val="000000"/>
        </w:rPr>
        <w:t xml:space="preserve">二、申请人的资格要求：</w:t>
      </w:r>
      <w:bookmarkEnd w:id="8"/>
      <w:r/>
      <w:bookmarkEnd w:id="9"/>
      <w:r/>
      <w:bookmarkEnd w:id="10"/>
      <w:r/>
      <w:bookmarkEnd w:id="11"/>
      <w:r/>
      <w:bookmarkEnd w:id="12"/>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73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1.2上一年度的财务状况报表（成立不满一年无需提供）；</w:t>
      </w:r>
      <w:r/>
    </w:p>
    <w:p>
      <w:pPr>
        <w:pStyle w:val="73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73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73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rPr>
          <w:rFonts w:hint="eastAsia" w:ascii="宋体" w:hAnsi="宋体" w:eastAsia="宋体" w:cs="宋体"/>
          <w:color w:val="auto"/>
        </w:rPr>
        <w:t xml:space="preserve">(自行承诺)。</w:t>
      </w:r>
      <w:r/>
    </w:p>
    <w:p>
      <w:pPr>
        <w:pStyle w:val="731"/>
        <w:numPr>
          <w:ilvl w:val="0"/>
          <w:numId w:val="1"/>
        </w:numPr>
        <w:ind w:left="239" w:firstLine="307"/>
        <w:jc w:val="left"/>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rPr>
        <w:t xml:space="preserve">落实政府采购政策需满足的资格要求：</w:t>
      </w:r>
      <w:r>
        <w:rPr>
          <w:rFonts w:hint="eastAsia" w:ascii="宋体" w:hAnsi="宋体" w:eastAsia="宋体" w:cs="宋体"/>
          <w:color w:val="000000"/>
          <w:lang w:val="en-US" w:eastAsia="zh-CN"/>
        </w:rPr>
        <w:t xml:space="preserve"> </w:t>
      </w:r>
      <w:r/>
    </w:p>
    <w:p>
      <w:pPr>
        <w:pStyle w:val="731"/>
        <w:numPr>
          <w:ilvl w:val="0"/>
          <w:numId w:val="0"/>
        </w:numPr>
        <w:jc w:val="left"/>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采购包一：无</w:t>
      </w:r>
      <w:r/>
    </w:p>
    <w:p>
      <w:pPr>
        <w:pStyle w:val="731"/>
        <w:numPr>
          <w:ilvl w:val="0"/>
          <w:numId w:val="0"/>
        </w:numPr>
        <w:jc w:val="left"/>
        <w:spacing w:beforeAutospacing="0" w:afterAutospacing="0" w:line="360" w:lineRule="auto"/>
        <w:rPr>
          <w:rFonts w:ascii="宋体" w:hAnsi="宋体" w:eastAsia="宋体" w:cs="宋体"/>
        </w:rPr>
      </w:pPr>
      <w:r>
        <w:rPr>
          <w:rFonts w:hint="eastAsia" w:ascii="宋体" w:hAnsi="宋体" w:eastAsia="宋体" w:cs="宋体"/>
          <w:color w:val="000000"/>
          <w:lang w:val="en-US" w:eastAsia="zh-CN"/>
        </w:rPr>
        <w:t xml:space="preserve">采购包二： </w:t>
      </w:r>
      <w:r>
        <w:rPr>
          <w:rFonts w:hint="eastAsia" w:ascii="宋体" w:hAnsi="宋体" w:eastAsia="宋体" w:cs="宋体"/>
          <w:b/>
          <w:bCs/>
          <w:color w:val="auto"/>
          <w:sz w:val="24"/>
          <w:szCs w:val="24"/>
          <w:highlight w:val="none"/>
          <w:shd w:val="clear" w:color="auto" w:fill="auto"/>
        </w:rPr>
        <w:t xml:space="preserve">本项目专门面向中小企业采购，标的所属行业为</w:t>
      </w:r>
      <w:r>
        <w:rPr>
          <w:rFonts w:hint="eastAsia" w:ascii="宋体" w:hAnsi="宋体" w:eastAsia="宋体" w:cs="宋体"/>
          <w:b/>
          <w:bCs/>
          <w:color w:val="auto"/>
          <w:sz w:val="24"/>
          <w:szCs w:val="24"/>
          <w:highlight w:val="none"/>
          <w:u w:val="single"/>
          <w:shd w:val="clear" w:color="auto" w:fill="auto"/>
        </w:rPr>
        <w:t xml:space="preserve">工业</w:t>
      </w:r>
      <w:r>
        <w:rPr>
          <w:rFonts w:hint="eastAsia" w:ascii="宋体" w:hAnsi="宋体" w:eastAsia="宋体" w:cs="宋体"/>
          <w:b w:val="0"/>
          <w:bCs w:val="0"/>
          <w:color w:val="auto"/>
          <w:sz w:val="24"/>
          <w:szCs w:val="24"/>
          <w:highlight w:val="none"/>
          <w:shd w:val="clear" w:color="auto" w:fill="auto"/>
        </w:rPr>
        <w:t xml:space="preserve">（中小企业划分标准详见《关于印发中小企业划型标准规定的通知》工信部联企业〔2011〕300号），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rPr>
          <w:rFonts w:hint="eastAsia" w:ascii="宋体" w:hAnsi="宋体" w:eastAsia="宋体" w:cs="宋体"/>
          <w:color w:val="0000ff"/>
        </w:rPr>
        <w:t xml:space="preserve">。</w:t>
      </w:r>
      <w:r/>
    </w:p>
    <w:p>
      <w:pPr>
        <w:pStyle w:val="731"/>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000000"/>
        </w:rPr>
        <w:t xml:space="preserve">3.本项目的特定资格要求：</w:t>
      </w:r>
      <w:r>
        <w:rPr>
          <w:rFonts w:hint="eastAsia" w:ascii="宋体" w:hAnsi="宋体" w:eastAsia="宋体" w:cs="宋体"/>
          <w:i/>
          <w:iCs/>
          <w:color w:val="0000ff"/>
          <w:u w:val="single"/>
        </w:rPr>
        <w:t xml:space="preserve">无。</w:t>
      </w:r>
      <w:r/>
    </w:p>
    <w:p>
      <w:pPr>
        <w:pStyle w:val="731"/>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731"/>
        <w:ind w:firstLine="540"/>
        <w:jc w:val="both"/>
        <w:spacing w:beforeAutospacing="0" w:afterAutospacing="0" w:line="360" w:lineRule="auto"/>
        <w:shd w:val="clear" w:color="auto" w:fill="ffffff"/>
        <w:widowControl/>
        <w:rPr>
          <w:rFonts w:ascii="宋体" w:hAnsi="宋体" w:eastAsia="宋体" w:cs="宋体"/>
          <w:color w:val="000000"/>
        </w:rPr>
      </w:pPr>
      <w:r/>
      <w:bookmarkStart w:id="13" w:name="_Toc28359005"/>
      <w:r/>
      <w:bookmarkStart w:id="14" w:name="_Toc35393624"/>
      <w:r/>
      <w:bookmarkStart w:id="15" w:name="_Toc38985266"/>
      <w:r/>
      <w:bookmarkStart w:id="16" w:name="_Toc35393793"/>
      <w:r/>
      <w:bookmarkStart w:id="17" w:name="_Toc28359082"/>
      <w:r>
        <w:rPr>
          <w:rFonts w:hint="eastAsia" w:ascii="宋体" w:hAnsi="宋体" w:eastAsia="宋体" w:cs="宋体"/>
          <w:color w:val="000000"/>
        </w:rPr>
        <w:t xml:space="preserve">1.时间：</w:t>
      </w:r>
      <w:bookmarkEnd w:id="13"/>
      <w:r/>
      <w:bookmarkEnd w:id="14"/>
      <w:r/>
      <w:bookmarkEnd w:id="15"/>
      <w:r/>
      <w:bookmarkEnd w:id="16"/>
      <w:r/>
      <w:bookmarkEnd w:id="17"/>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731"/>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731"/>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731"/>
        <w:ind w:firstLine="54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1.时间：</w:t>
      </w:r>
      <w:r>
        <w:rPr>
          <w:rFonts w:hint="eastAsia" w:ascii="宋体" w:hAnsi="宋体" w:eastAsia="宋体" w:cs="宋体"/>
          <w:color w:val="auto"/>
          <w:u w:val="single"/>
          <w:lang w:val="en-US" w:eastAsia="zh-CN"/>
        </w:rPr>
        <w:t xml:space="preserve">2026</w:t>
      </w:r>
      <w:r>
        <w:rPr>
          <w:rFonts w:hint="eastAsia" w:ascii="宋体" w:hAnsi="宋体" w:eastAsia="宋体" w:cs="宋体"/>
          <w:color w:val="auto"/>
          <w:u w:val="single"/>
        </w:rPr>
        <w:t xml:space="preserve">年</w:t>
      </w:r>
      <w:r>
        <w:rPr>
          <w:rFonts w:hint="eastAsia" w:ascii="宋体" w:hAnsi="宋体" w:eastAsia="宋体" w:cs="宋体"/>
          <w:color w:val="auto"/>
          <w:u w:val="single"/>
          <w:lang w:val="en-US" w:eastAsia="zh-CN"/>
        </w:rPr>
        <w:t xml:space="preserve">9</w:t>
      </w:r>
      <w:r>
        <w:rPr>
          <w:rFonts w:hint="eastAsia" w:ascii="宋体" w:hAnsi="宋体" w:eastAsia="宋体" w:cs="宋体"/>
          <w:color w:val="auto"/>
          <w:u w:val="single"/>
        </w:rPr>
        <w:t xml:space="preserve">月</w:t>
      </w:r>
      <w:r>
        <w:rPr>
          <w:rFonts w:hint="eastAsia" w:ascii="宋体" w:hAnsi="宋体" w:eastAsia="宋体" w:cs="宋体"/>
          <w:color w:val="auto"/>
          <w:u w:val="single"/>
          <w:lang w:val="en-US" w:eastAsia="zh-CN"/>
        </w:rPr>
        <w:t xml:space="preserve">9</w:t>
      </w:r>
      <w:r>
        <w:rPr>
          <w:rFonts w:hint="eastAsia" w:ascii="宋体" w:hAnsi="宋体" w:eastAsia="宋体" w:cs="宋体"/>
          <w:color w:val="auto"/>
          <w:u w:val="single"/>
        </w:rPr>
        <w:t xml:space="preserve">日</w:t>
      </w:r>
      <w:r>
        <w:rPr>
          <w:rFonts w:hint="eastAsia" w:ascii="宋体" w:hAnsi="宋体" w:eastAsia="宋体" w:cs="宋体"/>
          <w:color w:val="auto"/>
          <w:u w:val="single"/>
          <w:lang w:val="en-US" w:eastAsia="zh-CN"/>
        </w:rPr>
        <w:t xml:space="preserve">9:00</w:t>
      </w:r>
      <w:r>
        <w:rPr>
          <w:rFonts w:hint="eastAsia" w:ascii="宋体" w:hAnsi="宋体" w:eastAsia="宋体" w:cs="宋体"/>
          <w:color w:val="auto"/>
        </w:rPr>
        <w:t xml:space="preserve">（北京时间）。</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731"/>
        <w:ind w:firstLine="498"/>
        <w:jc w:val="both"/>
        <w:keepLines/>
        <w:keepNext/>
        <w:spacing w:beforeAutospacing="0" w:afterAutospacing="0" w:line="360" w:lineRule="auto"/>
        <w:rPr>
          <w:rFonts w:ascii="宋体" w:hAnsi="宋体" w:eastAsia="宋体" w:cs="宋体"/>
        </w:rPr>
      </w:pPr>
      <w:r/>
      <w:bookmarkStart w:id="18" w:name="_Toc28359084"/>
      <w:r/>
      <w:bookmarkStart w:id="19" w:name="_Toc35393625"/>
      <w:r/>
      <w:bookmarkStart w:id="20" w:name="_Toc38985267"/>
      <w:r/>
      <w:bookmarkStart w:id="21" w:name="_Toc28359007"/>
      <w:r/>
      <w:bookmarkStart w:id="22" w:name="_Toc35393794"/>
      <w:r>
        <w:rPr>
          <w:rFonts w:hint="eastAsia" w:ascii="宋体" w:hAnsi="宋体" w:eastAsia="宋体" w:cs="宋体"/>
          <w:b/>
          <w:color w:val="000000"/>
        </w:rPr>
        <w:t xml:space="preserve">五、公告期限</w:t>
      </w:r>
      <w:bookmarkEnd w:id="18"/>
      <w:r/>
      <w:bookmarkEnd w:id="19"/>
      <w:r/>
      <w:bookmarkEnd w:id="20"/>
      <w:r/>
      <w:bookmarkEnd w:id="21"/>
      <w:r/>
      <w:bookmarkEnd w:id="22"/>
      <w:r/>
      <w:r/>
    </w:p>
    <w:p>
      <w:pPr>
        <w:pStyle w:val="731"/>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3" w:name="_Toc35393626"/>
      <w:r/>
      <w:bookmarkStart w:id="24" w:name="_Toc38985268"/>
      <w:r/>
      <w:bookmarkStart w:id="25" w:name="_Toc35393795"/>
      <w:r>
        <w:rPr>
          <w:rFonts w:hint="eastAsia" w:ascii="宋体" w:hAnsi="宋体" w:eastAsia="宋体" w:cs="宋体"/>
          <w:color w:val="333333"/>
          <w:shd w:val="clear" w:color="auto" w:fill="ffffff"/>
        </w:rPr>
        <w:t xml:space="preserve">自本公告发布之日起5个工作日。</w:t>
      </w:r>
      <w:bookmarkEnd w:id="23"/>
      <w:r/>
      <w:bookmarkEnd w:id="24"/>
      <w:r/>
      <w:bookmarkEnd w:id="25"/>
      <w:r/>
      <w:r/>
    </w:p>
    <w:p>
      <w:pPr>
        <w:pStyle w:val="731"/>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ind w:firstLine="482"/>
        <w:jc w:val="left"/>
        <w:keepLines w:val="0"/>
        <w:keepNext w:val="0"/>
        <w:pageBreakBefore w:val="0"/>
        <w:spacing w:line="460" w:lineRule="exact"/>
        <w:widowControl/>
        <w:rPr>
          <w:rFonts w:ascii="宋体" w:hAnsi="宋体" w:eastAsia="宋体" w:cs="宋体"/>
          <w:color w:val="000000"/>
          <w:sz w:val="24"/>
          <w:szCs w:val="20"/>
        </w:rPr>
      </w:pPr>
      <w:r/>
      <w:bookmarkStart w:id="26" w:name="_Toc28359018"/>
      <w:r>
        <w:rPr>
          <w:rFonts w:hint="eastAsia" w:ascii="宋体" w:hAnsi="宋体" w:eastAsia="宋体" w:cs="宋体"/>
          <w:color w:val="000000"/>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s="宋体"/>
          <w:sz w:val="24"/>
          <w:szCs w:val="20"/>
        </w:rPr>
        <w:t xml:space="preserve">具体办理指南：在盐城市政府采购网点击【办事指南】-【供应商参与政府采购活动相关资料】。</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领取CA和办理电子签章（</w:t>
      </w:r>
      <w:r>
        <w:rPr>
          <w:rFonts w:hint="eastAsia" w:ascii="宋体" w:hAnsi="宋体" w:eastAsia="宋体" w:cs="宋体"/>
          <w:b/>
          <w:bCs/>
          <w:color w:val="000000"/>
          <w:sz w:val="24"/>
          <w:szCs w:val="20"/>
        </w:rPr>
        <w:t xml:space="preserve">请至盐城市府西路1号盐城市公共资源交易中心四楼大厅10号，11号窗口办理</w:t>
      </w:r>
      <w:r>
        <w:rPr>
          <w:rFonts w:hint="eastAsia" w:ascii="宋体" w:hAnsi="宋体" w:eastAsia="宋体" w:cs="宋体"/>
          <w:color w:val="000000"/>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 </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2.2 潜在投标人访问“苏采云”系统方法：江苏省政府采购网首页-“苏采云”链接。 </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2.3 采购文件（后缀名为“.kedt”）、供应商操作手册及政府采购客户端 工具可通过“苏采云”系统相应链接进行下载。 </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2.4 采购代理机构将数据电文形式的采购文件加载至“苏采云”系统，供潜在供应商下载或者查阅。 </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2.5 请潜在投标单位提前安装相应的控件（详见《“苏采云”系统供应商操作手册》）并使用谷歌浏览器登录“苏采云”系统参与不见面开评标。 </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如潜在投标人未按上述要求操作，将自行承担所产生的风险。</w:t>
      </w:r>
      <w:r/>
    </w:p>
    <w:p>
      <w:pPr>
        <w:ind w:firstLine="482"/>
        <w:jc w:val="left"/>
        <w:keepLines w:val="0"/>
        <w:keepNext w:val="0"/>
        <w:pageBreakBefore w:val="0"/>
        <w:spacing w:line="4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3.有关本次招标的事项若存在变动或修改，敬请及时关注</w:t>
      </w:r>
      <w:r>
        <w:rPr>
          <w:rFonts w:hint="eastAsia" w:ascii="宋体" w:hAnsi="宋体" w:eastAsia="宋体" w:cs="宋体"/>
          <w:color w:val="000000"/>
          <w:sz w:val="24"/>
          <w:szCs w:val="20"/>
          <w:lang w:val="en-US" w:eastAsia="zh-CN"/>
        </w:rPr>
        <w:t xml:space="preserve">采购人</w:t>
      </w:r>
      <w:r>
        <w:rPr>
          <w:rFonts w:hint="eastAsia" w:ascii="宋体" w:hAnsi="宋体" w:eastAsia="宋体" w:cs="宋体"/>
          <w:color w:val="000000"/>
          <w:sz w:val="24"/>
          <w:szCs w:val="20"/>
        </w:rPr>
        <w:t xml:space="preserve">在“中国政府采购网”、“江苏政府采购网”、“盐城市政府采购网”发布的更正公告。</w:t>
      </w:r>
      <w:r/>
    </w:p>
    <w:p>
      <w:pPr>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0"/>
        </w:rPr>
        <w:t xml:space="preserve">4.本次招标不收取投标保证金，不收取质量保证金。</w:t>
      </w:r>
      <w:r/>
    </w:p>
    <w:p>
      <w:pPr>
        <w:pStyle w:val="731"/>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731"/>
        <w:ind w:firstLine="498"/>
        <w:jc w:val="both"/>
        <w:keepLines/>
        <w:keepNext/>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26"/>
      <w:r/>
      <w:r/>
    </w:p>
    <w:p>
      <w:pPr>
        <w:pStyle w:val="731"/>
        <w:ind w:firstLine="60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1.采购人信息</w:t>
      </w:r>
      <w:r/>
    </w:p>
    <w:p>
      <w:pPr>
        <w:pStyle w:val="73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 称：江苏省盐城技师学院</w:t>
      </w:r>
      <w:r/>
    </w:p>
    <w:p>
      <w:pPr>
        <w:pStyle w:val="73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地址：盐城市盐都区海洋路29号</w:t>
      </w:r>
      <w:r/>
    </w:p>
    <w:p>
      <w:pPr>
        <w:pStyle w:val="73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联系人：王老师</w:t>
      </w:r>
      <w:r/>
    </w:p>
    <w:p>
      <w:pPr>
        <w:pStyle w:val="73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w:t>
      </w:r>
      <w:r>
        <w:rPr>
          <w:rFonts w:ascii="宋体" w:hAnsi="宋体" w:eastAsia="宋体" w:cs="宋体"/>
          <w:color w:val="auto"/>
          <w:shd w:val="clear" w:color="auto" w:fill="ffffff"/>
        </w:rPr>
        <w:t xml:space="preserve">13056150848</w:t>
      </w:r>
      <w:r/>
    </w:p>
    <w:p>
      <w:pPr>
        <w:pStyle w:val="73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2.采购代理机构信息</w:t>
      </w:r>
      <w:r/>
    </w:p>
    <w:p>
      <w:pPr>
        <w:pStyle w:val="731"/>
        <w:ind w:firstLine="560"/>
        <w:jc w:val="both"/>
        <w:spacing w:beforeAutospacing="0" w:afterAutospacing="0" w:line="360" w:lineRule="auto"/>
        <w:shd w:val="clear" w:color="auto" w:fill="ffffff"/>
        <w:widowControl/>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lang w:eastAsia="zh-CN"/>
        </w:rPr>
        <w:t xml:space="preserve">江苏智汇锡建工程项目管理有限公司</w:t>
      </w:r>
      <w:r/>
    </w:p>
    <w:p>
      <w:pPr>
        <w:pStyle w:val="731"/>
        <w:ind w:firstLine="560"/>
        <w:jc w:val="both"/>
        <w:spacing w:beforeAutospacing="0" w:afterAutospacing="0" w:line="360" w:lineRule="auto"/>
        <w:shd w:val="clear" w:color="auto" w:fill="ffffff"/>
        <w:widowControl/>
        <w:rPr>
          <w:rFonts w:hint="eastAsia" w:ascii="宋体" w:hAnsi="宋体" w:eastAsia="宋体" w:cs="宋体"/>
          <w:color w:val="auto"/>
          <w:shd w:val="clear" w:color="auto" w:fill="ffffff"/>
        </w:rPr>
      </w:pPr>
      <w:r/>
      <w:bookmarkStart w:id="27" w:name="_Toc28359021"/>
      <w:r>
        <w:rPr>
          <w:rFonts w:hint="eastAsia" w:ascii="宋体" w:hAnsi="宋体" w:eastAsia="宋体" w:cs="宋体"/>
          <w:color w:val="auto"/>
          <w:shd w:val="clear" w:color="auto" w:fill="ffffff"/>
        </w:rPr>
        <w:t xml:space="preserve">地　　址：盐城市西环路293号瞰都公馆10幢1001室</w:t>
      </w:r>
      <w:r/>
    </w:p>
    <w:p>
      <w:pPr>
        <w:pStyle w:val="731"/>
        <w:ind w:firstLine="560"/>
        <w:jc w:val="both"/>
        <w:spacing w:beforeAutospacing="0" w:afterAutospacing="0" w:line="360" w:lineRule="auto"/>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 系 人：于先生 </w:t>
      </w:r>
      <w:r/>
    </w:p>
    <w:p>
      <w:pPr>
        <w:pStyle w:val="731"/>
        <w:ind w:firstLine="560"/>
        <w:jc w:val="both"/>
        <w:spacing w:beforeAutospacing="0" w:afterAutospacing="0" w:line="360" w:lineRule="auto"/>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联系电话：18921878268</w:t>
      </w:r>
      <w:r/>
    </w:p>
    <w:p>
      <w:pPr>
        <w:pStyle w:val="73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3.</w:t>
      </w:r>
      <w:bookmarkEnd w:id="27"/>
      <w:r>
        <w:rPr>
          <w:rFonts w:hint="eastAsia" w:ascii="宋体" w:hAnsi="宋体" w:eastAsia="宋体" w:cs="宋体"/>
          <w:color w:val="auto"/>
          <w:shd w:val="clear" w:color="auto" w:fill="ffffff"/>
        </w:rPr>
        <w:t xml:space="preserve">项目联系方式</w:t>
      </w:r>
      <w:r/>
    </w:p>
    <w:p>
      <w:pPr>
        <w:pStyle w:val="73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项目联系人：王老师</w:t>
      </w:r>
      <w:r/>
    </w:p>
    <w:p>
      <w:pPr>
        <w:pStyle w:val="73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电　　 话：</w:t>
      </w:r>
      <w:r>
        <w:rPr>
          <w:rFonts w:ascii="宋体" w:hAnsi="宋体" w:eastAsia="宋体" w:cs="宋体"/>
          <w:color w:val="auto"/>
          <w:shd w:val="clear" w:color="auto" w:fill="ffffff"/>
        </w:rPr>
        <w:t xml:space="preserve">13056150848</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28" w:name="_Toc120614211"/>
      <w:r/>
      <w:r/>
    </w:p>
    <w:p>
      <w:pPr>
        <w:pStyle w:val="901"/>
      </w:pPr>
      <w:r/>
      <w:bookmarkStart w:id="29" w:name="_Toc234256914"/>
      <w:r>
        <w:rPr>
          <w:rFonts w:hint="eastAsia"/>
        </w:rPr>
        <w:t xml:space="preserve">第二章  </w:t>
      </w:r>
      <w:bookmarkEnd w:id="28"/>
      <w:r/>
      <w:bookmarkStart w:id="30" w:name="_Toc16938518"/>
      <w:r/>
      <w:bookmarkStart w:id="31" w:name="_Toc513029202"/>
      <w:r/>
      <w:bookmarkStart w:id="32" w:name="_Toc20823274"/>
      <w:r/>
      <w:bookmarkStart w:id="33" w:name="_Toc120614213"/>
      <w:r>
        <w:rPr>
          <w:rFonts w:hint="eastAsia"/>
        </w:rPr>
        <w:t xml:space="preserve">投标人须知</w:t>
      </w:r>
      <w:bookmarkEnd w:id="29"/>
      <w:r/>
      <w:bookmarkEnd w:id="30"/>
      <w:r/>
      <w:bookmarkEnd w:id="31"/>
      <w:r/>
      <w:bookmarkEnd w:id="32"/>
      <w:r/>
      <w:bookmarkEnd w:id="33"/>
      <w:r/>
      <w:r/>
    </w:p>
    <w:p>
      <w:pPr>
        <w:pStyle w:val="731"/>
        <w:ind w:firstLine="498"/>
        <w:jc w:val="both"/>
        <w:keepLines/>
        <w:keepNext/>
        <w:spacing w:beforeAutospacing="0" w:afterAutospacing="0" w:line="360" w:lineRule="auto"/>
        <w:rPr>
          <w:rFonts w:ascii="宋体" w:hAnsi="宋体" w:eastAsia="宋体" w:cs="宋体"/>
        </w:rPr>
      </w:pPr>
      <w:r/>
      <w:bookmarkStart w:id="34" w:name="_Toc513029203"/>
      <w:r/>
      <w:bookmarkStart w:id="35" w:name="_Toc16938519"/>
      <w:r/>
      <w:bookmarkStart w:id="36" w:name="_Toc20823275"/>
      <w:r/>
      <w:bookmarkStart w:id="37" w:name="_Toc120614214"/>
      <w:r>
        <w:rPr>
          <w:rFonts w:hint="eastAsia" w:ascii="宋体" w:hAnsi="宋体" w:eastAsia="宋体" w:cs="宋体"/>
          <w:b/>
          <w:color w:val="000000"/>
        </w:rPr>
        <w:t xml:space="preserve">一、总则</w:t>
      </w:r>
      <w:bookmarkEnd w:id="34"/>
      <w:r/>
      <w:bookmarkEnd w:id="35"/>
      <w:r/>
      <w:bookmarkEnd w:id="36"/>
      <w:r/>
      <w:bookmarkEnd w:id="37"/>
      <w:r/>
      <w:r/>
    </w:p>
    <w:p>
      <w:pPr>
        <w:pStyle w:val="731"/>
        <w:ind w:firstLine="420"/>
        <w:jc w:val="both"/>
        <w:keepLines/>
        <w:keepNext/>
        <w:spacing w:beforeAutospacing="0" w:afterAutospacing="0" w:line="360" w:lineRule="auto"/>
        <w:rPr>
          <w:rFonts w:ascii="宋体" w:hAnsi="宋体" w:eastAsia="宋体" w:cs="宋体"/>
        </w:rPr>
      </w:pPr>
      <w:r/>
      <w:bookmarkStart w:id="38" w:name="_Toc20823276"/>
      <w:r/>
      <w:bookmarkStart w:id="39" w:name="_Toc458694821"/>
      <w:r/>
      <w:bookmarkStart w:id="40" w:name="_Toc513029204"/>
      <w:r/>
      <w:bookmarkStart w:id="41" w:name="_Toc16938520"/>
      <w:r/>
      <w:bookmarkStart w:id="42" w:name="_Hlt16619475"/>
      <w:r>
        <w:rPr>
          <w:rFonts w:hint="eastAsia" w:ascii="宋体" w:hAnsi="宋体" w:eastAsia="宋体" w:cs="宋体"/>
          <w:color w:val="000000"/>
        </w:rPr>
        <w:t xml:space="preserve">1</w:t>
      </w:r>
      <w:bookmarkEnd w:id="38"/>
      <w:r>
        <w:rPr>
          <w:rFonts w:hint="eastAsia" w:ascii="宋体" w:hAnsi="宋体" w:eastAsia="宋体" w:cs="宋体"/>
          <w:color w:val="000000"/>
        </w:rPr>
        <w:t xml:space="preserve">、招标方式</w:t>
      </w:r>
      <w:bookmarkEnd w:id="39"/>
      <w:r/>
      <w:bookmarkEnd w:id="40"/>
      <w:r/>
      <w:bookmarkEnd w:id="41"/>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731"/>
        <w:ind w:firstLine="420"/>
        <w:jc w:val="both"/>
        <w:keepLines/>
        <w:keepNext/>
        <w:spacing w:beforeAutospacing="0" w:afterAutospacing="0" w:line="360" w:lineRule="auto"/>
        <w:rPr>
          <w:rFonts w:ascii="宋体" w:hAnsi="宋体" w:eastAsia="宋体" w:cs="宋体"/>
        </w:rPr>
      </w:pPr>
      <w:r/>
      <w:bookmarkStart w:id="43" w:name="_Toc513029205"/>
      <w:r/>
      <w:bookmarkStart w:id="44" w:name="_Toc20823277"/>
      <w:r/>
      <w:bookmarkStart w:id="45" w:name="_Toc16938521"/>
      <w:r>
        <w:rPr>
          <w:rFonts w:hint="eastAsia" w:ascii="宋体" w:hAnsi="宋体" w:eastAsia="宋体" w:cs="宋体"/>
          <w:color w:val="000000"/>
        </w:rPr>
        <w:t xml:space="preserve">2、合格的投标人</w:t>
      </w:r>
      <w:bookmarkEnd w:id="43"/>
      <w:r/>
      <w:bookmarkEnd w:id="44"/>
      <w:r/>
      <w:bookmarkEnd w:id="45"/>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宋体" w:hAnsi="宋体" w:eastAsia="宋体" w:cs="方正魏碑_GBK"/>
          <w:sz w:val="24"/>
          <w:szCs w:val="21"/>
        </w:rPr>
      </w:pPr>
      <w:r/>
      <w:bookmarkStart w:id="46" w:name="_Toc513029206"/>
      <w:r/>
      <w:bookmarkStart w:id="47" w:name="_Toc16938522"/>
      <w:r/>
      <w:bookmarkStart w:id="48" w:name="_Toc20823278"/>
      <w:r>
        <w:rPr>
          <w:rFonts w:hint="eastAsia" w:ascii="宋体" w:hAnsi="宋体" w:eastAsia="宋体" w:cs="方正魏碑_GBK"/>
          <w:sz w:val="24"/>
          <w:szCs w:val="21"/>
        </w:rPr>
        <w:t xml:space="preserve">3、适用法律</w:t>
      </w:r>
      <w:bookmarkEnd w:id="46"/>
      <w:r/>
      <w:bookmarkEnd w:id="47"/>
      <w:r/>
      <w:bookmarkEnd w:id="48"/>
      <w:r>
        <w:rPr>
          <w:rFonts w:hint="eastAsia" w:ascii="宋体" w:hAnsi="宋体" w:eastAsia="宋体" w:cs="方正魏碑_GBK"/>
          <w:sz w:val="24"/>
          <w:szCs w:val="21"/>
        </w:rPr>
        <w:t xml:space="preserve">和标准</w:t>
      </w:r>
      <w:r/>
    </w:p>
    <w:p>
      <w:pPr>
        <w:pStyle w:val="731"/>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宋体" w:hAnsi="宋体" w:eastAsia="宋体" w:cs="方正魏碑_GBK"/>
          <w:sz w:val="24"/>
          <w:szCs w:val="21"/>
        </w:rPr>
        <w:t xml:space="preserve">3.2 在本项目政府采购活动过程中，如果所执行的标准有更新的，按照最新标准执行。</w:t>
      </w:r>
      <w:r/>
    </w:p>
    <w:p>
      <w:pPr>
        <w:pStyle w:val="731"/>
        <w:ind w:firstLine="420"/>
        <w:jc w:val="both"/>
        <w:keepLines/>
        <w:keepNext/>
        <w:spacing w:beforeAutospacing="0" w:afterAutospacing="0" w:line="360" w:lineRule="auto"/>
        <w:rPr>
          <w:rFonts w:ascii="宋体" w:hAnsi="宋体" w:eastAsia="宋体" w:cs="宋体"/>
        </w:rPr>
      </w:pPr>
      <w:r/>
      <w:bookmarkStart w:id="49" w:name="_Toc513029207"/>
      <w:r/>
      <w:bookmarkStart w:id="50" w:name="_Toc20823279"/>
      <w:r/>
      <w:bookmarkStart w:id="51" w:name="_Toc462564067"/>
      <w:r/>
      <w:bookmarkStart w:id="52" w:name="_Toc16938523"/>
      <w:r>
        <w:rPr>
          <w:rFonts w:hint="eastAsia" w:ascii="宋体" w:hAnsi="宋体" w:eastAsia="宋体" w:cs="宋体"/>
          <w:color w:val="000000"/>
        </w:rPr>
        <w:t xml:space="preserve">4、投标费用</w:t>
      </w:r>
      <w:bookmarkEnd w:id="49"/>
      <w:r/>
      <w:bookmarkEnd w:id="50"/>
      <w:r/>
      <w:bookmarkEnd w:id="51"/>
      <w:r/>
      <w:bookmarkEnd w:id="52"/>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000000"/>
        </w:rPr>
        <w:t xml:space="preserve">4.1 投标</w:t>
      </w:r>
      <w:r>
        <w:rPr>
          <w:rFonts w:hint="eastAsia" w:ascii="宋体" w:hAnsi="宋体" w:eastAsia="宋体" w:cs="宋体"/>
          <w:color w:val="auto"/>
        </w:rPr>
        <w:t xml:space="preserve">人应自行承担所有与参加投标有关的费用，无论投标过程中的做法和结果如何，</w:t>
      </w:r>
      <w:r>
        <w:rPr>
          <w:rFonts w:hint="eastAsia" w:ascii="宋体" w:hAnsi="宋体" w:eastAsia="宋体" w:cs="宋体"/>
          <w:color w:val="auto"/>
          <w:lang w:eastAsia="zh-CN"/>
        </w:rPr>
        <w:t xml:space="preserve">江苏智汇锡建工程项目管理有限公司</w:t>
      </w:r>
      <w:r>
        <w:rPr>
          <w:rFonts w:hint="eastAsia" w:ascii="宋体" w:hAnsi="宋体" w:eastAsia="宋体" w:cs="宋体"/>
          <w:color w:val="auto"/>
        </w:rPr>
        <w:t xml:space="preserve">（以下简称代理机构）在任何情况下均无义务和责任承担这些费用。</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w:t>
      </w:r>
      <w:r>
        <w:rPr>
          <w:rFonts w:hint="eastAsia" w:ascii="宋体" w:hAnsi="宋体" w:eastAsia="宋体" w:cs="宋体"/>
          <w:b/>
          <w:bCs/>
          <w:color w:val="000000"/>
          <w:lang w:val="en-US" w:eastAsia="zh-CN"/>
        </w:rPr>
        <w:t xml:space="preserve">采购代理服务费</w:t>
      </w:r>
      <w:r>
        <w:rPr>
          <w:rFonts w:hint="eastAsia" w:ascii="宋体" w:hAnsi="宋体" w:eastAsia="宋体" w:cs="宋体"/>
          <w:color w:val="000000"/>
          <w:lang w:val="en-US" w:eastAsia="zh-CN"/>
        </w:rPr>
        <w:t xml:space="preserve">：</w:t>
      </w:r>
      <w:r>
        <w:rPr>
          <w:rFonts w:hint="eastAsia" w:asciiTheme="minorEastAsia" w:hAnsiTheme="minorEastAsia" w:eastAsiaTheme="minorEastAsia" w:cstheme="minorEastAsia"/>
          <w:b w:val="0"/>
          <w:bCs w:val="0"/>
          <w:sz w:val="24"/>
          <w:szCs w:val="24"/>
        </w:rPr>
        <w:t xml:space="preserve">按《江苏省政府采购代理服务收费指导意见》(苏政采协[2024]20号）的</w:t>
      </w:r>
      <w:r>
        <w:rPr>
          <w:rFonts w:hint="eastAsia" w:asciiTheme="minorEastAsia" w:hAnsiTheme="minorEastAsia" w:cstheme="minorEastAsia"/>
          <w:b w:val="0"/>
          <w:bCs w:val="0"/>
          <w:sz w:val="24"/>
          <w:szCs w:val="24"/>
          <w:u w:val="single"/>
          <w:lang w:val="en-US" w:eastAsia="zh-CN"/>
        </w:rPr>
        <w:t xml:space="preserve">45</w:t>
      </w:r>
      <w:r>
        <w:rPr>
          <w:rFonts w:hint="eastAsia" w:asciiTheme="minorEastAsia" w:hAnsiTheme="minorEastAsia" w:eastAsiaTheme="minorEastAsia" w:cstheme="minorEastAsia"/>
          <w:b w:val="0"/>
          <w:bCs w:val="0"/>
          <w:sz w:val="24"/>
          <w:szCs w:val="24"/>
        </w:rPr>
        <w:t xml:space="preserve">%收取代理费用，（单个项目费用低于3000元</w:t>
      </w:r>
      <w:r>
        <w:rPr>
          <w:rFonts w:hint="eastAsia" w:asciiTheme="minorEastAsia" w:hAnsiTheme="minorEastAsia" w:cstheme="minorEastAsia"/>
          <w:b w:val="0"/>
          <w:bCs w:val="0"/>
          <w:sz w:val="24"/>
          <w:szCs w:val="24"/>
          <w:lang w:eastAsia="zh-CN"/>
        </w:rPr>
        <w:t xml:space="preserve">的</w:t>
      </w:r>
      <w:r>
        <w:rPr>
          <w:rFonts w:hint="eastAsia" w:asciiTheme="minorEastAsia" w:hAnsiTheme="minorEastAsia" w:cstheme="minorEastAsia"/>
          <w:b w:val="0"/>
          <w:bCs w:val="0"/>
          <w:sz w:val="24"/>
          <w:szCs w:val="24"/>
          <w:lang w:val="en-US" w:eastAsia="zh-CN"/>
        </w:rPr>
        <w:t xml:space="preserve">按3000元结算</w:t>
      </w:r>
      <w:r>
        <w:rPr>
          <w:rFonts w:hint="eastAsia" w:asciiTheme="minorEastAsia" w:hAnsiTheme="minorEastAsia" w:eastAsiaTheme="minorEastAsia" w:cstheme="minorEastAsia"/>
          <w:b w:val="0"/>
          <w:bCs w:val="0"/>
          <w:sz w:val="24"/>
          <w:szCs w:val="24"/>
        </w:rPr>
        <w:t xml:space="preserve">）</w:t>
      </w:r>
      <w:r>
        <w:rPr>
          <w:rFonts w:hint="eastAsia" w:ascii="宋体" w:hAnsi="宋体" w:eastAsia="宋体" w:cs="宋体"/>
          <w:color w:val="000000"/>
        </w:rPr>
        <w:t xml:space="preserve">。招标完成后由采购人向代理机构支付</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投标人无需考虑此费用</w:t>
      </w:r>
      <w:r>
        <w:rPr>
          <w:rFonts w:hint="eastAsia" w:ascii="宋体" w:hAnsi="宋体" w:eastAsia="宋体" w:cs="宋体"/>
          <w:color w:val="000000"/>
        </w:rPr>
        <w:t xml:space="preserve">。</w:t>
      </w:r>
      <w:r/>
    </w:p>
    <w:p>
      <w:pPr>
        <w:pStyle w:val="731"/>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731"/>
        <w:ind w:firstLine="321"/>
        <w:jc w:val="both"/>
        <w:keepLines/>
        <w:keepNext/>
        <w:spacing w:beforeAutospacing="0" w:afterAutospacing="0" w:line="360" w:lineRule="auto"/>
        <w:rPr>
          <w:rFonts w:ascii="宋体" w:hAnsi="宋体" w:eastAsia="宋体" w:cs="宋体"/>
        </w:rPr>
      </w:pPr>
      <w:r/>
      <w:bookmarkStart w:id="53" w:name="_Toc120614215"/>
      <w:r/>
      <w:bookmarkStart w:id="54" w:name="_Toc16938525"/>
      <w:r/>
      <w:bookmarkStart w:id="55" w:name="_Toc20823281"/>
      <w:r/>
      <w:bookmarkStart w:id="56" w:name="_Toc513029209"/>
      <w:r>
        <w:rPr>
          <w:rFonts w:hint="eastAsia" w:ascii="宋体" w:hAnsi="宋体" w:eastAsia="宋体" w:cs="宋体"/>
          <w:b/>
          <w:color w:val="000000"/>
        </w:rPr>
        <w:t xml:space="preserve">二、招标文件</w:t>
      </w:r>
      <w:bookmarkEnd w:id="53"/>
      <w:r/>
      <w:bookmarkEnd w:id="54"/>
      <w:r/>
      <w:bookmarkEnd w:id="55"/>
      <w:r/>
      <w:bookmarkEnd w:id="56"/>
      <w:r/>
      <w:r/>
    </w:p>
    <w:p>
      <w:pPr>
        <w:pStyle w:val="731"/>
        <w:ind w:firstLine="420"/>
        <w:jc w:val="both"/>
        <w:keepLines/>
        <w:keepNext/>
        <w:spacing w:beforeAutospacing="0" w:afterAutospacing="0" w:line="360" w:lineRule="auto"/>
        <w:rPr>
          <w:rFonts w:ascii="宋体" w:hAnsi="宋体" w:eastAsia="宋体" w:cs="宋体"/>
        </w:rPr>
      </w:pPr>
      <w:r/>
      <w:bookmarkStart w:id="57" w:name="_Toc16938526"/>
      <w:r/>
      <w:bookmarkStart w:id="58" w:name="_Toc20823282"/>
      <w:r/>
      <w:bookmarkStart w:id="59" w:name="_Toc513029210"/>
      <w:r>
        <w:rPr>
          <w:rFonts w:hint="eastAsia" w:ascii="宋体" w:hAnsi="宋体" w:eastAsia="宋体" w:cs="宋体"/>
          <w:color w:val="000000"/>
        </w:rPr>
        <w:t xml:space="preserve">6、招标文件构成</w:t>
      </w:r>
      <w:bookmarkEnd w:id="57"/>
      <w:r/>
      <w:bookmarkEnd w:id="58"/>
      <w:r/>
      <w:bookmarkEnd w:id="59"/>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731"/>
        <w:ind w:firstLine="36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731"/>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731"/>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731"/>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731"/>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73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（6）投标文件格式</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请仔细检查招标文件是否齐全，如有缺漏请立即与代理机构联系解决。</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1"/>
        <w:ind w:firstLine="560"/>
        <w:jc w:val="both"/>
        <w:keepLines/>
        <w:keepNext/>
        <w:spacing w:beforeAutospacing="0" w:afterAutospacing="0" w:line="360" w:lineRule="auto"/>
        <w:rPr>
          <w:rFonts w:ascii="宋体" w:hAnsi="宋体" w:eastAsia="宋体" w:cs="宋体"/>
          <w:color w:val="auto"/>
        </w:rPr>
      </w:pPr>
      <w:r/>
      <w:bookmarkStart w:id="60" w:name="_Toc462564070"/>
      <w:r/>
      <w:bookmarkStart w:id="61" w:name="_Toc513029211"/>
      <w:r/>
      <w:bookmarkStart w:id="62" w:name="_Toc16938527"/>
      <w:r/>
      <w:bookmarkStart w:id="63" w:name="_Toc20823283"/>
      <w:r>
        <w:rPr>
          <w:rFonts w:hint="eastAsia" w:ascii="宋体" w:hAnsi="宋体" w:eastAsia="宋体" w:cs="宋体"/>
          <w:color w:val="auto"/>
        </w:rPr>
        <w:t xml:space="preserve">7、招标文件的澄清</w:t>
      </w:r>
      <w:bookmarkEnd w:id="60"/>
      <w:r/>
      <w:bookmarkEnd w:id="61"/>
      <w:r/>
      <w:bookmarkEnd w:id="62"/>
      <w:r/>
      <w:bookmarkEnd w:id="63"/>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7.1 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前按招标公告中的通讯地址，以书面形式通知代理机构。</w:t>
      </w:r>
      <w:r/>
    </w:p>
    <w:p>
      <w:pPr>
        <w:pStyle w:val="731"/>
        <w:ind w:firstLine="560"/>
        <w:jc w:val="both"/>
        <w:keepLines/>
        <w:keepNext/>
        <w:spacing w:beforeAutospacing="0" w:afterAutospacing="0" w:line="360" w:lineRule="auto"/>
        <w:rPr>
          <w:rFonts w:ascii="宋体" w:hAnsi="宋体" w:eastAsia="宋体" w:cs="宋体"/>
          <w:color w:val="auto"/>
        </w:rPr>
      </w:pPr>
      <w:r/>
      <w:bookmarkStart w:id="64" w:name="_Toc462564071"/>
      <w:r/>
      <w:bookmarkStart w:id="65" w:name="_Toc513029212"/>
      <w:r/>
      <w:bookmarkStart w:id="66" w:name="_Toc20823284"/>
      <w:r/>
      <w:bookmarkStart w:id="67" w:name="_Toc16938528"/>
      <w:r>
        <w:rPr>
          <w:rFonts w:hint="eastAsia" w:ascii="宋体" w:hAnsi="宋体" w:eastAsia="宋体" w:cs="宋体"/>
          <w:color w:val="auto"/>
        </w:rPr>
        <w:t xml:space="preserve">8、招标文件的修改</w:t>
      </w:r>
      <w:bookmarkEnd w:id="64"/>
      <w:r/>
      <w:bookmarkEnd w:id="65"/>
      <w:r/>
      <w:bookmarkEnd w:id="66"/>
      <w:r/>
      <w:bookmarkEnd w:id="67"/>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8.1 在投标截止时间前，代理机构可以对招标文件进行修改。</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8.2 代理机构有权按照法定的要求推迟投标截止日期和开标日期。</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8.3 招标文件的修改将在中国政府采购网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江苏政府采购网、盐城市政府采购网公布，补充文件将作为招标文件的组成部分，并对投标人具有约束力。</w:t>
      </w:r>
      <w:r/>
    </w:p>
    <w:p>
      <w:pPr>
        <w:pStyle w:val="731"/>
        <w:ind w:firstLine="482"/>
        <w:jc w:val="both"/>
        <w:keepLines/>
        <w:keepNext/>
        <w:spacing w:beforeAutospacing="0" w:afterAutospacing="0" w:line="360" w:lineRule="auto"/>
        <w:rPr>
          <w:rFonts w:ascii="宋体" w:hAnsi="宋体" w:eastAsia="宋体" w:cs="宋体"/>
          <w:color w:val="auto"/>
        </w:rPr>
      </w:pPr>
      <w:r/>
      <w:bookmarkStart w:id="68" w:name="_Toc513029213"/>
      <w:r/>
      <w:bookmarkStart w:id="69" w:name="_Toc120614216"/>
      <w:r/>
      <w:bookmarkStart w:id="70" w:name="_Toc462564072"/>
      <w:r/>
      <w:bookmarkStart w:id="71" w:name="_Toc16938529"/>
      <w:r/>
      <w:bookmarkStart w:id="72" w:name="_Toc20823285"/>
      <w:r>
        <w:rPr>
          <w:rFonts w:hint="eastAsia" w:ascii="宋体" w:hAnsi="宋体" w:eastAsia="宋体" w:cs="宋体"/>
          <w:b/>
          <w:color w:val="auto"/>
        </w:rPr>
        <w:t xml:space="preserve">三、投标文件的编制</w:t>
      </w:r>
      <w:bookmarkEnd w:id="68"/>
      <w:r/>
      <w:bookmarkEnd w:id="69"/>
      <w:r/>
      <w:bookmarkEnd w:id="70"/>
      <w:r/>
      <w:bookmarkEnd w:id="71"/>
      <w:r/>
      <w:bookmarkEnd w:id="72"/>
      <w:r/>
      <w:r/>
    </w:p>
    <w:p>
      <w:pPr>
        <w:pStyle w:val="731"/>
        <w:ind w:firstLine="560"/>
        <w:jc w:val="both"/>
        <w:keepLines/>
        <w:keepNext/>
        <w:spacing w:beforeAutospacing="0" w:afterAutospacing="0" w:line="360" w:lineRule="auto"/>
        <w:rPr>
          <w:rFonts w:ascii="宋体" w:hAnsi="宋体" w:eastAsia="宋体" w:cs="宋体"/>
          <w:color w:val="auto"/>
        </w:rPr>
      </w:pPr>
      <w:r/>
      <w:bookmarkStart w:id="73" w:name="_Toc462564073"/>
      <w:r/>
      <w:bookmarkStart w:id="74" w:name="_Toc16938530"/>
      <w:r/>
      <w:bookmarkStart w:id="75" w:name="_Toc20823286"/>
      <w:r/>
      <w:bookmarkStart w:id="76" w:name="_Toc513029214"/>
      <w:r>
        <w:rPr>
          <w:rFonts w:hint="eastAsia" w:ascii="宋体" w:hAnsi="宋体" w:eastAsia="宋体" w:cs="宋体"/>
          <w:color w:val="auto"/>
        </w:rPr>
        <w:t xml:space="preserve">9、投标文件的语言及度量衡单位</w:t>
      </w:r>
      <w:bookmarkEnd w:id="73"/>
      <w:r/>
      <w:bookmarkEnd w:id="74"/>
      <w:r/>
      <w:bookmarkEnd w:id="75"/>
      <w:r/>
      <w:bookmarkEnd w:id="76"/>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9.1 投标人提交的投标文件以及投标人与代理机构就有关投标的所有来往通知、函件和文件均应使用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auto"/>
        </w:rPr>
        <w:t xml:space="preserve">9.2 除技术性能另有规定外，投标文件所使用的度量衡单位，均须采用国家</w:t>
      </w:r>
      <w:r>
        <w:rPr>
          <w:rFonts w:hint="eastAsia" w:ascii="宋体" w:hAnsi="宋体" w:eastAsia="宋体" w:cs="宋体"/>
          <w:color w:val="000000"/>
        </w:rPr>
        <w:t xml:space="preserve">法定计量单位。</w:t>
      </w:r>
      <w:r/>
    </w:p>
    <w:p>
      <w:pPr>
        <w:pStyle w:val="731"/>
        <w:ind w:firstLine="420"/>
        <w:jc w:val="both"/>
        <w:keepLines/>
        <w:keepNext/>
        <w:spacing w:beforeAutospacing="0" w:afterAutospacing="0" w:line="360" w:lineRule="auto"/>
        <w:rPr>
          <w:rFonts w:ascii="宋体" w:hAnsi="宋体" w:eastAsia="宋体" w:cs="宋体"/>
        </w:rPr>
      </w:pPr>
      <w:r/>
      <w:bookmarkStart w:id="77" w:name="_Toc513029215"/>
      <w:r/>
      <w:bookmarkStart w:id="78" w:name="_Toc462564074"/>
      <w:r/>
      <w:bookmarkStart w:id="79" w:name="_Toc20823287"/>
      <w:r/>
      <w:bookmarkStart w:id="80" w:name="_Toc16938531"/>
      <w:r>
        <w:rPr>
          <w:rFonts w:hint="eastAsia" w:ascii="宋体" w:hAnsi="宋体" w:eastAsia="宋体" w:cs="宋体"/>
          <w:color w:val="000000"/>
        </w:rPr>
        <w:t xml:space="preserve">10、投标文件构成</w:t>
      </w:r>
      <w:bookmarkEnd w:id="77"/>
      <w:r/>
      <w:bookmarkEnd w:id="78"/>
      <w:r/>
      <w:bookmarkEnd w:id="79"/>
      <w:r/>
      <w:bookmarkEnd w:id="80"/>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731"/>
        <w:ind w:firstLine="420"/>
        <w:jc w:val="both"/>
        <w:keepLines/>
        <w:keepNext/>
        <w:spacing w:beforeAutospacing="0" w:afterAutospacing="0" w:line="360" w:lineRule="auto"/>
        <w:rPr>
          <w:rFonts w:ascii="宋体" w:hAnsi="宋体" w:eastAsia="宋体" w:cs="宋体"/>
        </w:rPr>
      </w:pPr>
      <w:r/>
      <w:bookmarkStart w:id="81" w:name="_Toc49090508"/>
      <w:r/>
      <w:bookmarkStart w:id="82" w:name="_Toc14577357"/>
      <w:r/>
      <w:bookmarkStart w:id="83" w:name="_Toc49090509"/>
      <w:r/>
      <w:bookmarkStart w:id="84" w:name="_Toc14577354"/>
      <w:r/>
      <w:bookmarkStart w:id="85" w:name="_Toc513029219"/>
      <w:r/>
      <w:bookmarkStart w:id="86" w:name="_Toc49090507"/>
      <w:r/>
      <w:bookmarkStart w:id="87" w:name="_Toc513029216"/>
      <w:r/>
      <w:bookmarkStart w:id="88" w:name="_Toc14577355"/>
      <w:r/>
      <w:bookmarkStart w:id="89" w:name="_Hlt26670360"/>
      <w:r/>
      <w:bookmarkStart w:id="90" w:name="_Hlt26668975"/>
      <w:r/>
      <w:bookmarkStart w:id="91" w:name="_Hlt26954838"/>
      <w:r>
        <w:rPr>
          <w:rFonts w:hint="eastAsia" w:ascii="宋体" w:hAnsi="宋体" w:eastAsia="宋体" w:cs="宋体"/>
          <w:color w:val="000000"/>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73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31"/>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31"/>
        <w:ind w:firstLine="420"/>
        <w:jc w:val="both"/>
        <w:keepLines/>
        <w:keepNext/>
        <w:spacing w:beforeAutospacing="0" w:afterAutospacing="0" w:line="360" w:lineRule="auto"/>
        <w:rPr>
          <w:rFonts w:ascii="宋体" w:hAnsi="宋体" w:eastAsia="宋体" w:cs="宋体"/>
        </w:rPr>
      </w:pPr>
      <w:r/>
      <w:bookmarkStart w:id="92" w:name="_Hlt26670486"/>
      <w:r/>
      <w:bookmarkStart w:id="93" w:name="_Hlt26670482"/>
      <w:r/>
      <w:bookmarkStart w:id="94" w:name="_Hlt26954846"/>
      <w:r/>
      <w:bookmarkStart w:id="95" w:name="_Hlt26954731"/>
      <w:r/>
      <w:bookmarkStart w:id="96" w:name="_Hlt26954848"/>
      <w:r>
        <w:rPr>
          <w:rFonts w:hint="eastAsia" w:ascii="宋体" w:hAnsi="宋体" w:eastAsia="宋体" w:cs="宋体"/>
          <w:color w:val="000000"/>
        </w:rPr>
        <w:t xml:space="preserve">13、技术要求响应及偏离表、商务要求响应及偏离表</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731"/>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731"/>
        <w:ind w:firstLine="420"/>
        <w:jc w:val="both"/>
        <w:keepLines/>
        <w:keepNext/>
        <w:spacing w:beforeAutospacing="0" w:afterAutospacing="0" w:line="360" w:lineRule="auto"/>
        <w:rPr>
          <w:rFonts w:ascii="宋体" w:hAnsi="宋体" w:eastAsia="宋体" w:cs="宋体"/>
        </w:rPr>
      </w:pPr>
      <w:r/>
      <w:bookmarkStart w:id="97" w:name="_Toc49090510"/>
      <w:r/>
      <w:bookmarkStart w:id="98" w:name="_Toc14577359"/>
      <w:r>
        <w:rPr>
          <w:rFonts w:hint="eastAsia" w:ascii="宋体" w:hAnsi="宋体" w:eastAsia="宋体" w:cs="宋体"/>
          <w:color w:val="000000"/>
        </w:rPr>
        <w:t xml:space="preserve">15、投标函和开标一览表</w:t>
      </w:r>
      <w:bookmarkEnd w:id="97"/>
      <w:r/>
      <w:bookmarkEnd w:id="98"/>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31"/>
        <w:ind w:firstLine="420"/>
        <w:jc w:val="both"/>
        <w:keepLines/>
        <w:keepNext/>
        <w:spacing w:beforeAutospacing="0" w:afterAutospacing="0" w:line="360" w:lineRule="auto"/>
        <w:rPr>
          <w:rFonts w:ascii="宋体" w:hAnsi="宋体" w:eastAsia="宋体" w:cs="宋体"/>
        </w:rPr>
      </w:pPr>
      <w:r/>
      <w:bookmarkStart w:id="99" w:name="_Toc14577360"/>
      <w:r/>
      <w:bookmarkStart w:id="100" w:name="_Toc49090511"/>
      <w:r>
        <w:rPr>
          <w:rFonts w:hint="eastAsia" w:ascii="宋体" w:hAnsi="宋体" w:eastAsia="宋体" w:cs="宋体"/>
          <w:color w:val="000000"/>
        </w:rPr>
        <w:t xml:space="preserve">16、投标有效期</w:t>
      </w:r>
      <w:bookmarkEnd w:id="99"/>
      <w:r/>
      <w:bookmarkEnd w:id="100"/>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16.1投标有效期为代理机构规定的开标之日后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73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17、投标有效期的延长</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31"/>
        <w:jc w:val="both"/>
        <w:keepLines/>
        <w:keepNext/>
        <w:spacing w:beforeAutospacing="0" w:afterAutospacing="0" w:line="360" w:lineRule="auto"/>
        <w:rPr>
          <w:rFonts w:ascii="宋体" w:hAnsi="宋体" w:eastAsia="宋体" w:cs="宋体"/>
          <w:color w:val="auto"/>
        </w:rPr>
      </w:pPr>
      <w:r/>
      <w:bookmarkStart w:id="101" w:name="_Toc513029224"/>
      <w:r/>
      <w:bookmarkStart w:id="102" w:name="_Toc120614217"/>
      <w:r/>
      <w:bookmarkStart w:id="103" w:name="_Toc20823296"/>
      <w:r/>
      <w:bookmarkStart w:id="104" w:name="_Toc16938540"/>
      <w:r/>
      <w:bookmarkStart w:id="105" w:name="_Hlt26954852"/>
      <w:r/>
      <w:bookmarkStart w:id="106" w:name="_Hlt26954739"/>
      <w:r>
        <w:rPr>
          <w:rFonts w:hint="eastAsia" w:ascii="宋体" w:hAnsi="宋体" w:eastAsia="宋体" w:cs="宋体"/>
          <w:b/>
          <w:color w:val="auto"/>
        </w:rPr>
        <w:t xml:space="preserve">四、投标文件的递交</w:t>
      </w:r>
      <w:bookmarkEnd w:id="101"/>
      <w:r/>
      <w:bookmarkEnd w:id="102"/>
      <w:r/>
      <w:bookmarkEnd w:id="103"/>
      <w:r/>
      <w:bookmarkEnd w:id="104"/>
      <w:r/>
      <w:r/>
    </w:p>
    <w:p>
      <w:pPr>
        <w:pStyle w:val="731"/>
        <w:ind w:firstLine="420"/>
        <w:jc w:val="both"/>
        <w:keepLines/>
        <w:keepNext/>
        <w:spacing w:beforeAutospacing="0" w:afterAutospacing="0" w:line="360" w:lineRule="auto"/>
        <w:rPr>
          <w:rFonts w:ascii="宋体" w:hAnsi="宋体" w:eastAsia="宋体" w:cs="宋体"/>
          <w:color w:val="auto"/>
        </w:rPr>
      </w:pPr>
      <w:r/>
      <w:bookmarkStart w:id="107" w:name="_Toc16938541"/>
      <w:r/>
      <w:bookmarkStart w:id="108" w:name="_Toc513029225"/>
      <w:r/>
      <w:bookmarkStart w:id="109" w:name="_Toc20823297"/>
      <w:r/>
      <w:bookmarkStart w:id="110" w:name="_Toc462564084"/>
      <w:r>
        <w:rPr>
          <w:rFonts w:hint="eastAsia" w:ascii="宋体" w:hAnsi="宋体" w:eastAsia="宋体" w:cs="宋体"/>
          <w:color w:val="auto"/>
        </w:rPr>
        <w:t xml:space="preserve">18、电子投标文件</w:t>
      </w:r>
      <w:bookmarkEnd w:id="107"/>
      <w:r/>
      <w:bookmarkEnd w:id="108"/>
      <w:r/>
      <w:bookmarkEnd w:id="109"/>
      <w:r/>
      <w:bookmarkEnd w:id="110"/>
      <w:r>
        <w:rPr>
          <w:rFonts w:hint="eastAsia" w:ascii="宋体" w:hAnsi="宋体" w:eastAsia="宋体" w:cs="宋体"/>
          <w:color w:val="auto"/>
        </w:rPr>
        <w:t xml:space="preserve">的递交</w:t>
      </w:r>
      <w:r/>
    </w:p>
    <w:p>
      <w:pPr>
        <w:pStyle w:val="73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w:t>
      </w:r>
      <w:r/>
    </w:p>
    <w:p>
      <w:pPr>
        <w:pStyle w:val="73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文件。</w:t>
      </w:r>
      <w:bookmarkStart w:id="111" w:name="_Toc16938542"/>
      <w:r/>
      <w:bookmarkEnd w:id="111"/>
      <w:r/>
      <w:bookmarkStart w:id="112" w:name="_Toc20823298"/>
      <w:r/>
      <w:bookmarkEnd w:id="112"/>
      <w:r/>
      <w:bookmarkStart w:id="113" w:name="_Toc513029226"/>
      <w:r/>
      <w:r/>
    </w:p>
    <w:p>
      <w:pPr>
        <w:pStyle w:val="73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19、投标截止日期</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i/>
          <w:color w:val="auto"/>
          <w:u w:val="single"/>
        </w:rPr>
        <w:t xml:space="preserve">19.1 投标人上传电子投标文件的时间不得迟于招标公告中规定的投标截止时间。</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投标人应充分考虑到网络环境、网络带宽等风险因素，如因投标人自身原因造成的电子投标文件上传不成功的按照本招标文件第二章第27.1.2条规定做无效投标处理。</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19.2 代理机构可以按照规定，通过修改招标文件酌情延长投标截止日期，在此情况下，投标人的所有权利和义务以及投标人受制的截止日期均应以延长后新的截止日期为准。</w:t>
      </w:r>
      <w:r/>
    </w:p>
    <w:p>
      <w:pPr>
        <w:pStyle w:val="731"/>
        <w:ind w:firstLine="420"/>
        <w:jc w:val="both"/>
        <w:keepLines/>
        <w:keepNext/>
        <w:spacing w:beforeAutospacing="0" w:afterAutospacing="0" w:line="360" w:lineRule="auto"/>
        <w:rPr>
          <w:rFonts w:ascii="宋体" w:hAnsi="宋体" w:eastAsia="宋体" w:cs="宋体"/>
          <w:color w:val="auto"/>
        </w:rPr>
      </w:pPr>
      <w:r/>
      <w:bookmarkStart w:id="114" w:name="_Toc16938543"/>
      <w:r/>
      <w:bookmarkStart w:id="115" w:name="_Toc513029227"/>
      <w:r/>
      <w:bookmarkStart w:id="116" w:name="_Toc20823299"/>
      <w:r>
        <w:rPr>
          <w:rFonts w:hint="eastAsia" w:ascii="宋体" w:hAnsi="宋体" w:eastAsia="宋体" w:cs="宋体"/>
          <w:color w:val="auto"/>
        </w:rPr>
        <w:t xml:space="preserve">20、投标文件</w:t>
      </w:r>
      <w:bookmarkEnd w:id="114"/>
      <w:r/>
      <w:bookmarkEnd w:id="115"/>
      <w:r/>
      <w:bookmarkEnd w:id="116"/>
      <w:r>
        <w:rPr>
          <w:rFonts w:hint="eastAsia" w:ascii="宋体" w:hAnsi="宋体" w:eastAsia="宋体" w:cs="宋体"/>
          <w:color w:val="auto"/>
        </w:rPr>
        <w:t xml:space="preserve">的拒收</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20.1 代理机构拒绝接收在其规定的投标截止时间后上传的任何投标文件。</w:t>
      </w:r>
      <w:r/>
    </w:p>
    <w:p>
      <w:pPr>
        <w:pStyle w:val="731"/>
        <w:ind w:firstLine="420"/>
        <w:jc w:val="both"/>
        <w:keepLines/>
        <w:keepNext/>
        <w:spacing w:beforeAutospacing="0" w:afterAutospacing="0" w:line="360" w:lineRule="auto"/>
        <w:rPr>
          <w:rFonts w:ascii="宋体" w:hAnsi="宋体" w:eastAsia="宋体" w:cs="宋体"/>
          <w:color w:val="auto"/>
        </w:rPr>
      </w:pPr>
      <w:r/>
      <w:bookmarkStart w:id="117" w:name="_Toc16938544"/>
      <w:r/>
      <w:bookmarkStart w:id="118" w:name="_Toc513029228"/>
      <w:r/>
      <w:bookmarkStart w:id="119" w:name="_Toc20823300"/>
      <w:r>
        <w:rPr>
          <w:rFonts w:hint="eastAsia" w:ascii="宋体" w:hAnsi="宋体" w:eastAsia="宋体" w:cs="宋体"/>
          <w:color w:val="auto"/>
        </w:rPr>
        <w:t xml:space="preserve">21、投标文件的撤回和修改</w:t>
      </w:r>
      <w:bookmarkEnd w:id="117"/>
      <w:r/>
      <w:bookmarkEnd w:id="118"/>
      <w:r/>
      <w:bookmarkEnd w:id="119"/>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 投标文件的撤回</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21.1.1 电子投标文件的撤回</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21.1.2 投标人撤回电子投标文件，则认为其不再参与本项目投标活动。</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 投标文件的修改</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r/>
    </w:p>
    <w:p>
      <w:pPr>
        <w:pStyle w:val="731"/>
        <w:ind w:firstLine="482"/>
        <w:jc w:val="both"/>
        <w:keepLines/>
        <w:keepNext/>
        <w:spacing w:beforeAutospacing="0" w:afterAutospacing="0" w:line="360" w:lineRule="auto"/>
        <w:rPr>
          <w:rFonts w:ascii="宋体" w:hAnsi="宋体" w:eastAsia="宋体" w:cs="宋体"/>
          <w:color w:val="auto"/>
        </w:rPr>
      </w:pPr>
      <w:r/>
      <w:bookmarkStart w:id="120" w:name="_Toc20823301"/>
      <w:r/>
      <w:bookmarkStart w:id="121" w:name="_Toc513029229"/>
      <w:r/>
      <w:bookmarkStart w:id="122" w:name="_Toc120614218"/>
      <w:r/>
      <w:bookmarkStart w:id="123" w:name="_Toc16938545"/>
      <w:r>
        <w:rPr>
          <w:rFonts w:hint="eastAsia" w:ascii="宋体" w:hAnsi="宋体" w:eastAsia="宋体" w:cs="宋体"/>
          <w:b/>
          <w:color w:val="auto"/>
        </w:rPr>
        <w:t xml:space="preserve">五、开标与评标</w:t>
      </w:r>
      <w:bookmarkEnd w:id="120"/>
      <w:r/>
      <w:bookmarkEnd w:id="121"/>
      <w:r/>
      <w:bookmarkEnd w:id="122"/>
      <w:r/>
      <w:bookmarkEnd w:id="123"/>
      <w:r/>
      <w:r/>
    </w:p>
    <w:p>
      <w:pPr>
        <w:pStyle w:val="731"/>
        <w:ind w:firstLine="420"/>
        <w:jc w:val="both"/>
        <w:keepLines/>
        <w:keepNext/>
        <w:spacing w:beforeAutospacing="0" w:afterAutospacing="0" w:line="360" w:lineRule="auto"/>
        <w:rPr>
          <w:rFonts w:ascii="宋体" w:hAnsi="宋体" w:eastAsia="宋体" w:cs="宋体"/>
          <w:color w:val="auto"/>
        </w:rPr>
      </w:pPr>
      <w:r/>
      <w:bookmarkStart w:id="124" w:name="_Toc513029230"/>
      <w:r/>
      <w:bookmarkStart w:id="125" w:name="_Toc16938546"/>
      <w:r/>
      <w:bookmarkStart w:id="126" w:name="_Toc20823302"/>
      <w:r>
        <w:rPr>
          <w:rFonts w:hint="eastAsia" w:ascii="宋体" w:hAnsi="宋体" w:eastAsia="宋体" w:cs="宋体"/>
          <w:color w:val="auto"/>
        </w:rPr>
        <w:t xml:space="preserve">22、开标</w:t>
      </w:r>
      <w:bookmarkEnd w:id="124"/>
      <w:r/>
      <w:bookmarkEnd w:id="125"/>
      <w:r/>
      <w:bookmarkEnd w:id="126"/>
      <w:r/>
      <w:r/>
    </w:p>
    <w:p>
      <w:pPr>
        <w:pStyle w:val="73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22.1 代理机构将在招标公告中规定的时间和地点组织公开开标。投标人应当按照《操作手册》规定，参加开标活动和在苏采云系统规定的时间内对投标文件进行解密。</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22.2开标仪式由代理机构组织。苏采云系统将自动对项目进行开标，并宣布各投标人名称和投标价格。</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 苏采云系统中《开标记录表》宣布后5分钟内未提出的，视同认可开标结果。</w:t>
      </w:r>
      <w:r/>
    </w:p>
    <w:p>
      <w:pPr>
        <w:pStyle w:val="731"/>
        <w:ind w:firstLine="420"/>
        <w:jc w:val="both"/>
        <w:keepLines/>
        <w:keepNext/>
        <w:spacing w:beforeAutospacing="0" w:afterAutospacing="0" w:line="360" w:lineRule="auto"/>
        <w:rPr>
          <w:rFonts w:ascii="宋体" w:hAnsi="宋体" w:eastAsia="宋体" w:cs="宋体"/>
          <w:color w:val="auto"/>
        </w:rPr>
      </w:pPr>
      <w:r/>
      <w:bookmarkStart w:id="127" w:name="_Toc16938547"/>
      <w:r/>
      <w:bookmarkStart w:id="128" w:name="_Toc20823303"/>
      <w:r/>
      <w:bookmarkStart w:id="129" w:name="_Toc513029231"/>
      <w:r>
        <w:rPr>
          <w:rFonts w:hint="eastAsia" w:ascii="宋体" w:hAnsi="宋体" w:eastAsia="宋体" w:cs="宋体"/>
          <w:color w:val="auto"/>
        </w:rPr>
        <w:t xml:space="preserve">23、评标委员会</w:t>
      </w:r>
      <w:bookmarkEnd w:id="127"/>
      <w:r/>
      <w:bookmarkEnd w:id="128"/>
      <w:r/>
      <w:bookmarkEnd w:id="129"/>
      <w:r/>
      <w:r/>
    </w:p>
    <w:p>
      <w:pPr>
        <w:pStyle w:val="731"/>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23.1</w:t>
      </w:r>
      <w:r>
        <w:rPr>
          <w:rFonts w:hint="eastAsia" w:ascii="宋体" w:hAnsi="宋体" w:eastAsia="宋体" w:cs="宋体"/>
          <w:b/>
          <w:color w:val="auto"/>
        </w:rPr>
        <w:t xml:space="preserve"> </w:t>
      </w:r>
      <w:r>
        <w:rPr>
          <w:rFonts w:hint="eastAsia" w:ascii="宋体" w:hAnsi="宋体" w:eastAsia="宋体" w:cs="宋体"/>
          <w:color w:val="auto"/>
        </w:rPr>
        <w:t xml:space="preserve">开标后，代理机构将立即组织评标委员会（以下简称评委会）进行评标。</w:t>
      </w:r>
      <w:r/>
    </w:p>
    <w:p>
      <w:pPr>
        <w:pStyle w:val="731"/>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23.2 评委会由采购人代表和有关技术、经济等方面的专家组成，且人员构成符合政府采购有关规定。</w:t>
      </w:r>
      <w:r/>
    </w:p>
    <w:p>
      <w:pPr>
        <w:pStyle w:val="731"/>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23.3评委会独立工作，负责评审所有投标文件并确定中标候选人。</w:t>
      </w:r>
      <w:r/>
    </w:p>
    <w:p>
      <w:pPr>
        <w:pStyle w:val="73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24．评标过程的保密与公正</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24.1凡是与审查、澄清、评价和比较投标的有关资料以及授标建议等，采购人、评委、代理机构均不得向投标人或与评标无关的其他人员透露。</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24.3 代理机构和评标委员会不向未中标的投标人解释未中标原因，也不公布评标过程中的相关细节。</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731"/>
        <w:ind w:firstLine="420"/>
        <w:jc w:val="both"/>
        <w:keepLines/>
        <w:keepNext/>
        <w:spacing w:beforeAutospacing="0" w:afterAutospacing="0" w:line="360" w:lineRule="auto"/>
        <w:rPr>
          <w:rFonts w:ascii="宋体" w:hAnsi="宋体" w:eastAsia="宋体" w:cs="宋体"/>
          <w:color w:val="auto"/>
        </w:rPr>
      </w:pPr>
      <w:r/>
      <w:bookmarkStart w:id="130" w:name="_Toc16938548"/>
      <w:r/>
      <w:bookmarkStart w:id="131" w:name="_Toc20823304"/>
      <w:r/>
      <w:bookmarkStart w:id="132" w:name="_Toc513029232"/>
      <w:r>
        <w:rPr>
          <w:rFonts w:hint="eastAsia" w:ascii="宋体" w:hAnsi="宋体" w:eastAsia="宋体" w:cs="宋体"/>
          <w:color w:val="auto"/>
        </w:rPr>
        <w:t xml:space="preserve">25．投标文件的澄清</w:t>
      </w:r>
      <w:bookmarkEnd w:id="130"/>
      <w:r/>
      <w:bookmarkEnd w:id="131"/>
      <w:r/>
      <w:bookmarkEnd w:id="132"/>
      <w:r/>
      <w:r/>
    </w:p>
    <w:p>
      <w:pPr>
        <w:pStyle w:val="731"/>
        <w:ind w:firstLine="480"/>
        <w:jc w:val="both"/>
        <w:spacing w:beforeAutospacing="0" w:afterAutospacing="0" w:line="360" w:lineRule="auto"/>
        <w:rPr>
          <w:rFonts w:ascii="宋体" w:hAnsi="宋体" w:eastAsia="宋体" w:cs="宋体"/>
          <w:color w:val="auto"/>
        </w:rPr>
      </w:pPr>
      <w:r/>
      <w:bookmarkStart w:id="133" w:name="_Toc513029233"/>
      <w:r/>
      <w:bookmarkStart w:id="134" w:name="_Toc20823305"/>
      <w:r/>
      <w:bookmarkStart w:id="135" w:name="_Toc16938549"/>
      <w:r>
        <w:rPr>
          <w:rFonts w:hint="eastAsia" w:ascii="宋体" w:hAnsi="宋体" w:eastAsia="宋体" w:cs="宋体"/>
          <w:color w:val="auto"/>
        </w:rPr>
        <w:t xml:space="preserve">25.1评标期间，评委会对投标文件中含义不明确、同类问题表述不一致或者有明显文字和计算错误的内容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731"/>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auto"/>
        </w:rPr>
        <w:t xml:space="preserve">作出响应。</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26.2在详细评标之前，评委会将首先审查每份投标文件是否实质性响应了招标文件的要求。实质性响应的投标应该是与招标文件要求的全部条款、条件和</w:t>
      </w:r>
      <w:r>
        <w:rPr>
          <w:rFonts w:hint="eastAsia" w:ascii="宋体" w:hAnsi="宋体" w:eastAsia="宋体" w:cs="宋体"/>
          <w:color w:val="000000"/>
        </w:rPr>
        <w:t xml:space="preserve">规格相符，没有重大偏离或保留的投标。</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26.3如果投标文件实质上没有响应招标文件的要求，评委会将予以拒绝，投标人不得通过修改或撤销不符合要求的偏离或保留而使其投标成为实质性响应的投标。</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31"/>
        <w:ind w:firstLine="480"/>
        <w:jc w:val="both"/>
        <w:spacing w:beforeAutospacing="0" w:afterAutospacing="0" w:line="360" w:lineRule="auto"/>
        <w:rPr>
          <w:rFonts w:ascii="宋体" w:hAnsi="宋体" w:eastAsia="宋体" w:cs="宋体"/>
        </w:rPr>
      </w:pPr>
      <w:r/>
      <w:bookmarkStart w:id="136" w:name="_Toc16938550"/>
      <w:r/>
      <w:bookmarkStart w:id="137" w:name="_Toc513029234"/>
      <w:r/>
      <w:bookmarkStart w:id="138"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1"/>
        <w:ind w:firstLine="4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31"/>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26.7投标人在开、评标全过程中应保持通信畅通，及时登录苏采云系统查阅、答复相关信息，并安排专人与代理机构及评标委员会联系。</w:t>
      </w:r>
      <w:r/>
    </w:p>
    <w:p>
      <w:pPr>
        <w:pStyle w:val="73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27、无效投标条款和废标条款</w:t>
      </w:r>
      <w:r/>
    </w:p>
    <w:p>
      <w:pPr>
        <w:pStyle w:val="731"/>
        <w:jc w:val="both"/>
        <w:spacing w:beforeAutospacing="0" w:afterAutospacing="0" w:line="360" w:lineRule="auto"/>
        <w:rPr>
          <w:rFonts w:ascii="宋体" w:hAnsi="宋体" w:eastAsia="宋体" w:cs="宋体"/>
        </w:rPr>
      </w:pPr>
      <w:r/>
      <w:bookmarkStart w:id="139" w:name="_Toc20823307"/>
      <w:r/>
      <w:bookmarkStart w:id="140" w:name="_Toc16938551"/>
      <w:r/>
      <w:bookmarkStart w:id="141" w:name="_Toc513029235"/>
      <w:r>
        <w:rPr>
          <w:rFonts w:hint="eastAsia" w:ascii="宋体" w:hAnsi="宋体" w:eastAsia="宋体" w:cs="宋体"/>
        </w:rPr>
        <w:t xml:space="preserve">27.1无效投标条款</w:t>
      </w:r>
      <w:bookmarkEnd w:id="139"/>
      <w:r/>
      <w:bookmarkEnd w:id="140"/>
      <w:r/>
      <w:bookmarkEnd w:id="141"/>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3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73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731"/>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31"/>
        <w:ind w:firstLine="480"/>
        <w:jc w:val="both"/>
        <w:spacing w:beforeAutospacing="0" w:afterAutospacing="0" w:line="360" w:lineRule="auto"/>
        <w:rPr>
          <w:rFonts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1"/>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1"/>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31"/>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731"/>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31"/>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731"/>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31"/>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731"/>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31"/>
        <w:ind w:firstLine="482"/>
        <w:jc w:val="both"/>
        <w:keepLines/>
        <w:keepNext/>
        <w:spacing w:beforeAutospacing="0" w:afterAutospacing="0" w:line="360" w:lineRule="auto"/>
        <w:rPr>
          <w:rFonts w:ascii="宋体" w:hAnsi="宋体" w:eastAsia="宋体" w:cs="宋体"/>
        </w:rPr>
      </w:pPr>
      <w:r/>
      <w:bookmarkStart w:id="142" w:name="_Toc120614219"/>
      <w:r>
        <w:rPr>
          <w:rFonts w:hint="eastAsia" w:ascii="宋体" w:hAnsi="宋体" w:eastAsia="宋体" w:cs="宋体"/>
          <w:b/>
          <w:color w:val="000000"/>
        </w:rPr>
        <w:t xml:space="preserve">六、定标</w:t>
      </w:r>
      <w:bookmarkEnd w:id="142"/>
      <w:r/>
      <w:r/>
    </w:p>
    <w:p>
      <w:pPr>
        <w:pStyle w:val="731"/>
        <w:ind w:firstLine="600"/>
        <w:jc w:val="both"/>
        <w:keepLines/>
        <w:keepNext/>
        <w:spacing w:beforeAutospacing="0" w:afterAutospacing="0" w:line="360" w:lineRule="auto"/>
        <w:rPr>
          <w:rFonts w:ascii="宋体" w:hAnsi="宋体" w:eastAsia="宋体" w:cs="宋体"/>
          <w:color w:val="auto"/>
        </w:rPr>
      </w:pPr>
      <w:r/>
      <w:bookmarkStart w:id="143" w:name="_Toc20823310"/>
      <w:r/>
      <w:bookmarkStart w:id="144" w:name="_Toc513029238"/>
      <w:r/>
      <w:bookmarkStart w:id="145" w:name="_Toc16938554"/>
      <w:r>
        <w:rPr>
          <w:rFonts w:hint="eastAsia" w:ascii="宋体" w:hAnsi="宋体" w:eastAsia="宋体" w:cs="宋体"/>
          <w:color w:val="auto"/>
        </w:rPr>
        <w:t xml:space="preserve">28、</w:t>
      </w:r>
      <w:bookmarkEnd w:id="143"/>
      <w:r>
        <w:rPr>
          <w:rFonts w:hint="eastAsia" w:ascii="宋体" w:hAnsi="宋体" w:eastAsia="宋体" w:cs="宋体"/>
          <w:color w:val="auto"/>
        </w:rPr>
        <w:t xml:space="preserve">确定</w:t>
      </w:r>
      <w:bookmarkEnd w:id="144"/>
      <w:r/>
      <w:bookmarkEnd w:id="145"/>
      <w:r>
        <w:rPr>
          <w:rFonts w:hint="eastAsia" w:ascii="宋体" w:hAnsi="宋体" w:eastAsia="宋体" w:cs="宋体"/>
          <w:color w:val="auto"/>
        </w:rPr>
        <w:t xml:space="preserve">中标单位</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28.3 代理机构将在中国政府采购网”“江苏政府采购网”“盐城市政府采购网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发布中标公告，公告期限为1个工作日。</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  若有充分证据证明，中标人出现下列情况之一的，一经查实，将被取消中标资格：</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28.4.1提供虚假材料谋取中标的。</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28.4.2向采购人、代理机构行贿或者提供其他不正当利益的。</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731"/>
        <w:ind w:firstLine="480"/>
        <w:jc w:val="both"/>
        <w:spacing w:beforeAutospacing="0" w:afterAutospacing="0" w:line="360" w:lineRule="auto"/>
        <w:rPr>
          <w:rFonts w:ascii="宋体" w:hAnsi="宋体" w:eastAsia="宋体" w:cs="宋体"/>
        </w:rPr>
      </w:pPr>
      <w:r/>
      <w:bookmarkStart w:id="146" w:name="_Toc200451960"/>
      <w:r>
        <w:rPr>
          <w:rFonts w:hint="eastAsia" w:ascii="宋体" w:hAnsi="宋体" w:eastAsia="宋体" w:cs="宋体"/>
          <w:color w:val="000000"/>
        </w:rPr>
        <w:t xml:space="preserve">28.5. 有下列情形之一的，视为投标人串通投标，投标无效：</w:t>
      </w:r>
      <w:bookmarkEnd w:id="146"/>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31"/>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rPr>
        <w:t xml:space="preserve">29.4条款的规定向代理机构或采购人提出质疑。上述应知其权益受到损害之日，是指：</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29.2.1对可以质疑的采购文件提出质疑的，为收到采购文件之日或者采购文件公告期限届满之日；</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29.2.2对采购过程提出质疑的，为各采购程序环节结束之日；</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29.2.3对中标或者成交结果提出质疑的，为中标或者成交结果公告期限届满之日。</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采购人及采购代理机构只接收以纸质原件形式送达的质疑,采购人和采购代理机构不接受未填写快递运单的快件。质疑接收部门联系地址:详见采购公告，联系电话: 详见采购公告。</w:t>
      </w:r>
      <w:r/>
    </w:p>
    <w:p>
      <w:pPr>
        <w:pStyle w:val="73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 以下情形的质疑不予受理</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31"/>
        <w:ind w:firstLine="468"/>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31"/>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30、中标通知书</w:t>
      </w:r>
      <w:r/>
    </w:p>
    <w:p>
      <w:pPr>
        <w:pStyle w:val="731"/>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30.l</w:t>
      </w:r>
      <w:r>
        <w:rPr>
          <w:rFonts w:hint="eastAsia" w:ascii="宋体" w:hAnsi="宋体" w:eastAsia="宋体" w:cs="宋体"/>
          <w:b/>
          <w:color w:val="auto"/>
        </w:rPr>
        <w:t xml:space="preserve"> </w:t>
      </w:r>
      <w:r>
        <w:rPr>
          <w:rFonts w:hint="eastAsia" w:ascii="宋体" w:hAnsi="宋体" w:eastAsia="宋体" w:cs="宋体"/>
          <w:color w:val="auto"/>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1"/>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1"/>
        <w:jc w:val="both"/>
        <w:keepLines/>
        <w:keepNext/>
        <w:spacing w:beforeAutospacing="0" w:afterAutospacing="0" w:line="360" w:lineRule="auto"/>
        <w:rPr>
          <w:rFonts w:ascii="宋体" w:hAnsi="宋体" w:eastAsia="宋体" w:cs="宋体"/>
        </w:rPr>
      </w:pPr>
      <w:r/>
      <w:bookmarkStart w:id="147" w:name="_Toc16938552"/>
      <w:r/>
      <w:bookmarkStart w:id="148" w:name="_Toc20823308"/>
      <w:r/>
      <w:bookmarkStart w:id="149" w:name="_Toc120614220"/>
      <w:r/>
      <w:bookmarkStart w:id="150" w:name="_Toc513029236"/>
      <w:r>
        <w:rPr>
          <w:rFonts w:hint="eastAsia" w:ascii="宋体" w:hAnsi="宋体" w:eastAsia="宋体" w:cs="宋体"/>
          <w:b/>
          <w:color w:val="000000"/>
        </w:rPr>
        <w:t xml:space="preserve">七、授予合同</w:t>
      </w:r>
      <w:bookmarkEnd w:id="147"/>
      <w:r/>
      <w:bookmarkEnd w:id="148"/>
      <w:r/>
      <w:bookmarkEnd w:id="149"/>
      <w:r/>
      <w:bookmarkEnd w:id="150"/>
      <w:r/>
      <w:r/>
    </w:p>
    <w:p>
      <w:pPr>
        <w:pStyle w:val="731"/>
        <w:ind w:firstLine="600"/>
        <w:jc w:val="both"/>
        <w:keepLines/>
        <w:keepNext/>
        <w:spacing w:beforeAutospacing="0" w:afterAutospacing="0" w:line="360" w:lineRule="auto"/>
        <w:rPr>
          <w:rFonts w:ascii="宋体" w:hAnsi="宋体" w:eastAsia="宋体" w:cs="宋体"/>
        </w:rPr>
      </w:pPr>
      <w:r/>
      <w:bookmarkStart w:id="151" w:name="_Toc16938553"/>
      <w:r/>
      <w:bookmarkStart w:id="152" w:name="_Toc20823309"/>
      <w:r/>
      <w:bookmarkStart w:id="153" w:name="_Toc513029237"/>
      <w:r>
        <w:rPr>
          <w:rFonts w:hint="eastAsia" w:ascii="宋体" w:hAnsi="宋体" w:eastAsia="宋体" w:cs="宋体"/>
          <w:color w:val="000000"/>
        </w:rPr>
        <w:t xml:space="preserve">31. 签订合同</w:t>
      </w:r>
      <w:bookmarkEnd w:id="151"/>
      <w:r/>
      <w:bookmarkEnd w:id="152"/>
      <w:r/>
      <w:bookmarkEnd w:id="153"/>
      <w:r/>
      <w:r/>
    </w:p>
    <w:p>
      <w:pPr>
        <w:pStyle w:val="731"/>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31"/>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731"/>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31"/>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73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w:t>
      </w:r>
      <w:r>
        <w:rPr>
          <w:rFonts w:hint="eastAsia" w:ascii="宋体" w:hAnsi="宋体" w:eastAsia="宋体" w:cs="宋体"/>
          <w:color w:val="0000ff"/>
          <w:highlight w:val="none"/>
        </w:rPr>
        <w:t xml:space="preserve">《中华人民共和国残疾军人证》（1至8级）</w:t>
      </w:r>
      <w:r>
        <w:rPr>
          <w:rFonts w:hint="eastAsia" w:ascii="宋体" w:hAnsi="宋体" w:eastAsia="宋体" w:cs="宋体"/>
        </w:rPr>
        <w:t xml:space="preserve">的自然人，包括具有劳动条件和劳动意愿的精神残疾人。在职职工人数是指与残疾人福利性单位建立劳动关系并依法签订劳动合同或服务协议的雇员人数。</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3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color w:val="0000ff"/>
          <w:sz w:val="24"/>
        </w:rP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ff"/>
          <w:sz w:val="24"/>
          <w:highlight w:val="none"/>
        </w:rPr>
        <w:t xml:space="preserve">降低履约保证金缴纳比例为</w:t>
      </w:r>
      <w:r>
        <w:rPr>
          <w:rFonts w:hint="eastAsia" w:ascii="宋体" w:hAnsi="宋体" w:cs="宋体"/>
          <w:b/>
          <w:bCs/>
          <w:color w:val="0000ff"/>
          <w:sz w:val="24"/>
          <w:highlight w:val="none"/>
          <w:u w:val="single"/>
        </w:rPr>
        <w:t xml:space="preserve">5%</w:t>
      </w:r>
      <w:r>
        <w:rPr>
          <w:rFonts w:hint="eastAsia" w:ascii="宋体" w:hAnsi="宋体" w:cs="宋体"/>
          <w:color w:val="0000ff"/>
          <w:sz w:val="24"/>
          <w:highlight w:val="none"/>
        </w:rPr>
        <w:t xml:space="preserve">。</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本项目落实预付款制度，预付款比例为_</w:t>
      </w:r>
      <w:r>
        <w:rPr>
          <w:rFonts w:ascii="宋体" w:hAnsi="宋体" w:eastAsia="宋体" w:cs="宋体"/>
          <w:color w:val="auto"/>
          <w:sz w:val="24"/>
          <w:u w:val="single"/>
        </w:rPr>
        <w:t xml:space="preserve">30</w:t>
      </w:r>
      <w:r>
        <w:rPr>
          <w:rFonts w:hint="eastAsia" w:ascii="宋体" w:hAnsi="宋体" w:eastAsia="宋体" w:cs="宋体"/>
          <w:color w:val="auto"/>
          <w:sz w:val="24"/>
        </w:rPr>
        <w:t xml:space="preserve">_%（原则上不低于合同金额的30%）。在签订合同时，中标、成交供应商明确书面表示无需预付款或者主动要求降低预付款比例的，采购人可就预付款比例作相应调整。</w:t>
      </w:r>
      <w:r/>
    </w:p>
    <w:p>
      <w:pPr>
        <w:pStyle w:val="897"/>
        <w:ind w:left="0" w:firstLine="560"/>
        <w:spacing w:after="0" w:line="520" w:lineRule="exact"/>
        <w:rPr>
          <w:rFonts w:ascii="宋体" w:hAnsi="宋体" w:eastAsia="宋体" w:cs="宋体"/>
          <w:color w:val="auto"/>
          <w:sz w:val="24"/>
        </w:rPr>
      </w:pPr>
      <w:r>
        <w:rPr>
          <w:rFonts w:ascii="宋体" w:hAnsi="宋体" w:eastAsia="宋体" w:cs="宋体"/>
          <w:color w:val="auto"/>
          <w:sz w:val="24"/>
        </w:rPr>
      </w:r>
      <w:r/>
    </w:p>
    <w:p>
      <w:pPr>
        <w:pStyle w:val="731"/>
        <w:jc w:val="both"/>
        <w:spacing w:beforeAutospacing="0" w:afterAutospacing="0"/>
        <w:rPr>
          <w:rFonts w:ascii="宋体" w:hAnsi="宋体" w:eastAsia="宋体" w:cs="宋体"/>
        </w:rPr>
      </w:pPr>
      <w:r>
        <w:rPr>
          <w:rFonts w:hint="eastAsia" w:ascii="宋体" w:hAnsi="宋体" w:eastAsia="宋体" w:cs="宋体"/>
        </w:rPr>
        <w:t xml:space="preserve"> </w:t>
      </w:r>
      <w:r/>
    </w:p>
    <w:p>
      <w:pPr>
        <w:pStyle w:val="731"/>
        <w:jc w:val="both"/>
        <w:spacing w:beforeAutospacing="0" w:afterAutospacing="0"/>
        <w:rPr>
          <w:rFonts w:ascii="宋体" w:hAnsi="宋体" w:eastAsia="宋体" w:cs="宋体"/>
        </w:rPr>
      </w:pPr>
      <w:r>
        <w:rPr>
          <w:rFonts w:hint="eastAsia" w:ascii="宋体" w:hAnsi="宋体" w:eastAsia="宋体" w:cs="宋体"/>
        </w:rPr>
        <w:t xml:space="preserve"> </w:t>
      </w:r>
      <w:r/>
    </w:p>
    <w:p>
      <w:pPr>
        <w:pStyle w:val="731"/>
        <w:jc w:val="both"/>
        <w:spacing w:beforeAutospacing="0" w:afterAutospacing="0"/>
        <w:rPr>
          <w:rFonts w:ascii="宋体" w:hAnsi="宋体" w:eastAsia="宋体" w:cs="宋体"/>
        </w:rPr>
      </w:pPr>
      <w:r>
        <w:rPr>
          <w:rFonts w:hint="eastAsia" w:ascii="宋体" w:hAnsi="宋体" w:eastAsia="宋体" w:cs="宋体"/>
        </w:rPr>
        <w:t xml:space="preserve"> </w:t>
      </w:r>
      <w:r/>
    </w:p>
    <w:p>
      <w:pPr>
        <w:pStyle w:val="731"/>
        <w:jc w:val="both"/>
        <w:spacing w:beforeAutospacing="0" w:afterAutospacing="0"/>
        <w:rPr>
          <w:rFonts w:ascii="宋体" w:hAnsi="宋体" w:eastAsia="宋体" w:cs="宋体"/>
        </w:rPr>
      </w:pPr>
      <w:r>
        <w:rPr>
          <w:rFonts w:ascii="宋体" w:hAnsi="宋体" w:eastAsia="宋体" w:cs="宋体"/>
        </w:rPr>
      </w:r>
      <w:r/>
    </w:p>
    <w:p>
      <w:pPr>
        <w:pStyle w:val="731"/>
        <w:jc w:val="both"/>
        <w:spacing w:beforeAutospacing="0" w:afterAutospacing="0"/>
        <w:rPr>
          <w:rFonts w:ascii="宋体" w:hAnsi="宋体" w:eastAsia="宋体" w:cs="宋体"/>
        </w:rPr>
      </w:pPr>
      <w:r>
        <w:rPr>
          <w:rFonts w:ascii="宋体" w:hAnsi="宋体" w:eastAsia="宋体" w:cs="宋体"/>
        </w:rPr>
      </w:r>
      <w:r/>
    </w:p>
    <w:p>
      <w:pPr>
        <w:pStyle w:val="731"/>
        <w:jc w:val="both"/>
        <w:spacing w:beforeAutospacing="0" w:afterAutospacing="0"/>
        <w:rPr>
          <w:rFonts w:ascii="宋体" w:hAnsi="宋体" w:eastAsia="宋体" w:cs="宋体"/>
        </w:rPr>
      </w:pPr>
      <w:r>
        <w:rPr>
          <w:rFonts w:ascii="宋体" w:hAnsi="宋体" w:eastAsia="宋体" w:cs="宋体"/>
        </w:rPr>
      </w:r>
      <w:r/>
    </w:p>
    <w:p>
      <w:pPr>
        <w:pStyle w:val="731"/>
        <w:jc w:val="both"/>
        <w:spacing w:beforeAutospacing="0" w:afterAutospacing="0"/>
      </w:pPr>
      <w:r/>
      <w:r/>
    </w:p>
    <w:p>
      <w:pPr>
        <w:pStyle w:val="731"/>
        <w:jc w:val="both"/>
        <w:spacing w:beforeAutospacing="0" w:afterAutospacing="0"/>
      </w:pPr>
      <w:r/>
      <w:r/>
    </w:p>
    <w:p>
      <w:pPr>
        <w:pStyle w:val="731"/>
        <w:jc w:val="both"/>
        <w:spacing w:beforeAutospacing="0" w:afterAutospacing="0"/>
      </w:pPr>
      <w:r/>
      <w:r/>
    </w:p>
    <w:p>
      <w:pPr>
        <w:pStyle w:val="731"/>
        <w:jc w:val="both"/>
        <w:spacing w:beforeAutospacing="0" w:afterAutospacing="0" w:line="0" w:lineRule="atLeast"/>
      </w:pPr>
      <w:r>
        <w:t xml:space="preserve"> </w:t>
      </w:r>
      <w:r/>
    </w:p>
    <w:p>
      <w:pPr>
        <w:pStyle w:val="731"/>
        <w:jc w:val="both"/>
        <w:spacing w:beforeAutospacing="0" w:afterAutospacing="0" w:line="0" w:lineRule="atLeast"/>
      </w:pPr>
      <w:r>
        <w:t xml:space="preserve"> </w:t>
      </w:r>
      <w:r/>
    </w:p>
    <w:p>
      <w:pPr>
        <w:pStyle w:val="731"/>
        <w:jc w:val="both"/>
        <w:spacing w:beforeAutospacing="0" w:afterAutospacing="0" w:line="0" w:lineRule="atLeast"/>
      </w:pPr>
      <w:r>
        <w:t xml:space="preserve"> </w:t>
      </w:r>
      <w:r/>
    </w:p>
    <w:p>
      <w:pPr>
        <w:jc w:val="center"/>
        <w:spacing w:line="360" w:lineRule="auto"/>
        <w:widowControl/>
        <w:rPr>
          <w:sz w:val="36"/>
          <w:szCs w:val="44"/>
        </w:rPr>
      </w:pPr>
      <w:r>
        <w:rPr>
          <w:sz w:val="36"/>
          <w:szCs w:val="44"/>
        </w:rPr>
        <w:t xml:space="preserve"> </w:t>
      </w:r>
      <w:bookmarkStart w:id="154" w:name="_Toc479757211"/>
      <w:r/>
      <w:bookmarkStart w:id="155" w:name="_Toc462564139"/>
      <w:r/>
      <w:bookmarkStart w:id="156" w:name="_Toc16938590"/>
      <w:r/>
      <w:bookmarkStart w:id="157" w:name="_Toc120614244"/>
      <w:r/>
      <w:bookmarkStart w:id="158" w:name="_Toc20823346"/>
      <w:r/>
      <w:bookmarkStart w:id="159" w:name="_Hlt16619350"/>
      <w:r/>
      <w:bookmarkStart w:id="160" w:name="_Hlt16619369"/>
      <w:r/>
      <w:r/>
    </w:p>
    <w:p>
      <w:pPr>
        <w:rPr>
          <w:sz w:val="36"/>
          <w:szCs w:val="44"/>
        </w:rPr>
      </w:pPr>
      <w:r>
        <w:rPr>
          <w:sz w:val="36"/>
          <w:szCs w:val="44"/>
        </w:rPr>
        <w:br w:type="page" w:clear="all"/>
      </w:r>
      <w:r/>
    </w:p>
    <w:p>
      <w:pPr>
        <w:pStyle w:val="901"/>
      </w:pPr>
      <w:r/>
      <w:bookmarkStart w:id="161" w:name="_Toc234256915"/>
      <w:r>
        <w:rPr>
          <w:rFonts w:hint="eastAsia"/>
        </w:rPr>
        <w:t xml:space="preserve">第三章  合同条款</w:t>
      </w:r>
      <w:bookmarkEnd w:id="161"/>
      <w:r/>
      <w:r/>
    </w:p>
    <w:p>
      <w:pPr>
        <w:rPr>
          <w:rFonts w:ascii="宋体" w:hAnsi="宋体" w:cs="宋体"/>
        </w:rPr>
      </w:pPr>
      <w:r/>
      <w:bookmarkStart w:id="162" w:name="EB6d2006462e294de090c16e672cecc3bd"/>
      <w:r/>
      <w:bookmarkEnd w:id="162"/>
      <w:r/>
      <w:r/>
    </w:p>
    <w:p>
      <w:pPr>
        <w:jc w:val="center"/>
        <w:rPr>
          <w:rFonts w:ascii="宋体" w:hAnsi="宋体" w:cs="宋体"/>
          <w:sz w:val="30"/>
          <w:highlight w:val="none"/>
        </w:rPr>
      </w:pPr>
      <w:r>
        <w:rPr>
          <w:rFonts w:ascii="宋体" w:hAnsi="宋体" w:cs="宋体"/>
          <w:sz w:val="30"/>
          <w:highlight w:val="none"/>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lang w:eastAsia="zh-CN"/>
        </w:rPr>
        <w:t xml:space="preserve">江苏省盐城技师学院幼儿健康与护理家政服务专业设备采购项目及数字化智慧养老实训基地设备采购项目</w:t>
      </w:r>
      <w:r/>
    </w:p>
    <w:p>
      <w:pPr>
        <w:ind w:left="420"/>
        <w:spacing w:line="360" w:lineRule="auto"/>
        <w:rPr>
          <w:rFonts w:hint="eastAsia" w:ascii="宋体" w:hAnsi="宋体" w:eastAsia="宋体" w:cs="宋体"/>
          <w:sz w:val="30"/>
          <w:highlight w:val="none"/>
          <w:lang w:eastAsia="zh-CN"/>
        </w:rPr>
      </w:pPr>
      <w:r>
        <w:rPr>
          <w:rFonts w:hint="eastAsia" w:ascii="宋体" w:hAnsi="宋体" w:cs="宋体"/>
          <w:sz w:val="30"/>
          <w:highlight w:val="none"/>
        </w:rPr>
        <w:t xml:space="preserve">合同编号：</w:t>
      </w:r>
      <w:r>
        <w:rPr>
          <w:rFonts w:hint="eastAsia" w:ascii="宋体" w:hAnsi="宋体" w:cs="宋体"/>
          <w:sz w:val="30"/>
          <w:highlight w:val="none"/>
          <w:lang w:val="en-US" w:eastAsia="zh-CN"/>
        </w:rPr>
        <w:t xml:space="preserve"> </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方：江苏省盐城技师学院</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463" w:bottom="1440" w:left="1463" w:header="851" w:footer="992" w:gutter="0"/>
          <w:cols w:num="1" w:sep="0" w:space="425" w:equalWidth="1"/>
          <w:docGrid w:linePitch="360"/>
        </w:sectPr>
      </w:pPr>
      <w:r>
        <w:rPr>
          <w:rFonts w:eastAsia="黑体"/>
          <w:sz w:val="44"/>
          <w:szCs w:val="44"/>
          <w:highlight w:val="none"/>
        </w:rPr>
      </w:r>
      <w:r/>
    </w:p>
    <w:p>
      <w:pPr>
        <w:jc w:val="center"/>
        <w:keepLines/>
        <w:keepNext/>
        <w:spacing w:line="400" w:lineRule="exact"/>
        <w:rPr>
          <w:rFonts w:hint="eastAsia" w:ascii="黑体" w:hAnsi="华文中宋" w:eastAsia="黑体"/>
          <w:color w:val="auto"/>
          <w:sz w:val="28"/>
          <w:szCs w:val="28"/>
        </w:rPr>
        <w:outlineLvl w:val="1"/>
      </w:pPr>
      <w:r/>
      <w:bookmarkStart w:id="163" w:name="_Toc27624"/>
      <w:r>
        <w:rPr>
          <w:rFonts w:hint="eastAsia" w:ascii="黑体" w:hAnsi="黑体" w:eastAsia="黑体"/>
          <w:color w:val="auto"/>
          <w:sz w:val="28"/>
          <w:szCs w:val="28"/>
        </w:rPr>
        <w:t xml:space="preserve">第一节 </w:t>
      </w:r>
      <w:r>
        <w:rPr>
          <w:rFonts w:hint="eastAsia" w:ascii="黑体" w:hAnsi="华文中宋" w:eastAsia="黑体"/>
          <w:color w:val="auto"/>
          <w:sz w:val="28"/>
          <w:szCs w:val="28"/>
        </w:rPr>
        <w:t xml:space="preserve">政府采购合同协议书</w:t>
      </w:r>
      <w:r/>
    </w:p>
    <w:p>
      <w:pPr>
        <w:ind w:firstLine="480"/>
        <w:jc w:val="left"/>
        <w:spacing w:before="0" w:after="0" w:line="560" w:lineRule="exact"/>
        <w:widowControl/>
        <w:rPr>
          <w:rFonts w:hint="default" w:ascii="宋体" w:hAnsi="宋体" w:eastAsia="Arial" w:cs="宋体"/>
          <w:bCs w:val="0"/>
          <w:color w:val="auto"/>
          <w:sz w:val="24"/>
          <w:szCs w:val="20"/>
          <w:lang w:eastAsia="zh-CN"/>
        </w:rPr>
      </w:pPr>
      <w:r>
        <w:rPr>
          <w:rFonts w:hint="default" w:ascii="宋体" w:hAnsi="宋体" w:eastAsia="Arial" w:cs="宋体"/>
          <w:color w:val="auto"/>
          <w:sz w:val="24"/>
          <w:szCs w:val="20"/>
          <w:lang w:val="zh-CN"/>
        </w:rPr>
        <w:t xml:space="preserve">甲方（全称）：</w:t>
      </w:r>
      <w:r>
        <w:rPr>
          <w:rFonts w:hint="default" w:ascii="宋体" w:hAnsi="宋体" w:eastAsia="Arial" w:cs="宋体"/>
          <w:color w:val="auto"/>
          <w:sz w:val="24"/>
          <w:szCs w:val="20"/>
          <w:u w:val="single"/>
          <w:lang w:eastAsia="zh-CN"/>
        </w:rPr>
        <w:t xml:space="preserve">江苏省盐城技师学院</w:t>
      </w:r>
      <w:r/>
    </w:p>
    <w:p>
      <w:pPr>
        <w:ind w:firstLine="482"/>
        <w:jc w:val="left"/>
        <w:spacing w:line="560" w:lineRule="exact"/>
        <w:widowControl/>
        <w:rPr>
          <w:rFonts w:ascii="宋体" w:hAnsi="宋体" w:eastAsia="Arial" w:cs="宋体"/>
          <w:color w:val="auto"/>
          <w:sz w:val="24"/>
          <w:szCs w:val="20"/>
          <w:lang w:val="zh-CN"/>
        </w:rPr>
      </w:pPr>
      <w:r>
        <w:rPr>
          <w:rFonts w:hint="default" w:ascii="宋体" w:hAnsi="宋体" w:eastAsia="Arial" w:cs="宋体"/>
          <w:color w:val="auto"/>
          <w:sz w:val="24"/>
          <w:szCs w:val="20"/>
          <w:lang w:val="zh-CN"/>
        </w:rPr>
        <w:t xml:space="preserve">乙方（全称）：</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rPr>
        <w:t xml:space="preserve">                   </w:t>
      </w:r>
      <w:r/>
    </w:p>
    <w:p>
      <w:pPr>
        <w:ind w:firstLine="482"/>
        <w:jc w:val="left"/>
        <w:spacing w:line="560" w:lineRule="exact"/>
        <w:widowControl/>
        <w:rPr>
          <w:rFonts w:ascii="宋体" w:hAnsi="宋体" w:cs="宋体"/>
          <w:color w:val="auto"/>
          <w:sz w:val="24"/>
          <w:szCs w:val="20"/>
          <w:lang w:val="zh-CN"/>
        </w:rPr>
      </w:pPr>
      <w:r>
        <w:rPr>
          <w:rFonts w:hint="default" w:ascii="宋体" w:hAnsi="宋体" w:eastAsia="Arial" w:cs="宋体"/>
          <w:color w:val="auto"/>
          <w:sz w:val="24"/>
          <w:szCs w:val="20"/>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color w:val="auto"/>
          <w:sz w:val="24"/>
          <w:szCs w:val="20"/>
          <w:lang w:val="zh-CN"/>
        </w:rPr>
        <w:t xml:space="preserve">     </w:t>
      </w:r>
      <w:r/>
    </w:p>
    <w:p>
      <w:pPr>
        <w:ind w:firstLine="482"/>
        <w:jc w:val="left"/>
        <w:spacing w:line="560" w:lineRule="exact"/>
        <w:widowControl/>
        <w:rPr>
          <w:rFonts w:ascii="宋体" w:hAnsi="宋体" w:eastAsia="Arial" w:cs="宋体"/>
          <w:b w:val="0"/>
          <w:bCs w:val="0"/>
          <w:color w:val="auto"/>
          <w:sz w:val="24"/>
          <w:szCs w:val="20"/>
          <w:lang w:val="zh-CN"/>
        </w:rPr>
      </w:pPr>
      <w:r>
        <w:rPr>
          <w:rFonts w:hint="default" w:ascii="宋体" w:hAnsi="宋体" w:eastAsia="Arial" w:cs="宋体"/>
          <w:b w:val="0"/>
          <w:bCs w:val="0"/>
          <w:color w:val="auto"/>
          <w:sz w:val="24"/>
          <w:szCs w:val="20"/>
          <w:lang w:val="zh-CN"/>
        </w:rPr>
        <w:t xml:space="preserve">1.项目信息</w:t>
      </w:r>
      <w:r/>
    </w:p>
    <w:p>
      <w:pPr>
        <w:ind w:firstLine="482"/>
        <w:jc w:val="left"/>
        <w:spacing w:line="560" w:lineRule="exact"/>
        <w:widowControl/>
        <w:rPr>
          <w:rFonts w:hint="default" w:ascii="宋体" w:hAnsi="宋体" w:eastAsia="Arial" w:cs="宋体"/>
          <w:bCs w:val="0"/>
          <w:color w:val="auto"/>
          <w:sz w:val="24"/>
          <w:szCs w:val="20"/>
          <w:u w:val="single"/>
          <w:lang w:val="zh-CN" w:eastAsia="zh-CN"/>
        </w:rPr>
      </w:pPr>
      <w:r>
        <w:rPr>
          <w:rFonts w:hint="default" w:ascii="宋体" w:hAnsi="宋体" w:eastAsia="Arial" w:cs="宋体"/>
          <w:color w:val="auto"/>
          <w:sz w:val="24"/>
          <w:szCs w:val="20"/>
          <w:lang w:val="zh-CN"/>
        </w:rPr>
        <w:t xml:space="preserve">（1）采购项目名称：</w:t>
      </w:r>
      <w:r>
        <w:rPr>
          <w:rFonts w:hint="eastAsia" w:ascii="宋体" w:hAnsi="宋体" w:eastAsia="Arial" w:cs="宋体"/>
          <w:color w:val="auto"/>
          <w:sz w:val="24"/>
          <w:szCs w:val="20"/>
          <w:u w:val="single"/>
          <w:lang w:val="zh-CN" w:eastAsia="zh-CN"/>
        </w:rPr>
        <w:t xml:space="preserve">（</w:t>
      </w:r>
      <w:r>
        <w:rPr>
          <w:rFonts w:hint="eastAsia" w:ascii="宋体" w:hAnsi="宋体" w:eastAsia="Arial" w:cs="宋体"/>
          <w:color w:val="auto"/>
          <w:sz w:val="24"/>
          <w:szCs w:val="20"/>
          <w:u w:val="single"/>
          <w:lang w:val="en-US" w:eastAsia="zh-CN"/>
        </w:rPr>
        <w:t xml:space="preserve">包一</w:t>
      </w:r>
      <w:r>
        <w:rPr>
          <w:rFonts w:hint="eastAsia" w:ascii="宋体" w:hAnsi="宋体" w:eastAsia="Arial" w:cs="宋体"/>
          <w:color w:val="auto"/>
          <w:sz w:val="24"/>
          <w:szCs w:val="20"/>
          <w:u w:val="single"/>
          <w:lang w:val="zh-CN" w:eastAsia="zh-CN"/>
        </w:rPr>
        <w:t xml:space="preserve">）幼儿健康与护理家政服务专业设备采购；（</w:t>
      </w:r>
      <w:r>
        <w:rPr>
          <w:rFonts w:hint="eastAsia" w:ascii="宋体" w:hAnsi="宋体" w:eastAsia="Arial" w:cs="宋体"/>
          <w:color w:val="auto"/>
          <w:sz w:val="24"/>
          <w:szCs w:val="20"/>
          <w:u w:val="single"/>
          <w:lang w:val="en-US" w:eastAsia="zh-CN"/>
        </w:rPr>
        <w:t xml:space="preserve">包二</w:t>
      </w:r>
      <w:r>
        <w:rPr>
          <w:rFonts w:hint="eastAsia" w:ascii="宋体" w:hAnsi="宋体" w:eastAsia="Arial" w:cs="宋体"/>
          <w:color w:val="auto"/>
          <w:sz w:val="24"/>
          <w:szCs w:val="20"/>
          <w:u w:val="single"/>
          <w:lang w:val="zh-CN" w:eastAsia="zh-CN"/>
        </w:rPr>
        <w:t xml:space="preserve">）数字化智慧养老实训基地设采购</w:t>
      </w:r>
      <w:r/>
    </w:p>
    <w:p>
      <w:pPr>
        <w:ind w:firstLine="482"/>
        <w:jc w:val="left"/>
        <w:spacing w:line="560" w:lineRule="exact"/>
        <w:widowControl/>
        <w:rPr>
          <w:rFonts w:ascii="宋体" w:hAnsi="宋体" w:eastAsia="Arial" w:cs="宋体"/>
          <w:bCs w:val="0"/>
          <w:color w:val="auto"/>
          <w:sz w:val="24"/>
          <w:szCs w:val="20"/>
          <w:u w:val="none"/>
          <w:lang w:val="zh-CN"/>
        </w:rPr>
      </w:pPr>
      <w:r>
        <w:rPr>
          <w:rFonts w:hint="default" w:ascii="宋体" w:hAnsi="宋体" w:eastAsia="Arial" w:cs="宋体"/>
          <w:bCs w:val="0"/>
          <w:color w:val="auto"/>
          <w:sz w:val="24"/>
          <w:szCs w:val="20"/>
          <w:lang w:val="zh-CN"/>
        </w:rPr>
        <w:t xml:space="preserve"> </w:t>
      </w:r>
      <w:r>
        <w:rPr>
          <w:rFonts w:hint="eastAsia" w:ascii="宋体" w:hAnsi="宋体" w:eastAsia="宋体" w:cs="宋体"/>
          <w:bCs w:val="0"/>
          <w:sz w:val="24"/>
          <w:szCs w:val="20"/>
          <w:lang w:val="en-US" w:eastAsia="zh-CN"/>
        </w:rPr>
        <w:t xml:space="preserve">    </w:t>
      </w:r>
      <w:r>
        <w:rPr>
          <w:rFonts w:hint="default" w:ascii="宋体" w:hAnsi="宋体" w:eastAsia="Arial" w:cs="宋体"/>
          <w:bCs w:val="0"/>
          <w:color w:val="auto"/>
          <w:sz w:val="24"/>
          <w:szCs w:val="20"/>
          <w:lang w:val="zh-CN"/>
        </w:rPr>
        <w:t xml:space="preserve">采购项目编号：</w:t>
      </w:r>
      <w:r>
        <w:rPr>
          <w:rFonts w:hint="eastAsia" w:ascii="宋体" w:hAnsi="宋体" w:eastAsia="Arial" w:cs="宋体"/>
          <w:bCs w:val="0"/>
          <w:color w:val="0000ff"/>
          <w:sz w:val="24"/>
          <w:szCs w:val="20"/>
          <w:u w:val="single"/>
          <w:lang w:val="en-US" w:eastAsia="zh-CN"/>
        </w:rPr>
        <w:t xml:space="preserve">JSZC-320900-JSZH-G2026-0065</w:t>
      </w:r>
      <w:r>
        <w:rPr>
          <w:rFonts w:hint="default" w:ascii="宋体" w:hAnsi="宋体" w:eastAsia="Arial" w:cs="宋体"/>
          <w:bCs w:val="0"/>
          <w:color w:val="auto"/>
          <w:sz w:val="24"/>
          <w:szCs w:val="20"/>
          <w:u w:val="none"/>
          <w:lang w:val="zh-CN" w:eastAsia="zh-CN"/>
        </w:rPr>
        <w:t xml:space="preserve">   </w:t>
      </w:r>
      <w:r>
        <w:rPr>
          <w:rFonts w:hint="default" w:ascii="宋体" w:hAnsi="宋体" w:eastAsia="Arial" w:cs="宋体"/>
          <w:bCs w:val="0"/>
          <w:color w:val="auto"/>
          <w:sz w:val="24"/>
          <w:szCs w:val="20"/>
          <w:u w:val="none"/>
          <w:lang w:val="zh-CN"/>
        </w:rPr>
        <w:t xml:space="preserve"> </w:t>
      </w:r>
      <w:r/>
    </w:p>
    <w:p>
      <w:pPr>
        <w:ind w:firstLine="482"/>
        <w:jc w:val="left"/>
        <w:spacing w:line="560" w:lineRule="exact"/>
        <w:widowControl/>
        <w:rPr>
          <w:rFonts w:ascii="宋体" w:hAnsi="宋体" w:eastAsia="Arial" w:cs="宋体"/>
          <w:color w:val="auto"/>
          <w:sz w:val="24"/>
          <w:szCs w:val="20"/>
          <w:u w:val="none"/>
          <w:lang w:val="zh-CN"/>
        </w:rPr>
      </w:pPr>
      <w:r>
        <w:rPr>
          <w:rFonts w:hint="default" w:ascii="宋体" w:hAnsi="宋体" w:eastAsia="Arial" w:cs="宋体"/>
          <w:color w:val="auto"/>
          <w:sz w:val="24"/>
          <w:szCs w:val="20"/>
          <w:lang w:val="zh-CN"/>
        </w:rPr>
        <w:t xml:space="preserve">（2）采购计划编号：</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lang w:val="zh-CN"/>
        </w:rPr>
        <w:t xml:space="preserve">           </w:t>
      </w:r>
      <w:r/>
    </w:p>
    <w:p>
      <w:pPr>
        <w:ind w:firstLine="482"/>
        <w:jc w:val="left"/>
        <w:spacing w:line="560" w:lineRule="exact"/>
        <w:widowControl/>
        <w:rPr>
          <w:rFonts w:ascii="宋体" w:hAnsi="宋体" w:eastAsia="Arial" w:cs="宋体"/>
          <w:color w:val="auto"/>
          <w:sz w:val="24"/>
          <w:szCs w:val="20"/>
          <w:lang w:val="zh-CN"/>
        </w:rPr>
      </w:pPr>
      <w:r>
        <w:rPr>
          <w:rFonts w:hint="default" w:ascii="宋体" w:hAnsi="宋体" w:eastAsia="Arial" w:cs="宋体"/>
          <w:color w:val="auto"/>
          <w:sz w:val="24"/>
          <w:szCs w:val="20"/>
          <w:lang w:val="zh-CN"/>
        </w:rPr>
        <w:t xml:space="preserve">（3）项目内容：</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lang w:val="zh-CN"/>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hint="eastAsia" w:ascii="宋体" w:hAnsi="宋体" w:cs="宋体"/>
          <w:color w:val="auto"/>
          <w:sz w:val="24"/>
          <w:szCs w:val="20"/>
          <w:lang w:val="en-US" w:eastAsia="zh-CN"/>
        </w:rPr>
        <w:t xml:space="preserve">4</w:t>
      </w:r>
      <w:r>
        <w:rPr>
          <w:rFonts w:hint="eastAsia" w:ascii="宋体" w:hAnsi="宋体" w:cs="宋体"/>
          <w:color w:val="auto"/>
          <w:sz w:val="24"/>
          <w:szCs w:val="20"/>
          <w:lang w:val="zh-CN"/>
        </w:rPr>
        <w:t xml:space="preserve">）采购标的及数量（台/套/个/架/组等）：</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品牌：</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规格型号：</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采购标的的技术要求、商务要求具体见附件。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①涉及信息类产品，请填写该产品关键部件的品牌、型号：</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标的名称：</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②涉及车辆采购，请填写是否属于新能源汽车：</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是，《政府采购品目分类目录》底级品目名称：</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数量：</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 金额：</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（4）政府采购组织形式：</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政府集中采购</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部门集中采购</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þ</w:t>
      </w:r>
      <w:r>
        <w:rPr>
          <w:rFonts w:hint="eastAsia" w:ascii="宋体" w:hAnsi="宋体" w:cs="宋体"/>
          <w:color w:val="auto"/>
          <w:sz w:val="24"/>
          <w:szCs w:val="20"/>
          <w:lang w:val="zh-CN"/>
        </w:rPr>
        <w:t xml:space="preserve">分散采购</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（5）政府采购方式：</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公开招标</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邀请招标</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竞争性谈判</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竞争性磋商</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询价</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单一来源</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框架协议其他：</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（6）中标（成交）采购标的制造商是否为中小企业：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本合同是否为专门面向中小企业的采购合同（中小企业预留合同）：</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若本项目不专门面向中小企业采购，是否给予小微企业评审优惠：</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中标（成交）采购标的制造商是否为残疾人福利性单位：</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中标（成交）采购标的制造商是否为监狱企业：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numPr>
          <w:ilvl w:val="0"/>
          <w:numId w:val="2"/>
        </w:num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合同是否分包：</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0000ff"/>
          <w:sz w:val="24"/>
          <w:szCs w:val="20"/>
          <w:lang w:val="zh-CN"/>
        </w:rPr>
        <w:t xml:space="preserve">þ</w:t>
      </w:r>
      <w:r>
        <w:rPr>
          <w:rFonts w:hint="eastAsia" w:ascii="宋体" w:hAnsi="宋体" w:cs="宋体"/>
          <w:color w:val="0000ff"/>
          <w:sz w:val="24"/>
          <w:szCs w:val="20"/>
          <w:lang w:val="zh-CN"/>
        </w:rPr>
        <w:t xml:space="preserve">否</w:t>
      </w:r>
      <w:r/>
    </w:p>
    <w:p>
      <w:pPr>
        <w:ind w:firstLine="96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分包主要内容：</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分包供应商/制造商名称（如供应商和制造商不同，请分别填写）：</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分包供应商/制造商类型（如果供应商和制造商不同，只填写制造商类型）：</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大型企业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中型企业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小微型企业</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残疾人福利性单位</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监狱企业</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其他</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（8）中标（成交）供应商是否为外商投资企业：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外商投资企业类型：</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全部由外国投资者投资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部分由外国投资者投资</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（9）是否涉及进口产品：</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是，《政府采购品目分类目录》底级品目名称：</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金额：</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        国别：</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品牌：</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 规格型号：</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（10）是否涉及节能产品：</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是，《节能产品政府采购品目清单》的底级品目名称：</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787"/>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是否涉及环境标志产品：</w:t>
      </w:r>
      <w:r/>
    </w:p>
    <w:p>
      <w:pPr>
        <w:ind w:firstLine="480"/>
        <w:spacing w:line="520" w:lineRule="exact"/>
        <w:widowControl/>
        <w:rPr>
          <w:rFonts w:hint="default" w:ascii="宋体" w:hAnsi="宋体" w:eastAsiaTheme="minorEastAsia"/>
          <w:b/>
          <w:bCs/>
          <w:color w:val="auto"/>
          <w:sz w:val="24"/>
          <w:u w:val="single"/>
          <w:lang w:val="en-US" w:eastAsia="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是，《环境标志产品政府采购品目清单》的底级品目名称：</w:t>
      </w:r>
      <w:r>
        <w:rPr>
          <w:rFonts w:hint="eastAsia" w:ascii="宋体" w:hAnsi="宋体"/>
          <w:b/>
          <w:bCs/>
          <w:color w:val="auto"/>
          <w:sz w:val="24"/>
          <w:u w:val="single"/>
          <w:lang w:val="en-US" w:eastAsia="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是否涉及绿色产品：</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是，绿色产品政府采购相关政策确定的底级品目名称：</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numPr>
          <w:ilvl w:val="0"/>
          <w:numId w:val="3"/>
        </w:num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不涉及</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rPr>
        <w:t xml:space="preserve">2.</w:t>
      </w:r>
      <w:r>
        <w:rPr>
          <w:rFonts w:hint="eastAsia" w:ascii="宋体" w:hAnsi="宋体" w:cs="宋体"/>
          <w:b/>
          <w:bCs/>
          <w:color w:val="auto"/>
          <w:sz w:val="24"/>
          <w:szCs w:val="20"/>
          <w:lang w:val="zh-CN"/>
        </w:rPr>
        <w:t xml:space="preserve">合同金额</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（1）合同金额小写：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1982"/>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大写：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分包金额（如有）小写：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240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大写：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（2）付款方式</w:t>
      </w:r>
      <w:r>
        <w:rPr>
          <w:rFonts w:hint="eastAsia" w:ascii="宋体" w:hAnsi="宋体" w:cs="宋体"/>
          <w:color w:val="auto"/>
          <w:sz w:val="24"/>
          <w:szCs w:val="20"/>
          <w:u w:val="single"/>
          <w:lang w:val="zh-CN"/>
        </w:rPr>
        <w:t xml:space="preserve">（按项目实际勾选填写，具体详见专用条款第二节第12.2款）</w:t>
      </w:r>
      <w:r>
        <w:rPr>
          <w:rFonts w:hint="eastAsia" w:ascii="宋体" w:hAnsi="宋体" w:cs="宋体"/>
          <w:color w:val="auto"/>
          <w:sz w:val="24"/>
          <w:szCs w:val="20"/>
          <w:lang w:val="zh-CN"/>
        </w:rPr>
        <w:t xml:space="preserve">：</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全额付款：</w:t>
      </w:r>
      <w:r>
        <w:rPr>
          <w:rFonts w:hint="eastAsia" w:ascii="宋体" w:hAnsi="宋体" w:cs="宋体"/>
          <w:color w:val="auto"/>
          <w:sz w:val="24"/>
          <w:szCs w:val="20"/>
          <w:u w:val="single"/>
          <w:lang w:val="zh-CN"/>
        </w:rPr>
        <w:t xml:space="preserve">  （应明确一次性支付合同款项的条件）</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分期付款： </w:t>
      </w:r>
      <w:r>
        <w:rPr>
          <w:rFonts w:hint="eastAsia" w:ascii="宋体" w:hAnsi="宋体" w:cs="宋体"/>
          <w:color w:val="auto"/>
          <w:sz w:val="24"/>
          <w:szCs w:val="20"/>
          <w:u w:val="single"/>
          <w:lang w:val="zh-CN"/>
        </w:rPr>
        <w:t xml:space="preserve"> （</w:t>
      </w:r>
      <w:r>
        <w:rPr>
          <w:rFonts w:hint="eastAsia" w:ascii="宋体" w:hAnsi="宋体" w:cs="宋体"/>
          <w:color w:val="auto"/>
          <w:sz w:val="24"/>
          <w:u w:val="single"/>
        </w:rPr>
        <w:t xml:space="preserve">具体详见专用条款第二节第12.2款</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，其中涉及预付款的：</w:t>
      </w:r>
      <w:r>
        <w:rPr>
          <w:rFonts w:hint="eastAsia" w:ascii="宋体" w:hAnsi="宋体" w:cs="宋体"/>
          <w:color w:val="auto"/>
          <w:sz w:val="24"/>
          <w:szCs w:val="20"/>
          <w:u w:val="single"/>
          <w:lang w:val="zh-CN"/>
        </w:rPr>
        <w:t xml:space="preserve"> （</w:t>
      </w:r>
      <w:r>
        <w:rPr>
          <w:rFonts w:hint="eastAsia" w:ascii="宋体" w:hAnsi="宋体" w:cs="宋体"/>
          <w:color w:val="auto"/>
          <w:sz w:val="24"/>
          <w:u w:val="single"/>
        </w:rPr>
        <w:t xml:space="preserve">具体详见专用条款第二节第12.2款</w:t>
      </w:r>
      <w:r>
        <w:rPr>
          <w:rFonts w:hint="eastAsia" w:ascii="宋体" w:hAnsi="宋体" w:cs="宋体"/>
          <w:color w:val="auto"/>
          <w:sz w:val="24"/>
          <w:szCs w:val="20"/>
          <w:u w:val="single"/>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成本补偿：</w:t>
      </w:r>
      <w:r>
        <w:rPr>
          <w:rFonts w:hint="eastAsia" w:ascii="宋体" w:hAnsi="宋体" w:cs="宋体"/>
          <w:color w:val="auto"/>
          <w:sz w:val="24"/>
          <w:szCs w:val="20"/>
          <w:u w:val="single"/>
          <w:lang w:val="zh-CN"/>
        </w:rPr>
        <w:t xml:space="preserve">  （应明确按照成本补偿方式的支付方式和支付条件）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绩效激励：</w:t>
      </w:r>
      <w:r>
        <w:rPr>
          <w:rFonts w:hint="eastAsia" w:ascii="宋体" w:hAnsi="宋体" w:cs="宋体"/>
          <w:color w:val="auto"/>
          <w:sz w:val="24"/>
          <w:szCs w:val="20"/>
          <w:u w:val="single"/>
          <w:lang w:val="zh-CN"/>
        </w:rPr>
        <w:t xml:space="preserve"> （应明确按照绩效激励方式的支付方式和支付条件）</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2"/>
        <w:spacing w:line="520" w:lineRule="exact"/>
        <w:widowControl/>
        <w:rPr>
          <w:rFonts w:ascii="宋体" w:hAnsi="宋体" w:cs="宋体"/>
          <w:b/>
          <w:bCs/>
          <w:color w:val="auto"/>
          <w:sz w:val="24"/>
          <w:lang w:val="zh-CN"/>
        </w:rPr>
      </w:pPr>
      <w:r>
        <w:rPr>
          <w:rFonts w:hint="eastAsia" w:ascii="宋体" w:hAnsi="宋体" w:cs="宋体"/>
          <w:b/>
          <w:bCs/>
          <w:color w:val="auto"/>
          <w:sz w:val="24"/>
          <w:szCs w:val="20"/>
        </w:rPr>
        <w:t xml:space="preserve">3.</w:t>
      </w:r>
      <w:r>
        <w:rPr>
          <w:rFonts w:hint="eastAsia" w:ascii="宋体" w:hAnsi="宋体" w:cs="宋体"/>
          <w:b/>
          <w:bCs/>
          <w:color w:val="auto"/>
          <w:sz w:val="24"/>
          <w:szCs w:val="20"/>
          <w:lang w:val="zh-CN"/>
        </w:rPr>
        <w:t xml:space="preserve">合同履行</w:t>
      </w:r>
      <w:r/>
    </w:p>
    <w:p>
      <w:pPr>
        <w:ind w:firstLine="480"/>
        <w:spacing w:line="520" w:lineRule="exact"/>
        <w:widowControl/>
        <w:rPr>
          <w:rFonts w:ascii="宋体" w:hAnsi="宋体" w:cs="宋体"/>
          <w:color w:val="auto"/>
          <w:sz w:val="24"/>
        </w:rPr>
      </w:pPr>
      <w:r>
        <w:rPr>
          <w:rFonts w:hint="eastAsia" w:ascii="宋体" w:hAnsi="宋体" w:cs="宋体"/>
          <w:color w:val="auto"/>
          <w:sz w:val="24"/>
          <w:szCs w:val="20"/>
          <w:lang w:val="zh-CN"/>
        </w:rPr>
        <w:t xml:space="preserve">（1）起始日期：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日，完成日期：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82"/>
        <w:jc w:val="left"/>
        <w:spacing w:line="560" w:lineRule="exact"/>
        <w:widowControl/>
        <w:rPr>
          <w:rFonts w:hint="eastAsia" w:ascii="宋体" w:hAnsi="宋体" w:eastAsia="Arial" w:cs="宋体"/>
          <w:bCs w:val="0"/>
          <w:color w:val="auto"/>
          <w:sz w:val="24"/>
          <w:szCs w:val="20"/>
          <w:lang w:val="zh-CN"/>
        </w:rPr>
      </w:pPr>
      <w:r>
        <w:rPr>
          <w:rFonts w:hint="eastAsia" w:ascii="宋体" w:hAnsi="宋体" w:eastAsia="Arial" w:cs="宋体"/>
          <w:color w:val="auto"/>
          <w:sz w:val="24"/>
          <w:szCs w:val="20"/>
          <w:lang w:val="zh-CN"/>
        </w:rPr>
        <w:t xml:space="preserve">（2）履约地点</w:t>
      </w:r>
      <w:r>
        <w:rPr>
          <w:rFonts w:hint="eastAsia" w:ascii="宋体" w:hAnsi="宋体" w:eastAsia="Arial" w:cs="宋体"/>
          <w:bCs w:val="0"/>
          <w:color w:val="auto"/>
          <w:sz w:val="24"/>
          <w:szCs w:val="20"/>
          <w:lang w:val="zh-CN"/>
        </w:rPr>
        <w:t xml:space="preserve">：</w:t>
      </w:r>
      <w:r>
        <w:rPr>
          <w:rFonts w:hint="eastAsia" w:ascii="宋体" w:hAnsi="宋体" w:eastAsia="Arial" w:cs="宋体"/>
          <w:color w:val="auto"/>
          <w:sz w:val="24"/>
          <w:szCs w:val="20"/>
          <w:u w:val="single"/>
          <w:lang w:val="zh-CN" w:eastAsia="zh-CN"/>
        </w:rPr>
        <w:t xml:space="preserve">江苏省盐城技师学院</w:t>
      </w:r>
      <w:r/>
    </w:p>
    <w:p>
      <w:pPr>
        <w:ind w:firstLine="480"/>
        <w:spacing w:line="520" w:lineRule="exact"/>
        <w:widowControl/>
        <w:rPr>
          <w:rFonts w:ascii="宋体" w:hAnsi="宋体" w:cs="宋体"/>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履约担保：履约担保：是否收取履约保证金：</w:t>
      </w:r>
      <w:r>
        <w:rPr>
          <w:rFonts w:ascii="Wingdings" w:hAnsi="Wingdings" w:eastAsia="Wingdings" w:cs="Wingdings"/>
          <w:color w:val="auto"/>
          <w:sz w:val="24"/>
        </w:rPr>
        <w:t xml:space="preserve">þ</w:t>
      </w:r>
      <w:r>
        <w:rPr>
          <w:rFonts w:hint="eastAsia" w:ascii="宋体" w:hAnsi="宋体" w:cs="宋体"/>
          <w:color w:val="auto"/>
          <w:sz w:val="24"/>
        </w:rPr>
        <w:t xml:space="preserve">是    </w:t>
      </w:r>
      <w:r>
        <w:rPr>
          <w:rFonts w:ascii="Wingdings" w:hAnsi="Wingdings" w:eastAsia="Wingdings" w:cs="Wingdings"/>
          <w:color w:val="auto"/>
          <w:sz w:val="24"/>
        </w:rPr>
        <w:t xml:space="preserve"></w:t>
      </w:r>
      <w:r>
        <w:rPr>
          <w:rFonts w:hint="eastAsia" w:ascii="宋体" w:hAnsi="宋体" w:cs="宋体"/>
          <w:color w:val="auto"/>
          <w:sz w:val="24"/>
        </w:rPr>
        <w:t xml:space="preserve">否</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cs="宋体"/>
          <w:color w:val="auto"/>
          <w:sz w:val="24"/>
        </w:rPr>
        <w:t xml:space="preserve">    </w:t>
      </w:r>
      <w:r>
        <w:rPr>
          <w:rFonts w:hint="eastAsia" w:ascii="宋体" w:hAnsi="宋体" w:cs="宋体"/>
          <w:color w:val="auto"/>
          <w:sz w:val="24"/>
          <w:szCs w:val="20"/>
        </w:rPr>
        <w:t xml:space="preserve"> </w:t>
      </w:r>
      <w:r>
        <w:rPr>
          <w:rFonts w:hint="eastAsia" w:ascii="宋体" w:hAnsi="宋体" w:eastAsia="Arial" w:cs="宋体"/>
          <w:color w:val="auto"/>
          <w:sz w:val="24"/>
          <w:szCs w:val="20"/>
        </w:rPr>
        <w:t xml:space="preserve">收取履约保证金形式：</w:t>
      </w:r>
      <w:r>
        <w:rPr>
          <w:rFonts w:hint="eastAsia" w:ascii="宋体" w:hAnsi="宋体" w:eastAsia="Arial" w:cs="宋体"/>
          <w:color w:val="auto"/>
          <w:sz w:val="24"/>
          <w:szCs w:val="20"/>
          <w:u w:val="single"/>
        </w:rPr>
        <w:t xml:space="preserve">       </w:t>
      </w:r>
      <w:r>
        <w:rPr>
          <w:rFonts w:hint="eastAsia" w:ascii="宋体" w:hAnsi="宋体" w:eastAsia="Arial" w:cs="宋体"/>
          <w:color w:val="auto"/>
          <w:sz w:val="24"/>
          <w:szCs w:val="20"/>
          <w:highlight w:val="none"/>
          <w:u w:val="single"/>
        </w:rPr>
        <w:t xml:space="preserve">见3.（4）      </w:t>
      </w:r>
      <w:r>
        <w:rPr>
          <w:rFonts w:hint="eastAsia" w:ascii="宋体" w:hAnsi="宋体" w:eastAsia="Arial" w:cs="宋体"/>
          <w:color w:val="auto"/>
          <w:sz w:val="24"/>
          <w:szCs w:val="20"/>
          <w:highlight w:val="none"/>
          <w:u w:val="none"/>
        </w:rPr>
        <w:t xml:space="preserve">  </w:t>
      </w:r>
      <w:r>
        <w:rPr>
          <w:rFonts w:hint="eastAsia" w:ascii="宋体" w:hAnsi="宋体" w:eastAsia="Arial" w:cs="宋体"/>
          <w:color w:val="auto"/>
          <w:sz w:val="24"/>
          <w:szCs w:val="20"/>
          <w:highlight w:val="none"/>
        </w:rPr>
        <w:t xml:space="preserve">                                                         </w:t>
      </w:r>
      <w:r/>
    </w:p>
    <w:p>
      <w:pPr>
        <w:ind w:firstLine="1027"/>
        <w:jc w:val="left"/>
        <w:spacing w:line="560" w:lineRule="exact"/>
        <w:widowControl/>
        <w:rPr>
          <w:rFonts w:hint="eastAsia" w:ascii="宋体" w:hAnsi="宋体" w:eastAsia="Arial" w:cs="宋体"/>
          <w:color w:val="auto"/>
          <w:sz w:val="24"/>
          <w:szCs w:val="20"/>
        </w:rPr>
      </w:pPr>
      <w:r>
        <w:rPr>
          <w:rFonts w:hint="eastAsia" w:ascii="宋体" w:hAnsi="宋体" w:eastAsia="Arial" w:cs="宋体"/>
          <w:color w:val="auto"/>
          <w:sz w:val="24"/>
          <w:szCs w:val="20"/>
          <w:highlight w:val="none"/>
        </w:rPr>
        <w:t xml:space="preserve">收取履约保证金金额：</w:t>
      </w:r>
      <w:r>
        <w:rPr>
          <w:rFonts w:hint="eastAsia" w:ascii="宋体" w:hAnsi="宋体" w:eastAsia="Arial" w:cs="宋体"/>
          <w:color w:val="auto"/>
          <w:sz w:val="24"/>
          <w:szCs w:val="20"/>
          <w:highlight w:val="none"/>
          <w:u w:val="single"/>
        </w:rPr>
        <w:t xml:space="preserve">       </w:t>
      </w:r>
      <w:r>
        <w:rPr>
          <w:rFonts w:hint="eastAsia" w:ascii="宋体" w:hAnsi="宋体" w:eastAsia="Arial" w:cs="宋体"/>
          <w:color w:val="auto"/>
          <w:sz w:val="24"/>
          <w:szCs w:val="20"/>
          <w:u w:val="single"/>
        </w:rPr>
        <w:t xml:space="preserve">合同价的10%     </w:t>
      </w:r>
      <w:r>
        <w:rPr>
          <w:rFonts w:hint="eastAsia" w:ascii="宋体" w:hAnsi="宋体" w:eastAsia="Arial" w:cs="宋体"/>
          <w:color w:val="auto"/>
          <w:sz w:val="24"/>
          <w:szCs w:val="20"/>
          <w:u w:val="none"/>
        </w:rPr>
        <w:t xml:space="preserve"> </w:t>
      </w:r>
      <w:r>
        <w:rPr>
          <w:rFonts w:hint="eastAsia" w:ascii="宋体" w:hAnsi="宋体" w:eastAsia="Arial" w:cs="宋体"/>
          <w:color w:val="auto"/>
          <w:sz w:val="24"/>
          <w:szCs w:val="20"/>
        </w:rPr>
        <w:t xml:space="preserve">                                                         </w:t>
      </w:r>
      <w:r/>
    </w:p>
    <w:p>
      <w:pPr>
        <w:ind w:firstLine="1027"/>
        <w:jc w:val="left"/>
        <w:spacing w:line="560" w:lineRule="exact"/>
        <w:widowControl/>
        <w:rPr>
          <w:rFonts w:hint="eastAsia" w:ascii="宋体" w:hAnsi="宋体" w:eastAsia="Arial" w:cs="宋体"/>
          <w:bCs w:val="0"/>
          <w:color w:val="auto"/>
          <w:sz w:val="24"/>
          <w:szCs w:val="20"/>
          <w:u w:val="none"/>
        </w:rPr>
      </w:pPr>
      <w:r>
        <w:rPr>
          <w:rFonts w:hint="eastAsia" w:ascii="宋体" w:hAnsi="宋体" w:eastAsia="Arial" w:cs="宋体"/>
          <w:color w:val="auto"/>
          <w:sz w:val="24"/>
          <w:szCs w:val="20"/>
        </w:rPr>
        <w:t xml:space="preserve">履约担保期限：</w:t>
      </w:r>
      <w:r>
        <w:rPr>
          <w:rFonts w:hint="eastAsia" w:ascii="宋体" w:hAnsi="宋体" w:eastAsia="宋体" w:cs="宋体"/>
          <w:sz w:val="24"/>
          <w:szCs w:val="20"/>
          <w:u w:val="single"/>
          <w:lang w:val="en-US" w:eastAsia="zh-CN"/>
        </w:rPr>
        <w:t xml:space="preserve">                              </w:t>
      </w:r>
      <w:r>
        <w:rPr>
          <w:rFonts w:hint="eastAsia" w:ascii="宋体" w:hAnsi="宋体" w:eastAsia="Arial" w:cs="宋体"/>
          <w:color w:val="auto"/>
          <w:sz w:val="24"/>
          <w:szCs w:val="20"/>
        </w:rPr>
        <w:t xml:space="preserve"> </w:t>
      </w:r>
      <w:r>
        <w:rPr>
          <w:rFonts w:hint="eastAsia" w:ascii="宋体" w:hAnsi="宋体" w:eastAsia="Arial" w:cs="宋体"/>
          <w:bCs w:val="0"/>
          <w:color w:val="auto"/>
          <w:sz w:val="24"/>
          <w:szCs w:val="20"/>
          <w:u w:val="none"/>
        </w:rPr>
        <w:t xml:space="preserve">                              </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w:t>
      </w:r>
      <w:r>
        <w:rPr>
          <w:rFonts w:hint="eastAsia" w:ascii="宋体" w:hAnsi="宋体" w:eastAsia="Arial" w:cs="宋体"/>
          <w:color w:val="auto"/>
          <w:sz w:val="24"/>
          <w:szCs w:val="20"/>
        </w:rPr>
        <w:t xml:space="preserve">4</w:t>
      </w:r>
      <w:r>
        <w:rPr>
          <w:rFonts w:hint="eastAsia" w:ascii="宋体" w:hAnsi="宋体" w:eastAsia="Arial" w:cs="宋体"/>
          <w:color w:val="auto"/>
          <w:sz w:val="24"/>
          <w:szCs w:val="20"/>
          <w:lang w:val="zh-CN"/>
        </w:rPr>
        <w:t xml:space="preserve">）确需收取履约保证金的，履约保证金的缴纳形式：</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cs="宋体"/>
          <w:color w:val="auto"/>
          <w:sz w:val="24"/>
          <w:szCs w:val="20"/>
          <w:lang w:val="zh-CN"/>
        </w:rPr>
      </w:pPr>
      <w:r>
        <w:rPr>
          <w:rFonts w:hint="eastAsia" w:ascii="宋体" w:hAnsi="宋体" w:eastAsia="Arial" w:cs="宋体"/>
          <w:color w:val="auto"/>
          <w:sz w:val="24"/>
          <w:szCs w:val="20"/>
        </w:rPr>
        <w:t xml:space="preserve">履约保证金金额为合同金额的10%，采购人对第三方信用服务机构依据标准规范评定为 AA 级政府采购供应商</w:t>
      </w:r>
      <w:r>
        <w:rPr>
          <w:rFonts w:hint="eastAsia" w:ascii="宋体" w:hAnsi="宋体" w:eastAsia="Arial" w:cs="宋体"/>
          <w:color w:val="auto"/>
          <w:sz w:val="24"/>
          <w:szCs w:val="20"/>
          <w:lang w:val="zh-CN"/>
        </w:rPr>
        <w:t xml:space="preserve">（需在签订采购合同前提供信用管理 部门备案的第三方信用报告，且信用报告通过“信用盐城网”可查实）</w:t>
      </w:r>
      <w:r>
        <w:rPr>
          <w:rFonts w:hint="eastAsia" w:ascii="宋体" w:hAnsi="宋体" w:eastAsia="Arial" w:cs="宋体"/>
          <w:color w:val="0000ff"/>
          <w:sz w:val="24"/>
          <w:szCs w:val="20"/>
          <w:lang w:val="zh-CN"/>
        </w:rPr>
        <w:t xml:space="preserve">，降低履约保证金缴纳比例为5%。  </w:t>
      </w:r>
      <w:r>
        <w:rPr>
          <w:rFonts w:hint="eastAsia" w:ascii="宋体" w:hAnsi="宋体" w:cs="宋体"/>
          <w:color w:val="auto"/>
          <w:sz w:val="24"/>
          <w:szCs w:val="20"/>
          <w:lang w:val="zh-CN"/>
        </w:rPr>
        <w:t xml:space="preserve">                                  </w:t>
      </w:r>
      <w:r/>
    </w:p>
    <w:p>
      <w:pPr>
        <w:numPr>
          <w:ilvl w:val="0"/>
          <w:numId w:val="4"/>
        </w:num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分期履行要求：</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（6）风险处置措施和替代方案：</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rPr>
        <w:t xml:space="preserve">4.</w:t>
      </w:r>
      <w:r>
        <w:rPr>
          <w:rFonts w:hint="eastAsia" w:ascii="宋体" w:hAnsi="宋体" w:cs="宋体"/>
          <w:b/>
          <w:bCs/>
          <w:color w:val="auto"/>
          <w:sz w:val="24"/>
          <w:szCs w:val="20"/>
          <w:lang w:val="zh-CN"/>
        </w:rPr>
        <w:t xml:space="preserve">合同验收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1</w:t>
      </w:r>
      <w:r>
        <w:rPr>
          <w:rFonts w:hint="eastAsia" w:ascii="宋体" w:hAnsi="宋体" w:cs="宋体"/>
          <w:color w:val="auto"/>
          <w:sz w:val="24"/>
          <w:szCs w:val="20"/>
          <w:lang w:val="zh-CN"/>
        </w:rPr>
        <w:t xml:space="preserve">）验收组织方式：</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自行组织</w:t>
      </w:r>
      <w:r>
        <w:rPr>
          <w:rFonts w:hint="eastAsia" w:ascii="宋体" w:hAnsi="宋体" w:cs="宋体"/>
          <w:color w:val="auto"/>
          <w:sz w:val="24"/>
          <w:szCs w:val="20"/>
        </w:rPr>
        <w:t xml:space="preserve">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委托第三方组织</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验收主体：</w:t>
      </w:r>
      <w:r>
        <w:rPr>
          <w:rFonts w:hint="eastAsia" w:ascii="宋体" w:hAnsi="宋体" w:eastAsia="Arial" w:cs="宋体"/>
          <w:color w:val="auto"/>
          <w:sz w:val="24"/>
          <w:szCs w:val="20"/>
          <w:u w:val="none"/>
        </w:rPr>
        <w:t xml:space="preserve">                 </w:t>
      </w:r>
      <w:r>
        <w:rPr>
          <w:rFonts w:hint="eastAsia" w:ascii="宋体" w:hAnsi="宋体" w:eastAsia="Arial" w:cs="宋体"/>
          <w:color w:val="auto"/>
          <w:sz w:val="24"/>
          <w:szCs w:val="20"/>
          <w:lang w:val="zh-CN"/>
        </w:rPr>
        <w:t xml:space="preserve">                           </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是否邀请本项目的其他供应商参加验收：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是否邀请专家参加验收：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hint="eastAsia" w:ascii="宋体" w:hAnsi="宋体" w:eastAsia="Arial" w:cs="宋体"/>
          <w:color w:val="auto"/>
          <w:sz w:val="24"/>
          <w:szCs w:val="20"/>
        </w:rPr>
        <w:t xml:space="preserve"></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是否邀请服务对象参加验收：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是否邀请第三方检测机构参加验收：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sz w:val="24"/>
          <w:szCs w:val="20"/>
          <w:lang w:val="zh-CN"/>
        </w:rPr>
      </w:pPr>
      <w:r>
        <w:rPr>
          <w:rFonts w:hint="eastAsia" w:ascii="宋体" w:hAnsi="宋体" w:eastAsia="Arial" w:cs="宋体"/>
          <w:color w:val="auto"/>
          <w:sz w:val="24"/>
          <w:szCs w:val="20"/>
          <w:lang w:val="zh-CN"/>
        </w:rPr>
        <w:t xml:space="preserve">是否进行抽查检测：是，抽查比例：</w:t>
      </w:r>
      <w:r>
        <w:rPr>
          <w:rFonts w:hint="eastAsia" w:ascii="宋体" w:hAnsi="宋体" w:eastAsia="Arial" w:cs="宋体"/>
          <w:color w:val="auto"/>
          <w:sz w:val="24"/>
          <w:szCs w:val="20"/>
          <w:u w:val="single"/>
          <w:lang w:val="zh-CN"/>
        </w:rPr>
        <w:t xml:space="preserve">         </w:t>
      </w:r>
      <w:r>
        <w:rPr>
          <w:rFonts w:hint="eastAsia" w:ascii="宋体" w:hAnsi="宋体" w:eastAsia="宋体" w:cs="宋体"/>
          <w:sz w:val="24"/>
          <w:szCs w:val="20"/>
          <w:u w:val="single"/>
          <w:lang w:val="en-US" w:eastAsia="zh-CN"/>
        </w:rPr>
        <w:t xml:space="preserve"> </w:t>
      </w:r>
      <w:r>
        <w:rPr>
          <w:rFonts w:hint="eastAsia" w:ascii="宋体" w:hAnsi="宋体" w:eastAsia="Arial" w:cs="宋体"/>
          <w:color w:val="auto"/>
          <w:sz w:val="24"/>
          <w:szCs w:val="20"/>
          <w:lang w:val="zh-CN"/>
        </w:rPr>
        <w:t xml:space="preserve">否</w:t>
      </w:r>
      <w:r/>
    </w:p>
    <w:p>
      <w:pPr>
        <w:ind w:left="0"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是否存在破坏性检测：</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w:t>
      </w:r>
      <w:r>
        <w:rPr>
          <w:rFonts w:hint="eastAsia" w:ascii="宋体" w:hAnsi="宋体" w:eastAsia="Arial" w:cs="宋体"/>
          <w:color w:val="auto"/>
          <w:sz w:val="24"/>
          <w:szCs w:val="20"/>
          <w:u w:val="none"/>
          <w:lang w:val="zh-CN"/>
        </w:rPr>
        <w:t xml:space="preserve">（应明确对被破坏的检测产品的处理方式    </w:t>
      </w:r>
      <w:r>
        <w:rPr>
          <w:rFonts w:hint="eastAsia" w:ascii="宋体" w:hAnsi="宋体" w:eastAsia="Arial" w:cs="宋体"/>
          <w:color w:val="auto"/>
          <w:sz w:val="24"/>
          <w:szCs w:val="20"/>
          <w:lang w:val="zh-CN"/>
        </w:rPr>
        <w:t xml:space="preserve">     否</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验收组织的其他事项：</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lang w:val="zh-CN"/>
        </w:rPr>
      </w:pPr>
      <w:r>
        <w:rPr>
          <w:rFonts w:hint="eastAsia" w:ascii="宋体" w:hAnsi="宋体" w:cs="宋体"/>
          <w:color w:val="auto"/>
          <w:sz w:val="24"/>
          <w:szCs w:val="20"/>
          <w:lang w:val="zh-CN"/>
        </w:rPr>
        <w:t xml:space="preserve">（2）履约验收时间：</w:t>
      </w:r>
      <w:r>
        <w:rPr>
          <w:rFonts w:hint="eastAsia" w:ascii="宋体" w:hAnsi="宋体" w:cs="宋体"/>
          <w:color w:val="auto"/>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（3）履约验收方式：</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一次性验收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                </w:t>
      </w:r>
      <w:r>
        <w:rPr>
          <w:rFonts w:hint="eastAsia" w:ascii="宋体" w:hAnsi="宋体" w:cs="宋体"/>
          <w:color w:val="auto"/>
          <w:sz w:val="24"/>
          <w:szCs w:val="20"/>
          <w:lang w:val="en-US" w:eastAsia="zh-CN"/>
        </w:rPr>
        <w:t xml:space="preserve">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分期/分项验收：</w:t>
      </w:r>
      <w:r>
        <w:rPr>
          <w:rFonts w:hint="eastAsia" w:ascii="宋体" w:hAnsi="宋体" w:cs="宋体"/>
          <w:color w:val="auto"/>
          <w:sz w:val="24"/>
          <w:szCs w:val="20"/>
          <w:u w:val="single"/>
          <w:lang w:val="zh-CN"/>
        </w:rPr>
        <w:t xml:space="preserve">（应明确分期/分项验收的工作安排）</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（4）履约验收程序：</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（5）履约验收的内容：</w:t>
      </w:r>
      <w:r>
        <w:rPr>
          <w:rFonts w:hint="eastAsia" w:ascii="宋体" w:hAnsi="宋体" w:cs="宋体"/>
          <w:color w:val="auto"/>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（6）履约验收标准：</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（7）是否以采购活动中供应商提供的样品作为参考：</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（8）履约验收其他事项：</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（产权过户登记等）</w:t>
      </w:r>
      <w:r>
        <w:rPr>
          <w:rFonts w:hint="eastAsia" w:ascii="宋体" w:hAnsi="宋体" w:cs="宋体"/>
          <w:color w:val="auto"/>
          <w:sz w:val="24"/>
          <w:szCs w:val="20"/>
          <w:u w:val="single"/>
        </w:rPr>
        <w:t xml:space="preserve">                </w:t>
      </w:r>
      <w:r/>
    </w:p>
    <w:p>
      <w:pPr>
        <w:ind w:firstLine="482"/>
        <w:jc w:val="left"/>
        <w:spacing w:line="560" w:lineRule="exact"/>
        <w:widowControl/>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5.组成合同的文件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本协议书与下列文件一起构成合同文件，如下述文件之间有任何抵触、矛盾或歧义，应按以下顺序解释：</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（1）政府采购合同协议书及其变更、补充协议</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（2）政府采购合同专用条款</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（3）政府采购合同通用条款</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（4）中标（成交）通知书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（5）投标（响应）文件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（6）采购文件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（7）有关技术文件，图纸</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（8）国家法律、行政法规和规章制度规定或合同约定的作为合同组成部分的其他文件</w:t>
      </w:r>
      <w:r/>
    </w:p>
    <w:p>
      <w:pPr>
        <w:ind w:firstLine="482"/>
        <w:jc w:val="left"/>
        <w:spacing w:line="560" w:lineRule="exact"/>
        <w:widowControl/>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6.合同生效</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本合同自</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年</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月</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日生效。</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lang w:val="zh-CN"/>
        </w:rPr>
        <w:t xml:space="preserve">7.合同份数</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本合同一式</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 xml:space="preserve">份，甲方执</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份，乙方执</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份，均具有同等法律效力。</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合同订立时间：</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年</w:t>
      </w:r>
      <w:r>
        <w:rPr>
          <w:rFonts w:hint="eastAsia" w:ascii="宋体" w:hAnsi="宋体" w:eastAsia="Arial" w:cs="宋体"/>
          <w:color w:val="auto"/>
          <w:sz w:val="24"/>
          <w:szCs w:val="20"/>
          <w:u w:val="none"/>
          <w:lang w:val="zh-CN"/>
        </w:rPr>
        <w:t xml:space="preserve"> </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月</w:t>
      </w:r>
      <w:r>
        <w:rPr>
          <w:rFonts w:hint="eastAsia" w:ascii="宋体" w:hAnsi="宋体" w:eastAsia="Arial" w:cs="宋体"/>
          <w:color w:val="auto"/>
          <w:sz w:val="24"/>
          <w:szCs w:val="20"/>
          <w:u w:val="none"/>
          <w:lang w:val="zh-CN"/>
        </w:rPr>
        <w:t xml:space="preserve"> </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日</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合同订立地点：</w:t>
      </w:r>
      <w:r>
        <w:rPr>
          <w:rFonts w:hint="eastAsia" w:ascii="宋体" w:hAnsi="宋体" w:eastAsia="Arial" w:cs="宋体"/>
          <w:color w:val="auto"/>
          <w:sz w:val="24"/>
          <w:szCs w:val="20"/>
          <w:u w:val="single"/>
          <w:lang w:eastAsia="zh-CN"/>
        </w:rPr>
        <w:t xml:space="preserve">江苏省盐城技师学院</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附件：具体标的及其技术要求和商务要求、联合协议、分包意向协议等。</w:t>
      </w:r>
      <w:r/>
    </w:p>
    <w:p>
      <w:pPr>
        <w:pStyle w:val="918"/>
        <w:spacing w:before="156"/>
        <w:rPr>
          <w:rFonts w:hint="default" w:ascii="黑体" w:hAnsi="黑体" w:eastAsia="黑体"/>
          <w:b w:val="0"/>
          <w:bCs w:val="0"/>
          <w:color w:val="auto"/>
          <w:sz w:val="28"/>
          <w:szCs w:val="28"/>
        </w:rPr>
      </w:pPr>
      <w:r>
        <w:rPr>
          <w:rFonts w:ascii="黑体" w:hAnsi="黑体" w:eastAsia="黑体"/>
          <w:b w:val="0"/>
          <w:bCs w:val="0"/>
          <w:color w:val="auto"/>
          <w:sz w:val="28"/>
          <w:szCs w:val="28"/>
        </w:rPr>
        <w:br w:type="page" w:clear="all"/>
      </w:r>
      <w:r/>
    </w:p>
    <w:tbl>
      <w:tblPr>
        <w:tblStyle w:val="707"/>
        <w:tblW w:w="4824" w:type="pct"/>
        <w:tblInd w:w="181"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558"/>
        <w:gridCol w:w="2172"/>
        <w:gridCol w:w="2250"/>
      </w:tblGrid>
      <w:tr>
        <w:trPr>
          <w:trHeight w:val="490"/>
        </w:trPr>
        <w:tc>
          <w:tcPr>
            <w:gridSpan w:val="2"/>
            <w:tcBorders>
              <w:bottom w:val="single" w:color="000000" w:sz="2" w:space="0"/>
              <w:right w:val="single" w:color="000000" w:sz="2" w:space="0"/>
            </w:tcBorders>
            <w:tcW w:w="428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甲方（采购人</w:t>
            </w:r>
            <w:r>
              <w:rPr>
                <w:rFonts w:hint="eastAsia" w:ascii="宋体" w:hAnsi="宋体"/>
                <w:color w:val="auto"/>
                <w:sz w:val="24"/>
              </w:rPr>
              <w:t xml:space="preserve">、受采购人委托签订合同的单位或</w:t>
            </w:r>
            <w:r>
              <w:rPr>
                <w:rFonts w:hint="eastAsia"/>
                <w:color w:val="auto"/>
                <w:sz w:val="24"/>
              </w:rPr>
              <w:t xml:space="preserve">采购文件约定的合同甲方）</w:t>
            </w:r>
            <w:r/>
          </w:p>
        </w:tc>
        <w:tc>
          <w:tcPr>
            <w:gridSpan w:val="2"/>
            <w:tcBorders>
              <w:left w:val="single" w:color="000000" w:sz="2" w:space="0"/>
              <w:bottom w:val="single" w:color="000000" w:sz="2" w:space="0"/>
            </w:tcBorders>
            <w:tcW w:w="4259"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乙方（供应商）</w:t>
            </w:r>
            <w:r/>
          </w:p>
        </w:tc>
      </w:tr>
      <w:tr>
        <w:trPr>
          <w:trHeight w:val="917"/>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单位名称（公章或合同章）</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cantSplit/>
          <w:trHeight w:val="1171"/>
        </w:trPr>
        <w:tc>
          <w:tcPr>
            <w:tcBorders>
              <w:top w:val="single" w:color="000000" w:sz="2" w:space="0"/>
              <w:right w:val="single" w:color="000000" w:sz="2" w:space="0"/>
            </w:tcBorders>
            <w:tcW w:w="1823"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法定代表人</w:t>
            </w:r>
            <w:r/>
          </w:p>
          <w:p>
            <w:pPr>
              <w:ind w:left="0" w:right="0" w:firstLine="115"/>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或其委托代理人（签章）</w:t>
            </w:r>
            <w:r/>
          </w:p>
        </w:tc>
        <w:tc>
          <w:tcPr>
            <w:tcBorders>
              <w:top w:val="single" w:color="000000" w:sz="2" w:space="0"/>
              <w:left w:val="single" w:color="000000" w:sz="2" w:space="0"/>
              <w:right w:val="single" w:color="000000" w:sz="2" w:space="0"/>
            </w:tcBorders>
            <w:tcW w:w="246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法定代表人</w:t>
            </w:r>
            <w:r/>
          </w:p>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或其委托代理人（签章）</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r>
      <w:tr>
        <w:trPr>
          <w:cantSplit/>
          <w:trHeight w:val="483"/>
        </w:trPr>
        <w:tc>
          <w:tcPr>
            <w:tcBorders>
              <w:bottom w:val="single" w:color="000000" w:sz="2" w:space="0"/>
              <w:right w:val="single" w:color="000000" w:sz="2" w:space="0"/>
            </w:tcBorders>
            <w:tcW w:w="182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left w:val="single" w:color="000000" w:sz="2" w:space="0"/>
              <w:bottom w:val="single" w:color="000000" w:sz="2" w:space="0"/>
              <w:right w:val="single" w:color="000000" w:sz="2" w:space="0"/>
            </w:tcBorders>
            <w:tcW w:w="2464"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拥有者性别</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住所</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住所</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联 系 人</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联 系 人</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联系电话</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联系电话</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通信地址</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通信地址</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邮政编码</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邮政编码</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电子邮箱</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电子邮箱</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统一社会信用代码</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开户名称</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开户银行</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z w:val="24"/>
              </w:rPr>
              <w:suppressLineNumbers w:val="0"/>
            </w:pPr>
            <w:r>
              <w:rPr>
                <w:rFonts w:hint="eastAsia"/>
                <w:color w:val="auto"/>
                <w:sz w:val="24"/>
              </w:rPr>
              <w:t xml:space="preserve">银行账号</w:t>
            </w:r>
            <w:r/>
          </w:p>
        </w:tc>
        <w:tc>
          <w:tcPr>
            <w:tcBorders>
              <w:top w:val="single" w:color="000000" w:sz="2" w:space="0"/>
              <w:left w:val="single" w:color="000000" w:sz="2" w:space="0"/>
              <w:bottom w:val="single" w:color="000000" w:sz="2" w:space="0"/>
            </w:tcBorders>
            <w:tcW w:w="2167"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color w:val="auto"/>
                <w:spacing w:val="20"/>
                <w:sz w:val="24"/>
              </w:rPr>
            </w:r>
            <w:r/>
          </w:p>
        </w:tc>
      </w:tr>
      <w:tr>
        <w:trPr>
          <w:trHeight w:val="586"/>
        </w:trPr>
        <w:tc>
          <w:tcPr>
            <w:gridSpan w:val="4"/>
            <w:tcBorders>
              <w:top w:val="single" w:color="000000" w:sz="2" w:space="0"/>
            </w:tcBorders>
            <w:tcW w:w="8546" w:type="dxa"/>
            <w:vAlign w:val="center"/>
            <w:textDirection w:val="lrTb"/>
            <w:noWrap w:val="false"/>
          </w:tcPr>
          <w:p>
            <w:pPr>
              <w:ind w:left="0" w:right="0"/>
              <w:jc w:val="center"/>
              <w:keepLines w:val="0"/>
              <w:keepNext w:val="0"/>
              <w:spacing w:before="0" w:beforeAutospacing="0" w:after="0" w:afterAutospacing="0" w:line="360" w:lineRule="auto"/>
              <w:rPr>
                <w:rFonts w:hint="eastAsia"/>
                <w:color w:val="auto"/>
                <w:spacing w:val="20"/>
                <w:sz w:val="24"/>
              </w:rPr>
              <w:suppressLineNumbers w:val="0"/>
            </w:pPr>
            <w:r>
              <w:rPr>
                <w:rFonts w:hint="eastAsia" w:ascii="宋体" w:hAnsi="宋体"/>
                <w:color w:val="auto"/>
                <w:sz w:val="24"/>
              </w:rPr>
              <w:t xml:space="preserve">注：涉及联合体或其他合同主体的信息应按上表格式加列。</w:t>
            </w:r>
            <w:r/>
          </w:p>
        </w:tc>
      </w:tr>
    </w:tbl>
    <w:p>
      <w:pPr>
        <w:pStyle w:val="918"/>
        <w:jc w:val="center"/>
        <w:spacing w:before="156" w:afterAutospacing="0" w:line="400" w:lineRule="exact"/>
        <w:rPr>
          <w:rFonts w:hint="default" w:ascii="黑体" w:hAnsi="黑体" w:eastAsia="黑体"/>
          <w:color w:val="auto"/>
          <w:sz w:val="28"/>
          <w:szCs w:val="28"/>
        </w:rPr>
      </w:pPr>
      <w:r>
        <w:rPr>
          <w:rFonts w:ascii="黑体" w:hAnsi="黑体" w:eastAsia="黑体"/>
          <w:b w:val="0"/>
          <w:bCs w:val="0"/>
          <w:color w:val="auto"/>
          <w:sz w:val="28"/>
          <w:szCs w:val="28"/>
        </w:rPr>
        <w:br w:type="page" w:clear="all"/>
      </w:r>
      <w:r>
        <w:rPr>
          <w:rFonts w:ascii="黑体" w:hAnsi="黑体" w:eastAsia="黑体"/>
          <w:b w:val="0"/>
          <w:bCs w:val="0"/>
          <w:color w:val="auto"/>
          <w:sz w:val="28"/>
          <w:szCs w:val="28"/>
        </w:rPr>
        <w:t xml:space="preserve">第二节 政府采购合同通用条款</w:t>
      </w:r>
      <w:bookmarkEnd w:id="163"/>
      <w:r/>
      <w:r/>
    </w:p>
    <w:p>
      <w:pPr>
        <w:ind w:firstLine="482"/>
        <w:jc w:val="left"/>
        <w:keepLines w:val="0"/>
        <w:keepNext w:val="0"/>
        <w:pageBreakBefore w:val="0"/>
        <w:spacing w:line="40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rPr>
        <w:t xml:space="preserve">1.</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定义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1.1合同当事人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（1）采购人（以下称甲方）是指使用财政性资金，通过政府采购方式向供应商购买货物及其相关服务的国家机关、事业单位、团体组织。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（2）供应商（以下称乙方）是指参加政府采购活动并且中标（成交），向采购人提供合同约定的货物及其相关服务的法人、非法人组织或者自然人。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（3）其他合同主体是指除采购人和供应商以外，依法参与合同缔结或履行，享有权利、承担义务的合同当事人。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1.2本合同下列术语应解释为：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（2）“合同价款”系指根据本合同规定乙方在全面履行合同义务后甲方应支付给乙方的价款。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技术资料和材料等。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（4）“相关服务”系指根据合同规定，乙方应提供的与货物有关的技术、管理和</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（7）其他术语解释，见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b w:val="0"/>
          <w:bCs w:val="0"/>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合同标的及金额</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 合同标的及金额应与中标（成交）结果一致。乙方为履行本合同而发生的所有费用均应包含在合同价款中，甲方不再另行支付其他任何费用。</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3.</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履行合同的时间、地点和方式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3.1 乙方应当在约定的时间、地点，按照约定方式履行合同。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4.</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甲方的权利和义务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4.3 甲方有权要求乙方对缺陷部分予以修复，并按合同约定享有货物保修及其他合同约定的权利。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4.4 甲方应当按照合同约定及时对交付的货物进行验收，未在【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】约定的期限内对乙方履约提出任何异议或者向乙方作出任何说明的，视为验收通过。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4.5 甲方应当根据合同约定及时向乙方支付合同价款，不得以内部人员变更、履行内部付款流程等为由，拒绝或迟延支付。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4.6 国家法律法规规定及【</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】约定应由甲方承担的其他义务和责任。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5.</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乙方的权利和义务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5.1 签署合同后，乙方应确定项目负责人（或项目联系人），负责与本合同有关的事务。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5.3乙方有权根据合同约定向甲方收取合同价款。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5.4国家法律法规规定及【</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】约定应由乙方承担的其他义务和责任。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6.</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合同履行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6.1 甲乙双方应当按照【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】约定顺序履行合同义务；如果没有先后顺序的，应当同时履行。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7.</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货物包装、运输、保险和交付要求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7.1 本合同涉及商品包装、快递包装的，除【</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】另有约定外，包装应适应远距离运输、防潮、防震、防锈和防野蛮装卸等要求，确保货物安全无损地运抵【</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约定的指定现场。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7.2 除【</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】另有约定外，乙方负责办理将货物运抵本合同规定的交货地点，并装卸、交付至甲方的一切运输事项，相关费用应包含在合同价款中。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7.3 货物保险要求按【</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7.5 乙方在运输到达之前应提前通知甲方，并提示货物运输装卸的注意事项，甲方配合乙方做好货物的接收工作。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7.6 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8.</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质量标准和保证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8.1 质量标准</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（2）采用中华人民共和国法定计量单位。</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（3）乙方所提供的货物应符合国家有关安全、环保、卫生的规定。</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8.2 保证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】规定或乙方书面承诺（两者以较长的为准）的质量保证期内，本保证保持有效。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（2）在质量保证期内所发现的缺陷，甲方应尽快以书面形式通知乙方。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（3）乙方收到通知后，应在【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】规定的响应时间内以合理的速度免费维修或更换有缺陷的货物或部件。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9. 权利瑕疵担保</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9.1 乙方保证对其出售的货物享有合法的权利。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9.2 乙方保证在交付的货物上不存在抵押权等担保物权。</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9.3 如甲方使用上述货物构成对第三人侵权的，则由乙方承担全部责任。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10. 知识产权保护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10.1 乙方对其所销售的货物应当享有知识产权或经权利人合法授权，保证没有侵犯任何第三人的知识产权等权利。</w:t>
      </w:r>
      <w:bookmarkStart w:id="164" w:name="_Hlk163047038"/>
      <w:r>
        <w:rPr>
          <w:rFonts w:hint="eastAsia" w:ascii="宋体" w:hAnsi="宋体" w:eastAsia="宋体" w:cs="宋体"/>
          <w:color w:val="auto"/>
          <w:sz w:val="24"/>
          <w:szCs w:val="20"/>
          <w:lang w:val="zh-CN"/>
        </w:rPr>
        <w:t xml:space="preserve">因违反前述约定对第三人构成侵权的，应当由乙方向第三人承担法律责任；甲方依法向第三人赔偿后，有权向乙方追偿。甲方有其他损失的，乙方应当赔偿</w:t>
      </w:r>
      <w:bookmarkEnd w:id="164"/>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11. 保密义务</w:t>
      </w:r>
      <w:r/>
    </w:p>
    <w:p>
      <w:pPr>
        <w:ind w:firstLine="482"/>
        <w:jc w:val="left"/>
        <w:keepLines w:val="0"/>
        <w:keepNext w:val="0"/>
        <w:pageBreakBefore w:val="0"/>
        <w:spacing w:line="560" w:lineRule="exact"/>
        <w:widowControl w:val="off"/>
        <w:rPr>
          <w:rFonts w:ascii="宋体" w:hAnsi="宋体" w:cs="宋体"/>
          <w:color w:val="auto"/>
          <w:sz w:val="24"/>
          <w:szCs w:val="20"/>
          <w:lang w:val="zh-CN"/>
        </w:rPr>
      </w:pPr>
      <w:r>
        <w:rPr>
          <w:rFonts w:hint="eastAsia" w:ascii="宋体" w:hAnsi="宋体" w:eastAsia="宋体" w:cs="宋体"/>
          <w:color w:val="auto"/>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color w:val="auto"/>
          <w:sz w:val="24"/>
          <w:szCs w:val="20"/>
          <w:lang w:val="zh-CN"/>
        </w:rPr>
        <w:t xml:space="preserve">【</w:t>
      </w:r>
      <w:r>
        <w:rPr>
          <w:rFonts w:hint="eastAsia" w:ascii="宋体" w:hAnsi="宋体" w:cs="宋体"/>
          <w:b/>
          <w:bCs/>
          <w:color w:val="auto"/>
          <w:sz w:val="24"/>
          <w:szCs w:val="20"/>
          <w:lang w:val="zh-CN"/>
        </w:rPr>
        <w:t xml:space="preserve">政府采购合同专用条款</w:t>
      </w:r>
      <w:r>
        <w:rPr>
          <w:rFonts w:hint="eastAsia" w:ascii="宋体" w:hAnsi="宋体" w:cs="宋体"/>
          <w:color w:val="auto"/>
          <w:sz w:val="24"/>
          <w:szCs w:val="20"/>
          <w:lang w:val="zh-CN"/>
        </w:rPr>
        <w:t xml:space="preserve">】中约定。</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12. 合同价款支付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12.1 合同价款支付按照国库集中支付制度及财政管理相关规定执行。</w:t>
      </w:r>
      <w:r/>
    </w:p>
    <w:p>
      <w:pPr>
        <w:ind w:firstLine="482"/>
        <w:jc w:val="left"/>
        <w:keepLines w:val="0"/>
        <w:keepNext w:val="0"/>
        <w:pageBreakBefore w:val="0"/>
        <w:spacing w:line="560" w:lineRule="exact"/>
        <w:widowControl w:val="off"/>
        <w:rPr>
          <w:rFonts w:hint="eastAsia" w:ascii="宋体" w:hAnsi="宋体" w:eastAsia="Arial" w:cs="宋体"/>
          <w:color w:val="auto"/>
          <w:sz w:val="24"/>
          <w:szCs w:val="20"/>
          <w:lang w:val="zh-CN"/>
        </w:rPr>
      </w:pPr>
      <w:r>
        <w:rPr>
          <w:rFonts w:hint="eastAsia" w:ascii="宋体" w:hAnsi="宋体" w:eastAsia="宋体" w:cs="宋体"/>
          <w:color w:val="auto"/>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color w:val="auto"/>
          <w:sz w:val="24"/>
          <w:szCs w:val="20"/>
          <w:lang w:val="zh-CN"/>
        </w:rPr>
        <w:t xml:space="preserve">【</w:t>
      </w:r>
      <w:r>
        <w:rPr>
          <w:rFonts w:hint="eastAsia" w:ascii="宋体" w:hAnsi="宋体" w:eastAsia="Arial" w:cs="宋体"/>
          <w:b/>
          <w:bCs/>
          <w:color w:val="auto"/>
          <w:sz w:val="24"/>
          <w:szCs w:val="20"/>
          <w:lang w:val="zh-CN"/>
        </w:rPr>
        <w:t xml:space="preserve">政府采购合同专用条款</w:t>
      </w:r>
      <w:r>
        <w:rPr>
          <w:rFonts w:hint="eastAsia" w:ascii="宋体" w:hAnsi="宋体" w:eastAsia="Arial" w:cs="宋体"/>
          <w:color w:val="auto"/>
          <w:sz w:val="24"/>
          <w:szCs w:val="20"/>
          <w:lang w:val="zh-CN"/>
        </w:rPr>
        <w:t xml:space="preserve">】中约定。</w:t>
      </w:r>
      <w:r/>
    </w:p>
    <w:p>
      <w:pPr>
        <w:ind w:firstLine="480"/>
        <w:keepLines w:val="0"/>
        <w:keepNext w:val="0"/>
        <w:pageBreakBefore w:val="0"/>
        <w:spacing w:line="520" w:lineRule="exact"/>
        <w:widowControl w:val="off"/>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13. 履约保证金</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13.1 乙方应当以支票、汇票、本票或者金融机构、担保机构出具的保函等非现金形式提交。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13.2 如果乙方出现【</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13.3 甲方在项目通过验收后按照【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】规定的时间内将履约保证金退还乙方；逾期退还的，乙方可要求甲方支付违约金，违约金按照【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】规定支付。</w:t>
      </w:r>
      <w:r/>
    </w:p>
    <w:p>
      <w:pPr>
        <w:ind w:firstLine="480"/>
        <w:keepLines w:val="0"/>
        <w:keepNext w:val="0"/>
        <w:pageBreakBefore w:val="0"/>
        <w:spacing w:line="520" w:lineRule="exact"/>
        <w:widowControl w:val="off"/>
        <w:rPr>
          <w:rFonts w:ascii="宋体" w:hAnsi="宋体" w:cs="宋体"/>
          <w:b/>
          <w:bCs/>
          <w:color w:val="auto"/>
          <w:sz w:val="24"/>
          <w:szCs w:val="20"/>
          <w:lang w:val="zh-CN"/>
        </w:rPr>
      </w:pPr>
      <w:r>
        <w:rPr>
          <w:rFonts w:hint="eastAsia" w:ascii="宋体" w:hAnsi="宋体" w:cs="宋体"/>
          <w:b/>
          <w:bCs/>
          <w:color w:val="auto"/>
          <w:sz w:val="24"/>
          <w:szCs w:val="20"/>
          <w:lang w:val="zh-CN"/>
        </w:rPr>
        <w:t xml:space="preserve">14. 售后服务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14.1 除项目不涉及或采购活动中明确约定无须承担外，乙方还应提供下列服务：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（1）货物的现场移动、安装、调试、启动监督及技术支持；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（2）提供货物组装和维修所需的专用工具和辅助材料；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】约定的期限内对所有的货物实施运行监督、维修，但前提条件是该服务并不能免除乙方在质量保证期内所承担的义务；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（4）在制造商所在地或指定现场就货物的安装、启动、运营、维护、废弃处置等对甲方操作人员进行培训；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（5）依照法律、行政法规的规定或者按照【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】约定，货物在有效使用年限届满后应予回收的，乙方负有自行或者委托第三人对货物予以回收的义务；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】规定由乙方提供的其他服务。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14.2 乙方提供的售后服务的费用已包含在合同价款中，甲方不再另行支付。</w:t>
      </w:r>
      <w:r/>
    </w:p>
    <w:p>
      <w:pPr>
        <w:ind w:firstLine="482"/>
        <w:jc w:val="left"/>
        <w:keepLines w:val="0"/>
        <w:keepNext w:val="0"/>
        <w:pageBreakBefore w:val="0"/>
        <w:spacing w:line="560" w:lineRule="exact"/>
        <w:widowControl w:val="off"/>
        <w:rPr>
          <w:rFonts w:hint="eastAsia" w:ascii="宋体" w:hAnsi="宋体" w:eastAsia="宋体" w:cs="宋体"/>
          <w:b w:val="0"/>
          <w:bCs w:val="0"/>
          <w:color w:val="auto"/>
          <w:sz w:val="24"/>
          <w:szCs w:val="20"/>
          <w:lang w:val="zh-CN"/>
        </w:rPr>
      </w:pPr>
      <w:r>
        <w:rPr>
          <w:rFonts w:hint="eastAsia" w:ascii="宋体" w:hAnsi="宋体" w:eastAsia="宋体" w:cs="宋体"/>
          <w:b w:val="0"/>
          <w:bCs w:val="0"/>
          <w:color w:val="auto"/>
          <w:sz w:val="24"/>
          <w:szCs w:val="20"/>
          <w:lang w:val="zh-CN"/>
        </w:rPr>
        <w:t xml:space="preserve">15. 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15.1质量瑕疵的违约责任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乙方提供的产品不符合合同约定的质量标准或存在产品质量缺陷，甲方有权要求乙方根据【</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】要求及时修理、重作、更换，并承担由此给甲方造成的损失。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15.2 迟延交货的违约责任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】规定执行。如果涉及公共利益，且赔偿金额无法弥补公共利益损失，甲方可要求继续履行或者采取其他补救措施。</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15.3 迟延支付的违约责任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甲方存在迟延支付乙方合同款项的，应当承担【</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】规定的逾期付款利息。</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15.4其他违约责任根据项目实际需要按【</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16.合同变更、中止与终止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16.1合同的变更</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16.2合同的中止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（1）合同履行过程中因供应商就采购文件、采购过程或结果提起投诉的，甲方认为有必要的，可以中止合同的履行。</w:t>
      </w:r>
      <w:r/>
    </w:p>
    <w:p>
      <w:pPr>
        <w:ind w:left="0"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（4）甲方不得以行政区划调整、政府换届、机构或者职能调整以及相关责任人更替为由中止合同。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16.3合同的终止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（1）合同因有效期限届满而终止；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（2）乙方未按合同约定履行，构成根本性违约的，甲方有权终止合同，并追究乙方的违约责任。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16.4 涉及国家利益、社会公共利益的情形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17. 合同分包</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17.1 乙方不得将合同转包给其他供应商。涉及合同分包的，乙方应根据采购文件和投标（响应）文件规定进行合同分包。</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18. 不可抗力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18.1 不可抗力是指合同双方不能预见、不能避免且不能克服的客观情况。</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18.2 任何一方对由于不可抗力造成的部分或全部不能履行合同不承担违约责任。但迟延履行后发生不可抗力的，不能免除责任。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19. 解决争议的方法</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19.2 选择仲裁的，应在【</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】中明确仲裁机构及仲裁地；通过诉讼方式解决的，可以在【</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】中进一步约定选择与争议有实际联系的地点的人民法院管辖，但管辖法院的约定不得违反级别管辖和专属管辖的规定。</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19.3 如甲乙双方有争议的事项不影响合同其他部分的履行，在争议解决期间，合同其他部分应当继续履行。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20. 政府采购政策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20.1 本合同应当按照规定执行政府采购政策。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21. 法律适用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21.1 本合同的订立、生效、解释、履行及与本合同有关的争议解决，均适用法律、行政法规。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21.2 本合同条款与法律、行政法规的强制性规定不一致的，双方当事人应按照法律、行政法规的强制性规定修改本合同的相关条款。</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22. 通知</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22.3本合同一方给另一方的通知均应采用书面形式，传真或快递送到本合同中规定的对方的地址和办理签收手续。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22.4通知以送达之日或通知书中规定的生效之日起生效，两者中以较迟之日为准。</w:t>
      </w:r>
      <w:r/>
    </w:p>
    <w:p>
      <w:pPr>
        <w:numPr>
          <w:ilvl w:val="0"/>
          <w:numId w:val="5"/>
        </w:num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合同未尽事项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23.1合同未尽事项见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23.2 合同附件与合同正文具有同等的法律效力。</w:t>
      </w:r>
      <w:r/>
    </w:p>
    <w:p>
      <w:pPr>
        <w:jc w:val="center"/>
        <w:keepLines/>
        <w:keepNext/>
        <w:spacing w:line="360" w:lineRule="auto"/>
        <w:rPr>
          <w:rFonts w:hint="eastAsia" w:ascii="黑体" w:hAnsi="华文中宋" w:eastAsia="黑体"/>
          <w:color w:val="auto"/>
          <w:sz w:val="24"/>
        </w:rPr>
        <w:outlineLvl w:val="1"/>
      </w:pPr>
      <w:r>
        <w:rPr>
          <w:rFonts w:hint="eastAsia" w:ascii="黑体" w:hAnsi="华文中宋" w:eastAsia="黑体"/>
          <w:color w:val="auto"/>
          <w:sz w:val="24"/>
        </w:rPr>
        <w:br w:type="page" w:clear="all"/>
      </w:r>
      <w:r>
        <w:rPr>
          <w:rFonts w:hint="eastAsia" w:ascii="黑体" w:hAnsi="华文中宋" w:eastAsia="黑体"/>
          <w:color w:val="auto"/>
          <w:sz w:val="24"/>
        </w:rPr>
        <w:t xml:space="preserve">第三节 政府采购合同专用条款</w:t>
      </w:r>
      <w:r/>
    </w:p>
    <w:tbl>
      <w:tblPr>
        <w:tblStyle w:val="707"/>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1413"/>
        <w:gridCol w:w="5991"/>
      </w:tblGrid>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第1.2（6）项</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联合体具体要求</w:t>
            </w:r>
            <w:r/>
          </w:p>
        </w:tc>
        <w:tc>
          <w:tcPr>
            <w:tcW w:w="5991" w:type="dxa"/>
            <w:vAlign w:val="center"/>
            <w:textDirection w:val="lrTb"/>
            <w:noWrap w:val="false"/>
          </w:tcPr>
          <w:p>
            <w:pPr>
              <w:ind w:left="0" w:right="0"/>
              <w:jc w:val="left"/>
              <w:keepLines w:val="0"/>
              <w:keepNext w:val="0"/>
              <w:spacing w:before="0" w:beforeAutospacing="0" w:after="0" w:afterAutospacing="0"/>
              <w:rPr>
                <w:rFonts w:hint="eastAsia" w:ascii="宋体" w:hAnsi="宋体" w:eastAsiaTheme="minorEastAsia"/>
                <w:color w:val="auto"/>
                <w:sz w:val="24"/>
                <w:lang w:val="en-US" w:eastAsia="zh-CN"/>
              </w:rPr>
              <w:suppressLineNumbers w:val="0"/>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第1.2（7）项</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其他术语解释</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第4.4款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履约验收中甲方提出异议或作出说明的期限</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十五个工作日内</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第4.6款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约定甲方承担的其他义务和责任</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第5.4款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约定乙方承担的其他义务和责任</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第6.1款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履行合同义务的顺序</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同协议书</w:t>
            </w:r>
            <w:r/>
          </w:p>
        </w:tc>
      </w:tr>
      <w:tr>
        <w:trPr>
          <w:jc w:val="center"/>
          <w:trHeight w:val="0"/>
        </w:trPr>
        <w:tc>
          <w:tcPr>
            <w:tcW w:w="124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第7.1款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包装特殊要求</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1.商品包装层数不得超过3 层，空隙率不大于40%；</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2.商品包装尽可能使用单一材质的包装材料，如因功能需求必需使用不同材质，不同材质间应便于分离；</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3.商品包装中铅、汞、镉、六价铬的总含量应不大于100mg/kg；</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4.商品包装印刷使用的油墨中挥发性有机化合物(VOCs)含量应不大于5%（以重量计）；</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5.塑料材质商品包装上呈现的印刷颜色不得超过6色；</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6.纸质商品包装应使用75%以上的可再生纤维原料生产；</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7.木质商品包装的原料应来源于可持续性森林。</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9每件包装箱内应附一份详细装箱单和质量合格凭证。</w:t>
            </w:r>
            <w:r/>
          </w:p>
        </w:tc>
      </w:tr>
      <w:tr>
        <w:trPr>
          <w:jc w:val="center"/>
          <w:trHeight w:val="0"/>
        </w:trPr>
        <w:tc>
          <w:tcPr>
            <w:tcW w:w="12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r>
            <w:r/>
          </w:p>
        </w:tc>
        <w:tc>
          <w:tcPr>
            <w:tcW w:w="1413"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指定现场</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同协议书</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第7.2款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运输特殊要求</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1.货物验收合格、交付使用并提供所需单据的日期视为交货日期。</w:t>
            </w:r>
            <w:r/>
          </w:p>
          <w:p>
            <w:pPr>
              <w:numPr>
                <w:ilvl w:val="0"/>
                <w:numId w:val="0"/>
              </w:numPr>
              <w:ind w:left="0" w:right="0" w:firstLine="482"/>
              <w:keepLines w:val="0"/>
              <w:keepNext w:val="0"/>
              <w:spacing w:before="0" w:beforeAutospacing="0" w:after="0" w:afterAutospacing="0" w:line="560" w:lineRule="exact"/>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2.乙方在货物发运手续办理完毕后24小时内或货到48小时前通知甲方，以准备接货。</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3.乙方装运的货物不应超过合同规定的数量或重量。乙方应对超交数量或超重而产生的一切后果负责。</w:t>
            </w:r>
            <w:r/>
          </w:p>
          <w:p>
            <w:pPr>
              <w:numPr>
                <w:ilvl w:val="0"/>
                <w:numId w:val="0"/>
              </w:numPr>
              <w:ind w:left="0" w:right="0" w:firstLine="482"/>
              <w:keepLines w:val="0"/>
              <w:keepNext w:val="0"/>
              <w:spacing w:before="0" w:beforeAutospacing="0" w:after="0" w:afterAutospacing="0" w:line="560" w:lineRule="exact"/>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4.货物在交付甲方前发生的风险均由乙方负责。</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第7.3款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保险要求</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货物交货前由乙方承担保险义务</w:t>
            </w:r>
            <w:r/>
          </w:p>
        </w:tc>
      </w:tr>
      <w:tr>
        <w:trPr>
          <w:jc w:val="center"/>
          <w:trHeight w:val="1605"/>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第8.2（1）项</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质量保证期</w:t>
            </w:r>
            <w:r/>
          </w:p>
        </w:tc>
        <w:tc>
          <w:tcPr>
            <w:tcW w:w="5991" w:type="dxa"/>
            <w:vAlign w:val="center"/>
            <w:textDirection w:val="lrTb"/>
            <w:noWrap w:val="false"/>
          </w:tcPr>
          <w:p>
            <w:pPr>
              <w:numPr>
                <w:ilvl w:val="0"/>
                <w:numId w:val="0"/>
              </w:numPr>
              <w:ind w:left="0" w:right="0" w:firstLine="482"/>
              <w:jc w:val="left"/>
              <w:keepLines w:val="0"/>
              <w:keepNext w:val="0"/>
              <w:spacing w:before="120" w:beforeAutospacing="0" w:after="12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0000ff"/>
                <w:sz w:val="24"/>
                <w:szCs w:val="20"/>
              </w:rPr>
              <w:t xml:space="preserve">1.货物免费质保期</w:t>
            </w:r>
            <w:r>
              <w:rPr>
                <w:rFonts w:hint="eastAsia" w:ascii="宋体" w:hAnsi="宋体" w:eastAsia="宋体" w:cs="宋体"/>
                <w:color w:val="0000ff"/>
                <w:sz w:val="24"/>
                <w:szCs w:val="20"/>
                <w:u w:val="single"/>
                <w:lang w:val="en-US" w:eastAsia="zh-CN"/>
              </w:rPr>
              <w:t xml:space="preserve">不少于三</w:t>
            </w:r>
            <w:r>
              <w:rPr>
                <w:rFonts w:hint="eastAsia" w:ascii="宋体" w:hAnsi="宋体" w:eastAsia="宋体" w:cs="宋体"/>
                <w:color w:val="0000ff"/>
                <w:sz w:val="24"/>
                <w:szCs w:val="20"/>
              </w:rPr>
              <w:t xml:space="preserve">年</w:t>
            </w:r>
            <w:r>
              <w:rPr>
                <w:rStyle w:val="737"/>
                <w:rFonts w:hint="eastAsia" w:ascii="Segoe UI" w:hAnsi="Segoe UI" w:eastAsia="Segoe UI" w:cs="Segoe UI"/>
                <w:b/>
                <w:bCs/>
                <w:i w:val="0"/>
                <w:iCs w:val="0"/>
                <w:caps w:val="0"/>
                <w:color w:val="0f1115"/>
                <w:spacing w:val="0"/>
                <w:sz w:val="24"/>
                <w:szCs w:val="24"/>
                <w:shd w:val="clear" w:color="auto" w:fill="ffffff"/>
              </w:rPr>
              <w:t xml:space="preserve">（由中标供应商在投标文件中承诺并填写）</w:t>
            </w:r>
            <w:r>
              <w:rPr>
                <w:rFonts w:hint="eastAsia" w:ascii="宋体" w:hAnsi="宋体" w:eastAsia="宋体" w:cs="宋体"/>
                <w:color w:val="0000ff"/>
                <w:sz w:val="24"/>
                <w:szCs w:val="20"/>
              </w:rPr>
              <w:t xml:space="preserve">。（自交货验收合格之日起计），因人为因素出现的故障不在免费保修范围内。超过保修期的机器设备，终生维修，维修时只收部件成本费。</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第8.2（3）项</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货物质量缺陷</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响应时间</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如在使用过程中发生质量问题，乙方在接到甲方通知后在</w:t>
            </w:r>
            <w:r>
              <w:rPr>
                <w:rFonts w:hint="eastAsia" w:ascii="宋体" w:hAnsi="宋体" w:eastAsia="宋体" w:cs="宋体"/>
                <w:color w:val="auto"/>
                <w:sz w:val="24"/>
                <w:szCs w:val="20"/>
                <w:u w:val="none"/>
              </w:rPr>
              <w:t xml:space="preserve">8</w:t>
            </w:r>
            <w:r>
              <w:rPr>
                <w:rFonts w:hint="eastAsia" w:ascii="宋体" w:hAnsi="宋体" w:eastAsia="宋体" w:cs="宋体"/>
                <w:color w:val="auto"/>
                <w:sz w:val="24"/>
                <w:szCs w:val="20"/>
              </w:rPr>
              <w:t xml:space="preserve">小时内到达甲方现场。</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第8款补充</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质量保证要求</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rPr>
              <w:t xml:space="preserve">1. 在质保期内，乙方应对货物出现的质量及安全问题负责处理解决并承担一切费用</w:t>
            </w:r>
            <w:r>
              <w:rPr>
                <w:rFonts w:hint="eastAsia" w:ascii="宋体" w:hAnsi="宋体" w:eastAsia="宋体" w:cs="宋体"/>
                <w:color w:val="auto"/>
                <w:sz w:val="24"/>
                <w:szCs w:val="20"/>
                <w:highlight w:val="none"/>
              </w:rPr>
              <w:t xml:space="preserve">（因甲方不当使用的除外）。</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2.乙方应按照国家有关法律法规规章和“三包”规定以及招标文件售后服务要求及投标文件售后服务承诺提供售后服务。</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3.所有货物保修服务方式均为乙方上门保修，由乙方派员到货物使用现场维修，所产生的一切费用由乙方承担。</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stheme="minorBidi"/>
                <w:color w:val="auto"/>
                <w:sz w:val="24"/>
              </w:rPr>
              <w:suppressLineNumbers w:val="0"/>
            </w:pPr>
            <w:r>
              <w:rPr>
                <w:rFonts w:hint="eastAsia" w:ascii="宋体" w:hAnsi="宋体" w:cstheme="minorBidi"/>
                <w:color w:val="auto"/>
                <w:sz w:val="24"/>
              </w:rPr>
              <w:t xml:space="preserve">第二节</w:t>
            </w:r>
            <w:r/>
          </w:p>
          <w:p>
            <w:pPr>
              <w:ind w:left="0" w:right="0"/>
              <w:jc w:val="center"/>
              <w:keepLines w:val="0"/>
              <w:keepNext w:val="0"/>
              <w:spacing w:before="0" w:beforeAutospacing="0" w:after="0" w:afterAutospacing="0" w:line="240" w:lineRule="auto"/>
              <w:widowControl/>
              <w:rPr>
                <w:rFonts w:hint="eastAsia" w:ascii="宋体" w:hAnsi="宋体" w:eastAsiaTheme="minorEastAsia" w:cstheme="minorBidi"/>
                <w:color w:val="auto"/>
                <w:sz w:val="24"/>
              </w:rPr>
              <w:suppressLineNumbers w:val="0"/>
            </w:pPr>
            <w:r>
              <w:rPr>
                <w:rFonts w:hint="eastAsia" w:ascii="宋体" w:hAnsi="宋体" w:cstheme="minorBidi"/>
                <w:color w:val="auto"/>
                <w:sz w:val="24"/>
              </w:rPr>
              <w:t xml:space="preserve">第11.1款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其他应当保密的信息</w:t>
            </w:r>
            <w:r/>
          </w:p>
        </w:tc>
        <w:tc>
          <w:tcPr>
            <w:tcW w:w="5991" w:type="dxa"/>
            <w:vAlign w:val="center"/>
            <w:textDirection w:val="lrTb"/>
            <w:noWrap w:val="false"/>
          </w:tcPr>
          <w:p>
            <w:pPr>
              <w:ind w:left="0" w:right="0"/>
              <w:jc w:val="left"/>
              <w:keepLines w:val="0"/>
              <w:keepNext w:val="0"/>
              <w:spacing w:before="0" w:beforeAutospacing="0" w:after="0" w:afterAutospacing="0"/>
              <w:rPr>
                <w:rFonts w:hint="eastAsia" w:ascii="宋体" w:hAnsi="宋体" w:eastAsiaTheme="minorEastAsia"/>
                <w:color w:val="auto"/>
                <w:sz w:val="24"/>
                <w:lang w:val="en-US" w:eastAsia="zh-CN"/>
              </w:rPr>
              <w:suppressLineNumbers w:val="0"/>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第12.2款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highlight w:val="none"/>
              </w:rPr>
              <w:suppressLineNumbers w:val="0"/>
            </w:pPr>
            <w:r>
              <w:rPr>
                <w:rFonts w:hint="eastAsia" w:ascii="宋体" w:hAnsi="宋体"/>
                <w:color w:val="auto"/>
                <w:sz w:val="24"/>
              </w:rPr>
              <w:t xml:space="preserve">合同价款支付时</w:t>
            </w:r>
            <w:r>
              <w:rPr>
                <w:rFonts w:hint="eastAsia" w:ascii="宋体" w:hAnsi="宋体"/>
                <w:color w:val="auto"/>
                <w:sz w:val="24"/>
                <w:highlight w:val="none"/>
              </w:rPr>
              <w:t xml:space="preserve">间及要求</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rPr>
              <w:t xml:space="preserve">1.合同款</w:t>
            </w:r>
            <w:r>
              <w:rPr>
                <w:rFonts w:hint="eastAsia" w:ascii="宋体" w:hAnsi="宋体" w:eastAsia="宋体" w:cs="宋体"/>
                <w:color w:val="auto"/>
                <w:sz w:val="24"/>
                <w:szCs w:val="20"/>
                <w:highlight w:val="none"/>
              </w:rPr>
              <w:t xml:space="preserve">项的支付方式及进度安排：</w:t>
            </w:r>
            <w:r/>
          </w:p>
          <w:p>
            <w:pPr>
              <w:numPr>
                <w:ilvl w:val="0"/>
                <w:numId w:val="6"/>
              </w:numPr>
              <w:ind w:left="0" w:right="0" w:firstLine="480"/>
              <w:jc w:val="left"/>
              <w:keepLines w:val="0"/>
              <w:keepNext w:val="0"/>
              <w:spacing w:before="0" w:beforeAutospacing="0" w:after="0" w:afterAutospacing="0" w:line="560" w:lineRule="exact"/>
              <w:widowControl/>
              <w:rPr>
                <w:rFonts w:hint="eastAsia" w:ascii="宋体" w:hAnsi="宋体" w:eastAsia="宋体" w:cs="宋体"/>
                <w:color w:val="0000ff"/>
                <w:sz w:val="24"/>
                <w:szCs w:val="20"/>
                <w:u w:val="single"/>
              </w:rPr>
              <w:suppressLineNumbers w:val="0"/>
            </w:pPr>
            <w:r>
              <w:rPr>
                <w:rFonts w:hint="eastAsia" w:ascii="宋体" w:hAnsi="宋体" w:eastAsia="宋体" w:cs="宋体"/>
                <w:color w:val="0000ff"/>
                <w:sz w:val="24"/>
                <w:szCs w:val="20"/>
                <w:u w:val="single"/>
              </w:rPr>
              <w:t xml:space="preserve">预付款：合同签订生效并收到合规发票后10个工作日内，支付合同总价的30%；</w:t>
            </w:r>
            <w:r/>
          </w:p>
          <w:p>
            <w:pPr>
              <w:numPr>
                <w:ilvl w:val="0"/>
                <w:numId w:val="6"/>
              </w:numPr>
              <w:ind w:left="0" w:right="0" w:firstLine="480"/>
              <w:jc w:val="left"/>
              <w:keepLines w:val="0"/>
              <w:keepNext w:val="0"/>
              <w:spacing w:before="0" w:beforeAutospacing="0" w:after="0" w:afterAutospacing="0" w:line="560" w:lineRule="exact"/>
              <w:widowControl/>
              <w:rPr>
                <w:rFonts w:hint="eastAsia" w:ascii="宋体" w:hAnsi="宋体" w:eastAsia="宋体" w:cs="宋体"/>
                <w:color w:val="0000ff"/>
                <w:sz w:val="24"/>
                <w:szCs w:val="20"/>
                <w:u w:val="single"/>
              </w:rPr>
              <w:suppressLineNumbers w:val="0"/>
            </w:pPr>
            <w:r>
              <w:rPr>
                <w:rFonts w:hint="eastAsia" w:ascii="宋体" w:hAnsi="宋体" w:eastAsia="宋体" w:cs="宋体"/>
                <w:color w:val="0000ff"/>
                <w:sz w:val="24"/>
                <w:szCs w:val="20"/>
                <w:u w:val="single"/>
              </w:rPr>
              <w:t xml:space="preserve">进度款：货物安装调试完毕并初步验收合格后，收到合规发票后 10个工作日内，支付至合同总价的</w:t>
            </w:r>
            <w:r>
              <w:rPr>
                <w:rFonts w:hint="eastAsia" w:ascii="宋体" w:hAnsi="宋体" w:eastAsia="宋体" w:cs="宋体"/>
                <w:color w:val="0000ff"/>
                <w:sz w:val="24"/>
                <w:szCs w:val="20"/>
                <w:u w:val="single"/>
                <w:lang w:val="en-US" w:eastAsia="zh-CN"/>
              </w:rPr>
              <w:t xml:space="preserve">100</w:t>
            </w:r>
            <w:r>
              <w:rPr>
                <w:rFonts w:hint="eastAsia" w:ascii="宋体" w:hAnsi="宋体" w:eastAsia="宋体" w:cs="宋体"/>
                <w:color w:val="0000ff"/>
                <w:sz w:val="24"/>
                <w:szCs w:val="20"/>
                <w:u w:val="single"/>
              </w:rPr>
              <w:t xml:space="preserve">%；</w:t>
            </w:r>
            <w:r/>
          </w:p>
          <w:p>
            <w:pPr>
              <w:numPr>
                <w:ilvl w:val="0"/>
                <w:numId w:val="6"/>
              </w:numPr>
              <w:ind w:left="0" w:right="0" w:firstLine="480"/>
              <w:jc w:val="left"/>
              <w:keepLines w:val="0"/>
              <w:keepNext w:val="0"/>
              <w:spacing w:before="0" w:beforeAutospacing="0" w:after="0" w:afterAutospacing="0" w:line="560" w:lineRule="exact"/>
              <w:widowControl/>
              <w:rPr>
                <w:rFonts w:hint="eastAsia" w:ascii="宋体" w:hAnsi="宋体" w:eastAsia="宋体" w:cs="宋体"/>
                <w:color w:val="0000ff"/>
                <w:sz w:val="24"/>
                <w:szCs w:val="20"/>
                <w:u w:val="single"/>
              </w:rPr>
              <w:suppressLineNumbers w:val="0"/>
            </w:pPr>
            <w:r>
              <w:rPr>
                <w:rFonts w:hint="eastAsia" w:ascii="宋体" w:hAnsi="宋体" w:eastAsia="宋体" w:cs="宋体"/>
                <w:color w:val="0000ff"/>
                <w:sz w:val="24"/>
                <w:szCs w:val="20"/>
                <w:u w:val="single"/>
                <w:lang w:val="en-US" w:eastAsia="zh-CN"/>
              </w:rPr>
              <w:t xml:space="preserve">如合同履约，出现不可抗力等特殊情况，由双方自行协商解决</w:t>
            </w:r>
            <w:r>
              <w:rPr>
                <w:rFonts w:hint="eastAsia" w:ascii="宋体" w:hAnsi="宋体" w:eastAsia="宋体" w:cs="宋体"/>
                <w:color w:val="0000ff"/>
                <w:sz w:val="24"/>
                <w:szCs w:val="20"/>
                <w:u w:val="single"/>
              </w:rPr>
              <w:t xml:space="preserve">。</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(1) 发票；</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(2) 制造厂家出具的质量检验证书等；</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(3) 装箱单；</w:t>
            </w:r>
            <w:r/>
          </w:p>
          <w:p>
            <w:pPr>
              <w:numPr>
                <w:ilvl w:val="0"/>
                <w:numId w:val="0"/>
              </w:numPr>
              <w:ind w:left="0" w:right="0" w:firstLine="482"/>
              <w:jc w:val="left"/>
              <w:keepLines w:val="0"/>
              <w:keepNext w:val="0"/>
              <w:spacing w:before="0" w:beforeAutospacing="0" w:after="0" w:afterAutospacing="0" w:line="560" w:lineRule="exact"/>
              <w:widowControl/>
              <w:rPr>
                <w:rFonts w:hint="eastAsia"/>
                <w:color w:val="auto"/>
                <w:sz w:val="24"/>
              </w:rPr>
              <w:suppressLineNumbers w:val="0"/>
            </w:pPr>
            <w:r>
              <w:rPr>
                <w:rFonts w:hint="eastAsia" w:ascii="宋体" w:hAnsi="宋体" w:eastAsia="宋体" w:cs="宋体"/>
                <w:color w:val="auto"/>
                <w:sz w:val="24"/>
                <w:szCs w:val="20"/>
              </w:rPr>
              <w:t xml:space="preserve">(4) 甲方加盖公章证明交付使用合格的验收单。</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第13.2款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履约保证金不予退还的情形</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除不可抗力情况外，投标人出现下列情形之一的，其履约保证金，招标人将视情节决定不予退还或部分不予退还。</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（1）中标人无正当理由拒绝签订合同的，或者在签订合同时向采购人提出附加条件或者更改合同实质性内容要求的；</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（2）中标人不履行与采购人订立的合同的；</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（3）中标人所供货物或服务不符合招标文件规定要求的；</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（4）中标人采取欺骗、弄虚作假方式投标的或与其它投标人串通投标的；</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（5）中标人将合同内容转包、违法分包的；</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（6）中标人故意捏造事实或伪造证明材料，进行虚假恶意投诉或反映的。</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第13.3款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stheme="minorBidi"/>
                <w:color w:val="auto"/>
                <w:sz w:val="24"/>
              </w:rPr>
              <w:suppressLineNumbers w:val="0"/>
            </w:pPr>
            <w:r>
              <w:rPr>
                <w:rFonts w:hint="eastAsia" w:ascii="宋体" w:hAnsi="宋体" w:cstheme="minorBidi"/>
                <w:color w:val="auto"/>
                <w:sz w:val="24"/>
              </w:rPr>
              <w:t xml:space="preserve">履约保证金退还时间及逾期退还的违约金</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1、合同履行结束后，甲方应及时退还交纳的履约保证金。</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2、退还方式：无息退还至投标人缴纳履约保证金的账户。如为保函，在到期时自行失效。</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rPr>
              <w:t xml:space="preserve">3、退还时间：</w:t>
            </w:r>
            <w:r>
              <w:rPr>
                <w:rFonts w:hint="eastAsia" w:ascii="宋体" w:hAnsi="宋体" w:eastAsia="宋体" w:cs="宋体"/>
                <w:color w:val="auto"/>
                <w:sz w:val="24"/>
                <w:szCs w:val="20"/>
                <w:highlight w:val="none"/>
              </w:rPr>
              <w:t xml:space="preserve">验收合格且甲方收到发票后30日内。</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4、退还条件：按合同要求全部履约完成并经采购人验收合格，且采购人收到中标人出具的发票。</w:t>
            </w:r>
            <w:r/>
          </w:p>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第14.1（3）项</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运行监督、维修期限</w:t>
            </w:r>
            <w:r/>
          </w:p>
        </w:tc>
        <w:tc>
          <w:tcPr>
            <w:tcW w:w="5991" w:type="dxa"/>
            <w:vAlign w:val="center"/>
            <w:textDirection w:val="lrTb"/>
            <w:noWrap w:val="false"/>
          </w:tcPr>
          <w:p>
            <w:pPr>
              <w:numPr>
                <w:ilvl w:val="0"/>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上述的货物免费保修期为</w:t>
            </w:r>
            <w:r>
              <w:rPr>
                <w:rFonts w:hint="eastAsia" w:ascii="宋体" w:hAnsi="宋体" w:eastAsia="宋体" w:cs="宋体"/>
                <w:sz w:val="24"/>
                <w:szCs w:val="20"/>
                <w:u w:val="single"/>
                <w:lang w:val="en-US" w:eastAsia="zh-CN"/>
              </w:rPr>
              <w:t xml:space="preserve"> 不少于三 </w:t>
            </w:r>
            <w:r>
              <w:rPr>
                <w:rFonts w:hint="eastAsia" w:ascii="宋体" w:hAnsi="宋体" w:eastAsia="宋体" w:cs="宋体"/>
                <w:color w:val="auto"/>
                <w:sz w:val="24"/>
                <w:szCs w:val="20"/>
              </w:rPr>
              <w:t xml:space="preserve">年，在质保期内，乙方应对货物出现的质量及安全问题负责处理解决并承担一切费用。</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第14.1（5）项</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货物回收的约定</w:t>
            </w:r>
            <w:r/>
          </w:p>
        </w:tc>
        <w:tc>
          <w:tcPr>
            <w:tcW w:w="5991" w:type="dxa"/>
            <w:vAlign w:val="center"/>
            <w:textDirection w:val="lrTb"/>
            <w:noWrap w:val="false"/>
          </w:tcPr>
          <w:p>
            <w:pPr>
              <w:ind w:left="0" w:right="0"/>
              <w:jc w:val="left"/>
              <w:keepLines w:val="0"/>
              <w:keepNext w:val="0"/>
              <w:spacing w:before="0" w:beforeAutospacing="0" w:after="0" w:afterAutospacing="0"/>
              <w:rPr>
                <w:rFonts w:hint="eastAsia" w:ascii="宋体" w:hAnsi="宋体" w:eastAsiaTheme="minorEastAsia"/>
                <w:color w:val="auto"/>
                <w:sz w:val="24"/>
                <w:lang w:val="en-US" w:eastAsia="zh-CN"/>
              </w:rPr>
              <w:suppressLineNumbers w:val="0"/>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第14.1（6）项</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乙方提供的其他服务</w:t>
            </w:r>
            <w:r/>
          </w:p>
        </w:tc>
        <w:tc>
          <w:tcPr>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超过保修期的货物，终生维修，维修时只收部件成本费。</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第15.1款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highlight w:val="none"/>
              </w:rPr>
              <w:suppressLineNumbers w:val="0"/>
            </w:pPr>
            <w:r>
              <w:rPr>
                <w:rFonts w:hint="eastAsia" w:ascii="宋体" w:hAnsi="宋体"/>
                <w:color w:val="auto"/>
                <w:sz w:val="24"/>
                <w:highlight w:val="none"/>
              </w:rPr>
              <w:t xml:space="preserve">修理、重作、更换相关具体规定</w:t>
            </w:r>
            <w:r/>
          </w:p>
        </w:tc>
        <w:tc>
          <w:tcPr>
            <w:tcW w:w="5991" w:type="dxa"/>
            <w:vAlign w:val="center"/>
            <w:textDirection w:val="lrTb"/>
            <w:noWrap w:val="false"/>
          </w:tcPr>
          <w:p>
            <w:pPr>
              <w:numPr>
                <w:ilvl w:val="-1"/>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详见合同通用条款8.2条款、合同专用条款第二节第8款补充条款及合同专用条款中索赔条款。</w:t>
            </w:r>
            <w:r/>
          </w:p>
          <w:p>
            <w:pPr>
              <w:numPr>
                <w:ilvl w:val="-1"/>
                <w:numId w:val="0"/>
              </w:num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第15.2（2）项</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迟延交货赔偿费</w:t>
            </w:r>
            <w:r/>
          </w:p>
        </w:tc>
        <w:tc>
          <w:tcPr>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1.乙方应按照“开标（报价）一览表”中规定的交货期或承诺交货和提供服务，并交付甲方验收使用。</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2.如果乙方无正当理由拖延交货，将受到以下制裁：加收误期赔偿或终止合同。</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3. 乙方逾期交付货物的，乙方应按逾期交货总额每日</w:t>
            </w:r>
            <w:r>
              <w:rPr>
                <w:rFonts w:hint="eastAsia" w:ascii="宋体" w:hAnsi="宋体" w:eastAsia="宋体" w:cs="宋体"/>
                <w:color w:val="auto"/>
                <w:sz w:val="24"/>
                <w:szCs w:val="20"/>
                <w:highlight w:val="none"/>
                <w:u w:val="single"/>
              </w:rPr>
              <w:t xml:space="preserve">6‰ </w:t>
            </w:r>
            <w:r>
              <w:rPr>
                <w:rFonts w:hint="eastAsia" w:ascii="宋体" w:hAnsi="宋体" w:eastAsia="宋体" w:cs="宋体"/>
                <w:color w:val="auto"/>
                <w:sz w:val="24"/>
                <w:szCs w:val="20"/>
                <w:highlight w:val="none"/>
              </w:rPr>
              <w:t xml:space="preserve">向甲方支付违约金，由甲方从待付货款中扣除。逾期超过约定日期</w:t>
            </w:r>
            <w:r>
              <w:rPr>
                <w:rFonts w:hint="eastAsia" w:ascii="宋体" w:hAnsi="宋体" w:eastAsia="宋体" w:cs="宋体"/>
                <w:color w:val="auto"/>
                <w:sz w:val="24"/>
                <w:szCs w:val="20"/>
                <w:highlight w:val="none"/>
                <w:u w:val="none"/>
              </w:rPr>
              <w:t xml:space="preserve"> 10 </w:t>
            </w:r>
            <w:r>
              <w:rPr>
                <w:rFonts w:hint="eastAsia" w:ascii="宋体" w:hAnsi="宋体" w:eastAsia="宋体" w:cs="宋体"/>
                <w:color w:val="auto"/>
                <w:sz w:val="24"/>
                <w:szCs w:val="20"/>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0"/>
                <w:highlight w:val="none"/>
                <w:u w:val="single"/>
              </w:rPr>
              <w:t xml:space="preserve">5% </w:t>
            </w:r>
            <w:r>
              <w:rPr>
                <w:rFonts w:hint="eastAsia" w:ascii="宋体" w:hAnsi="宋体" w:eastAsia="宋体" w:cs="宋体"/>
                <w:color w:val="auto"/>
                <w:sz w:val="24"/>
                <w:szCs w:val="20"/>
                <w:highlight w:val="none"/>
              </w:rPr>
              <w:t xml:space="preserve">的违约金，如造成甲方损失超过违约金的，超出部分由乙方继续承担赔偿责任。 </w:t>
            </w:r>
            <w:r/>
          </w:p>
          <w:p>
            <w:pPr>
              <w:ind w:left="0" w:right="0" w:firstLine="482"/>
              <w:jc w:val="left"/>
              <w:keepLines w:val="0"/>
              <w:keepNext w:val="0"/>
              <w:spacing w:before="0" w:beforeAutospacing="0" w:after="0" w:afterAutospacing="0" w:line="560" w:lineRule="exact"/>
              <w:widowControl/>
              <w:rPr>
                <w:rFonts w:hint="eastAsia" w:ascii="宋体" w:hAnsi="宋体"/>
                <w:color w:val="auto"/>
                <w:sz w:val="24"/>
                <w:highlight w:val="white"/>
                <w:u w:val="single"/>
              </w:rPr>
              <w:suppressLineNumbers w:val="0"/>
            </w:pPr>
            <w:r>
              <w:rPr>
                <w:rFonts w:hint="eastAsia" w:ascii="宋体" w:hAnsi="宋体" w:eastAsia="宋体" w:cs="宋体"/>
                <w:color w:val="auto"/>
                <w:sz w:val="24"/>
                <w:szCs w:val="20"/>
                <w:highlight w:val="none"/>
              </w:rPr>
              <w:t xml:space="preserve">4.如乙方不能交付货物，或者有违法转包他人情形，乙方应向甲方支付合同总价</w:t>
            </w:r>
            <w:r>
              <w:rPr>
                <w:rFonts w:hint="eastAsia" w:ascii="宋体" w:hAnsi="宋体" w:eastAsia="宋体" w:cs="宋体"/>
                <w:color w:val="auto"/>
                <w:sz w:val="24"/>
                <w:szCs w:val="20"/>
                <w:highlight w:val="none"/>
                <w:u w:val="single"/>
              </w:rPr>
              <w:t xml:space="preserve"> 5% </w:t>
            </w:r>
            <w:r>
              <w:rPr>
                <w:rFonts w:hint="eastAsia" w:ascii="宋体" w:hAnsi="宋体" w:eastAsia="宋体" w:cs="宋体"/>
                <w:color w:val="auto"/>
                <w:sz w:val="24"/>
                <w:szCs w:val="20"/>
                <w:highlight w:val="none"/>
              </w:rPr>
              <w:t xml:space="preserve">的滞纳金。</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第15.3款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逾期付款利息</w:t>
            </w:r>
            <w:r/>
          </w:p>
        </w:tc>
        <w:tc>
          <w:tcPr>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1.甲方无正当理由拒收货物的，甲方向乙方偿付拒收货款总值5%的违约金。</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white"/>
                <w:u w:val="none"/>
              </w:rPr>
              <w:suppressLineNumbers w:val="0"/>
            </w:pPr>
            <w:r>
              <w:rPr>
                <w:rFonts w:hint="eastAsia" w:ascii="宋体" w:hAnsi="宋体" w:eastAsia="宋体" w:cs="宋体"/>
                <w:color w:val="auto"/>
                <w:sz w:val="24"/>
                <w:szCs w:val="20"/>
                <w:highlight w:val="none"/>
              </w:rPr>
              <w:t xml:space="preserve">2.甲方无故逾期验收和办理货款支付手续的,甲方应按逾期付款总额每日5‰向乙方支付违约金。</w:t>
            </w:r>
            <w:r/>
          </w:p>
        </w:tc>
      </w:tr>
      <w:tr>
        <w:trPr>
          <w:jc w:val="center"/>
          <w:trHeight w:val="0"/>
        </w:trPr>
        <w:tc>
          <w:tcPr>
            <w:tcBorders>
              <w:bottom w:val="single" w:color="000000" w:sz="2" w:space="0"/>
              <w:right w:val="single" w:color="000000" w:sz="2" w:space="0"/>
            </w:tcBorders>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第15.4款</w:t>
            </w:r>
            <w:r/>
          </w:p>
        </w:tc>
        <w:tc>
          <w:tcPr>
            <w:tcBorders>
              <w:left w:val="single" w:color="000000" w:sz="2" w:space="0"/>
              <w:bottom w:val="single" w:color="000000" w:sz="2" w:space="0"/>
              <w:right w:val="single" w:color="000000" w:sz="2" w:space="0"/>
            </w:tcBorders>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其他违约责任</w:t>
            </w:r>
            <w:r/>
          </w:p>
        </w:tc>
        <w:tc>
          <w:tcPr>
            <w:tcBorders>
              <w:left w:val="single" w:color="000000" w:sz="2" w:space="0"/>
              <w:bottom w:val="single" w:color="000000" w:sz="2" w:space="0"/>
            </w:tcBorders>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u w:val="none"/>
              </w:rPr>
              <w:suppressLineNumbers w:val="0"/>
            </w:pPr>
            <w:r>
              <w:rPr>
                <w:rFonts w:hint="eastAsia" w:ascii="宋体" w:hAnsi="宋体" w:eastAsia="宋体" w:cs="宋体"/>
                <w:color w:val="auto"/>
                <w:sz w:val="24"/>
                <w:szCs w:val="20"/>
                <w:highlight w:val="none"/>
              </w:rPr>
              <w:t xml:space="preserve">乙方交付合同标的的标准不符合合同规定及招标文件规定标准的，甲方有权拒绝接受合同标的，并可单方面解除合同。</w:t>
            </w:r>
            <w:r/>
          </w:p>
        </w:tc>
      </w:tr>
      <w:tr>
        <w:trPr>
          <w:jc w:val="center"/>
          <w:trHeight w:val="0"/>
        </w:trPr>
        <w:tc>
          <w:tcPr>
            <w:tcBorders>
              <w:top w:val="single" w:color="000000" w:sz="2" w:space="0"/>
              <w:right w:val="single" w:color="000000" w:sz="2" w:space="0"/>
            </w:tcBorders>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第19.2款</w:t>
            </w:r>
            <w:r/>
          </w:p>
        </w:tc>
        <w:tc>
          <w:tcPr>
            <w:tcBorders>
              <w:top w:val="single" w:color="000000" w:sz="2" w:space="0"/>
              <w:left w:val="single" w:color="000000" w:sz="2" w:space="0"/>
              <w:right w:val="single" w:color="000000" w:sz="2" w:space="0"/>
            </w:tcBorders>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解决争议的方法</w:t>
            </w:r>
            <w:r/>
          </w:p>
        </w:tc>
        <w:tc>
          <w:tcPr>
            <w:tcBorders>
              <w:top w:val="single" w:color="000000" w:sz="2" w:space="0"/>
              <w:left w:val="single" w:color="000000" w:sz="2" w:space="0"/>
            </w:tcBorders>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1.因本合同及合同有关事项发生的争议，由双方协商解决，协商不成时，按下列第</w:t>
            </w:r>
            <w:r>
              <w:rPr>
                <w:rFonts w:hint="eastAsia" w:ascii="宋体" w:hAnsi="宋体" w:eastAsia="宋体" w:cs="宋体"/>
                <w:color w:val="auto"/>
                <w:sz w:val="24"/>
                <w:szCs w:val="20"/>
                <w:highlight w:val="none"/>
                <w:u w:val="single"/>
              </w:rPr>
              <w:t xml:space="preserve"> 2 </w:t>
            </w:r>
            <w:r>
              <w:rPr>
                <w:rFonts w:hint="eastAsia" w:ascii="宋体" w:hAnsi="宋体" w:eastAsia="宋体" w:cs="宋体"/>
                <w:color w:val="auto"/>
                <w:sz w:val="24"/>
                <w:szCs w:val="20"/>
                <w:highlight w:val="none"/>
              </w:rPr>
              <w:t xml:space="preserve">种方式解决：</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（1）向仲裁委员会申请仲裁，仲裁地点为</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rPr>
              <w:t xml:space="preserve">；</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（2）向甲方所在地人民法院起诉。</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2. 纠纷解决办法</w:t>
            </w:r>
            <w:r/>
          </w:p>
          <w:p>
            <w:pPr>
              <w:ind w:left="0" w:right="0" w:firstLine="482"/>
              <w:jc w:val="left"/>
              <w:keepLines w:val="0"/>
              <w:keepNext w:val="0"/>
              <w:spacing w:before="0" w:beforeAutospacing="0" w:after="0" w:afterAutospacing="0" w:line="560" w:lineRule="exact"/>
              <w:widowControl/>
              <w:rPr>
                <w:rFonts w:hint="eastAsia" w:ascii="宋体" w:hAnsi="宋体"/>
                <w:color w:val="auto"/>
                <w:sz w:val="24"/>
                <w:highlight w:val="white"/>
              </w:rPr>
              <w:suppressLineNumbers w:val="0"/>
            </w:pPr>
            <w:r>
              <w:rPr>
                <w:rFonts w:hint="eastAsia" w:ascii="宋体" w:hAnsi="宋体" w:eastAsia="宋体" w:cs="宋体"/>
                <w:color w:val="auto"/>
                <w:sz w:val="24"/>
                <w:szCs w:val="20"/>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第二节</w:t>
            </w:r>
            <w:r/>
          </w:p>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第23.1款</w:t>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bCs w:val="0"/>
                <w:color w:val="auto"/>
                <w:sz w:val="24"/>
              </w:rPr>
              <w:t xml:space="preserve">其他专用条款</w:t>
            </w:r>
            <w:r/>
          </w:p>
        </w:tc>
        <w:tc>
          <w:tcPr>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3.验收不合格的货物，乙方应在</w:t>
            </w:r>
            <w:r>
              <w:rPr>
                <w:rFonts w:hint="eastAsia" w:ascii="宋体" w:hAnsi="宋体" w:eastAsia="宋体" w:cs="宋体"/>
                <w:color w:val="auto"/>
                <w:sz w:val="24"/>
                <w:szCs w:val="20"/>
                <w:highlight w:val="none"/>
                <w:u w:val="single"/>
              </w:rPr>
              <w:t xml:space="preserve">三个工作日</w:t>
            </w:r>
            <w:r>
              <w:rPr>
                <w:rFonts w:hint="eastAsia" w:ascii="宋体" w:hAnsi="宋体" w:eastAsia="宋体" w:cs="宋体"/>
                <w:color w:val="auto"/>
                <w:sz w:val="24"/>
                <w:szCs w:val="20"/>
                <w:highlight w:val="none"/>
              </w:rPr>
              <w:t xml:space="preserve">内予以更换，逾期按交货延误予以处罚。乙方所交付的货物品种、型号、规格不符合合同规定的，甲方有权拒收。甲方拒收的，乙方向甲方支付货款总额</w:t>
            </w:r>
            <w:r>
              <w:rPr>
                <w:rFonts w:hint="eastAsia" w:ascii="宋体" w:hAnsi="宋体" w:eastAsia="宋体" w:cs="宋体"/>
                <w:sz w:val="24"/>
                <w:szCs w:val="20"/>
                <w:u w:val="single"/>
                <w:lang w:val="en-US" w:eastAsia="zh-CN"/>
              </w:rPr>
              <w:t xml:space="preserve">  </w:t>
            </w:r>
            <w:r>
              <w:rPr>
                <w:rFonts w:hint="eastAsia" w:ascii="宋体" w:hAnsi="宋体" w:eastAsia="宋体" w:cs="宋体"/>
                <w:color w:val="auto"/>
                <w:sz w:val="24"/>
                <w:szCs w:val="20"/>
                <w:highlight w:val="none"/>
                <w:u w:val="single"/>
              </w:rPr>
              <w:t xml:space="preserve">5</w:t>
            </w:r>
            <w:r>
              <w:rPr>
                <w:rFonts w:hint="eastAsia" w:ascii="宋体" w:hAnsi="宋体" w:eastAsia="宋体" w:cs="宋体"/>
                <w:sz w:val="24"/>
                <w:szCs w:val="20"/>
                <w:u w:val="single"/>
                <w:lang w:val="en-US" w:eastAsia="zh-CN"/>
              </w:rPr>
              <w:t xml:space="preserve"> </w:t>
            </w:r>
            <w:r>
              <w:rPr>
                <w:rFonts w:hint="eastAsia" w:ascii="宋体" w:hAnsi="宋体" w:eastAsia="宋体" w:cs="宋体"/>
                <w:color w:val="auto"/>
                <w:sz w:val="24"/>
                <w:szCs w:val="20"/>
                <w:highlight w:val="none"/>
                <w:u w:val="single"/>
              </w:rPr>
              <w:t xml:space="preserve">%</w:t>
            </w:r>
            <w:r>
              <w:rPr>
                <w:rFonts w:hint="eastAsia" w:ascii="宋体" w:hAnsi="宋体" w:eastAsia="宋体" w:cs="宋体"/>
                <w:color w:val="auto"/>
                <w:sz w:val="24"/>
                <w:szCs w:val="20"/>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4.货物验收要求</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（1）依照招标文件要求对全部货物、型号、规格、数量、外型、外观、包装及资料、文件（如装箱单、保修单、随箱介质等）进行验收。</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（2）甲方与乙方对货物到货后共同进行开箱检查，出现损坏、数量不全或产品不对等问题时，由乙方负责解决。</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（3）甲方有权从乙方所送货物中任意抽出不同型号的产品送采购人所在地的质检部门检验，如果检验合格，检验费由甲方负担；如果检验不合格，则检验费由乙方负担。</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（4）乙方应按照本合同规定的时间、地点和方式向乙方交付货物。</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0000ff"/>
                <w:sz w:val="24"/>
                <w:szCs w:val="20"/>
                <w:highlight w:val="none"/>
                <w:u w:val="single"/>
                <w:lang w:eastAsia="zh-CN"/>
              </w:rPr>
              <w:suppressLineNumbers w:val="0"/>
            </w:pPr>
            <w:r>
              <w:rPr>
                <w:rFonts w:hint="eastAsia" w:ascii="宋体" w:hAnsi="宋体" w:eastAsia="宋体" w:cs="宋体"/>
                <w:color w:val="auto"/>
                <w:sz w:val="24"/>
                <w:szCs w:val="20"/>
                <w:highlight w:val="none"/>
              </w:rPr>
              <w:t xml:space="preserve">交货时间：</w:t>
            </w:r>
            <w:r>
              <w:rPr>
                <w:rFonts w:hint="eastAsia" w:ascii="宋体" w:hAnsi="宋体" w:eastAsia="宋体" w:cs="宋体"/>
                <w:color w:val="0000ff"/>
                <w:sz w:val="24"/>
                <w:szCs w:val="20"/>
                <w:highlight w:val="none"/>
                <w:u w:val="single"/>
              </w:rPr>
              <w:t xml:space="preserve">合同生效后60个日历天（此期限不包括采购人验收时间），供应商应在此期限内完成全部货物的交付、安装与调试</w:t>
            </w:r>
            <w:r>
              <w:rPr>
                <w:rFonts w:hint="eastAsia" w:ascii="宋体" w:hAnsi="宋体" w:eastAsia="宋体" w:cs="宋体"/>
                <w:color w:val="0000ff"/>
                <w:sz w:val="24"/>
                <w:szCs w:val="20"/>
                <w:highlight w:val="none"/>
                <w:u w:val="single"/>
                <w:lang w:eastAsia="zh-CN"/>
              </w:rPr>
              <w:t xml:space="preserve">。</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0000ff"/>
                <w:sz w:val="24"/>
                <w:szCs w:val="20"/>
                <w:highlight w:val="none"/>
                <w:u w:val="single"/>
              </w:rPr>
              <w:suppressLineNumbers w:val="0"/>
            </w:pPr>
            <w:r>
              <w:rPr>
                <w:rFonts w:hint="eastAsia" w:ascii="宋体" w:hAnsi="宋体" w:eastAsia="宋体" w:cs="宋体"/>
                <w:color w:val="0000ff"/>
                <w:sz w:val="24"/>
                <w:szCs w:val="20"/>
                <w:highlight w:val="none"/>
                <w:u w:val="single"/>
                <w:lang w:val="en-US" w:eastAsia="zh-CN"/>
              </w:rPr>
              <w:t xml:space="preserve">注：</w:t>
            </w:r>
            <w:r>
              <w:rPr>
                <w:rFonts w:hint="eastAsia" w:ascii="宋体" w:hAnsi="宋体" w:eastAsia="宋体" w:cs="宋体"/>
                <w:color w:val="0000ff"/>
                <w:sz w:val="24"/>
                <w:szCs w:val="20"/>
                <w:highlight w:val="none"/>
                <w:u w:val="single"/>
              </w:rPr>
              <w:t xml:space="preserve">若因不可抗力（需提供县级及以上相关部门出具的不可抗力证明）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交货地点：</w:t>
            </w:r>
            <w:r>
              <w:rPr>
                <w:rFonts w:hint="eastAsia" w:ascii="宋体" w:hAnsi="宋体" w:eastAsia="宋体" w:cs="宋体"/>
                <w:color w:val="auto"/>
                <w:sz w:val="24"/>
                <w:szCs w:val="20"/>
                <w:highlight w:val="none"/>
                <w:u w:val="single"/>
                <w:lang w:eastAsia="zh-CN"/>
              </w:rPr>
              <w:t xml:space="preserve">江苏省盐城技师学院</w:t>
            </w:r>
            <w:r>
              <w:rPr>
                <w:rFonts w:hint="eastAsia" w:ascii="宋体" w:hAnsi="宋体" w:eastAsia="宋体" w:cs="宋体"/>
                <w:color w:val="auto"/>
                <w:sz w:val="24"/>
                <w:szCs w:val="20"/>
                <w:highlight w:val="none"/>
                <w:u w:val="single"/>
              </w:rPr>
              <w:t xml:space="preserve">指定地点</w:t>
            </w:r>
            <w:r>
              <w:rPr>
                <w:rFonts w:hint="eastAsia" w:ascii="宋体" w:hAnsi="宋体" w:eastAsia="宋体" w:cs="宋体"/>
                <w:color w:val="auto"/>
                <w:sz w:val="24"/>
                <w:szCs w:val="20"/>
                <w:highlight w:val="none"/>
              </w:rPr>
              <w:t xml:space="preserve">。</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（5）甲方应在全部货物到货安装完毕后的</w:t>
            </w:r>
            <w:r>
              <w:rPr>
                <w:rFonts w:hint="eastAsia" w:ascii="宋体" w:hAnsi="宋体" w:eastAsia="宋体" w:cs="宋体"/>
                <w:color w:val="auto"/>
                <w:sz w:val="24"/>
                <w:szCs w:val="20"/>
                <w:highlight w:val="none"/>
                <w:u w:val="single"/>
              </w:rPr>
              <w:t xml:space="preserve">五个工作日</w:t>
            </w:r>
            <w:r>
              <w:rPr>
                <w:rFonts w:hint="eastAsia" w:ascii="宋体" w:hAnsi="宋体" w:eastAsia="宋体" w:cs="宋体"/>
                <w:color w:val="auto"/>
                <w:sz w:val="24"/>
                <w:szCs w:val="20"/>
                <w:highlight w:val="none"/>
              </w:rPr>
              <w:t xml:space="preserve">内进行验收，验收包括：型号、规格、数量、外观是否完好，安装调试是否合格等。验收合格后甲方应在验收报告上签字盖章，初步验收合格且</w:t>
            </w:r>
            <w:r>
              <w:rPr>
                <w:rFonts w:hint="eastAsia" w:ascii="宋体" w:hAnsi="宋体" w:eastAsia="宋体" w:cs="宋体"/>
                <w:color w:val="auto"/>
                <w:sz w:val="24"/>
                <w:szCs w:val="20"/>
                <w:highlight w:val="none"/>
                <w:lang w:val="en-US" w:eastAsia="zh-CN"/>
              </w:rPr>
              <w:t xml:space="preserve">按合同要求</w:t>
            </w:r>
            <w:r>
              <w:rPr>
                <w:rFonts w:hint="eastAsia" w:ascii="宋体" w:hAnsi="宋体" w:eastAsia="宋体" w:cs="宋体"/>
                <w:color w:val="auto"/>
                <w:sz w:val="24"/>
                <w:szCs w:val="20"/>
                <w:highlight w:val="none"/>
              </w:rPr>
              <w:t xml:space="preserve">项目运行</w:t>
            </w:r>
            <w:r>
              <w:rPr>
                <w:rFonts w:hint="eastAsia" w:ascii="宋体" w:hAnsi="宋体" w:eastAsia="宋体" w:cs="宋体"/>
                <w:color w:val="auto"/>
                <w:sz w:val="24"/>
                <w:szCs w:val="20"/>
                <w:highlight w:val="none"/>
                <w:lang w:val="en-US" w:eastAsia="zh-CN"/>
              </w:rPr>
              <w:t xml:space="preserve">期</w:t>
            </w:r>
            <w:r>
              <w:rPr>
                <w:rFonts w:hint="eastAsia" w:ascii="宋体" w:hAnsi="宋体" w:eastAsia="宋体" w:cs="宋体"/>
                <w:color w:val="auto"/>
                <w:sz w:val="24"/>
                <w:szCs w:val="20"/>
                <w:highlight w:val="none"/>
              </w:rPr>
              <w:t xml:space="preserve">满后，甲方组织对货物的质量及使用状况等进行最终验收。</w:t>
            </w:r>
            <w:r/>
          </w:p>
          <w:p>
            <w:pPr>
              <w:ind w:left="0" w:right="0" w:firstLine="482"/>
              <w:jc w:val="left"/>
              <w:keepLines w:val="0"/>
              <w:keepNext w:val="0"/>
              <w:spacing w:before="0" w:beforeAutospacing="0" w:after="0" w:afterAutospacing="0" w:line="560" w:lineRule="exact"/>
              <w:widowControl/>
              <w:rPr>
                <w:rFonts w:hint="eastAsia" w:ascii="宋体" w:hAnsi="宋体"/>
                <w:color w:val="auto"/>
                <w:sz w:val="24"/>
                <w:highlight w:val="white"/>
              </w:rPr>
              <w:suppressLineNumbers w:val="0"/>
            </w:pPr>
            <w:r>
              <w:rPr>
                <w:rFonts w:hint="eastAsia" w:ascii="宋体" w:hAnsi="宋体" w:eastAsia="宋体" w:cs="宋体"/>
                <w:color w:val="auto"/>
                <w:sz w:val="24"/>
                <w:szCs w:val="20"/>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供货时须提供所供货物的原厂合格</w:t>
            </w:r>
            <w:r>
              <w:rPr>
                <w:rFonts w:hint="eastAsia" w:ascii="宋体" w:hAnsi="宋体" w:eastAsia="宋体" w:cs="宋体"/>
                <w:color w:val="auto"/>
                <w:sz w:val="24"/>
                <w:szCs w:val="20"/>
              </w:rPr>
              <w:t xml:space="preserve">证明，否则将会被拒收；</w:t>
            </w:r>
            <w:r>
              <w:rPr>
                <w:rFonts w:hint="eastAsia" w:ascii="宋体" w:hAnsi="宋体" w:eastAsia="宋体" w:cs="宋体"/>
                <w:color w:val="auto"/>
                <w:sz w:val="24"/>
                <w:szCs w:val="20"/>
                <w:lang w:val="en-US" w:eastAsia="zh-CN"/>
              </w:rPr>
              <w:t xml:space="preserve">采购人有权</w:t>
            </w:r>
            <w:r>
              <w:rPr>
                <w:rFonts w:hint="eastAsia" w:ascii="宋体" w:hAnsi="宋体" w:eastAsia="宋体" w:cs="宋体"/>
                <w:color w:val="auto"/>
                <w:sz w:val="24"/>
                <w:szCs w:val="20"/>
              </w:rPr>
              <w:t xml:space="preserve">到货后的7日内组织对货物进行验收，</w:t>
            </w:r>
            <w:r>
              <w:rPr>
                <w:rFonts w:hint="eastAsia" w:ascii="宋体" w:hAnsi="宋体" w:eastAsia="宋体" w:cs="宋体"/>
                <w:color w:val="auto"/>
                <w:sz w:val="24"/>
                <w:szCs w:val="20"/>
                <w:lang w:val="en-US" w:eastAsia="zh-CN"/>
              </w:rPr>
              <w:t xml:space="preserve">采购人有权</w:t>
            </w:r>
            <w:r>
              <w:rPr>
                <w:rFonts w:hint="eastAsia" w:ascii="宋体" w:hAnsi="宋体" w:eastAsia="宋体" w:cs="宋体"/>
                <w:color w:val="auto"/>
                <w:sz w:val="24"/>
                <w:szCs w:val="20"/>
              </w:rPr>
              <w:t xml:space="preserve">每批次随机抽取两套送至具备资质的第三方检测机构进行检验、检测。检验、检测的各种参数和指标都要符合国家标准和采购文件要求。若第三方检测机构的检验、检测为不合格，必须无条件整改，对</w:t>
            </w:r>
            <w:r>
              <w:rPr>
                <w:rFonts w:hint="eastAsia" w:ascii="宋体" w:hAnsi="宋体" w:eastAsia="宋体" w:cs="宋体"/>
                <w:color w:val="auto"/>
                <w:sz w:val="24"/>
                <w:szCs w:val="20"/>
                <w:lang w:val="en-US" w:eastAsia="zh-CN"/>
              </w:rPr>
              <w:t xml:space="preserve">中标供应商</w:t>
            </w:r>
            <w:r>
              <w:rPr>
                <w:rFonts w:hint="eastAsia" w:ascii="宋体" w:hAnsi="宋体" w:eastAsia="宋体" w:cs="宋体"/>
                <w:color w:val="auto"/>
                <w:sz w:val="24"/>
                <w:szCs w:val="20"/>
              </w:rPr>
              <w:t xml:space="preserve">处以书面警告，并依据合同约定处以合同总价5%的违约金。该违约金系对采购人因此遭受的管理成本增加、风险扩大等损失的预先估算。若该违约金不足以弥补采购人因此遭受的全部实际损失（包括但不限于第三方检测费、工期延误损失等），</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rPr>
              <w:t xml:space="preserve">供应商应继续赔偿。并将有关结果报相关职能部门对所涉企业进行相关行政和刑事处罚</w:t>
            </w:r>
            <w:r>
              <w:rPr>
                <w:rFonts w:hint="eastAsia" w:ascii="宋体" w:hAnsi="宋体" w:eastAsia="宋体" w:cs="宋体"/>
                <w:color w:val="auto"/>
                <w:sz w:val="24"/>
                <w:szCs w:val="20"/>
                <w:lang w:eastAsia="zh-CN"/>
              </w:rPr>
              <w:t xml:space="preserve">。</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rPr>
              <w:suppressLineNumbers w:val="0"/>
            </w:pPr>
            <w:r>
              <w:rPr>
                <w:rFonts w:hint="eastAsia" w:ascii="宋体" w:hAnsi="宋体"/>
                <w:bCs/>
                <w:color w:val="auto"/>
                <w:sz w:val="24"/>
              </w:rPr>
              <w:t xml:space="preserve">税费</w:t>
            </w:r>
            <w:r/>
          </w:p>
        </w:tc>
        <w:tc>
          <w:tcPr>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1.中国政府根据现行税法规定对甲方征收的与本合同有关的一切税费均由甲方负担（免税部分除外），招标文件另有规定的除外。</w:t>
            </w:r>
            <w:r/>
          </w:p>
          <w:p>
            <w:pPr>
              <w:ind w:left="0" w:right="0" w:firstLine="482"/>
              <w:jc w:val="left"/>
              <w:keepLines w:val="0"/>
              <w:keepNext w:val="0"/>
              <w:spacing w:before="0" w:beforeAutospacing="0" w:after="0" w:afterAutospacing="0" w:line="560" w:lineRule="exact"/>
              <w:widowControl/>
              <w:rPr>
                <w:rFonts w:hint="eastAsia" w:ascii="宋体" w:hAnsi="宋体"/>
                <w:color w:val="auto"/>
                <w:sz w:val="24"/>
                <w:highlight w:val="white"/>
              </w:rPr>
              <w:suppressLineNumbers w:val="0"/>
            </w:pPr>
            <w:r>
              <w:rPr>
                <w:rFonts w:hint="eastAsia" w:ascii="宋体" w:hAnsi="宋体" w:eastAsia="宋体" w:cs="宋体"/>
                <w:color w:val="auto"/>
                <w:sz w:val="24"/>
                <w:szCs w:val="20"/>
                <w:highlight w:val="none"/>
              </w:rPr>
              <w:t xml:space="preserve">2.中国政府根据现行税法规定对乙方征收的与本合同有关的一切税费均由乙方负担（免税部分除外）。</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highlight w:val="yellow"/>
              </w:rPr>
              <w:suppressLineNumbers w:val="0"/>
            </w:pPr>
            <w:r>
              <w:rPr>
                <w:rFonts w:hint="eastAsia" w:ascii="宋体" w:hAnsi="宋体"/>
                <w:color w:val="auto"/>
                <w:sz w:val="24"/>
                <w:highlight w:val="yellow"/>
              </w:rPr>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rPr>
              <w:suppressLineNumbers w:val="0"/>
            </w:pPr>
            <w:r>
              <w:rPr>
                <w:rFonts w:hint="eastAsia" w:ascii="宋体" w:hAnsi="宋体"/>
                <w:bCs/>
                <w:color w:val="auto"/>
                <w:sz w:val="24"/>
              </w:rPr>
              <w:t xml:space="preserve">伴随服务</w:t>
            </w:r>
            <w:r/>
          </w:p>
        </w:tc>
        <w:tc>
          <w:tcPr>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1.乙方应按照国家</w:t>
            </w:r>
            <w:r>
              <w:rPr>
                <w:rFonts w:hint="eastAsia" w:ascii="宋体" w:hAnsi="宋体" w:eastAsia="宋体" w:cs="宋体"/>
                <w:b w:val="0"/>
                <w:color w:val="auto"/>
                <w:sz w:val="24"/>
                <w:szCs w:val="20"/>
                <w:highlight w:val="none"/>
              </w:rPr>
              <w:t xml:space="preserve">“</w:t>
            </w:r>
            <w:r>
              <w:rPr>
                <w:rFonts w:hint="eastAsia" w:ascii="宋体" w:hAnsi="宋体" w:eastAsia="宋体" w:cs="宋体"/>
                <w:b/>
                <w:bCs/>
                <w:color w:val="auto"/>
                <w:sz w:val="24"/>
                <w:szCs w:val="20"/>
                <w:highlight w:val="none"/>
              </w:rPr>
              <w:t xml:space="preserve">新三包</w:t>
            </w:r>
            <w:r>
              <w:rPr>
                <w:rFonts w:hint="eastAsia" w:ascii="宋体" w:hAnsi="宋体" w:eastAsia="宋体" w:cs="宋体"/>
                <w:b w:val="0"/>
                <w:color w:val="auto"/>
                <w:sz w:val="24"/>
                <w:szCs w:val="20"/>
                <w:highlight w:val="none"/>
              </w:rPr>
              <w:t xml:space="preserve">”</w:t>
            </w:r>
            <w:r>
              <w:rPr>
                <w:rFonts w:hint="eastAsia" w:ascii="宋体" w:hAnsi="宋体" w:eastAsia="宋体" w:cs="宋体"/>
                <w:color w:val="auto"/>
                <w:sz w:val="24"/>
                <w:szCs w:val="20"/>
                <w:highlight w:val="none"/>
              </w:rPr>
              <w:t xml:space="preserve">规定和合同中所附的服务承诺提供服务。</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2.除第1条规定外，乙方还应提供下列服务：</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b w:val="0"/>
                <w:color w:val="auto"/>
                <w:sz w:val="24"/>
                <w:szCs w:val="20"/>
                <w:highlight w:val="none"/>
              </w:rPr>
              <w:suppressLineNumbers w:val="0"/>
            </w:pPr>
            <w:r>
              <w:rPr>
                <w:rFonts w:hint="eastAsia" w:ascii="宋体" w:hAnsi="宋体" w:eastAsia="宋体" w:cs="宋体"/>
                <w:b w:val="0"/>
                <w:color w:val="auto"/>
                <w:sz w:val="24"/>
                <w:szCs w:val="20"/>
                <w:highlight w:val="none"/>
              </w:rPr>
              <w:t xml:space="preserve"> </w:t>
            </w:r>
            <w:r>
              <w:rPr>
                <w:rFonts w:hint="eastAsia" w:ascii="宋体" w:hAnsi="宋体" w:eastAsia="宋体" w:cs="宋体"/>
                <w:b/>
                <w:bCs/>
                <w:color w:val="auto"/>
                <w:sz w:val="24"/>
                <w:szCs w:val="20"/>
                <w:highlight w:val="none"/>
              </w:rPr>
              <w:t xml:space="preserve">(1) 招标文件中的“服务要求”所规定的服务内容以及投标文件承诺提供的其他服务内容；</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 (2) 负责货物的开孔，货物的现场安装；</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 (3) 提供货物组装和维修所需的工具；</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 (4) 在合同中乙方承诺的质保期限内对所提供货物正常使用实施监督、维修，但前提条件是该服务并不能免除乙方在质量保证期内应承担的义务；</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 (5) 在货物交货现场就货物的安装、启用、维护等对甲方人员进行培训。</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highlight w:val="white"/>
              </w:rPr>
              <w:suppressLineNumbers w:val="0"/>
            </w:pPr>
            <w:r>
              <w:rPr>
                <w:rFonts w:hint="eastAsia" w:ascii="宋体" w:hAnsi="宋体" w:eastAsia="宋体" w:cs="宋体"/>
                <w:color w:val="auto"/>
                <w:sz w:val="24"/>
                <w:szCs w:val="20"/>
                <w:highlight w:val="none"/>
              </w:rPr>
              <w:t xml:space="preserve">3.伴随服务的费用应含在合同价中，不单独进行支付。</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rPr>
              <w:suppressLineNumbers w:val="0"/>
            </w:pPr>
            <w:r>
              <w:rPr>
                <w:rFonts w:hint="eastAsia" w:ascii="宋体" w:hAnsi="宋体"/>
                <w:color w:val="auto"/>
                <w:sz w:val="24"/>
              </w:rPr>
              <w:t xml:space="preserve">索赔</w:t>
            </w:r>
            <w:r/>
          </w:p>
        </w:tc>
        <w:tc>
          <w:tcPr>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1.甲方有权根据当地质检部门出具的检验报告，向乙方提出索赔。</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2.根据合同规定的检验期和质量保证期内，如果乙方对甲方提出的索赔和差异负有责任，乙方应按照甲方同意的下列一种或多种方式解决索赔事宜：</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(2) 根据货物的低劣程度、损坏程度以及甲方所遭受损失的数额，乙方必须降低货物的价格。</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highlight w:val="white"/>
              </w:rPr>
              <w:suppressLineNumbers w:val="0"/>
            </w:pPr>
            <w:r>
              <w:rPr>
                <w:rFonts w:hint="eastAsia" w:ascii="宋体" w:hAnsi="宋体" w:eastAsia="宋体" w:cs="宋体"/>
                <w:color w:val="auto"/>
                <w:sz w:val="24"/>
                <w:szCs w:val="20"/>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0"/>
        </w:trPr>
        <w:tc>
          <w:tcPr>
            <w:tcW w:w="12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highlight w:val="white"/>
              </w:rPr>
              <w:suppressLineNumbers w:val="0"/>
            </w:pPr>
            <w:r>
              <w:rPr>
                <w:rFonts w:hint="eastAsia" w:ascii="宋体" w:hAnsi="宋体"/>
                <w:color w:val="auto"/>
                <w:sz w:val="24"/>
                <w:highlight w:val="white"/>
              </w:rPr>
            </w:r>
            <w:r/>
          </w:p>
        </w:tc>
        <w:tc>
          <w:tcPr>
            <w:tcW w:w="141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highlight w:val="white"/>
              </w:rPr>
              <w:suppressLineNumbers w:val="0"/>
            </w:pPr>
            <w:r>
              <w:rPr>
                <w:rFonts w:hint="eastAsia" w:ascii="宋体" w:hAnsi="宋体" w:eastAsia="Arial" w:cs="宋体"/>
                <w:color w:val="auto"/>
                <w:sz w:val="24"/>
                <w:szCs w:val="20"/>
                <w:highlight w:val="none"/>
              </w:rPr>
              <w:t xml:space="preserve">合同生效及其它</w:t>
            </w:r>
            <w:r/>
          </w:p>
        </w:tc>
        <w:tc>
          <w:tcPr>
            <w:tcW w:w="5991" w:type="dxa"/>
            <w:vAlign w:val="center"/>
            <w:textDirection w:val="lrTb"/>
            <w:noWrap w:val="false"/>
          </w:tcPr>
          <w:p>
            <w:pPr>
              <w:ind w:left="0" w:right="0" w:firstLine="482"/>
              <w:jc w:val="left"/>
              <w:keepLines w:val="0"/>
              <w:keepNext w:val="0"/>
              <w:spacing w:before="0" w:beforeAutospacing="0" w:after="0" w:afterAutospacing="0" w:line="560" w:lineRule="exact"/>
              <w:widowControl/>
              <w:rPr>
                <w:rFonts w:hint="eastAsia" w:ascii="宋体" w:hAnsi="宋体" w:eastAsia="Arial" w:cs="宋体"/>
                <w:color w:val="auto"/>
                <w:sz w:val="24"/>
                <w:szCs w:val="20"/>
                <w:highlight w:val="none"/>
              </w:rPr>
              <w:suppressLineNumbers w:val="0"/>
            </w:pPr>
            <w:r>
              <w:rPr>
                <w:rFonts w:hint="eastAsia" w:ascii="宋体" w:hAnsi="宋体" w:eastAsia="Arial" w:cs="宋体"/>
                <w:color w:val="auto"/>
                <w:sz w:val="24"/>
                <w:szCs w:val="20"/>
                <w:highlight w:val="none"/>
              </w:rPr>
              <w:t xml:space="preserve">1.合同经甲方、乙方盖章后生效。</w:t>
            </w:r>
            <w:r/>
          </w:p>
          <w:p>
            <w:pPr>
              <w:ind w:left="0" w:right="0" w:firstLine="482"/>
              <w:jc w:val="left"/>
              <w:keepLines w:val="0"/>
              <w:keepNext w:val="0"/>
              <w:spacing w:before="0" w:beforeAutospacing="0" w:after="0" w:afterAutospacing="0" w:line="560" w:lineRule="exact"/>
              <w:widowControl/>
              <w:rPr>
                <w:rFonts w:hint="eastAsia" w:ascii="宋体" w:hAnsi="宋体" w:eastAsia="Arial" w:cs="宋体"/>
                <w:color w:val="auto"/>
                <w:sz w:val="24"/>
                <w:szCs w:val="20"/>
                <w:highlight w:val="none"/>
              </w:rPr>
              <w:suppressLineNumbers w:val="0"/>
            </w:pPr>
            <w:r>
              <w:rPr>
                <w:rFonts w:hint="eastAsia" w:ascii="宋体" w:hAnsi="宋体" w:eastAsia="Arial" w:cs="宋体"/>
                <w:color w:val="auto"/>
                <w:sz w:val="24"/>
                <w:szCs w:val="20"/>
                <w:highlight w:val="none"/>
              </w:rPr>
              <w:t xml:space="preserve">2.货物交付使用后所发生的合同纠纷，由甲方与乙方协商处理。</w:t>
            </w:r>
            <w:r/>
          </w:p>
          <w:p>
            <w:pPr>
              <w:ind w:left="0" w:right="0" w:firstLine="482"/>
              <w:jc w:val="left"/>
              <w:keepLines w:val="0"/>
              <w:keepNext w:val="0"/>
              <w:spacing w:before="0" w:beforeAutospacing="0" w:after="0" w:afterAutospacing="0" w:line="560" w:lineRule="exact"/>
              <w:widowControl/>
              <w:rPr>
                <w:rFonts w:hint="eastAsia" w:ascii="宋体" w:hAnsi="宋体" w:eastAsia="Arial" w:cs="宋体"/>
                <w:color w:val="auto"/>
                <w:sz w:val="24"/>
                <w:szCs w:val="20"/>
                <w:highlight w:val="none"/>
              </w:rPr>
              <w:suppressLineNumbers w:val="0"/>
            </w:pPr>
            <w:r>
              <w:rPr>
                <w:rFonts w:hint="eastAsia" w:ascii="宋体" w:hAnsi="宋体" w:eastAsia="Arial" w:cs="宋体"/>
                <w:color w:val="auto"/>
                <w:sz w:val="24"/>
                <w:szCs w:val="20"/>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left="0" w:right="0" w:firstLine="482"/>
              <w:jc w:val="left"/>
              <w:keepLines w:val="0"/>
              <w:keepNext w:val="0"/>
              <w:spacing w:before="0" w:beforeAutospacing="0" w:after="0" w:afterAutospacing="0" w:line="560" w:lineRule="exact"/>
              <w:widowControl/>
              <w:rPr>
                <w:rFonts w:hint="eastAsia" w:ascii="宋体" w:hAnsi="宋体"/>
                <w:color w:val="auto"/>
                <w:sz w:val="24"/>
                <w:highlight w:val="white"/>
              </w:rPr>
              <w:suppressLineNumbers w:val="0"/>
            </w:pPr>
            <w:r>
              <w:rPr>
                <w:rFonts w:hint="eastAsia" w:ascii="宋体" w:hAnsi="宋体" w:eastAsia="Arial" w:cs="宋体"/>
                <w:color w:val="auto"/>
                <w:sz w:val="24"/>
                <w:szCs w:val="20"/>
                <w:highlight w:val="none"/>
              </w:rPr>
              <w:t xml:space="preserve">4.本合同应按照中华人民共和国的现行法律进行解释。本合同未尽事宜，遵照《</w:t>
            </w:r>
            <w:r>
              <w:rPr>
                <w:rFonts w:hint="eastAsia" w:ascii="宋体" w:hAnsi="宋体" w:eastAsia="Arial" w:cs="宋体"/>
                <w:color w:val="auto"/>
                <w:sz w:val="24"/>
                <w:szCs w:val="20"/>
                <w:highlight w:val="none"/>
                <w:lang w:val="en-US" w:eastAsia="zh-CN"/>
              </w:rPr>
              <w:t xml:space="preserve">中华人民共和国</w:t>
            </w:r>
            <w:r>
              <w:rPr>
                <w:rFonts w:hint="eastAsia" w:ascii="宋体" w:hAnsi="宋体" w:eastAsia="Arial" w:cs="宋体"/>
                <w:color w:val="auto"/>
                <w:sz w:val="24"/>
                <w:szCs w:val="20"/>
                <w:highlight w:val="none"/>
              </w:rPr>
              <w:t xml:space="preserve">民法典》、《</w:t>
            </w:r>
            <w:r>
              <w:rPr>
                <w:rFonts w:hint="eastAsia" w:ascii="宋体" w:hAnsi="宋体" w:eastAsia="Arial" w:cs="宋体"/>
                <w:color w:val="auto"/>
                <w:sz w:val="24"/>
                <w:szCs w:val="20"/>
                <w:highlight w:val="none"/>
                <w:lang w:val="en-US" w:eastAsia="zh-CN"/>
              </w:rPr>
              <w:t xml:space="preserve">中华人民共和国</w:t>
            </w:r>
            <w:r>
              <w:rPr>
                <w:rFonts w:hint="eastAsia" w:ascii="宋体" w:hAnsi="宋体" w:eastAsia="Arial" w:cs="宋体"/>
                <w:color w:val="auto"/>
                <w:sz w:val="24"/>
                <w:szCs w:val="20"/>
                <w:highlight w:val="none"/>
              </w:rPr>
              <w:t xml:space="preserve">政府采购法》等有关条文执行。</w:t>
            </w:r>
            <w:r/>
          </w:p>
        </w:tc>
      </w:tr>
    </w:tbl>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31"/>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901"/>
        <w:rPr>
          <w:rFonts w:ascii="宋体" w:hAnsi="宋体" w:eastAsia="宋体" w:cs="宋体"/>
          <w:color w:val="000000"/>
        </w:rPr>
      </w:pPr>
      <w:r>
        <w:rPr>
          <w:rFonts w:hint="eastAsia"/>
        </w:rPr>
        <w:t xml:space="preserve"> </w:t>
      </w:r>
      <w:bookmarkStart w:id="165" w:name="_Toc234256916"/>
      <w:r>
        <w:rPr>
          <w:rFonts w:hint="eastAsia"/>
        </w:rPr>
        <w:t xml:space="preserve">第</w:t>
      </w:r>
      <w:bookmarkEnd w:id="154"/>
      <w:r>
        <w:rPr>
          <w:rFonts w:hint="eastAsia"/>
        </w:rPr>
        <w:t xml:space="preserve">四章 采购需求</w:t>
      </w:r>
      <w:bookmarkEnd w:id="155"/>
      <w:r/>
      <w:bookmarkEnd w:id="156"/>
      <w:r/>
      <w:bookmarkEnd w:id="157"/>
      <w:r/>
      <w:bookmarkEnd w:id="158"/>
      <w:r/>
      <w:bookmarkEnd w:id="159"/>
      <w:r/>
      <w:bookmarkEnd w:id="165"/>
      <w:r/>
      <w:r/>
    </w:p>
    <w:p>
      <w:pPr>
        <w:pStyle w:val="731"/>
        <w:jc w:val="both"/>
        <w:spacing w:beforeAutospacing="0" w:afterAutospacing="0" w:line="360" w:lineRule="auto"/>
        <w:rPr>
          <w:rFonts w:ascii="宋体" w:hAnsi="宋体" w:eastAsia="宋体"/>
          <w:b/>
          <w:color w:val="000000"/>
          <w:szCs w:val="21"/>
        </w:rPr>
      </w:pPr>
      <w:r>
        <w:rPr>
          <w:rFonts w:hint="eastAsia" w:ascii="宋体" w:hAnsi="宋体" w:eastAsia="宋体"/>
          <w:b/>
          <w:color w:val="000000"/>
          <w:szCs w:val="21"/>
          <w:lang w:val="zh-CN"/>
        </w:rPr>
        <w:t xml:space="preserve">一、</w:t>
      </w:r>
      <w:r>
        <w:rPr>
          <w:rFonts w:hint="eastAsia" w:ascii="宋体" w:hAnsi="宋体" w:eastAsia="宋体"/>
          <w:b/>
          <w:color w:val="000000"/>
          <w:szCs w:val="21"/>
        </w:rPr>
        <w:t xml:space="preserve">项目概况</w:t>
      </w:r>
      <w:r/>
    </w:p>
    <w:p>
      <w:pPr>
        <w:pStyle w:val="731"/>
        <w:jc w:val="both"/>
        <w:spacing w:beforeAutospacing="0" w:afterAutospacing="0"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1.项目编号：JSZC-320900-JSZH-G2026-0065</w:t>
      </w:r>
      <w:r/>
    </w:p>
    <w:p>
      <w:pPr>
        <w:pStyle w:val="731"/>
        <w:jc w:val="both"/>
        <w:spacing w:beforeAutospacing="0" w:afterAutospacing="0"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2.项目名称：江苏省盐城技师学院幼儿健康与护理家政服务专业设备采购项目及</w:t>
      </w:r>
      <w:r>
        <w:rPr>
          <w:rFonts w:hint="eastAsia" w:ascii="宋体" w:hAnsi="宋体" w:eastAsia="宋体" w:cs="Times New Roman"/>
          <w:bCs/>
          <w:color w:val="000000"/>
          <w:sz w:val="24"/>
          <w:szCs w:val="21"/>
          <w:lang w:eastAsia="zh-CN"/>
        </w:rPr>
        <w:t xml:space="preserve">数字化智慧养老实训基地设备采购项目</w:t>
      </w:r>
      <w:r/>
    </w:p>
    <w:p>
      <w:pPr>
        <w:pStyle w:val="731"/>
        <w:jc w:val="both"/>
        <w:spacing w:beforeAutospacing="0" w:afterAutospacing="0"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3.采购方式：公开招标</w:t>
      </w:r>
      <w:r/>
    </w:p>
    <w:p>
      <w:pPr>
        <w:pStyle w:val="731"/>
        <w:jc w:val="both"/>
        <w:spacing w:beforeAutospacing="0" w:afterAutospacing="0"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4.预算金额：459.67万元（采购包1：237.42万元；采购包2:222.25万元；）</w:t>
      </w:r>
      <w:r/>
    </w:p>
    <w:p>
      <w:pPr>
        <w:pStyle w:val="731"/>
        <w:jc w:val="both"/>
        <w:spacing w:beforeAutospacing="0" w:afterAutospacing="0"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5.最高限价（如有）：包一：幼儿健康与护理家政服务专业设备采购项目237.42万元；包二：</w:t>
      </w:r>
      <w:r>
        <w:rPr>
          <w:rFonts w:hint="eastAsia" w:ascii="宋体" w:hAnsi="宋体" w:eastAsia="宋体" w:cs="Times New Roman"/>
          <w:bCs/>
          <w:color w:val="000000"/>
          <w:sz w:val="24"/>
          <w:szCs w:val="21"/>
          <w:lang w:eastAsia="zh-CN"/>
        </w:rPr>
        <w:t xml:space="preserve">数字化智慧养老实训基地设备采购项目</w:t>
      </w:r>
      <w:r>
        <w:rPr>
          <w:rFonts w:hint="eastAsia" w:ascii="宋体" w:hAnsi="宋体" w:eastAsia="宋体" w:cs="Times New Roman"/>
          <w:bCs/>
          <w:color w:val="000000"/>
          <w:sz w:val="24"/>
          <w:szCs w:val="21"/>
        </w:rPr>
        <w:t xml:space="preserve">222.25万元。 本项目兼投兼中，定标顺序为包一 →包二。  </w:t>
      </w:r>
      <w:r/>
    </w:p>
    <w:p>
      <w:pPr>
        <w:pStyle w:val="731"/>
        <w:jc w:val="both"/>
        <w:spacing w:beforeAutospacing="0" w:afterAutospacing="0"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6.采购需求（简介）：江苏省盐城技师学院幼儿健康与护理家政服务专业设备采购项目及</w:t>
      </w:r>
      <w:r>
        <w:rPr>
          <w:rFonts w:hint="eastAsia" w:ascii="宋体" w:hAnsi="宋体" w:eastAsia="宋体" w:cs="Times New Roman"/>
          <w:bCs/>
          <w:color w:val="000000"/>
          <w:sz w:val="24"/>
          <w:szCs w:val="21"/>
          <w:lang w:eastAsia="zh-CN"/>
        </w:rPr>
        <w:t xml:space="preserve">数字化智慧养老实训基地设备采购项目</w:t>
      </w:r>
      <w:r>
        <w:rPr>
          <w:rFonts w:hint="eastAsia" w:ascii="宋体" w:hAnsi="宋体" w:eastAsia="宋体" w:cs="Times New Roman"/>
          <w:bCs/>
          <w:color w:val="000000"/>
          <w:sz w:val="24"/>
          <w:szCs w:val="21"/>
        </w:rPr>
        <w:t xml:space="preserve">，本项目分二个包：（包一）幼儿健康与护理家政服务专业设备采购；（包二）</w:t>
      </w:r>
      <w:r>
        <w:rPr>
          <w:rFonts w:hint="eastAsia" w:ascii="宋体" w:hAnsi="宋体" w:eastAsia="宋体" w:cs="Times New Roman"/>
          <w:bCs/>
          <w:color w:val="000000"/>
          <w:sz w:val="24"/>
          <w:szCs w:val="21"/>
          <w:lang w:eastAsia="zh-CN"/>
        </w:rPr>
        <w:t xml:space="preserve">数字化智慧养老实训基地</w:t>
      </w:r>
      <w:r>
        <w:rPr>
          <w:rFonts w:hint="eastAsia" w:ascii="宋体" w:hAnsi="宋体" w:eastAsia="宋体" w:cs="Times New Roman"/>
          <w:bCs/>
          <w:color w:val="000000"/>
          <w:sz w:val="24"/>
          <w:szCs w:val="21"/>
        </w:rPr>
        <w:t xml:space="preserve">设采购。详见本招标文件第四章采购需求。</w:t>
      </w:r>
      <w:r/>
    </w:p>
    <w:p>
      <w:pPr>
        <w:pStyle w:val="731"/>
        <w:jc w:val="both"/>
        <w:spacing w:beforeAutospacing="0" w:afterAutospacing="0"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7.合同履行期限：合同履行期限：合同生效后60个日历天（此期限不包括采购人验收时间），供应商应在此期限内完成全部货物的交付、安装与调试。</w:t>
      </w:r>
      <w:r/>
    </w:p>
    <w:p>
      <w:pPr>
        <w:pStyle w:val="731"/>
        <w:jc w:val="both"/>
        <w:spacing w:beforeAutospacing="0" w:afterAutospacing="0" w:line="360" w:lineRule="auto"/>
        <w:rPr>
          <w:rFonts w:ascii="宋体" w:hAnsi="宋体" w:eastAsia="宋体" w:cs="宋体"/>
          <w:bCs/>
          <w:color w:val="000000"/>
        </w:rPr>
      </w:pPr>
      <w:r>
        <w:rPr>
          <w:rFonts w:hint="eastAsia" w:ascii="宋体" w:hAnsi="宋体" w:eastAsia="宋体" w:cs="Times New Roman"/>
          <w:bCs/>
          <w:color w:val="000000"/>
          <w:sz w:val="24"/>
          <w:szCs w:val="21"/>
        </w:rPr>
        <w:t xml:space="preserve">8.本项目（是/否）接受联合体：不接受联合体。</w:t>
      </w:r>
      <w:r>
        <w:rPr>
          <w:rFonts w:hint="eastAsia" w:ascii="宋体" w:hAnsi="宋体" w:eastAsia="宋体" w:cs="宋体"/>
          <w:bCs/>
          <w:color w:val="0000ff"/>
        </w:rPr>
        <w:t xml:space="preserve">。</w:t>
      </w:r>
      <w:r/>
    </w:p>
    <w:p>
      <w:pPr>
        <w:spacing w:line="360" w:lineRule="auto"/>
        <w:rPr>
          <w:rFonts w:hint="default" w:ascii="宋体" w:hAnsi="宋体" w:eastAsia="宋体" w:cs="Times New Roman"/>
          <w:b/>
          <w:color w:val="000000"/>
          <w:sz w:val="24"/>
          <w:szCs w:val="21"/>
          <w:lang w:val="en-US" w:eastAsia="zh-CN"/>
        </w:rPr>
      </w:pPr>
      <w:r>
        <w:rPr>
          <w:rFonts w:hint="default" w:ascii="宋体" w:hAnsi="宋体" w:eastAsia="宋体" w:cs="Times New Roman"/>
          <w:b/>
          <w:color w:val="000000"/>
          <w:sz w:val="24"/>
          <w:szCs w:val="21"/>
          <w:lang w:val="en-US" w:eastAsia="zh-CN"/>
        </w:rPr>
      </w:r>
      <w:r/>
    </w:p>
    <w:p>
      <w:pPr>
        <w:pStyle w:val="901"/>
        <w:rPr>
          <w:rFonts w:hint="eastAsia"/>
        </w:rPr>
      </w:pPr>
      <w:r/>
      <w:bookmarkStart w:id="166" w:name="_Toc120614281"/>
      <w:r>
        <w:rPr>
          <w:rFonts w:hint="eastAsia" w:hAnsi="宋体"/>
          <w:sz w:val="36"/>
          <w:szCs w:val="36"/>
          <w:lang w:val="en-US" w:eastAsia="zh-CN"/>
        </w:rPr>
        <w:t xml:space="preserve">项目具体要求（</w:t>
      </w:r>
      <w:r>
        <w:rPr>
          <w:rFonts w:hint="eastAsia"/>
          <w:sz w:val="36"/>
          <w:szCs w:val="36"/>
          <w:lang w:val="en-US" w:eastAsia="zh-CN"/>
        </w:rPr>
        <w:t xml:space="preserve">分包一）</w:t>
      </w:r>
      <w:r>
        <w:rPr>
          <w:rFonts w:hint="eastAsia"/>
          <w:sz w:val="36"/>
          <w:szCs w:val="36"/>
        </w:rPr>
        <w:t xml:space="preserve"> </w:t>
      </w:r>
      <w:r>
        <w:rPr>
          <w:rFonts w:hint="eastAsia"/>
        </w:rPr>
        <w:t xml:space="preserve">   </w:t>
      </w:r>
      <w:bookmarkStart w:id="167" w:name="_Toc26554093"/>
      <w:r/>
      <w:bookmarkStart w:id="168" w:name="_Toc49090575"/>
      <w:r/>
      <w:bookmarkStart w:id="169" w:name="_Toc234256917"/>
      <w:r/>
      <w:r/>
    </w:p>
    <w:p>
      <w:pPr>
        <w:pStyle w:val="901"/>
        <w:jc w:val="left"/>
        <w:rPr>
          <w:rFonts w:hint="eastAsia"/>
        </w:rPr>
      </w:pPr>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67"/>
      <w:r/>
      <w:bookmarkEnd w:id="168"/>
      <w:r/>
      <w:r/>
    </w:p>
    <w:p>
      <w:pPr>
        <w:pStyle w:val="919"/>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一、核心产品</w:t>
      </w:r>
      <w:r>
        <w:rPr>
          <w:rFonts w:hint="eastAsia" w:ascii="宋体" w:hAnsi="宋体" w:eastAsia="宋体" w:cs="宋体"/>
          <w:b/>
          <w:bCs/>
          <w:color w:val="000000"/>
          <w:sz w:val="24"/>
          <w:szCs w:val="24"/>
          <w:highlight w:val="none"/>
        </w:rPr>
        <w:t xml:space="preserve">：</w:t>
      </w:r>
      <w:r/>
    </w:p>
    <w:p>
      <w:pPr>
        <w:pStyle w:val="919"/>
        <w:jc w:val="both"/>
        <w:keepLines w:val="0"/>
        <w:keepNext w:val="0"/>
        <w:pageBreakBefore w:val="0"/>
        <w:spacing w:beforeAutospacing="0" w:afterAutospacing="0" w:line="480" w:lineRule="exact"/>
        <w:widowControl w:val="off"/>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本项目核心产品为</w:t>
      </w:r>
      <w:r>
        <w:rPr>
          <w:rFonts w:hint="eastAsia" w:ascii="宋体" w:hAnsi="宋体" w:cs="宋体"/>
          <w:b/>
          <w:bCs/>
          <w:color w:val="0000ff"/>
          <w:sz w:val="24"/>
          <w:szCs w:val="24"/>
          <w:highlight w:val="none"/>
          <w:lang w:val="en-US" w:eastAsia="zh-CN"/>
        </w:rPr>
        <w:t xml:space="preserve">_</w:t>
      </w:r>
      <w:r>
        <w:rPr>
          <w:rFonts w:hint="eastAsia" w:ascii="宋体" w:hAnsi="宋体" w:cs="宋体"/>
          <w:b/>
          <w:bCs/>
          <w:color w:val="0000ff"/>
          <w:sz w:val="24"/>
          <w:szCs w:val="24"/>
          <w:highlight w:val="none"/>
          <w:u w:val="single"/>
          <w:lang w:val="en-US" w:eastAsia="zh-CN"/>
        </w:rPr>
        <w:t xml:space="preserve">人工智能仿真婴儿（含系统）</w:t>
      </w:r>
      <w:r>
        <w:rPr>
          <w:rFonts w:hint="eastAsia" w:ascii="宋体" w:hAnsi="宋体" w:cs="宋体"/>
          <w:b/>
          <w:bCs/>
          <w:color w:val="0000ff"/>
          <w:sz w:val="24"/>
          <w:szCs w:val="24"/>
          <w:highlight w:val="none"/>
          <w:lang w:val="en-US" w:eastAsia="zh-CN"/>
        </w:rPr>
        <w:t xml:space="preserve">_</w:t>
      </w:r>
      <w:r>
        <w:rPr>
          <w:rFonts w:hint="eastAsia" w:ascii="宋体" w:hAnsi="宋体" w:eastAsia="宋体" w:cs="宋体"/>
          <w:b/>
          <w:bCs/>
          <w:color w:val="0000ff"/>
          <w:sz w:val="24"/>
          <w:szCs w:val="24"/>
          <w:highlight w:val="none"/>
        </w:rPr>
        <w:t xml:space="preserve">。</w:t>
      </w:r>
      <w:r/>
    </w:p>
    <w:p>
      <w:pPr>
        <w:pStyle w:val="919"/>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二、技术要求</w:t>
      </w:r>
      <w:r/>
    </w:p>
    <w:tbl>
      <w:tblPr>
        <w:tblStyle w:val="707"/>
        <w:tblW w:w="89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986"/>
        <w:gridCol w:w="5484"/>
        <w:gridCol w:w="446"/>
        <w:gridCol w:w="446"/>
        <w:gridCol w:w="1083"/>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安装位置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家居地面清洁实训模块</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要求定制，含家庭中常见的各类地面材质实训模块，至少包含实木地板、复合地板、强化地板、瓷砖、天然石材、地毯、自流平地面、PVC地板等材质，每块约每块尺寸60±5cm（需适配实训工位布局，中标后提供工位布局示意图）。</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家居墙面清洁实训模块</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根据需求定制，含家庭中常见的各类墙面材质，至少包含乳胶漆、木饰面、大理石、瓷砖、墙纸墙布、软包、护墙板等材质，在现有的墙面进行施工装修，每种材质约200*300cm。</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地面训练模块柜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柜面、柜体、层板均为环保多层复合板材，原木色，长宽高约250*100*90cm，柜面长侧边缘加高2cm，中间加高30cm，下层柜子分2层，含柜门。</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擦窗机器人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擦窗机器人应具备高效、安全的自动清洁能力。设备须支持稳定的供电方案（有线或无线均可）。清洁系统应集成喷水、刮擦与吸附功能，并具备两种及以上可切换的清洁模式（必须包含针对顽固污渍的定点深度清洁模式）。水箱容量与清洁效率相匹配，单次作业面积不低于20平方米。人机交互方面，设备应提供明确的工作状态提示。整体设计应紧凑合理，确保在标准家用及实训模拟窗户上能稳定运行。</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家电清洗机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采用手控喷枪（具备流量/压力调节功能），箱体为ABS一体成型结构，强度高、耐腐蚀、耐用。核心功能须支持高温蒸汽与高压冷热水两种模式的清洗切换，并具备周期保养护理、臭氧消毒及自吸抽液功能。标准配置需包括：多功能喷枪、远程遥控器、进水管与出水管。人机交互界面需配备触控显示屏【尺寸约5英寸</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允许合理偏差），操作直观便捷】，以满足家电清洗实训中对油烟机、空调、洗衣机等多种家电的深度清洗与保养教学需求。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家政全能清洁机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喷抽吸洗一体机，喷雾压力不低于1 BAR，真空度不低于27 kpa，空气流量不低于71 L/s，清水箱容量不小于8 L</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扫地机器人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家用智能扫地机器人，吸力不低于5000Pa，具备55℃及以上热水洗拖功能，配备LDS激光导航与AI双向结构光避障系统，滚刷长度不低于20 cm，标准模式下续航时间不低于2.5小时，配备自动集尘（集尘袋容量不低于2.5L）与具备热水洗拖布、热风烘干功能的自动清洗基站。</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三速吹风机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机器用于清洗后的硬地面、地毯及室内较潮湿环境的快速干燥。电压220V，额定功率不低于750W，具备三档位可调节风速，出风口支持0°、45°、90°三挡俯仰角度调节。风量不低于：低档 110 m³/min、中档 130 m³/min、高档 160 m³/min。产品尺寸约：L500×W420×H520mm（尺寸允许合理偏差）。</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半自动咖啡机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t xml:space="preserve">（一）半自动咖啡机参数：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t xml:space="preserve">商用半自动意式咖啡机，双头，采用食品级304不锈钢材质（中标后供货前需提供材质检测报告），黑色，锅炉11L铜制。含咖啡机配件：渣桶、304不锈钢拉花缸、单双杯手柄各1个，压粉器2个，咖啡杯碟2套。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t xml:space="preserve">（二）配套展示台1套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t xml:space="preserve">1.根据实训场地个性化定制，柜体、层板、柜门、背板均采用环保实木多层板，各层高度根据要求定制（层板厚度约2cm），整体高约280cm、宽约300cm、深度约50cm。</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磨豆机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商用级定量现磨电动磨豆机，适用于意式浓缩及手冲咖啡的研磨。采用64mm平刀刀盘，电机空载转速不低于1300 rpm。豆仓容量不小于0.55 kg。具备不少于30档的精细研磨度调节功能。标准配置需包含原装豆仓、定量按键、手柄支架及接粉盘。</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压粉锤</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专业咖啡压粉锤，规格直径51mm。压粉底座为不锈钢材质，底面经精准校准确保平整；锤身连接件为铝合金，手柄为胡桃木。标准配置需包含配套：压粉锤1个、螺纹调压式压粉器1个、四桨布粉器个、一桨布粉器1个、压粉垫1个、清洁毛刷1把。</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咖啡布粉器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适用58mm标准粉碗。布粉器主体为金属材质，手柄为实木（胡桃木色）。</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三孔手柄支架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采用榉木实木材质，胡桃木色。尺寸约为长240mm × 宽95mm × 高75mm，顶部设三个通用58mm孔径。底部四角配备防滑硅胶垫。</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榨汁机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家用榨汁机，投料口口径不小于12厘米，配备智能电机驱动系统及食品级不锈钢过滤网。</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和面机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面盆为不锈钢材质，容量不小于10L，额定功率不低于750W，和面量范围0.5kg至5kg</w:t>
            </w:r>
            <w:r>
              <w:rPr>
                <w:rFonts w:hint="eastAsia" w:ascii="宋体" w:hAnsi="宋体" w:eastAsia="宋体" w:cs="宋体"/>
                <w:i w:val="0"/>
                <w:iCs w:val="0"/>
                <w:color w:val="auto"/>
                <w:sz w:val="21"/>
                <w:szCs w:val="21"/>
                <w:highlight w:val="none"/>
                <w:u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破壁机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破壁机容量不低于1.75L，搅拌功率不低于1200W，加热功率不低于1300W，具备至少10档智能调速功能。标准配置需包含：机座、搅拌杯及杯盖、真空杯及杯盖、低音罩、微压盖、搅拌棒、清洁毛刷、量杯。</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微波炉</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家用微波炉，侧拉门设计，配备液晶显示屏，容量不小于28L。</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大型烘焙烤箱</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三层六盘电烤箱，额定电压380V，额定功率不低于19800W，温度调节范围50-350℃，具备电脑控温功能。单层内胆尺寸不小于870mm（宽）× 690mm（深）× 200mm（高），总容量不低于360L。</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制冰机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全自动制冰机，储冰量30kg以上，日产量100kg以上，进水方式：自来水</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营养膳食实训室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窗帘</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根据实训室现场尺寸定制，主帘为白纱材质（面积约370㎡，1.8倍褶），配套百叶窗（面积约30㎡）。报价须包含窗帘杆、窗帘拉扣等全部配件及辅料，以及安装施工涉及的全部人工、设备费用。长宽规格需与现场窗户实际尺寸吻合，允许合理误差并经采购人确认。</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直录播设备套装</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深抛灯：2台，功率不低于400W，支持三色温调节。</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方形柔光灯：4台，功率不低于155W，柔光箱尺寸不低于50cm × 70cm，支持遥控及三色温调节。</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球型柔光灯：2套，功率不低于400W，柔光球直径不低于65cm，支持三色温调节。</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全画幅无反相机及镜头：1套，相机有效像素不低于2600万，配备标准变焦镜头，焦距范围需覆盖24-105mm（或等效全画幅焦距）。</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直播摄像头：1台，需与直播主机配套使用，支持预设不少于12个机位，具备遥控器一键切换画面功能。</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直播主机：1套，配置不低于以下标准：中央处理器（CPU）核心数不少于8核，线程数不少于16线程，基准时钟频率不低于3.0 GHz；内存不低于16G，存储组合不低于1T机械硬盘加256G固态硬盘，配备独立显卡。</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red"/>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直播显示设备：1台，</w:t>
            </w:r>
            <w:r>
              <w:rPr>
                <w:rFonts w:hint="eastAsia" w:ascii="宋体" w:hAnsi="宋体" w:eastAsia="宋体" w:cs="宋体"/>
                <w:i w:val="0"/>
                <w:iCs w:val="0"/>
                <w:color w:val="auto"/>
                <w:sz w:val="21"/>
                <w:szCs w:val="21"/>
                <w:highlight w:val="none"/>
                <w:u w:val="none"/>
                <w:lang w:val="en-US" w:eastAsia="zh-CN"/>
              </w:rPr>
              <w:t xml:space="preserve">屏幕尺寸≥60英寸，分辨率≥3860x2160,配备配套高清连接线。</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视频采集卡：1个，支持4K高清HDMI信号采集。</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无线麦克风：2套，采用一拖二收音方案，每套含1个接收器和2个发射器，接口类型3.5mm，配套一拖三充电器。</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直播背景系统：1套，专业地拉式绿幕，尺寸不低于2.5m × 2.5m。</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系统集成与服务：1项，包含全套设备的安装调试、所需线材及辅助材料。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鲜花冷藏柜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鲜花冷藏展示柜，需具备循环均匀风冷功能，配备双层中空玻璃门（带自动除雾功能）、自动蒸发水系统及精准智能温控系统。温控方式为微电脑控制，面板可直观操作与显示。采用三门设计，外观尺寸约1680mm（宽）×600mm（深）×1830mm（高），有效容积不低于1120L，温度调节范围2℃-20℃。</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电动玻璃门/墙</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材质与结构：门体采用不低于12mm厚的钢化玻璃，具备双开电动启闭功能。门套为哑光不锈钢材质。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尺寸：单扇玻璃门尺寸不低于200cm（高）×120cm（宽）。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门禁系统：具备不少于三种识别方式，须包括人脸识别、IC卡识别及密码识别功能。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标准配置：应包含地弹簧、配套不锈钢拉手、驱动电机及安装所需全部配件。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门体为复合结构，面层为装饰材料，内部核心为矿物玻镁防火板。耐火极限条件下的耐受温度不低于1500℃。</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电子班牌校园教育云平台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1、为方便老师操作，系统应具有班牌和审批流程入口，进行功能区分；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2、课程表管理中，可对课程表进行编辑，可根据需求查看教室的课程安排，也可根据需要查看每位教师和学生的课表信息；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3、班牌管理后台可查看账号的校区数量、班级数量及班牌在线，总数量等，实现数字化管理。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4、微信轮播图，可上传图片作为微信轮播图。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5、内容管理支持对通知公告、新闻动态、校园活动、教师风采、学校风采、优秀班集体、班级风采、班级荣誉、班级之星、班级作品、倒计时的内容进行编辑并发布。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6、发布管理支持模板设置、考试模式、班级模式、活动管理的内容进行编辑发布。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7、模板设置支持对班牌展示的主界面进行个性化设置，通过给定的组件库，进行自由选择排列组合，同时可创建多个模板并进行保存，根据需求进行选择发布展示。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8、考试模式可设置校区、考试学生、考试时间及名称，可设置考试座位，根据需求设置提前展示时间，方便考生提前进场。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9、班级模式支持文字+图片发布模式，根据需求设置发布群体、展示开始时间和时长。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10、屏保设置，可设置标题以及无操作时长进入屏保状态，屏保图片可自定义或采用学校风采相片，并选择发布群体进行发布。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11、上课模式，根据课表时间展示在班牌端，显示课程时间，名称等信息。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12、校园导航，可添加校园导航名称以及链接，上传图片，并发布。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13活动管理，可设置活动名称，开始、结束时间，活动内容，并选择群体发布。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14、教学工作中，通过考勤管理栏可查看教师、年级和课程的考勤状况，及时了解考勤情况。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15、开关机设置中，根据需求创建多个开关机时间，方便后期根据季节性需求，可快速更改开关机时间；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16、设备管理，所有班牌硬件都可在设备列表中查看状态，同时可根据需求选择展示模板及关机、重启时间，实现班牌个性化管理。</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班牌软件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管理：本机自带软件系统，无需在本地部署服务器。用户管理查询端部署在云端。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 主界面支持个性化设置，可根据实际需求，在模板中选择需要展示的内容，进行任意排列组合，将常用功能添加至首页，使用更便捷；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 首页展示：时间天气、今日考勤统计、今日学生值日、今日课程安排、学校风采、优秀班集体、班级详情、通知公告、校园活动，新闻动态，首页视频，班级之星，班级风采，作品，荣誉等。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 教师考勤：根据选择的事件类型，显示任课老师信息、教学科目和考勤情况，可通过人脸识别，刷卡，教师小程序端考勤。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 课程表展示：根据学生的课程安排下发对应的课程表到电子班牌，学生教师可随时了解每日课程、上课时间及任课老师。</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 值日表展示：展示班级值日，根据后台对学生的值日安排下发对应的值日表到电子班牌，显示选中日期的学生值日信息，学生教师可随时了解每日值日学生详情。</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 优秀班集体：作为班级个性化展示窗口，班牌轮播展示班级风采，右侧切换选中优秀班集体，文字、图片等形式显示班级相册，点击可查看详情。</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 选课展示：展示选课，可切换选择选课，其中进行中的选课活动可以在班牌上选择对应的科目提交报名。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 走班课程管理：老师可管理走班课程，通过微信小程序教师端或web端可向学生发起选课活动，学生在班牌端或者在微信小程序家长端进行选课。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 活动报名：可查看老师发布的活动信息，进入活动详情页，显示活动的简介，相册，活动，内容，在活动简介页可以在报名截止时间前刷卡验证学生身份后报名该活动。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 考试信息展示：下发考试模式，班牌会实时获取管理员在云发布平台发布的考试计划，班牌会自动进入考试模式，可实时显示该考试的学生考场及座位安排，学生刷卡可以快速定位自己的考试信息。考试结束后，班牌自动恢复到班牌的正常显示模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12、屏保设置：可设置标题以及无操作时长进入屏保状态，屏保图片可自定义或采用学校风采相片，并选择发布群体进行发布，当班牌进入屏保状态时，屏保图片进行轮播。</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 支持读卡功能：非采用第三方应用，在班牌系统中刷卡可对班级老师、学生采集班牌刷卡信息，绑定卡号后，方便学生教师考勤使用。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个人中心展示：学生通过刷卡，人脸识别，账号登录验证身份后进入个人中心，显示刷卡学生身份的课堂考勤，日常考勤，课程表，考试成绩，我的消息，我的作业，我的选课，我的请假，意见建议及更多功能等模块，选择对应的功能模块，能进入该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21.5寸智慧班牌硬件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1、操作系统与电源管理：设备需搭载定制化安卓智能终端系统，支持通过远程管理后台设置自动开关机策略。需具备异常断电恢复管理功能，当设备在非设定时间内启动时，系统应能自动识别并执行关机指令。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2、显示屏参数：显示屏尺寸不小于21.5英寸，物理分辨率不低于1920 × 1080，支持十点电容式触控技术，整机厚度不超过30毫米。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3、网络与功耗：设备需同时具备有线网络接口和无线网络模块，无线网络应支持802.11 b/g/n协议。设备需内置扬声器，且整机典型运行功耗不高于24瓦。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4、图像采集与考勤：设备正面需集成摄像头，支持通过图像采集实现考勤及相关应用功能。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5、媒体播放功能：设备需支持视频文件播放，并具备不间断循环播放能力。</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6、活动报名支持：设备需支持活动报名功能，学生可通过班牌触控界面选择并报名参与相关活动。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7、课程考勤管理：系统需为教师提供课程考勤查询功能，可查看班级学生的签到时间与状态记录。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8、音频快捷控制：设备需具备一键静音/取消静音的快捷操作功能。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9、刷卡考勤功能：设备需集成非接触式刷卡模块，用于考勤等应用，要求读卡响应迅速。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10、电源按键功能：设备电源按键需集成开机、关机、待机三种模式的切换功能。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家政基础一体化工作站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0-3岁蒙氏教育标准教具</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（一）此项目含蒙氏教具：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1、12格衣板架1套：尺寸约100*31.5cm，材质：榉木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2、小纽扣1个：尺寸约31*31cm，材质：榉木+布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3、大纽扣1个：尺寸约31*31cm，材质：榉木+布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4、蝴蝶结1个：尺寸约31*31cm，材质：榉木+布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5、编织鞋带（X型）1个：尺寸约31*31cm，材质：榉木+布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6、钩扣1个：尺寸约31*31cm，材质：榉木+布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7、安全别针1个：尺寸约31*31cm，材质：榉木+布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8、揿扣1个：尺寸约31*31cm，材质：榉木+布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9、拉链1个：尺寸约31*31cm，材质：榉木+布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10、皮带扣1个：尺寸约31*31cm，材质：榉木+布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11、按扣1个：尺寸约31*31cm，材质：榉木+布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12、编织鞋带（一型）1个：尺寸约31*31cm，材质：榉木+布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13、维可牢尼龙粘扣1个：尺寸约31*31cm，材质：榉木+布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14、锁扣1套：材质：榉木+金属，10把锁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15、插座圆柱体组1组：四组木制圆柱体，每组各有10个带握钮圆柱体，其大小要与相对应的插座大小相配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16、彩色圆柱体组1组：四个盒子，各装有十个为一组的圆柱体，其圆柱体与带插座圆柱体的四组相对应：红色（与同高度对应），黄色（与正比例对应），绿色（与反比例对应），蓝色（与同直径对应）</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17、粉红塔1套：十个粉红色立方体</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18、棕色梯1套：纯色棕色漆面：十个木制的棕色棱柱体，横向宽度皆为20厘米，但纵向宽度和高度的大小以代数上的平方形式连续递增</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19、红色长棒1套：十根木制红色长棒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20、三原色色卡1套：色板Ⅰ：红、黄、蓝三色色板各2枚；木盒一个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21、11色色卡1套：色板Ⅱ：红、黄、蓝、橙、绿、紫、粉红、棕、灰、黑、白11色色板各2枚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22、63色色卡1套：色板Ⅲ：红、黄、蓝、橙、绿、紫、粉红、棕、灰9个系各7枚明暗程度不同的色板，63枚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23、粉红塔基座1个：尺寸约：12*12cm，材质；榉木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装触觉板1套：板一：一块长方形木板，平分成两个相等的长方形。一个正方形以砂纸覆盖，另一个则为高度打磨过的木板（或光滑的漆面）；板二：一块长方形木板，平分成十等分，表面则以砂纸和光滑的漆面或高度打磨过的木板交替覆盖着。；板三：一块长方形木板，平均分为五等份，以渐变的砂纸覆盖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25、触觉卡1套：材质；木质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26、重量板1套：三个小木盒：7个椴木长方形板、7个榉木板、7个檀木板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27、几何图形示范匣1套：操作屉：附有木框，框内放有带圆柄的圆形、正方形、正三角形3个基本图形嵌板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几何图形嵌板橱1套：一个带六层抽屉的木制橱柜：6个不同的三角形：不等腰直角三角形、腰直角三角形、不等腰锐角三角形、等腰锐角三角形、不等腰钝角三角形、等腰钝角三角形；6个高度相同的长方形，但是横向宽度递增至正方形；6个四边形：菱形、风筝形、直角梯形、平行四边形、等腰梯形、不规则四边形；6个规则多边形：五边形、六边形、七边形、八边形、九边形、十边形；6个不规则形状：圆弧三角形、椭圆、卵形、花边形、锐角三角形、盾形；6个不同的圆形：直径以1 cm的等差递减，最大圆直径为10 cm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29、几何立体组及投影板1套：一个带盖木盒，十个立体几何形状、五张卡片或木制底座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30、构成三角形1套：5盒三角形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31、蓝色三角形1套：一个长方形木盒，内含十二片大小、颜色全等的直角三角形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32、神秘袋1套：材质：榉木，束口袋内装有10对原木色立体几何形状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33、温觉板1套：一个有分格的木制盒子：两个木头材质的长方形板；两个铁质长方形板；两个毛毡材质的长方形板；两个大理石材质长方形板；两个玻璃材质长方形板；两个软木塞材质长方形板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34、几何图形卡片1套：纸质卡片，包含几何里面各种形状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35、棕色梯的分解1套：材质；木质，包含棕色梯各部分分解教具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36、布盒I（白色布）1套：木盒内装有12对不同材质不同颜色的布料</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37、布盒II（彩色布）1套：木盒内装有12对不同材质不同颜色的布料</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38、粉红塔的分解1套：材质；木质，包含粉红塔各部分分解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39、嗅觉筒1套：材质；木质，包含12个筒，不同味道组成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40、听筒1套：两个木制盒子，其中一个为红色盖子，另一个则是蓝色盖子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41、圆柱体阶梯1套：材质；木质，包含红黄橙绿蓝五种颜色，高度分五种排列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42、压觉筒1套：材质：榉木，托盘内放置有六对弹簧压力不一样的木质圆筒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43、味觉瓶1套：材质：榉木、玻璃，托盘内放置有四对滴管瓶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44、拱桥1套：尺寸约37*10*33cm，材质；榉木，重量约2.15kg</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45、对色1套：不同的颜色小人对应不同的颜色板条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46、螺丝组合（新）1套：材质：木质，5个规格不同的螺栓</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47、二指抓1套：材质：木质，9个不同的造型，主要锻炼幼儿的抓握力</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48、高低几何积木1套：材质：木制，高度形状不同的教具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49、触摸柱1套：材质：木质，7种材质，触觉不同</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50、沙盘盒1套：材质：木质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51、粉红塔投影卡1套：材质：纸质，纸质卡片，配合粉红塔使用。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52、棕色梯投影卡1套：材质：纸质，纸质卡片，配合棕色梯使用，要求图中形状与棕色梯教具大小吻合</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53、大红、蓝数字棒1套：十根木棒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54、砂纸数字板1套：砂子印刷出数字0-9，分别黏贴在卡片上</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55、纺锤棒含盒子1套：两个木制的大盒子，各分为5个等分格，板上印有黑色的数字0-4，5-9，内装45根纺锤棒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56、数字与筹码1套个：一个盒子，一组1-10的数字模型，55个筹码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57、数字与筹码对应卡1套：纸质卡片，配合数字与筹码使用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58、小红、蓝数字棒1套：木盒里面装有2组小数棒以及1组红色卡片0-9</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59、彩珠台阶板(含珠子）1套：材质；木质+金属+塑料，榉木珠阶板+1-10彩色串珠一套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60、数字棒基座1个：材质；木质。放置数棒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61、数苹果1套：材质；木质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62、1-10记数器1套：个盒子，一组1-10的数字卡片，55个筹码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63、1-10数字卡片1套：配套木制卡片1-10装于带盖木盒中</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64、四方拼图1套：材质：木制，正方形，包含9块各种形状木制卡片，可组成不同形状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65、三格植物嵌板柜(不含嵌板)1个：尺寸；27*23*16cm，材质：质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66、树叶拼图1个：尺寸约24*24cm，材质：榉木+多层板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67、树拼图1个：尺寸约24*24cm，材质：榉木+多层板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68、花朵拼图1个：尺寸约24*24cm，材质：榉木+多层板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69、五格动物嵌板橱（不含嵌板）1套：尺寸约27*23*21cm，材质：木质。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70、马拼图1个：尺寸约24*24cm，材质：榉木+多层板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71、青蛙拼图1个：尺寸约24*24cm，材质：榉木+多层板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72、鱼拼图1个：尺寸约24*24cm，材质：榉木+多层板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73、乌龟拼图1个：尺寸约24*24cm，材质：榉木+多层板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74、鸟拼图1个：尺寸约24*24cm，材质：榉木+多层板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75、蚂蚁拼图1个：尺寸约24*24cm，材质：榉木+多层板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76、苍蝇拼图1个：尺寸约24*24cm，材质：榉木+多层板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77、蝴蝶拼图1个：尺寸约24*24cm，材质：榉木+多层板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78、蜻蜓拼图1个：尺寸约24*24cm，材质：榉木+多层板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79、蝉拼图1个：尺寸约24*24cm，材质：榉木+多层板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80、七星瓢虫拼图1个：尺寸约24*24cm，材质；榉木+多层板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81、企鹅拼图1个：尺寸约24*24cm，材质：榉木+多层板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82、公鸡拼图1个：尺寸约24*24cm，材质：榉木+多层板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83、11色笔筒1个：十一色铅笔筒（高度7cm，底部宽度6cm）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84、圆球长方抽屉1套：尺寸约29*10*10.cm，材质；木质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85、圆球正方抽屉1套：尺寸约14*14*10.5cm，材质；木质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86、长方体配套盒1套：尺寸约14*14*10.5cm，材质；木质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87、三梭形配套盒 1套：尺寸约14*14*10.5cm，材质；木质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88、倍数圆  1套：尺寸约29*11.5cm，材质：木质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89、垂直套环 1套：尺寸约12*12*10.5cm，材质：木质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90、平线套环1套：尺寸约12*12*12cm，材质：木质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91、蛇套环 1套：尺寸约12*12*12cm，材质：木质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92、圆片及盒 1套：尺寸约14*14*10.5cm，材质：木质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93、8色彩盒 1套：材质：木制，8个颜色彩盒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94、可交换的木盒1套：尺寸约14*14*10.5cm，材质：木质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95、三种几何板1套：尺寸约29*11.5cm，材质：木质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96、五种几何板 1套：材质：木质，五种不同几何形状展板，幼儿可以用手抓捏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97、永久目标盒子与盘子1套：尺寸约28*14*10.5cm，材质：木质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98、3色垂直套环 1套：尺寸约12*12*11.5cm，材质：木质，红黄绿三种不同颜色的垂直套环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99、小圆拼图 1套：尺寸约12*12cm，材质：木质，小圆形拼图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100、三角形拼图1套：尺寸约12*12cm，材质：木质，三角形形拼图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101、圆拼图 1个：尺寸约12*12cm，材质：木质，大圆形拼图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102、长方形拼图1套：尺寸约12*12cm，材质；木质，大正方形拼图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103、初学孩子钉木钉盒 1套：尺寸约30*18*5cm，材质；木质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104、木钉上的立方体1套：尺寸约12*12*12cm，材质；木质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105、盒子与圆柱1套：尺寸约14*14*10.5cm，材质：木质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106、盒子与长方体1套：尺寸约14*14*10.5cm，材质：木质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107、盒箱 Box with Bins 1套：尺寸约29*12*12cm，材质：木质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108、圆、矩形、三角形和正方形积木1套：材质：木质，四种不同形状积木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109、四个圆形积木1套：材质；木质，四种相同圆形积木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110、四个基本图形积木 1套：材质；木质，四种不同形状积木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111、四圆基本图形积木1套：材质；木质，四种不同形状积木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112、圆倍数积木1套：材质；木质，包含整圆，二分之一，三分之一，四分之一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113、组合几何体盘（大）（尺寸约34*10*3cm）1套：材质；木质，包含整圆，长方形，三角形，正方形，五边形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114、组合几何体盘（小）(尺寸约32*7.5*3cm)1套：材质；木质，包含整圆，长方形，三角形，正方形，五边形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115、倍数积木1套：材质；木质，练习倍数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116、四个三角形积木1套：材质；木质，4个相同形状不同部分组成三角形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117、不规则拼盘 1套：材质；木质，不同规则拼盘</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118、几何体支柱 1套：材质；木质，包含大小不同三种颜色的形状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119、1-5数圆 1套：材质；木质，1-5数圆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120、数字英文板 1套：彩色数棒1-9各2根，10一根。正面印刷阿拉伯数字，对面印刷英文名称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121、视觉追踪1套：尺寸约31*31*11cm，材质；榉木，手眼协调，接触形状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122、涂抹果酱1套：大号托盘/小号粉色盅/中号粉色盅/带耳粉色盅/切板/抹刀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123、切苹果1套：大号托盘/大号粉色盅/中号粉色盅/带耳粉色盅/切板/夹子/苹果切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124、剥/切鸡蛋1套：大号托盘/大号黄色盅/中号黄色盅/小号黄色盅/鸡蛋容器/切板/不锈钢切蛋器/夹子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125、去皮/切块1套：大号托盘/大号绿色盅/中号绿色盅/带耳绿色盅/切板/夹子/切刀/削皮器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126、剪的工作1套：材质：塑料、钢，三部分组成，练习幼儿剪纸片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127、开锁工作1套：材质：铁，10不同颜色锁和钥匙，联系幼儿开锁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128、穿串珠---二指捏（扁扣）1个：材质：木制，棉线，培养手眼协调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129、给植物浇水1套：材质：铁质，包含小盘、浇水壶，幼儿练习给植物浇水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130、插花1套：材质：玻璃，插花所需教具，包含不同形状的玻璃瓶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131、擦玻璃1套：白色3格提篮/绿色刮板/绿色喷瓶/绿色抹布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132、刷牙1套：中号仿瓷双耳托盘/牙齿/玻璃碗/玻璃杯/牙刷/海绵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133、清洁鞋子1套：小号榉木托盘/绿色手指抹布/皮革垫/鞋油瓶/小碟子/毛刷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134、蒙氏发展1套：蒙氏发展历程、材质：榉木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135、规范标牌1套：亲子规范标牌、材质：榉木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（二）教具展示台：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1、三层教具柜5张：尺寸约105*30*60cm、材质：榉木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2、二层教具柜6张：尺寸约105*30*35cm、材质：榉木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3、三层教具柜（+后背板）6张：尺寸约105*30*60cm、材质：榉木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4、三层转角柜2张：边长约30*60cm、材质：榉木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5、儿童椅50张：尺寸约28*30*45-51+23/25/27/29坐面高cm、材质：榉木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6、六人长桌8张：尺寸约120*60*37/40/45/50/55cm、材质：榉木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7、方桌4张：尺寸约60*60*37/40/45/50/55cm、材质：榉木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8、圆桌2张：尺寸约直径60*37/40/45/50/55cm、材质：榉木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9、工作毯柜（12格）1张：尺寸约60*26*45cm、材质：榉木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10、书报柜（梯形）4张：尺寸约62*40*59cm、材质：榉木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11、鞋柜1张：尺寸约120*24*32cm、材质：榉木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12、洗布台1张：尺寸约85*40*43cm、材质：榉木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13、晾布架1张：尺寸约62*26*59cm、材质：榉木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14、移动毛巾架1张：尺寸约83*56*86cm、材质：榉木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15、卫生架1张：尺寸约68*31*64cm、材质：榉木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16、洗手台1张：尺寸约64*37*38cm、材质：榉木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17、观察镜（镜面加厚加大）1张：尺寸约130*70cm、材质：榉木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18、学步桥1张：尺寸约180*54*68.5cm、材质：榉木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19、穿爬组合（A款）1张：尺寸约45*45*45cm（3小）、140*45*45（1大）cm、材质：榉木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20、水杯柜1张：尺寸约55*10*38cm、材质：榉木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21、成人凳3张：尺寸约32*25*20cm、材质：榉木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22、矮凳2张：尺寸约37.5*18.5*17cm、材质：榉木</w:t>
            </w:r>
            <w:r/>
          </w:p>
          <w:p>
            <w:pPr>
              <w:pStyle w:val="743"/>
              <w:ind w:left="0" w:right="0" w:firstLine="0"/>
              <w:keepLines w:val="0"/>
              <w:keepNext w:val="0"/>
              <w:pageBreakBefore w:val="0"/>
              <w:spacing w:before="0" w:beforeAutospacing="0" w:after="0" w:afterAutospacing="0" w:line="320" w:lineRule="exact"/>
              <w:rPr>
                <w:rFonts w:hint="eastAsia" w:ascii="宋体" w:hAnsi="宋体" w:eastAsia="宋体" w:cs="宋体"/>
                <w:bCs w:val="0"/>
                <w:i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（三）PP+LGF材质旋风坐凳60张，尺寸约29cm×29cm×45cm，彩色组合设计（具体颜色及样式须在供货前经采购人书面确认），具备可折叠收纳功能。</w:t>
            </w:r>
            <w:r/>
          </w:p>
          <w:p>
            <w:pPr>
              <w:pStyle w:val="743"/>
              <w:ind w:left="0" w:right="0" w:firstLine="0"/>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备注：以上货物尺寸允许细微偏差（±5mm以内），但必须经采购人认可且不影响使用功能及符合采购人使用需求，中标后须经采购人确认后方可供货。</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奥尔夫教具</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（一）奥尔夫教具：</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1、高音木琴2台：总长度≥56厘米，宽度≥15.5厘米≥8厘米，高度≥12厘米，琴片厚度≥2厘米，音域：C5-A6，材质：红花梨琴片＋松木琴箱</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2、中音木琴2台：长约65.5厘米，宽度≥17.5厘米≥10厘米，高度≥14.5厘米，琴片厚度≥2厘米，，音域：C4-A5，材质：红花梨琴片＋松木琴箱</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3、低音木琴1台：长约65.5厘米，宽度≥22厘米≥14.5厘米，高度≥20厘米，琴片厚度≥2厘米，音域：C3-A4，材质：红花梨琴片＋松木琴箱</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4、高音铝板琴2台：长约65.5厘米，宽度≥15.5厘米≥7.5厘米，高度≥12厘米，琴片厚度≥8mm，音域：C5-A6，材质：铝片、松木琴箱</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5、中音铝板琴2台：长约65.5厘米，宽度≥24厘米，高度≥15厘米，琴片厚度≥8mm，音域：C4-A5，材质：铝片、松木琴箱</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6、低音铝板琴1台：长约65.5厘米，宽度≥30厘米，高度≥20厘米，琴片厚度≥8mm，音域：C3-A4，材质：铝片、松木琴箱</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7、手提8音琴1台：总长度≥30.5厘米，最宽宽度≥15厘米，琴片厚度≥3mm，约音域：C4-C5，材质：铝片、橡胶木架</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8、单8音块1台：总长度≥22厘米，高度≥3.5厘米，琴片厚度≥3mm，音域：C4-C5，材质：钢片、松木块</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9、10音音砖1台：尺寸：木箱长度≥58厘米，宽度≥28厘米，高度≥7厘米，琴片厚度≥5mm材质：铝片、榉木板＋松木块</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10、17音音砖1台：尺寸：木箱长度≥57厘米，宽度≥38厘米，高度≥7.5厘米，琴片厚度≥5mm材质：铝片、榉木板＋松木块</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11、37音带架木琴1台：尺寸：长度≥100厘米，宽度≥52厘米，琴槌长度≥30厘米≥27厘米，音域：C3-C6，材质：红花梨琴片＋橡胶木架＋铁支架</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12、手鼓1个：尺寸：直径≥20厘米，高度≥4.5厘米，鼓圈厚度≥7mm，材质：杨木圈+羊皮＋铁泡钉（电镀）</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13、双排铃鼓1个：尺寸：直径≥20厘米，高度≥5.5厘米，鼓圈厚度≥7mm，材质：杨木圈+羊皮+不锈铁镲片</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14、异形鼓4个：尺寸约：26*26*0.5cm，材质：木质+PVC</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15、15音空灵鼓4个：尺寸：14寸，槌长度≥14.5厘米，音域：E2- E4，材质：碳钢</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16、大康佳鼓1套：尺寸：鼓面直径≥31厘米＋≥28.5厘米，高度≥73厘米，材质：橡木鼓腔+兽皮鼓面＋铁架子（喷涂）</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17、12寸中国红鼓1套：尺寸： 鼓面直径≥40厘米，鼓高度≥22厘米，材质：桐木鼓腔＋牛皮鼓面+铁架子（喷涂）</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18、多音鼓（三连鼓）1套：尺寸：8寸10寸12寸；材质：木质鼓腔 聚酯鼓皮</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19、天巴鼓1套：鼓直径13英寸+14英寸，材质：PVC鼓皮，金属鼓体，金属升降支架</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20、墩墩鼓1套：尺寸： 1、鼓面直径≥25厘米，高度≥25厘米，2、鼓面直径≥33厘米，高度≥50厘米，3、鼓面直径≥40厘米，高度≥60厘米，材质：硬杂木鼓腔+牛皮鼓面</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21、木质非洲鼓8个：尺寸： 12寸，材质：桃花心木鼓腔+羊皮鼓面</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22、木质非洲鼓2个：尺寸： 12寸，材质：桃花心木鼓腔+羊皮鼓面</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23、榉木午板8对：颜色：原木色，材质：榉木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24、午板木质收纳盒1个：尺寸约40*18.5*20cm，颜色：原木色，材质：木质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25、双响筒8副：尺寸：总高度≥19.5厘米，筒长度≥19.5厘米，手柄长度≥17厘米，材质：橡胶木筒、桦木锤</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26、双响筒木质收纳盒1个：尺寸约32.5*16*20cm，颜色：原木色，材质：木质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27、单响加沟8副：总高度≥19厘米，材质：椿木筒＋桦木锤</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28、单响筒木质收纳盒1个：尺寸约32.5*16*20cm，颜色：原木色，材质：木质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29、高低梆子8副：总长度≥26.5厘米，材质：椿木筒＋桦木锤</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30、高低木质收纳盒1个：尺寸约32.5*16*20cm，颜色：原木色，材质：木质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31、响板8个：长度≥18厘米，材质：橡胶木，颜色：原木色</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32、响板木质收纳盒1个：尺寸约32.5*16*20cm，颜色：原木色，材质：木质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33、小鱼梆子（清漆）8副：总长度≥16厘米，直径≥5.5厘米，材质：橡胶木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34、小鱼梆子木质收纳盒1个：尺寸约32.5*16*20cm，颜色：原木色，材质：木质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35、打棒8对：直径≥2厘米，长度≥20厘米，材质：橡木，颜色：清漆原木色</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36、打棒木质收纳盒1个：尺寸约32.5*16*20cm，颜色：原木色，材质：木质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37、南梆子2副：长度≥16.5厘米，宽度≥6厘米，材质：橡胶木＋桦木锤</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38、双音梆子2副：尺寸约24*3.8*5.8cm，材质：橡胶木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39、北梆子2幅：材质：黑檀木，尺寸约：19cm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40、简板4对：材质：檀木，无油漆，尺寸约长185mm×宽25mm×厚15.2mm(±2mm)。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41、快板4付：尺寸约19.*6.2cm、12.2*4.5cm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42、方梆子4付：尺寸约22.5*7*7cm，颜色：清漆原木色，材质：椿木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43、爱尔兰音勺2个：材质：色木，尺寸约240mm×43mm×46mm(±2mm)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44、雕蛙(小)1个：长度≥6厘米，高度≥4厘米，刮签长度≥8.5厘米，材质：芒果木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45、雕蛙（中）1个：长度≥11厘米，高度≥7厘米，刮签长度≥16.5厘米材质：芒果木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46、雕蛙（大）1个：长度≥17厘米，高度≥10厘米，刮签长度≥18.5厘米，材质：芒果木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47、5铃握铃8个：总高度≥9.5厘米，铃铛直径≥2.5厘米，材质：桦木手柄、皮革带、铃铛(铁、电镀镍）</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48、握铃木质收纳盒1个：尺寸约40*18.5*20cm，颜色：原木色，材质：木质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49、21铃棒铃绒布8个：总长度≥26厘米，铃铛直径≥2厘米，，材质：杨木手柄、铃铛(铁、电镀镍）</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50、棒铃木质收纳盒1个：尺寸约32.5*16*20cm，颜色：原木色，质：木质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51、原木色砂球8对：砂球总长度≥20.5厘米，材质：橡胶木，颜色：原木色</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52、砂球木质收纳盒1个：尺寸约32.5*16*20cm，颜色：原木色，材质：木质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53、直筒蛙8副：总长度≥14.5厘米，直径≥4厘米，材质：椿木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54、直筒蛙木质收纳盒1个：尺寸约40*18.5*20cm，颜色：原木色，材质：木质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55、木质砂蛋10对：砂蛋总长度≥6.5厘米，直径≥4.5厘米，材质：榉木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56、砂蛋木质收纳盒1个：尺寸约40*18.5*20cm，颜色：原木色，材质：木质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57、塑料8音筒5套：长度≥28厘米，≥31厘米，≥35厘米，≥39厘米，≥45厘米，≥47厘米，≥54.5厘米，≥61厘米，直径≥4.5厘米，材质：PE塑料</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58、丝带碰钟2对：直径≥3.5厘米，高度≥3厘米，材质：黄铜（氧化工艺）</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59、丝带碰钟2对：直径≥4.5厘米，高度≥4厘米，材质：黄铜（氧化工艺）</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60、丝带碰钟2对：直径≥3.5厘米，高度≥3厘米，材质：黄铜（氧化工艺）</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61、带架铜锣1套：桦木锣架+22cm黄铜铜锣，架子尺寸约38*37cm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62、三角铁8个：尺寸约8寸，边长≥20厘米，槌长度≥12厘米，材质：Q235铁+电镀铬</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63、三角铁木质收纳盒1个：尺寸约35*6.5*26.5cm，颜色：原木色，材质：木质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64、木柄碰钟（大）8对：尺寸：直径≥4.5厘米，总高度≥15.5厘米，材质：黄铜（氧化工艺）、杨木和橡木手柄</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65、碰钟木质收纳盒1个：尺寸约32.5*16*20cm，颜色：原木色，材质：木质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66、卡巴萨1个：总高度≥17.5厘米，直径≥11.5厘米，材质：桦木手柄，松木板+铁珠（电镀）</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67、铁砂筒红色2个：颜色：红色，材质：铁质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68、铁砂筒黑色2个：颜色：黑色，材质：铁质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69、铁砂筒银色大2个：颜色：银色，材质：铁质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70、塑料砂蛋（红色）8对：砂蛋总长度≥6.5厘米，直径≥4.6厘米，材质：PS塑料。</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71、砂蛋木质收纳盒1个：尺寸约40*18.5*20cm，颜色：原木色，材质：木质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72、果壳手铃20个：天然椰壳， 内环为木质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73、果壳手铃木质收纳盒1个：尺寸约40*18.5*20cm，颜色：原木色，材质：木质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74、双排铃鼓8个：直径≥20厘米，高度≥5.5厘米，材质：杨木圈+羊皮+不锈铁镲片</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75、铃鼓木质收纳盒1个：尺寸约40*18.5*20cm，颜色：原木色，材质：木质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76、五音木鱼1套：1号木鱼：尺寸约12.7x13x11cm、2号木鱼：约11.2x11.3x9cm、3号木鱼：约8x8.5x7.2cm、4号木鱼：约 6.8x7x6.3cm、5号木鱼：约 6x6.5x5.7cm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77、雨声筒1个：40秒 木质雨声，直径10厘米</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78、雷声筒2个：筒高≥18厘米，直径≥6厘米，材质：纸筒+仿羊皮+不锈铁丝</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79、木质雨声响筒2个：长度≥35厘米，直径≥4.5厘米，材质：橡胶木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80、大号木质鱼蛙8副：总长度≥30厘米，直径≥6厘米，材质：橡胶木身＋桦木槌</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81、14寸海洋鼓2个：颜色：海洋图案彩色鼓面，材质：PVC鼓面+塑料鼓身+钢珠</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82、奥尔夫丝巾（红色）20条：尺寸约60*60厘米，材质：人造丝</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（二）奥尔夫教具展示台2组：</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尺寸约长122cm × 宽34cm × 高102cm，材质：采用E1级实木颗粒板，2.5mm厚高光板材，需经过打磨、抛光等规范工序加工，确保结构合理、稳定性良好。所有板材及表面涂层（油漆）需符合国家最新环保标准。</w:t>
            </w:r>
            <w:r/>
          </w:p>
          <w:p>
            <w:pPr>
              <w:ind w:left="0" w:right="0"/>
              <w:jc w:val="left"/>
              <w:keepLines w:val="0"/>
              <w:keepNext w:val="0"/>
              <w:pageBreakBefore w:val="0"/>
              <w:spacing w:before="0" w:beforeAutospacing="0" w:after="0" w:afterAutospacing="0" w:line="320" w:lineRule="exact"/>
              <w:widowControl/>
              <w:rPr>
                <w:rFonts w:hint="eastAsia"/>
                <w:lang w:val="en-US"/>
              </w:rPr>
              <w:suppressLineNumbers w:val="0"/>
            </w:pPr>
            <w:r>
              <w:rPr>
                <w:rFonts w:hint="eastAsia"/>
                <w:b/>
                <w:bCs/>
                <w:lang w:val="en-US" w:eastAsia="zh-CN"/>
              </w:rPr>
              <w:t xml:space="preserve">备注：以上货物尺寸允许细微偏差（±5mm以内），但必须经采购人认可且不影响使用功能及符合采购人使用需求，中标后须经采购人确认后方可供货。</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感觉统合训练</w:t>
            </w:r>
            <w:r/>
          </w:p>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基础器材</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1、滚轮滑梯1套：尺寸约滑梯218*72cm；支架尺寸约110*77*100cm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2、实木大滑梯1套：尺寸约235*70*58cm（未计算扶手尺寸），材质：新西兰松实木板</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3、冲滑梯专用滑板车2辆：尺寸约45*35cm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4、多功能前庭训练转盘1套：尺寸约100*55cm；轴承为可更换设计</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5、攀爬墙组合1套：尺寸约360*240cm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6、悬吊铁架标准款1套：尺寸约400*300*高度240cm；钢管尺寸约80*80*3MM；立柱外包防撞垫；地面铺3cm厚地垫</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7、升降器6个：尺寸约11.6*8cm，材质：热锻镁铝合金；承重不低于200KG。8、合金款旋转器4个：尺寸约10.8*5.5cm；材质：热锻镁铝合金；承重不低于300KG</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9、圆筒吊缆1套：尺寸约盘直径64cm，柱子直径约21cm，柱子高度约74cm；总高145cm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10、圆木马吊缆1套：尺寸约圆柱直径28*长90*总高150cm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11、正方形平板秋千1套：尺寸约70*70**总高150cm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12、长方形平板秋千1套：尺寸约120*60**总高150cm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13、南瓜秋千1套：尺寸约直径50*总高150cm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14、圆形布袋秋千1套：直径约70*高约150cm；材质：内部填充枕芯棉</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15、飞人秋千1套：高140cm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16、插棍1套：尺寸约20*20*4.5cm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17、大号身体挤压机1组：尺寸约85*72*41cm，6档压力值可调节</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lang w:val="en-US" w:eastAsia="zh-CN"/>
              </w:rPr>
              <w:t xml:space="preserve">18、触觉刷1个：尺寸约9*5.5*5.5cm。刷毛材质需柔软细腻，符合幼儿皮肤安全接触标准，适用于感觉统合触觉训练；</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19、软胶触觉刷1个：尺寸约12*7*4cm；硅胶</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20、按摩挤压棒1个：尺寸约36*5cm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21、指压板12张：尺寸约39*29cm；硬度适中</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22、半圆平衡触觉石10个：单只尺寸：直径16.5cm，高度8.5cm左右；马卡龙色</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23、透明按摩球4个：直径8cm；非充气款，一体成形工艺；微香</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24、3寸按摩球4个：直径7.5cm，充气款</w:t>
            </w:r>
            <w:r/>
          </w:p>
          <w:p>
            <w:pPr>
              <w:ind w:left="0" w:right="0"/>
              <w:jc w:val="left"/>
              <w:keepLines w:val="0"/>
              <w:keepNext w:val="0"/>
              <w:pageBreakBefore w:val="0"/>
              <w:spacing w:before="0" w:beforeAutospacing="0" w:after="0" w:afterAutospacing="0" w:line="320" w:lineRule="exact"/>
              <w:widowControl/>
              <w:rPr>
                <w:rFonts w:hint="default"/>
                <w:lang w:val="en-US" w:eastAsia="zh-CN"/>
              </w:rPr>
              <w:suppressLineNumbers w:val="0"/>
            </w:pPr>
            <w:r>
              <w:rPr>
                <w:rFonts w:hint="eastAsia"/>
                <w:lang w:val="en-US" w:eastAsia="zh-CN"/>
              </w:rPr>
              <w:t xml:space="preserve">25、蓝色光面按摩球-85cm1个：直径85cm；重2000G；环保等级16P及以上</w:t>
            </w:r>
            <w:r/>
          </w:p>
          <w:p>
            <w:pPr>
              <w:ind w:left="0" w:right="0"/>
              <w:jc w:val="left"/>
              <w:keepLines w:val="0"/>
              <w:keepNext w:val="0"/>
              <w:pageBreakBefore w:val="0"/>
              <w:spacing w:before="0" w:beforeAutospacing="0" w:after="0" w:afterAutospacing="0" w:line="320" w:lineRule="exact"/>
              <w:widowControl/>
              <w:rPr>
                <w:rFonts w:hint="default"/>
                <w:lang w:val="en-US" w:eastAsia="zh-CN"/>
              </w:rPr>
              <w:suppressLineNumbers w:val="0"/>
            </w:pPr>
            <w:r>
              <w:rPr>
                <w:rFonts w:hint="eastAsia"/>
                <w:lang w:val="en-US" w:eastAsia="zh-CN"/>
              </w:rPr>
              <w:t xml:space="preserve">26、红色触点按摩球-85cm1个：直径85cm；重2000G；环保等级16P及以上</w:t>
            </w:r>
            <w:r/>
          </w:p>
          <w:p>
            <w:pPr>
              <w:ind w:left="0" w:right="0"/>
              <w:jc w:val="left"/>
              <w:keepLines w:val="0"/>
              <w:keepNext w:val="0"/>
              <w:pageBreakBefore w:val="0"/>
              <w:spacing w:before="0" w:beforeAutospacing="0" w:after="0" w:afterAutospacing="0" w:line="320" w:lineRule="exact"/>
              <w:widowControl/>
              <w:rPr>
                <w:rFonts w:hint="default"/>
                <w:lang w:val="en-US" w:eastAsia="zh-CN"/>
              </w:rPr>
              <w:suppressLineNumbers w:val="0"/>
            </w:pPr>
            <w:r>
              <w:rPr>
                <w:rFonts w:hint="eastAsia"/>
                <w:lang w:val="en-US" w:eastAsia="zh-CN"/>
              </w:rPr>
              <w:t xml:space="preserve">27、触觉坐垫4张：尺寸约34*5cm；重1000G；环保等级16P及以上</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28、花生球1个：直径40*长85cm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29、羊角球-18寸1个：18寸，直径48cm；重500g</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30、羊角球-22寸1个：22寸，直径56cm；重680g</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31、特大号羊角球-65cm1个：直径56cm；重1200g；环保等级16P及以上32、PU篮球2个：尺寸：直径22cm，PU材质</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33、大气量手用气泵1个：约4000CC出风量，配3个转换头；适用于：大龙球、按摩球、羊角球</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34、折叠斜坡垫1组：尺寸约200*80*45/5cm；内芯：高密度全海绵（35KG/立方米）；外套：针孔纹PVC皮革</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35、多功能斜坡垫2组：尺寸约150*60*70cm；底部为毛绒布料，可用来粘贴；内芯：高密度全海绵（35KG/立方米）；外套：针孔纹PVC皮革</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36、卡通图案游戏贴1套：可与多功能斜坡垫配套使用；一共包括不少于13款不同的图案，其中水果至少6款，汽车至少4款，太空至少3款</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37、交替闪烁训练灯1套：可与多功能斜坡垫配套使用；一套7只（其中控制主机1只，闪烁灯6只），0.2-7秒自由设定</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38、数字跳垫A1张：尺寸约200*80*5cm；内芯：高密度全海绵（35KG/立方米）；外套：针孔纹PVC皮革</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39、数字跳垫B1张：尺寸约200*80*5cm；内芯：高密度全海绵（35KG/立方米）；外套：针孔纹PVC皮革</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40、障碍跑跳组合1套：总长度635cm，由1块底单（约635*宽120cm）、1块跳垫(约80*40*30cm)和10条跳条(约80*10*15cm)组成；魔术贴外侧间距70cm；内芯：高密度全海绵（不少于35KG/立方米）；外套：针孔纹PVC皮革</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41、三档跳马-中号1组：尺寸约60*55*75cm；内芯：高密度全海绵（不少于35KG/立方米）；外套：PVC夹网革</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42、数字跳箱1套：尺寸约90*75*15/30/45/60cm；内芯：高密度全海绵（不少于35KG/立方米）；外套：针孔纹PVC皮革</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43、软体滚筒-中号1个：直径约70*高度约85cm；内芯：高密度全海绵（不少于35KG/立方米）；外套：PVC夹网革</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44、平衡木-含护套1套：尺寸约300*10*30cm；含两头保护套</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45、大陀螺1个：尺寸约直径80cm，高44cm，注塑</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46、新式平衡板-大号2套：尺寸约板80*26*厚2cm；滚轮直径16cm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47、软包款平衡台-小号4张：尺寸约30*40cm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48、独脚椅4张：尺寸约23*20cm，吹塑</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49、平衡训练勺1套：尺寸约30*4.5cm，一套6只彩色勺和配套的6只彩色平衡蛋</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50、升级款平衡脚踏车4辆：尺寸约37*42*55cm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51、双人协力车2辆：尺寸约长66.5*宽50.5*高72.5，踏板长66*宽19；承重量100kg</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52、踏脚石4套：尺寸约15*10*8cm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53、双人齐步走2套：尺寸约59*14*2.5cm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54、围边蹦床1张：直径约110cm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55、三色跳袋-小号4个：直径约30，高度约60cm，材质：300D牛津布；提手高度约4cm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56、跨栏组合套装1套：一套5只，高度分别为15cm，23cm，30cm，40cm，50cm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57、可调节式跳高架1套：尺寸约长212*高58cm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58、敏捷梯1套：尺寸约6米</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59、短跳绳4个：长2.8米</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60、小丑投掷靶1个：尺寸约92*55cm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61、软体躲避球2个：直径约15cm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62、接接乐2套：勺子长度约40cm，宽度约12cm，球直径约9cm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63、接球勺2套：长约19cm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64、莱卡弹弹圈2套：球网直径约35.5cm，大球直径：11cm，小球直径：5cm。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65、四分之一圆1套：尺寸约130×42cm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66、万象组合1套：含平衡桥3块，圆桶12个，全砖6个， 半砖2个等114件</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67、过河石1套：一套11只，尺寸约60*40*40 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68、88轨道2套：尺寸约34*22cm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69、上下转盘2套：尺寸约34*20*4cm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70、70、巧手迷宫2套：正反面两个迷宫，3个玻璃球</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71、视力环2套：尺寸：直径18cm，圆环2个，圈夹2个</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72、精细动作专用串珠1套：1300颗，含专用串珠线一卷</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73、串珠积木2套：共110件,含大串珠和小串珠两种规格</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74、螺母碰对积木2套：共60件</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75、串线纽扣2套：共55件</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76、智力拼图插板2套：珠子360件,动物穿线板8件,绳子8条</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77、找相同-混合款2套：尺寸约直径8.5*高5CM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78、抢答拍铃2个：尺寸约直径7*高4.5CM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79、浮球游戏2套：尺寸约15.5*4.2*5CM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80、长方形豆袋1个：尺寸约200*150*20cm，内部填充小块珍珠棉</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81、特大号圆形豆袋1个：尺寸约直径120*高度115cm</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82、大号EVA地垫-2.0CM50张：尺寸约100*100*2CM；树叶纹</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83、实木教具柜2张：尺寸约120*40*80cm；材质：新西兰松木板</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lang w:val="en-US" w:eastAsia="zh-CN"/>
              </w:rPr>
              <w:t xml:space="preserve">84、侧装置球架2个：尺寸约长200*宽60*高度50cm</w:t>
            </w:r>
            <w:r/>
          </w:p>
          <w:p>
            <w:pPr>
              <w:ind w:left="0" w:right="0"/>
              <w:jc w:val="left"/>
              <w:keepLines w:val="0"/>
              <w:keepNext w:val="0"/>
              <w:pageBreakBefore w:val="0"/>
              <w:spacing w:before="0" w:beforeAutospacing="0" w:after="0" w:afterAutospacing="0" w:line="320" w:lineRule="exact"/>
              <w:widowControl/>
              <w:rPr>
                <w:rFonts w:hint="default"/>
                <w:lang w:val="en-US"/>
              </w:rPr>
              <w:suppressLineNumbers w:val="0"/>
            </w:pPr>
            <w:r>
              <w:rPr>
                <w:rFonts w:hint="eastAsia"/>
                <w:b/>
                <w:bCs/>
                <w:lang w:val="en-US" w:eastAsia="zh-CN"/>
              </w:rPr>
              <w:t xml:space="preserve">备注：以上货物尺寸允许细微偏差（±5mm以内），但必须经采购人认可且不影响使用功能及符合采购人使用需求，中标后须经采购人确认后方可供货。 </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机构养老平台管理</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 name="图片_96"/>
                      <wp:cNvGraphicFramePr/>
                      <a:graphic xmlns:a="http://schemas.openxmlformats.org/drawingml/2006/main">
                        <a:graphicData uri="http://schemas.openxmlformats.org/drawingml/2006/picture">
                          <pic:pic xmlns:pic="http://schemas.openxmlformats.org/drawingml/2006/picture">
                            <pic:nvPicPr>
                              <pic:cNvPr id="2" name="图片_96"/>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 name="图片_96_SpCnt_1"/>
                      <wp:cNvGraphicFramePr/>
                      <a:graphic xmlns:a="http://schemas.openxmlformats.org/drawingml/2006/main">
                        <a:graphicData uri="http://schemas.openxmlformats.org/drawingml/2006/picture">
                          <pic:pic xmlns:pic="http://schemas.openxmlformats.org/drawingml/2006/picture">
                            <pic:nvPicPr>
                              <pic:cNvPr id="3" name="图片_96_SpCnt_1"/>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一、监控中心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（一）主页 1、报警：报警信息/未解除报警/报警趋势模块；2、设备：设备总数/占比/设备名称/在离线/故障/电量不足等图示；3、环境：各个区域的环境情况显示；4、能耗：能耗日差异图表；5、使用情况统计图。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（二）智慧看板 1、长者分布；2、护理分布；3、业务数据统计；4、历史入住、退住统计；5、预警信息。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（三）常用监控面板 对常用设备进行模块化显示监控，显示设备状态，监测信息，所属位置等基础信息。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二、老人监护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（一）医护人员管理 对医护人员信息进行新增，编辑，删除，分配病区并按各个信息进行条件查询。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（二）老人监控面板 1、模块化显示：老人和房间的各个报警和防护设备、条件查询窗口、报警实时处理窗口；2、老人模块：老人的基础信息（包含对应医生、联系人、禁忌等）、呼叫记录、体征记录（图和表）、护理记录且记录支持条件查询；3、设备模块：包含显示各个设备实时状态，点击显示开关、操作记录、原始数据（图和表）、统计数据（图和表）、传感报警记录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（三）护士监护站 1、房间视图：以房间为单位显示每个房间老人照片，姓名，年龄，实时睡眠心率呼吸数据，以及房间的温湿度等环境信息和房间警示信息。2、点击进入房间详细信息：床位老人，环境信息，区域监控设备等详情。3、床位视图：以床位为单位，显示老人护理登记。年龄，姓名。实时睡眠心率呼吸数据。2.1、点击进入老人记录：老人基础信息：包括身份证，禁忌，入院时间；紧急联系人，体征状态图表，护理记录：可按日历选择查看每一天护理细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（四）报警求助 1、对所有报警信息进行处理登记；2、按条件（项目、楼层、报警类型、时间、床位、状态）查询老人的报警情况。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（五）老人信息 登记老人的信息、出院登记、分配床位、医护、选择护理等级等操作。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（六）床位分配 对已登记老人进行床位分配和退出；可按条件查询操作：条件包含：床位、老人姓名性别、区域、所属医护、空置床位。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三、区域管理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（一）区域监控 对设备状态以及上传地图设备部署情况进行查看。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（二）计划任务 1、模板管理：设置计划模板：如夏令时和冬令时或者周末计划开启任务。以便快速切换；2、常用计划：设置常用的设备开关的计划任务，如养老院定时开启空调26度制冷。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（三）设备联动 1、模板管理：设置联动模板：如滞留警示器，滞留时间为10分钟，微动时间30秒报警；2、设备联动：设置具体设备联动：如某某老人房间厨房燃气报警联动电动阀门关闭燃气。</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（四）常用监控面板管理 对常用监控面板的监控对象进行自定义设置。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四、系统历史记录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（一）报警记录 按条件查询：全部、项目、区域、报警类型、触发时间报警记录，并显示记录详细信息。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（二）设备异常记录 按条件查询异常设备的历史记录，故障、离线、电量不足等以便快速定位原因和处理故障。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（三）设备记录 按条件查询设备通讯信息记录，可查看设备通讯情况，心跳信息等。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（四）账号角色记录 对应各个权限的角色账号的操作进行记录。出现异常操作时，快速定位。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（五）历史数据 对应安防传感器监测到的信息分类进行记录，按条件进行查看。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五、系统设置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（一）角色管理 建立角色，编辑角色：对角色基础信息和所有的菜单和功能进行权限设置（查看、控制配置等细分权限）如护士 、护士长、院长等不同角色。</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（二）设备管理 对所有设备进行添加，绑定，重命名、查看设备信息和状态，设置设备逻辑等。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（三）网关升级 对各个型号网关固件进行远程升级。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（四）账号管理 新建、编辑、按条件查询账号。如不同楼层和不同社区的负责人的账号。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（五）事件管理 编辑报警，老人常见的事件，以便快速处理报警。如跌倒，失禁等。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（六）护理管理 新增和编辑 护理等级。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六、项目配置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（一）项目管理 新建项目：名称，信息，排序，上传背景，图标等。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（二）区域配置 对应不同项目的具体区域进行配置，如社区、楼栋、楼层、房间、卫生间 床位等具体区域。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（三）菜单管理 对应1级/2级菜单，以及不同设备功能操作进行启/禁用、编辑名称、具体内容菜单排序等。</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智慧康养机器人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硬件参数：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1.身高：不低于150cm；重量：不低于70kg；</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2.移动方式：2个驱动轮+4个万向轮。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3.控制方式：</w:t>
            </w:r>
            <w:r>
              <w:rPr>
                <w:rFonts w:hint="eastAsia" w:ascii="宋体" w:hAnsi="宋体" w:eastAsia="宋体" w:cs="宋体"/>
                <w:i w:val="0"/>
                <w:iCs w:val="0"/>
                <w:caps w:val="0"/>
                <w:color w:val="auto"/>
                <w:spacing w:val="0"/>
                <w:sz w:val="21"/>
                <w:szCs w:val="21"/>
                <w:highlight w:val="none"/>
                <w:shd w:val="clear" w:color="auto" w:fill="ffffff"/>
              </w:rPr>
              <w:t xml:space="preserve">支持</w:t>
            </w:r>
            <w:r>
              <w:rPr>
                <w:rFonts w:hint="eastAsia" w:ascii="宋体" w:hAnsi="宋体" w:eastAsia="宋体" w:cs="宋体"/>
                <w:i w:val="0"/>
                <w:iCs w:val="0"/>
                <w:color w:val="auto"/>
                <w:sz w:val="21"/>
                <w:szCs w:val="21"/>
                <w:highlight w:val="none"/>
                <w:u w:val="none"/>
                <w:lang w:val="en-US" w:eastAsia="zh-CN" w:bidi="ar"/>
              </w:rPr>
              <w:t xml:space="preserve">PC端、语音控制、本体触摸控制；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显示屏幕：不低于27英寸机身一体嵌入式IPS高清显示屏，不低于1920*1080（16：9），支持多点触控；（投标时需提供能清晰显示屏幕与机身整体结构关系的产品整体照片、设计图或结构分解图，并辅以文字说明其如何实现一体化嵌入式设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5.主机需采用高性能嵌入式处理器：处理器采用高性能核+能效核组合的大小核异构架构，支持大小核动态任务调度，主频不低于2.4GHz，内存不低于8GB，存储空间不低于64GB，支持AI计算加速；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 为保障机器人避障导航定位性能，，需配备以下传感器：深度摄像头不少于1组（视角H≥58.4°，V≥45.5°；最大深度距离≥2m），2D彩色摄像头不少于1组，麦克风阵列不少于1组，扬声器不少于2个，激光雷达传感器不少于1组，超声波测距传感器不少于3组。</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（1）深度摄像头参数：视角：视角H≥58.4°，V≥45.5°；最大深度距离≥2m；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（2）2D彩色摄像头参数：像素分辨率不低于800万，视场角度≥89°；</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（3）麦克风阵列参数：环形六麦阵列，支持降噪及声源识别，带VAD检测，最远5m远场拾音；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（4）扬声器：4Ω，单扬声器功率不低于15W；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（5）激光雷达参数：测量半径不低于20m，精度±5cm，扫描范围不低于210°；</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（6）超声波传感器参数：探测范围1cm~80cm，探测精度±1cm，探测角度最大≥60°；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7.表情推送：具备不低于7英寸的表情显示屏，可显示表情类型不少于6种；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8.外部按键及接口：电源总开关不少于1个；急停开关不少于1个（用于紧急保护，按下急停，旋弹解锁）；快速直流充电接口不少于1个。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9.主机系统不低于：需搭载智能移动终端操作系统。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10.充电桩指示灯：自带充电指示灯，用于充电状态指示；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11.电池与续航：锂电池容量不低于30Ah，满电状态下持续工作时长不低于8小时，支持开机及关机两种状态下的充电。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12.通讯方式：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①支持Wi-Fi（2.4GHz/5GHz双频，协议标准不低于802.11 a/b/g/n/ac）。</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②支持百兆以太网有线连接。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③可选配4G或5G移动通信模块。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13.蓝牙：支持蓝牙4.0及以上版本；</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14.运动参数：移动速度在0.3m/s至0.7m/s范围内可调；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15.具备自动回巢充电功能；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16.唤醒方式：需同时支持语音唤醒、触屏唤醒、人脸唤醒、手臂唤醒；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17.导航与避障：支持室内高精度地图构建，实现自主路径规划及避障导航；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18.地图管理：支持多地图切换及编辑功能。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软件功能要求：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1.具备专业场景问答功能，可自定义的专业问答库，问答库支持一问一答，自动识别关键词，可配置多条相似问题进行匹配，问答内容可满足：文本、图片、超链接、视频、语音等多种方式自定义；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2.具备日常闲聊功能，包括天气、日历等个性化闲聊问答；</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3.唤醒词定制：唤醒词需按要求定制，定义后可以以通过此唤醒词唤醒机器人。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4.LOGO定制：主界面和聊天界面的LOGO可以定制。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5.表情自定义：机器人支持自定义表情上传使用。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6.音色切换：机器人支持男声、女声童声等多种音色切换。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7.视频播放：首页需内置视频播放窗口，上传视频后即可自动播放。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8.具备活动宣传功能，可自定义活动宣传内容，富文本、网页链接，音频视频多种格式宣传材料，可自定义内容数量不低于81个；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9.具备问路引领功能，可自定义地点，路线及内容；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10.具备人脸库管理功能，可云端导入人脸库，VIP人脸识别，并配置个性化欢迎词；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11．具备导览讲解功能，可自定义的导览讲解线路，内容讲解支持文字，音频视频多种格式；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12.具备物联网控制功能，支持TCP等通讯协议；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13.支持多种娱乐功能，如唱歌跳舞；</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14.具备讲解功能，可自定义自定义讲解路线、多媒体支持丰富、自动讲解、手动讲解、物联网场景联动。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15.引导词自定义 引导词待机样式下，主界面下的引导词支持自定义，以适应不同场景，引导访客进行提问。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 需支持会议签到及上下班打卡功能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★17.机器人需集成AI大语言模型，具备自然语言交互、知识问答及内容生成能力（投标时需提供所搭载大模型的功能列表及技术说明）。</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18.问答互动打断策略：支持随时打断、未知问题不打断、仅知识库问题打断、不打断，四种打断策略的选择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19.人工介入：可在后台手动控制当前显示表情，可以即时生效，可手动控制机器人到达已经设置过的导航点，在后台接受到前端返回的语音消息后，可以输入文字来进行机器人语音播报。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20.待机页面：支持自定义设置引导词，轮播图，待机时间；待机页面样式支持：引导词、轮播图、宣传视频。</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平台管理：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1.数据统计 直观显示企业机器人数、知识库问题数、VIP人脸数、基础功能数；机器人总的解答问题数，语音交互次数、基础功能使用次数；热点问题top5,未知问题top5</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2.访客记录 可查询访客开始使用机器人时间，聊天记录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3.知识管理 支持批量添加、导入和删除问答数据，供问答使用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4.同义词 支持批量添加、导入和删除。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5.专业名词 支持批量添加、导入和删除专业名词，有助于住机器人回答专业问题，使机器人问答识别更精准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6.未知问题 所有访客提问而机器人无法回答的问题，可以挑选编辑对应答案后添加到知识管理中，聊天记录可供查阅，更好的根据情景编辑回答内容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7.表情自定义 可后台添加机器人表情，包括唤醒、微笑、说话、高兴、难过、花痴，可切换到自定义的表情</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8.工作模式 可在后台开启或关闭会场签到和上下班打卡功能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软件模块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1.人脸识别系统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2.语音识别系统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3.超声波、激光雷达、深度相机等多传感融合避障系统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4.对接人工智能，和行走机器人等硬件设备实现人机协作。</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守护机器人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1、长者意外摔倒：当长者在家中意外摔倒时，机器人会自动进行识别并预警至客户端（家属端）和值班中心，以便及时发现并提醒相关人员及时处理预警。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2、长者呼救：当长者采用语音或者按键的方式进行呼救，机器人会识别并预警至客户端（家属端）和值班中心，以便及时发现并提醒相关人员及时处理预警。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隐私空间异常：当长者在隐私空间（卫生间，卧室等）发生意外或跌倒，在机器人不允许进入情形下，机器人会通过询问和声音回复进行识别并预警至客户端（家属端）和值班中心，以便及时发现并提醒相关人员及时处理预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4、室内无人：当长者不在机器人陪护视线内或者外出，机器人会自动启动巡逻模式，巡逻后未发现长者，机器人进行预警至客户端（家属端）和值班中心，以便及时发现并提醒相关人员及时处理预警。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5、一键呼叫值班中心：长者可语音或者点击方式，通过机器人呼叫值班中心寻求相应的帮助。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6、远程分身：客户端（家属端）可以通过远程分身功能控制机器人移动查看长者和家中的状况。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7、用药提醒：机器人端可以使用语音或者点击机器人屏幕提醒功能，给长者用药以及其他易忘记的事情做提醒，客户端（家属端）可以给机器人同步设置相应长者需要的提醒。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8、视频通话：长者可语音或者点击的方式，通过机器人与客户端的子女或家属视频通话。</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9、互动娱乐：长者可以和机器人语音对话，机器人机智的回答为长者排忧解闷；长者想知道新闻，天气，歌曲等都可通过机器人获得全网信息；机器人的每个长者用户可通过机器人互加好友，丰富娱乐生活。</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10、整机尺寸：约350*350*780mm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11、机身重量：不大于9kg。</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12、屏幕尺寸：尺寸不小于10.1英寸，亮度不低于300尼特，可视角度不低于178度。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13、环境温度：-20℃至50℃。</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老年视觉障碍模拟眼镜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装置需用于模拟老年人常见的视觉障碍状态，帮助学生体验与理解老年人因视觉功能退化所面临的生活困难，培养对老年群体的同理心与关怀意识。装置应至少包含黄斑变性模拟组件、白内障病变模拟组件、糖尿病视网膜病变模拟组件三种典型老年性眼病视觉模拟组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智能化硬件单床解决方案</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本方案为单床位监护解决方案，需包含以下基础硬件设备，用于实现紧急求助、行为感知、安全预警与定位功能：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智能网关：1台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紧急呼叫设备：无线紧急按钮（固定式）与便携式紧急按钮（可穿戴式）各不少于1个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行为感知传感器：无线红外探测器、门磁传感器各不少于1套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安全辅助设备：智能感应小夜灯不少于1个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视觉感知设备：非显式看护摄像头（需保障隐私安全）不少于1台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体征监测设备：智能床带不少于1套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提醒与通讯设备：支持音乐、闪光及震动提示的无线门铃（含震动接收器）不少于1套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室外定位设备：智能定位胸卡不少于1个</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全套机构养老场景报警设备</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一、WIFI智能呼叫网关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须支持物联网设备组网协议，实现接入设备的监测与控制；具备本地SOS呼叫按钮及数据存储功能，支持断网后本地基础控制；支持通过常见网络连接方式接入互联网，并具备远程固件升级能力。</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二、拉绳呼叫器  支持无线通讯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拉绳和按键呼叫求助•无线设备，电池供电。•低电量提醒；•离线检测：设备1H跟网关通讯一次，确保通讯正常•可本地联动声光报警器，发出现场求助声光信号•呼叫求助信号、呼叫时间传送至家庭网关，通过网关传送至服务终端、服务中心进行记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三、床头一键呼叫设备  紧急呼叫</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超长电池寿命• 超低功耗• 低电量报警*可随身携带也可固定在墙面（在网关范围内）* 可选硬件锁定按钮：锁定的时候按按键，无法触发警报，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四、人体监测雷达传感器  支持无线通讯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具备探测传感器能探测静态存在、活动状态及人员位置，检测：存在，即使处于静止姿势；检测：危险姿态，异常姿态，低姿态，有人无人；检测：人活动坐标位置；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五、门磁传感器  支持无线通讯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支持双侧开合侦测•离线检测：设备1H跟网关通讯一次，确保通讯正常•监测：老人每日开关门规律；•警示：夜间开门警示和警报• 支持低电量警告• 支持 防拆警告•可本地联动声光报警器，发出现场求助声光信号•开门信息传送至家庭网关，通过网关传送至服务终端、服务中心进行警示和记录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六、烟雾报警器  支持无线通讯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探测烟雾和火灾危险•内置蜂鸣器：可根据不同场景使用需求调节音量•低电量提醒；•可本地联动声光报警器，发出现场求助声光信号•警报信息传送至家庭网关，通过网关传送至服务终端、服务中心进行警示和记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七、漏水传感器  支持无线通讯• 检测感应器安装处是否漏水• 支持低电量警告</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•离线检测：设备1H跟网关通讯一次，确保通讯正常•可本地联动声光报警器，发出现场求助声光信号•警报信息传送至家庭网关，通过网关传送至服务终端、服务中心进行警示和记录"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八、在离床感应垫  支持无线通讯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•须支持无线通讯，能实时监测在床与离床状态并立即上报，具备离线检测功能，支持异常状态联动报警。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九、声光报警器  交流供电，两孔插头即插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•支持与各种烟雾报警器，漏水报警器，安防传感器同步，实时离线检测；内置备用电池，在断电时满电状态下连续工作不低于4小时；具备高分贝声音和闪光警报；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注：此项报价须包含安装及配套耗材费用。</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便携式智能洗浴机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一、核心功能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设备需具备擦澡、洗头、淋浴三种基础洗浴模式，且每种模式均需支持标准与增强两档可调。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设备须为可移动式设计，能在卧室等非固定洗浴空间为卧床或行动不便者提供洗浴服务，避免因移动使用者而带来的安全风险。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设备应支持使用者坐姿或卧姿下的擦澡与洗发操作，并具备按摩功能，提升洗浴舒适度与人性化体验。</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二、安全与控制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 出水控制须采用手动按压式开关，即按即出、松手即停。所有洗浴功能关闭后，出水控制应自动失效，确保系统安全。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设备电气系统须符合医用或家用电器安全标准，采用多重绝缘与防水设计，确保在潮湿环境下使用安全无漏电风险。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 设备须具备洗浴污水实时回收功能，通过内置负压吸污系统，实现清洗与污水回收同步进行，保持洗浴区域干爽，防止交叉感染与水渍外泄。</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三、辅助与人性化功能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 设备宜具备媒体播放功能，支持通过外接存储设备循环播放音乐，营造放松的洗浴环境。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 设备宜具备无线数据连接功能，支持与智能移动终端进行基础数据交互。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 设备宜采用低噪音设计，降低风机等核心部件运行时的噪音，提升使用舒适性。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10. 花洒喷头宜具备水流按摩模式，便于护理人员直接持握操作，无需浸湿双手。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四、配置与环保</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11. 标准配置需包含用于洗发的硅胶花洒和用于擦澡/淋浴的海绵花洒，花洒材质均需符合国家相关环保与卫生标准。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12. 设备结构应采用内置污水桶与外置净水桶的分离式设计，便于水处理与维护。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13. 设备应具备节水特性，单次洗发耗水量不高于3升，单次擦澡耗水量不高于6升。</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大小便护理机器人（物联版）</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一、核心功能要求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1.静音运行：设备全功率工作时，运行噪音应控制在45分贝以下。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2.污物处理：具备对排泄物（包括成型大便）进行粉碎与顺畅排出的能力。</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3.智能识别：设备在自动模式下，应能自动识别大小便，并据此采用不同的冲洗模式，以实现节水效果。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4.数据监测：系统需能记录排泄次数、排泄量等关键数据，并为健康评估提供参考。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5.自动清洁：在完成污物清理后，设备应能对集便器内部进行自动清洗，保持卫生。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6.工作模式：设备应具备全自动与半自动（或手动）两种可切换的工作模式。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二、安全与卫生要求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1.集便器材质：直接接触人体的集便器部件，须采用医用级材料，确保抗菌、防水且对人体安全。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2.冲洗系统：清洗功能应采用广域喷射方式，确保清洁效果与使用者舒适度。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3.密封防漏：在使用者侧身不超过45度的情况下，设备应能有效防止污物渗漏。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4.除臭系统：设备须具备有效的封闭式除臭功能，防止异味外泄，维持环境空气质量。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5.水电安全：所有电气部件与线路须具备充分的防水与绝缘保护，确保使用安全。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三、人性化护理配置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1.冲洗调节：设备的冲洗水温和水压均应具备高、中、低多档可调功能。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2.烘干功能：冲洗完成后，设备应能提供暖风干燥功能。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3.辅助配件：应配套提供防褥疮床垫与速干床单。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4.操作交互：设备应具备语音提示功能，并配备遥控器，便于使用者或护理人员操作。</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老年照护实训教学设备</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rPr>
              <w:t xml:space="preserve">一、适老化餐桌</w:t>
            </w:r>
            <w:r>
              <w:rPr>
                <w:rFonts w:hint="eastAsia"/>
                <w:lang w:val="en-US" w:eastAsia="zh-CN"/>
              </w:rPr>
              <w:t xml:space="preserve">1张</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1.功能用途：用于老年人进食、饮水等日常照护技能的训练操作。</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2.主要材质：桌面宜采用木质基材并做圆角及防磕碰处理；桌腿应采用结构稳固的木材。</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3.外形尺寸：长约1000mm，宽约550mm，高约750mm（允许合理误差）。</w:t>
            </w:r>
            <w:r/>
          </w:p>
          <w:p>
            <w:pPr>
              <w:ind w:left="0" w:right="0"/>
              <w:jc w:val="left"/>
              <w:keepLines w:val="0"/>
              <w:keepNext w:val="0"/>
              <w:pageBreakBefore w:val="0"/>
              <w:spacing w:before="0" w:beforeAutospacing="0" w:after="0" w:afterAutospacing="0" w:line="320" w:lineRule="exact"/>
              <w:widowControl/>
              <w:rPr>
                <w:rFonts w:hint="eastAsia"/>
                <w:lang w:val="en-US" w:eastAsia="zh-CN"/>
              </w:rPr>
              <w:suppressLineNumbers w:val="0"/>
            </w:pPr>
            <w:r>
              <w:rPr>
                <w:rFonts w:hint="eastAsia"/>
              </w:rPr>
              <w:t xml:space="preserve">二、适老化扶手椅</w:t>
            </w:r>
            <w:r>
              <w:rPr>
                <w:rFonts w:hint="eastAsia"/>
                <w:lang w:val="en-US" w:eastAsia="zh-CN"/>
              </w:rPr>
              <w:t xml:space="preserve">4把</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1.主要材质：主体支撑结构宜采用曲木或同等性能材料；座面与靠背材质应具备防水、易清洁特性。</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2.安全设计：整体应采用无尖锐棱角的弧形圆角设计；腿部结构应稳固，具备防侧翻特性。</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3.尺寸参数：</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座面：长约535mm，宽约495mm，高约415mm（允许合理误差）。</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扶手高度：约610mm（自地面起算）。</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靠背高度：约800mm（自座面起算）。</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lang w:val="en-US" w:eastAsia="zh-CN"/>
              </w:rPr>
              <w:t xml:space="preserve">三</w:t>
            </w:r>
            <w:r>
              <w:rPr>
                <w:rFonts w:hint="eastAsia"/>
              </w:rPr>
              <w:t xml:space="preserve">、安全与结构设计</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1.结构设计：</w:t>
            </w:r>
            <w:r>
              <w:rPr>
                <w:rFonts w:hint="eastAsia"/>
                <w:lang w:val="en-US" w:eastAsia="zh-CN"/>
              </w:rPr>
              <w:t xml:space="preserve">餐椅</w:t>
            </w:r>
            <w:r>
              <w:rPr>
                <w:rFonts w:hint="eastAsia"/>
              </w:rPr>
              <w:t xml:space="preserve">应具备半扶手或类似便利进出结构，方便老年人起坐与位置移动。</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2.辅助移动：靠背应设计有便于抓握的辅助结构，方便老人自行移动椅子。</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3.安全防护：整体外观须采用无尖锐棱角的圆滑设计，避免磕碰伤害。腿部结构应确保稳固，具备防侧翻特性。</w:t>
            </w:r>
            <w:r/>
          </w:p>
          <w:p>
            <w:pPr>
              <w:ind w:left="0" w:right="0"/>
              <w:jc w:val="left"/>
              <w:keepLines w:val="0"/>
              <w:keepNext w:val="0"/>
              <w:pageBreakBefore w:val="0"/>
              <w:spacing w:before="0" w:beforeAutospacing="0" w:after="0" w:afterAutospacing="0" w:line="320" w:lineRule="exact"/>
              <w:widowControl/>
              <w:rPr>
                <w:rFonts w:hint="eastAsia"/>
                <w:lang w:eastAsia="zh-CN"/>
              </w:rPr>
              <w:suppressLineNumbers w:val="0"/>
            </w:pPr>
            <w:r>
              <w:rPr>
                <w:rFonts w:hint="eastAsia"/>
                <w:lang w:val="en-US" w:eastAsia="zh-CN"/>
              </w:rPr>
              <w:t xml:space="preserve">四</w:t>
            </w:r>
            <w:r>
              <w:rPr>
                <w:rFonts w:hint="eastAsia"/>
              </w:rPr>
              <w:t xml:space="preserve">、材质与工艺要求</w:t>
            </w:r>
            <w:r/>
          </w:p>
          <w:p>
            <w:pPr>
              <w:ind w:left="0" w:right="0"/>
              <w:jc w:val="left"/>
              <w:keepLines w:val="0"/>
              <w:keepNext w:val="0"/>
              <w:pageBreakBefore w:val="0"/>
              <w:spacing w:before="0" w:beforeAutospacing="0" w:after="0" w:afterAutospacing="0" w:line="320" w:lineRule="exact"/>
              <w:widowControl/>
              <w:rPr>
                <w:rFonts w:hint="eastAsia"/>
                <w:lang w:eastAsia="zh-CN"/>
              </w:rPr>
              <w:suppressLineNumbers w:val="0"/>
            </w:pPr>
            <w:r>
              <w:rPr>
                <w:rFonts w:hint="eastAsia"/>
              </w:rPr>
              <w:t xml:space="preserve">1.主体框架：需采用结构稳固的木质或性能相当的框架材料。</w:t>
            </w:r>
            <w:r/>
          </w:p>
          <w:p>
            <w:pPr>
              <w:ind w:left="0" w:right="0"/>
              <w:jc w:val="left"/>
              <w:keepLines w:val="0"/>
              <w:keepNext w:val="0"/>
              <w:pageBreakBefore w:val="0"/>
              <w:spacing w:before="0" w:beforeAutospacing="0" w:after="0" w:afterAutospacing="0" w:line="320" w:lineRule="exact"/>
              <w:widowControl/>
              <w:rPr>
                <w:rFonts w:hint="eastAsia"/>
                <w:lang w:eastAsia="zh-CN"/>
              </w:rPr>
              <w:suppressLineNumbers w:val="0"/>
            </w:pPr>
            <w:r>
              <w:rPr>
                <w:rFonts w:hint="eastAsia"/>
              </w:rPr>
              <w:t xml:space="preserve">2.座面材质：坐垫应使用高回弹、不易变形的填充材料，保证舒适性与支撑性。</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rPr>
              <w:t xml:space="preserve">3.板材与涂料：所有木质板材需符合国家环保标准；表面涂层须采用环保型涂料。</w:t>
            </w:r>
            <w:r/>
          </w:p>
          <w:p>
            <w:pPr>
              <w:ind w:left="0" w:right="0"/>
              <w:jc w:val="left"/>
              <w:keepLines w:val="0"/>
              <w:keepNext w:val="0"/>
              <w:pageBreakBefore w:val="0"/>
              <w:spacing w:before="0" w:beforeAutospacing="0" w:after="0" w:afterAutospacing="0" w:line="320" w:lineRule="exact"/>
              <w:widowControl/>
              <w:rPr>
                <w:rFonts w:hint="eastAsia"/>
              </w:rPr>
              <w:suppressLineNumbers w:val="0"/>
            </w:pPr>
            <w:r>
              <w:rPr>
                <w:rFonts w:hint="eastAsia"/>
                <w:b/>
                <w:bCs/>
                <w:lang w:val="en-US" w:eastAsia="zh-CN"/>
              </w:rPr>
              <w:t xml:space="preserve">备注：以上货物尺寸允许细微偏差（±5mm以内），但必须经采购人认可且不影响使用功能及符合采购人使用需求，中标后须经采购人确认后方可供货。 </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教学用床边电动升降桌</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一、功能要求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设备需具备电动升降功能，支持一键控制及远程遥控操作，满足卧床状态下的用餐、作业等教学训练需求。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升降范围应不低于66厘米至98厘米，升降速度约15毫米/秒，运行平稳。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桌面额定承载能力不低于25公斤。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二、安全与结构设计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4.桌体结构应稳定可靠，桌腿底部应配备带锁定装置的万向轮，便于移动与固定。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5.设备应设计为可拆卸结构，便于搬运与存放。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三、材质与工艺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6.主体支撑结构应采用金属材料，具有足够的强度与耐久性，表面进行防腐处理。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7.桌面应使用环保、阻燃、防潮、易清洁的板材。</w:t>
            </w:r>
            <w:r/>
          </w:p>
        </w:tc>
        <w:tc>
          <w:tcPr>
            <w:shd w:val="clear" w:color="auto" w:fill="ffffff"/>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教学用升降衣柜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一、功能要求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设备需采用电动驱动方式，支持通过有线控制器及遥控器进行升降操作，升降高度可调。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升降行程不低于110厘米，运行过程平稳。额定承载能力不低于20公斤。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衣柜内部应集成LED照明系统。设备输入电压为220V。</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二、安全与性能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4.升降系统应运行低噪、平稳，具备过载保护等安全机制。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5.所有涉及承重与牵引的关键部件（如钢丝绳），须采用高强度、防锈蚀的材料。</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三、结构与配置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6.衣柜整体外形尺寸约为高200cm × 宽200cm × 深60cm。柜内可用净宽度不低于140cm。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7.供应商应提供根据实际教学场地进行适度尺寸调整的方案。</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智能手环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一、核心功能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1.通信与定位：支持4G全网通，具备语音通话功能。集成多重定位技术。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2.健康监测：具备心率、血压、体温等生命体征监测功能。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3.紧急求助：具备一键SOS紧急呼叫功能。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二、性能与配置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4. 防护等级：防护等级不低于IP67。</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电源续航：内置电池容量不低于700mAh。</w:t>
            </w:r>
            <w:r/>
          </w:p>
        </w:tc>
        <w:tc>
          <w:tcPr>
            <w:shd w:val="clear" w:color="auto" w:fill="auto"/>
            <w:tcBorders>
              <w:top w:val="none" w:color="000000" w:sz="4" w:space="0"/>
              <w:left w:val="none" w:color="000000" w:sz="4" w:space="0"/>
              <w:bottom w:val="none" w:color="000000" w:sz="4" w:space="0"/>
              <w:right w:val="non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智能拐杖</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具备SOS一键紧急呼叫、精准定位及双向通话功能。集成LED照明系统，支持收音机、音乐播放等辅助娱乐功能。杖体高度可根据使用者需要进行调节，确保使用舒适与支撑稳定。支持通过移动通信网络将位置、报警等关键信息传输至远程管理平台或指定联系人。</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智能药盒</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一、主要功能：用于盛放药物。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二、技术要求：医药专用内盒材质，手机药盒协同提醒，远程提醒，服药记录自动生成。</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智能定位穿戴设备</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一、外观与结构</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1.外观设计：设备应坚固耐用，佩戴舒适。表带材质应对皮肤友好且易于清洁。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2.尺寸与重量：设备体积和重量应适于老年人或目标人群长期佩戴。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二、显示与交互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 显示屏：设备应配备显示屏，尺寸适中，显示内容清晰易读。</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 防护等级：设备防护等级不低于IP65，具备生活防水、防尘能力。</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三、核心性能与续航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电池与续航：内置电池容量不低于560mAh。在典型使用模式下，正常待机与工作时间不低于5天。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 充电方式：充电方式应安全、便捷。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四、健康与安全功能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 健康监测：设备应具备体温监测等生命体征检测功能，确保数据准确可靠。</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 定位与通信：支持4G全网通，具备精准定位、SOS一键呼救及双向通话功能。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生活自助9件套具</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一、套装组成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1.辅具配置：套装应包含（但不限于）助食筷、防洒碗盘、记忆杯架、记忆勺、记忆叉、粗柄可调绑带叉、粗柄可调绑带勺、粗柄可调牙刷、头梳等基础生活自助辅具。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二、辅具通用要求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2.材质安全：所有直接接触人体或食物的辅具部件，须采用符合国家相关卫生与安全标准的材料，确保无毒、无异味、易清洁。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3.人性化设计：辅具应具备防滑、防洒、易抓握等特性，手柄设计应便于手部功能受限者持握或固定。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三、展示台4组</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柜体、层板、柜门及背板均须采用符合国家环保标准的板材，柜体结构稳固，层板高度可调（厚度约2cm），整体高约80cm、宽约200cm、深度约50cm。中标供应商须根据实训场地实际条件对尺寸进行适应性调整，以满足采购人最终使用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智能生活日常用品</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一、通用技术要求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1.所有电器设备必须通过国家3C强制性认证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2.直接接触食物部件需符合食品接触材料国家标准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3.语音提示功能应支持音量多级调节，发音清晰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4.操作界面应具备盲文标识或触觉辨识特征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二、各产品技术规格</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（一）语音警示电水壶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5.容量：1.5-2.0L</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6.功率：1500±100W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7.具备沸腾自动断电、防干烧保护功能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8.支持声光警示，警示模式可调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9.内胆材质需符合食品接触材料标准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（二）语音闪光门铃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10.支持声光同步警示功能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11.室外按钮宜采用自发电设计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12.室内警示器支持多种警示模式切换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13.语音提示内容应清晰易懂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（三）多功能闹钟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14.支持声音、震动、闪光多种提醒方式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15.具备断电记忆功能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16.显示屏亮度可自动调节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17.采用通用电源接口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18.整机尺寸应便于摆放使用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（四）助听器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19.全数字信号处理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20.通道数≥4个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21.满档声增益≥70dB</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22.总谐波失真≤1.0%</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23.具备无线音频传输功能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24.支持声反馈抑制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（五）语音电磁炉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25.功率：2000-2200W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26.具备多种烹饪模式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27.按键带盲文标识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28.支持语音操作引导</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29.具备过热保护、童锁等安全功能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30.面板尺寸适应常见锅具使用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（六）语音微波炉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31.容量：20-23L</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32.输出功率≥700W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33.支持语音操作引导</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34.具备童锁安全功能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35.提供多种自动烹饪菜单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（七）语音电压力锅</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36.容量：5-6L</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37.功率≥900W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38.支持语音操作提示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39.具备多种烹饪模式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40.按键带盲文标识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（八）智能语音电饭煲</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41.容量：4-5L</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42.功率≥800W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43.支持语音识别与控制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44.具备多种烹饪功能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45.按键带盲文标识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46.支持预约、保温功能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三、设备展示台3组</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4.柜体、层板、柜门及背板均须采用符合国家环保标准的板材，柜体结构稳固，层板高度可调（厚度约2cm），整体外形尺寸约高330cm × 宽300cm × 深50cm。中标供应商须根据实训场地实际条件对尺寸进行适应性调整，以满足采购人最终使用需求。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数智实训壁挂主机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一、整机设计与安装</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1.整机采用嵌入式一体化结构设计，适应实训室复杂环境，集成视频采集、音频处理、录制推流及物理控制功能。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2.支持壁挂安装，顶部出线设计，确保安装稳固、布线安全规整。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3.主机集成储物空间，用于存放PAD终端、头戴麦克风等小件物品，并提供220V交流电源接口及USB供电接口。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二、视频处理能力</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4.视频输入：支持不少于8路视频信号输入，其中不少于6路为SDI接口，不少于2路为HDMI接口。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5.视频输出：支持不少于2路HDMI信号输出。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6.视频编码：采用H.264或更先进的通用编码标准；音频编码采用AAC或更先进的通用编码标准，支持混音功能。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7.录制格式：支持标准MP4格式，分辨率不低于1080P，码率不低于4Mbps。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8.存储空间：内置录制存储硬盘容量不低于2TB。</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三、音频处理能力</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9.音频接口：支持不少于10路音频输入及不少于4路音频输出。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10.音频处理：具备反馈抑制、回声消除、噪声抑制等数字音频处理功能。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四、系统与控制功能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11.录制模式：支持教学录制、资源录制等多种模式，资源录制模式下各摄像机视频可独立保存为单独文件。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12.文件管理：支持按日期与课程名称自动创建目录保存录制文件；支持存储空间自动循环覆盖管理。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13.网络功能：支持视频RTSP流输出及RTMP协议推流；支持录制文件自动上传至资源管理平台。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物理控制面板：集成触摸式控制按键，具备电源、运行状态及功能状态（录制、直播、互动）指示灯。支持音量控制（音量调节、全场静音、学生静音）、视频切换（自动导播、学生视频、教师视频、操作演示）及录制启停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15.系统配置：支持Web端远程配置主机IP、视频通道参数等。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16.集成管理：支持通过通用物联网协议实现与智能集控系统对接，接受统一开关机等集中控制。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智能集控终端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1、支持通信控制模块和强电控制模块，其中通信控制模块和强电控制模块都采用≤1U高的架构；</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2、通信控制模块：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（1）通信控制模块硬件要求支持≥1个WAN网口和≥7个LAN网口；要求≥1个CAN口，≥4个RS232可编程控制通信端口，≥2个485接口。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（2）通信控制模块支持mqtt协议，实现与设备集控系统对接实现各种控制指令（开机、关机等）的通信；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（3）要求通信控制模块支持域名解析；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（4）前面板配运行指示灯；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（5）配置电源开关按钮；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3、强电控制模块：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（1）硬件要求支持≥10路220V输出，单路额定输出电流≤10A；支持485控制协议；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（2）强电控制模块支持实时电流检测功能；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（3）前面板配运行指示灯；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4、要求至少支持本地开关和远程开关两种模式：本地开关支持使用电源按钮进行开关，远程开关支持与设备集控系统对接实现远程控制开关；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5、要求支持智能关机：关闭智能设备时，需监测设备运行状态，待设备关机结束后再掉电，防止设备因异常掉电而损坏；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6、具备便捷的远程配置功能，可通过通用的网络浏览器（如 Chrome、Firefox、Edge 等浏览器），对网关参数进行全面、精准的配置操作；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7、支持远程运维维护功能，可通过外网远程接入局域网进行直连设备，实现远程开局、远程维护、远程升级等功能；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8、支持实训室局域网设备访问外网控制功能，通过设备接入认证以避免私接；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9、要求智能集控终端与数智实训壁挂主机实现良好的对接。</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实训互动软件-示范&amp;分组</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需具备与智能壁挂主机相连接的功能，以此实现实训教学业务。设备应可在触摸教学一体机上稳定运行，且支持桌面操作系统，以满足多样化教学场景需求。产品需提供详细的连接技术说明，包括接口类型、通信协议等，确保与智能壁挂主机连接的兼容性与稳定性。无系统报错、卡顿或功能缺失等问题。在操作界面设计上，应符合人体工程学及通用的教学软件交互规范，方便教师与学生在实训教学中便捷操作，提升教学效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2、实训互动软件支持实操教学和智能板书的入口统一，支持一键快速切换，不需要打开两个软件；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3、实训互动软件支持不同风格的皮肤更换，以适应不同实训室的定制化；</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4、实训互动软件要求至少包括示范、示范回看、实操、实操回看、资源管理五个教学环节；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5、实训互动软件支持在任意操作界面通过快捷操作（如两点长按）进入批注模式，并能够进行重点批注；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6、支持示范实训操作实时显示在大屏上，视频分辨率不低于1080P，视频同步延时≤500ms，操作实时显示无卡顿；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7、支持示范实训操作的机位切换不少于4个；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8、支持通过软件界面按钮方式进行示范机位切换，在实训软件实时切换显示的画面，切换画面延时≤500ms；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9、支持通过移动终端（如PAD）进行示范机位切换，在实训软件实时切换显示的画面，切换画面延时≤500ms；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10、支持示范操作的机位多画面同时显示，包括但不限于大画面、双画面、三画面和四画面布局，并且可以点击进入具体某一个机位的画面；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11、支持示范一键启动录制和停止录制，支持录制的视频格式为标准MP4格式，视频清晰度为1080P；支持示范操作的资源录制，可以分别录制不同机位的视频为资源文件；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12、支持示范操作过程进行打标签功能；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13、支持示范录制视频回看，通过软件打开回看；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14、支持通过标签快速查看示范操作关键点，回看过程中老师可以暂停、进行重点批注、放大缩小；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15、支持学生分组实训操作，通过分屏方式实现不少于32个分组的显示；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16、支持对学生分组进行管理操作，包括添加/删除分组、编辑组的名称；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17、支持单组学生分组实训操作的机位切换不少于4个；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18、支持在一个画面显示学生分组的实训实时画面，显示方式支持不少于8个画面同时显示；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19、分组实操支持在实训软件实时切换显示的画面，切换画面延时≤500ms，要求切换过程无卡顿、无黑屏、花屏现象；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20、支持对所有学生分组实训操作进行集中控制，实现一键启动和停止录制，支持录制的视频格式为标准MP4格式，视频清晰度不低于1080P，录制音频采用AAC编码格式，确保音质清晰；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21、支持老师在学生分组实训过程中进行打标签记录并且支持小组评分，评分项可以根据实训项目进行配置；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22、支持单独小组快速评分功能，支持自动跳转至下一未评分组，全部评分完具备弹窗提示；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支持学生分组实训录制视频回看，回看过程中老师可以暂停进行批注、放大缩小；支持回看进行快进/快退播放，老师打过标签记录的视频，通过时间条上的标志点迅速找到或通过播放条码快速查找；支持查看最终汇总的评分数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24、支持学生分组实训录制视频回看，可通过呼叫标识、标记标签快速定位视频位置，方便老师回顾学生实训过程及讲解；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25、支持小组评分汇总，支持以模板样式表格形式导出数据进行自定义路径保存；</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26、支持批注文件单独保存，老师可以打开批注文件；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27、支持切换到智能板书版面进行流畅板书，支持手写、白板笔书写；书写笔迹的粗细、颜色可任意选择或自定义；单击即可添加新的板书界面，自动记忆之前的笔迹粗细、线条颜色等设置；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28、软件要求支持手势触摸操作，无需切换按钮，即可实现单指书写、双指缩放、平移和三指擦除，书写具有笔锋效果；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29、支持板书保存：板书自动实时保存；可以预览并任意调取板书、对之前的板书二次编辑；或者选择性删除板书；板书可以永久保存；</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30、支持播放课件、嵌入图片、播放视频、打开网站等授课手段，并可同步进行批注、放大和缩小。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同屏互动软件-教师端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一、移动端兼容性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1.教师授课移动端需支持安卓操作系统，通过扫描二维码等方式安全接入并实现对教师端PC机的授权控制。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二、课件演示与控制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 支持教师通过移动端将本地PPT课件直接推送至大屏端打开并全屏播放，无需预先拷贝文件至大屏电脑。</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 支持在移动端通过手势滑动或虚拟按键远程控制PPT翻页。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 支持在移动端远程关闭大屏端的全屏播放及PPT文件。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三、多媒体交互功能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支持教师通过移动端进行屏幕批注讲解，笔迹可实时同步至大屏。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 支持通过移动端拍照并实时上传、显示于大屏。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 支持通过移动端拍摄短视频并实时传输、显示于大屏。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8. 支持将移动端屏幕内容实时共享至大屏，实现移动端各类应用的同步投屏显示。</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4K云台AI摄像机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一、图像采集性能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图像传感器：采用4K分辨率图像传感器，有效像素不低于800万。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视频输出：支持4K（3840×2160）及1080P分辨率视频输出，最高帧率不低于30帧/秒。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二、光学与图像处理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3. 光学变焦：镜头光学变焦倍数不低于12倍。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4. 自动对焦：具备快速、准确的自动对焦功能。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 图像降噪：支持2D及3D降噪技术，确保画面纯净度与清晰度。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三、接口与供电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6. 设备接口：支持HDMI、SDI、USB 3.0及有线网络接口。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7. 供电方式：设备应支持PoE供电或DC 12V供电，投标产品至少支持其中一种供电方式。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四、编码与压缩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8. 视频编码：支持H.264、H.265等视频编码格式。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9. 音频编码：支持AAC等音频编码格式。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五、智能跟踪功能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10. 具备自动目标检测与跟踪能力，宜支持人形识别。</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11. 支持在预设区域内进行自动跟踪。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12. 云台水平旋转范围不小于340°，垂直旋转范围不小于120°。</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移动360°采集车</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1、整车要求采用一体化设计，至少包括移动车体、摄像机、无线传输发送模块、显示屏、移动电源五大部分；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整车高度：移动车体应采用符合人体工程学的可调节设计，立杆及转臂应能灵活调节高度及角度，以适应不同身高（建议覆盖1.60米至1.85米范围）的操作者站立舒适操作，并能满足对实训操作台（或模拟病床）进行俯视、平视及特写等多角度拍摄的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倾斜测试：整车应具备良好的稳定性与安全性，确保在实训室常规地面（如平整瓷砖、环氧地坪）上推动，以及在轻微坡度（或因线缆等造成的轻微不平整）情况下，不会发生侧翻或意外移动。整车底盘设计应稳定，万向轮应带锁定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3、移动车体</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1）要求采用隐线式设计方式，显示屏、摄像机等、接口对接统一套上白色热缩管包裹，外部不漏线材，美观整洁；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2）要求符合人体工程学结构设计，车体要求由万向轮底架、立杆、转臂三部分组成，底架用于移动和固定，立杆用于承重，转臂用于转动操作；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3）台面、把手采用注塑工艺、高硬度ABS材质；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4）底盘、机箱、内部固定件，采用钣金工艺、高硬度SPCC材质；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移动车体要求稳定，采用方形立柱高强度铝合金工艺；具有刹车功能，采用静音万向轮；采用≥100mm直径的磨砂轮子；刹车轮采用双踏板设计，刹车和解锁都是通过踩下踏板的模式进行制动，踩下底部踏板撒车，踩下顶部踏板解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6）移动车体要求方便操作，支持老师单手操作，一个手操作移动车可以完成拍摄角度的调整；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7）移动车要求全方位移动旋转，支持全方位立体式操作；老师单手操作，支持360度旋转，垂直拉动不小于60度调节，支持任意角度拉动，任意位置悬停；旋转最大只能旋转一圈，不能无限制转动；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8）移动车体要操作舒适，采用活动关节带阻尼装置，配合气压活动臂，保证拉动旋转调节过程没有异响、舒适；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4、摄像机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1）要求图像传感器尺寸不低于1/2.8英寸，支持逐行扫描；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2）要求摄像机视频信号输出包含3G-SDI接口，达到超低延时的高清视频效果；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3）要求摄像机视频输出支持1080P，帧率不低于30帧/秒；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4）光圈值F1.8～F2.8；</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5）至少支持12倍光学变焦；水平视场角：72.5°～6.9°；垂直视场角：44.8°～3.9°；</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6）支持五向按键，可控制菜单，变倍，聚焦；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5、无线发送：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1）要求无线发送模块集成于机箱地盘内固定，只显露四根天线，基于4.9-5.85GHz频段传输，信号传输速率≥300Mbps，可保证高清信号传输质量；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2）支持SDI输入，支持SDI环出，输入接口接摄像机，环出接口接显示屏；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3）信号传输速率≥300Mbps，可保证高清信号传输质量；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4）空旷环境下，信号传输距离≥800m；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5）具备自动搜索最佳传输路径，可自组网；</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6、显示屏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1）≥15.6高清屏；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2）支持1920x1080分辨率显示；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3）支持SDI高清输入，同时环出SDI高清视频；</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4）显示屏的支架要求采用旋转支架，≥270°旋转，便于从不同角度观看；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7、移动电源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1）要求采用磷酸铁锂电芯类型，电池容量≥16500mAh；</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2）支持接上电源线，即插电开始充电；支持边充边用；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3）支持电压、温度、带电量显示功能，电量显示精确到1%刻度；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4）支持电源开关按钮，要求长按3秒关机，防止误操作；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5）支持电压过低预警提示功能；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6）支持过流、过充、过放电池保护功能；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7）要求具有220V品字充电接口、DC 12V电源输出接口以及检修口。</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无线接收模块</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4" name="图片_96_SpCnt_2"/>
                      <wp:cNvGraphicFramePr/>
                      <a:graphic xmlns:a="http://schemas.openxmlformats.org/drawingml/2006/main">
                        <a:graphicData uri="http://schemas.openxmlformats.org/drawingml/2006/picture">
                          <pic:pic xmlns:pic="http://schemas.openxmlformats.org/drawingml/2006/picture">
                            <pic:nvPicPr>
                              <pic:cNvPr id="4" name="图片_96_SpCnt_2"/>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5" name="图片_96_SpCnt_3"/>
                      <wp:cNvGraphicFramePr/>
                      <a:graphic xmlns:a="http://schemas.openxmlformats.org/drawingml/2006/main">
                        <a:graphicData uri="http://schemas.openxmlformats.org/drawingml/2006/picture">
                          <pic:pic xmlns:pic="http://schemas.openxmlformats.org/drawingml/2006/picture">
                            <pic:nvPicPr>
                              <pic:cNvPr id="5" name="图片_96_SpCnt_3"/>
                              <pic:cNvPicPr/>
                              <pic:nvPr/>
                            </pic:nvPicPr>
                            <pic:blipFill>
                              <a:blip r:embed="rId14"/>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6" name="图片_96_SpCnt_4"/>
                      <wp:cNvGraphicFramePr/>
                      <a:graphic xmlns:a="http://schemas.openxmlformats.org/drawingml/2006/main">
                        <a:graphicData uri="http://schemas.openxmlformats.org/drawingml/2006/picture">
                          <pic:pic xmlns:pic="http://schemas.openxmlformats.org/drawingml/2006/picture">
                            <pic:nvPicPr>
                              <pic:cNvPr id="6" name="图片_96_SpCnt_4"/>
                              <pic:cNvPicPr/>
                              <pic:nvPr/>
                            </pic:nvPicPr>
                            <pic:blipFill>
                              <a:blip r:embed="rId15"/>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7" name="图片_96_SpCnt_5"/>
                      <wp:cNvGraphicFramePr/>
                      <a:graphic xmlns:a="http://schemas.openxmlformats.org/drawingml/2006/main">
                        <a:graphicData uri="http://schemas.openxmlformats.org/drawingml/2006/picture">
                          <pic:pic xmlns:pic="http://schemas.openxmlformats.org/drawingml/2006/picture">
                            <pic:nvPicPr>
                              <pic:cNvPr id="7" name="图片_96_SpCnt_5"/>
                              <pic:cNvPicPr/>
                              <pic:nvPr/>
                            </pic:nvPicPr>
                            <pic:blipFill>
                              <a:blip r:embed="rId16"/>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8" name="图片_96_SpCnt_6"/>
                      <wp:cNvGraphicFramePr/>
                      <a:graphic xmlns:a="http://schemas.openxmlformats.org/drawingml/2006/main">
                        <a:graphicData uri="http://schemas.openxmlformats.org/drawingml/2006/picture">
                          <pic:pic xmlns:pic="http://schemas.openxmlformats.org/drawingml/2006/picture">
                            <pic:nvPicPr>
                              <pic:cNvPr id="8" name="图片_96_SpCnt_6"/>
                              <pic:cNvPicPr/>
                              <pic:nvPr/>
                            </pic:nvPicPr>
                            <pic:blipFill>
                              <a:blip r:embed="rId17"/>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 name="图片_96_SpCnt_7"/>
                      <wp:cNvGraphicFramePr/>
                      <a:graphic xmlns:a="http://schemas.openxmlformats.org/drawingml/2006/main">
                        <a:graphicData uri="http://schemas.openxmlformats.org/drawingml/2006/picture">
                          <pic:pic xmlns:pic="http://schemas.openxmlformats.org/drawingml/2006/picture">
                            <pic:nvPicPr>
                              <pic:cNvPr id="9" name="图片_96_SpCnt_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1、信号传输速率≥300Mbps，可保证高清信号传输质量；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2、支持SDI信号输出；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3、支持与移动车无线发送模块对接；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4、具备自动搜索最佳传输路径，可自组网；</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5、工作频段包含5.1GHz至5.9GHz范围；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6、支持标准802.11a/n等WLAN协议；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7、接收灵敏度最低可达-70dbm，接收灵敏；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8、具有信号指示灯，具有电源指示灯和网络指示灯，分别用于指示电源和网络状态；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9、端到端传输延时≤60ms。</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教学直播系统软件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1、软件系统需为嵌入式架构，可集成于智能壁挂主机内运行，无需额外增加硬件设备；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2、软件启动后应能自动获取课程参数并加入对应课堂，实现自动化流程；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3、要求软件自动根据获得课堂设置的直播能力启动相应的业务能力；</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4、直播推流采用RTMP等流媒体协议；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5、直播清晰度应可配置，至少支持高清与流畅两种模式，视频码率最高可设置不低于8Mbps，分辨率最高可支持1080P；</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6、直播的视频为导播后的画面，视频格式应至少支持国际标准的H.264和语音编码至少支持AAC格式；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7、具有手动开始和停止直播，支持直播暂停功能。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音视频互动软件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 name="图片_96_SpCnt_8"/>
                      <wp:cNvGraphicFramePr/>
                      <a:graphic xmlns:a="http://schemas.openxmlformats.org/drawingml/2006/main">
                        <a:graphicData uri="http://schemas.openxmlformats.org/drawingml/2006/picture">
                          <pic:pic xmlns:pic="http://schemas.openxmlformats.org/drawingml/2006/picture">
                            <pic:nvPicPr>
                              <pic:cNvPr id="10" name="图片_96_SpCnt_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1" name="图片_96_SpCnt_9"/>
                      <wp:cNvGraphicFramePr/>
                      <a:graphic xmlns:a="http://schemas.openxmlformats.org/drawingml/2006/main">
                        <a:graphicData uri="http://schemas.openxmlformats.org/drawingml/2006/picture">
                          <pic:pic xmlns:pic="http://schemas.openxmlformats.org/drawingml/2006/picture">
                            <pic:nvPicPr>
                              <pic:cNvPr id="11" name="图片_96_SpCnt_9"/>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2" name="图片_96_SpCnt_10"/>
                      <wp:cNvGraphicFramePr/>
                      <a:graphic xmlns:a="http://schemas.openxmlformats.org/drawingml/2006/main">
                        <a:graphicData uri="http://schemas.openxmlformats.org/drawingml/2006/picture">
                          <pic:pic xmlns:pic="http://schemas.openxmlformats.org/drawingml/2006/picture">
                            <pic:nvPicPr>
                              <pic:cNvPr id="12" name="图片_96_SpCnt_1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3" name="图片_96_SpCnt_11"/>
                      <wp:cNvGraphicFramePr/>
                      <a:graphic xmlns:a="http://schemas.openxmlformats.org/drawingml/2006/main">
                        <a:graphicData uri="http://schemas.openxmlformats.org/drawingml/2006/picture">
                          <pic:pic xmlns:pic="http://schemas.openxmlformats.org/drawingml/2006/picture">
                            <pic:nvPicPr>
                              <pic:cNvPr id="13" name="图片_96_SpCnt_1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4" name="图片_96_SpCnt_12"/>
                      <wp:cNvGraphicFramePr/>
                      <a:graphic xmlns:a="http://schemas.openxmlformats.org/drawingml/2006/main">
                        <a:graphicData uri="http://schemas.openxmlformats.org/drawingml/2006/picture">
                          <pic:pic xmlns:pic="http://schemas.openxmlformats.org/drawingml/2006/picture">
                            <pic:nvPicPr>
                              <pic:cNvPr id="14" name="图片_96_SpCnt_12"/>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5" name="图片_113"/>
                      <wp:cNvGraphicFramePr/>
                      <a:graphic xmlns:a="http://schemas.openxmlformats.org/drawingml/2006/main">
                        <a:graphicData uri="http://schemas.openxmlformats.org/drawingml/2006/picture">
                          <pic:pic xmlns:pic="http://schemas.openxmlformats.org/drawingml/2006/picture">
                            <pic:nvPicPr>
                              <pic:cNvPr id="15" name="图片_11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6" name="图片_96_SpCnt_13"/>
                      <wp:cNvGraphicFramePr/>
                      <a:graphic xmlns:a="http://schemas.openxmlformats.org/drawingml/2006/main">
                        <a:graphicData uri="http://schemas.openxmlformats.org/drawingml/2006/picture">
                          <pic:pic xmlns:pic="http://schemas.openxmlformats.org/drawingml/2006/picture">
                            <pic:nvPicPr>
                              <pic:cNvPr id="16" name="图片_96_SpCnt_1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7" name="图片_96_SpCnt_14"/>
                      <wp:cNvGraphicFramePr/>
                      <a:graphic xmlns:a="http://schemas.openxmlformats.org/drawingml/2006/main">
                        <a:graphicData uri="http://schemas.openxmlformats.org/drawingml/2006/picture">
                          <pic:pic xmlns:pic="http://schemas.openxmlformats.org/drawingml/2006/picture">
                            <pic:nvPicPr>
                              <pic:cNvPr id="17" name="图片_96_SpCnt_14"/>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8" name="图片_96_SpCnt_15"/>
                      <wp:cNvGraphicFramePr/>
                      <a:graphic xmlns:a="http://schemas.openxmlformats.org/drawingml/2006/main">
                        <a:graphicData uri="http://schemas.openxmlformats.org/drawingml/2006/picture">
                          <pic:pic xmlns:pic="http://schemas.openxmlformats.org/drawingml/2006/picture">
                            <pic:nvPicPr>
                              <pic:cNvPr id="18" name="图片_96_SpCnt_15"/>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 name="图片_96_SpCnt_16"/>
                      <wp:cNvGraphicFramePr/>
                      <a:graphic xmlns:a="http://schemas.openxmlformats.org/drawingml/2006/main">
                        <a:graphicData uri="http://schemas.openxmlformats.org/drawingml/2006/picture">
                          <pic:pic xmlns:pic="http://schemas.openxmlformats.org/drawingml/2006/picture">
                            <pic:nvPicPr>
                              <pic:cNvPr id="19" name="图片_96_SpCnt_16"/>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0" name="图片_96_SpCnt_17"/>
                      <wp:cNvGraphicFramePr/>
                      <a:graphic xmlns:a="http://schemas.openxmlformats.org/drawingml/2006/main">
                        <a:graphicData uri="http://schemas.openxmlformats.org/drawingml/2006/picture">
                          <pic:pic xmlns:pic="http://schemas.openxmlformats.org/drawingml/2006/picture">
                            <pic:nvPicPr>
                              <pic:cNvPr id="20" name="图片_96_SpCnt_17"/>
                              <pic:cNvPicPr/>
                              <pic:nvPr/>
                            </pic:nvPicPr>
                            <pic:blipFill>
                              <a:blip r:embed="rId13"/>
                              <a:stretch/>
                            </pic:blipFill>
                            <pic:spPr bwMode="auto">
                              <a:xfrm>
                                <a:off x="0" y="0"/>
                                <a:ext cx="0" cy="8267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1" name="图片_96_SpCnt_18"/>
                      <wp:cNvGraphicFramePr/>
                      <a:graphic xmlns:a="http://schemas.openxmlformats.org/drawingml/2006/main">
                        <a:graphicData uri="http://schemas.openxmlformats.org/drawingml/2006/picture">
                          <pic:pic xmlns:pic="http://schemas.openxmlformats.org/drawingml/2006/picture">
                            <pic:nvPicPr>
                              <pic:cNvPr id="21" name="图片_96_SpCnt_18"/>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 name="图片_96_SpCnt_19"/>
                      <wp:cNvGraphicFramePr/>
                      <a:graphic xmlns:a="http://schemas.openxmlformats.org/drawingml/2006/main">
                        <a:graphicData uri="http://schemas.openxmlformats.org/drawingml/2006/picture">
                          <pic:pic xmlns:pic="http://schemas.openxmlformats.org/drawingml/2006/picture">
                            <pic:nvPicPr>
                              <pic:cNvPr id="22" name="图片_96_SpCnt_19"/>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 name="图片_96_SpCnt_20"/>
                      <wp:cNvGraphicFramePr/>
                      <a:graphic xmlns:a="http://schemas.openxmlformats.org/drawingml/2006/main">
                        <a:graphicData uri="http://schemas.openxmlformats.org/drawingml/2006/picture">
                          <pic:pic xmlns:pic="http://schemas.openxmlformats.org/drawingml/2006/picture">
                            <pic:nvPicPr>
                              <pic:cNvPr id="23" name="图片_96_SpCnt_20"/>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4" name="图片_96_SpCnt_21"/>
                      <wp:cNvGraphicFramePr/>
                      <a:graphic xmlns:a="http://schemas.openxmlformats.org/drawingml/2006/main">
                        <a:graphicData uri="http://schemas.openxmlformats.org/drawingml/2006/picture">
                          <pic:pic xmlns:pic="http://schemas.openxmlformats.org/drawingml/2006/picture">
                            <pic:nvPicPr>
                              <pic:cNvPr id="24" name="图片_96_SpCnt_21"/>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 name="图片_96_SpCnt_22"/>
                      <wp:cNvGraphicFramePr/>
                      <a:graphic xmlns:a="http://schemas.openxmlformats.org/drawingml/2006/main">
                        <a:graphicData uri="http://schemas.openxmlformats.org/drawingml/2006/picture">
                          <pic:pic xmlns:pic="http://schemas.openxmlformats.org/drawingml/2006/picture">
                            <pic:nvPicPr>
                              <pic:cNvPr id="25" name="图片_96_SpCnt_2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6" name="图片_96_SpCnt_23"/>
                      <wp:cNvGraphicFramePr/>
                      <a:graphic xmlns:a="http://schemas.openxmlformats.org/drawingml/2006/main">
                        <a:graphicData uri="http://schemas.openxmlformats.org/drawingml/2006/picture">
                          <pic:pic xmlns:pic="http://schemas.openxmlformats.org/drawingml/2006/picture">
                            <pic:nvPicPr>
                              <pic:cNvPr id="26" name="图片_96_SpCnt_2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7" name="图片_96_SpCnt_24"/>
                      <wp:cNvGraphicFramePr/>
                      <a:graphic xmlns:a="http://schemas.openxmlformats.org/drawingml/2006/main">
                        <a:graphicData uri="http://schemas.openxmlformats.org/drawingml/2006/picture">
                          <pic:pic xmlns:pic="http://schemas.openxmlformats.org/drawingml/2006/picture">
                            <pic:nvPicPr>
                              <pic:cNvPr id="27" name="图片_96_SpCnt_24"/>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8" name="图片_96_SpCnt_25"/>
                      <wp:cNvGraphicFramePr/>
                      <a:graphic xmlns:a="http://schemas.openxmlformats.org/drawingml/2006/main">
                        <a:graphicData uri="http://schemas.openxmlformats.org/drawingml/2006/picture">
                          <pic:pic xmlns:pic="http://schemas.openxmlformats.org/drawingml/2006/picture">
                            <pic:nvPicPr>
                              <pic:cNvPr id="28" name="图片_96_SpCnt_25"/>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9" name="图片_96_SpCnt_26"/>
                      <wp:cNvGraphicFramePr/>
                      <a:graphic xmlns:a="http://schemas.openxmlformats.org/drawingml/2006/main">
                        <a:graphicData uri="http://schemas.openxmlformats.org/drawingml/2006/picture">
                          <pic:pic xmlns:pic="http://schemas.openxmlformats.org/drawingml/2006/picture">
                            <pic:nvPicPr>
                              <pic:cNvPr id="29" name="图片_96_SpCnt_2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30" name="图片_96_SpCnt_27"/>
                      <wp:cNvGraphicFramePr/>
                      <a:graphic xmlns:a="http://schemas.openxmlformats.org/drawingml/2006/main">
                        <a:graphicData uri="http://schemas.openxmlformats.org/drawingml/2006/picture">
                          <pic:pic xmlns:pic="http://schemas.openxmlformats.org/drawingml/2006/picture">
                            <pic:nvPicPr>
                              <pic:cNvPr id="30" name="图片_96_SpCnt_2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31" name="图片_96_SpCnt_28"/>
                      <wp:cNvGraphicFramePr/>
                      <a:graphic xmlns:a="http://schemas.openxmlformats.org/drawingml/2006/main">
                        <a:graphicData uri="http://schemas.openxmlformats.org/drawingml/2006/picture">
                          <pic:pic xmlns:pic="http://schemas.openxmlformats.org/drawingml/2006/picture">
                            <pic:nvPicPr>
                              <pic:cNvPr id="31" name="图片_96_SpCnt_28"/>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32" name="图片_96_SpCnt_29"/>
                      <wp:cNvGraphicFramePr/>
                      <a:graphic xmlns:a="http://schemas.openxmlformats.org/drawingml/2006/main">
                        <a:graphicData uri="http://schemas.openxmlformats.org/drawingml/2006/picture">
                          <pic:pic xmlns:pic="http://schemas.openxmlformats.org/drawingml/2006/picture">
                            <pic:nvPicPr>
                              <pic:cNvPr id="32" name="图片_96_SpCnt_29"/>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3" name="图片_96_SpCnt_30"/>
                      <wp:cNvGraphicFramePr/>
                      <a:graphic xmlns:a="http://schemas.openxmlformats.org/drawingml/2006/main">
                        <a:graphicData uri="http://schemas.openxmlformats.org/drawingml/2006/picture">
                          <pic:pic xmlns:pic="http://schemas.openxmlformats.org/drawingml/2006/picture">
                            <pic:nvPicPr>
                              <pic:cNvPr id="33" name="图片_96_SpCnt_3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4" name="图片_96_SpCnt_31"/>
                      <wp:cNvGraphicFramePr/>
                      <a:graphic xmlns:a="http://schemas.openxmlformats.org/drawingml/2006/main">
                        <a:graphicData uri="http://schemas.openxmlformats.org/drawingml/2006/picture">
                          <pic:pic xmlns:pic="http://schemas.openxmlformats.org/drawingml/2006/picture">
                            <pic:nvPicPr>
                              <pic:cNvPr id="34" name="图片_96_SpCnt_31"/>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5" name="图片_96_SpCnt_32"/>
                      <wp:cNvGraphicFramePr/>
                      <a:graphic xmlns:a="http://schemas.openxmlformats.org/drawingml/2006/main">
                        <a:graphicData uri="http://schemas.openxmlformats.org/drawingml/2006/picture">
                          <pic:pic xmlns:pic="http://schemas.openxmlformats.org/drawingml/2006/picture">
                            <pic:nvPicPr>
                              <pic:cNvPr id="35" name="图片_96_SpCnt_3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6" name="图片_96_SpCnt_33"/>
                      <wp:cNvGraphicFramePr/>
                      <a:graphic xmlns:a="http://schemas.openxmlformats.org/drawingml/2006/main">
                        <a:graphicData uri="http://schemas.openxmlformats.org/drawingml/2006/picture">
                          <pic:pic xmlns:pic="http://schemas.openxmlformats.org/drawingml/2006/picture">
                            <pic:nvPicPr>
                              <pic:cNvPr id="36" name="图片_96_SpCnt_3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37" name="图片_96_SpCnt_34"/>
                      <wp:cNvGraphicFramePr/>
                      <a:graphic xmlns:a="http://schemas.openxmlformats.org/drawingml/2006/main">
                        <a:graphicData uri="http://schemas.openxmlformats.org/drawingml/2006/picture">
                          <pic:pic xmlns:pic="http://schemas.openxmlformats.org/drawingml/2006/picture">
                            <pic:nvPicPr>
                              <pic:cNvPr id="37" name="图片_96_SpCnt_3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1、软件系统需为嵌入式架构，可集成于智能壁挂主机内运行，无需额外增加硬件设备；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2、要求满足校企合作的互联网音视频实时连接的技术，通过连接公有云平台或私有化部署平台提供服务：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3、要求软件启动自动获取课程参数，并自动加入课堂，免人工干预；</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4、软件应能根据系统指配的角色自动切换工作模式：处于主讲端时，自动作为信号源进行音视频推流；处于远程端时，自动接收并显示主讲端的音视频信号；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5、音视频交互端到端传输延时应不大于600毫秒；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6、视频支持标准H.264等格式，分辨率最高可支1080P，码率最高可设置不低于8Mbps，相关参数应能根据平台策略自动适配调整。</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数智控制终端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38" name="图片_96_SpCnt_35"/>
                      <wp:cNvGraphicFramePr/>
                      <a:graphic xmlns:a="http://schemas.openxmlformats.org/drawingml/2006/main">
                        <a:graphicData uri="http://schemas.openxmlformats.org/drawingml/2006/picture">
                          <pic:pic xmlns:pic="http://schemas.openxmlformats.org/drawingml/2006/picture">
                            <pic:nvPicPr>
                              <pic:cNvPr id="38" name="图片_96_SpCnt_35"/>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39" name="图片_96_SpCnt_36"/>
                      <wp:cNvGraphicFramePr/>
                      <a:graphic xmlns:a="http://schemas.openxmlformats.org/drawingml/2006/main">
                        <a:graphicData uri="http://schemas.openxmlformats.org/drawingml/2006/picture">
                          <pic:pic xmlns:pic="http://schemas.openxmlformats.org/drawingml/2006/picture">
                            <pic:nvPicPr>
                              <pic:cNvPr id="39" name="图片_96_SpCnt_3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0" name="图片_119"/>
                      <wp:cNvGraphicFramePr/>
                      <a:graphic xmlns:a="http://schemas.openxmlformats.org/drawingml/2006/main">
                        <a:graphicData uri="http://schemas.openxmlformats.org/drawingml/2006/picture">
                          <pic:pic xmlns:pic="http://schemas.openxmlformats.org/drawingml/2006/picture">
                            <pic:nvPicPr>
                              <pic:cNvPr id="40" name="图片_119"/>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41" name="图片_96_SpCnt_37"/>
                      <wp:cNvGraphicFramePr/>
                      <a:graphic xmlns:a="http://schemas.openxmlformats.org/drawingml/2006/main">
                        <a:graphicData uri="http://schemas.openxmlformats.org/drawingml/2006/picture">
                          <pic:pic xmlns:pic="http://schemas.openxmlformats.org/drawingml/2006/picture">
                            <pic:nvPicPr>
                              <pic:cNvPr id="41" name="图片_96_SpCnt_37"/>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2" name="图片_96_SpCnt_38"/>
                      <wp:cNvGraphicFramePr/>
                      <a:graphic xmlns:a="http://schemas.openxmlformats.org/drawingml/2006/main">
                        <a:graphicData uri="http://schemas.openxmlformats.org/drawingml/2006/picture">
                          <pic:pic xmlns:pic="http://schemas.openxmlformats.org/drawingml/2006/picture">
                            <pic:nvPicPr>
                              <pic:cNvPr id="42" name="图片_96_SpCnt_38"/>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3" name="图片_96_SpCnt_39"/>
                      <wp:cNvGraphicFramePr/>
                      <a:graphic xmlns:a="http://schemas.openxmlformats.org/drawingml/2006/main">
                        <a:graphicData uri="http://schemas.openxmlformats.org/drawingml/2006/picture">
                          <pic:pic xmlns:pic="http://schemas.openxmlformats.org/drawingml/2006/picture">
                            <pic:nvPicPr>
                              <pic:cNvPr id="43" name="图片_96_SpCnt_39"/>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44" name="图片_96_SpCnt_40"/>
                      <wp:cNvGraphicFramePr/>
                      <a:graphic xmlns:a="http://schemas.openxmlformats.org/drawingml/2006/main">
                        <a:graphicData uri="http://schemas.openxmlformats.org/drawingml/2006/picture">
                          <pic:pic xmlns:pic="http://schemas.openxmlformats.org/drawingml/2006/picture">
                            <pic:nvPicPr>
                              <pic:cNvPr id="44" name="图片_96_SpCnt_40"/>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45" name="图片_96_SpCnt_41"/>
                      <wp:cNvGraphicFramePr/>
                      <a:graphic xmlns:a="http://schemas.openxmlformats.org/drawingml/2006/main">
                        <a:graphicData uri="http://schemas.openxmlformats.org/drawingml/2006/picture">
                          <pic:pic xmlns:pic="http://schemas.openxmlformats.org/drawingml/2006/picture">
                            <pic:nvPicPr>
                              <pic:cNvPr id="45" name="图片_96_SpCnt_41"/>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6" name="图片_96_SpCnt_42"/>
                      <wp:cNvGraphicFramePr/>
                      <a:graphic xmlns:a="http://schemas.openxmlformats.org/drawingml/2006/main">
                        <a:graphicData uri="http://schemas.openxmlformats.org/drawingml/2006/picture">
                          <pic:pic xmlns:pic="http://schemas.openxmlformats.org/drawingml/2006/picture">
                            <pic:nvPicPr>
                              <pic:cNvPr id="46" name="图片_96_SpCnt_42"/>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47" name="图片_96_SpCnt_43"/>
                      <wp:cNvGraphicFramePr/>
                      <a:graphic xmlns:a="http://schemas.openxmlformats.org/drawingml/2006/main">
                        <a:graphicData uri="http://schemas.openxmlformats.org/drawingml/2006/picture">
                          <pic:pic xmlns:pic="http://schemas.openxmlformats.org/drawingml/2006/picture">
                            <pic:nvPicPr>
                              <pic:cNvPr id="47" name="图片_96_SpCnt_4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48" name="图片_96_SpCnt_44"/>
                      <wp:cNvGraphicFramePr/>
                      <a:graphic xmlns:a="http://schemas.openxmlformats.org/drawingml/2006/main">
                        <a:graphicData uri="http://schemas.openxmlformats.org/drawingml/2006/picture">
                          <pic:pic xmlns:pic="http://schemas.openxmlformats.org/drawingml/2006/picture">
                            <pic:nvPicPr>
                              <pic:cNvPr id="48" name="图片_96_SpCnt_44"/>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49" name="图片_96_SpCnt_45"/>
                      <wp:cNvGraphicFramePr/>
                      <a:graphic xmlns:a="http://schemas.openxmlformats.org/drawingml/2006/main">
                        <a:graphicData uri="http://schemas.openxmlformats.org/drawingml/2006/picture">
                          <pic:pic xmlns:pic="http://schemas.openxmlformats.org/drawingml/2006/picture">
                            <pic:nvPicPr>
                              <pic:cNvPr id="49" name="图片_96_SpCnt_4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50" name="图片_96_SpCnt_46"/>
                      <wp:cNvGraphicFramePr/>
                      <a:graphic xmlns:a="http://schemas.openxmlformats.org/drawingml/2006/main">
                        <a:graphicData uri="http://schemas.openxmlformats.org/drawingml/2006/picture">
                          <pic:pic xmlns:pic="http://schemas.openxmlformats.org/drawingml/2006/picture">
                            <pic:nvPicPr>
                              <pic:cNvPr id="50" name="图片_96_SpCnt_4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51" name="图片_96_SpCnt_47"/>
                      <wp:cNvGraphicFramePr/>
                      <a:graphic xmlns:a="http://schemas.openxmlformats.org/drawingml/2006/main">
                        <a:graphicData uri="http://schemas.openxmlformats.org/drawingml/2006/picture">
                          <pic:pic xmlns:pic="http://schemas.openxmlformats.org/drawingml/2006/picture">
                            <pic:nvPicPr>
                              <pic:cNvPr id="51" name="图片_96_SpCnt_47"/>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52" name="图片_96_SpCnt_48"/>
                      <wp:cNvGraphicFramePr/>
                      <a:graphic xmlns:a="http://schemas.openxmlformats.org/drawingml/2006/main">
                        <a:graphicData uri="http://schemas.openxmlformats.org/drawingml/2006/picture">
                          <pic:pic xmlns:pic="http://schemas.openxmlformats.org/drawingml/2006/picture">
                            <pic:nvPicPr>
                              <pic:cNvPr id="52" name="图片_96_SpCnt_48"/>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3" name="图片_96_SpCnt_49"/>
                      <wp:cNvGraphicFramePr/>
                      <a:graphic xmlns:a="http://schemas.openxmlformats.org/drawingml/2006/main">
                        <a:graphicData uri="http://schemas.openxmlformats.org/drawingml/2006/picture">
                          <pic:pic xmlns:pic="http://schemas.openxmlformats.org/drawingml/2006/picture">
                            <pic:nvPicPr>
                              <pic:cNvPr id="53" name="图片_96_SpCnt_4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4" name="图片_96_SpCnt_50"/>
                      <wp:cNvGraphicFramePr/>
                      <a:graphic xmlns:a="http://schemas.openxmlformats.org/drawingml/2006/main">
                        <a:graphicData uri="http://schemas.openxmlformats.org/drawingml/2006/picture">
                          <pic:pic xmlns:pic="http://schemas.openxmlformats.org/drawingml/2006/picture">
                            <pic:nvPicPr>
                              <pic:cNvPr id="54" name="图片_96_SpCnt_5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55" name="图片_96_SpCnt_51"/>
                      <wp:cNvGraphicFramePr/>
                      <a:graphic xmlns:a="http://schemas.openxmlformats.org/drawingml/2006/main">
                        <a:graphicData uri="http://schemas.openxmlformats.org/drawingml/2006/picture">
                          <pic:pic xmlns:pic="http://schemas.openxmlformats.org/drawingml/2006/picture">
                            <pic:nvPicPr>
                              <pic:cNvPr id="55" name="图片_96_SpCnt_51"/>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56" name="图片_96_SpCnt_52"/>
                      <wp:cNvGraphicFramePr/>
                      <a:graphic xmlns:a="http://schemas.openxmlformats.org/drawingml/2006/main">
                        <a:graphicData uri="http://schemas.openxmlformats.org/drawingml/2006/picture">
                          <pic:pic xmlns:pic="http://schemas.openxmlformats.org/drawingml/2006/picture">
                            <pic:nvPicPr>
                              <pic:cNvPr id="56" name="图片_96_SpCnt_52"/>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7" name="图片_96_SpCnt_53"/>
                      <wp:cNvGraphicFramePr/>
                      <a:graphic xmlns:a="http://schemas.openxmlformats.org/drawingml/2006/main">
                        <a:graphicData uri="http://schemas.openxmlformats.org/drawingml/2006/picture">
                          <pic:pic xmlns:pic="http://schemas.openxmlformats.org/drawingml/2006/picture">
                            <pic:nvPicPr>
                              <pic:cNvPr id="57" name="图片_96_SpCnt_5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8" name="图片_96_SpCnt_54"/>
                      <wp:cNvGraphicFramePr/>
                      <a:graphic xmlns:a="http://schemas.openxmlformats.org/drawingml/2006/main">
                        <a:graphicData uri="http://schemas.openxmlformats.org/drawingml/2006/picture">
                          <pic:pic xmlns:pic="http://schemas.openxmlformats.org/drawingml/2006/picture">
                            <pic:nvPicPr>
                              <pic:cNvPr id="58" name="图片_96_SpCnt_54"/>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59" name="图片_96_SpCnt_55"/>
                      <wp:cNvGraphicFramePr/>
                      <a:graphic xmlns:a="http://schemas.openxmlformats.org/drawingml/2006/main">
                        <a:graphicData uri="http://schemas.openxmlformats.org/drawingml/2006/picture">
                          <pic:pic xmlns:pic="http://schemas.openxmlformats.org/drawingml/2006/picture">
                            <pic:nvPicPr>
                              <pic:cNvPr id="59" name="图片_96_SpCnt_5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0" name="图片_96_SpCnt_56"/>
                      <wp:cNvGraphicFramePr/>
                      <a:graphic xmlns:a="http://schemas.openxmlformats.org/drawingml/2006/main">
                        <a:graphicData uri="http://schemas.openxmlformats.org/drawingml/2006/picture">
                          <pic:pic xmlns:pic="http://schemas.openxmlformats.org/drawingml/2006/picture">
                            <pic:nvPicPr>
                              <pic:cNvPr id="60" name="图片_96_SpCnt_56"/>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61" name="图片_96_SpCnt_57"/>
                      <wp:cNvGraphicFramePr/>
                      <a:graphic xmlns:a="http://schemas.openxmlformats.org/drawingml/2006/main">
                        <a:graphicData uri="http://schemas.openxmlformats.org/drawingml/2006/picture">
                          <pic:pic xmlns:pic="http://schemas.openxmlformats.org/drawingml/2006/picture">
                            <pic:nvPicPr>
                              <pic:cNvPr id="61" name="图片_96_SpCnt_57"/>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62" name="图片_96_SpCnt_58"/>
                      <wp:cNvGraphicFramePr/>
                      <a:graphic xmlns:a="http://schemas.openxmlformats.org/drawingml/2006/main">
                        <a:graphicData uri="http://schemas.openxmlformats.org/drawingml/2006/picture">
                          <pic:pic xmlns:pic="http://schemas.openxmlformats.org/drawingml/2006/picture">
                            <pic:nvPicPr>
                              <pic:cNvPr id="62" name="图片_96_SpCnt_58"/>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63" name="图片_96_SpCnt_59"/>
                      <wp:cNvGraphicFramePr/>
                      <a:graphic xmlns:a="http://schemas.openxmlformats.org/drawingml/2006/main">
                        <a:graphicData uri="http://schemas.openxmlformats.org/drawingml/2006/picture">
                          <pic:pic xmlns:pic="http://schemas.openxmlformats.org/drawingml/2006/picture">
                            <pic:nvPicPr>
                              <pic:cNvPr id="63" name="图片_96_SpCnt_59"/>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64" name="图片_96_SpCnt_60"/>
                      <wp:cNvGraphicFramePr/>
                      <a:graphic xmlns:a="http://schemas.openxmlformats.org/drawingml/2006/main">
                        <a:graphicData uri="http://schemas.openxmlformats.org/drawingml/2006/picture">
                          <pic:pic xmlns:pic="http://schemas.openxmlformats.org/drawingml/2006/picture">
                            <pic:nvPicPr>
                              <pic:cNvPr id="64" name="图片_96_SpCnt_60"/>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1、显示屏尺寸不小于10.8英寸；</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2、屏幕材质：电容屏，支持多点触模；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3、屏幕分辨率：≥2560*1600；</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4、设备运行内存容量不低于8GB，存储容量不低于128GB；</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5、中央处理器核心数量不低于8核；</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6、支持Wi-Fi 6（802.11ax）或性能更优的无线网络标准，并兼容2.4GHz和5GHz频段；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7、产品需搭载成熟且稳定的操作系统，具备强大的兼容性与扩展性，以满足设备在多样化应用场景下的运行需求。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智能控制台软件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5" name="图片_96_SpCnt_61"/>
                      <wp:cNvGraphicFramePr/>
                      <a:graphic xmlns:a="http://schemas.openxmlformats.org/drawingml/2006/main">
                        <a:graphicData uri="http://schemas.openxmlformats.org/drawingml/2006/picture">
                          <pic:pic xmlns:pic="http://schemas.openxmlformats.org/drawingml/2006/picture">
                            <pic:nvPicPr>
                              <pic:cNvPr id="65" name="图片_96_SpCnt_61"/>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6" name="图片_125"/>
                      <wp:cNvGraphicFramePr/>
                      <a:graphic xmlns:a="http://schemas.openxmlformats.org/drawingml/2006/main">
                        <a:graphicData uri="http://schemas.openxmlformats.org/drawingml/2006/picture">
                          <pic:pic xmlns:pic="http://schemas.openxmlformats.org/drawingml/2006/picture">
                            <pic:nvPicPr>
                              <pic:cNvPr id="66" name="图片_12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67" name="图片_96_SpCnt_62"/>
                      <wp:cNvGraphicFramePr/>
                      <a:graphic xmlns:a="http://schemas.openxmlformats.org/drawingml/2006/main">
                        <a:graphicData uri="http://schemas.openxmlformats.org/drawingml/2006/picture">
                          <pic:pic xmlns:pic="http://schemas.openxmlformats.org/drawingml/2006/picture">
                            <pic:nvPicPr>
                              <pic:cNvPr id="67" name="图片_96_SpCnt_62"/>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8" name="图片_96_SpCnt_63"/>
                      <wp:cNvGraphicFramePr/>
                      <a:graphic xmlns:a="http://schemas.openxmlformats.org/drawingml/2006/main">
                        <a:graphicData uri="http://schemas.openxmlformats.org/drawingml/2006/picture">
                          <pic:pic xmlns:pic="http://schemas.openxmlformats.org/drawingml/2006/picture">
                            <pic:nvPicPr>
                              <pic:cNvPr id="68" name="图片_96_SpCnt_6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69" name="图片_96_SpCnt_64"/>
                      <wp:cNvGraphicFramePr/>
                      <a:graphic xmlns:a="http://schemas.openxmlformats.org/drawingml/2006/main">
                        <a:graphicData uri="http://schemas.openxmlformats.org/drawingml/2006/picture">
                          <pic:pic xmlns:pic="http://schemas.openxmlformats.org/drawingml/2006/picture">
                            <pic:nvPicPr>
                              <pic:cNvPr id="69" name="图片_96_SpCnt_6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0" name="图片_131"/>
                      <wp:cNvGraphicFramePr/>
                      <a:graphic xmlns:a="http://schemas.openxmlformats.org/drawingml/2006/main">
                        <a:graphicData uri="http://schemas.openxmlformats.org/drawingml/2006/picture">
                          <pic:pic xmlns:pic="http://schemas.openxmlformats.org/drawingml/2006/picture">
                            <pic:nvPicPr>
                              <pic:cNvPr id="70" name="图片_13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71" name="图片_96_SpCnt_65"/>
                      <wp:cNvGraphicFramePr/>
                      <a:graphic xmlns:a="http://schemas.openxmlformats.org/drawingml/2006/main">
                        <a:graphicData uri="http://schemas.openxmlformats.org/drawingml/2006/picture">
                          <pic:pic xmlns:pic="http://schemas.openxmlformats.org/drawingml/2006/picture">
                            <pic:nvPicPr>
                              <pic:cNvPr id="71" name="图片_96_SpCnt_6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72" name="图片_96_SpCnt_66"/>
                      <wp:cNvGraphicFramePr/>
                      <a:graphic xmlns:a="http://schemas.openxmlformats.org/drawingml/2006/main">
                        <a:graphicData uri="http://schemas.openxmlformats.org/drawingml/2006/picture">
                          <pic:pic xmlns:pic="http://schemas.openxmlformats.org/drawingml/2006/picture">
                            <pic:nvPicPr>
                              <pic:cNvPr id="72" name="图片_96_SpCnt_66"/>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3" name="图片_96_SpCnt_67"/>
                      <wp:cNvGraphicFramePr/>
                      <a:graphic xmlns:a="http://schemas.openxmlformats.org/drawingml/2006/main">
                        <a:graphicData uri="http://schemas.openxmlformats.org/drawingml/2006/picture">
                          <pic:pic xmlns:pic="http://schemas.openxmlformats.org/drawingml/2006/picture">
                            <pic:nvPicPr>
                              <pic:cNvPr id="73" name="图片_96_SpCnt_6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4" name="图片_96_SpCnt_68"/>
                      <wp:cNvGraphicFramePr/>
                      <a:graphic xmlns:a="http://schemas.openxmlformats.org/drawingml/2006/main">
                        <a:graphicData uri="http://schemas.openxmlformats.org/drawingml/2006/picture">
                          <pic:pic xmlns:pic="http://schemas.openxmlformats.org/drawingml/2006/picture">
                            <pic:nvPicPr>
                              <pic:cNvPr id="74" name="图片_96_SpCnt_68"/>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5" name="图片_96_SpCnt_69"/>
                      <wp:cNvGraphicFramePr/>
                      <a:graphic xmlns:a="http://schemas.openxmlformats.org/drawingml/2006/main">
                        <a:graphicData uri="http://schemas.openxmlformats.org/drawingml/2006/picture">
                          <pic:pic xmlns:pic="http://schemas.openxmlformats.org/drawingml/2006/picture">
                            <pic:nvPicPr>
                              <pic:cNvPr id="75" name="图片_96_SpCnt_69"/>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76" name="图片_96_SpCnt_70"/>
                      <wp:cNvGraphicFramePr/>
                      <a:graphic xmlns:a="http://schemas.openxmlformats.org/drawingml/2006/main">
                        <a:graphicData uri="http://schemas.openxmlformats.org/drawingml/2006/picture">
                          <pic:pic xmlns:pic="http://schemas.openxmlformats.org/drawingml/2006/picture">
                            <pic:nvPicPr>
                              <pic:cNvPr id="76" name="图片_96_SpCnt_7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7" name="图片_96_SpCnt_71"/>
                      <wp:cNvGraphicFramePr/>
                      <a:graphic xmlns:a="http://schemas.openxmlformats.org/drawingml/2006/main">
                        <a:graphicData uri="http://schemas.openxmlformats.org/drawingml/2006/picture">
                          <pic:pic xmlns:pic="http://schemas.openxmlformats.org/drawingml/2006/picture">
                            <pic:nvPicPr>
                              <pic:cNvPr id="77" name="图片_96_SpCnt_7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78" name="图片_96_SpCnt_72"/>
                      <wp:cNvGraphicFramePr/>
                      <a:graphic xmlns:a="http://schemas.openxmlformats.org/drawingml/2006/main">
                        <a:graphicData uri="http://schemas.openxmlformats.org/drawingml/2006/picture">
                          <pic:pic xmlns:pic="http://schemas.openxmlformats.org/drawingml/2006/picture">
                            <pic:nvPicPr>
                              <pic:cNvPr id="78" name="图片_96_SpCnt_72"/>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79" name="图片_96_SpCnt_73"/>
                      <wp:cNvGraphicFramePr/>
                      <a:graphic xmlns:a="http://schemas.openxmlformats.org/drawingml/2006/main">
                        <a:graphicData uri="http://schemas.openxmlformats.org/drawingml/2006/picture">
                          <pic:pic xmlns:pic="http://schemas.openxmlformats.org/drawingml/2006/picture">
                            <pic:nvPicPr>
                              <pic:cNvPr id="79" name="图片_96_SpCnt_7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0" name="图片_96_SpCnt_74"/>
                      <wp:cNvGraphicFramePr/>
                      <a:graphic xmlns:a="http://schemas.openxmlformats.org/drawingml/2006/main">
                        <a:graphicData uri="http://schemas.openxmlformats.org/drawingml/2006/picture">
                          <pic:pic xmlns:pic="http://schemas.openxmlformats.org/drawingml/2006/picture">
                            <pic:nvPicPr>
                              <pic:cNvPr id="80" name="图片_96_SpCnt_7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81" name="图片_96_SpCnt_75"/>
                      <wp:cNvGraphicFramePr/>
                      <a:graphic xmlns:a="http://schemas.openxmlformats.org/drawingml/2006/main">
                        <a:graphicData uri="http://schemas.openxmlformats.org/drawingml/2006/picture">
                          <pic:pic xmlns:pic="http://schemas.openxmlformats.org/drawingml/2006/picture">
                            <pic:nvPicPr>
                              <pic:cNvPr id="81" name="图片_96_SpCnt_75"/>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2" name="图片_96_SpCnt_76"/>
                      <wp:cNvGraphicFramePr/>
                      <a:graphic xmlns:a="http://schemas.openxmlformats.org/drawingml/2006/main">
                        <a:graphicData uri="http://schemas.openxmlformats.org/drawingml/2006/picture">
                          <pic:pic xmlns:pic="http://schemas.openxmlformats.org/drawingml/2006/picture">
                            <pic:nvPicPr>
                              <pic:cNvPr id="82" name="图片_96_SpCnt_76"/>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83" name="图片_96_SpCnt_77"/>
                      <wp:cNvGraphicFramePr/>
                      <a:graphic xmlns:a="http://schemas.openxmlformats.org/drawingml/2006/main">
                        <a:graphicData uri="http://schemas.openxmlformats.org/drawingml/2006/picture">
                          <pic:pic xmlns:pic="http://schemas.openxmlformats.org/drawingml/2006/picture">
                            <pic:nvPicPr>
                              <pic:cNvPr id="83" name="图片_96_SpCnt_77"/>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4" name="图片_96_SpCnt_78"/>
                      <wp:cNvGraphicFramePr/>
                      <a:graphic xmlns:a="http://schemas.openxmlformats.org/drawingml/2006/main">
                        <a:graphicData uri="http://schemas.openxmlformats.org/drawingml/2006/picture">
                          <pic:pic xmlns:pic="http://schemas.openxmlformats.org/drawingml/2006/picture">
                            <pic:nvPicPr>
                              <pic:cNvPr id="84" name="图片_96_SpCnt_7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5" name="图片_96_SpCnt_79"/>
                      <wp:cNvGraphicFramePr/>
                      <a:graphic xmlns:a="http://schemas.openxmlformats.org/drawingml/2006/main">
                        <a:graphicData uri="http://schemas.openxmlformats.org/drawingml/2006/picture">
                          <pic:pic xmlns:pic="http://schemas.openxmlformats.org/drawingml/2006/picture">
                            <pic:nvPicPr>
                              <pic:cNvPr id="85" name="图片_96_SpCnt_7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6" name="图片_96_SpCnt_80"/>
                      <wp:cNvGraphicFramePr/>
                      <a:graphic xmlns:a="http://schemas.openxmlformats.org/drawingml/2006/main">
                        <a:graphicData uri="http://schemas.openxmlformats.org/drawingml/2006/picture">
                          <pic:pic xmlns:pic="http://schemas.openxmlformats.org/drawingml/2006/picture">
                            <pic:nvPicPr>
                              <pic:cNvPr id="86" name="图片_96_SpCnt_8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87" name="图片_96_SpCnt_81"/>
                      <wp:cNvGraphicFramePr/>
                      <a:graphic xmlns:a="http://schemas.openxmlformats.org/drawingml/2006/main">
                        <a:graphicData uri="http://schemas.openxmlformats.org/drawingml/2006/picture">
                          <pic:pic xmlns:pic="http://schemas.openxmlformats.org/drawingml/2006/picture">
                            <pic:nvPicPr>
                              <pic:cNvPr id="87" name="图片_96_SpCnt_81"/>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88" name="图片_96_SpCnt_82"/>
                      <wp:cNvGraphicFramePr/>
                      <a:graphic xmlns:a="http://schemas.openxmlformats.org/drawingml/2006/main">
                        <a:graphicData uri="http://schemas.openxmlformats.org/drawingml/2006/picture">
                          <pic:pic xmlns:pic="http://schemas.openxmlformats.org/drawingml/2006/picture">
                            <pic:nvPicPr>
                              <pic:cNvPr id="88" name="图片_96_SpCnt_8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89" name="图片_96_SpCnt_83"/>
                      <wp:cNvGraphicFramePr/>
                      <a:graphic xmlns:a="http://schemas.openxmlformats.org/drawingml/2006/main">
                        <a:graphicData uri="http://schemas.openxmlformats.org/drawingml/2006/picture">
                          <pic:pic xmlns:pic="http://schemas.openxmlformats.org/drawingml/2006/picture">
                            <pic:nvPicPr>
                              <pic:cNvPr id="89" name="图片_96_SpCnt_83"/>
                              <pic:cNvPicPr/>
                              <pic:nvPr/>
                            </pic:nvPicPr>
                            <pic:blipFill>
                              <a:blip r:embed="rId13"/>
                              <a:stretch/>
                            </pic:blipFill>
                            <pic:spPr bwMode="auto">
                              <a:xfrm>
                                <a:off x="0" y="0"/>
                                <a:ext cx="0" cy="8267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90" name="图片_96_SpCnt_84"/>
                      <wp:cNvGraphicFramePr/>
                      <a:graphic xmlns:a="http://schemas.openxmlformats.org/drawingml/2006/main">
                        <a:graphicData uri="http://schemas.openxmlformats.org/drawingml/2006/picture">
                          <pic:pic xmlns:pic="http://schemas.openxmlformats.org/drawingml/2006/picture">
                            <pic:nvPicPr>
                              <pic:cNvPr id="90" name="图片_96_SpCnt_84"/>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91" name="图片_96_SpCnt_85"/>
                      <wp:cNvGraphicFramePr/>
                      <a:graphic xmlns:a="http://schemas.openxmlformats.org/drawingml/2006/main">
                        <a:graphicData uri="http://schemas.openxmlformats.org/drawingml/2006/picture">
                          <pic:pic xmlns:pic="http://schemas.openxmlformats.org/drawingml/2006/picture">
                            <pic:nvPicPr>
                              <pic:cNvPr id="91" name="图片_96_SpCnt_85"/>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2" name="图片_96_SpCnt_86"/>
                      <wp:cNvGraphicFramePr/>
                      <a:graphic xmlns:a="http://schemas.openxmlformats.org/drawingml/2006/main">
                        <a:graphicData uri="http://schemas.openxmlformats.org/drawingml/2006/picture">
                          <pic:pic xmlns:pic="http://schemas.openxmlformats.org/drawingml/2006/picture">
                            <pic:nvPicPr>
                              <pic:cNvPr id="92" name="图片_96_SpCnt_8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3" name="图片_96_SpCnt_87"/>
                      <wp:cNvGraphicFramePr/>
                      <a:graphic xmlns:a="http://schemas.openxmlformats.org/drawingml/2006/main">
                        <a:graphicData uri="http://schemas.openxmlformats.org/drawingml/2006/picture">
                          <pic:pic xmlns:pic="http://schemas.openxmlformats.org/drawingml/2006/picture">
                            <pic:nvPicPr>
                              <pic:cNvPr id="93" name="图片_96_SpCnt_87"/>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4" name="图片_96_SpCnt_88"/>
                      <wp:cNvGraphicFramePr/>
                      <a:graphic xmlns:a="http://schemas.openxmlformats.org/drawingml/2006/main">
                        <a:graphicData uri="http://schemas.openxmlformats.org/drawingml/2006/picture">
                          <pic:pic xmlns:pic="http://schemas.openxmlformats.org/drawingml/2006/picture">
                            <pic:nvPicPr>
                              <pic:cNvPr id="94" name="图片_96_SpCnt_88"/>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5" name="图片_96_SpCnt_89"/>
                      <wp:cNvGraphicFramePr/>
                      <a:graphic xmlns:a="http://schemas.openxmlformats.org/drawingml/2006/main">
                        <a:graphicData uri="http://schemas.openxmlformats.org/drawingml/2006/picture">
                          <pic:pic xmlns:pic="http://schemas.openxmlformats.org/drawingml/2006/picture">
                            <pic:nvPicPr>
                              <pic:cNvPr id="95" name="图片_96_SpCnt_89"/>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1、软件需适配智能终端操作系统，界面设计直观，操作便捷；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2、支持至少两种网络接入方式：本地教室局域网接入、校园局域网接入；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3、软件界面支持呈现课堂信息，包括课程名称、开始时间、结束时间等；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4、软件支持导播布局选择、导播方式选择；导播布局至少包括单画面、画中画-左、画中画-右三种布局；导播方式至少支持自动导播和手动导播；</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5、支持不少于8路视频源的小画面预览显示；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6、支持支持流畅度至少流畅、高清、超清三种的切换；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7、具有课堂直播状态指示，并支持暂停、停止、启动直播；</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8、具有课堂音视频互动状态指示，并支持对互动的声音进行控制，调整声音大小、全场静音、学生静音；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9、具有声音状态指示，根据声音条的跳动显示音量大小；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10、具有连接状态指示，包括设备连接正常、设备连接断开，并支持断开重连，点击重连等重连方式；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11、可以对接入的云台摄像机进行云台控制，包括上下左右调整，设置预置位，预置位具有预置位图片显示，方便查看预置位位置；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12、支持文件管理，包括检测主机硬盘磁盘空间大小、拷贝主机视频文件到U盘、删除主机视频文件和筛选不同日期视频文件功能。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评分评价终端软件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Style w:val="920"/>
                <w:rFonts w:hint="eastAsia" w:ascii="宋体" w:hAnsi="宋体" w:eastAsia="宋体" w:cs="宋体"/>
                <w:color w:val="auto"/>
                <w:sz w:val="21"/>
                <w:szCs w:val="21"/>
                <w:highlight w:val="none"/>
                <w:lang w:val="en-US" w:eastAsia="zh-CN" w:bidi="ar"/>
              </w:rPr>
              <w:suppressLineNumbers w:val="0"/>
            </w:pP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6" name="图片_96_SpCnt_90"/>
                      <wp:cNvGraphicFramePr/>
                      <a:graphic xmlns:a="http://schemas.openxmlformats.org/drawingml/2006/main">
                        <a:graphicData uri="http://schemas.openxmlformats.org/drawingml/2006/picture">
                          <pic:pic xmlns:pic="http://schemas.openxmlformats.org/drawingml/2006/picture">
                            <pic:nvPicPr>
                              <pic:cNvPr id="96" name="图片_96_SpCnt_90"/>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7" name="图片_96_SpCnt_91"/>
                      <wp:cNvGraphicFramePr/>
                      <a:graphic xmlns:a="http://schemas.openxmlformats.org/drawingml/2006/main">
                        <a:graphicData uri="http://schemas.openxmlformats.org/drawingml/2006/picture">
                          <pic:pic xmlns:pic="http://schemas.openxmlformats.org/drawingml/2006/picture">
                            <pic:nvPicPr>
                              <pic:cNvPr id="97" name="图片_96_SpCnt_9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98" name="图片_96_SpCnt_92"/>
                      <wp:cNvGraphicFramePr/>
                      <a:graphic xmlns:a="http://schemas.openxmlformats.org/drawingml/2006/main">
                        <a:graphicData uri="http://schemas.openxmlformats.org/drawingml/2006/picture">
                          <pic:pic xmlns:pic="http://schemas.openxmlformats.org/drawingml/2006/picture">
                            <pic:nvPicPr>
                              <pic:cNvPr id="98" name="图片_96_SpCnt_9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99" name="图片_96_SpCnt_93"/>
                      <wp:cNvGraphicFramePr/>
                      <a:graphic xmlns:a="http://schemas.openxmlformats.org/drawingml/2006/main">
                        <a:graphicData uri="http://schemas.openxmlformats.org/drawingml/2006/picture">
                          <pic:pic xmlns:pic="http://schemas.openxmlformats.org/drawingml/2006/picture">
                            <pic:nvPicPr>
                              <pic:cNvPr id="99" name="图片_96_SpCnt_9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0" name="图片_96_SpCnt_94"/>
                      <wp:cNvGraphicFramePr/>
                      <a:graphic xmlns:a="http://schemas.openxmlformats.org/drawingml/2006/main">
                        <a:graphicData uri="http://schemas.openxmlformats.org/drawingml/2006/picture">
                          <pic:pic xmlns:pic="http://schemas.openxmlformats.org/drawingml/2006/picture">
                            <pic:nvPicPr>
                              <pic:cNvPr id="100" name="图片_96_SpCnt_9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1" name="图片_96_SpCnt_95"/>
                      <wp:cNvGraphicFramePr/>
                      <a:graphic xmlns:a="http://schemas.openxmlformats.org/drawingml/2006/main">
                        <a:graphicData uri="http://schemas.openxmlformats.org/drawingml/2006/picture">
                          <pic:pic xmlns:pic="http://schemas.openxmlformats.org/drawingml/2006/picture">
                            <pic:nvPicPr>
                              <pic:cNvPr id="101" name="图片_96_SpCnt_9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02" name="图片_96_SpCnt_96"/>
                      <wp:cNvGraphicFramePr/>
                      <a:graphic xmlns:a="http://schemas.openxmlformats.org/drawingml/2006/main">
                        <a:graphicData uri="http://schemas.openxmlformats.org/drawingml/2006/picture">
                          <pic:pic xmlns:pic="http://schemas.openxmlformats.org/drawingml/2006/picture">
                            <pic:nvPicPr>
                              <pic:cNvPr id="102" name="图片_96_SpCnt_96"/>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03" name="图片_96_SpCnt_97"/>
                      <wp:cNvGraphicFramePr/>
                      <a:graphic xmlns:a="http://schemas.openxmlformats.org/drawingml/2006/main">
                        <a:graphicData uri="http://schemas.openxmlformats.org/drawingml/2006/picture">
                          <pic:pic xmlns:pic="http://schemas.openxmlformats.org/drawingml/2006/picture">
                            <pic:nvPicPr>
                              <pic:cNvPr id="103" name="图片_96_SpCnt_9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4" name="图片_96_SpCnt_98"/>
                      <wp:cNvGraphicFramePr/>
                      <a:graphic xmlns:a="http://schemas.openxmlformats.org/drawingml/2006/main">
                        <a:graphicData uri="http://schemas.openxmlformats.org/drawingml/2006/picture">
                          <pic:pic xmlns:pic="http://schemas.openxmlformats.org/drawingml/2006/picture">
                            <pic:nvPicPr>
                              <pic:cNvPr id="104" name="图片_96_SpCnt_9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05" name="图片_96_SpCnt_99"/>
                      <wp:cNvGraphicFramePr/>
                      <a:graphic xmlns:a="http://schemas.openxmlformats.org/drawingml/2006/main">
                        <a:graphicData uri="http://schemas.openxmlformats.org/drawingml/2006/picture">
                          <pic:pic xmlns:pic="http://schemas.openxmlformats.org/drawingml/2006/picture">
                            <pic:nvPicPr>
                              <pic:cNvPr id="105" name="图片_96_SpCnt_99"/>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06" name="图片_96_SpCnt_100"/>
                      <wp:cNvGraphicFramePr/>
                      <a:graphic xmlns:a="http://schemas.openxmlformats.org/drawingml/2006/main">
                        <a:graphicData uri="http://schemas.openxmlformats.org/drawingml/2006/picture">
                          <pic:pic xmlns:pic="http://schemas.openxmlformats.org/drawingml/2006/picture">
                            <pic:nvPicPr>
                              <pic:cNvPr id="106" name="图片_96_SpCnt_100"/>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7" name="图片_96_SpCnt_101"/>
                      <wp:cNvGraphicFramePr/>
                      <a:graphic xmlns:a="http://schemas.openxmlformats.org/drawingml/2006/main">
                        <a:graphicData uri="http://schemas.openxmlformats.org/drawingml/2006/picture">
                          <pic:pic xmlns:pic="http://schemas.openxmlformats.org/drawingml/2006/picture">
                            <pic:nvPicPr>
                              <pic:cNvPr id="107" name="图片_96_SpCnt_101"/>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08" name="图片_96_SpCnt_102"/>
                      <wp:cNvGraphicFramePr/>
                      <a:graphic xmlns:a="http://schemas.openxmlformats.org/drawingml/2006/main">
                        <a:graphicData uri="http://schemas.openxmlformats.org/drawingml/2006/picture">
                          <pic:pic xmlns:pic="http://schemas.openxmlformats.org/drawingml/2006/picture">
                            <pic:nvPicPr>
                              <pic:cNvPr id="108" name="图片_96_SpCnt_10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09" name="图片_96_SpCnt_103"/>
                      <wp:cNvGraphicFramePr/>
                      <a:graphic xmlns:a="http://schemas.openxmlformats.org/drawingml/2006/main">
                        <a:graphicData uri="http://schemas.openxmlformats.org/drawingml/2006/picture">
                          <pic:pic xmlns:pic="http://schemas.openxmlformats.org/drawingml/2006/picture">
                            <pic:nvPicPr>
                              <pic:cNvPr id="109" name="图片_96_SpCnt_10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10" name="图片_96_SpCnt_104"/>
                      <wp:cNvGraphicFramePr/>
                      <a:graphic xmlns:a="http://schemas.openxmlformats.org/drawingml/2006/main">
                        <a:graphicData uri="http://schemas.openxmlformats.org/drawingml/2006/picture">
                          <pic:pic xmlns:pic="http://schemas.openxmlformats.org/drawingml/2006/picture">
                            <pic:nvPicPr>
                              <pic:cNvPr id="110" name="图片_96_SpCnt_10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1" name="图片_96_SpCnt_105"/>
                      <wp:cNvGraphicFramePr/>
                      <a:graphic xmlns:a="http://schemas.openxmlformats.org/drawingml/2006/main">
                        <a:graphicData uri="http://schemas.openxmlformats.org/drawingml/2006/picture">
                          <pic:pic xmlns:pic="http://schemas.openxmlformats.org/drawingml/2006/picture">
                            <pic:nvPicPr>
                              <pic:cNvPr id="111" name="图片_96_SpCnt_105"/>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2" name="图片_96_SpCnt_106"/>
                      <wp:cNvGraphicFramePr/>
                      <a:graphic xmlns:a="http://schemas.openxmlformats.org/drawingml/2006/main">
                        <a:graphicData uri="http://schemas.openxmlformats.org/drawingml/2006/picture">
                          <pic:pic xmlns:pic="http://schemas.openxmlformats.org/drawingml/2006/picture">
                            <pic:nvPicPr>
                              <pic:cNvPr id="112" name="图片_96_SpCnt_10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3" name="图片_162"/>
                      <wp:cNvGraphicFramePr/>
                      <a:graphic xmlns:a="http://schemas.openxmlformats.org/drawingml/2006/main">
                        <a:graphicData uri="http://schemas.openxmlformats.org/drawingml/2006/picture">
                          <pic:pic xmlns:pic="http://schemas.openxmlformats.org/drawingml/2006/picture">
                            <pic:nvPicPr>
                              <pic:cNvPr id="113" name="图片_162"/>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4" name="图片_96_SpCnt_107"/>
                      <wp:cNvGraphicFramePr/>
                      <a:graphic xmlns:a="http://schemas.openxmlformats.org/drawingml/2006/main">
                        <a:graphicData uri="http://schemas.openxmlformats.org/drawingml/2006/picture">
                          <pic:pic xmlns:pic="http://schemas.openxmlformats.org/drawingml/2006/picture">
                            <pic:nvPicPr>
                              <pic:cNvPr id="114" name="图片_96_SpCnt_10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15" name="图片_96_SpCnt_108"/>
                      <wp:cNvGraphicFramePr/>
                      <a:graphic xmlns:a="http://schemas.openxmlformats.org/drawingml/2006/main">
                        <a:graphicData uri="http://schemas.openxmlformats.org/drawingml/2006/picture">
                          <pic:pic xmlns:pic="http://schemas.openxmlformats.org/drawingml/2006/picture">
                            <pic:nvPicPr>
                              <pic:cNvPr id="115" name="图片_96_SpCnt_108"/>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16" name="图片_96_SpCnt_109"/>
                      <wp:cNvGraphicFramePr/>
                      <a:graphic xmlns:a="http://schemas.openxmlformats.org/drawingml/2006/main">
                        <a:graphicData uri="http://schemas.openxmlformats.org/drawingml/2006/picture">
                          <pic:pic xmlns:pic="http://schemas.openxmlformats.org/drawingml/2006/picture">
                            <pic:nvPicPr>
                              <pic:cNvPr id="116" name="图片_96_SpCnt_109"/>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17" name="图片_96_SpCnt_110"/>
                      <wp:cNvGraphicFramePr/>
                      <a:graphic xmlns:a="http://schemas.openxmlformats.org/drawingml/2006/main">
                        <a:graphicData uri="http://schemas.openxmlformats.org/drawingml/2006/picture">
                          <pic:pic xmlns:pic="http://schemas.openxmlformats.org/drawingml/2006/picture">
                            <pic:nvPicPr>
                              <pic:cNvPr id="117" name="图片_96_SpCnt_110"/>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18" name="图片_137"/>
                      <wp:cNvGraphicFramePr/>
                      <a:graphic xmlns:a="http://schemas.openxmlformats.org/drawingml/2006/main">
                        <a:graphicData uri="http://schemas.openxmlformats.org/drawingml/2006/picture">
                          <pic:pic xmlns:pic="http://schemas.openxmlformats.org/drawingml/2006/picture">
                            <pic:nvPicPr>
                              <pic:cNvPr id="118" name="图片_137"/>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19" name="图片_96_SpCnt_111"/>
                      <wp:cNvGraphicFramePr/>
                      <a:graphic xmlns:a="http://schemas.openxmlformats.org/drawingml/2006/main">
                        <a:graphicData uri="http://schemas.openxmlformats.org/drawingml/2006/picture">
                          <pic:pic xmlns:pic="http://schemas.openxmlformats.org/drawingml/2006/picture">
                            <pic:nvPicPr>
                              <pic:cNvPr id="119" name="图片_96_SpCnt_111"/>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20" name="图片_96_SpCnt_112"/>
                      <wp:cNvGraphicFramePr/>
                      <a:graphic xmlns:a="http://schemas.openxmlformats.org/drawingml/2006/main">
                        <a:graphicData uri="http://schemas.openxmlformats.org/drawingml/2006/picture">
                          <pic:pic xmlns:pic="http://schemas.openxmlformats.org/drawingml/2006/picture">
                            <pic:nvPicPr>
                              <pic:cNvPr id="120" name="图片_96_SpCnt_11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21" name="图片_96_SpCnt_113"/>
                      <wp:cNvGraphicFramePr/>
                      <a:graphic xmlns:a="http://schemas.openxmlformats.org/drawingml/2006/main">
                        <a:graphicData uri="http://schemas.openxmlformats.org/drawingml/2006/picture">
                          <pic:pic xmlns:pic="http://schemas.openxmlformats.org/drawingml/2006/picture">
                            <pic:nvPicPr>
                              <pic:cNvPr id="121" name="图片_96_SpCnt_11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22" name="图片_96_SpCnt_114"/>
                      <wp:cNvGraphicFramePr/>
                      <a:graphic xmlns:a="http://schemas.openxmlformats.org/drawingml/2006/main">
                        <a:graphicData uri="http://schemas.openxmlformats.org/drawingml/2006/picture">
                          <pic:pic xmlns:pic="http://schemas.openxmlformats.org/drawingml/2006/picture">
                            <pic:nvPicPr>
                              <pic:cNvPr id="122" name="图片_96_SpCnt_114"/>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23" name="图片_96_SpCnt_115"/>
                      <wp:cNvGraphicFramePr/>
                      <a:graphic xmlns:a="http://schemas.openxmlformats.org/drawingml/2006/main">
                        <a:graphicData uri="http://schemas.openxmlformats.org/drawingml/2006/picture">
                          <pic:pic xmlns:pic="http://schemas.openxmlformats.org/drawingml/2006/picture">
                            <pic:nvPicPr>
                              <pic:cNvPr id="123" name="图片_96_SpCnt_115"/>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Style w:val="920"/>
                <w:rFonts w:hint="eastAsia" w:ascii="宋体" w:hAnsi="宋体" w:eastAsia="宋体" w:cs="宋体"/>
                <w:color w:val="auto"/>
                <w:sz w:val="21"/>
                <w:szCs w:val="21"/>
                <w:highlight w:val="none"/>
                <w:lang w:val="en-US" w:eastAsia="zh-CN" w:bidi="ar"/>
              </w:rPr>
              <w:t xml:space="preserve">1、软件需基于操作系统平台运行，具备良好的兼容性以满足不同实训场景的应用需求；</w:t>
            </w:r>
            <w:r/>
          </w:p>
          <w:p>
            <w:pPr>
              <w:ind w:left="0" w:right="0"/>
              <w:jc w:val="left"/>
              <w:keepLines w:val="0"/>
              <w:keepNext w:val="0"/>
              <w:pageBreakBefore w:val="0"/>
              <w:spacing w:before="0" w:beforeAutospacing="0" w:after="0" w:afterAutospacing="0" w:line="320" w:lineRule="exact"/>
              <w:widowControl/>
              <w:rPr>
                <w:rStyle w:val="920"/>
                <w:rFonts w:hint="eastAsia" w:ascii="宋体" w:hAnsi="宋体" w:eastAsia="宋体" w:cs="宋体"/>
                <w:color w:val="auto"/>
                <w:sz w:val="21"/>
                <w:szCs w:val="21"/>
                <w:highlight w:val="none"/>
                <w:lang w:val="en-US" w:eastAsia="zh-CN" w:bidi="ar"/>
              </w:rPr>
              <w:suppressLineNumbers w:val="0"/>
            </w:pPr>
            <w:r>
              <w:rPr>
                <w:rStyle w:val="920"/>
                <w:rFonts w:hint="eastAsia" w:ascii="宋体" w:hAnsi="宋体" w:eastAsia="宋体" w:cs="宋体"/>
                <w:color w:val="auto"/>
                <w:sz w:val="21"/>
                <w:szCs w:val="21"/>
                <w:highlight w:val="none"/>
                <w:lang w:val="en-US" w:eastAsia="zh-CN" w:bidi="ar"/>
              </w:rPr>
              <w:t xml:space="preserve">2、支持教师账号进行登录，与评分评价系统进行对接实现在线评分；</w:t>
            </w:r>
            <w:r/>
          </w:p>
          <w:p>
            <w:pPr>
              <w:ind w:left="0" w:right="0"/>
              <w:jc w:val="left"/>
              <w:keepLines w:val="0"/>
              <w:keepNext w:val="0"/>
              <w:pageBreakBefore w:val="0"/>
              <w:spacing w:before="0" w:beforeAutospacing="0" w:after="0" w:afterAutospacing="0" w:line="320" w:lineRule="exact"/>
              <w:widowControl/>
              <w:rPr>
                <w:rStyle w:val="920"/>
                <w:rFonts w:hint="eastAsia" w:ascii="宋体" w:hAnsi="宋体" w:eastAsia="宋体" w:cs="宋体"/>
                <w:color w:val="auto"/>
                <w:sz w:val="21"/>
                <w:szCs w:val="21"/>
                <w:highlight w:val="none"/>
                <w:lang w:val="en-US" w:eastAsia="zh-CN" w:bidi="ar"/>
              </w:rPr>
              <w:suppressLineNumbers w:val="0"/>
            </w:pPr>
            <w:r>
              <w:rPr>
                <w:rStyle w:val="920"/>
                <w:rFonts w:hint="eastAsia" w:ascii="宋体" w:hAnsi="宋体" w:eastAsia="宋体" w:cs="宋体"/>
                <w:color w:val="auto"/>
                <w:sz w:val="21"/>
                <w:szCs w:val="21"/>
                <w:highlight w:val="none"/>
                <w:lang w:val="en-US" w:eastAsia="zh-CN" w:bidi="ar"/>
              </w:rPr>
              <w:t xml:space="preserve">3、支持选择预设评分模型，并以结构化方式（如树状列表）清晰展示多级评分指标，内容应包括指标名称、分值、类型及参考标准；界面应显示评分总分与通过分数线；</w:t>
            </w:r>
            <w:r/>
          </w:p>
          <w:p>
            <w:pPr>
              <w:ind w:left="0" w:right="0"/>
              <w:jc w:val="left"/>
              <w:keepLines w:val="0"/>
              <w:keepNext w:val="0"/>
              <w:pageBreakBefore w:val="0"/>
              <w:spacing w:before="0" w:beforeAutospacing="0" w:after="0" w:afterAutospacing="0" w:line="320" w:lineRule="exact"/>
              <w:widowControl/>
              <w:rPr>
                <w:rStyle w:val="920"/>
                <w:rFonts w:hint="eastAsia" w:ascii="宋体" w:hAnsi="宋体" w:eastAsia="宋体" w:cs="宋体"/>
                <w:color w:val="auto"/>
                <w:sz w:val="21"/>
                <w:szCs w:val="21"/>
                <w:highlight w:val="none"/>
                <w:lang w:val="en-US" w:eastAsia="zh-CN" w:bidi="ar"/>
              </w:rPr>
              <w:suppressLineNumbers w:val="0"/>
            </w:pPr>
            <w:r>
              <w:rPr>
                <w:rStyle w:val="920"/>
                <w:rFonts w:hint="eastAsia" w:ascii="宋体" w:hAnsi="宋体" w:eastAsia="宋体" w:cs="宋体"/>
                <w:color w:val="auto"/>
                <w:sz w:val="21"/>
                <w:szCs w:val="21"/>
                <w:highlight w:val="none"/>
                <w:lang w:val="en-US" w:eastAsia="zh-CN" w:bidi="ar"/>
              </w:rPr>
              <w:t xml:space="preserve">4、支持按小组或学生个体为单位进行评分，评分操作方式应灵活，至少支持数值输入、拖拽滑块、点选选项中的两种；</w:t>
            </w:r>
            <w:r/>
          </w:p>
          <w:p>
            <w:pPr>
              <w:ind w:left="0" w:right="0"/>
              <w:jc w:val="left"/>
              <w:keepLines w:val="0"/>
              <w:keepNext w:val="0"/>
              <w:pageBreakBefore w:val="0"/>
              <w:spacing w:before="0" w:beforeAutospacing="0" w:after="0" w:afterAutospacing="0" w:line="320" w:lineRule="exact"/>
              <w:widowControl/>
              <w:rPr>
                <w:rStyle w:val="920"/>
                <w:rFonts w:hint="eastAsia" w:ascii="宋体" w:hAnsi="宋体" w:eastAsia="宋体" w:cs="宋体"/>
                <w:color w:val="auto"/>
                <w:sz w:val="21"/>
                <w:szCs w:val="21"/>
                <w:highlight w:val="none"/>
                <w:lang w:val="en-US" w:eastAsia="zh-CN" w:bidi="ar"/>
              </w:rPr>
              <w:suppressLineNumbers w:val="0"/>
            </w:pPr>
            <w:r>
              <w:rPr>
                <w:rStyle w:val="920"/>
                <w:rFonts w:hint="eastAsia" w:ascii="宋体" w:hAnsi="宋体" w:eastAsia="宋体" w:cs="宋体"/>
                <w:color w:val="auto"/>
                <w:sz w:val="21"/>
                <w:szCs w:val="21"/>
                <w:highlight w:val="none"/>
                <w:lang w:val="en-US" w:eastAsia="zh-CN" w:bidi="ar"/>
              </w:rPr>
              <w:t xml:space="preserve">5、支持小组评分实时显示各个小组的已评分和未评分的列表；支持按照未评分进行筛选；也支持按照评分时间进行正序/倒序排序；</w:t>
            </w:r>
            <w:r/>
          </w:p>
          <w:p>
            <w:pPr>
              <w:ind w:left="0" w:right="0"/>
              <w:jc w:val="left"/>
              <w:keepLines w:val="0"/>
              <w:keepNext w:val="0"/>
              <w:pageBreakBefore w:val="0"/>
              <w:spacing w:before="0" w:beforeAutospacing="0" w:after="0" w:afterAutospacing="0" w:line="320" w:lineRule="exact"/>
              <w:widowControl/>
              <w:rPr>
                <w:rStyle w:val="920"/>
                <w:rFonts w:hint="eastAsia" w:ascii="宋体" w:hAnsi="宋体" w:eastAsia="宋体" w:cs="宋体"/>
                <w:color w:val="auto"/>
                <w:sz w:val="21"/>
                <w:szCs w:val="21"/>
                <w:highlight w:val="none"/>
                <w:lang w:val="en-US" w:eastAsia="zh-CN" w:bidi="ar"/>
              </w:rPr>
              <w:suppressLineNumbers w:val="0"/>
            </w:pPr>
            <w:r>
              <w:rPr>
                <w:rStyle w:val="920"/>
                <w:rFonts w:hint="eastAsia" w:ascii="宋体" w:hAnsi="宋体" w:eastAsia="宋体" w:cs="宋体"/>
                <w:color w:val="auto"/>
                <w:sz w:val="21"/>
                <w:szCs w:val="21"/>
                <w:highlight w:val="none"/>
                <w:lang w:val="en-US" w:eastAsia="zh-CN" w:bidi="ar"/>
              </w:rPr>
              <w:t xml:space="preserve">6、支持学生评分实时显示所有学生的已评分和未评分的列表；可以支持未评分进行筛选，也支持按照评分时间进行正序/倒序排序；</w:t>
            </w:r>
            <w:r/>
          </w:p>
          <w:p>
            <w:pPr>
              <w:ind w:left="0" w:right="0"/>
              <w:jc w:val="left"/>
              <w:keepLines w:val="0"/>
              <w:keepNext w:val="0"/>
              <w:pageBreakBefore w:val="0"/>
              <w:spacing w:before="0" w:beforeAutospacing="0" w:after="0" w:afterAutospacing="0" w:line="320" w:lineRule="exact"/>
              <w:widowControl/>
              <w:rPr>
                <w:rStyle w:val="920"/>
                <w:rFonts w:hint="eastAsia" w:ascii="宋体" w:hAnsi="宋体" w:eastAsia="宋体" w:cs="宋体"/>
                <w:color w:val="auto"/>
                <w:sz w:val="21"/>
                <w:szCs w:val="21"/>
                <w:highlight w:val="none"/>
                <w:lang w:val="en-US" w:eastAsia="zh-CN" w:bidi="ar"/>
              </w:rPr>
              <w:suppressLineNumbers w:val="0"/>
            </w:pPr>
            <w:r>
              <w:rPr>
                <w:rStyle w:val="920"/>
                <w:rFonts w:hint="eastAsia" w:ascii="宋体" w:hAnsi="宋体" w:eastAsia="宋体" w:cs="宋体"/>
                <w:color w:val="auto"/>
                <w:sz w:val="21"/>
                <w:szCs w:val="21"/>
                <w:highlight w:val="none"/>
                <w:lang w:val="en-US" w:eastAsia="zh-CN" w:bidi="ar"/>
              </w:rPr>
              <w:t xml:space="preserve">7、支持评分过程中滚动显示评分指标，并实时显示当前评分汇总分数；</w:t>
            </w:r>
            <w:r/>
          </w:p>
          <w:p>
            <w:pPr>
              <w:ind w:left="0" w:right="0"/>
              <w:jc w:val="left"/>
              <w:keepLines w:val="0"/>
              <w:keepNext w:val="0"/>
              <w:pageBreakBefore w:val="0"/>
              <w:spacing w:before="0" w:beforeAutospacing="0" w:after="0" w:afterAutospacing="0" w:line="320" w:lineRule="exact"/>
              <w:widowControl/>
              <w:rPr>
                <w:rStyle w:val="920"/>
                <w:rFonts w:hint="eastAsia" w:ascii="宋体" w:hAnsi="宋体" w:eastAsia="宋体" w:cs="宋体"/>
                <w:color w:val="auto"/>
                <w:sz w:val="21"/>
                <w:szCs w:val="21"/>
                <w:highlight w:val="none"/>
                <w:lang w:val="en-US" w:eastAsia="zh-CN" w:bidi="ar"/>
              </w:rPr>
              <w:suppressLineNumbers w:val="0"/>
            </w:pPr>
            <w:r>
              <w:rPr>
                <w:rStyle w:val="920"/>
                <w:rFonts w:hint="eastAsia" w:ascii="宋体" w:hAnsi="宋体" w:eastAsia="宋体" w:cs="宋体"/>
                <w:color w:val="auto"/>
                <w:sz w:val="21"/>
                <w:szCs w:val="21"/>
                <w:highlight w:val="none"/>
                <w:lang w:val="en-US" w:eastAsia="zh-CN" w:bidi="ar"/>
              </w:rPr>
              <w:t xml:space="preserve">8、支持对已提交的评分结果进行查看与修改；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Style w:val="920"/>
                <w:rFonts w:hint="eastAsia" w:ascii="宋体" w:hAnsi="宋体" w:eastAsia="宋体" w:cs="宋体"/>
                <w:color w:val="auto"/>
                <w:sz w:val="21"/>
                <w:szCs w:val="21"/>
                <w:highlight w:val="none"/>
                <w:lang w:val="en-US" w:eastAsia="zh-CN" w:bidi="ar"/>
              </w:rPr>
              <w:t xml:space="preserve">9、支持将评分结果实时同步至实训互动软件并进行展示。</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互训分组终端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24" name="图片_96_SpCnt_116"/>
                      <wp:cNvGraphicFramePr/>
                      <a:graphic xmlns:a="http://schemas.openxmlformats.org/drawingml/2006/main">
                        <a:graphicData uri="http://schemas.openxmlformats.org/drawingml/2006/picture">
                          <pic:pic xmlns:pic="http://schemas.openxmlformats.org/drawingml/2006/picture">
                            <pic:nvPicPr>
                              <pic:cNvPr id="124" name="图片_96_SpCnt_116"/>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25" name="图片_96_SpCnt_117"/>
                      <wp:cNvGraphicFramePr/>
                      <a:graphic xmlns:a="http://schemas.openxmlformats.org/drawingml/2006/main">
                        <a:graphicData uri="http://schemas.openxmlformats.org/drawingml/2006/picture">
                          <pic:pic xmlns:pic="http://schemas.openxmlformats.org/drawingml/2006/picture">
                            <pic:nvPicPr>
                              <pic:cNvPr id="125" name="图片_96_SpCnt_11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26" name="图片_96_SpCnt_118"/>
                      <wp:cNvGraphicFramePr/>
                      <a:graphic xmlns:a="http://schemas.openxmlformats.org/drawingml/2006/main">
                        <a:graphicData uri="http://schemas.openxmlformats.org/drawingml/2006/picture">
                          <pic:pic xmlns:pic="http://schemas.openxmlformats.org/drawingml/2006/picture">
                            <pic:nvPicPr>
                              <pic:cNvPr id="126" name="图片_96_SpCnt_11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27" name="图片_96_SpCnt_119"/>
                      <wp:cNvGraphicFramePr/>
                      <a:graphic xmlns:a="http://schemas.openxmlformats.org/drawingml/2006/main">
                        <a:graphicData uri="http://schemas.openxmlformats.org/drawingml/2006/picture">
                          <pic:pic xmlns:pic="http://schemas.openxmlformats.org/drawingml/2006/picture">
                            <pic:nvPicPr>
                              <pic:cNvPr id="127" name="图片_96_SpCnt_119"/>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28" name="图片_144"/>
                      <wp:cNvGraphicFramePr/>
                      <a:graphic xmlns:a="http://schemas.openxmlformats.org/drawingml/2006/main">
                        <a:graphicData uri="http://schemas.openxmlformats.org/drawingml/2006/picture">
                          <pic:pic xmlns:pic="http://schemas.openxmlformats.org/drawingml/2006/picture">
                            <pic:nvPicPr>
                              <pic:cNvPr id="128" name="图片_14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29" name="图片_96_SpCnt_120"/>
                      <wp:cNvGraphicFramePr/>
                      <a:graphic xmlns:a="http://schemas.openxmlformats.org/drawingml/2006/main">
                        <a:graphicData uri="http://schemas.openxmlformats.org/drawingml/2006/picture">
                          <pic:pic xmlns:pic="http://schemas.openxmlformats.org/drawingml/2006/picture">
                            <pic:nvPicPr>
                              <pic:cNvPr id="129" name="图片_96_SpCnt_120"/>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30" name="图片_214"/>
                      <wp:cNvGraphicFramePr/>
                      <a:graphic xmlns:a="http://schemas.openxmlformats.org/drawingml/2006/main">
                        <a:graphicData uri="http://schemas.openxmlformats.org/drawingml/2006/picture">
                          <pic:pic xmlns:pic="http://schemas.openxmlformats.org/drawingml/2006/picture">
                            <pic:nvPicPr>
                              <pic:cNvPr id="130" name="图片_214"/>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1" name="图片_96_SpCnt_121"/>
                      <wp:cNvGraphicFramePr/>
                      <a:graphic xmlns:a="http://schemas.openxmlformats.org/drawingml/2006/main">
                        <a:graphicData uri="http://schemas.openxmlformats.org/drawingml/2006/picture">
                          <pic:pic xmlns:pic="http://schemas.openxmlformats.org/drawingml/2006/picture">
                            <pic:nvPicPr>
                              <pic:cNvPr id="131" name="图片_96_SpCnt_121"/>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32" name="图片_96_SpCnt_122"/>
                      <wp:cNvGraphicFramePr/>
                      <a:graphic xmlns:a="http://schemas.openxmlformats.org/drawingml/2006/main">
                        <a:graphicData uri="http://schemas.openxmlformats.org/drawingml/2006/picture">
                          <pic:pic xmlns:pic="http://schemas.openxmlformats.org/drawingml/2006/picture">
                            <pic:nvPicPr>
                              <pic:cNvPr id="132" name="图片_96_SpCnt_122"/>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33" name="图片_96_SpCnt_123"/>
                      <wp:cNvGraphicFramePr/>
                      <a:graphic xmlns:a="http://schemas.openxmlformats.org/drawingml/2006/main">
                        <a:graphicData uri="http://schemas.openxmlformats.org/drawingml/2006/picture">
                          <pic:pic xmlns:pic="http://schemas.openxmlformats.org/drawingml/2006/picture">
                            <pic:nvPicPr>
                              <pic:cNvPr id="133" name="图片_96_SpCnt_12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4" name="图片_96_SpCnt_124"/>
                      <wp:cNvGraphicFramePr/>
                      <a:graphic xmlns:a="http://schemas.openxmlformats.org/drawingml/2006/main">
                        <a:graphicData uri="http://schemas.openxmlformats.org/drawingml/2006/picture">
                          <pic:pic xmlns:pic="http://schemas.openxmlformats.org/drawingml/2006/picture">
                            <pic:nvPicPr>
                              <pic:cNvPr id="134" name="图片_96_SpCnt_12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5" name="图片_96_SpCnt_125"/>
                      <wp:cNvGraphicFramePr/>
                      <a:graphic xmlns:a="http://schemas.openxmlformats.org/drawingml/2006/main">
                        <a:graphicData uri="http://schemas.openxmlformats.org/drawingml/2006/picture">
                          <pic:pic xmlns:pic="http://schemas.openxmlformats.org/drawingml/2006/picture">
                            <pic:nvPicPr>
                              <pic:cNvPr id="135" name="图片_96_SpCnt_12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6" name="图片_96_SpCnt_126"/>
                      <wp:cNvGraphicFramePr/>
                      <a:graphic xmlns:a="http://schemas.openxmlformats.org/drawingml/2006/main">
                        <a:graphicData uri="http://schemas.openxmlformats.org/drawingml/2006/picture">
                          <pic:pic xmlns:pic="http://schemas.openxmlformats.org/drawingml/2006/picture">
                            <pic:nvPicPr>
                              <pic:cNvPr id="136" name="图片_96_SpCnt_126"/>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7" name="图片_96_SpCnt_127"/>
                      <wp:cNvGraphicFramePr/>
                      <a:graphic xmlns:a="http://schemas.openxmlformats.org/drawingml/2006/main">
                        <a:graphicData uri="http://schemas.openxmlformats.org/drawingml/2006/picture">
                          <pic:pic xmlns:pic="http://schemas.openxmlformats.org/drawingml/2006/picture">
                            <pic:nvPicPr>
                              <pic:cNvPr id="137" name="图片_96_SpCnt_127"/>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8" name="图片_96_SpCnt_128"/>
                      <wp:cNvGraphicFramePr/>
                      <a:graphic xmlns:a="http://schemas.openxmlformats.org/drawingml/2006/main">
                        <a:graphicData uri="http://schemas.openxmlformats.org/drawingml/2006/picture">
                          <pic:pic xmlns:pic="http://schemas.openxmlformats.org/drawingml/2006/picture">
                            <pic:nvPicPr>
                              <pic:cNvPr id="138" name="图片_96_SpCnt_12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39" name="图片_169"/>
                      <wp:cNvGraphicFramePr/>
                      <a:graphic xmlns:a="http://schemas.openxmlformats.org/drawingml/2006/main">
                        <a:graphicData uri="http://schemas.openxmlformats.org/drawingml/2006/picture">
                          <pic:pic xmlns:pic="http://schemas.openxmlformats.org/drawingml/2006/picture">
                            <pic:nvPicPr>
                              <pic:cNvPr id="139" name="图片_16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40" name="图片_96_SpCnt_129"/>
                      <wp:cNvGraphicFramePr/>
                      <a:graphic xmlns:a="http://schemas.openxmlformats.org/drawingml/2006/main">
                        <a:graphicData uri="http://schemas.openxmlformats.org/drawingml/2006/picture">
                          <pic:pic xmlns:pic="http://schemas.openxmlformats.org/drawingml/2006/picture">
                            <pic:nvPicPr>
                              <pic:cNvPr id="140" name="图片_96_SpCnt_129"/>
                              <pic:cNvPicPr/>
                              <pic:nvPr/>
                            </pic:nvPicPr>
                            <pic:blipFill>
                              <a:blip r:embed="rId13"/>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333375"/>
                      <wp:effectExtent l="0" t="0" r="0" b="0"/>
                      <wp:wrapNone/>
                      <wp:docPr id="141" name="图片_96_SpCnt_130"/>
                      <wp:cNvGraphicFramePr/>
                      <a:graphic xmlns:a="http://schemas.openxmlformats.org/drawingml/2006/main">
                        <a:graphicData uri="http://schemas.openxmlformats.org/drawingml/2006/picture">
                          <pic:pic xmlns:pic="http://schemas.openxmlformats.org/drawingml/2006/picture">
                            <pic:nvPicPr>
                              <pic:cNvPr id="141" name="图片_96_SpCnt_130"/>
                              <pic:cNvPicPr/>
                              <pic:nvPr/>
                            </pic:nvPicPr>
                            <pic:blipFill>
                              <a:blip r:embed="rId13"/>
                              <a:stretch/>
                            </pic:blipFill>
                            <pic:spPr bwMode="auto">
                              <a:xfrm>
                                <a:off x="0" y="0"/>
                                <a:ext cx="0" cy="333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65.2pt;mso-position-horizontal:absolute;mso-position-vertical-relative:text;margin-top:0.0pt;mso-position-vertical:absolute;width:0.0pt;height:26.2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42" name="图片_96_SpCnt_131"/>
                      <wp:cNvGraphicFramePr/>
                      <a:graphic xmlns:a="http://schemas.openxmlformats.org/drawingml/2006/main">
                        <a:graphicData uri="http://schemas.openxmlformats.org/drawingml/2006/picture">
                          <pic:pic xmlns:pic="http://schemas.openxmlformats.org/drawingml/2006/picture">
                            <pic:nvPicPr>
                              <pic:cNvPr id="142" name="图片_96_SpCnt_131"/>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43" name="图片_96_SpCnt_132"/>
                      <wp:cNvGraphicFramePr/>
                      <a:graphic xmlns:a="http://schemas.openxmlformats.org/drawingml/2006/main">
                        <a:graphicData uri="http://schemas.openxmlformats.org/drawingml/2006/picture">
                          <pic:pic xmlns:pic="http://schemas.openxmlformats.org/drawingml/2006/picture">
                            <pic:nvPicPr>
                              <pic:cNvPr id="143" name="图片_96_SpCnt_13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333375"/>
                      <wp:effectExtent l="0" t="0" r="0" b="0"/>
                      <wp:wrapNone/>
                      <wp:docPr id="144" name="图片_96_SpCnt_133"/>
                      <wp:cNvGraphicFramePr/>
                      <a:graphic xmlns:a="http://schemas.openxmlformats.org/drawingml/2006/main">
                        <a:graphicData uri="http://schemas.openxmlformats.org/drawingml/2006/picture">
                          <pic:pic xmlns:pic="http://schemas.openxmlformats.org/drawingml/2006/picture">
                            <pic:nvPicPr>
                              <pic:cNvPr id="144" name="图片_96_SpCnt_133"/>
                              <pic:cNvPicPr/>
                              <pic:nvPr/>
                            </pic:nvPicPr>
                            <pic:blipFill>
                              <a:blip r:embed="rId13"/>
                              <a:stretch/>
                            </pic:blipFill>
                            <pic:spPr bwMode="auto">
                              <a:xfrm>
                                <a:off x="0" y="0"/>
                                <a:ext cx="0" cy="333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65.2pt;mso-position-horizontal:absolute;mso-position-vertical-relative:text;margin-top:0.0pt;mso-position-vertical:absolute;width:0.0pt;height:26.2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45" name="图片_96_SpCnt_134"/>
                      <wp:cNvGraphicFramePr/>
                      <a:graphic xmlns:a="http://schemas.openxmlformats.org/drawingml/2006/main">
                        <a:graphicData uri="http://schemas.openxmlformats.org/drawingml/2006/picture">
                          <pic:pic xmlns:pic="http://schemas.openxmlformats.org/drawingml/2006/picture">
                            <pic:nvPicPr>
                              <pic:cNvPr id="145" name="图片_96_SpCnt_134"/>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46" name="图片_96_SpCnt_135"/>
                      <wp:cNvGraphicFramePr/>
                      <a:graphic xmlns:a="http://schemas.openxmlformats.org/drawingml/2006/main">
                        <a:graphicData uri="http://schemas.openxmlformats.org/drawingml/2006/picture">
                          <pic:pic xmlns:pic="http://schemas.openxmlformats.org/drawingml/2006/picture">
                            <pic:nvPicPr>
                              <pic:cNvPr id="146" name="图片_96_SpCnt_135"/>
                              <pic:cNvPicPr/>
                              <pic:nvPr/>
                            </pic:nvPicPr>
                            <pic:blipFill>
                              <a:blip r:embed="rId13"/>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47" name="图片_96_SpCnt_136"/>
                      <wp:cNvGraphicFramePr/>
                      <a:graphic xmlns:a="http://schemas.openxmlformats.org/drawingml/2006/main">
                        <a:graphicData uri="http://schemas.openxmlformats.org/drawingml/2006/picture">
                          <pic:pic xmlns:pic="http://schemas.openxmlformats.org/drawingml/2006/picture">
                            <pic:nvPicPr>
                              <pic:cNvPr id="147" name="图片_96_SpCnt_13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48" name="图片_96_SpCnt_137"/>
                      <wp:cNvGraphicFramePr/>
                      <a:graphic xmlns:a="http://schemas.openxmlformats.org/drawingml/2006/main">
                        <a:graphicData uri="http://schemas.openxmlformats.org/drawingml/2006/picture">
                          <pic:pic xmlns:pic="http://schemas.openxmlformats.org/drawingml/2006/picture">
                            <pic:nvPicPr>
                              <pic:cNvPr id="148" name="图片_96_SpCnt_137"/>
                              <pic:cNvPicPr/>
                              <pic:nvPr/>
                            </pic:nvPicPr>
                            <pic:blipFill>
                              <a:blip r:embed="rId13"/>
                              <a:stretch/>
                            </pic:blipFill>
                            <pic:spPr bwMode="auto">
                              <a:xfrm>
                                <a:off x="0" y="0"/>
                                <a:ext cx="0" cy="8229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49" name="图片_96_SpCnt_138"/>
                      <wp:cNvGraphicFramePr/>
                      <a:graphic xmlns:a="http://schemas.openxmlformats.org/drawingml/2006/main">
                        <a:graphicData uri="http://schemas.openxmlformats.org/drawingml/2006/picture">
                          <pic:pic xmlns:pic="http://schemas.openxmlformats.org/drawingml/2006/picture">
                            <pic:nvPicPr>
                              <pic:cNvPr id="149" name="图片_96_SpCnt_138"/>
                              <pic:cNvPicPr/>
                              <pic:nvPr/>
                            </pic:nvPicPr>
                            <pic:blipFill>
                              <a:blip r:embed="rId13"/>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50" name="图片_96_SpCnt_139"/>
                      <wp:cNvGraphicFramePr/>
                      <a:graphic xmlns:a="http://schemas.openxmlformats.org/drawingml/2006/main">
                        <a:graphicData uri="http://schemas.openxmlformats.org/drawingml/2006/picture">
                          <pic:pic xmlns:pic="http://schemas.openxmlformats.org/drawingml/2006/picture">
                            <pic:nvPicPr>
                              <pic:cNvPr id="150" name="图片_96_SpCnt_13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51" name="图片_96_SpCnt_140"/>
                      <wp:cNvGraphicFramePr/>
                      <a:graphic xmlns:a="http://schemas.openxmlformats.org/drawingml/2006/main">
                        <a:graphicData uri="http://schemas.openxmlformats.org/drawingml/2006/picture">
                          <pic:pic xmlns:pic="http://schemas.openxmlformats.org/drawingml/2006/picture">
                            <pic:nvPicPr>
                              <pic:cNvPr id="151" name="图片_96_SpCnt_14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499110"/>
                      <wp:effectExtent l="0" t="0" r="0" b="0"/>
                      <wp:wrapNone/>
                      <wp:docPr id="152" name="图片_96_SpCnt_141"/>
                      <wp:cNvGraphicFramePr/>
                      <a:graphic xmlns:a="http://schemas.openxmlformats.org/drawingml/2006/main">
                        <a:graphicData uri="http://schemas.openxmlformats.org/drawingml/2006/picture">
                          <pic:pic xmlns:pic="http://schemas.openxmlformats.org/drawingml/2006/picture">
                            <pic:nvPicPr>
                              <pic:cNvPr id="152" name="图片_96_SpCnt_14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9264;o:allowoverlap:true;o:allowincell:true;mso-position-horizontal-relative:text;margin-left:65.2pt;mso-position-horizontal:absolute;mso-position-vertical-relative:text;margin-top:0.0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661035"/>
                      <wp:effectExtent l="0" t="0" r="0" b="0"/>
                      <wp:wrapNone/>
                      <wp:docPr id="153" name="图片_96_SpCnt_142"/>
                      <wp:cNvGraphicFramePr/>
                      <a:graphic xmlns:a="http://schemas.openxmlformats.org/drawingml/2006/main">
                        <a:graphicData uri="http://schemas.openxmlformats.org/drawingml/2006/picture">
                          <pic:pic xmlns:pic="http://schemas.openxmlformats.org/drawingml/2006/picture">
                            <pic:nvPicPr>
                              <pic:cNvPr id="153" name="图片_96_SpCnt_14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9264;o:allowoverlap:true;o:allowincell:true;mso-position-horizontal-relative:text;margin-left:65.2pt;mso-position-horizontal:absolute;mso-position-vertical-relative:text;margin-top:0.0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0" cy="822960"/>
                      <wp:effectExtent l="0" t="0" r="0" b="0"/>
                      <wp:wrapNone/>
                      <wp:docPr id="154" name="图片_96_SpCnt_143"/>
                      <wp:cNvGraphicFramePr/>
                      <a:graphic xmlns:a="http://schemas.openxmlformats.org/drawingml/2006/main">
                        <a:graphicData uri="http://schemas.openxmlformats.org/drawingml/2006/picture">
                          <pic:pic xmlns:pic="http://schemas.openxmlformats.org/drawingml/2006/picture">
                            <pic:nvPicPr>
                              <pic:cNvPr id="154" name="图片_96_SpCnt_143"/>
                              <pic:cNvPicPr/>
                              <pic:nvPr/>
                            </pic:nvPicPr>
                            <pic:blipFill>
                              <a:blip r:embed="rId13"/>
                              <a:stretch/>
                            </pic:blipFill>
                            <pic:spPr bwMode="auto">
                              <a:xfrm>
                                <a:off x="0" y="0"/>
                                <a:ext cx="0"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65.2pt;mso-position-horizontal:absolute;mso-position-vertical-relative:text;margin-top:0.0pt;mso-position-vertical:absolute;width:0.0pt;height:64.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55" name="图片_96_SpCnt_144"/>
                      <wp:cNvGraphicFramePr/>
                      <a:graphic xmlns:a="http://schemas.openxmlformats.org/drawingml/2006/main">
                        <a:graphicData uri="http://schemas.openxmlformats.org/drawingml/2006/picture">
                          <pic:pic xmlns:pic="http://schemas.openxmlformats.org/drawingml/2006/picture">
                            <pic:nvPicPr>
                              <pic:cNvPr id="155" name="图片_96_SpCnt_144"/>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56" name="图片_96_SpCnt_145"/>
                      <wp:cNvGraphicFramePr/>
                      <a:graphic xmlns:a="http://schemas.openxmlformats.org/drawingml/2006/main">
                        <a:graphicData uri="http://schemas.openxmlformats.org/drawingml/2006/picture">
                          <pic:pic xmlns:pic="http://schemas.openxmlformats.org/drawingml/2006/picture">
                            <pic:nvPicPr>
                              <pic:cNvPr id="156" name="图片_96_SpCnt_14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157" name="图片_96_SpCnt_146"/>
                      <wp:cNvGraphicFramePr/>
                      <a:graphic xmlns:a="http://schemas.openxmlformats.org/drawingml/2006/main">
                        <a:graphicData uri="http://schemas.openxmlformats.org/drawingml/2006/picture">
                          <pic:pic xmlns:pic="http://schemas.openxmlformats.org/drawingml/2006/picture">
                            <pic:nvPicPr>
                              <pic:cNvPr id="157" name="图片_96_SpCnt_146"/>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58" name="图片_96_SpCnt_147"/>
                      <wp:cNvGraphicFramePr/>
                      <a:graphic xmlns:a="http://schemas.openxmlformats.org/drawingml/2006/main">
                        <a:graphicData uri="http://schemas.openxmlformats.org/drawingml/2006/picture">
                          <pic:pic xmlns:pic="http://schemas.openxmlformats.org/drawingml/2006/picture">
                            <pic:nvPicPr>
                              <pic:cNvPr id="158" name="图片_96_SpCnt_147"/>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59" name="图片_96_SpCnt_148"/>
                      <wp:cNvGraphicFramePr/>
                      <a:graphic xmlns:a="http://schemas.openxmlformats.org/drawingml/2006/main">
                        <a:graphicData uri="http://schemas.openxmlformats.org/drawingml/2006/picture">
                          <pic:pic xmlns:pic="http://schemas.openxmlformats.org/drawingml/2006/picture">
                            <pic:nvPicPr>
                              <pic:cNvPr id="159" name="图片_96_SpCnt_148"/>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0" name="图片_96_SpCnt_149"/>
                      <wp:cNvGraphicFramePr/>
                      <a:graphic xmlns:a="http://schemas.openxmlformats.org/drawingml/2006/main">
                        <a:graphicData uri="http://schemas.openxmlformats.org/drawingml/2006/picture">
                          <pic:pic xmlns:pic="http://schemas.openxmlformats.org/drawingml/2006/picture">
                            <pic:nvPicPr>
                              <pic:cNvPr id="160" name="图片_96_SpCnt_14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1" name="图片_96_SpCnt_150"/>
                      <wp:cNvGraphicFramePr/>
                      <a:graphic xmlns:a="http://schemas.openxmlformats.org/drawingml/2006/main">
                        <a:graphicData uri="http://schemas.openxmlformats.org/drawingml/2006/picture">
                          <pic:pic xmlns:pic="http://schemas.openxmlformats.org/drawingml/2006/picture">
                            <pic:nvPicPr>
                              <pic:cNvPr id="161" name="图片_96_SpCnt_15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2" name="图片_223"/>
                      <wp:cNvGraphicFramePr/>
                      <a:graphic xmlns:a="http://schemas.openxmlformats.org/drawingml/2006/main">
                        <a:graphicData uri="http://schemas.openxmlformats.org/drawingml/2006/picture">
                          <pic:pic xmlns:pic="http://schemas.openxmlformats.org/drawingml/2006/picture">
                            <pic:nvPicPr>
                              <pic:cNvPr id="162" name="图片_223"/>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3" name="图片_96_SpCnt_151"/>
                      <wp:cNvGraphicFramePr/>
                      <a:graphic xmlns:a="http://schemas.openxmlformats.org/drawingml/2006/main">
                        <a:graphicData uri="http://schemas.openxmlformats.org/drawingml/2006/picture">
                          <pic:pic xmlns:pic="http://schemas.openxmlformats.org/drawingml/2006/picture">
                            <pic:nvPicPr>
                              <pic:cNvPr id="163" name="图片_96_SpCnt_151"/>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64" name="图片_96_SpCnt_152"/>
                      <wp:cNvGraphicFramePr/>
                      <a:graphic xmlns:a="http://schemas.openxmlformats.org/drawingml/2006/main">
                        <a:graphicData uri="http://schemas.openxmlformats.org/drawingml/2006/picture">
                          <pic:pic xmlns:pic="http://schemas.openxmlformats.org/drawingml/2006/picture">
                            <pic:nvPicPr>
                              <pic:cNvPr id="164" name="图片_96_SpCnt_152"/>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65" name="图片_96_SpCnt_153"/>
                      <wp:cNvGraphicFramePr/>
                      <a:graphic xmlns:a="http://schemas.openxmlformats.org/drawingml/2006/main">
                        <a:graphicData uri="http://schemas.openxmlformats.org/drawingml/2006/picture">
                          <pic:pic xmlns:pic="http://schemas.openxmlformats.org/drawingml/2006/picture">
                            <pic:nvPicPr>
                              <pic:cNvPr id="165" name="图片_96_SpCnt_153"/>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66" name="图片_96_SpCnt_154"/>
                      <wp:cNvGraphicFramePr/>
                      <a:graphic xmlns:a="http://schemas.openxmlformats.org/drawingml/2006/main">
                        <a:graphicData uri="http://schemas.openxmlformats.org/drawingml/2006/picture">
                          <pic:pic xmlns:pic="http://schemas.openxmlformats.org/drawingml/2006/picture">
                            <pic:nvPicPr>
                              <pic:cNvPr id="166" name="图片_96_SpCnt_154"/>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67" name="图片_96_SpCnt_155"/>
                      <wp:cNvGraphicFramePr/>
                      <a:graphic xmlns:a="http://schemas.openxmlformats.org/drawingml/2006/main">
                        <a:graphicData uri="http://schemas.openxmlformats.org/drawingml/2006/picture">
                          <pic:pic xmlns:pic="http://schemas.openxmlformats.org/drawingml/2006/picture">
                            <pic:nvPicPr>
                              <pic:cNvPr id="167" name="图片_96_SpCnt_155"/>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68" name="图片_96_SpCnt_156"/>
                      <wp:cNvGraphicFramePr/>
                      <a:graphic xmlns:a="http://schemas.openxmlformats.org/drawingml/2006/main">
                        <a:graphicData uri="http://schemas.openxmlformats.org/drawingml/2006/picture">
                          <pic:pic xmlns:pic="http://schemas.openxmlformats.org/drawingml/2006/picture">
                            <pic:nvPicPr>
                              <pic:cNvPr id="168" name="图片_96_SpCnt_156"/>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69" name="图片_96_SpCnt_157"/>
                      <wp:cNvGraphicFramePr/>
                      <a:graphic xmlns:a="http://schemas.openxmlformats.org/drawingml/2006/main">
                        <a:graphicData uri="http://schemas.openxmlformats.org/drawingml/2006/picture">
                          <pic:pic xmlns:pic="http://schemas.openxmlformats.org/drawingml/2006/picture">
                            <pic:nvPicPr>
                              <pic:cNvPr id="169" name="图片_96_SpCnt_157"/>
                              <pic:cNvPicPr/>
                              <pic:nvPr/>
                            </pic:nvPicPr>
                            <pic:blipFill>
                              <a:blip r:embed="rId13"/>
                              <a:stretch/>
                            </pic:blipFill>
                            <pic:spPr bwMode="auto">
                              <a:xfrm>
                                <a:off x="0" y="0"/>
                                <a:ext cx="0" cy="66103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0" name="图片_96_SpCnt_158"/>
                      <wp:cNvGraphicFramePr/>
                      <a:graphic xmlns:a="http://schemas.openxmlformats.org/drawingml/2006/main">
                        <a:graphicData uri="http://schemas.openxmlformats.org/drawingml/2006/picture">
                          <pic:pic xmlns:pic="http://schemas.openxmlformats.org/drawingml/2006/picture">
                            <pic:nvPicPr>
                              <pic:cNvPr id="170" name="图片_96_SpCnt_15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1" name="图片_96_SpCnt_159"/>
                      <wp:cNvGraphicFramePr/>
                      <a:graphic xmlns:a="http://schemas.openxmlformats.org/drawingml/2006/main">
                        <a:graphicData uri="http://schemas.openxmlformats.org/drawingml/2006/picture">
                          <pic:pic xmlns:pic="http://schemas.openxmlformats.org/drawingml/2006/picture">
                            <pic:nvPicPr>
                              <pic:cNvPr id="171" name="图片_96_SpCnt_15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2" name="图片_96_SpCnt_160"/>
                      <wp:cNvGraphicFramePr/>
                      <a:graphic xmlns:a="http://schemas.openxmlformats.org/drawingml/2006/main">
                        <a:graphicData uri="http://schemas.openxmlformats.org/drawingml/2006/picture">
                          <pic:pic xmlns:pic="http://schemas.openxmlformats.org/drawingml/2006/picture">
                            <pic:nvPicPr>
                              <pic:cNvPr id="172" name="图片_96_SpCnt_16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73" name="图片_96_SpCnt_161"/>
                      <wp:cNvGraphicFramePr/>
                      <a:graphic xmlns:a="http://schemas.openxmlformats.org/drawingml/2006/main">
                        <a:graphicData uri="http://schemas.openxmlformats.org/drawingml/2006/picture">
                          <pic:pic xmlns:pic="http://schemas.openxmlformats.org/drawingml/2006/picture">
                            <pic:nvPicPr>
                              <pic:cNvPr id="173" name="图片_96_SpCnt_161"/>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4" name="图片_96_SpCnt_162"/>
                      <wp:cNvGraphicFramePr/>
                      <a:graphic xmlns:a="http://schemas.openxmlformats.org/drawingml/2006/main">
                        <a:graphicData uri="http://schemas.openxmlformats.org/drawingml/2006/picture">
                          <pic:pic xmlns:pic="http://schemas.openxmlformats.org/drawingml/2006/picture">
                            <pic:nvPicPr>
                              <pic:cNvPr id="174" name="图片_96_SpCnt_162"/>
                              <pic:cNvPicPr/>
                              <pic:nvPr/>
                            </pic:nvPicPr>
                            <pic:blipFill>
                              <a:blip r:embed="rId13"/>
                              <a:stretch/>
                            </pic:blipFill>
                            <pic:spPr bwMode="auto">
                              <a:xfrm>
                                <a:off x="0" y="0"/>
                                <a:ext cx="0" cy="66103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5" name="图片_178"/>
                      <wp:cNvGraphicFramePr/>
                      <a:graphic xmlns:a="http://schemas.openxmlformats.org/drawingml/2006/main">
                        <a:graphicData uri="http://schemas.openxmlformats.org/drawingml/2006/picture">
                          <pic:pic xmlns:pic="http://schemas.openxmlformats.org/drawingml/2006/picture">
                            <pic:nvPicPr>
                              <pic:cNvPr id="175" name="图片_17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76" name="图片_96_SpCnt_163"/>
                      <wp:cNvGraphicFramePr/>
                      <a:graphic xmlns:a="http://schemas.openxmlformats.org/drawingml/2006/main">
                        <a:graphicData uri="http://schemas.openxmlformats.org/drawingml/2006/picture">
                          <pic:pic xmlns:pic="http://schemas.openxmlformats.org/drawingml/2006/picture">
                            <pic:nvPicPr>
                              <pic:cNvPr id="176" name="图片_96_SpCnt_16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77" name="图片_96_SpCnt_164"/>
                      <wp:cNvGraphicFramePr/>
                      <a:graphic xmlns:a="http://schemas.openxmlformats.org/drawingml/2006/main">
                        <a:graphicData uri="http://schemas.openxmlformats.org/drawingml/2006/picture">
                          <pic:pic xmlns:pic="http://schemas.openxmlformats.org/drawingml/2006/picture">
                            <pic:nvPicPr>
                              <pic:cNvPr id="177" name="图片_96_SpCnt_16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178" name="图片_96_SpCnt_165"/>
                      <wp:cNvGraphicFramePr/>
                      <a:graphic xmlns:a="http://schemas.openxmlformats.org/drawingml/2006/main">
                        <a:graphicData uri="http://schemas.openxmlformats.org/drawingml/2006/picture">
                          <pic:pic xmlns:pic="http://schemas.openxmlformats.org/drawingml/2006/picture">
                            <pic:nvPicPr>
                              <pic:cNvPr id="178" name="图片_96_SpCnt_165"/>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79" name="图片_96_SpCnt_166"/>
                      <wp:cNvGraphicFramePr/>
                      <a:graphic xmlns:a="http://schemas.openxmlformats.org/drawingml/2006/main">
                        <a:graphicData uri="http://schemas.openxmlformats.org/drawingml/2006/picture">
                          <pic:pic xmlns:pic="http://schemas.openxmlformats.org/drawingml/2006/picture">
                            <pic:nvPicPr>
                              <pic:cNvPr id="179" name="图片_96_SpCnt_16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80" name="图片_96_SpCnt_167"/>
                      <wp:cNvGraphicFramePr/>
                      <a:graphic xmlns:a="http://schemas.openxmlformats.org/drawingml/2006/main">
                        <a:graphicData uri="http://schemas.openxmlformats.org/drawingml/2006/picture">
                          <pic:pic xmlns:pic="http://schemas.openxmlformats.org/drawingml/2006/picture">
                            <pic:nvPicPr>
                              <pic:cNvPr id="180" name="图片_96_SpCnt_167"/>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81" name="图片_153"/>
                      <wp:cNvGraphicFramePr/>
                      <a:graphic xmlns:a="http://schemas.openxmlformats.org/drawingml/2006/main">
                        <a:graphicData uri="http://schemas.openxmlformats.org/drawingml/2006/picture">
                          <pic:pic xmlns:pic="http://schemas.openxmlformats.org/drawingml/2006/picture">
                            <pic:nvPicPr>
                              <pic:cNvPr id="181" name="图片_153"/>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182" name="图片_96_SpCnt_168"/>
                      <wp:cNvGraphicFramePr/>
                      <a:graphic xmlns:a="http://schemas.openxmlformats.org/drawingml/2006/main">
                        <a:graphicData uri="http://schemas.openxmlformats.org/drawingml/2006/picture">
                          <pic:pic xmlns:pic="http://schemas.openxmlformats.org/drawingml/2006/picture">
                            <pic:nvPicPr>
                              <pic:cNvPr id="182" name="图片_96_SpCnt_168"/>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183" name="图片_96_SpCnt_169"/>
                      <wp:cNvGraphicFramePr/>
                      <a:graphic xmlns:a="http://schemas.openxmlformats.org/drawingml/2006/main">
                        <a:graphicData uri="http://schemas.openxmlformats.org/drawingml/2006/picture">
                          <pic:pic xmlns:pic="http://schemas.openxmlformats.org/drawingml/2006/picture">
                            <pic:nvPicPr>
                              <pic:cNvPr id="183" name="图片_96_SpCnt_169"/>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84" name="图片_96_SpCnt_170"/>
                      <wp:cNvGraphicFramePr/>
                      <a:graphic xmlns:a="http://schemas.openxmlformats.org/drawingml/2006/main">
                        <a:graphicData uri="http://schemas.openxmlformats.org/drawingml/2006/picture">
                          <pic:pic xmlns:pic="http://schemas.openxmlformats.org/drawingml/2006/picture">
                            <pic:nvPicPr>
                              <pic:cNvPr id="184" name="图片_96_SpCnt_170"/>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85" name="图片_96_SpCnt_171"/>
                      <wp:cNvGraphicFramePr/>
                      <a:graphic xmlns:a="http://schemas.openxmlformats.org/drawingml/2006/main">
                        <a:graphicData uri="http://schemas.openxmlformats.org/drawingml/2006/picture">
                          <pic:pic xmlns:pic="http://schemas.openxmlformats.org/drawingml/2006/picture">
                            <pic:nvPicPr>
                              <pic:cNvPr id="185" name="图片_96_SpCnt_17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86" name="图片_96_SpCnt_172"/>
                      <wp:cNvGraphicFramePr/>
                      <a:graphic xmlns:a="http://schemas.openxmlformats.org/drawingml/2006/main">
                        <a:graphicData uri="http://schemas.openxmlformats.org/drawingml/2006/picture">
                          <pic:pic xmlns:pic="http://schemas.openxmlformats.org/drawingml/2006/picture">
                            <pic:nvPicPr>
                              <pic:cNvPr id="186" name="图片_96_SpCnt_17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87" name="图片_96_SpCnt_173"/>
                      <wp:cNvGraphicFramePr/>
                      <a:graphic xmlns:a="http://schemas.openxmlformats.org/drawingml/2006/main">
                        <a:graphicData uri="http://schemas.openxmlformats.org/drawingml/2006/picture">
                          <pic:pic xmlns:pic="http://schemas.openxmlformats.org/drawingml/2006/picture">
                            <pic:nvPicPr>
                              <pic:cNvPr id="187" name="图片_96_SpCnt_17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1、主机采用嵌入式一体化结构设计；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2、支持不少于8路视频输入，至少支持包含4路SDI；支持不少于1路SDI视频信号输出和不少于1路音频输出；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3、支持不少于4路12V直流电源输出，实现对接入的分组摄像机进行供电；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4、支持≥2TB存储空间；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5、支持视频录制为高清视频文件；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6、视频编码采用H.264编码格式，音频采用AAC高清编码格式，要求支持混音；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7、支持网络信号控制接口，用于接收中控的开关机指令；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8、支持通过外部触发信号（如实训按钮）切换视频源；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9、设备具有电源指示灯和运行状态指示灯，灯亮表示设备开启，灯灭表示设备关闭；</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10、支持基础配置管理，包括视频源命名、触发源配置、资源录制启停控制。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4K实训摄像机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1、图像传感器尺寸不低于1/2.8英寸，有效像素不低于800万，支持输出4K（3840×2160）分辨率，最高帧率不低于60fps，并兼容1080P、720P等常用分辨率；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2、镜头光学变焦倍数不低于20倍；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3、广角端水平视场角至少达 60.7°；水平视场角60.7°~ 3.36°，垂直视场34.1°~ 1.89°；</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4、至少支持HDMI、SDI和网络输出接口；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5、设备应具备本地控制功能，至少支持变焦、聚焦、亮度调节、菜单导航、图像冻结及模式切换等基本操作；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6、设备应提供基于网络浏览器的远程配置与管理界面；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7、设备应支持PoE供电或DC 12V供电，投标产品至少支持其中一种供电方式。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万向挂壁</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1、挂臂安装，支壁长度水平展开长度不小于1.1米；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2、支持多角度任意悬停,可任意调整托架角度和方向；</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3、表面采用铝合金材质，一体化设计；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4、转臂可折叠靠边，形成收缩，节省空间；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5、应具备内部或集成式线缆管理设计，保持外观整洁。</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实训互动软件-小组端</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1、软件形态为客户端程序，需适配小组实训互动触摸屏运行；</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2、接入到网络即可连接使用，支持自动启动并连接进入实训互动业务；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3、实训互动软件要求至少包括示范同步、示范回看、分组实操、实操回看四个教学环节；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4、当教师端互训助手进入示范教学时，小组端支持自动同步全屏播放示范视频画面，不需要人工点击；同步画面延迟不大于1秒；示范同步时不可点击切换；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示范回看功能，默认播放最近录制的视频；支持视频全屏播放；支持按照日期智能显示查看示范视频，如果有示范视频，则日期为橙色，如果当日没有示范视频，则为白色、无法选择；支持调节声音大小；支持视频快进快退；支持暂停&amp;播放；支持亮度调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6、当学生在实操练习时，小组端软件支持显示本小组实操的实时画面；也支持同步所有小组实操的实时画面；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7、支持实操回看，可选择日期进行该分组的实操回看，默认播放最近录制的视频快进快退；支持声音控制含静音或者拖动放大声音；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8、支持连接状态显示，支持自动断网重连。</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实训互动触摸组屏 </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88" name="图片_96_SpCnt_174"/>
                      <wp:cNvGraphicFramePr/>
                      <a:graphic xmlns:a="http://schemas.openxmlformats.org/drawingml/2006/main">
                        <a:graphicData uri="http://schemas.openxmlformats.org/drawingml/2006/picture">
                          <pic:pic xmlns:pic="http://schemas.openxmlformats.org/drawingml/2006/picture">
                            <pic:nvPicPr>
                              <pic:cNvPr id="188" name="图片_96_SpCnt_174"/>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89" name="图片_96_SpCnt_175"/>
                      <wp:cNvGraphicFramePr/>
                      <a:graphic xmlns:a="http://schemas.openxmlformats.org/drawingml/2006/main">
                        <a:graphicData uri="http://schemas.openxmlformats.org/drawingml/2006/picture">
                          <pic:pic xmlns:pic="http://schemas.openxmlformats.org/drawingml/2006/picture">
                            <pic:nvPicPr>
                              <pic:cNvPr id="189" name="图片_96_SpCnt_175"/>
                              <pic:cNvPicPr/>
                              <pic:nvPr/>
                            </pic:nvPicPr>
                            <pic:blipFill>
                              <a:blip r:embed="rId14"/>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90" name="图片_24"/>
                      <wp:cNvGraphicFramePr/>
                      <a:graphic xmlns:a="http://schemas.openxmlformats.org/drawingml/2006/main">
                        <a:graphicData uri="http://schemas.openxmlformats.org/drawingml/2006/picture">
                          <pic:pic xmlns:pic="http://schemas.openxmlformats.org/drawingml/2006/picture">
                            <pic:nvPicPr>
                              <pic:cNvPr id="190" name="图片_24"/>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1" name="图片_96_SpCnt_176"/>
                      <wp:cNvGraphicFramePr/>
                      <a:graphic xmlns:a="http://schemas.openxmlformats.org/drawingml/2006/main">
                        <a:graphicData uri="http://schemas.openxmlformats.org/drawingml/2006/picture">
                          <pic:pic xmlns:pic="http://schemas.openxmlformats.org/drawingml/2006/picture">
                            <pic:nvPicPr>
                              <pic:cNvPr id="191" name="图片_96_SpCnt_176"/>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2" name="图片_96_SpCnt_177"/>
                      <wp:cNvGraphicFramePr/>
                      <a:graphic xmlns:a="http://schemas.openxmlformats.org/drawingml/2006/main">
                        <a:graphicData uri="http://schemas.openxmlformats.org/drawingml/2006/picture">
                          <pic:pic xmlns:pic="http://schemas.openxmlformats.org/drawingml/2006/picture">
                            <pic:nvPicPr>
                              <pic:cNvPr id="192" name="图片_96_SpCnt_177"/>
                              <pic:cNvPicPr/>
                              <pic:nvPr/>
                            </pic:nvPicPr>
                            <pic:blipFill>
                              <a:blip r:embed="rId13"/>
                              <a:stretch/>
                            </pic:blipFill>
                            <pic:spPr bwMode="auto">
                              <a:xfrm>
                                <a:off x="0" y="0"/>
                                <a:ext cx="0" cy="3371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3" name="图片_96_SpCnt_178"/>
                      <wp:cNvGraphicFramePr/>
                      <a:graphic xmlns:a="http://schemas.openxmlformats.org/drawingml/2006/main">
                        <a:graphicData uri="http://schemas.openxmlformats.org/drawingml/2006/picture">
                          <pic:pic xmlns:pic="http://schemas.openxmlformats.org/drawingml/2006/picture">
                            <pic:nvPicPr>
                              <pic:cNvPr id="193" name="图片_96_SpCnt_178"/>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4" name="图片_96_SpCnt_179"/>
                      <wp:cNvGraphicFramePr/>
                      <a:graphic xmlns:a="http://schemas.openxmlformats.org/drawingml/2006/main">
                        <a:graphicData uri="http://schemas.openxmlformats.org/drawingml/2006/picture">
                          <pic:pic xmlns:pic="http://schemas.openxmlformats.org/drawingml/2006/picture">
                            <pic:nvPicPr>
                              <pic:cNvPr id="194" name="图片_96_SpCnt_179"/>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1、显示屏尺寸不小于21.5英寸，物理分辨率不低于1920 × 1080；</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2、显示对比度不低于2000:1，亮度不低于350 cd/m²；</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3、要求运行内存≥2G，内置存储≥16G，响应时间小于8ms；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4、屏幕采用全贴合工艺，支持多点触控（触控点数不低于10点）,透光率≥92％,表面硬度达莫氏7级及以上；</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5、设备需搭载智能终端操作系统。</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智能辅助学习系统</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5" name="图片_96_SpCnt_180"/>
                      <wp:cNvGraphicFramePr/>
                      <a:graphic xmlns:a="http://schemas.openxmlformats.org/drawingml/2006/main">
                        <a:graphicData uri="http://schemas.openxmlformats.org/drawingml/2006/picture">
                          <pic:pic xmlns:pic="http://schemas.openxmlformats.org/drawingml/2006/picture">
                            <pic:nvPicPr>
                              <pic:cNvPr id="195" name="图片_96_SpCnt_180"/>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196" name="图片_96_SpCnt_181"/>
                      <wp:cNvGraphicFramePr/>
                      <a:graphic xmlns:a="http://schemas.openxmlformats.org/drawingml/2006/main">
                        <a:graphicData uri="http://schemas.openxmlformats.org/drawingml/2006/picture">
                          <pic:pic xmlns:pic="http://schemas.openxmlformats.org/drawingml/2006/picture">
                            <pic:nvPicPr>
                              <pic:cNvPr id="196" name="图片_96_SpCnt_181"/>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197" name="图片_57"/>
                      <wp:cNvGraphicFramePr/>
                      <a:graphic xmlns:a="http://schemas.openxmlformats.org/drawingml/2006/main">
                        <a:graphicData uri="http://schemas.openxmlformats.org/drawingml/2006/picture">
                          <pic:pic xmlns:pic="http://schemas.openxmlformats.org/drawingml/2006/picture">
                            <pic:nvPicPr>
                              <pic:cNvPr id="197" name="图片_57"/>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198" name="图片_96_SpCnt_182"/>
                      <wp:cNvGraphicFramePr/>
                      <a:graphic xmlns:a="http://schemas.openxmlformats.org/drawingml/2006/main">
                        <a:graphicData uri="http://schemas.openxmlformats.org/drawingml/2006/picture">
                          <pic:pic xmlns:pic="http://schemas.openxmlformats.org/drawingml/2006/picture">
                            <pic:nvPicPr>
                              <pic:cNvPr id="198" name="图片_96_SpCnt_182"/>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199" name="图片_96_SpCnt_183"/>
                      <wp:cNvGraphicFramePr/>
                      <a:graphic xmlns:a="http://schemas.openxmlformats.org/drawingml/2006/main">
                        <a:graphicData uri="http://schemas.openxmlformats.org/drawingml/2006/picture">
                          <pic:pic xmlns:pic="http://schemas.openxmlformats.org/drawingml/2006/picture">
                            <pic:nvPicPr>
                              <pic:cNvPr id="199" name="图片_96_SpCnt_18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0" name="图片_96_SpCnt_184"/>
                      <wp:cNvGraphicFramePr/>
                      <a:graphic xmlns:a="http://schemas.openxmlformats.org/drawingml/2006/main">
                        <a:graphicData uri="http://schemas.openxmlformats.org/drawingml/2006/picture">
                          <pic:pic xmlns:pic="http://schemas.openxmlformats.org/drawingml/2006/picture">
                            <pic:nvPicPr>
                              <pic:cNvPr id="200" name="图片_96_SpCnt_184"/>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1" name="图片_96_SpCnt_185"/>
                      <wp:cNvGraphicFramePr/>
                      <a:graphic xmlns:a="http://schemas.openxmlformats.org/drawingml/2006/main">
                        <a:graphicData uri="http://schemas.openxmlformats.org/drawingml/2006/picture">
                          <pic:pic xmlns:pic="http://schemas.openxmlformats.org/drawingml/2006/picture">
                            <pic:nvPicPr>
                              <pic:cNvPr id="201" name="图片_96_SpCnt_185"/>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2" name="图片_96_SpCnt_186"/>
                      <wp:cNvGraphicFramePr/>
                      <a:graphic xmlns:a="http://schemas.openxmlformats.org/drawingml/2006/main">
                        <a:graphicData uri="http://schemas.openxmlformats.org/drawingml/2006/picture">
                          <pic:pic xmlns:pic="http://schemas.openxmlformats.org/drawingml/2006/picture">
                            <pic:nvPicPr>
                              <pic:cNvPr id="202" name="图片_96_SpCnt_18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03" name="图片_96_SpCnt_187"/>
                      <wp:cNvGraphicFramePr/>
                      <a:graphic xmlns:a="http://schemas.openxmlformats.org/drawingml/2006/main">
                        <a:graphicData uri="http://schemas.openxmlformats.org/drawingml/2006/picture">
                          <pic:pic xmlns:pic="http://schemas.openxmlformats.org/drawingml/2006/picture">
                            <pic:nvPicPr>
                              <pic:cNvPr id="203" name="图片_96_SpCnt_187"/>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04" name="图片_96_SpCnt_188"/>
                      <wp:cNvGraphicFramePr/>
                      <a:graphic xmlns:a="http://schemas.openxmlformats.org/drawingml/2006/main">
                        <a:graphicData uri="http://schemas.openxmlformats.org/drawingml/2006/picture">
                          <pic:pic xmlns:pic="http://schemas.openxmlformats.org/drawingml/2006/picture">
                            <pic:nvPicPr>
                              <pic:cNvPr id="204" name="图片_96_SpCnt_188"/>
                              <pic:cNvPicPr/>
                              <pic:nvPr/>
                            </pic:nvPicPr>
                            <pic:blipFill>
                              <a:blip r:embed="rId18"/>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5" name="图片_96_SpCnt_189"/>
                      <wp:cNvGraphicFramePr/>
                      <a:graphic xmlns:a="http://schemas.openxmlformats.org/drawingml/2006/main">
                        <a:graphicData uri="http://schemas.openxmlformats.org/drawingml/2006/picture">
                          <pic:pic xmlns:pic="http://schemas.openxmlformats.org/drawingml/2006/picture">
                            <pic:nvPicPr>
                              <pic:cNvPr id="205" name="图片_96_SpCnt_189"/>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06" name="图片_96_SpCnt_190"/>
                      <wp:cNvGraphicFramePr/>
                      <a:graphic xmlns:a="http://schemas.openxmlformats.org/drawingml/2006/main">
                        <a:graphicData uri="http://schemas.openxmlformats.org/drawingml/2006/picture">
                          <pic:pic xmlns:pic="http://schemas.openxmlformats.org/drawingml/2006/picture">
                            <pic:nvPicPr>
                              <pic:cNvPr id="206" name="图片_96_SpCnt_190"/>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07" name="图片_96_SpCnt_191"/>
                      <wp:cNvGraphicFramePr/>
                      <a:graphic xmlns:a="http://schemas.openxmlformats.org/drawingml/2006/main">
                        <a:graphicData uri="http://schemas.openxmlformats.org/drawingml/2006/picture">
                          <pic:pic xmlns:pic="http://schemas.openxmlformats.org/drawingml/2006/picture">
                            <pic:nvPicPr>
                              <pic:cNvPr id="207" name="图片_96_SpCnt_191"/>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08" name="图片_96_SpCnt_192"/>
                      <wp:cNvGraphicFramePr/>
                      <a:graphic xmlns:a="http://schemas.openxmlformats.org/drawingml/2006/main">
                        <a:graphicData uri="http://schemas.openxmlformats.org/drawingml/2006/picture">
                          <pic:pic xmlns:pic="http://schemas.openxmlformats.org/drawingml/2006/picture">
                            <pic:nvPicPr>
                              <pic:cNvPr id="208" name="图片_96_SpCnt_192"/>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09" name="图片_96_SpCnt_193"/>
                      <wp:cNvGraphicFramePr/>
                      <a:graphic xmlns:a="http://schemas.openxmlformats.org/drawingml/2006/main">
                        <a:graphicData uri="http://schemas.openxmlformats.org/drawingml/2006/picture">
                          <pic:pic xmlns:pic="http://schemas.openxmlformats.org/drawingml/2006/picture">
                            <pic:nvPicPr>
                              <pic:cNvPr id="209" name="图片_96_SpCnt_193"/>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10" name="图片_96_SpCnt_194"/>
                      <wp:cNvGraphicFramePr/>
                      <a:graphic xmlns:a="http://schemas.openxmlformats.org/drawingml/2006/main">
                        <a:graphicData uri="http://schemas.openxmlformats.org/drawingml/2006/picture">
                          <pic:pic xmlns:pic="http://schemas.openxmlformats.org/drawingml/2006/picture">
                            <pic:nvPicPr>
                              <pic:cNvPr id="210" name="图片_96_SpCnt_194"/>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11" name="图片_96_SpCnt_195"/>
                      <wp:cNvGraphicFramePr/>
                      <a:graphic xmlns:a="http://schemas.openxmlformats.org/drawingml/2006/main">
                        <a:graphicData uri="http://schemas.openxmlformats.org/drawingml/2006/picture">
                          <pic:pic xmlns:pic="http://schemas.openxmlformats.org/drawingml/2006/picture">
                            <pic:nvPicPr>
                              <pic:cNvPr id="211" name="图片_96_SpCnt_195"/>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12" name="图片_96_SpCnt_196"/>
                      <wp:cNvGraphicFramePr/>
                      <a:graphic xmlns:a="http://schemas.openxmlformats.org/drawingml/2006/main">
                        <a:graphicData uri="http://schemas.openxmlformats.org/drawingml/2006/picture">
                          <pic:pic xmlns:pic="http://schemas.openxmlformats.org/drawingml/2006/picture">
                            <pic:nvPicPr>
                              <pic:cNvPr id="212" name="图片_96_SpCnt_196"/>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13" name="图片_96_SpCnt_197"/>
                      <wp:cNvGraphicFramePr/>
                      <a:graphic xmlns:a="http://schemas.openxmlformats.org/drawingml/2006/main">
                        <a:graphicData uri="http://schemas.openxmlformats.org/drawingml/2006/picture">
                          <pic:pic xmlns:pic="http://schemas.openxmlformats.org/drawingml/2006/picture">
                            <pic:nvPicPr>
                              <pic:cNvPr id="213" name="图片_96_SpCnt_19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14" name="图片_96_SpCnt_198"/>
                      <wp:cNvGraphicFramePr/>
                      <a:graphic xmlns:a="http://schemas.openxmlformats.org/drawingml/2006/main">
                        <a:graphicData uri="http://schemas.openxmlformats.org/drawingml/2006/picture">
                          <pic:pic xmlns:pic="http://schemas.openxmlformats.org/drawingml/2006/picture">
                            <pic:nvPicPr>
                              <pic:cNvPr id="214" name="图片_96_SpCnt_198"/>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15" name="图片_96_SpCnt_199"/>
                      <wp:cNvGraphicFramePr/>
                      <a:graphic xmlns:a="http://schemas.openxmlformats.org/drawingml/2006/main">
                        <a:graphicData uri="http://schemas.openxmlformats.org/drawingml/2006/picture">
                          <pic:pic xmlns:pic="http://schemas.openxmlformats.org/drawingml/2006/picture">
                            <pic:nvPicPr>
                              <pic:cNvPr id="215" name="图片_96_SpCnt_19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16" name="图片_96_SpCnt_200"/>
                      <wp:cNvGraphicFramePr/>
                      <a:graphic xmlns:a="http://schemas.openxmlformats.org/drawingml/2006/main">
                        <a:graphicData uri="http://schemas.openxmlformats.org/drawingml/2006/picture">
                          <pic:pic xmlns:pic="http://schemas.openxmlformats.org/drawingml/2006/picture">
                            <pic:nvPicPr>
                              <pic:cNvPr id="216" name="图片_96_SpCnt_20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17" name="图片_96_SpCnt_201"/>
                      <wp:cNvGraphicFramePr/>
                      <a:graphic xmlns:a="http://schemas.openxmlformats.org/drawingml/2006/main">
                        <a:graphicData uri="http://schemas.openxmlformats.org/drawingml/2006/picture">
                          <pic:pic xmlns:pic="http://schemas.openxmlformats.org/drawingml/2006/picture">
                            <pic:nvPicPr>
                              <pic:cNvPr id="217" name="图片_96_SpCnt_201"/>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18" name="图片_96_SpCnt_202"/>
                      <wp:cNvGraphicFramePr/>
                      <a:graphic xmlns:a="http://schemas.openxmlformats.org/drawingml/2006/main">
                        <a:graphicData uri="http://schemas.openxmlformats.org/drawingml/2006/picture">
                          <pic:pic xmlns:pic="http://schemas.openxmlformats.org/drawingml/2006/picture">
                            <pic:nvPicPr>
                              <pic:cNvPr id="218" name="图片_96_SpCnt_20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19" name="图片_96_SpCnt_203"/>
                      <wp:cNvGraphicFramePr/>
                      <a:graphic xmlns:a="http://schemas.openxmlformats.org/drawingml/2006/main">
                        <a:graphicData uri="http://schemas.openxmlformats.org/drawingml/2006/picture">
                          <pic:pic xmlns:pic="http://schemas.openxmlformats.org/drawingml/2006/picture">
                            <pic:nvPicPr>
                              <pic:cNvPr id="219" name="图片_96_SpCnt_203"/>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20" name="图片_96_SpCnt_204"/>
                      <wp:cNvGraphicFramePr/>
                      <a:graphic xmlns:a="http://schemas.openxmlformats.org/drawingml/2006/main">
                        <a:graphicData uri="http://schemas.openxmlformats.org/drawingml/2006/picture">
                          <pic:pic xmlns:pic="http://schemas.openxmlformats.org/drawingml/2006/picture">
                            <pic:nvPicPr>
                              <pic:cNvPr id="220" name="图片_96_SpCnt_204"/>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1、系统需支持与无线呼叫设备进行通信组网，接入容量不低于 400 个小组节点（兼容通信协议，满足教学场景下多小组同时呼叫需求）；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2、接收频率：支持 315.6MHz 或其他行业频段（需确保信号覆盖教学实训区域，无明显干扰）；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3、发射数据波特率：不低于2KBps（保障呼叫数据传输稳定、无延迟）；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4、支持数据传输接口（如Micro USB、Type-C 等）不少于1个，网络接口不少于1个（接口类型需满足设备正常通信及供电需求，兼容通用连接线材）；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5、要求软件支持小组呼叫求助功能智能自动弹窗提示；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6、要求软件至少支持学生呼叫老师手动确认和倒计时自动确认；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7、要求软件支持学生发起呼叫后，界面自动切换至该组学生实操画面（或提供一键切换入口，切换响应时间不超过 1 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8、要求软件支持历史呼叫列表查看功能，方便快速查看呼叫记录。</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小组无线呼叫器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21" name="图片_96_SpCnt_205"/>
                      <wp:cNvGraphicFramePr/>
                      <a:graphic xmlns:a="http://schemas.openxmlformats.org/drawingml/2006/main">
                        <a:graphicData uri="http://schemas.openxmlformats.org/drawingml/2006/picture">
                          <pic:pic xmlns:pic="http://schemas.openxmlformats.org/drawingml/2006/picture">
                            <pic:nvPicPr>
                              <pic:cNvPr id="221" name="图片_96_SpCnt_205"/>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22" name="图片_96_SpCnt_206"/>
                      <wp:cNvGraphicFramePr/>
                      <a:graphic xmlns:a="http://schemas.openxmlformats.org/drawingml/2006/main">
                        <a:graphicData uri="http://schemas.openxmlformats.org/drawingml/2006/picture">
                          <pic:pic xmlns:pic="http://schemas.openxmlformats.org/drawingml/2006/picture">
                            <pic:nvPicPr>
                              <pic:cNvPr id="222" name="图片_96_SpCnt_206"/>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23" name="图片_96_SpCnt_207"/>
                      <wp:cNvGraphicFramePr/>
                      <a:graphic xmlns:a="http://schemas.openxmlformats.org/drawingml/2006/main">
                        <a:graphicData uri="http://schemas.openxmlformats.org/drawingml/2006/picture">
                          <pic:pic xmlns:pic="http://schemas.openxmlformats.org/drawingml/2006/picture">
                            <pic:nvPicPr>
                              <pic:cNvPr id="223" name="图片_96_SpCnt_207"/>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4" name="图片_96_SpCnt_208"/>
                      <wp:cNvGraphicFramePr/>
                      <a:graphic xmlns:a="http://schemas.openxmlformats.org/drawingml/2006/main">
                        <a:graphicData uri="http://schemas.openxmlformats.org/drawingml/2006/picture">
                          <pic:pic xmlns:pic="http://schemas.openxmlformats.org/drawingml/2006/picture">
                            <pic:nvPicPr>
                              <pic:cNvPr id="224" name="图片_96_SpCnt_208"/>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5" name="图片_96_SpCnt_209"/>
                      <wp:cNvGraphicFramePr/>
                      <a:graphic xmlns:a="http://schemas.openxmlformats.org/drawingml/2006/main">
                        <a:graphicData uri="http://schemas.openxmlformats.org/drawingml/2006/picture">
                          <pic:pic xmlns:pic="http://schemas.openxmlformats.org/drawingml/2006/picture">
                            <pic:nvPicPr>
                              <pic:cNvPr id="225" name="图片_96_SpCnt_209"/>
                              <pic:cNvPicPr/>
                              <pic:nvPr/>
                            </pic:nvPicPr>
                            <pic:blipFill>
                              <a:blip r:embed="rId13"/>
                              <a:stretch/>
                            </pic:blipFill>
                            <pic:spPr bwMode="auto">
                              <a:xfrm>
                                <a:off x="0" y="0"/>
                                <a:ext cx="0" cy="4991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26" name="图片_96_SpCnt_210"/>
                      <wp:cNvGraphicFramePr/>
                      <a:graphic xmlns:a="http://schemas.openxmlformats.org/drawingml/2006/main">
                        <a:graphicData uri="http://schemas.openxmlformats.org/drawingml/2006/picture">
                          <pic:pic xmlns:pic="http://schemas.openxmlformats.org/drawingml/2006/picture">
                            <pic:nvPicPr>
                              <pic:cNvPr id="226" name="图片_96_SpCnt_210"/>
                              <pic:cNvPicPr/>
                              <pic:nvPr/>
                            </pic:nvPicPr>
                            <pic:blipFill>
                              <a:blip r:embed="rId13"/>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7" name="图片_96_SpCnt_211"/>
                      <wp:cNvGraphicFramePr/>
                      <a:graphic xmlns:a="http://schemas.openxmlformats.org/drawingml/2006/main">
                        <a:graphicData uri="http://schemas.openxmlformats.org/drawingml/2006/picture">
                          <pic:pic xmlns:pic="http://schemas.openxmlformats.org/drawingml/2006/picture">
                            <pic:nvPicPr>
                              <pic:cNvPr id="227" name="图片_96_SpCnt_21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28" name="图片_96_SpCnt_212"/>
                      <wp:cNvGraphicFramePr/>
                      <a:graphic xmlns:a="http://schemas.openxmlformats.org/drawingml/2006/main">
                        <a:graphicData uri="http://schemas.openxmlformats.org/drawingml/2006/picture">
                          <pic:pic xmlns:pic="http://schemas.openxmlformats.org/drawingml/2006/picture">
                            <pic:nvPicPr>
                              <pic:cNvPr id="228" name="图片_96_SpCnt_212"/>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29" name="图片_96_SpCnt_213"/>
                      <wp:cNvGraphicFramePr/>
                      <a:graphic xmlns:a="http://schemas.openxmlformats.org/drawingml/2006/main">
                        <a:graphicData uri="http://schemas.openxmlformats.org/drawingml/2006/picture">
                          <pic:pic xmlns:pic="http://schemas.openxmlformats.org/drawingml/2006/picture">
                            <pic:nvPicPr>
                              <pic:cNvPr id="229" name="图片_96_SpCnt_213"/>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30" name="图片_96_SpCnt_214"/>
                      <wp:cNvGraphicFramePr/>
                      <a:graphic xmlns:a="http://schemas.openxmlformats.org/drawingml/2006/main">
                        <a:graphicData uri="http://schemas.openxmlformats.org/drawingml/2006/picture">
                          <pic:pic xmlns:pic="http://schemas.openxmlformats.org/drawingml/2006/picture">
                            <pic:nvPicPr>
                              <pic:cNvPr id="230" name="图片_96_SpCnt_214"/>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1" name="图片_96_SpCnt_215"/>
                      <wp:cNvGraphicFramePr/>
                      <a:graphic xmlns:a="http://schemas.openxmlformats.org/drawingml/2006/main">
                        <a:graphicData uri="http://schemas.openxmlformats.org/drawingml/2006/picture">
                          <pic:pic xmlns:pic="http://schemas.openxmlformats.org/drawingml/2006/picture">
                            <pic:nvPicPr>
                              <pic:cNvPr id="231" name="图片_96_SpCnt_215"/>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2" name="图片_96_SpCnt_216"/>
                      <wp:cNvGraphicFramePr/>
                      <a:graphic xmlns:a="http://schemas.openxmlformats.org/drawingml/2006/main">
                        <a:graphicData uri="http://schemas.openxmlformats.org/drawingml/2006/picture">
                          <pic:pic xmlns:pic="http://schemas.openxmlformats.org/drawingml/2006/picture">
                            <pic:nvPicPr>
                              <pic:cNvPr id="232" name="图片_96_SpCnt_216"/>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33" name="图片_96_SpCnt_217"/>
                      <wp:cNvGraphicFramePr/>
                      <a:graphic xmlns:a="http://schemas.openxmlformats.org/drawingml/2006/main">
                        <a:graphicData uri="http://schemas.openxmlformats.org/drawingml/2006/picture">
                          <pic:pic xmlns:pic="http://schemas.openxmlformats.org/drawingml/2006/picture">
                            <pic:nvPicPr>
                              <pic:cNvPr id="233" name="图片_96_SpCnt_21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4" name="图片_49"/>
                      <wp:cNvGraphicFramePr/>
                      <a:graphic xmlns:a="http://schemas.openxmlformats.org/drawingml/2006/main">
                        <a:graphicData uri="http://schemas.openxmlformats.org/drawingml/2006/picture">
                          <pic:pic xmlns:pic="http://schemas.openxmlformats.org/drawingml/2006/picture">
                            <pic:nvPicPr>
                              <pic:cNvPr id="234" name="图片_49"/>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5" name="图片_96_SpCnt_218"/>
                      <wp:cNvGraphicFramePr/>
                      <a:graphic xmlns:a="http://schemas.openxmlformats.org/drawingml/2006/main">
                        <a:graphicData uri="http://schemas.openxmlformats.org/drawingml/2006/picture">
                          <pic:pic xmlns:pic="http://schemas.openxmlformats.org/drawingml/2006/picture">
                            <pic:nvPicPr>
                              <pic:cNvPr id="235" name="图片_96_SpCnt_218"/>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36" name="图片_96_SpCnt_219"/>
                      <wp:cNvGraphicFramePr/>
                      <a:graphic xmlns:a="http://schemas.openxmlformats.org/drawingml/2006/main">
                        <a:graphicData uri="http://schemas.openxmlformats.org/drawingml/2006/picture">
                          <pic:pic xmlns:pic="http://schemas.openxmlformats.org/drawingml/2006/picture">
                            <pic:nvPicPr>
                              <pic:cNvPr id="236" name="图片_96_SpCnt_219"/>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7" name="图片_96_SpCnt_220"/>
                      <wp:cNvGraphicFramePr/>
                      <a:graphic xmlns:a="http://schemas.openxmlformats.org/drawingml/2006/main">
                        <a:graphicData uri="http://schemas.openxmlformats.org/drawingml/2006/picture">
                          <pic:pic xmlns:pic="http://schemas.openxmlformats.org/drawingml/2006/picture">
                            <pic:nvPicPr>
                              <pic:cNvPr id="237" name="图片_96_SpCnt_220"/>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38" name="图片_96_SpCnt_221"/>
                      <wp:cNvGraphicFramePr/>
                      <a:graphic xmlns:a="http://schemas.openxmlformats.org/drawingml/2006/main">
                        <a:graphicData uri="http://schemas.openxmlformats.org/drawingml/2006/picture">
                          <pic:pic xmlns:pic="http://schemas.openxmlformats.org/drawingml/2006/picture">
                            <pic:nvPicPr>
                              <pic:cNvPr id="238" name="图片_96_SpCnt_22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39" name="图片_96_SpCnt_222"/>
                      <wp:cNvGraphicFramePr/>
                      <a:graphic xmlns:a="http://schemas.openxmlformats.org/drawingml/2006/main">
                        <a:graphicData uri="http://schemas.openxmlformats.org/drawingml/2006/picture">
                          <pic:pic xmlns:pic="http://schemas.openxmlformats.org/drawingml/2006/picture">
                            <pic:nvPicPr>
                              <pic:cNvPr id="239" name="图片_96_SpCnt_222"/>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40" name="图片_96_SpCnt_223"/>
                      <wp:cNvGraphicFramePr/>
                      <a:graphic xmlns:a="http://schemas.openxmlformats.org/drawingml/2006/main">
                        <a:graphicData uri="http://schemas.openxmlformats.org/drawingml/2006/picture">
                          <pic:pic xmlns:pic="http://schemas.openxmlformats.org/drawingml/2006/picture">
                            <pic:nvPicPr>
                              <pic:cNvPr id="240" name="图片_96_SpCnt_223"/>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41" name="图片_96_SpCnt_224"/>
                      <wp:cNvGraphicFramePr/>
                      <a:graphic xmlns:a="http://schemas.openxmlformats.org/drawingml/2006/main">
                        <a:graphicData uri="http://schemas.openxmlformats.org/drawingml/2006/picture">
                          <pic:pic xmlns:pic="http://schemas.openxmlformats.org/drawingml/2006/picture">
                            <pic:nvPicPr>
                              <pic:cNvPr id="241" name="图片_96_SpCnt_224"/>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42" name="图片_96_SpCnt_225"/>
                      <wp:cNvGraphicFramePr/>
                      <a:graphic xmlns:a="http://schemas.openxmlformats.org/drawingml/2006/main">
                        <a:graphicData uri="http://schemas.openxmlformats.org/drawingml/2006/picture">
                          <pic:pic xmlns:pic="http://schemas.openxmlformats.org/drawingml/2006/picture">
                            <pic:nvPicPr>
                              <pic:cNvPr id="242" name="图片_96_SpCnt_225"/>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43" name="图片_96_SpCnt_226"/>
                      <wp:cNvGraphicFramePr/>
                      <a:graphic xmlns:a="http://schemas.openxmlformats.org/drawingml/2006/main">
                        <a:graphicData uri="http://schemas.openxmlformats.org/drawingml/2006/picture">
                          <pic:pic xmlns:pic="http://schemas.openxmlformats.org/drawingml/2006/picture">
                            <pic:nvPicPr>
                              <pic:cNvPr id="243" name="图片_96_SpCnt_226"/>
                              <pic:cNvPicPr/>
                              <pic:nvPr/>
                            </pic:nvPicPr>
                            <pic:blipFill>
                              <a:blip r:embed="rId19"/>
                              <a:stretch/>
                            </pic:blipFill>
                            <pic:spPr bwMode="auto">
                              <a:xfrm>
                                <a:off x="0" y="0"/>
                                <a:ext cx="0" cy="33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44" name="图片_39"/>
                      <wp:cNvGraphicFramePr/>
                      <a:graphic xmlns:a="http://schemas.openxmlformats.org/drawingml/2006/main">
                        <a:graphicData uri="http://schemas.openxmlformats.org/drawingml/2006/picture">
                          <pic:pic xmlns:pic="http://schemas.openxmlformats.org/drawingml/2006/picture">
                            <pic:nvPicPr>
                              <pic:cNvPr id="244" name="图片_39"/>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45" name="图片_96_SpCnt_227"/>
                      <wp:cNvGraphicFramePr/>
                      <a:graphic xmlns:a="http://schemas.openxmlformats.org/drawingml/2006/main">
                        <a:graphicData uri="http://schemas.openxmlformats.org/drawingml/2006/picture">
                          <pic:pic xmlns:pic="http://schemas.openxmlformats.org/drawingml/2006/picture">
                            <pic:nvPicPr>
                              <pic:cNvPr id="245" name="图片_96_SpCnt_227"/>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46" name="图片_96_SpCnt_228"/>
                      <wp:cNvGraphicFramePr/>
                      <a:graphic xmlns:a="http://schemas.openxmlformats.org/drawingml/2006/main">
                        <a:graphicData uri="http://schemas.openxmlformats.org/drawingml/2006/picture">
                          <pic:pic xmlns:pic="http://schemas.openxmlformats.org/drawingml/2006/picture">
                            <pic:nvPicPr>
                              <pic:cNvPr id="246" name="图片_96_SpCnt_228"/>
                              <pic:cNvPicPr/>
                              <pic:nvPr/>
                            </pic:nvPicPr>
                            <pic:blipFill>
                              <a:blip r:embed="rId20"/>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47" name="图片_96_SpCnt_229"/>
                      <wp:cNvGraphicFramePr/>
                      <a:graphic xmlns:a="http://schemas.openxmlformats.org/drawingml/2006/main">
                        <a:graphicData uri="http://schemas.openxmlformats.org/drawingml/2006/picture">
                          <pic:pic xmlns:pic="http://schemas.openxmlformats.org/drawingml/2006/picture">
                            <pic:nvPicPr>
                              <pic:cNvPr id="247" name="图片_96_SpCnt_229"/>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48" name="图片_96_SpCnt_230"/>
                      <wp:cNvGraphicFramePr/>
                      <a:graphic xmlns:a="http://schemas.openxmlformats.org/drawingml/2006/main">
                        <a:graphicData uri="http://schemas.openxmlformats.org/drawingml/2006/picture">
                          <pic:pic xmlns:pic="http://schemas.openxmlformats.org/drawingml/2006/picture">
                            <pic:nvPicPr>
                              <pic:cNvPr id="248" name="图片_96_SpCnt_230"/>
                              <pic:cNvPicPr/>
                              <pic:nvPr/>
                            </pic:nvPicPr>
                            <pic:blipFill>
                              <a:blip r:embed="rId21"/>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49" name="图片_96_SpCnt_231"/>
                      <wp:cNvGraphicFramePr/>
                      <a:graphic xmlns:a="http://schemas.openxmlformats.org/drawingml/2006/main">
                        <a:graphicData uri="http://schemas.openxmlformats.org/drawingml/2006/picture">
                          <pic:pic xmlns:pic="http://schemas.openxmlformats.org/drawingml/2006/picture">
                            <pic:nvPicPr>
                              <pic:cNvPr id="249" name="图片_96_SpCnt_23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0" name="图片_63"/>
                      <wp:cNvGraphicFramePr/>
                      <a:graphic xmlns:a="http://schemas.openxmlformats.org/drawingml/2006/main">
                        <a:graphicData uri="http://schemas.openxmlformats.org/drawingml/2006/picture">
                          <pic:pic xmlns:pic="http://schemas.openxmlformats.org/drawingml/2006/picture">
                            <pic:nvPicPr>
                              <pic:cNvPr id="250" name="图片_6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337185"/>
                      <wp:effectExtent l="0" t="0" r="0" b="0"/>
                      <wp:wrapNone/>
                      <wp:docPr id="251" name="图片_96_SpCnt_232"/>
                      <wp:cNvGraphicFramePr/>
                      <a:graphic xmlns:a="http://schemas.openxmlformats.org/drawingml/2006/main">
                        <a:graphicData uri="http://schemas.openxmlformats.org/drawingml/2006/picture">
                          <pic:pic xmlns:pic="http://schemas.openxmlformats.org/drawingml/2006/picture">
                            <pic:nvPicPr>
                              <pic:cNvPr id="251" name="图片_96_SpCnt_232"/>
                              <pic:cNvPicPr/>
                              <pic:nvPr/>
                            </pic:nvPicPr>
                            <pic:blipFill>
                              <a:blip r:embed="rId13"/>
                              <a:stretch/>
                            </pic:blipFill>
                            <pic:spPr bwMode="auto">
                              <a:xfrm>
                                <a:off x="0" y="0"/>
                                <a:ext cx="0" cy="33718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59264;o:allowoverlap:true;o:allowincell:true;mso-position-horizontal-relative:text;margin-left:65.2pt;mso-position-horizontal:absolute;mso-position-vertical-relative:text;margin-top:12.8pt;mso-position-vertical:absolute;width:0.0pt;height:26.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2" name="图片_96_SpCnt_233"/>
                      <wp:cNvGraphicFramePr/>
                      <a:graphic xmlns:a="http://schemas.openxmlformats.org/drawingml/2006/main">
                        <a:graphicData uri="http://schemas.openxmlformats.org/drawingml/2006/picture">
                          <pic:pic xmlns:pic="http://schemas.openxmlformats.org/drawingml/2006/picture">
                            <pic:nvPicPr>
                              <pic:cNvPr id="252" name="图片_96_SpCnt_23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1、支持通过无线传输方式与网络接收机稳定通信（通信距离满足教学实训场地覆盖需求，无明显信号中断）；</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2、调制方式：支持 FSK（调频 FM）或其他行业无线调制方式（需保障传输稳定性，误码率≤1%）；</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3、发射功率：不高于 5 毫瓦（符合国家无线电管理相关标准，避免信号干扰）；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4、发射频率：支持315.6MHz或其他合规频段（无线电频段须符合中国地区相关规定，供应商应确保其合法性）；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4、EMC抗干扰：性能需满足 GB/T 17626 系列相关标准（或同等行业标准），在教学环境常见干扰（如 WiFi、投影仪等设备）下可正常运行；</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5、追呼模式支持5-300毫秒随机二次发射（或其他等效防丢包设计，确保呼叫信号有效送达）；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6、设备应采用内置电池供电，续航能力应满足常规教学使用需求。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实训巡考系统软件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系统需支持在监控屏幕上实时显示实训考场的全屏视频画面</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系统应提供多种视频轮巡模式，至少包括正序轮巡与倒序轮巡两种方案</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系统应支持基于分组的多工位巡考功能，允许用户对实训工位进行自定义分组，并按分组进行轮巡</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系统允许管理员对轮巡间隔时间等参数进行自定义配置</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系统应具备历史考场录像的回放与回溯功能，回放界面支持常规的播放控制（如暂停、快进、快退等）</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系统应提供基于Web浏览器的管理配置界面，至少支持分组管理与巡考预案配置</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系统</w:t>
            </w:r>
            <w:r>
              <w:rPr>
                <w:rFonts w:hint="eastAsia" w:ascii="宋体" w:hAnsi="宋体" w:eastAsia="宋体" w:cs="宋体"/>
                <w:i w:val="0"/>
                <w:iCs w:val="0"/>
                <w:color w:val="auto"/>
                <w:sz w:val="21"/>
                <w:szCs w:val="21"/>
                <w:highlight w:val="none"/>
                <w:u w:val="none"/>
                <w:lang w:val="en-US" w:eastAsia="zh-CN"/>
              </w:rPr>
              <w:t xml:space="preserve">需</w:t>
            </w:r>
            <w:r>
              <w:rPr>
                <w:rFonts w:hint="eastAsia" w:ascii="宋体" w:hAnsi="宋体" w:eastAsia="宋体" w:cs="宋体"/>
                <w:i w:val="0"/>
                <w:iCs w:val="0"/>
                <w:color w:val="auto"/>
                <w:sz w:val="21"/>
                <w:szCs w:val="21"/>
                <w:highlight w:val="none"/>
                <w:u w:val="none"/>
              </w:rPr>
              <w:t xml:space="preserve">支持与上级管理平台的排考系统进行数据对接，实时显示考试名称、考试时间等信息。</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53" name="图片_96_SpCnt_234"/>
                      <wp:cNvGraphicFramePr/>
                      <a:graphic xmlns:a="http://schemas.openxmlformats.org/drawingml/2006/main">
                        <a:graphicData uri="http://schemas.openxmlformats.org/drawingml/2006/picture">
                          <pic:pic xmlns:pic="http://schemas.openxmlformats.org/drawingml/2006/picture">
                            <pic:nvPicPr>
                              <pic:cNvPr id="253" name="图片_96_SpCnt_234"/>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4" name="图片_96_SpCnt_235"/>
                      <wp:cNvGraphicFramePr/>
                      <a:graphic xmlns:a="http://schemas.openxmlformats.org/drawingml/2006/main">
                        <a:graphicData uri="http://schemas.openxmlformats.org/drawingml/2006/picture">
                          <pic:pic xmlns:pic="http://schemas.openxmlformats.org/drawingml/2006/picture">
                            <pic:nvPicPr>
                              <pic:cNvPr id="254" name="图片_96_SpCnt_23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55" name="图片_96_SpCnt_236"/>
                      <wp:cNvGraphicFramePr/>
                      <a:graphic xmlns:a="http://schemas.openxmlformats.org/drawingml/2006/main">
                        <a:graphicData uri="http://schemas.openxmlformats.org/drawingml/2006/picture">
                          <pic:pic xmlns:pic="http://schemas.openxmlformats.org/drawingml/2006/picture">
                            <pic:nvPicPr>
                              <pic:cNvPr id="255" name="图片_96_SpCnt_236"/>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6" name="图片_96_SpCnt_237"/>
                      <wp:cNvGraphicFramePr/>
                      <a:graphic xmlns:a="http://schemas.openxmlformats.org/drawingml/2006/main">
                        <a:graphicData uri="http://schemas.openxmlformats.org/drawingml/2006/picture">
                          <pic:pic xmlns:pic="http://schemas.openxmlformats.org/drawingml/2006/picture">
                            <pic:nvPicPr>
                              <pic:cNvPr id="256" name="图片_96_SpCnt_237"/>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7" name="图片_232"/>
                      <wp:cNvGraphicFramePr/>
                      <a:graphic xmlns:a="http://schemas.openxmlformats.org/drawingml/2006/main">
                        <a:graphicData uri="http://schemas.openxmlformats.org/drawingml/2006/picture">
                          <pic:pic xmlns:pic="http://schemas.openxmlformats.org/drawingml/2006/picture">
                            <pic:nvPicPr>
                              <pic:cNvPr id="257" name="图片_23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58" name="图片_96_SpCnt_238"/>
                      <wp:cNvGraphicFramePr/>
                      <a:graphic xmlns:a="http://schemas.openxmlformats.org/drawingml/2006/main">
                        <a:graphicData uri="http://schemas.openxmlformats.org/drawingml/2006/picture">
                          <pic:pic xmlns:pic="http://schemas.openxmlformats.org/drawingml/2006/picture">
                            <pic:nvPicPr>
                              <pic:cNvPr id="258" name="图片_96_SpCnt_238"/>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59" name="图片_96_SpCnt_239"/>
                      <wp:cNvGraphicFramePr/>
                      <a:graphic xmlns:a="http://schemas.openxmlformats.org/drawingml/2006/main">
                        <a:graphicData uri="http://schemas.openxmlformats.org/drawingml/2006/picture">
                          <pic:pic xmlns:pic="http://schemas.openxmlformats.org/drawingml/2006/picture">
                            <pic:nvPicPr>
                              <pic:cNvPr id="259" name="图片_96_SpCnt_23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60" name="图片_96_SpCnt_240"/>
                      <wp:cNvGraphicFramePr/>
                      <a:graphic xmlns:a="http://schemas.openxmlformats.org/drawingml/2006/main">
                        <a:graphicData uri="http://schemas.openxmlformats.org/drawingml/2006/picture">
                          <pic:pic xmlns:pic="http://schemas.openxmlformats.org/drawingml/2006/picture">
                            <pic:nvPicPr>
                              <pic:cNvPr id="260" name="图片_96_SpCnt_240"/>
                              <pic:cNvPicPr/>
                              <pic:nvPr/>
                            </pic:nvPicPr>
                            <pic:blipFill>
                              <a:blip r:embed="rId13"/>
                              <a:stretch/>
                            </pic:blipFill>
                            <pic:spPr bwMode="auto">
                              <a:xfrm>
                                <a:off x="0" y="0"/>
                                <a:ext cx="0" cy="1714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61" name="图片_96_SpCnt_241"/>
                      <wp:cNvGraphicFramePr/>
                      <a:graphic xmlns:a="http://schemas.openxmlformats.org/drawingml/2006/main">
                        <a:graphicData uri="http://schemas.openxmlformats.org/drawingml/2006/picture">
                          <pic:pic xmlns:pic="http://schemas.openxmlformats.org/drawingml/2006/picture">
                            <pic:nvPicPr>
                              <pic:cNvPr id="261" name="图片_96_SpCnt_241"/>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2" name="图片_96_SpCnt_242"/>
                      <wp:cNvGraphicFramePr/>
                      <a:graphic xmlns:a="http://schemas.openxmlformats.org/drawingml/2006/main">
                        <a:graphicData uri="http://schemas.openxmlformats.org/drawingml/2006/picture">
                          <pic:pic xmlns:pic="http://schemas.openxmlformats.org/drawingml/2006/picture">
                            <pic:nvPicPr>
                              <pic:cNvPr id="262" name="图片_96_SpCnt_242"/>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3" name="图片_96_SpCnt_243"/>
                      <wp:cNvGraphicFramePr/>
                      <a:graphic xmlns:a="http://schemas.openxmlformats.org/drawingml/2006/main">
                        <a:graphicData uri="http://schemas.openxmlformats.org/drawingml/2006/picture">
                          <pic:pic xmlns:pic="http://schemas.openxmlformats.org/drawingml/2006/picture">
                            <pic:nvPicPr>
                              <pic:cNvPr id="263" name="图片_96_SpCnt_24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4" name="图片_75"/>
                      <wp:cNvGraphicFramePr/>
                      <a:graphic xmlns:a="http://schemas.openxmlformats.org/drawingml/2006/main">
                        <a:graphicData uri="http://schemas.openxmlformats.org/drawingml/2006/picture">
                          <pic:pic xmlns:pic="http://schemas.openxmlformats.org/drawingml/2006/picture">
                            <pic:nvPicPr>
                              <pic:cNvPr id="264" name="图片_7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65" name="图片_96_SpCnt_244"/>
                      <wp:cNvGraphicFramePr/>
                      <a:graphic xmlns:a="http://schemas.openxmlformats.org/drawingml/2006/main">
                        <a:graphicData uri="http://schemas.openxmlformats.org/drawingml/2006/picture">
                          <pic:pic xmlns:pic="http://schemas.openxmlformats.org/drawingml/2006/picture">
                            <pic:nvPicPr>
                              <pic:cNvPr id="265" name="图片_96_SpCnt_244"/>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6" name="图片_96_SpCnt_245"/>
                      <wp:cNvGraphicFramePr/>
                      <a:graphic xmlns:a="http://schemas.openxmlformats.org/drawingml/2006/main">
                        <a:graphicData uri="http://schemas.openxmlformats.org/drawingml/2006/picture">
                          <pic:pic xmlns:pic="http://schemas.openxmlformats.org/drawingml/2006/picture">
                            <pic:nvPicPr>
                              <pic:cNvPr id="266" name="图片_96_SpCnt_245"/>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7" name="图片_96_SpCnt_246"/>
                      <wp:cNvGraphicFramePr/>
                      <a:graphic xmlns:a="http://schemas.openxmlformats.org/drawingml/2006/main">
                        <a:graphicData uri="http://schemas.openxmlformats.org/drawingml/2006/picture">
                          <pic:pic xmlns:pic="http://schemas.openxmlformats.org/drawingml/2006/picture">
                            <pic:nvPicPr>
                              <pic:cNvPr id="267" name="图片_96_SpCnt_246"/>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8" name="图片_96_SpCnt_247"/>
                      <wp:cNvGraphicFramePr/>
                      <a:graphic xmlns:a="http://schemas.openxmlformats.org/drawingml/2006/main">
                        <a:graphicData uri="http://schemas.openxmlformats.org/drawingml/2006/picture">
                          <pic:pic xmlns:pic="http://schemas.openxmlformats.org/drawingml/2006/picture">
                            <pic:nvPicPr>
                              <pic:cNvPr id="268" name="图片_96_SpCnt_247"/>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69" name="图片_96_SpCnt_248"/>
                      <wp:cNvGraphicFramePr/>
                      <a:graphic xmlns:a="http://schemas.openxmlformats.org/drawingml/2006/main">
                        <a:graphicData uri="http://schemas.openxmlformats.org/drawingml/2006/picture">
                          <pic:pic xmlns:pic="http://schemas.openxmlformats.org/drawingml/2006/picture">
                            <pic:nvPicPr>
                              <pic:cNvPr id="269" name="图片_96_SpCnt_24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70" name="图片_96_SpCnt_249"/>
                      <wp:cNvGraphicFramePr/>
                      <a:graphic xmlns:a="http://schemas.openxmlformats.org/drawingml/2006/main">
                        <a:graphicData uri="http://schemas.openxmlformats.org/drawingml/2006/picture">
                          <pic:pic xmlns:pic="http://schemas.openxmlformats.org/drawingml/2006/picture">
                            <pic:nvPicPr>
                              <pic:cNvPr id="270" name="图片_96_SpCnt_24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71" name="图片_96_SpCnt_250"/>
                      <wp:cNvGraphicFramePr/>
                      <a:graphic xmlns:a="http://schemas.openxmlformats.org/drawingml/2006/main">
                        <a:graphicData uri="http://schemas.openxmlformats.org/drawingml/2006/picture">
                          <pic:pic xmlns:pic="http://schemas.openxmlformats.org/drawingml/2006/picture">
                            <pic:nvPicPr>
                              <pic:cNvPr id="271" name="图片_96_SpCnt_250"/>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72" name="图片_96_SpCnt_251"/>
                      <wp:cNvGraphicFramePr/>
                      <a:graphic xmlns:a="http://schemas.openxmlformats.org/drawingml/2006/main">
                        <a:graphicData uri="http://schemas.openxmlformats.org/drawingml/2006/picture">
                          <pic:pic xmlns:pic="http://schemas.openxmlformats.org/drawingml/2006/picture">
                            <pic:nvPicPr>
                              <pic:cNvPr id="272" name="图片_96_SpCnt_251"/>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73" name="图片_96_SpCnt_252"/>
                      <wp:cNvGraphicFramePr/>
                      <a:graphic xmlns:a="http://schemas.openxmlformats.org/drawingml/2006/main">
                        <a:graphicData uri="http://schemas.openxmlformats.org/drawingml/2006/picture">
                          <pic:pic xmlns:pic="http://schemas.openxmlformats.org/drawingml/2006/picture">
                            <pic:nvPicPr>
                              <pic:cNvPr id="273" name="图片_96_SpCnt_252"/>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74" name="图片_96_SpCnt_253"/>
                      <wp:cNvGraphicFramePr/>
                      <a:graphic xmlns:a="http://schemas.openxmlformats.org/drawingml/2006/main">
                        <a:graphicData uri="http://schemas.openxmlformats.org/drawingml/2006/picture">
                          <pic:pic xmlns:pic="http://schemas.openxmlformats.org/drawingml/2006/picture">
                            <pic:nvPicPr>
                              <pic:cNvPr id="274" name="图片_96_SpCnt_253"/>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75" name="图片_96_SpCnt_254"/>
                      <wp:cNvGraphicFramePr/>
                      <a:graphic xmlns:a="http://schemas.openxmlformats.org/drawingml/2006/main">
                        <a:graphicData uri="http://schemas.openxmlformats.org/drawingml/2006/picture">
                          <pic:pic xmlns:pic="http://schemas.openxmlformats.org/drawingml/2006/picture">
                            <pic:nvPicPr>
                              <pic:cNvPr id="275" name="图片_96_SpCnt_254"/>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76" name="图片_96_SpCnt_255"/>
                      <wp:cNvGraphicFramePr/>
                      <a:graphic xmlns:a="http://schemas.openxmlformats.org/drawingml/2006/main">
                        <a:graphicData uri="http://schemas.openxmlformats.org/drawingml/2006/picture">
                          <pic:pic xmlns:pic="http://schemas.openxmlformats.org/drawingml/2006/picture">
                            <pic:nvPicPr>
                              <pic:cNvPr id="276" name="图片_96_SpCnt_255"/>
                              <pic:cNvPicPr/>
                              <pic:nvPr/>
                            </pic:nvPicPr>
                            <pic:blipFill>
                              <a:blip r:embed="rId13"/>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77" name="图片_96_SpCnt_256"/>
                      <wp:cNvGraphicFramePr/>
                      <a:graphic xmlns:a="http://schemas.openxmlformats.org/drawingml/2006/main">
                        <a:graphicData uri="http://schemas.openxmlformats.org/drawingml/2006/picture">
                          <pic:pic xmlns:pic="http://schemas.openxmlformats.org/drawingml/2006/picture">
                            <pic:nvPicPr>
                              <pic:cNvPr id="277" name="图片_96_SpCnt_256"/>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78" name="图片_96_SpCnt_257"/>
                      <wp:cNvGraphicFramePr/>
                      <a:graphic xmlns:a="http://schemas.openxmlformats.org/drawingml/2006/main">
                        <a:graphicData uri="http://schemas.openxmlformats.org/drawingml/2006/picture">
                          <pic:pic xmlns:pic="http://schemas.openxmlformats.org/drawingml/2006/picture">
                            <pic:nvPicPr>
                              <pic:cNvPr id="278" name="图片_96_SpCnt_257"/>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79" name="图片_69"/>
                      <wp:cNvGraphicFramePr/>
                      <a:graphic xmlns:a="http://schemas.openxmlformats.org/drawingml/2006/main">
                        <a:graphicData uri="http://schemas.openxmlformats.org/drawingml/2006/picture">
                          <pic:pic xmlns:pic="http://schemas.openxmlformats.org/drawingml/2006/picture">
                            <pic:nvPicPr>
                              <pic:cNvPr id="279" name="图片_69"/>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80" name="图片_191"/>
                      <wp:cNvGraphicFramePr/>
                      <a:graphic xmlns:a="http://schemas.openxmlformats.org/drawingml/2006/main">
                        <a:graphicData uri="http://schemas.openxmlformats.org/drawingml/2006/picture">
                          <pic:pic xmlns:pic="http://schemas.openxmlformats.org/drawingml/2006/picture">
                            <pic:nvPicPr>
                              <pic:cNvPr id="280" name="图片_191"/>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拾扩音系统</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81" name="图片_96_SpCnt_265"/>
                      <wp:cNvGraphicFramePr/>
                      <a:graphic xmlns:a="http://schemas.openxmlformats.org/drawingml/2006/main">
                        <a:graphicData uri="http://schemas.openxmlformats.org/drawingml/2006/picture">
                          <pic:pic xmlns:pic="http://schemas.openxmlformats.org/drawingml/2006/picture">
                            <pic:nvPicPr>
                              <pic:cNvPr id="281" name="图片_96_SpCnt_265"/>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82" name="图片_96_SpCnt_266"/>
                      <wp:cNvGraphicFramePr/>
                      <a:graphic xmlns:a="http://schemas.openxmlformats.org/drawingml/2006/main">
                        <a:graphicData uri="http://schemas.openxmlformats.org/drawingml/2006/picture">
                          <pic:pic xmlns:pic="http://schemas.openxmlformats.org/drawingml/2006/picture">
                            <pic:nvPicPr>
                              <pic:cNvPr id="282" name="图片_96_SpCnt_266"/>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83" name="图片_96_SpCnt_267"/>
                      <wp:cNvGraphicFramePr/>
                      <a:graphic xmlns:a="http://schemas.openxmlformats.org/drawingml/2006/main">
                        <a:graphicData uri="http://schemas.openxmlformats.org/drawingml/2006/picture">
                          <pic:pic xmlns:pic="http://schemas.openxmlformats.org/drawingml/2006/picture">
                            <pic:nvPicPr>
                              <pic:cNvPr id="283" name="图片_96_SpCnt_267"/>
                              <pic:cNvPicPr/>
                              <pic:nvPr/>
                            </pic:nvPicPr>
                            <pic:blipFill>
                              <a:blip r:embed="rId13"/>
                              <a:stretch/>
                            </pic:blipFill>
                            <pic:spPr bwMode="auto">
                              <a:xfrm>
                                <a:off x="0" y="0"/>
                                <a:ext cx="0" cy="6610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84" name="图片_96_SpCnt_268"/>
                      <wp:cNvGraphicFramePr/>
                      <a:graphic xmlns:a="http://schemas.openxmlformats.org/drawingml/2006/main">
                        <a:graphicData uri="http://schemas.openxmlformats.org/drawingml/2006/picture">
                          <pic:pic xmlns:pic="http://schemas.openxmlformats.org/drawingml/2006/picture">
                            <pic:nvPicPr>
                              <pic:cNvPr id="284" name="图片_96_SpCnt_268"/>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85" name="图片_88"/>
                      <wp:cNvGraphicFramePr/>
                      <a:graphic xmlns:a="http://schemas.openxmlformats.org/drawingml/2006/main">
                        <a:graphicData uri="http://schemas.openxmlformats.org/drawingml/2006/picture">
                          <pic:pic xmlns:pic="http://schemas.openxmlformats.org/drawingml/2006/picture">
                            <pic:nvPicPr>
                              <pic:cNvPr id="285" name="图片_88"/>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826770"/>
                      <wp:effectExtent l="0" t="0" r="0" b="0"/>
                      <wp:wrapNone/>
                      <wp:docPr id="286" name="图片_96_SpCnt_269"/>
                      <wp:cNvGraphicFramePr/>
                      <a:graphic xmlns:a="http://schemas.openxmlformats.org/drawingml/2006/main">
                        <a:graphicData uri="http://schemas.openxmlformats.org/drawingml/2006/picture">
                          <pic:pic xmlns:pic="http://schemas.openxmlformats.org/drawingml/2006/picture">
                            <pic:nvPicPr>
                              <pic:cNvPr id="286" name="图片_96_SpCnt_269"/>
                              <pic:cNvPicPr/>
                              <pic:nvPr/>
                            </pic:nvPicPr>
                            <pic:blipFill>
                              <a:blip r:embed="rId13"/>
                              <a:stretch/>
                            </pic:blipFill>
                            <pic:spPr bwMode="auto">
                              <a:xfrm>
                                <a:off x="0" y="0"/>
                                <a:ext cx="0"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659264;o:allowoverlap:true;o:allowincell:true;mso-position-horizontal-relative:text;margin-left:65.2pt;mso-position-horizontal:absolute;mso-position-vertical-relative:text;margin-top:12.8pt;mso-position-vertical:absolute;width:0.0pt;height:6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499110"/>
                      <wp:effectExtent l="0" t="0" r="0" b="0"/>
                      <wp:wrapNone/>
                      <wp:docPr id="287" name="图片_96_SpCnt_270"/>
                      <wp:cNvGraphicFramePr/>
                      <a:graphic xmlns:a="http://schemas.openxmlformats.org/drawingml/2006/main">
                        <a:graphicData uri="http://schemas.openxmlformats.org/drawingml/2006/picture">
                          <pic:pic xmlns:pic="http://schemas.openxmlformats.org/drawingml/2006/picture">
                            <pic:nvPicPr>
                              <pic:cNvPr id="287" name="图片_96_SpCnt_270"/>
                              <pic:cNvPicPr/>
                              <pic:nvPr/>
                            </pic:nvPicPr>
                            <pic:blipFill>
                              <a:blip r:embed="rId13"/>
                              <a:stretch/>
                            </pic:blipFill>
                            <pic:spPr bwMode="auto">
                              <a:xfrm>
                                <a:off x="0" y="0"/>
                                <a:ext cx="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659264;o:allowoverlap:true;o:allowincell:true;mso-position-horizontal-relative:text;margin-left:65.2pt;mso-position-horizontal:absolute;mso-position-vertical-relative:text;margin-top:12.8pt;mso-position-vertical:absolute;width:0.0pt;height:39.3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88" name="图片_96_SpCnt_271"/>
                      <wp:cNvGraphicFramePr/>
                      <a:graphic xmlns:a="http://schemas.openxmlformats.org/drawingml/2006/main">
                        <a:graphicData uri="http://schemas.openxmlformats.org/drawingml/2006/picture">
                          <pic:pic xmlns:pic="http://schemas.openxmlformats.org/drawingml/2006/picture">
                            <pic:nvPicPr>
                              <pic:cNvPr id="288" name="图片_96_SpCnt_271"/>
                              <pic:cNvPicPr/>
                              <pic:nvPr/>
                            </pic:nvPicPr>
                            <pic:blipFill>
                              <a:blip r:embed="rId13"/>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（一）无线音频主机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1、支持至少 2 路无线麦克风接入，采用真分集接收技术（确保复杂教学环境下信号稳定，无断音、串扰）；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 UHF 频段传输信号，载波频率范围需符合国家无线电管理规定（如 500-980MHz 等合规频段）；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3、支持双通道接收，具备微电脑智能控制功能（可实现频率自动扫描、信道锁定等）；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4、采用锁相环频率合成技术（PLL）或其他等效稳定传输技术（确保频率稳定性≤±10PPM）；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5、具备抗干扰设计（如独立信道标识、频率隔离等），支持至少 8 台设备同时叠机使用且无干扰；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6、内置高效抑制噪声线路，防啸叫功能显著；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7、配备高效接收天线（数量及类型不限，确保教学区域内信号覆盖无盲区，接收距离≥15 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8、具备平衡输出（不少于 2 路）和混合非平衡输出（不少于 1 路），兼容外置设备接口标准；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9、支持发射器与接收通道灵活配对（同一发射器可在≥200 个信道中切换使用，实现跨通道互通）；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10、可配置手持话筒、头戴麦等多种拾音设备（至少支持 2 种类型，满足不同教学场景需求）；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11、发射器采用可充电电池供电（单次充满电后连续工作时长≥6 小时，标配充电电池及多槽充电器）；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12、主机及发射器均配备显示屏（显示工作频率、电池电量、信号强度等关键状态信息）；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13、接收机参数：振荡方式采用锁相环频率合成(PLL)；频率范围：符合国家合规 UHF 频段；频率稳定性：≤±10PPM；调制方式：FM或等效方式；动态范围：&gt;105dB；失真度：&lt;0.5%@1KHz；音频输出：平衡输出 0～600mV，不平衡输出 0～300mV；</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14、发射器参数：符合国家合规 UHF 频段；发射功率高功率档≤10dBm，低功率档≤5dBm（符合无线电发射功率标准）；最大调制度±45KHz；单一指向性或其他适合教学拾音的模式；频率响应40Hz～18KHz；话筒灵敏度-43±3dB@1KH。</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（二）功放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1、立体声功率：8Ω≥350W×2，4Ω≥550W×2；</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2、桥接功率：8Ω≥700W；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3、总谐波失真（1KHz）：≤0.02%，</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4、信噪比（A计权）：≥106dB，</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5、转换速率：≥60V/μs，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6、阻尼系数：≥400：1，</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7、频率响应：20Hz-20KHz(±0.5dB)，</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8、输入灵敏度：0.775V（或支持可调，兼容不同信号源），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9、输入阻抗：10KΩ-20KΩ，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10、面板指示灯：至少包含信号（Signal）、保护（Protect）、工作（Active）、限幅（Clip/Limiting）状态指示；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11、电源：220V AC，50/60Hz（符合国家电网标准，具备过流、过压保护功能），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（三）音箱（前面）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1、额定功率：≥200W；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2、最大输入功率：≥400W；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3、阻抗：8Ω；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4、频率响应：60Hz-19KHz（±3dB）；</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5、扬声器系统：≥3 单元（含高音单元，确保人声清晰还原）；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6、最大声压级：≥122dB；灵敏度：≥96dB/W (1m)；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7、指向性覆盖角：水平≥140°，垂直≥100°（满足教学区域声场均匀覆盖）；</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8、具备吊挂安装结构（如 M10 吊点≥2 个，兼容安装配件）；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9、箱体材质：采用防潮、耐用材料（如中纤板、PVC 贴皮等，表面处理需耐磨防刮）；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10、颜色：深色系（如黑色，可根据教学环境适配）。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（四）音箱（后面）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1、额定功率：≥80W；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2、最大功率：≥240W；</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3、额定阻抗：8Ω；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4、频率响应：50Hz-18kHz（±3dB）；</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5、驱动器：包含低音单元（≥8 寸）和高音单元（≥2 个 3 寸）；</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6、灵敏度：≥88dB/1W/1m；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7、最大声压级：≥112dB；</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8、分频器：分频点≤1.8KHz；指向性覆盖角：水平≥140°，垂直≥100°；</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9、连接器：支持标准接线方式（如正负极接线夹，兼容功放输出接口）；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10、箱体型式：倒相式或其他等效设计（确保低频输出效果）；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11、箱体及外饰：采用高密度耐用材料（如中纤板，黑色），配备防护网；</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12、安装：具备顶部吊挂结构（如孔距 10cm 的 M8 吊点≥2 个，支持安全安装）。</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网络连接器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89" name="图片_96_SpCnt_272"/>
                      <wp:cNvGraphicFramePr/>
                      <a:graphic xmlns:a="http://schemas.openxmlformats.org/drawingml/2006/main">
                        <a:graphicData uri="http://schemas.openxmlformats.org/drawingml/2006/picture">
                          <pic:pic xmlns:pic="http://schemas.openxmlformats.org/drawingml/2006/picture">
                            <pic:nvPicPr>
                              <pic:cNvPr id="289" name="图片_96_SpCnt_272"/>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90" name="图片_96_SpCnt_273"/>
                      <wp:cNvGraphicFramePr/>
                      <a:graphic xmlns:a="http://schemas.openxmlformats.org/drawingml/2006/main">
                        <a:graphicData uri="http://schemas.openxmlformats.org/drawingml/2006/picture">
                          <pic:pic xmlns:pic="http://schemas.openxmlformats.org/drawingml/2006/picture">
                            <pic:nvPicPr>
                              <pic:cNvPr id="290" name="图片_96_SpCnt_273"/>
                              <pic:cNvPicPr/>
                              <pic:nvPr/>
                            </pic:nvPicPr>
                            <pic:blipFill>
                              <a:blip r:embed="rId13"/>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91" name="图片_96_SpCnt_274"/>
                      <wp:cNvGraphicFramePr/>
                      <a:graphic xmlns:a="http://schemas.openxmlformats.org/drawingml/2006/main">
                        <a:graphicData uri="http://schemas.openxmlformats.org/drawingml/2006/picture">
                          <pic:pic xmlns:pic="http://schemas.openxmlformats.org/drawingml/2006/picture">
                            <pic:nvPicPr>
                              <pic:cNvPr id="291" name="图片_96_SpCnt_274"/>
                              <pic:cNvPicPr/>
                              <pic:nvPr/>
                            </pic:nvPicPr>
                            <pic:blipFill>
                              <a:blip r:embed="rId13"/>
                              <a:stretch/>
                            </pic:blipFill>
                            <pic:spPr bwMode="auto">
                              <a:xfrm>
                                <a:off x="0" y="0"/>
                                <a:ext cx="0" cy="9886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92" name="图片_96_SpCnt_275"/>
                      <wp:cNvGraphicFramePr/>
                      <a:graphic xmlns:a="http://schemas.openxmlformats.org/drawingml/2006/main">
                        <a:graphicData uri="http://schemas.openxmlformats.org/drawingml/2006/picture">
                          <pic:pic xmlns:pic="http://schemas.openxmlformats.org/drawingml/2006/picture">
                            <pic:nvPicPr>
                              <pic:cNvPr id="292" name="图片_96_SpCnt_275"/>
                              <pic:cNvPicPr/>
                              <pic:nvPr/>
                            </pic:nvPicPr>
                            <pic:blipFill>
                              <a:blip r:embed="rId13"/>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93" name="图片_96_SpCnt_276"/>
                      <wp:cNvGraphicFramePr/>
                      <a:graphic xmlns:a="http://schemas.openxmlformats.org/drawingml/2006/main">
                        <a:graphicData uri="http://schemas.openxmlformats.org/drawingml/2006/picture">
                          <pic:pic xmlns:pic="http://schemas.openxmlformats.org/drawingml/2006/picture">
                            <pic:nvPicPr>
                              <pic:cNvPr id="293" name="图片_96_SpCnt_276"/>
                              <pic:cNvPicPr/>
                              <pic:nvPr/>
                            </pic:nvPicPr>
                            <pic:blipFill>
                              <a:blip r:embed="rId13"/>
                              <a:stretch/>
                            </pic:blipFill>
                            <pic:spPr bwMode="auto">
                              <a:xfrm>
                                <a:off x="0" y="0"/>
                                <a:ext cx="0" cy="9886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94" name="图片_96_SpCnt_277"/>
                      <wp:cNvGraphicFramePr/>
                      <a:graphic xmlns:a="http://schemas.openxmlformats.org/drawingml/2006/main">
                        <a:graphicData uri="http://schemas.openxmlformats.org/drawingml/2006/picture">
                          <pic:pic xmlns:pic="http://schemas.openxmlformats.org/drawingml/2006/picture">
                            <pic:nvPicPr>
                              <pic:cNvPr id="294" name="图片_96_SpCnt_277"/>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95" name="图片_96_SpCnt_278"/>
                      <wp:cNvGraphicFramePr/>
                      <a:graphic xmlns:a="http://schemas.openxmlformats.org/drawingml/2006/main">
                        <a:graphicData uri="http://schemas.openxmlformats.org/drawingml/2006/picture">
                          <pic:pic xmlns:pic="http://schemas.openxmlformats.org/drawingml/2006/picture">
                            <pic:nvPicPr>
                              <pic:cNvPr id="295" name="图片_96_SpCnt_278"/>
                              <pic:cNvPicPr/>
                              <pic:nvPr/>
                            </pic:nvPicPr>
                            <pic:blipFill>
                              <a:blip r:embed="rId13"/>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661035"/>
                      <wp:effectExtent l="0" t="0" r="0" b="0"/>
                      <wp:wrapNone/>
                      <wp:docPr id="296" name="图片_96_SpCnt_279"/>
                      <wp:cNvGraphicFramePr/>
                      <a:graphic xmlns:a="http://schemas.openxmlformats.org/drawingml/2006/main">
                        <a:graphicData uri="http://schemas.openxmlformats.org/drawingml/2006/picture">
                          <pic:pic xmlns:pic="http://schemas.openxmlformats.org/drawingml/2006/picture">
                            <pic:nvPicPr>
                              <pic:cNvPr id="296" name="图片_96_SpCnt_279"/>
                              <pic:cNvPicPr/>
                              <pic:nvPr/>
                            </pic:nvPicPr>
                            <pic:blipFill>
                              <a:blip r:embed="rId13"/>
                              <a:stretch/>
                            </pic:blipFill>
                            <pic:spPr bwMode="auto">
                              <a:xfrm>
                                <a:off x="0" y="0"/>
                                <a:ext cx="0"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659264;o:allowoverlap:true;o:allowincell:true;mso-position-horizontal-relative:text;margin-left:65.2pt;mso-position-horizontal:absolute;mso-position-vertical-relative:text;margin-top:12.8pt;mso-position-vertical:absolute;width:0.0pt;height:52.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988695"/>
                      <wp:effectExtent l="0" t="0" r="0" b="0"/>
                      <wp:wrapNone/>
                      <wp:docPr id="297" name="图片_97"/>
                      <wp:cNvGraphicFramePr/>
                      <a:graphic xmlns:a="http://schemas.openxmlformats.org/drawingml/2006/main">
                        <a:graphicData uri="http://schemas.openxmlformats.org/drawingml/2006/picture">
                          <pic:pic xmlns:pic="http://schemas.openxmlformats.org/drawingml/2006/picture">
                            <pic:nvPicPr>
                              <pic:cNvPr id="297" name="图片_97"/>
                              <pic:cNvPicPr/>
                              <pic:nvPr/>
                            </pic:nvPicPr>
                            <pic:blipFill>
                              <a:blip r:embed="rId13"/>
                              <a:stretch/>
                            </pic:blipFill>
                            <pic:spPr bwMode="auto">
                              <a:xfrm>
                                <a:off x="0" y="0"/>
                                <a:ext cx="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659264;o:allowoverlap:true;o:allowincell:true;mso-position-horizontal-relative:text;margin-left:65.2pt;mso-position-horizontal:absolute;mso-position-vertical-relative:text;margin-top:12.8pt;mso-position-vertical:absolute;width:0.0pt;height:77.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161925</wp:posOffset>
                      </wp:positionV>
                      <wp:extent cx="0" cy="171450"/>
                      <wp:effectExtent l="0" t="0" r="0" b="0"/>
                      <wp:wrapNone/>
                      <wp:docPr id="298" name="图片_107"/>
                      <wp:cNvGraphicFramePr/>
                      <a:graphic xmlns:a="http://schemas.openxmlformats.org/drawingml/2006/main">
                        <a:graphicData uri="http://schemas.openxmlformats.org/drawingml/2006/picture">
                          <pic:pic xmlns:pic="http://schemas.openxmlformats.org/drawingml/2006/picture">
                            <pic:nvPicPr>
                              <pic:cNvPr id="298" name="图片_107"/>
                              <pic:cNvPicPr/>
                              <pic:nvPr/>
                            </pic:nvPicPr>
                            <pic:blipFill>
                              <a:blip r:embed="rId13"/>
                              <a:stretch/>
                            </pic:blipFill>
                            <pic:spPr bwMode="auto">
                              <a:xfrm>
                                <a:off x="0" y="0"/>
                                <a:ext cx="0" cy="171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659264;o:allowoverlap:true;o:allowincell:true;mso-position-horizontal-relative:text;margin-left:65.2pt;mso-position-horizontal:absolute;mso-position-vertical-relative:text;margin-top:12.8pt;mso-position-vertical:absolute;width:0.0pt;height:13.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(一）无线吸顶式AP</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1、支持双频并发（2.4GHz 和 5GHz），无线总速率≥1167Mbps（其中 5GHz 频段速率≥867Mbps，2.4GHz 频段速率≥300Mbps），兼容无线标准；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2、无线发射功率线性可调，根据需求调整信号覆盖范围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3、专业双频天线，提升覆盖区域信号质量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4、支持吸顶或壁挂安装，安装方式灵活，支持POE供电，降低组网成本；</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5、具备频段负载均衡功能（如频谱导航技术或等效方案），可引导双频客户端优先连接 5GHz 频段，避免单频段拥堵，保障网络稳定性。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（二）千兆路由器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1、配备千兆网口≥9 个（含 WAN 口≥1 个、LAN 口≥8 个），支持线速转发；</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2、内置无线控制器功能，可统一管理至少 20 个 AP 设备（支持配置同步、状态监控、固件升级等）；</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3、LAN 口支持标准PoE供电，满足 AP 等设备供电需求，无需额外配置PoE交换机；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 VPN 功能（含 IPSec/PPTP/L2TP 等协议），保障远程访问安全性；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5、具备接入认证功能（至少支持 Web 认证、短信认证、PPPoE 服务器中的 2 种及以上）；</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6、具备上网行为管理功能（支持移动应用管控、桌面程序管控、网站过滤、网页安全防护等，可自定义管控策略）。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（三）千兆POE交换机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1、配备 10/100/1000M 自适应 RJ45 端口≥16 个；</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 PoE + 供电的端口≥16 个（单端口最大供电功率≥30W，总供电功率满足所有端口同时供电需求）；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3、所有端口支持线速转发，无阻塞交换；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4、支持端口自动翻转（Auto MDI/MDIX）功能，无需区分直通线或交叉线；</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5、支持标准交换、VLAN隔离和网络克隆等至少三种工作模式；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6、支持工作模式切换（可通过物理开关、web 界面或其他方式操作，切换便捷稳定）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7、即插即用，可上机架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（四）机柜6U</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1、外观美观，全框架结构，方便实用，防腐材料涂层；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2、采用旋转式散热风口，外型更美观，散热更好；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3、容积（U）：6U；</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4、高度： ≥368mm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5、宽度： ≥600mm；</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6、深度： ≥590mm。</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幼儿照护智能实训台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一、婴儿教育教学显示台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1.金属箱体外框搭配钢化玻璃防护，外形尺寸需适配 65 英寸显示设备（建议长≥1300mm、深≥190mm、高≥1800mm，内部空间满足显示设备安装及散热需求）。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2.采用符合国家标准的钢板，钢板厚度≥1.5mm，表面经磷化处理后采用热固化粉末静电喷涂工艺（或等效环保喷涂工艺），喷涂膜层需具备耐候性、抗刮花性，且呈现哑光效果，无明显反光影响教学；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二、教学观摩操作台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1.台面采用大理石材质，尺寸约为2100*1190*40mm（满足多人同时操作需求）；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2.操作软垫1个：尺寸约为800*550mm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3.操作台底柜：尺寸约为2150*1280*750mm，柜体含有柜门及抽屉设计，内部空间需适配微波炉、水桶等常用物品存放，布局合理且存取便捷；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4.柜体基材采用厚度≥18mm 的 E0 级环保板材（实木颗粒板或其他同等环保等级板材），板材需具备稳定结构，通过可靠连接工艺（如 U 型纳米微孔吸盘式链接或其他等效工艺）实现饰面层与基材层固定，保障平整度与美观性；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5.板材表面采用厚度≥1.0mm 的环保防火板贴面，边缘搭配厚度≥2mm 的 PVC 封边（或其他等效封边工艺），需具备耐磨、抗刻划、耐高温、易清洁、防水等特性；配备五金件，确保柜门、抽屉开关顺畅，使用寿命长。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人工智能仿真婴儿（含系统）</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numPr>
                <w:ilvl w:val="0"/>
                <w:numId w:val="7"/>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基本参数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1.规格：人工智能仿真婴儿身长和重量与真实的婴儿一致，约身长47-52cm，约重量2500-4000g；</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2.材质：硅胶，无毒，无辐射；</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3.外观：模拟真实婴儿状态，四肢自然弯曲，各主要关节可灵活转动；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二、功能描述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1.人工智能仿真婴儿内置传感器与各配件中智能芯片进行匹配，匹配成功有声音提示；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2.人工智能仿真婴儿内置充电电池，充满后能运行4-5天；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3.人工智能仿真婴儿可与学生实训任务相结合，在领养期间，学生不可自行关闭电源提前结束实训任务；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4.人工智能仿真婴儿体内具备内置传感器，并提供以下不少于10项功能检测。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喂食：演示当婴儿因发生喂奶需求而哭泣时，拿起奶瓶或母乳喂养胸针接触婴儿嘴唇，哭泣声会停止并发出吮吸声音，在喂食过程中，需要与婴儿互动，婴儿会时刻发出愉悦的声音，鼓励继续喂奶直至结束【演示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▲（2）打嗝：演示当婴儿因发生拍嗝需求而哭泣时，抱起婴儿轻轻拍打背部会停止哭泣，发出打嗝声【演示项】；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（3）尿片：当人工智能仿真婴儿因发生换尿布需求而哭泣时，当替换新尿布后会停止哭泣，发出愉悦的声音；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▲（4）摇动：演示当婴儿因发生轻摇安抚需求而哭泣时，抱起婴儿并持续轻摇安抚，哭泣声音会自动停止，发出愉悦声音【演示项】；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（5）头部支撑：婴儿在头部未得到支撑情况下会发出剧烈哭声；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（6）摇晃婴儿：婴儿在受到猛烈摇晃情况下会发出剧烈哭声；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（7）粗暴护理：婴儿在受到猛烈拍打或虐待的情况下会发出剧烈哭声；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（8）错误姿势：婴儿在处于头低脚高的情况下会发出咳嗽声，具有错误睡姿数据记录和数据上传功能；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（9）温度感知：婴儿具有对不同时间段周围温度感知数据记录和数据上传功能；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（10）着装感知：婴儿在不同时间段对外出服、睡衣、连身衣、尿布着装类型感知数据记录和数据上传功能；                                                       </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▲（11）肠绞痛：演示婴儿在肠绞痛的时候，会发出刺耳痛哭声音，照护者需要抱起婴儿用正确的方法对婴儿的腹部进行处理，声音会逐渐消失【演示项】；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▲（12)臀部护理（换尿布）【演示项】：</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女婴换尿布：</w:t>
            </w:r>
            <w:r>
              <w:rPr>
                <w:rFonts w:hint="eastAsia" w:ascii="宋体" w:hAnsi="宋体" w:eastAsia="宋体" w:cs="宋体"/>
                <w:i w:val="0"/>
                <w:iCs w:val="0"/>
                <w:color w:val="auto"/>
                <w:sz w:val="21"/>
                <w:szCs w:val="21"/>
                <w:highlight w:val="none"/>
                <w:u w:val="none"/>
                <w:lang w:val="en-US" w:eastAsia="zh-CN" w:bidi="ar"/>
              </w:rPr>
              <w:t xml:space="preserve">女婴因需要更换尿布而哭泣时，应依据婴儿臀部的生理结构特点，仔细清洁其臀部上残留的排泄物并使用特定的纸巾，按照从前向后的顺序多次擦拭，直至规定时间结束，以防止臀部的细菌污染婴儿的生</w:t>
            </w:r>
            <w:r>
              <w:rPr>
                <w:rFonts w:hint="eastAsia" w:ascii="宋体" w:hAnsi="宋体" w:eastAsia="宋体" w:cs="宋体"/>
                <w:i w:val="0"/>
                <w:iCs w:val="0"/>
                <w:color w:val="auto"/>
                <w:sz w:val="21"/>
                <w:szCs w:val="21"/>
                <w:highlight w:val="none"/>
                <w:u w:val="none"/>
                <w:lang w:val="en-US" w:eastAsia="zh-CN" w:bidi="ar"/>
              </w:rPr>
              <w:t xml:space="preserve">殖器官。清洁工作完成后，应为婴儿的臀部涂抹护臀霜，涂抹方向不受限制，关键是要确保涂抹均匀。在护理过程中，正确的擦拭方式会引发婴儿发出舒适的声音，这反映了婴儿与照护者之间的积极互动；若擦拭方式不当，婴儿则会以哭泣来表达不满。整个护理过程中，内置的传感器和算法会实时向系统反馈并记录关键数据形成照护报告，包括擦拭方向、擦拭次数以及尿布更换等。清洁擦拭完成后，需要为婴儿更换新的尿布，臀部护理操作完毕，婴儿会发出愉悦的声音提示操作结束；换尿布：当婴儿因发生换尿布需求而哭泣时，当替换新尿布后会停止哭泣，发出愉悦的声音；</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男婴换尿布：</w:t>
            </w:r>
            <w:r>
              <w:rPr>
                <w:rFonts w:hint="eastAsia" w:ascii="宋体" w:hAnsi="宋体" w:eastAsia="宋体" w:cs="宋体"/>
                <w:i w:val="0"/>
                <w:iCs w:val="0"/>
                <w:color w:val="auto"/>
                <w:sz w:val="21"/>
                <w:szCs w:val="21"/>
                <w:highlight w:val="none"/>
                <w:u w:val="none"/>
                <w:lang w:val="en-US" w:eastAsia="zh-CN" w:bidi="ar"/>
              </w:rPr>
              <w:t xml:space="preserve">当婴儿因发生换尿布需求而哭泣时，当替换新尿布后会停止哭泣，发出愉悦的声音。</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三、配件明细</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1.外出服1件（内置无线智能芯片）；</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2.睡衣1件（内置无线智能芯片）；</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3.连身衣1件（内置无线智能芯片）；</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4.尿布2块（内置无线智能芯片）；</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5.奶瓶1个（内置无线智能芯片）；</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6.母乳喂养胸针1个（内置无线智能芯片）；</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7.身份识别卡1个（内置无线智能芯片）；</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8.一次性腕带不少于5条；</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9.学生照顾卡1个；</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10.充电器1个。</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四、软件：</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系统支持在线数据模式与本地数据模式切换使用，便于用户进行远程数据管理。</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2、可以通过网页浏览器，统计分析当前学校下所有婴儿的喂养状态、需求命中率等信息，并可通过浏览器在线查看婴儿照护分析报告，生成pdf文档。</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3、可以通过浏览器直接添加绑定婴儿、安排演示任务：实时分析婴儿的照护数据、查看婴儿报告。</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通过系统无线更新智能仿真婴儿固件、软件教学界面内包括：发声、喂食、打嗝、尿片、咳嗽、摇动，可自由设置任务持续时间、间隔时间、顺序和循环次数，可以查看仿真婴儿的ID、电量、通讯和状态，能控制开始示范和停止示范（提供功能截图验证）。</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★5、软件的出生证明界面：模拟真实的《中国出生医学证明》，可直接打印，内容包括有新生儿姓名、性别、出生时间、出生地点、母亲姓名、父亲姓名等（提供功能截图验证）。</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软件看板界面直接通过网页浏览器登录，使用柱状图、饼图等形式显示婴儿总数、活跃数量、报告数量、需求总数、照护日志概览（至少包含温度异常、护理异常、衣着异常等）、护理数据总览（至少包含粗暴护理总数、错失护理总数、正确护理总数、过度摇晃婴儿等）、照护需求统计（至少包含喂奶总数、尿片总数、拍嗝总数、安抚摇晃总数、任务总数）、当前活跃的婴儿（至少包含婴儿编号、婴儿名称、学生、时间）等（提供功能截图验证）。</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7、可随时查看操作报告：照护婴儿的时长、照护时间、正确照护次数与得分情况、错误照护次数与扣分情况、错误照护动作的时间与详情、婴儿的着衣情况、婴儿周围环境温度等。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8、模拟婴儿管理界面功能按钮至少包括：教学模式、实训模式、出生证明、查看报告、停止、保养、日托、删除婴儿等。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9、管理软件操作面板的功能按钮至少包括：选择、BabyID、学生、开始时间、结束时间、电量、通讯、状态等。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10、实训模式界面内包括：课程、学生、模拟婴儿、性别、开始时间、停止时间、日程次序、休息时间等。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11、婴儿报告信息包括：总模拟时间、婴儿哭泣时间、正确护理统计、错误护理统计、总体表现，并可以对报告进行编辑和备注。</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12、控制软件为无线传输装置，可在 15 米内作多只娃娃的遥控与数据传输。</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13、教师可通过操作管理软件系统控制数十个仿真婴儿。婴儿在开机状态下显示可用，教师可激活配置可用婴儿，使其处于活跃状态。</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教学模式下，教学模式下教师可以自己设置每个任务，为学生展示婴儿的哭声、喂食、拍嗝、换尿布、咳嗽等声音或者照护任务。教师可设置照护任务数量、任务出现的顺序、任务间隔时间、单个任务的持续时间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15、教学模式下，可以根据需求设置通信间隔时间和超时尝试次数。</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16、教学模式的演示任务完成后，系统自动出现照护过程的照护报告，显示照护过程中的照护任务情况：照护时间、照护正确数量及得分、照护错误次数及扣分情况、照护错误的具体时间及动作情况。</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17、婴儿在软件设定时可无线使用，可编辑婴儿的身份ID账号，可使用 ID 腕带和婴儿身份识别手环来辨识照顾者与婴儿之间的关系。</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18、实训模式下，教师可通过软件设置照护课程名称、照护任务的起始/终止时间、照护难易度、安静时间、日托时间、数据传输等。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19、实训模式下，可以设置实训课程的名字、婴儿的名字、配置婴儿照护者的ID账号等。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20、教师可查看学生的操作报告：照护婴儿的时长、照护时间、正确照护次数与得分情况、错误照护次数与扣分情况、错误照护动作的时间与详情、婴儿的着衣情况、婴儿周围环境温度等。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21、可添加、编辑、删除、重命名报告文件夹，可下载学生的照护日志，随时掌握学生的实训情况。</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22、内置自我检测程序，可自行检测娃娃的内部装置是否正常，保持婴儿的正常运行。</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仿真婴儿提篮</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提篮主体宜采用天然或人造藤编等轻质透气材料。内衬及填充物应使用柔软、安全、符合国家相关卫生环保标准的材质。提篮应具备透气结构，内部铺垫应舒适。整体设计应考虑对模拟婴儿的包裹与保护。提篮自重约2.5公斤，额定承重不低于15公斤。</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提篮支架</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支架主体应采用木质或具备同等结构强度与稳定性的材质，结构设计应稳固，能够安全、稳定地承托指定规格的仿真婴儿提篮。</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3月龄人工智能仿真婴儿</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numPr>
                <w:ilvl w:val="0"/>
                <w:numId w:val="8"/>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硬件：</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1.模型为婴儿整体人，采用高分子材质，环保无污染，仿真度高，解剖标志明显，四肢关节灵活。</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2.可行胸外按压，可行口对口、口对口鼻人工呼吸，操作正确胸廓有起伏。执行标准符合最新版心肺复苏（CPR）相关行业规范或国际通用指南；</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3.模拟人脸颊、手指、脚趾的紫绀表现随生命体征自动变化，即气道异物梗阻或心脏骤停后，出现紫绀，气道异物解除或复苏成功后，紫绀消失。</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4.CPR过程可实时监测按压、吹气质量，并具有频率引导音。按压过大、过小、吹气过大、过小等有语音提示，前囟门部位有指示灯反馈CPR质量。</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5.可练习胫骨骨髓穿刺，正确穿刺落空感明显，胫骨可更换。</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6.可练习多项基本护理操作，包括婴儿吸痰、吸氧、口腔护理等。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7.模拟人内置锂电池，可不连接电源线使用。</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二、软件：</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1.连接模拟人使用，最多可监测管理30套模型，互不干扰。</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2.软件系统应支持通过网页浏览器或移动应用程序等方式访问，无需复杂安装流程，并兼容常见的移动及桌面操作系统环境。</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3.具备主从机管理功能，支持 1 台主机关联≥10 台从机；主机拥有软件参数设置权限，从机具备基础查看权限。</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4.主机和从机的功能区分</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主机权限：具备模型控制、参数修改权限，可设置跟随模式（从机完全跟随主机切换运行 / 非运行模式）、禁止跟随模式（主从机独立操作，从机仅可观看）、同步跟随模式（从机跟随主机模式切换，且运行模式下每一步操作与主机同步）；</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运行模式：至少包含按压训练、吹气训练、实战演练、考核 4 种模式；</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非运行模式：至少包含参数设置、成绩查看、系统说明 3 种功能；</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5.成绩查看权限：主机可查看所有关联模型的操作成绩；从机在禁止跟随模式下，可查看所有模型的操作成绩；</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6.支持多对多网络管理模式：任一模型可被主机及多个从机查看实时状态，主机或任一从机可同时查看多个模型的实时操作数据；</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7.支持多主机分组管理：同一网络环境下可登录多台主机，每台主机对应一个独立分组，各组操作互不影响；</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8.具备动态域名解析功能，实现域名与模型 IP 的动态绑定，保障远程访问稳定性；</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9.具备自组网搜索功能：软件可自动搜索网络内的模型设备，已被主机登录的模型需显示对应主机 IP 地址；</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10.检测数据需覆盖 CPR 核心操作环节，至少包含意识判断、脉搏检查、口腔异物清理、胸外按压、人工通气等关键指标，检测标准符合最新版行业规范或国际通用指南。</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三、展示台2组：</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1.尺寸：根据现场实际尺寸定制，单组展示台有效使用尺长宽高≥300cm×50cm×200cm；</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2.材质：柜体采用实木多层复合板，柜门采用透明钢化玻璃（支持长虹玻璃等等效透明材质）；</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3.功能要求：单组展示台可容纳≥24 个仿真婴儿模型，柜体配备移动脚轮（方便移动），透明柜门可清晰展示模型且具备防尘功能，延长模型使用寿命。</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9月龄人工智能仿真婴儿</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一、硬件：</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1.模型为 9 月龄婴儿整体仿真人，采用环保无污染的高分子材质，仿真度高、解剖标志清晰，四肢关节活动灵活，满足教学操作需求；</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2.支持海姆立克急救操作练习，操作规范时可模拟气道异物排出效果，同步触发咳嗽声反馈，且紫绀状态随之消失；</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3.可模拟双侧肱动脉搏动，搏动状态随模拟生命体征自动切换（气道异物梗阻或心脏骤停时搏动消失，梗阻解除或复苏成功后自动恢复搏动）；</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4.CPR 操作过程中可实时监测按压深度、频率及吹气质量，配备频率引导音；按压力度 / 频率异常、吹气力度异常时提供语音提示，前囟门部位设指示灯反馈 CPR 操作质量；</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5.支持胫骨骨髓穿刺练习，穿刺时落空感明显，胫骨部件可更换（提供适配更换配件）；</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6.婴儿手臂、腿部设有丰富模拟静脉网，支持静脉注射、输液等操作练习；兼容多种类型穿刺针，穿刺时落空感清晰，操作正确后可模拟回血效果；</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7.支持多项婴儿基本护理操作练习，至少包含吸痰、吸氧、口腔护理等；</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8.内置可充电锂电池，支持脱离电源线独立使用，单次充满电后连续工作时长≥4 小时。</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二、软件：</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1.与模拟人配套使用，可同时监测管理≥30 套模型，多模型运行互不干扰；</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2.软件系统应支持通过网页浏览器或移动应用程序等方式访问，无需复杂安装流程，并兼容常见的移动及桌面操作系统环境；</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3.具备主从机管理功能，支持 1 台主机关联≥10 台从机；主机拥有软件参数设置权限，从机具备基础查看权限；</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4.主机和从机的功能区分：</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主机权限：具备模型控制、参数修改权限，可设置跟随模式（从机完全跟随主机切换运行 / 非运行模式）、禁止跟随模式（主从机独立操作，从机仅可观看）、同步跟随模式（从机跟随主机模式切换，且运行模式下每一步操作与主机同步）；</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运行模式：至少包含按压训练、吹气训练、实战演练、考核 4 种模式；</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非运行模式：至少包含参数设置、成绩查看、系统说明 3 种功能；</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5.成绩查看权限：主机可查看所有关联模型的操作成绩；从机在禁止跟随模式下，可查看所有模型的操作成绩；</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6.支持多对多网络管理模式：任一模型可被主机及多个从机查看实时状态，主机或任一从机可同时查看多个模型的实时操作数据；</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7.支持多主机分组管理：同一网络环境下可登录多台主机，每台主机对应一个独立分组，各组操作互不影响；</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8.具备动态域名解析功能，实现域名与模型 IP 的动态绑定，保障远程访问稳定性；</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9.具备自组网搜索功能：软件可自动搜索网络内的模型设备，已被主机登录的模型需显示对应主机 IP 地址；</w:t>
            </w:r>
            <w:r/>
          </w:p>
          <w:p>
            <w:pPr>
              <w:numPr>
                <w:ilvl w:val="0"/>
                <w:numId w:val="0"/>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10.检测数据需覆盖急救核心操作环节，至少包含意识判断、脉搏检查、口腔异物清理、胸外按压、人工通气等关键指标，检测标准符合最新版心肺复苏（CPR）相关行业规范或国际通用指南。</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高级儿童心肺复苏模拟人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支持标准气道开放操作，开放角度符合最新心肺复苏相关行业规范或国际通用指南；</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具备人工胸外按压位置与强度检测及反馈功能：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按压位置正确 / 错误通过指示灯显示，错误操作触发报警提示；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按压强度在 4~5cm（符合儿童群体适配标准）时显示正确指示灯，＜4cm 时显示错误指示灯并触发报警；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具备人工口对口呼吸（吹气）检测及反馈功能：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吹入潮气量＜150ml 或＞200ml 时，显示错误指示灯并触发报警；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吹入潮气量在 150ml~200ml 之间时，显示正确指示灯；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吹入潮气量过快或过量导致气体进入胃部时，显示对应指示灯并触发报警；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支持按压与人工呼吸比例调节，至少包含单人 30:2、双人 15:2 两种模式，满足不同教学场景需求；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支持 CPR 循环操作训练，可完成按压与人工吹气 30:2 或 15:2 的五个循环周期操作；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胸外按压操作频率符合最新国际标准，范围为 100-120 次 / 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支持多种操作模式，至少包含训练模式（可扩展考核模式等，满足教学全流程需求）；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具备肱动脉搏动模拟功能，可通过手动或自动方式触发搏动反馈，模拟真实急救场景；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供电方式：支持 220V 交流电源供电，配备稳压装置，输出电源符合设备安全运行要求（如 6V 及等效安全电压），保障操作安全；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标准配置：高级复苏儿童人体模型 1 具；牛津收纳袋 1 个；控制器 1 台、电源数据线 1 条；复苏操作垫 1 条；屏障面膜 1 盒（每盒不少于 50 张）；可换肺囊装置不少于 4 套；可换面皮 1 只；含保修卡、合格证、使用说明书、急救手册各 1 份；配备服装不少于 2 套。</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硅胶婴儿模型</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1.尺寸：身高≥45cm，座高≥30cm（符合婴儿模型常规教学使用尺寸，适配护理操作场景）；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2.材质：采用环保无毒硅胶材质，无异味、无刺激性；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3.功能：质感柔软逼真，贴合婴儿肌肤触感；四肢关节灵活，可自由活动且符合婴儿生理曲度，支持护理操作练习（如穿衣、洗澡、抚触等）；整体可水洗，易清洁消毒；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4.配备服装：不少于 2 套，服装材质为纯棉等透气环保面料，尺寸与模型适配，方便穿脱。</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幼儿教学模型</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1.尺寸：身高 85-90cm（符合幼儿教学场景常规尺寸，适配教学操作需求）；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2.材质：采用环保无毒硬塑胶材质，无异味、无刺激性，符合国家相关安全标准（如 GB 6675 系列玩具安全标准）；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3.功能特点：比例贴合真实幼儿身材，可适配 90 码左右服装，脚长约 12.5cm；模型可独立坐姿，在外物辅助下可实现站立；头部、手肘、膝盖部位设有可灵活转动的关节，支持教学演示中的姿态调整；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4.配套要求：配备假发 1 顶（材质柔软透气，贴合模型头部）；配备服装不少于 2 套，服装材质为纯棉等透气环保面料，尺寸与模型适配，方便穿脱。</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婴儿沐浴池</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沐浴池（含左右组件）粉色、尺寸约：100cm×80cm×85cm（高）；内腔规格≥800mm×520mm×260mm（深）。台面及功能背板采用高分子复合材料（同等材质均可），通过分段式一体吸塑成型工艺制作，台面及功能背板板厚≥4mm，保障结构强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2.池下设收纳柜，柜门及柜体材质 台面支架采用全304不锈钢材质，高度设计符合人体工程学要求：柜体采用两段式功能区倾斜设计，有效防止工作疲劳。柜内采用防腐防潮材质（如 PVC 或等效环保材质），提供储物的必要空间。柜门采用钢化玻璃（支持喷塑工艺）。给水系统：配备长颈伸缩式花洒淋浴水龙头，材质为 SUS304 不锈钢，满足安全供水需求；排水系统：采用 304 不锈钢下水器，搭配 PVC 钢丝排水软管及 PVC-U 排水管及管件，排水顺畅、防堵塞。</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婴儿游泳池</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功能：支持气泡、冲浪功能，满足婴儿游泳教学及实训需求，气泡与冲浪强度可调节；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颜色：内腔为白色，外部支持粉色或其他适合婴儿场景的柔和色系，可视玻璃采用透明或粉色等适配色系；</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材质：池体采用 A 级洁具专用亚克力材质（或同等环保洁具材质），具备耐腐蚀、易清洁、无异味特性，符合国家相关安全标准；可视面采用安全钢化玻璃（支持粉色或透明色系），保障观察清晰度与使用安全；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配置要求：配套花洒、冷热水混合开关，支持水温调节，满足安全供水需求；具备上下进排水功能，排水顺畅无残留；包含全套五金配件及安装服务（含安装工费），确保设备正常安装使用；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尺寸：外径约 110cm×86cm×91cm，内径≥84cm×71cm×70cm，为单人使用规格，满足婴儿游泳操作空间需求。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1.材质：面板采用安全钢化玻璃，耐磨易清洁；柜体内外采用食品接触级不锈钢材质（如 304 不锈钢或同等材质），无异味、耐腐蚀，符合国家食品安全相关标准；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2.容量：有效消毒容量≥290L，满足教学场景下多件婴儿护理用品、模型配件等消毒需求；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3.功能：支持臭氧消毒 + 中温热力烘干组合功能，消毒温度可达 125℃（高温消毒模式）；配备不锈钢收纳架≥5 层，支架高度可调节，适配不同尺寸物品；上下舱独立控制，支持中温烘干单独运行，可自定义定时功能；具备超温保护、门控断电功能（柜门未关严时无法启动消毒程序），避免安全隐患。</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托育机构幼儿鞋柜</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定制要求：支持根据现场实际需求定制尺寸及细节，适配托育机构教学场地布局；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尺寸：参考尺寸为总高≥100cm、长≥200cm、宽≥20cm，每格内部尺寸≥15cm（高）×20cm（宽），层板厚度≥1cm，满足幼儿鞋子存放空间需求；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材质：柜体、柜背板及隔层采用纯实木材质（榉木、桦木、橡木或其他同等环保实木），无异味、结构稳定；木材及加工辅料（油漆、胶水等）符合国家环保标准；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样式与设计：采用格子式分区设计（十字格板或其他等效分区样式），便于分类存放幼儿鞋子；颜色为原木色或其他适合幼儿场景的环保安全色系，表面无尖锐棱角（做圆角处理），避免磕碰风险；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柜门与配件：柜门采用向外开放式设计，开合顺畅；配备儿童专用门把手（圆润无凸起、易抓握），具体规格可根据实际需求优化定制。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智慧讲台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1.桌板基材：厚度≥25mm，采用饰面刨花板（或同等环保等级板材），甲醛释放量≤0.5mg/m³；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2.桌板贴面：三聚氰胺纸饰面，具有易清洗、防划痕等特性；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3.桌板封边：高品质聚氯乙烯，不易断裂，热溶胶工艺；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4.桌脚：采用壁厚≥2.0mm 的一级冷轧钢制桌脚及桌架，桌架最大均布载荷≥120KG，升降行程≥650mm，升降调节顺畅、锁定可靠；</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5.前挡板：钢制前挡板，要求色泽饱满，附着力强，涂层不易划损，固定于桌板下方；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6.线路管理：配备隐蔽式走线管及走线防护装置（如坦克链或其他等效防护部件），实现线路规整收纳，避免线缆杂乱磨损；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7.插座：桌面配备夹具式模块化插座，标配强电接口≥3 个、弱电接口≥2 个、USB 充电接口≥2 个；强电接口符合新国标五孔标准，线材采用≥1.5mm² 且具备 3C 认证的合格线材；弱电接口含六类（CAT6）网络直通头，支持稳定数据传输，其他弱电采用通用直通头连接；插座外框采用铝型材，表面处理（如黑色酸碱磨砂、本色酸碱磨砂等）需耐磨防腐蚀；配套快接线净长≥500mm，支持快接电源线搭配使用，满足现场布线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教具</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材质：接触面采用皮革或同等舒适亲肤的环保材质，框架采用高强度环保塑胶，内部填充高密度海绵（回弹性能优异）；所有材质无异味、无刺激性，符合国家相关环保标准；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尺寸：整体尺寸约 640mm×540mm×（940-1150）mm（高度可调节），椅背高度≥50cm，满足教学场景下不同身高使用者需求；支持配置黑白尼龙脚或其他同等材质脚架，滚轮采用耐磨静音材质（黑色或其他适配色系），移动顺畅无噪音；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功能：座椅舒适亲肤、海绵回弹率高，久坐不塌陷；椅背采用 PP 材料或同等高强度材质，支撑性强，安全稳固；椅子支架采用喷涂工艺处理，防锈耐腐蚀、承重性能优异（最大承重≥120KG），经久耐用；支持高度调节功能，后背可放倒（放倒角度满足休息或辅助教学需求），调节过程顺畅、锁定可靠。</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展示台</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1.尺寸：参考尺寸 600mm×800mm×1166mm（或根据现场需求定制，核心规格需适配 22U 设备安装）；</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2.材质：防空梁与安装梁采用指纹敷铝锌板或同等防锈耐腐蚀的金属材质；其余部件采用 SPCC 冷轧钢板或同等强度的钢材，确保结构稳固；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3.颜色：黑色或其他适合教学展示场景的耐脏色系，表面无明显色差；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4.厚度：方孔条厚度≥2.0mm，安装梁厚度≥1.5mm，其余部件厚度≥1.2mm，保障承重与结构强度；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5..表面处理：采用脱脂、陶化、静电喷塑工艺（或其他等效环保表面处理工艺），涂层均匀、附着力强、耐划损、防腐蚀；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6.防护等级：≥IP20，有效防尘，保护内部设备；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7.功能：容量为 22U（1U=44.45mm）；配备可开启门锁，具备防盗防尘功能，门锁开关顺畅、锁定可靠。</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千兆交换机</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端口配置：配备 10 个 10/100/1000 Mbps 自适应以太网接口，其中支持 PoE 供电的固定接口≥8 个，满足终端设备供电与数据传输需求；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PoE 协议：兼容 IEEE 802.3af、IEEE 802.3at 标准，可自动识别 PoE 受电设备并匹配供电模式；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PoE 单端口最大供电功率：≥30W，支持大功率终端设备（如无线 AP、摄像头等）稳定供电；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PoE 整机最大供电功率：≥80W，满足同时给多台 PoE 设备供电的总功率需求；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PoE 供电线序：支持 12+,36 - 线序供电（兼容受电设备线序标准），供电稳定无中断；</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交换容量：≥20Gbps，保障多端口同时传输数据无阻塞；</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包转发率：≥14.88Mpps，满足千兆网络数据高速转发需求；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尺寸：参考尺寸 190mm×150mm×43mm（支持桌面式或机架式安装，适配教学场景部署需求）；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网络路由器</w:t>
            </w:r>
            <w:r/>
          </w:p>
        </w:tc>
        <w:tc>
          <w:tcPr>
            <w:shd w:val="clear" w:color="auto" w:fill="ffffff"/>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传输速率：端口支持 10/100/1000Mbps 自适应传输，满足千兆网络数据高速转发需求；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VPN 功能：支持 IPSec VPN、GRE VPN、SSL VPN 等 VPN 协议，保障远程访问的安全性与稳定性；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网络管理：支持多种管理方式，至少包含 APP 管理、远程管理、WEB 页面管理、命令行管理中的 3 种及以上；具备上网行为管理功能（可管控网站访问、应用使用等），支持无线 AP 统一管理（含配置同步、状态监控、固件升级）；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端口配置：配备 SFP 光口≥2 个、千兆以太网口≥8 个（含 WAN 口、LAN 口，端口类型可灵活配置），满足多设备接入与光纤组网需求；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尺寸：参考尺寸 442mm×200mm×44mm（支持机架式安装，符合标准机柜规格，适配教学场景机房部署）；</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一、分配器(四进一出）1台，由主机和遥控器组成：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1.材质：采用金属外壳，具备良好散热性与抗干扰性，结构坚固耐用；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2.分辨率：支持最高 1080P@60Hz 分辨率传输，向下兼容 720P、480P 等更低分辨率，满足不同显示设备适配需求；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3.传输方向：四进一出，支持 4 路 HDMI 信号输入、1 路 HDMI 信号输出，可实现多信号源切换输出；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4.接口：配备标准 HDMI 接口（输入接口≥4 个、输出接口≥1 个），接口镀金处理优先，接触良好、传输稳定；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二、分配器(一进十六出）1台，主机：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1.材质：采用金属外壳，散热性能优良，抗电磁干扰，经久耐用；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2.分辨率：支持最高 1080P@60Hz 分辨率传输，向下兼容各类低分辨率，适配多台显示设备同步显示；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3.传输方向：一进十六出，支持 1 路 HDMI 信号输入、16 路 HDMI 信号同步输出；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4.接口：配备标准 HDMI 接口（输入接口≥1 个、输出接口≥16 个），接口接触可靠，支持热插拔；</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数字红外无线教学扩声系统主机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内置 24Bit A/D、D/A 转换器及 24 位 DSP 处理器，采样率≥48KHz，采用高速浮点运算技术，保障音频信号高保真处理；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具备自适应环境啸叫抑制（AFC）、背景噪声抑制（ANS）功能：传声增益提升幅度≥12dB，信噪比提升≥18dB，有效降低教学环境干扰；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支持智能双向电平控制（AGC）技术，输出语音清晰、持续，电平无明显波动，适配不同音量的教学发言；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具备 AR 智能调整功能，支持免人工调试，快速适配教学场地声学环境；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内置数字压限器，可抑制突发大声压信号，避免喇叭设备损坏；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支持多级背景噪声阈值调整，可精准过滤不需要的环境噪声，提升语音清晰度；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内置 DSP 处理器，具备高通滤波功能及 10 段数字均衡器，可精准调节声场均衡补偿，适配不同教学场地声学特性；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配备麦克风输入接口≥5 路，采用卡农（XLR）接口，支持 48V 幻象电源供电；具备多麦同时使用技术，多麦工作时无啸叫、无丢字、无卡顿，声场覆盖均匀；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调试与控制接口：支持串口、USB 调试，面板支持参数锁定功能（防止误操作）；可通过电脑 PC 界面进行参数调节，兼容中控系统；支持话筒总音量（-80~0dB）、音乐总音量（-80~0dB）独立调整，具备参数锁定与保存功能；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5 路麦克风输入中含 1 路无线话筒专用输入通道，每路支持独立灵敏度调节及外置静音开关（可放置于讲台，方便教学操作）；支持 0dB-70dB 音量调节，配备分贝数指示灯显示，静音功能开启时不影响录音效果；每路 MIC 独立 48V 幻象电源开关，兼容鹅颈麦克风，且支持鹅颈麦独立电源开关控制；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供电与功放：采用开关电源供电，内置 D 类数字功放，具备延时保护、中点电压保护、短路过流保护功能，配备散热风扇；功率放大器输出功率≥4×150W，单台主机最多可驱动 8 只音箱，保障扩声覆盖效果；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12.</w:t>
            </w:r>
            <w:r>
              <w:rPr>
                <w:rFonts w:hint="eastAsia" w:ascii="宋体" w:hAnsi="宋体" w:eastAsia="宋体" w:cs="宋体"/>
                <w:i w:val="0"/>
                <w:iCs w:val="0"/>
                <w:color w:val="auto"/>
                <w:sz w:val="21"/>
                <w:szCs w:val="21"/>
                <w:highlight w:val="none"/>
                <w:u w:val="none"/>
              </w:rPr>
              <w:t xml:space="preserve">音频接口：配备立体声输入≥2 组、录音音频输出 1 路、立体声输出 1 路；支持音乐信号开启时自动关闭吊麦功能，第 4 路话筒具备优先功能；配备单独话筒静音接口，可外接开关控制。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数字红外接收器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工作频段范围：UHF 640-690MHz，符合国家无线电管理规定，抗电磁干扰性能强；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采用 PLL 锁相环技术及高精度石英晶体，搭配微电脑单片机控制，频率稳定度≤±10PPM，保障信号传输稳定；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具备红外对频（同步）功能，操作便捷，可快速实现发射器与接收器频率匹配；</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支持数码 ID 导频技术，可彻底杜绝同频段干扰及窜频现象，保障多设备同时使用时信号纯净；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内置三路与逻辑自动静音电路及冲击消除电路，有效避免设备开关机时的电流冲击与噪音；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支持发射功率、静噪门限可调，二者配合可灵活控制信号传输距离，适配不同大小的教学场地；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采用双升压电路设计，电池电压下降时仍能保持稳定发射性能，延长续航使用时间；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拾音灵敏度高，音频频响范围 40Hz-18KHz，音质清晰自然，满足教学讲话、演示等扩声需求；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控制与接口功能：支持控制电源时序器开关，配备灯光控制口≥1 路、会议灯牌控制口≥1 路、LED 屏控制口≥1 路；配备 RS-232 控制接口≥2 路，可用于外接设备音量调节及视频切换控制；支持语音反馈监听接口≥2 组，线路输入接口≥1 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兼容自动摄像跟踪功能：可连接高清摄像机实现发言者自动跟踪拍摄，适配视频教学、会议录制场景；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支持多设备叠机使用，允许多个话筒同时工作，无啸叫、无信号冲突，满足多人协作教学需求。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一进四出网口分路器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核心功能：专为红外接收器扩展设计，通过网线稳定传输信号，实现单路信号接入、多路红外接收器并行连接，保障多接收器协同工作时信号无延迟、无丢包。</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端口规格：≥1 路 RJ45 信号输入端口，≥4 路 RJ45 信号输出端口，端口兼容常规网线插拔，接口紧固不易松动，适配教学场景频繁调试使用需求。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传输性能：支持 10/100/1000Mbps 自适应传输速率，兼容红外接收器的信号传输带宽需求，搭配 Cat5e 及以上规格网线使用，可避免信号衰减，保障远距离传输稳定性。</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信号处理：具备基础信号抗干扰能力，内置信号放大模块，减少多设备连接时的信号串扰，确保各红外接收器接收信号纯净，无杂波干扰。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使用便捷性：采用即插即用设计，无需安装额外驱动程序，无需复杂参数配置，非专业人员也可快速完成红外接收器与分路器的连接调试。</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硬件防护：采用金属外壳材质，兼具耐磨、抗摔特性，同时提升散热性能，避免长时间工作因过热导致设备故障；端口具备防插拔损耗设计，延长设备使用寿命。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适配兼容性：兼容教学场景常用各类数字红外接收器，可通过级联方式进一步扩展输出端口数量，适配不同规模教室、会议室的红外接收设备部署需求。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供电设计：支持直流低压供电，具备过压、过流保护功能，避免电压波动损坏设备及连接的红外接收器，保障教学场景用电安全。</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数字红外无线麦克风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频率范围：UHF 640-690MHz，符合国家无线电管理相关规定，抗电磁干扰性能强；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调制方式：宽频 FM 调制，保障音频信号传输的稳定性与保真度；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可调频率范围：≥50MHz，支持多通道灵活切换，适配多设备同时使用场景；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通道数目：2×100 通道（共 200 个可选通道），支持多组麦克风同时工作，无窜频干扰；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频率稳定度：≤±0.005%，搭配高精度晶振，确保信号传输稳定无漂移；</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动态范围：≥100dB，音频动态表现优异，可清晰还原教学讲话细节；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最大频偏：±35KHz，符合音频传输标准，避免信号失真；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音频频响：40Hz-20000Hz，覆盖人耳可听范围，音质清晰自然，适配教学发言、演示等需求；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信噪比：＞60dB，有效过滤环境噪声，提升语音清晰度；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综合失真：≤0.5%，失真度低，保障音频信号高保真还原；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工作温度：-10℃~+50℃，适应不同教学环境温度，稳定运行；</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12.</w:t>
            </w:r>
            <w:r>
              <w:rPr>
                <w:rFonts w:hint="eastAsia" w:ascii="宋体" w:hAnsi="宋体" w:eastAsia="宋体" w:cs="宋体"/>
                <w:i w:val="0"/>
                <w:iCs w:val="0"/>
                <w:color w:val="auto"/>
                <w:sz w:val="21"/>
                <w:szCs w:val="21"/>
                <w:highlight w:val="none"/>
                <w:u w:val="none"/>
              </w:rPr>
              <w:t xml:space="preserve">有效使用距离：60-100 米（空旷环境），满足大中小各类教室的扩声覆盖需求；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有线麦克风</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采用专业级电容传声技术，指向性精准、音质清晰柔和、灵敏度高、动态范围宽，适配教学发言、演示等场景；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配备轻触式开关，开机后有灯光提示，方便直观判断工作状态；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操作便捷灵活，兼容播音、会议扩音、舞台拾音及教学授课等多种场合使用；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接口类型：采用 3 针 XLR（卡农）公插座输入接口，接触可靠，传输稳定；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供电方式：支持 48V 幻象供电，兼容教学扩声系统主机；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配备话筒开启指示灯，工作状态一目了然，便于教学过程中查看；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单鹅颈话筒长度：≥400mm，可灵活调整拾音角度，适配桌面使用场景；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咪芯类型：驻极体电容式，拾音性能稳定，还原真实语音；</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指向性：单指向性，有效降低环境噪声干扰，提升语音清晰度；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有效拾音距离：20-50cm，满足教师坐姿、站姿授课时的拾音需求；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安装方式：桌面式安装，配备稳固底座，防止教学过程中倾倒；</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线阵列音柱</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系统类型：4 单元式高性能线阵列全频音箱，采用线阵列声学设计，声场覆盖均匀，适配教学场地扩声需求；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额定功率：≥150W，保障教学场景足够扩声音量；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峰值功率：≥600W，具备充足功率储备，应对突发大声压需求；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标称阻抗：8Ω，兼容教学扩声系统主机，匹配性良好；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标称灵敏度（1W@1m）：≥95dB，灵敏度高，小功率输入即可实现清晰扩声；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最大声压级：≥117dB，满足大教室、阶梯教室等场地的扩声覆盖需求；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频率带宽：90Hz—20KHz，频响范围宽广，还原清晰自然的语音与音乐信号；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标称指向性（-6dB）：120°H×120°V，指向性合理，确保教学场地内无扩声死角；</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换能器配置：搭载 4 只 4″全频驱动器，发声单元性能稳定，保障音质输出；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rPr>
              <w:t xml:space="preserve">采用二路分频设计，分频器经专业扬声器测试系统调校检测，音质清晰自然，语音还原度高，适配教学发言场景；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11.</w:t>
            </w:r>
            <w:r>
              <w:rPr>
                <w:rFonts w:hint="eastAsia" w:ascii="宋体" w:hAnsi="宋体" w:eastAsia="宋体" w:cs="宋体"/>
                <w:i w:val="0"/>
                <w:iCs w:val="0"/>
                <w:color w:val="auto"/>
                <w:sz w:val="21"/>
                <w:szCs w:val="21"/>
                <w:highlight w:val="none"/>
                <w:u w:val="none"/>
              </w:rPr>
              <w:t xml:space="preserve">箱体结构：采用多层复合夹板或高密度纤维板构造，经水性环保喷涂处理，配备多种吊挂点，安装操作简易快捷；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12.</w:t>
            </w:r>
            <w:r>
              <w:rPr>
                <w:rFonts w:hint="eastAsia" w:ascii="宋体" w:hAnsi="宋体" w:eastAsia="宋体" w:cs="宋体"/>
                <w:i w:val="0"/>
                <w:iCs w:val="0"/>
                <w:color w:val="auto"/>
                <w:sz w:val="21"/>
                <w:szCs w:val="21"/>
                <w:highlight w:val="none"/>
                <w:u w:val="none"/>
              </w:rPr>
              <w:t xml:space="preserve">箱体材质：高密度纤维板，表面采用雨点漆面处理，耐磨耐脏，适配教学环境频繁使用；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13.</w:t>
            </w:r>
            <w:r>
              <w:rPr>
                <w:rFonts w:hint="eastAsia" w:ascii="宋体" w:hAnsi="宋体" w:eastAsia="宋体" w:cs="宋体"/>
                <w:i w:val="0"/>
                <w:iCs w:val="0"/>
                <w:color w:val="auto"/>
                <w:sz w:val="21"/>
                <w:szCs w:val="21"/>
                <w:highlight w:val="none"/>
                <w:u w:val="none"/>
              </w:rPr>
              <w:t xml:space="preserve">箱体尺寸：参考尺寸 W135mm×D155mm×H535mm（允许 ±5mm 误差，不影响安装与使用）；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14.</w:t>
            </w:r>
            <w:r>
              <w:rPr>
                <w:rFonts w:hint="eastAsia" w:ascii="宋体" w:hAnsi="宋体" w:eastAsia="宋体" w:cs="宋体"/>
                <w:i w:val="0"/>
                <w:iCs w:val="0"/>
                <w:color w:val="auto"/>
                <w:sz w:val="21"/>
                <w:szCs w:val="21"/>
                <w:highlight w:val="none"/>
                <w:u w:val="none"/>
              </w:rPr>
              <w:t xml:space="preserve">颜色：默认黑色，支持其他适合教学场景的耐脏色系定制；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15.</w:t>
            </w:r>
            <w:r>
              <w:rPr>
                <w:rFonts w:hint="eastAsia" w:ascii="宋体" w:hAnsi="宋体" w:eastAsia="宋体" w:cs="宋体"/>
                <w:i w:val="0"/>
                <w:iCs w:val="0"/>
                <w:color w:val="auto"/>
                <w:sz w:val="21"/>
                <w:szCs w:val="21"/>
                <w:highlight w:val="none"/>
                <w:u w:val="none"/>
              </w:rPr>
              <w:t xml:space="preserve">单只重量：约 6kg，轻便易安装，降低场地部署难度；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16.</w:t>
            </w:r>
            <w:r>
              <w:rPr>
                <w:rFonts w:hint="eastAsia" w:ascii="宋体" w:hAnsi="宋体" w:eastAsia="宋体" w:cs="宋体"/>
                <w:i w:val="0"/>
                <w:iCs w:val="0"/>
                <w:color w:val="auto"/>
                <w:sz w:val="21"/>
                <w:szCs w:val="21"/>
                <w:highlight w:val="none"/>
                <w:u w:val="none"/>
              </w:rPr>
              <w:t xml:space="preserve">适用场景：兼容会议室、多功能厅等场地，重点适配教室、阶梯教室等教学场景扩声需求；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2.4G话筒</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1.工作参数：使用 2.400-2.483GHz ISM 频段，采用 GFSK 调制方式，符合国家无线电管理相关规定；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2.对频与使用距离：开机自动进入对频状态，对频成功后自动开启拾音，无需人工干预；空旷环境有效使用距离＞30 米，满足常规教室、阶梯教室使用需求；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3.抗干扰设计：拓展多个 2.4G 信道，可有效避开 WIFI、蓝牙等 2.4G 频段信号干扰，保障教学场景信号稳定；</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4.音频采样：采用 48kHz/16bit 采样率，音频传输音质清晰，满足教学讲话高品质输出要求；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5.功率调节：内置近距离对码功率调节功能，支持 4 档功率可调，适配不同大小教学场地；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6.佩戴与输入方式：无线麦克风发射器采用内置麦克风设计，支持头带话筒输入，可手持、可头带佩戴，适配教师走动授课等多样教学姿态；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7.音频输入：配备 AUX 3.5mm 音频输入接口，可无线传输立体声音频至接收端，丰富教学音频来源；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8.静音功能：支持话筒一键静音，静音状态下 AUX 3.5mm 音频输入接口仍可正常传输音频，不影响教学音频播放；</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9.防啸叫功能：内置防啸叫模块，采用移频、陷波双自动防啸叫算法，在保障拾音距离的同时，有效抑制教学场景啸叫声；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10.混响功能：内置混响功能，混响级别可调，可提升讲话音质，避免声音干涩、吃力，优化教学扩声效果；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11.音量控制：无线麦克风发射机自带音量调节按键，可灵活调整输出音量，适配不同教师使用习惯；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12.激光教鞭：配备激光教鞭功能，关机状态下仍可使用，方便教学过程中重点标注；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13.PPT 翻页：支持 PPT 翻页功能，连接 USB 接收器即可实现，USB 模块支持热插拔，无需安装驱动程序，操作便捷；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14.显示功能：配备点阵液晶（LCD）显示屏，可清晰显示当前音量、频道、电池容量、充电状态等信息，方便实时查看；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15.多场景兼容：同一支无线麦克风可在任意教室跨场景使用，多设备同时工作互不干扰，实现 “一师一麦”，干净卫生环保；</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16.充电设计：采用底座充电模式，内置强磁，贴近自动吸附，保障充电接触良好；同时支持 MICRO USB 充电，适配多种充电场景；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17.外观工艺：采用砂岩黑手感漆工艺，握持手感舒适，耐磨防汗，适配教学高频使用；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18.接收器输入：接收器支持 2 路音频输入，配备 3.5mm 与 6.35mm 音频输入接口，兼容多种音频设备接入；</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19.接收器输出：支持 3 路音频输出，配备 3.5mm、6.35mm、RCA 莲花座音频输出接口，适配不同教学扩声设备；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20.扩展接口：配备 USB 接口与 PPT 控制接口，满足教学演示扩展需求；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21.供电与续航：发射器采用内置可充电电池，并配套便捷的充电方案，接收器支持宽电压电源输入（AC 100-240V）；</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电源时序管理器</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端口配置：配备 8 路受控万用插座、2 路直接输出万用插座，兼容各类教学设备插头（如国标两孔、三孔），满足多设备供电需求；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时序控制：内含微控制器，支持 1-8 路顺序开机、8-1 路逆序关机，避免多设备同时启停造成的电网冲击，保护教学设备；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监测与保护：配备 1 路空气开关，搭载显示屏实时显示输入电压，方便直观监控供电状态；</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负载能力：单个通道最大负载功率≥2200W，所有通道总负载功率≥6000W，适配教学扩声、显示等多设备同时运行的功率需求；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报警级联：远程控制有效时，后板 ALARM（报警）端口导通，支持多台设备级联报警，便于集中管理故障；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控制与扩展：配备 1 路 RS232 控制接口，可外接中控或其他控制设备发送指令控制；含 2 路叠机级联接口，支持多台设备扩展，适配大型教学场地；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安全保护：配置零火线双控断路器，具备过流保护（63A 短路保护）功能，有效防止短路、过流等电路故障，保障用电安全；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集中控制：支持远程集中控制，每台设备自带设备编码 ID 检测与设置功能，可实现多设备精准分组控制；</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1.硬件架构与安装：采用一体化嵌入式硬件设计，支持壁挂式安装，节省教学场地空间；内置国产化八核处理器，搭载 Linux 系统，配置内存≥8GB、硬盘≥1TB，保障多任务运行与海量课程存储；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2.核心功能：集成录制、直播、点播、互动、导播管理、存储、切换、视音频编码、语音转写、虚拟抠像、行为分析功能；支持远程互动教学，可搭建远程互动网络课堂，适配线上线下混合教学场景；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3.显示与操作：配备≥17 英寸电容触控液晶屏，表面采用防指纹涂层工艺，无需外接显示设备；支持直接在主机查看、播放已录制视频，可通过 U 盘快速拷贝课程资源，操作便捷；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4.手势控制：支持多指智能手势识别息屏功能，可在触摸屏任意位置通过触摸操作关闭或开启屏幕背光，降低教学过程中屏幕反光干扰；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5.视频接口：支持 HDMI 输入接口≥2 路、HDMI 输出接口≥3 路；其中≥1 路输出本地画面、≥1 路输出合成画面、≥1 路支持自定义视频源与分辨率输出，适配多摄像机接入与多显示设备部署；</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6.音频接口：配备线性输入≥1 路、3.5mm 音频输入≥1 路、线性输出≥1 路、3.5mm 音频输出≥1 路，兼容教学扩声系统、麦克风等音频设备，保障音视频同步采集与输出；</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7.控制接口：支持 RS232 控制接口≥2 路，可外接中控、摄像机等设备，实现集中控制；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8.扩展接口：配备 TYPE-C 接口≥1 路、USB3.0 接口≥3 路；支持连接鼠标、键盘进行导播控制，可通过 U 盘录制或下载课程视频，兼容外接光驱刻录光盘，满足多种课程备份需求；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9.音频播放：内置≥2 个 5W 扬声器，可清晰播放本地视频声音，方便即时查看录制音频效果；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10.网络接口：支持 RJ45 网口≥5 路，其中 POE 网口≥4 路，集供电、控制、视频传输于一体；支持摄像机智能组网，即插即用，简化教学场地布线与设备部署；</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11.视频编码：兼容 H.265、H.264 视频编码协议，编码效率高、画质清晰；支持 4K 分辨率（3840*2160）视频编码与录制，满足高清课程制作需求；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12.网络兼容：支持 IPv4、IPv6 链路地址、IPv6 外网地址配置，可启用 DHCP 自动获取 IP 地址，适配不同校园网络环境；</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13.散热设计：内置散热风扇，支持自定义风扇转速，保障主机长时间稳定运行，适配教学场景连续录播需求；</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智能导播管理平台</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一、基础登录与录制配置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支持账号密码登录，提供电影模式、资源模式等录制选项；支持≥1 路电影模式 +≥6 路资源备份，可同步录制合成画面、教师全景 / 特写、学生全景 / 特写、板书画面、电脑画面，完整覆盖教学场景采集需求。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录制格式兼容 MP4、FLV、TS 等格式，录制分辨率支持 4K（3840×2160）、1080P（1920×1080）等；帧率可选择 25fps/30fps，码流支持 1000-20000kbps 手动调节，适配不同网络带宽与存储需求。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二、界面监控与便捷操作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实时显示录播主机 CPU 使用率、硬盘占用情况，支持≥6 路画面预监，可自定义通道名称，同步显示摄像机电量；具备自动息屏功能，支持自定义息屏时长，降低能耗与反光干扰。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支持手指点控操作，导播功能包含视频预览、直播输出监视、视频切换，手指拖动切换时支持导播小画面定位跟随，操作直观高效。</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支持屏幕亮度、设备输入输出音量调节，均采用手指拖动方式操作，适配教学过程中快速调整需求。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系统内置虚拟软键盘，支持中文、英文、数字、特殊符号输入，无需外接 USB 键盘，操作更便捷。</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三、字幕与视觉效果定制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支持添加字幕，含系统时间（自动校准）等 9 种预设样式，可拖拽自定义显示位置；提供≥9 种字体大小、≥8 种字体颜色、≥8 种字体背景颜色选择，满足教学字幕个性化需求。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支持添加≥4 种片头、≥4 种片尾（格式兼容 jpg、png），可设置插入时长；台标支持左上、右上、左下、右下 4 个固定位置，也可手动拖拽至任意位置，适配学校品牌展示需求。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提供上滑、下滑、左滑、右滑等切换特效，支持≥8 种</w:t>
            </w: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特效切换速度自定义选择，优化视频观看体验。</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四、导播与画面布局控制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导播模式支持手动、半自动、全自动，含自动轮巡模式，可自定义轮巡画面与间隔时长，适配不同教学场景导播需求。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支持会议导播模式，开启后可根据会议麦克风发言自动切换视频画面预置位，适配多人研讨教学场景。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提供单画面、双分屏、三分屏、四分屏等多种布局模式，支持画面叠加组合；可通过手指触控拖动替换多分屏画面，切换时支持导播小画面定位跟随。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支持自定义布局，多个视频图层可自由叠加组合，可拖拽调整画面窗口、更改布局背景与边框颜色，适配个性化教学展示需求。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支持摄像机云台触控控制，可实现变焦、上下左右移动及≥8 个预置位设置，快速定位教学重点区域。</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五、录制存储与备份管理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支持录制倒计时、循环录制功能，硬盘存储空间满时自动删除最早视频文件，确保持续录制；支持录制至本地硬盘或 U 盘，满足灵活存储需求。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录制视频可通过 FTP 上传至平台，支持本地点播回放，可通过移动磁盘、硬盘拷贝下载；支持本地文件重命名，具备视频回收站功能（文件保留≥7 天后自动删除），降低误删风险。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支持长视频分段录制，可自定义分段时长，提供不限时长、45 分钟、60 分钟、90 分钟、120 分钟、150 分钟、180 分钟、240 分钟等选项，适配不同课时长度需求。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六、直播与远程互动功能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支持公网直播推送，自动生成直播二维码，扫描即可观看；可创建活动直播、教研直播等类型，支持自定义直播标题、起始时间，可设置直播分辨率、码率及音量，支持查看直播列表（展示课程天数）。</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 RTMP 直播推流，可选≥4 个视频源，可同时开启平台直播与三方推流，适配多渠道传播需求。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内置互动系统，兼容标准 SIP 和 H.323 互动协议，支持互动列表（显示与会者信息），互动画面布局支持单分屏、双分屏、三分屏、四分屏；互动界面含双流、一键静音、全屏、导播设置等功能，适配远程互动教学。</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支持查看永久课历史记录，可输入房间号快速加入远程互动，显示课程时长、主讲人、房间名称、房间号、丢包率、网络延时等信息；创建房间时可设置主题、主讲人、时间、验证方式（公开 / 加密），自动分配短号，支持多设备通过短号互动。</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授课预监功能：实时显示授课教室拍摄效果与互动教室听课状态，方便教师实时把控教学情况。</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七、微课制作与抠像功能</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内置微课制作功能，支持前景、人像、背景 3 层场景叠加（叠加类型含 PPT、视频、图片、虚拟抠像人像）；虚拟抠像合成画面可与远端进行音视频互动，适配微课录制与线上教学结合场景。</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支持智能抠像（无幕布场景）、键显色抠像（蓝 / 绿箱 / 幕布场景）两种模式，用户可灵活选择。</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可手动调整前景、人像大小与位置，抠像细节支持噪点清除、去黑边、溢色清除、前景强化、边缘平滑、饱和度压缩、黑色加强等；支持校色系数调节，修正绿幕色差，提升抠像效果。</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支持自定义抠像区域，可在主画面用手指圈选抠像区域，后续可拖拽调整区域位置与大小，操作灵活。</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具备抠像画面合成功能，内置≥6 种常用布局样式，支持用户自行设定≥4 种自定义布局样式。</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八、行为分析与语音转写</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不依赖网络与外置设备，即可实现行为分析、实时字幕语音转写与热词提取；内置行为分析系统，支持统计教室人数及举手、站立、背身、趴下、低头、扭头人数，实时汇总学生参与度、活跃度、抬头率。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行为分析可选择是否展示举手、趴桌、站立等数据，可指定学生全景相机位置；语音识别支持区分角色，自动生成行为分析报告，报告可下载至本地文件夹。</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九、系统管理与维护</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支持网络检测功能，实时检测服务器连通性、网络稳定性、上下行速度、网络追踪性、网卡信息、信道状态，保障网络环境适配教学需求。</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支持查看软件版本、设备型号、硬件版本、设备编号；支持中英文版本切换、本地硬盘格式化、在线 / 本地更新、调试日志导出，具备一键恢复出厂设置功能，方便系统维护。</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教师自动跟踪摄像机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1.需采用全景/特写双镜头设计，传感器：≥1/2.7英寸CMOS，特写镜头≥800万像素，全景镜头≥400万像素。</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2.教师特写镜头水平视场角不小于26°。全景镜头水平视场角不小于43°。</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3.需支持4K(3840×2160）分辨率，兼容1080P、720P等分辨率。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4.视频编码标准： 需支持H.264/MJPEG，帧率需支持1~30fps，视频码率设置范围：不小于32Kbps ~ 16384Kbps。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5.视频制式：需支持50Hz/60Hz，编码等级可设置base line/main profile/high profile。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6.音频编码标准：需支持 AAC、G711A编码格式，音频采样率≥48KHz，音频码率：需支持96Kbps、128Kbps、256Kbps。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7.需支持水平翻转、垂直翻转；支持多种白平衡方式，至少支持自动，室内，室外，一键式，手动；需支持背光补偿、图像冻结。</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8.摄像机接口：支持≥1路SDI，≥1路RJ45 （10M/100M自适应），≥1路Type-C，≥1路Line in 3.5mm音频接口；≥1路Line out 3.5mm音频接口。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9.需支持 P0C和POE两种一线通功能，电源、视频、音频、控制四线合一。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10.需支持USB音视频输出，同时支持UVC和UAC协议，最大支持4K@30fps输出，兼容视频会议软件。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11.需内置图像识别跟踪算法，微型机械云台设计，全景特写双镜头采用同系列图像传感器和图像处理器，确保两者图像输出亮度、颜色、风格等保持一致。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12.人脸检测：需支持对监视画面中出现的人脸进行检测，在监视或录像状态下，监视画面无明显缺损，物体移动时画面边缘无明显锯齿、拉毛现象。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13.系统具备图像识别功能，需支持同时输出2路场景画面，支持所有画面的自动导播切换。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14.需支持通过浏览器进行管理，至少包括亮度、饱和度、对比度、锐度、色度设置。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15.配合录播主机需支持人物动作分析，至少识别举手、站立、背身、趴下、低头、扭头等人物动作分析。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16.需支持 DC12V、POE、POC三种供电方式。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学生自动跟踪摄像机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1.需采用全景/特写双镜头设计，传感器：≥1/2.7英寸CMOS，特写镜头≥800万像素，全景镜头≥400万像素。</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2.学生特写镜头水平视场角不小于43°。全景镜头水平视场角不小于110°。</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3.需支持4K(3840×2160）分辨率，兼容1080P、720P等分辨率。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4.视频编码标准： 需支持H.264/MJPEG，帧率需支持1~30fps，视频码率设置范围：不小于32Kbps ~ 16384Kbps。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5.视频制式：需支持50Hz/60Hz，编码等级可设置base line/main profile/high profile。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6.音频编码标准：需支持 AAC、G711A编码格式，音频采样率≥48KHz，音频码率：需支持96Kbps、128Kbps、256Kbps。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7.需支持水平翻转、垂直翻转；支持多种白平衡方式，至少支持自动，室内，室外，一键式，手动；需支持背光补偿、图像冻结。</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8.摄像机接口：支持≥1路SDI，≥1路RJ45 （10M/100M自适应），≥1路Type-C，≥1路Line in 3.5mm音频接口；≥1路Line out 3.5mm音频接口。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9.需支持 P0C和POE两种一线通功能，电源、视频、音频、控制四线合一。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10.需支持USB音视频输出，同时支持UVC和UAC协议，最大支持4K@30fps输出，兼容视频会议软件。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11.需内置图像识别跟踪算法，微型机械云台设计，全景特写双镜头采用同系列图像传感器和图像处理器，确保两者图像输出亮度、颜色、风格等保持一致。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12.人脸检测：需支持对监视画面中出现的人脸进行检测，在监视或录像状态下，监视画面无明显缺损，物体移动时画面边缘无明显锯齿、拉毛现象。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13.系统具备图像识别功能，需支持同时输出2路场景画面，支持所有画面的自动导播切换。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14.需支持通过浏览器进行管理，至少包括亮度、饱和度、对比度、锐度、色度设置。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15配合录播主机需支持人物动作分析，至少识别举手、站立、背身、趴下、低头、扭头等人物动作分析。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16.需支持 DC12V、POE、POC三种供电方式。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1.需采用全景/特写双镜头设计，传感器：≥1/2.7英寸CMOS，特写镜头≥800万像素，全景镜头≥400万像素。</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2.教师特写镜头水平视场角不小于26°。全景镜头水平视场角不小于43°。</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3.需支持4K(3840×2160）分辨率，兼容1080P、720P等分辨率。</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4.视频编码标准： 需支持H.264/MJPEG，帧率需支持1~30fps，视频码率设置范围：不小于32Kbps ~ 16384Kbps。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5.视频制式：需支持50Hz/60Hz，编码等级可设置base line/main profile/high profile。</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6.音频编码标准：需支持 AAC、G711A编码格式，音频采样率≥48KHz，音频码率：需支持96Kbps、128Kbps、256Kbps。</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7.需支持水平翻转、垂直翻转；支持多种白平衡方式，至少支持自动，室内，室外，一键式，手动；需支持背光补偿、图像冻结。</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8.摄像机接口：支持≥1路SDI，≥1路RJ45 （10M/100M自适应），≥1路Type-C，≥1路Line in 3.5mm音频接口；≥1路Line out 3.5mm音频接口。</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9.需支持 P0C和POE两种一线通功能，电源、视频、音频、控制四线合一。</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10.需支持USB音视频输出，同时支持UVC和UAC协议，最大支持4K@30fps输出，兼容视频会议软件。</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11.需内置图像识别跟踪算法，微型机械云台设计，全景特写双镜头采用同系列图像传感器和图像处理器，确保两者图像输出亮度、颜色、风格等保持一致。</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12.人脸检测：需支持对监视画面中出现的人脸进行检测，在监视或录像状态下，监视画面无明显缺损，物体移动时画面边缘无明显锯齿、拉毛现象。</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13.系统具备图像识别功能，需支持同时输出2路场景画面，支持所有画面的自动导播切换。</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14.需支持通过浏览器进行管理，至少包括亮度、饱和度、对比度、锐度、色度设置。</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15配合录播主机需支持人物动作分析，至少识别举手、站立、背身、趴下、低头、扭头等人物动作分析。</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16.需支持 DC12V、POE、POC三种供电方式。</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集成线材服务</w:t>
            </w:r>
            <w:r/>
          </w:p>
        </w:tc>
        <w:tc>
          <w:tcPr>
            <w:shd w:val="clear" w:color="auto" w:fill="auto"/>
            <w:tcBorders>
              <w:top w:val="single" w:color="000000" w:sz="4" w:space="0"/>
              <w:left w:val="single" w:color="000000" w:sz="4" w:space="0"/>
              <w:bottom w:val="single" w:color="000000" w:sz="4" w:space="0"/>
              <w:right w:val="single" w:color="000000" w:sz="4" w:space="0"/>
            </w:tcBorders>
            <w:tcW w:w="5484"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集成材料包括：分配器、RJ45超五类网络线900m、超五类RJ45模块、非屏蔽RJ45网络接头、十位3m插线板*6、四位分控插线板3m*2、四口网络面板、单口网络面板、HDMI线(1.5m*2、5m*8、10m*4、20m*2、25m*2、30m*2)、100芯纯铜音频线100m、电源插板、电源延长线等辅材。</w:t>
            </w:r>
            <w:r/>
          </w:p>
        </w:tc>
        <w:tc>
          <w:tcPr>
            <w:shd w:val="clear" w:color="auto" w:fill="auto"/>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婴幼儿发展一体化工作站</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pStyle w:val="919"/>
              <w:ind w:left="0" w:right="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备注:</w:t>
            </w:r>
            <w:r/>
          </w:p>
          <w:p>
            <w:pPr>
              <w:pStyle w:val="919"/>
              <w:ind w:left="0" w:right="0" w:firstLine="420"/>
              <w:jc w:val="both"/>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本项目“技术参数要求”中标注“★”的技术参数如出现负偏离，将在评审时按《评标标准》对应细则予以扣分。供应商须针对该部分条款提供相应证明材料，可包括招标文件指定的证明文件（如有）、产品官方彩页（需标注发布日期）、原厂说明书、技术白皮书（由产品研发主体出具）或具备认证资质的第三方检测机构出具的检验报告。</w:t>
            </w:r>
            <w:r/>
          </w:p>
          <w:p>
            <w:pPr>
              <w:pStyle w:val="919"/>
              <w:ind w:left="0" w:right="0" w:firstLine="420"/>
              <w:jc w:val="both"/>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2.本项目“技术参数要求”中标注“▲”的技术参数如出现负偏离，将在评审时按《评标标准》对应细则予以扣分。供应商须按招标文件规定的具体内容进行现场功能视频演示为准。</w:t>
            </w:r>
            <w:r/>
          </w:p>
        </w:tc>
      </w:tr>
    </w:tbl>
    <w:p>
      <w:pPr>
        <w:pStyle w:val="74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三</w:t>
      </w:r>
      <w:r>
        <w:rPr>
          <w:rFonts w:hint="eastAsia" w:ascii="宋体" w:hAnsi="宋体" w:eastAsia="宋体" w:cs="宋体"/>
          <w:b/>
          <w:bCs/>
          <w:i w:val="0"/>
          <w:iCs w:val="0"/>
          <w:caps w:val="0"/>
          <w:spacing w:val="0"/>
          <w:sz w:val="24"/>
          <w:szCs w:val="24"/>
        </w:rPr>
        <w:t xml:space="preserve">、技术参数响应与偏离</w:t>
      </w:r>
      <w:r/>
    </w:p>
    <w:p>
      <w:pPr>
        <w:ind w:left="0" w:firstLine="480"/>
        <w:keepLines w:val="0"/>
        <w:keepNext w:val="0"/>
        <w:pageBreakBefore w:val="0"/>
        <w:spacing w:line="440" w:lineRule="exact"/>
        <w:widowControl w:val="off"/>
        <w:rPr>
          <w:rFonts w:hint="eastAsia" w:ascii="宋体" w:hAnsi="宋体" w:eastAsia="宋体" w:cs="宋体"/>
          <w:b w:val="0"/>
          <w:bCs w:val="0"/>
          <w:i w:val="0"/>
          <w:iCs w:val="0"/>
          <w:color w:val="0000ff"/>
          <w:sz w:val="24"/>
          <w:szCs w:val="24"/>
          <w:highlight w:val="none"/>
          <w:u w:val="single"/>
        </w:rPr>
      </w:pPr>
      <w:r>
        <w:rPr>
          <w:rFonts w:hint="eastAsia" w:ascii="宋体" w:hAnsi="宋体" w:eastAsia="宋体" w:cs="宋体"/>
          <w:b w:val="0"/>
          <w:bCs w:val="0"/>
          <w:i w:val="0"/>
          <w:iCs w:val="0"/>
          <w:color w:val="0000ff"/>
          <w:sz w:val="24"/>
          <w:szCs w:val="24"/>
          <w:highlight w:val="none"/>
          <w:u w:val="single"/>
        </w:rPr>
        <w:t xml:space="preserve">供应商须针对本项目“技术参数要求”中未标注“★”和“▲”的所有条款，逐条编制《技术参数响应及偏离表》，</w:t>
      </w:r>
      <w:r>
        <w:rPr>
          <w:rFonts w:hint="eastAsia" w:ascii="宋体" w:hAnsi="宋体" w:eastAsia="宋体" w:cs="宋体"/>
          <w:b/>
          <w:bCs/>
          <w:i w:val="0"/>
          <w:iCs w:val="0"/>
          <w:color w:val="0000ff"/>
          <w:sz w:val="24"/>
          <w:szCs w:val="24"/>
          <w:highlight w:val="none"/>
          <w:u w:val="single"/>
        </w:rPr>
        <w:t xml:space="preserve">负偏离项总数不得超过</w:t>
      </w:r>
      <w:r>
        <w:rPr>
          <w:rFonts w:hint="eastAsia" w:ascii="宋体" w:hAnsi="宋体" w:eastAsia="宋体" w:cs="宋体"/>
          <w:b/>
          <w:bCs/>
          <w:i w:val="0"/>
          <w:iCs w:val="0"/>
          <w:color w:val="0000ff"/>
          <w:sz w:val="24"/>
          <w:szCs w:val="24"/>
          <w:highlight w:val="none"/>
          <w:u w:val="single"/>
          <w:lang w:val="en-US" w:eastAsia="zh-CN"/>
        </w:rPr>
        <w:t xml:space="preserve">10条</w:t>
      </w:r>
      <w:r>
        <w:rPr>
          <w:rFonts w:hint="eastAsia" w:ascii="宋体" w:hAnsi="宋体" w:eastAsia="宋体" w:cs="宋体"/>
          <w:b w:val="0"/>
          <w:bCs w:val="0"/>
          <w:i w:val="0"/>
          <w:iCs w:val="0"/>
          <w:color w:val="0000ff"/>
          <w:sz w:val="24"/>
          <w:szCs w:val="24"/>
          <w:highlight w:val="none"/>
          <w:u w:val="single"/>
        </w:rPr>
        <w:t xml:space="preserve">（以技术参数表中最末级序号为独立计数单位，每项计一条），若超出此限，将被视为未实质性响应采购要求</w:t>
      </w:r>
      <w:r>
        <w:rPr>
          <w:rFonts w:hint="eastAsia" w:ascii="宋体" w:hAnsi="宋体" w:eastAsia="宋体" w:cs="宋体"/>
          <w:b/>
          <w:bCs/>
          <w:i w:val="0"/>
          <w:iCs w:val="0"/>
          <w:color w:val="0000ff"/>
          <w:sz w:val="24"/>
          <w:szCs w:val="24"/>
          <w:highlight w:val="none"/>
          <w:u w:val="single"/>
        </w:rPr>
        <w:t xml:space="preserve">，作无效响应处理。</w:t>
      </w:r>
      <w:r/>
    </w:p>
    <w:p>
      <w:pPr>
        <w:ind w:left="0"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eastAsia="zh-CN"/>
        </w:rPr>
        <w:t xml:space="preserve">正偏离</w:t>
      </w:r>
      <w:r>
        <w:rPr>
          <w:rFonts w:hint="eastAsia" w:ascii="宋体" w:hAnsi="宋体" w:eastAsia="宋体" w:cs="宋体"/>
          <w:b w:val="0"/>
          <w:bCs w:val="0"/>
          <w:sz w:val="24"/>
          <w:szCs w:val="24"/>
        </w:rPr>
        <w:t xml:space="preserve">”指优于招标文件要求；“负偏离”指低于招标文件要求；“符合”指满足招标文件要求。投标人应在《技术参数响应及偏离表》（格式详见第六章投标文件格式）中，对招标文件采购清单内的所有技术参数逐条明确其响应状态，即明确填写“</w:t>
      </w:r>
      <w:r>
        <w:rPr>
          <w:rFonts w:hint="eastAsia" w:ascii="宋体" w:hAnsi="宋体" w:eastAsia="宋体" w:cs="宋体"/>
          <w:b w:val="0"/>
          <w:bCs w:val="0"/>
          <w:sz w:val="24"/>
          <w:szCs w:val="24"/>
          <w:lang w:eastAsia="zh-CN"/>
        </w:rPr>
        <w:t xml:space="preserve">正偏离</w:t>
      </w:r>
      <w:r>
        <w:rPr>
          <w:rFonts w:hint="eastAsia" w:ascii="宋体" w:hAnsi="宋体" w:eastAsia="宋体" w:cs="宋体"/>
          <w:b w:val="0"/>
          <w:bCs w:val="0"/>
          <w:sz w:val="24"/>
          <w:szCs w:val="24"/>
        </w:rPr>
        <w:t xml:space="preserve">”、“负偏离”或“符合”，不得遗漏。凡未在《技术参数响应及偏离表》中声明偏离情况的技术条款，均视为“符合”。中标人须在合同履行阶段严格遵守招标文件中对应条款的约定。</w:t>
      </w:r>
      <w:r/>
    </w:p>
    <w:p>
      <w:pPr>
        <w:ind w:left="0"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对于非评分项的技术参数，投标人可选择在投标时提供证明材料，亦可于中标通知书发出后、正式签订合同前补充提供（补充材料须在合同签订前</w:t>
      </w: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个工作日内提交）。所提供的材料将作为合同履约验收的依据之一。</w:t>
      </w:r>
      <w:r/>
    </w:p>
    <w:p>
      <w:pPr>
        <w:pStyle w:val="74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四</w:t>
      </w:r>
      <w:r>
        <w:rPr>
          <w:rFonts w:hint="eastAsia" w:ascii="宋体" w:hAnsi="宋体" w:eastAsia="宋体" w:cs="宋体"/>
          <w:b/>
          <w:bCs/>
          <w:i w:val="0"/>
          <w:iCs w:val="0"/>
          <w:caps w:val="0"/>
          <w:spacing w:val="0"/>
          <w:sz w:val="24"/>
          <w:szCs w:val="24"/>
        </w:rPr>
        <w:t xml:space="preserve">、商务要求响应及偏离</w:t>
      </w:r>
      <w:r/>
    </w:p>
    <w:p>
      <w:pPr>
        <w:pStyle w:val="743"/>
        <w:numPr>
          <w:ilvl w:val="0"/>
          <w:numId w:val="9"/>
        </w:numPr>
        <w:ind w:left="0" w:firstLine="480"/>
        <w:keepLines w:val="0"/>
        <w:keepNext w:val="0"/>
        <w:pageBreakBefore w:val="0"/>
        <w:spacing w:line="440" w:lineRule="exact"/>
        <w:widowControl w:val="off"/>
        <w:rPr>
          <w:rFonts w:hint="eastAsia" w:ascii="宋体" w:hAnsi="宋体" w:eastAsia="宋体" w:cs="宋体"/>
          <w:b w:val="0"/>
          <w:bCs w:val="0"/>
          <w:i/>
          <w:iCs/>
          <w:caps w:val="0"/>
          <w:spacing w:val="0"/>
          <w:sz w:val="24"/>
          <w:szCs w:val="24"/>
          <w:highlight w:val="none"/>
          <w:u w:val="single"/>
        </w:rPr>
      </w:pPr>
      <w:r>
        <w:rPr>
          <w:rFonts w:hint="eastAsia" w:ascii="宋体" w:hAnsi="宋体" w:eastAsia="宋体" w:cs="宋体"/>
          <w:b w:val="0"/>
          <w:bCs w:val="0"/>
          <w:i/>
          <w:iCs/>
          <w:caps w:val="0"/>
          <w:spacing w:val="0"/>
          <w:sz w:val="24"/>
          <w:szCs w:val="24"/>
          <w:highlight w:val="none"/>
          <w:u w:val="single"/>
        </w:rPr>
        <w:t xml:space="preserve">交付时间：合同生效后60个日历天（此期限不包括采购人验收时间），供应商应在此期限内完成全部货物的交付、安装与调试。</w:t>
      </w:r>
      <w:r/>
    </w:p>
    <w:p>
      <w:pPr>
        <w:pStyle w:val="743"/>
        <w:numPr>
          <w:ilvl w:val="0"/>
          <w:numId w:val="0"/>
        </w:numPr>
        <w:ind w:left="0" w:firstLine="480"/>
        <w:keepLines w:val="0"/>
        <w:keepNext w:val="0"/>
        <w:pageBreakBefore w:val="0"/>
        <w:spacing w:line="440" w:lineRule="exact"/>
        <w:widowControl w:val="off"/>
        <w:rPr>
          <w:rFonts w:hint="eastAsia" w:ascii="宋体" w:hAnsi="宋体" w:eastAsia="宋体" w:cs="宋体"/>
          <w:b w:val="0"/>
          <w:bCs w:val="0"/>
          <w:i/>
          <w:iCs/>
          <w:caps w:val="0"/>
          <w:spacing w:val="0"/>
          <w:sz w:val="24"/>
          <w:szCs w:val="24"/>
          <w:highlight w:val="none"/>
          <w:u w:val="single"/>
        </w:rPr>
      </w:pPr>
      <w:r>
        <w:rPr>
          <w:rFonts w:hint="eastAsia" w:ascii="宋体" w:hAnsi="宋体" w:eastAsia="宋体" w:cs="宋体"/>
          <w:b w:val="0"/>
          <w:bCs w:val="0"/>
          <w:i/>
          <w:iCs/>
          <w:caps w:val="0"/>
          <w:spacing w:val="0"/>
          <w:sz w:val="24"/>
          <w:szCs w:val="24"/>
          <w:highlight w:val="none"/>
          <w:u w:val="single"/>
          <w:lang w:val="en-US" w:eastAsia="zh-CN"/>
        </w:rPr>
        <w:t xml:space="preserve">注：</w:t>
      </w:r>
      <w:r>
        <w:rPr>
          <w:rFonts w:hint="eastAsia" w:ascii="宋体" w:hAnsi="宋体" w:eastAsia="宋体" w:cs="宋体"/>
          <w:b w:val="0"/>
          <w:bCs w:val="0"/>
          <w:i/>
          <w:iCs/>
          <w:caps w:val="0"/>
          <w:spacing w:val="0"/>
          <w:sz w:val="24"/>
          <w:szCs w:val="24"/>
          <w:highlight w:val="none"/>
          <w:u w:val="single"/>
        </w:rPr>
        <w:t xml:space="preserve">若因不可抗力（需提供县级及以上相关部门出具的不可抗力证明）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r/>
    </w:p>
    <w:p>
      <w:pPr>
        <w:pStyle w:val="743"/>
        <w:numPr>
          <w:ilvl w:val="0"/>
          <w:numId w:val="9"/>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交付地点：江苏省盐城技师学院采购人指定地点。</w:t>
      </w:r>
      <w:r/>
    </w:p>
    <w:p>
      <w:pPr>
        <w:pStyle w:val="743"/>
        <w:numPr>
          <w:ilvl w:val="0"/>
          <w:numId w:val="9"/>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r/>
    </w:p>
    <w:p>
      <w:pPr>
        <w:pStyle w:val="743"/>
        <w:numPr>
          <w:ilvl w:val="0"/>
          <w:numId w:val="9"/>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质量保证：所供货物及软件应为成熟、稳定的在售型号。免费质保期不少于三年，自最终验收合格之日起计算。质保期内，提供7×24小时技术支持，故障1小时内电话响应，24小时内现场到位（如需），并免费提供系统升级与技术服务。质保期外，应能提供持续的技术支持与维护服务，收费标准不高于其官方公示价格或同期市场公允价格。</w:t>
      </w:r>
      <w:r/>
    </w:p>
    <w:p>
      <w:pPr>
        <w:pStyle w:val="743"/>
        <w:numPr>
          <w:ilvl w:val="0"/>
          <w:numId w:val="9"/>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付款方式：</w:t>
      </w:r>
      <w:r/>
    </w:p>
    <w:p>
      <w:pPr>
        <w:pStyle w:val="74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lang w:eastAsia="zh-CN"/>
        </w:rPr>
      </w:pPr>
      <w:r>
        <w:rPr>
          <w:rFonts w:hint="eastAsia" w:ascii="宋体" w:hAnsi="宋体" w:eastAsia="宋体" w:cs="宋体"/>
          <w:i/>
          <w:iCs/>
          <w:caps w:val="0"/>
          <w:spacing w:val="0"/>
          <w:sz w:val="24"/>
          <w:szCs w:val="24"/>
          <w:highlight w:val="none"/>
          <w:u w:val="single"/>
        </w:rPr>
        <w:t xml:space="preserve">预付款：合同签订生效并收到合规发票后10个工作日内</w:t>
      </w:r>
      <w:r>
        <w:rPr>
          <w:rFonts w:hint="eastAsia" w:ascii="宋体" w:hAnsi="宋体" w:eastAsia="宋体" w:cs="宋体"/>
          <w:i/>
          <w:iCs/>
          <w:caps w:val="0"/>
          <w:spacing w:val="0"/>
          <w:sz w:val="24"/>
          <w:szCs w:val="24"/>
          <w:highlight w:val="none"/>
          <w:u w:val="single"/>
          <w:lang w:eastAsia="zh-CN"/>
        </w:rPr>
        <w:t xml:space="preserve">，</w:t>
      </w:r>
      <w:r>
        <w:rPr>
          <w:rFonts w:hint="eastAsia" w:ascii="宋体" w:hAnsi="宋体" w:eastAsia="宋体" w:cs="宋体"/>
          <w:i/>
          <w:iCs/>
          <w:caps w:val="0"/>
          <w:spacing w:val="0"/>
          <w:sz w:val="24"/>
          <w:szCs w:val="24"/>
          <w:highlight w:val="none"/>
          <w:u w:val="single"/>
        </w:rPr>
        <w:t xml:space="preserve">支付合同总价的30%</w:t>
      </w:r>
      <w:r>
        <w:rPr>
          <w:rFonts w:hint="eastAsia" w:ascii="宋体" w:hAnsi="宋体" w:eastAsia="宋体" w:cs="宋体"/>
          <w:i/>
          <w:iCs/>
          <w:caps w:val="0"/>
          <w:spacing w:val="0"/>
          <w:sz w:val="24"/>
          <w:szCs w:val="24"/>
          <w:highlight w:val="none"/>
          <w:u w:val="single"/>
          <w:lang w:eastAsia="zh-CN"/>
        </w:rPr>
        <w:t xml:space="preserve">；</w:t>
      </w:r>
      <w:r/>
    </w:p>
    <w:p>
      <w:pPr>
        <w:pStyle w:val="74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lang w:eastAsia="zh-CN"/>
        </w:rPr>
      </w:pPr>
      <w:r>
        <w:rPr>
          <w:rFonts w:hint="eastAsia" w:ascii="宋体" w:hAnsi="宋体" w:eastAsia="宋体" w:cs="宋体"/>
          <w:i/>
          <w:iCs/>
          <w:caps w:val="0"/>
          <w:spacing w:val="0"/>
          <w:sz w:val="24"/>
          <w:szCs w:val="24"/>
          <w:highlight w:val="none"/>
          <w:u w:val="single"/>
        </w:rPr>
        <w:t xml:space="preserve">进度款：货物安装调试完毕并初步验收合格后，收到合规发票后 10个工作日内</w:t>
      </w:r>
      <w:r>
        <w:rPr>
          <w:rFonts w:hint="eastAsia" w:ascii="宋体" w:hAnsi="宋体" w:eastAsia="宋体" w:cs="宋体"/>
          <w:i/>
          <w:iCs/>
          <w:caps w:val="0"/>
          <w:spacing w:val="0"/>
          <w:sz w:val="24"/>
          <w:szCs w:val="24"/>
          <w:highlight w:val="none"/>
          <w:u w:val="single"/>
          <w:lang w:eastAsia="zh-CN"/>
        </w:rPr>
        <w:t xml:space="preserve">，</w:t>
      </w:r>
      <w:r>
        <w:rPr>
          <w:rFonts w:hint="eastAsia" w:ascii="宋体" w:hAnsi="宋体" w:eastAsia="宋体" w:cs="宋体"/>
          <w:i/>
          <w:iCs/>
          <w:caps w:val="0"/>
          <w:spacing w:val="0"/>
          <w:sz w:val="24"/>
          <w:szCs w:val="24"/>
          <w:highlight w:val="none"/>
          <w:u w:val="single"/>
        </w:rPr>
        <w:t xml:space="preserve">支付至合同总价的70%</w:t>
      </w:r>
      <w:r>
        <w:rPr>
          <w:rFonts w:hint="eastAsia" w:ascii="宋体" w:hAnsi="宋体" w:eastAsia="宋体" w:cs="宋体"/>
          <w:i/>
          <w:iCs/>
          <w:caps w:val="0"/>
          <w:spacing w:val="0"/>
          <w:sz w:val="24"/>
          <w:szCs w:val="24"/>
          <w:highlight w:val="none"/>
          <w:u w:val="single"/>
          <w:lang w:eastAsia="zh-CN"/>
        </w:rPr>
        <w:t xml:space="preserve">；</w:t>
      </w:r>
      <w:r/>
    </w:p>
    <w:p>
      <w:pPr>
        <w:pStyle w:val="74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lang w:eastAsia="zh-CN"/>
        </w:rPr>
        <w:t xml:space="preserve">③　如合同履约，出现不可抗力等特殊情况，由双方自行协商解决。</w:t>
      </w:r>
      <w:r/>
    </w:p>
    <w:p>
      <w:pPr>
        <w:pStyle w:val="743"/>
        <w:numPr>
          <w:ilvl w:val="0"/>
          <w:numId w:val="9"/>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方案完整性要求：投标人应确保其投标方案（包括必要的扩展内容）能完整实现招标文件的全部功能需求。如需增补清单外内容，应在投标文件中明确列出并计入总价。未列明者，视为现有清单已完全满足需求，因缺失导致的补充及整改责任由中标人承担。 </w:t>
      </w:r>
      <w:r/>
    </w:p>
    <w:p>
      <w:pPr>
        <w:pStyle w:val="743"/>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标准与费用包干：投标人应确保其产品与实施符合国家及项目所在地的强制性标准与规范。为满足所有要求及实现项目功能所产生的一切费用（包括但不限于货物采购费、运输费、安装调试费、培训费、税费、质保期内服务费等）、风险（包括市场价格波动、政策调整等风险）及税金均已包含在投标总价内，中标后不予调整。</w:t>
      </w:r>
      <w:r/>
    </w:p>
    <w:p>
      <w:pPr>
        <w:pStyle w:val="743"/>
        <w:ind w:left="0" w:firstLine="482"/>
        <w:keepLines w:val="0"/>
        <w:keepNext w:val="0"/>
        <w:pageBreakBefore w:val="0"/>
        <w:spacing w:line="440" w:lineRule="exact"/>
        <w:widowControl w:val="off"/>
        <w:rPr>
          <w:rFonts w:hint="eastAsia" w:ascii="宋体" w:hAnsi="宋体" w:eastAsia="宋体" w:cs="宋体"/>
          <w:b/>
          <w:bCs w:val="0"/>
          <w:i/>
          <w:iCs w:val="0"/>
          <w:color w:val="0000ff"/>
          <w:sz w:val="24"/>
          <w:szCs w:val="24"/>
          <w:highlight w:val="none"/>
          <w:u w:val="single"/>
          <w:lang w:val="en-US" w:eastAsia="zh-CN"/>
        </w:rPr>
      </w:pPr>
      <w:r>
        <w:rPr>
          <w:rFonts w:hint="eastAsia" w:ascii="宋体" w:hAnsi="宋体" w:eastAsia="宋体" w:cs="宋体"/>
          <w:b/>
          <w:bCs w:val="0"/>
          <w:i/>
          <w:iCs w:val="0"/>
          <w:color w:val="0000ff"/>
          <w:sz w:val="24"/>
          <w:szCs w:val="24"/>
          <w:highlight w:val="none"/>
          <w:u w:val="single"/>
          <w:lang w:val="en-US" w:eastAsia="zh-CN"/>
        </w:rPr>
        <w:t xml:space="preserve">注：本招标文件中斜体且有下划线部分均为实质性要求和条件。对任何一条实质性要求条款的负偏离，都将导致其投标被视为无效。</w:t>
      </w:r>
      <w:r/>
    </w:p>
    <w:p>
      <w:pPr>
        <w:pStyle w:val="74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五</w:t>
      </w:r>
      <w:r>
        <w:rPr>
          <w:rFonts w:hint="eastAsia" w:ascii="宋体" w:hAnsi="宋体" w:eastAsia="宋体" w:cs="宋体"/>
          <w:b/>
          <w:bCs/>
          <w:i w:val="0"/>
          <w:iCs w:val="0"/>
          <w:caps w:val="0"/>
          <w:spacing w:val="0"/>
          <w:sz w:val="24"/>
          <w:szCs w:val="24"/>
        </w:rPr>
        <w:t xml:space="preserve">、现场踏勘</w:t>
      </w:r>
      <w:r/>
    </w:p>
    <w:p>
      <w:pPr>
        <w:pStyle w:val="743"/>
        <w:ind w:left="0" w:firstLine="480"/>
        <w:keepLines w:val="0"/>
        <w:keepNext w:val="0"/>
        <w:pageBreakBefore w:val="0"/>
        <w:spacing w:line="480" w:lineRule="exact"/>
        <w:widowControl w:val="off"/>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rPr>
        <w:t xml:space="preserve">供应商应在报价前充分了解项目现场条件及所有可能影响成本和实施的因素。鼓励供应商自行进行现场踏勘。 踏勘现场所发生的一切费用及人身财产安全责任，均由供应商自行承担。供应商未踏勘现场，将被视为已充分了解并接受所有现场条件与风险，成交后不得因此提出任何费用或工期索赔。 </w:t>
      </w:r>
      <w:r/>
    </w:p>
    <w:p>
      <w:pPr>
        <w:pStyle w:val="743"/>
        <w:ind w:left="0" w:firstLine="482"/>
        <w:keepLines w:val="0"/>
        <w:keepNext w:val="0"/>
        <w:pageBreakBefore w:val="0"/>
        <w:spacing w:line="480" w:lineRule="exact"/>
        <w:widowControl w:val="off"/>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lang w:val="en-US" w:eastAsia="zh-CN"/>
          <w14:textFill>
            <w14:solidFill>
              <w14:schemeClr w14:val="tx1"/>
            </w14:solidFill>
          </w14:textFill>
        </w:rPr>
        <w:t xml:space="preserve">六</w:t>
      </w:r>
      <w:r>
        <w:rPr>
          <w:rFonts w:hint="eastAsia" w:ascii="宋体" w:hAnsi="宋体" w:eastAsia="宋体" w:cs="宋体"/>
          <w:b/>
          <w:bCs/>
          <w:i w:val="0"/>
          <w:iCs w:val="0"/>
          <w:caps w:val="0"/>
          <w:color w:val="000000" w:themeColor="text1"/>
          <w:spacing w:val="0"/>
          <w:sz w:val="24"/>
          <w:szCs w:val="24"/>
          <w14:textFill>
            <w14:solidFill>
              <w14:schemeClr w14:val="tx1"/>
            </w14:solidFill>
          </w14:textFill>
        </w:rPr>
        <w:t xml:space="preserve">、</w:t>
      </w:r>
      <w:r>
        <w:rPr>
          <w:rFonts w:hint="eastAsia" w:ascii="宋体" w:hAnsi="宋体" w:cs="宋体"/>
          <w:b/>
          <w:bCs/>
          <w:i/>
          <w:iCs/>
          <w:sz w:val="24"/>
          <w:szCs w:val="24"/>
          <w:u w:val="single"/>
          <w:lang w:eastAsia="zh-CN"/>
        </w:rPr>
        <w:t xml:space="preserve">本项目</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不接受</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进口产品投标</w:t>
      </w:r>
      <w:r>
        <w:rPr>
          <w:rFonts w:hint="eastAsia" w:ascii="宋体" w:hAnsi="宋体" w:cs="宋体"/>
          <w:b/>
          <w:bCs/>
          <w:sz w:val="24"/>
          <w:szCs w:val="24"/>
          <w:lang w:eastAsia="zh-CN"/>
        </w:rPr>
        <w:t xml:space="preserve">。</w:t>
      </w:r>
      <w:r/>
    </w:p>
    <w:p>
      <w:pPr>
        <w:ind w:firstLine="480"/>
        <w:jc w:val="left"/>
        <w:spacing w:line="440" w:lineRule="exact"/>
        <w:widowControl/>
        <w:tabs>
          <w:tab w:val="left" w:pos="5250" w:leader="none"/>
        </w:tabs>
        <w:rPr>
          <w:rFonts w:hint="eastAsia" w:ascii="宋体" w:hAnsi="宋体" w:eastAsia="宋体" w:cs="宋体"/>
          <w:b/>
          <w:bCs/>
          <w:sz w:val="24"/>
          <w:szCs w:val="24"/>
          <w:u w:val="none"/>
          <w:lang w:val="en-US" w:eastAsia="zh-CN"/>
        </w:rPr>
      </w:pPr>
      <w:r>
        <w:rPr>
          <w:rFonts w:hint="eastAsia" w:ascii="宋体" w:hAnsi="宋体" w:eastAsia="宋体" w:cs="宋体"/>
          <w:b/>
          <w:bCs/>
          <w:i w:val="0"/>
          <w:iCs w:val="0"/>
          <w:caps w:val="0"/>
          <w:spacing w:val="0"/>
          <w:sz w:val="24"/>
          <w:szCs w:val="24"/>
          <w:lang w:val="en-US" w:eastAsia="zh-CN"/>
        </w:rPr>
        <w:t xml:space="preserve">七</w:t>
      </w:r>
      <w:r>
        <w:rPr>
          <w:rFonts w:hint="eastAsia" w:ascii="宋体" w:hAnsi="宋体" w:eastAsia="宋体" w:cs="宋体"/>
          <w:b/>
          <w:bCs/>
          <w:i w:val="0"/>
          <w:iCs w:val="0"/>
          <w:caps w:val="0"/>
          <w:spacing w:val="0"/>
          <w:sz w:val="24"/>
          <w:szCs w:val="24"/>
        </w:rPr>
        <w:t xml:space="preserve">、</w:t>
      </w:r>
      <w:r>
        <w:rPr>
          <w:rFonts w:hint="eastAsia" w:ascii="宋体" w:hAnsi="宋体" w:eastAsia="宋体" w:cs="宋体"/>
          <w:b/>
          <w:bCs/>
          <w:sz w:val="24"/>
          <w:szCs w:val="24"/>
          <w:u w:val="none"/>
          <w:lang w:val="en-US" w:eastAsia="zh-CN"/>
        </w:rPr>
        <w:t xml:space="preserve">其他要求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一）投标人自2022年1月1日（以合同签订时间为准）以来，承接过实训类、康养类、教学类设备供应、集成、调试或运维服务相关的业绩（包含但不限于家政、婴幼儿、养老、职业技能培训、教育教学配套等场景）</w:t>
      </w:r>
      <w:r>
        <w:rPr>
          <w:rFonts w:hint="eastAsia" w:ascii="宋体" w:hAnsi="宋体" w:eastAsia="宋体" w:cs="宋体"/>
          <w:color w:val="0000ff"/>
          <w:sz w:val="24"/>
          <w:szCs w:val="22"/>
          <w:lang w:val="en-US" w:eastAsia="zh-CN" w:bidi="ar-SA"/>
        </w:rPr>
        <w:t xml:space="preserve">的</w:t>
      </w:r>
      <w:r>
        <w:rPr>
          <w:rFonts w:hint="eastAsia" w:ascii="宋体" w:hAnsi="宋体" w:eastAsia="宋体" w:cs="宋体"/>
          <w:b/>
          <w:bCs/>
          <w:color w:val="0000ff"/>
          <w:sz w:val="24"/>
          <w:szCs w:val="22"/>
          <w:lang w:val="en-US" w:eastAsia="zh-CN" w:bidi="ar-SA"/>
        </w:rPr>
        <w:t xml:space="preserve">优先</w:t>
      </w:r>
      <w:r>
        <w:rPr>
          <w:rFonts w:hint="eastAsia" w:ascii="宋体" w:hAnsi="宋体" w:eastAsia="宋体" w:cs="宋体"/>
          <w:color w:val="0000ff"/>
          <w:sz w:val="24"/>
          <w:szCs w:val="22"/>
          <w:lang w:val="en-US" w:eastAsia="zh-CN" w:bidi="ar-SA"/>
        </w:rPr>
        <w:t xml:space="preserve">。</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（二）</w:t>
      </w:r>
      <w:r>
        <w:rPr>
          <w:rFonts w:hint="eastAsia" w:ascii="宋体" w:hAnsi="宋体"/>
          <w:bCs/>
          <w:color w:val="000000"/>
          <w:sz w:val="24"/>
          <w:lang w:val="en"/>
        </w:rPr>
        <w:t xml:space="preserve">投标产品属于财政部、国家发改委公布的“节能产品品目清单”范围内的优先；投标产品属于财政部、生态环境部公布的“环境标志产品品目清单”范围内</w:t>
      </w:r>
      <w:r>
        <w:rPr>
          <w:rFonts w:hint="eastAsia" w:ascii="宋体" w:hAnsi="宋体"/>
          <w:bCs/>
          <w:color w:val="0000ff"/>
          <w:sz w:val="24"/>
          <w:lang w:val="en"/>
        </w:rPr>
        <w:t xml:space="preserve">的</w:t>
      </w:r>
      <w:r>
        <w:rPr>
          <w:rFonts w:hint="eastAsia" w:ascii="宋体" w:hAnsi="宋体"/>
          <w:b/>
          <w:bCs w:val="0"/>
          <w:color w:val="0000ff"/>
          <w:sz w:val="24"/>
          <w:lang w:val="en"/>
        </w:rPr>
        <w:t xml:space="preserve">优先</w:t>
      </w:r>
      <w:r>
        <w:rPr>
          <w:rFonts w:hint="eastAsia" w:ascii="宋体" w:hAnsi="宋体"/>
          <w:bCs/>
          <w:color w:val="000000"/>
          <w:sz w:val="24"/>
          <w:lang w:val="en"/>
        </w:rPr>
        <w:t xml:space="preserve">。</w:t>
      </w:r>
      <w:r/>
    </w:p>
    <w:p>
      <w:pPr>
        <w:ind w:firstLine="482"/>
        <w:jc w:val="left"/>
        <w:keepLines w:val="0"/>
        <w:keepNext w:val="0"/>
        <w:pageBreakBefore w:val="0"/>
        <w:spacing w:line="480" w:lineRule="exact"/>
        <w:widowControl/>
        <w:rPr>
          <w:rFonts w:hint="eastAsia" w:ascii="宋体" w:hAnsi="宋体" w:eastAsia="宋体" w:cs="宋体"/>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（三）项目实施及售后服务方案</w:t>
      </w:r>
      <w:r/>
    </w:p>
    <w:p>
      <w:pPr>
        <w:ind w:firstLine="480"/>
        <w:keepLines w:val="0"/>
        <w:keepNext w:val="0"/>
        <w:pageBreakBefore w:val="0"/>
        <w:spacing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为保障设备高质量交付、稳定运行及长期服务，投标人须针对本项目制定</w:t>
      </w:r>
      <w:r>
        <w:rPr>
          <w:rFonts w:hint="eastAsia" w:ascii="宋体" w:hAnsi="宋体" w:eastAsia="宋体" w:cs="宋体"/>
          <w:b/>
          <w:bCs/>
          <w:color w:val="auto"/>
          <w:sz w:val="24"/>
          <w:szCs w:val="24"/>
        </w:rPr>
        <w:t xml:space="preserve">可落地、可追溯、可考核</w:t>
      </w:r>
      <w:r>
        <w:rPr>
          <w:rFonts w:hint="eastAsia" w:ascii="宋体" w:hAnsi="宋体" w:eastAsia="宋体" w:cs="宋体"/>
          <w:color w:val="auto"/>
          <w:sz w:val="24"/>
          <w:szCs w:val="24"/>
        </w:rPr>
        <w:t xml:space="preserve">的方案，结合</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特</w:t>
      </w:r>
      <w:r>
        <w:rPr>
          <w:rFonts w:hint="eastAsia" w:ascii="宋体" w:hAnsi="宋体" w:eastAsia="宋体" w:cs="宋体"/>
          <w:color w:val="auto"/>
          <w:sz w:val="24"/>
          <w:szCs w:val="24"/>
          <w:lang w:val="en-US" w:eastAsia="zh-CN"/>
        </w:rPr>
        <w:t xml:space="preserve">点</w:t>
      </w:r>
      <w:r>
        <w:rPr>
          <w:rFonts w:hint="eastAsia" w:ascii="宋体" w:hAnsi="宋体" w:eastAsia="宋体" w:cs="宋体"/>
          <w:color w:val="auto"/>
          <w:sz w:val="24"/>
          <w:szCs w:val="24"/>
        </w:rPr>
        <w:t xml:space="preserve">，明确全流程责任与时限</w:t>
      </w:r>
      <w:r>
        <w:rPr>
          <w:rFonts w:hint="eastAsia" w:ascii="宋体" w:hAnsi="宋体" w:eastAsia="宋体" w:cs="宋体"/>
          <w:b/>
          <w:bCs/>
          <w:color w:val="auto"/>
          <w:sz w:val="24"/>
          <w:szCs w:val="24"/>
        </w:rPr>
        <w:t xml:space="preserve">，</w:t>
      </w:r>
      <w:r>
        <w:rPr>
          <w:rFonts w:ascii="Segoe UI" w:hAnsi="Segoe UI" w:eastAsia="Segoe UI" w:cs="Segoe UI"/>
          <w:b/>
          <w:bCs/>
          <w:i w:val="0"/>
          <w:iCs w:val="0"/>
          <w:caps w:val="0"/>
          <w:color w:val="auto"/>
          <w:spacing w:val="0"/>
          <w:sz w:val="24"/>
          <w:szCs w:val="24"/>
          <w:shd w:val="clear" w:color="auto" w:fill="ffffff"/>
        </w:rPr>
        <w:t xml:space="preserve">方案至少应</w:t>
      </w:r>
      <w:r>
        <w:rPr>
          <w:rFonts w:hint="eastAsia" w:ascii="Segoe UI" w:hAnsi="Segoe UI" w:cs="Segoe UI"/>
          <w:b/>
          <w:bCs/>
          <w:i w:val="0"/>
          <w:iCs w:val="0"/>
          <w:caps w:val="0"/>
          <w:color w:val="auto"/>
          <w:spacing w:val="0"/>
          <w:sz w:val="24"/>
          <w:szCs w:val="24"/>
          <w:shd w:val="clear" w:color="auto" w:fill="ffffff"/>
          <w:lang w:val="en-US" w:eastAsia="zh-CN"/>
        </w:rPr>
        <w:t xml:space="preserve">包含</w:t>
      </w:r>
      <w:r>
        <w:rPr>
          <w:rFonts w:ascii="Segoe UI" w:hAnsi="Segoe UI" w:eastAsia="Segoe UI" w:cs="Segoe UI"/>
          <w:b/>
          <w:bCs/>
          <w:i w:val="0"/>
          <w:iCs w:val="0"/>
          <w:caps w:val="0"/>
          <w:color w:val="auto"/>
          <w:spacing w:val="0"/>
          <w:sz w:val="24"/>
          <w:szCs w:val="24"/>
          <w:shd w:val="clear" w:color="auto" w:fill="ffffff"/>
        </w:rPr>
        <w:t xml:space="preserve">以下</w:t>
      </w:r>
      <w:r>
        <w:rPr>
          <w:rFonts w:hint="eastAsia" w:ascii="Segoe UI" w:hAnsi="Segoe UI" w:cs="Segoe UI"/>
          <w:b/>
          <w:bCs/>
          <w:i w:val="0"/>
          <w:iCs w:val="0"/>
          <w:caps w:val="0"/>
          <w:color w:val="auto"/>
          <w:spacing w:val="0"/>
          <w:sz w:val="24"/>
          <w:szCs w:val="24"/>
          <w:shd w:val="clear" w:color="auto" w:fill="ffffff"/>
          <w:lang w:val="en-US" w:eastAsia="zh-CN"/>
        </w:rPr>
        <w:t xml:space="preserve">内容</w:t>
      </w:r>
      <w:r>
        <w:rPr>
          <w:rFonts w:ascii="Segoe UI" w:hAnsi="Segoe UI" w:eastAsia="Segoe UI" w:cs="Segoe UI"/>
          <w:b/>
          <w:bCs/>
          <w:i w:val="0"/>
          <w:iCs w:val="0"/>
          <w:caps w:val="0"/>
          <w:color w:val="auto"/>
          <w:spacing w:val="0"/>
          <w:sz w:val="24"/>
          <w:szCs w:val="24"/>
          <w:shd w:val="clear" w:color="auto" w:fill="ffffff"/>
        </w:rPr>
        <w:t xml:space="preserve">：</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安装、调试及验收方案</w:t>
      </w:r>
      <w:r/>
    </w:p>
    <w:p>
      <w:pPr>
        <w:ind w:firstLine="480"/>
        <w:keepLines w:val="0"/>
        <w:keepNext w:val="0"/>
        <w:pageBreakBefore w:val="0"/>
        <w:spacing w:line="480" w:lineRule="exact"/>
        <w:widowControl/>
        <w:rPr>
          <w:rFonts w:hint="eastAsia" w:ascii="宋体" w:hAnsi="宋体" w:eastAsia="宋体" w:cs="宋体"/>
          <w:sz w:val="24"/>
          <w:szCs w:val="24"/>
        </w:rPr>
      </w:pPr>
      <w:r>
        <w:rPr>
          <w:rFonts w:hint="default" w:ascii="宋体" w:hAnsi="宋体" w:eastAsia="宋体" w:cs="宋体"/>
          <w:sz w:val="24"/>
          <w:szCs w:val="24"/>
        </w:rPr>
        <w:t xml:space="preserve">聚焦“标准化流程与专业化交付”，本方案至少应包含以下内容：</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安装计划</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进度与顺序</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分4阶段（共60天），至少包含：</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天：水电改造、网络布线及固定柜体安装；</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天：智能设备安装（擦窗机器人、康养机器人、扫地机器人、录播系统、电动玻璃门等）；</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天：实训设备安装（仿真婴儿、沐浴池、感统器材、奥尔夫教具等）及系统部署（至少包含机构养老平台、电子班牌系统）；</w:t>
      </w:r>
      <w:r/>
    </w:p>
    <w:p>
      <w:pPr>
        <w:numPr>
          <w:ilvl w:val="0"/>
          <w:numId w:val="10"/>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天：窗帘安装、设备清洁、标签张贴与现场清理。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特殊设备专项方案</w:t>
      </w:r>
      <w:r/>
    </w:p>
    <w:p>
      <w:pPr>
        <w:ind w:firstLine="480"/>
        <w:keepLines w:val="0"/>
        <w:keepNext w:val="0"/>
        <w:pageBreakBefore w:val="0"/>
        <w:spacing w:line="480" w:lineRule="exact"/>
        <w:widowControl/>
        <w:rPr>
          <w:rFonts w:hint="eastAsia" w:ascii="宋体" w:hAnsi="宋体" w:eastAsia="宋体" w:cs="宋体"/>
          <w:sz w:val="24"/>
          <w:szCs w:val="24"/>
        </w:rPr>
      </w:pPr>
      <w:r>
        <w:rPr>
          <w:rFonts w:hint="default" w:ascii="宋体" w:hAnsi="宋体" w:eastAsia="宋体" w:cs="宋体"/>
          <w:sz w:val="24"/>
          <w:szCs w:val="24"/>
        </w:rPr>
        <w:t xml:space="preserve">至少包含以下专项安装与调试要求：</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智慧康养机器人：导航地图构建精准，传感器校准完备；</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人工智能仿真婴儿：传感器响应灵敏，无线通信稳定；</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录播系统：音视频同步良好，跟踪摄像功能正常；</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电动玻璃门：人脸识别灵敏，门禁联动可靠；</w:t>
      </w:r>
      <w:r/>
    </w:p>
    <w:p>
      <w:pPr>
        <w:numPr>
          <w:ilvl w:val="0"/>
          <w:numId w:val="11"/>
        </w:numPr>
        <w:ind w:left="0"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感统训练器材：安装牢固，承重结构安全。</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现场安全管理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至少应规定：安装人员佩戴防护装备，高空作业使用防滑梯，电气设备断电操作，现场每50㎡配置灭火器，每日执行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工完场清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（2）人员配置</w:t>
      </w:r>
      <w:r/>
    </w:p>
    <w:p>
      <w:pPr>
        <w:ind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2.1安装团队：至少包含项目经理1名、技术负责人1名、持证工程师不少于3名（分智能设备组、实训设备组、系统集成组）、安全员1名。</w:t>
      </w:r>
      <w:r/>
    </w:p>
    <w:p>
      <w:pPr>
        <w:ind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2.2维护人员：至少包含驻场工程师1名（驻场不少于1个月）、远程技术支持1-2名（提供7×24小时服务）。</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（3）调试方案</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单机调试</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应逐项测试设备功能与参数，测试项至少包括：</w:t>
      </w:r>
      <w:r/>
    </w:p>
    <w:p>
      <w:pPr>
        <w:numPr>
          <w:ilvl w:val="0"/>
          <w:numId w:val="12"/>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家电清洗机：蒸汽温度符合设备说明书要求，工作正常；</w:t>
      </w:r>
      <w:r/>
    </w:p>
    <w:p>
      <w:pPr>
        <w:numPr>
          <w:ilvl w:val="0"/>
          <w:numId w:val="12"/>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智慧康养机器人：避障响应灵敏，运行平稳；</w:t>
      </w:r>
      <w:r/>
    </w:p>
    <w:p>
      <w:pPr>
        <w:numPr>
          <w:ilvl w:val="0"/>
          <w:numId w:val="12"/>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仿真婴儿：喂食、拍嗝、尿片等功能触发正常，响应及时；</w:t>
      </w:r>
      <w:r/>
    </w:p>
    <w:p>
      <w:pPr>
        <w:numPr>
          <w:ilvl w:val="0"/>
          <w:numId w:val="12"/>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录播主机：视频录制清晰流畅，行为分析识别功能稳定。</w:t>
      </w:r>
      <w:r/>
    </w:p>
    <w:p>
      <w:pPr>
        <w:ind w:left="480" w:firstLine="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系统联调</w:t>
      </w:r>
      <w:r/>
    </w:p>
    <w:p>
      <w:pPr>
        <w:ind w:left="480" w:firstLine="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测试内容至少应涵盖：</w:t>
      </w:r>
      <w:r/>
    </w:p>
    <w:p>
      <w:pPr>
        <w:numPr>
          <w:ilvl w:val="0"/>
          <w:numId w:val="13"/>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机构养老平台与智能手环、床带传感器数据同步正常；</w:t>
      </w:r>
      <w:r/>
    </w:p>
    <w:p>
      <w:pPr>
        <w:numPr>
          <w:ilvl w:val="0"/>
          <w:numId w:val="13"/>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电子班牌与校园云平台课表同步准确；</w:t>
      </w:r>
      <w:r/>
    </w:p>
    <w:p>
      <w:pPr>
        <w:numPr>
          <w:ilvl w:val="0"/>
          <w:numId w:val="13"/>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所有系统连续运行72小时无故障。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问题应对机制</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备有</w:t>
      </w:r>
      <w:r>
        <w:rPr>
          <w:rFonts w:hint="eastAsia" w:ascii="宋体" w:hAnsi="宋体" w:eastAsia="宋体" w:cs="宋体"/>
          <w:sz w:val="24"/>
          <w:szCs w:val="24"/>
          <w:lang w:val="en-US" w:eastAsia="zh-CN"/>
        </w:rPr>
        <w:t xml:space="preserve">不少于</w:t>
      </w:r>
      <w:r>
        <w:rPr>
          <w:rFonts w:hint="eastAsia" w:ascii="宋体" w:hAnsi="宋体" w:eastAsia="宋体" w:cs="宋体"/>
          <w:sz w:val="24"/>
          <w:szCs w:val="24"/>
        </w:rPr>
        <w:t xml:space="preserve">10%易损件，软件故障2小时内厂商响应，联调失败优先排查通信协议与网络配置。</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（4）验收程序</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验收依据</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验收依据需涵盖国家标准（如符合GB 4706.1《家用和类似用途电器的安全》、GB 50348《安全防范工程技术规范》等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，以及采购文件所列技术参数。</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分阶段验收</w:t>
      </w:r>
      <w:r/>
    </w:p>
    <w:p>
      <w:pPr>
        <w:numPr>
          <w:ilvl w:val="0"/>
          <w:numId w:val="14"/>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到货验收：核对数量、外观、配件完整性；</w:t>
      </w:r>
      <w:r/>
    </w:p>
    <w:p>
      <w:pPr>
        <w:numPr>
          <w:ilvl w:val="0"/>
          <w:numId w:val="14"/>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安装调试验收：检查安装位置、单机功能；</w:t>
      </w:r>
      <w:r/>
    </w:p>
    <w:p>
      <w:pPr>
        <w:numPr>
          <w:ilvl w:val="0"/>
          <w:numId w:val="14"/>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系统联调验收：测试系统联动与稳定性；</w:t>
      </w:r>
      <w:r/>
    </w:p>
    <w:p>
      <w:pPr>
        <w:numPr>
          <w:ilvl w:val="0"/>
          <w:numId w:val="14"/>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最终验收：组织专家评审，用户操作考核通过率≥90%。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4.3</w:t>
      </w:r>
      <w:r>
        <w:rPr>
          <w:rFonts w:hint="eastAsia" w:ascii="宋体" w:hAnsi="宋体" w:eastAsia="宋体" w:cs="宋体"/>
          <w:sz w:val="24"/>
          <w:szCs w:val="24"/>
        </w:rPr>
        <w:t xml:space="preserve">验收文档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须提供不少于4类验收表格，验收不通过项目7日内完成整改并复验。</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2.质量保障与应急服务方案</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聚焦“全周期质量管控与快速应急响应”，本方案至少应包含以下内容：</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（1）总体质量目标</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至少应承诺：设备交付合格率100%，系统稳定运行率≥99.5%（投用前3个月），用户满意度≥90分。</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（2）项目管控措施</w:t>
      </w:r>
      <w:r/>
    </w:p>
    <w:p>
      <w:pPr>
        <w:numPr>
          <w:ilvl w:val="0"/>
          <w:numId w:val="15"/>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进度控制：管理关键节点，延误≥3天启动整改机制；每日报送进度，每周召开协调会。</w:t>
      </w:r>
      <w:r/>
    </w:p>
    <w:p>
      <w:pPr>
        <w:numPr>
          <w:ilvl w:val="0"/>
          <w:numId w:val="15"/>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质量控制：优选具备相关认证的供应商；安装前组织技术交底，调试前进行培训考核，每日现场巡检。</w:t>
      </w:r>
      <w:r/>
    </w:p>
    <w:p>
      <w:pPr>
        <w:numPr>
          <w:ilvl w:val="0"/>
          <w:numId w:val="15"/>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风险预案：备选不少于2家核心设备供应商；场地突发问题配备应急设备；系统故障启用备用设备。</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（3）产品质量保证</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至少应承诺：</w:t>
      </w:r>
      <w:r/>
    </w:p>
    <w:p>
      <w:pPr>
        <w:ind w:firstLine="480"/>
        <w:keepLines w:val="0"/>
        <w:keepNext w:val="0"/>
        <w:pageBreakBefore w:val="0"/>
        <w:spacing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核心设备（如智慧康养机器人、人工智能仿真婴儿、录播系统）质保</w:t>
      </w:r>
      <w:r>
        <w:rPr>
          <w:rFonts w:hint="eastAsia" w:ascii="宋体" w:hAnsi="宋体" w:eastAsia="宋体" w:cs="宋体"/>
          <w:color w:val="auto"/>
          <w:sz w:val="24"/>
          <w:szCs w:val="24"/>
          <w:lang w:val="en-US" w:eastAsia="zh-CN"/>
        </w:rPr>
        <w:t xml:space="preserve">期</w:t>
      </w:r>
      <w:r>
        <w:rPr>
          <w:rFonts w:hint="eastAsia" w:ascii="宋体" w:hAnsi="宋体" w:eastAsia="宋体" w:cs="宋体"/>
          <w:color w:val="auto"/>
          <w:sz w:val="24"/>
          <w:szCs w:val="24"/>
        </w:rPr>
        <w:t xml:space="preserve">≥3年；厂家发布软件更新时，需为我们同步提供免费更新服务，每年同步更新频次≥2次，更新后软件需保障功能正常与环境兼容；</w:t>
      </w:r>
      <w:r>
        <w:rPr>
          <w:rFonts w:hint="eastAsia" w:ascii="宋体" w:hAnsi="宋体" w:eastAsia="宋体" w:cs="宋体"/>
          <w:color w:val="auto"/>
          <w:sz w:val="24"/>
          <w:szCs w:val="24"/>
          <w:lang w:val="en-US" w:eastAsia="zh-CN"/>
        </w:rPr>
        <w:t xml:space="preserve">承诺中标后供货前</w:t>
      </w:r>
      <w:r>
        <w:rPr>
          <w:rFonts w:hint="eastAsia" w:ascii="宋体" w:hAnsi="宋体" w:eastAsia="宋体" w:cs="宋体"/>
          <w:color w:val="auto"/>
          <w:sz w:val="24"/>
          <w:szCs w:val="24"/>
        </w:rPr>
        <w:t xml:space="preserve">提供原厂质检报告及</w:t>
      </w:r>
      <w:r>
        <w:rPr>
          <w:rFonts w:hint="eastAsia" w:ascii="宋体" w:hAnsi="宋体" w:eastAsia="宋体" w:cs="宋体"/>
          <w:color w:val="auto"/>
          <w:sz w:val="24"/>
          <w:szCs w:val="24"/>
          <w:lang w:val="en-US" w:eastAsia="zh-CN"/>
        </w:rPr>
        <w:t xml:space="preserve">相关</w:t>
      </w:r>
      <w:r>
        <w:rPr>
          <w:rFonts w:hint="eastAsia" w:ascii="宋体" w:hAnsi="宋体" w:eastAsia="宋体" w:cs="宋体"/>
          <w:color w:val="auto"/>
          <w:sz w:val="24"/>
          <w:szCs w:val="24"/>
        </w:rPr>
        <w:t xml:space="preserve">认证文件。</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（4）安全与应急保障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安全规程：至少应规定安装阶段断电验电，使用前检查设备牢固度，严禁违规操作。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应急预案</w:t>
      </w:r>
      <w:r>
        <w:rPr>
          <w:rFonts w:hint="eastAsia" w:ascii="宋体" w:hAnsi="宋体" w:eastAsia="宋体" w:cs="宋体"/>
          <w:sz w:val="24"/>
          <w:szCs w:val="24"/>
          <w:lang w:eastAsia="zh-CN"/>
        </w:rPr>
        <w:t xml:space="preserve">（至少应针对以下情况制定预案）</w:t>
      </w:r>
      <w:r>
        <w:rPr>
          <w:rFonts w:hint="eastAsia" w:ascii="宋体" w:hAnsi="宋体" w:eastAsia="宋体" w:cs="宋体"/>
          <w:sz w:val="24"/>
          <w:szCs w:val="24"/>
        </w:rPr>
        <w:t xml:space="preserve">： </w:t>
      </w:r>
      <w:r/>
    </w:p>
    <w:p>
      <w:pPr>
        <w:numPr>
          <w:ilvl w:val="0"/>
          <w:numId w:val="16"/>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设备故障：2小时内调配备用机；</w:t>
      </w:r>
      <w:r/>
    </w:p>
    <w:p>
      <w:pPr>
        <w:numPr>
          <w:ilvl w:val="0"/>
          <w:numId w:val="16"/>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系统崩溃：30分钟内恢复备份数据；</w:t>
      </w:r>
      <w:r/>
    </w:p>
    <w:p>
      <w:pPr>
        <w:numPr>
          <w:ilvl w:val="0"/>
          <w:numId w:val="16"/>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数据丢失：优先从云端恢复。</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4.3</w:t>
      </w:r>
      <w:r>
        <w:rPr>
          <w:rFonts w:hint="eastAsia" w:ascii="宋体" w:hAnsi="宋体" w:eastAsia="宋体" w:cs="宋体"/>
          <w:sz w:val="24"/>
          <w:szCs w:val="24"/>
        </w:rPr>
        <w:t xml:space="preserve">响应机制：实行分级响应（一般/较大/重大），24小时内提交处理报告。</w:t>
      </w:r>
      <w:r/>
    </w:p>
    <w:p>
      <w:pPr>
        <w:ind w:firstLine="482"/>
        <w:keepLines w:val="0"/>
        <w:keepNext w:val="0"/>
        <w:pageBreakBefore w:val="0"/>
        <w:spacing w:line="48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 xml:space="preserve">3.培训方案</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本方案聚焦相关设备操作与维护培训，</w:t>
      </w:r>
      <w:r>
        <w:rPr>
          <w:rFonts w:hint="eastAsia" w:ascii="宋体" w:hAnsi="宋体" w:eastAsia="宋体" w:cs="宋体"/>
          <w:b/>
          <w:bCs/>
          <w:sz w:val="24"/>
          <w:szCs w:val="24"/>
          <w:lang w:val="en-US" w:eastAsia="zh-CN"/>
        </w:rPr>
        <w:t xml:space="preserve">方案至少应包含以下内容：</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（1）培训目标与周期</w:t>
      </w:r>
      <w:r/>
    </w:p>
    <w:p>
      <w:pPr>
        <w:numPr>
          <w:ilvl w:val="0"/>
          <w:numId w:val="17"/>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目标至少应明确：学员能独立操作设备（熟练度≥90%），处理常见故障（成功率≥80%）。</w:t>
      </w:r>
      <w:r/>
    </w:p>
    <w:p>
      <w:pPr>
        <w:numPr>
          <w:ilvl w:val="0"/>
          <w:numId w:val="17"/>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培训周期：总周期不少于10天（2天理论 + 6天实操 + 2天考核）。</w:t>
      </w:r>
      <w:r/>
    </w:p>
    <w:p>
      <w:pPr>
        <w:ind w:firstLine="482"/>
        <w:keepLines w:val="0"/>
        <w:keepNext w:val="0"/>
        <w:pageBreakBefore w:val="0"/>
        <w:spacing w:line="48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 xml:space="preserve">（2）师资与培训安排</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内容至少应涵盖：</w:t>
      </w:r>
      <w:r/>
    </w:p>
    <w:p>
      <w:pPr>
        <w:numPr>
          <w:ilvl w:val="0"/>
          <w:numId w:val="18"/>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师资：至少包含2名理论讲师 + 3名实操讲师。</w:t>
      </w:r>
      <w:r/>
    </w:p>
    <w:p>
      <w:pPr>
        <w:numPr>
          <w:ilvl w:val="0"/>
          <w:numId w:val="18"/>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形式：至少包含现场实操、线上直播与视频教程。</w:t>
      </w:r>
      <w:r/>
    </w:p>
    <w:p>
      <w:pPr>
        <w:numPr>
          <w:ilvl w:val="0"/>
          <w:numId w:val="18"/>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分组：每3–5人一组，按岗位设置差异化内容（教师侧重教学应用，管理员侧重系统维护）。</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（3）培训内容与质量控制</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内容模块</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培训内容至少应涵盖：</w:t>
      </w:r>
      <w:r/>
    </w:p>
    <w:p>
      <w:pPr>
        <w:numPr>
          <w:ilvl w:val="0"/>
          <w:numId w:val="19"/>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家政服务设备操作与维护；</w:t>
      </w:r>
      <w:r/>
    </w:p>
    <w:p>
      <w:pPr>
        <w:numPr>
          <w:ilvl w:val="0"/>
          <w:numId w:val="19"/>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营养膳食设备操作与维护；</w:t>
      </w:r>
      <w:r/>
    </w:p>
    <w:p>
      <w:pPr>
        <w:numPr>
          <w:ilvl w:val="0"/>
          <w:numId w:val="19"/>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婴幼儿照护设备操作与维护；</w:t>
      </w:r>
      <w:r/>
    </w:p>
    <w:p>
      <w:pPr>
        <w:numPr>
          <w:ilvl w:val="0"/>
          <w:numId w:val="19"/>
        </w:numPr>
        <w:ind w:left="0" w:firstLine="480"/>
        <w:keepLines w:val="0"/>
        <w:keepNext w:val="0"/>
        <w:pageBreakBefore w:val="0"/>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机构养老设备操作与维护。</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考核方式</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至少应采用理论笔试（占比30%）与实操考核（占比70%）相结合的方式，总体通过率≥90%，并于培训结束1个月后跟踪评估效果。</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4.售后服务方案 </w:t>
      </w:r>
      <w:r/>
    </w:p>
    <w:p>
      <w:pPr>
        <w:numPr>
          <w:ilvl w:val="0"/>
          <w:numId w:val="0"/>
        </w:num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聚焦“快速响应与长效运维”，本方案至少应包含以下内容：</w:t>
      </w:r>
      <w:r/>
    </w:p>
    <w:p>
      <w:pPr>
        <w:numPr>
          <w:ilvl w:val="0"/>
          <w:numId w:val="0"/>
        </w:num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（1）售后服务响应标准</w:t>
      </w:r>
      <w:r/>
    </w:p>
    <w:p>
      <w:pPr>
        <w:numPr>
          <w:ilvl w:val="0"/>
          <w:numId w:val="0"/>
        </w:num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至少应规定：</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电话响应≤30分钟，市区2小时/郊区4小时到场；</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一般故障≤4小时解决，重大故障≤72小时解决；</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提供7×24小时服务热线。</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（2）服务流程与团队</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流程：至少应包含问题上报、工单分配、诊断、解决、反馈及回访等环节。</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团队：至少配置1名服务经理、2名工程师（硬件/软件各1）、1名客服。</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（3）运维期技术支持</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至少应承诺：</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定期服务：每季度现场巡检（设备状态、线路检查），每半年系统优化（清理缓存、校准传感器、软件升级）。</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备件保障：储备</w:t>
      </w:r>
      <w:r>
        <w:rPr>
          <w:rFonts w:hint="eastAsia" w:ascii="宋体" w:hAnsi="宋体" w:eastAsia="宋体" w:cs="宋体"/>
          <w:sz w:val="24"/>
          <w:szCs w:val="24"/>
          <w:lang w:val="en-US" w:eastAsia="zh-CN"/>
        </w:rPr>
        <w:t xml:space="preserve">不少于</w:t>
      </w:r>
      <w:r>
        <w:rPr>
          <w:rFonts w:hint="eastAsia" w:ascii="宋体" w:hAnsi="宋体" w:eastAsia="宋体" w:cs="宋体"/>
          <w:sz w:val="24"/>
          <w:szCs w:val="24"/>
        </w:rPr>
        <w:t xml:space="preserve">10%常用备件，核心部件3天内调配到位，建立备件台账并每月盘点。</w:t>
      </w:r>
      <w:r/>
    </w:p>
    <w:p>
      <w:pPr>
        <w:ind w:firstLine="482"/>
        <w:jc w:val="left"/>
        <w:keepLines w:val="0"/>
        <w:keepNext w:val="0"/>
        <w:pageBreakBefore w:val="0"/>
        <w:spacing w:line="480" w:lineRule="exact"/>
        <w:widowControl/>
        <w:rPr>
          <w:rFonts w:hint="eastAsia" w:ascii="宋体" w:hAnsi="宋体" w:cs="宋体"/>
          <w:b/>
          <w:bCs/>
          <w:color w:val="auto"/>
          <w:sz w:val="24"/>
          <w:szCs w:val="24"/>
          <w:lang w:val="en-US" w:eastAsia="zh-CN"/>
          <w14:ligatures w14:val="none"/>
        </w:rPr>
      </w:pPr>
      <w:r>
        <w:rPr>
          <w:rFonts w:hint="eastAsia" w:ascii="宋体" w:hAnsi="宋体" w:cs="宋体"/>
          <w:b/>
          <w:bCs/>
          <w:color w:val="auto"/>
          <w:sz w:val="24"/>
          <w:szCs w:val="24"/>
          <w:lang w:val="en-US" w:eastAsia="zh-CN"/>
        </w:rPr>
        <w:t xml:space="preserve">八、采购标的对应的中小企业划分标准所属行业一览表</w:t>
      </w:r>
      <w:r/>
    </w:p>
    <w:tbl>
      <w:tblPr>
        <w:tblStyle w:val="70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70"/>
        <w:gridCol w:w="3723"/>
        <w:gridCol w:w="3906"/>
      </w:tblGrid>
      <w:tr>
        <w:trPr>
          <w:jc w:val="center"/>
          <w:trHeight w:val="509"/>
        </w:trPr>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97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bCs/>
                <w:lang w:eastAsia="zh-CN"/>
              </w:rPr>
              <w:suppressLineNumbers w:val="0"/>
            </w:pPr>
            <w:r>
              <w:rPr>
                <w:rFonts w:hint="eastAsia"/>
                <w:b/>
                <w:bCs/>
                <w:lang w:val="en-US" w:eastAsia="zh-CN"/>
              </w:rPr>
              <w:t xml:space="preserve">序号</w:t>
            </w:r>
            <w:r/>
          </w:p>
        </w:tc>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372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bCs/>
              </w:rPr>
              <w:suppressLineNumbers w:val="0"/>
            </w:pPr>
            <w:r>
              <w:rPr>
                <w:rFonts w:hint="eastAsia"/>
                <w:b/>
                <w:bCs/>
              </w:rPr>
              <w:t xml:space="preserve">采购标的</w:t>
            </w:r>
            <w:r/>
          </w:p>
        </w:tc>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390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bCs/>
              </w:rPr>
              <w:suppressLineNumbers w:val="0"/>
            </w:pPr>
            <w:r>
              <w:rPr>
                <w:rFonts w:hint="eastAsia"/>
                <w:b/>
                <w:bCs/>
              </w:rPr>
              <w:t xml:space="preserve">对应中小企业划分标准所属行业</w:t>
            </w:r>
            <w:r/>
          </w:p>
        </w:tc>
      </w:tr>
      <w:tr>
        <w:trPr>
          <w:jc w:val="center"/>
          <w:trHeight w:val="797"/>
        </w:trPr>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97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rPr>
              <w:suppressLineNumbers w:val="0"/>
            </w:pPr>
            <w:r>
              <w:rPr>
                <w:rFonts w:hint="eastAsia"/>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372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eastAsiaTheme="minorEastAsia"/>
                <w:lang w:eastAsia="zh-CN"/>
              </w:rPr>
              <w:suppressLineNumbers w:val="0"/>
            </w:pPr>
            <w:r>
              <w:rPr>
                <w:rFonts w:hint="eastAsia"/>
                <w:lang w:eastAsia="zh-CN"/>
              </w:rPr>
              <w:t xml:space="preserve">院幼儿健康与护理家政服务专业设备采购项目</w:t>
            </w:r>
            <w:r/>
          </w:p>
        </w:tc>
        <w:tc>
          <w:tcPr>
            <w:shd w:val="clear" w:color="auto" w:fill="auto"/>
            <w:tcBorders>
              <w:top w:val="single" w:color="000000" w:sz="6" w:space="0"/>
              <w:left w:val="single" w:color="000000" w:sz="6" w:space="0"/>
              <w:bottom w:val="single" w:color="000000" w:sz="6" w:space="0"/>
              <w:right w:val="single" w:color="000000" w:sz="6" w:space="0"/>
            </w:tcBorders>
            <w:tcMar>
              <w:left w:w="120" w:type="dxa"/>
              <w:top w:w="120" w:type="dxa"/>
              <w:right w:w="120" w:type="dxa"/>
              <w:bottom w:w="120" w:type="dxa"/>
            </w:tcMar>
            <w:tcW w:w="390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rPr>
              <w:suppressLineNumbers w:val="0"/>
            </w:pPr>
            <w:r>
              <w:rPr>
                <w:rFonts w:hint="eastAsia"/>
                <w:lang w:eastAsia="zh-CN"/>
              </w:rPr>
              <w:t xml:space="preserve">工业</w:t>
            </w:r>
            <w:r/>
          </w:p>
        </w:tc>
      </w:tr>
    </w:tbl>
    <w:p>
      <w:pPr>
        <w:pStyle w:val="901"/>
        <w:rPr>
          <w:rFonts w:hint="eastAsia" w:hAnsi="宋体"/>
          <w:sz w:val="36"/>
          <w:szCs w:val="36"/>
          <w:lang w:val="en-US" w:eastAsia="zh-CN"/>
        </w:rPr>
      </w:pPr>
      <w:r>
        <w:rPr>
          <w:rFonts w:hint="eastAsia" w:hAnsi="宋体"/>
          <w:sz w:val="36"/>
          <w:szCs w:val="36"/>
          <w:lang w:val="en-US" w:eastAsia="zh-CN"/>
        </w:rPr>
      </w:r>
      <w:r/>
    </w:p>
    <w:p>
      <w:pPr>
        <w:pStyle w:val="901"/>
        <w:rPr>
          <w:rFonts w:hint="eastAsia"/>
        </w:rPr>
      </w:pPr>
      <w:r>
        <w:rPr>
          <w:rFonts w:hint="eastAsia" w:hAnsi="宋体"/>
          <w:sz w:val="36"/>
          <w:szCs w:val="36"/>
          <w:lang w:val="en-US" w:eastAsia="zh-CN"/>
        </w:rPr>
        <w:t xml:space="preserve">项目具体要求（</w:t>
      </w:r>
      <w:r>
        <w:rPr>
          <w:rFonts w:hint="eastAsia"/>
          <w:sz w:val="36"/>
          <w:szCs w:val="36"/>
          <w:lang w:val="en-US" w:eastAsia="zh-CN"/>
        </w:rPr>
        <w:t xml:space="preserve">分包二）</w:t>
      </w:r>
      <w:r>
        <w:rPr>
          <w:rFonts w:hint="eastAsia"/>
          <w:sz w:val="36"/>
          <w:szCs w:val="36"/>
        </w:rPr>
        <w:t xml:space="preserve"> </w:t>
      </w:r>
      <w:r>
        <w:rPr>
          <w:rFonts w:hint="eastAsia"/>
        </w:rPr>
        <w:t xml:space="preserve">   </w:t>
      </w:r>
      <w:r/>
    </w:p>
    <w:p>
      <w:pPr>
        <w:pStyle w:val="901"/>
        <w:jc w:val="left"/>
        <w:rPr>
          <w:rFonts w:hint="eastAsia"/>
        </w:rPr>
      </w:pPr>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r/>
    </w:p>
    <w:p>
      <w:pPr>
        <w:pStyle w:val="919"/>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一、货物清单</w:t>
      </w:r>
      <w:r>
        <w:rPr>
          <w:rFonts w:hint="eastAsia" w:ascii="宋体" w:hAnsi="宋体" w:eastAsia="宋体" w:cs="宋体"/>
          <w:b/>
          <w:bCs/>
          <w:color w:val="000000"/>
          <w:sz w:val="24"/>
          <w:szCs w:val="24"/>
          <w:highlight w:val="none"/>
        </w:rPr>
        <w:t xml:space="preserve">：</w:t>
      </w:r>
      <w:r/>
    </w:p>
    <w:tbl>
      <w:tblPr>
        <w:tblStyle w:val="707"/>
        <w:tblW w:w="90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3"/>
        <w:gridCol w:w="3360"/>
        <w:gridCol w:w="510"/>
        <w:gridCol w:w="500"/>
        <w:gridCol w:w="2455"/>
        <w:gridCol w:w="1468"/>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安装位置</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老年人能力评估系统</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健康检测终端</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老年人能力评估全套设备</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便捷式健康一体机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认知症预防干预服务机器人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轮椅秤</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日常生活评估辅具展板</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进食辅具评估展板</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体征数据测量评估展板</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智慧评估实训室</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洗漱评估展板</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智慧评估实训室</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人脸与身份信息识别智能终端</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智慧评估实训室</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身份证读卡器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智慧评估实训室</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智能数字实训终端</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运动康复评估系统</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智能拐杖</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智能防摔倒防护马甲</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健康管理机器人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电动起立床</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上下肢运动康复训练机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简易运动训练套装</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智能化硬件单床解决设备</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智能护理机器人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便携式智能洗浴机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none" w:color="000000" w:sz="4" w:space="0"/>
              <w:right w:val="non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大小便护理机器人（物联版）</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大小便智能护理床</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人体全身模型170cm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人体骨架（全身骨骼模型）170cm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压疮仿真模型</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高级瘘管造口术护理模型</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高级压疮(褥疮)护理模型</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雷达智慧健康监测仪</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雷达摔倒探测器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健康陪伴机器人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理疗机器人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智慧照护一体化工作站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b/>
                <w:bCs/>
                <w:i w:val="0"/>
                <w:iCs w:val="0"/>
                <w:color w:val="0000ff"/>
                <w:sz w:val="21"/>
                <w:szCs w:val="21"/>
                <w:u w:val="none"/>
                <w:lang w:val="en-US" w:eastAsia="zh-CN" w:bidi="ar"/>
              </w:rPr>
              <w:t xml:space="preserve">核心产品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智能驾驶轮椅机器人</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智能助行机器人</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b/>
                <w:bCs/>
                <w:i w:val="0"/>
                <w:iCs w:val="0"/>
                <w:color w:val="0000ff"/>
                <w:sz w:val="21"/>
                <w:szCs w:val="21"/>
                <w:u w:val="none"/>
                <w:lang w:val="en-US" w:eastAsia="zh-CN" w:bidi="ar"/>
              </w:rPr>
              <w:t xml:space="preserve">核心产品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电动站立行走训练机器人</w:t>
            </w:r>
            <w:r/>
          </w:p>
        </w:tc>
        <w:tc>
          <w:tcPr>
            <w:shd w:val="clear" w:color="auto" w:fill="auto"/>
            <w:tcBorders>
              <w:top w:val="single" w:color="000000" w:sz="4" w:space="0"/>
              <w:left w:val="single" w:color="000000" w:sz="4" w:space="0"/>
              <w:bottom w:val="non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智能屏</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智能门锁</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智慧医养月光宝盒</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火柴人摄像头</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适老化卧室全套设备</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适老化浴室和洗手间全套设备</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适老化客厅全套设备</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适老化餐厅和厨房全套设备</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床椅一体机器人</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人体成分分析仪</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老年人膳食宝塔模型</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高血压膳食宝塔模型</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糖尿病膳食宝塔模型</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家用睡眠呼吸机</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血压计（物联版)</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血糖仪（物联版)</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艾灸机器人</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亚健康检测仪（配套健康风险评估管理虚拟仿真实验系统）</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33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社区养老益智游戏设备</w:t>
            </w:r>
            <w:r/>
          </w:p>
        </w:tc>
        <w:tc>
          <w:tcPr>
            <w:shd w:val="clear" w:color="auto" w:fill="auto"/>
            <w:tcBorders>
              <w:top w:val="single" w:color="000000" w:sz="4" w:space="0"/>
              <w:left w:val="single" w:color="000000" w:sz="4" w:space="0"/>
              <w:bottom w:val="single" w:color="000000" w:sz="4" w:space="0"/>
              <w:right w:val="none" w:color="000000" w:sz="4" w:space="0"/>
            </w:tcBorders>
            <w:tcW w:w="5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c>
          <w:tcPr>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19"/>
        <w:jc w:val="both"/>
        <w:keepLines w:val="0"/>
        <w:keepNext w:val="0"/>
        <w:pageBreakBefore w:val="0"/>
        <w:spacing w:beforeAutospacing="0" w:afterAutospacing="0" w:line="480" w:lineRule="exact"/>
        <w:widowControl w:val="off"/>
        <w:rPr>
          <w:rFonts w:hint="eastAsia" w:ascii="宋体" w:hAnsi="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rPr>
        <w:t xml:space="preserve">注：本项目核心产品为</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u w:val="single"/>
          <w:lang w:val="en-US" w:eastAsia="zh-CN"/>
        </w:rPr>
        <w:t xml:space="preserve">理疗机器人、智能助行机器人</w:t>
      </w:r>
      <w:r/>
    </w:p>
    <w:p>
      <w:pPr>
        <w:pStyle w:val="919"/>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二、技术要求</w:t>
      </w:r>
      <w:r/>
    </w:p>
    <w:tbl>
      <w:tblPr>
        <w:tblStyle w:val="707"/>
        <w:tblW w:w="90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3"/>
        <w:gridCol w:w="779"/>
        <w:gridCol w:w="6150"/>
        <w:gridCol w:w="469"/>
        <w:gridCol w:w="493"/>
        <w:gridCol w:w="709"/>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安装位置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老年人能力评估系统</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711"/>
              <w:ind w:left="0" w:right="0"/>
              <w:keepLines w:val="0"/>
              <w:keepNext w:val="0"/>
              <w:spacing w:before="0" w:beforeAutospacing="0" w:after="0" w:afterAutospacing="0"/>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一、CGA老年人能力评估系统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1.问卷指标体系：一级指标 4 项（含自理能力、基础运动能力、精神状态、感知觉与社会参与），二级指标 26 项（其中自理能力 8 项、基础运动能力 4 项、精神状态 9 项、感知觉与社会参与 5 项），完全符合《老年人能力评估规范》国家标准（GB/T 42195-2022）的要求。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2.多机构管理功能：支持多机构独立运营管理，为每个机构配置专属独立管理账号，保障数据隔离与权限管控。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3.团队管理功能：机构管理员可在独立机构账号下创建评估团队，并对团队成员进行新增、删除、修改、查询等全流程管理操作。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4.评估人员配置：系统可支持预录入5名及以上评估师信息，满足评估团队组建的国标要求，后期将由使用方根据实际需要替换或补充真实人员信息，保障评估工作的专业化开展。</w:t>
            </w:r>
            <w:r/>
          </w:p>
          <w:p>
            <w:pPr>
              <w:pStyle w:val="711"/>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5.报告生成与导出：评估问卷填写完成并经相关人员电子签字确认后，系统可自动生成标准化老年人能力评估报告，支持 PDF 格式导出；同时支持评估问卷单独导出，保障数据留存与复用。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6.用户查询功能：支持通过手机号、姓名、身份证号等关键信息对用户进行精准查询，提升数据检索效率。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7.评估历史追溯：可完整查看用户历次评估的问卷原始数据及评估结果，支持评估问卷数据与报告结果导出，满足追溯核查需求。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8.多终端适配：支持电脑端与平板端登录使用，适配不同场景下的评估操作需求。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9.功能性体适能评估模块：内置老年人功能性体适能评估系统，须具备对老年人身体形态、身体机能（有氧耐力）、身体素质（力量、柔韧性、平衡功能）等进行定量评估与数据管理的能力。系统评估指标应包含但不限于：身高、体重、臂围、腰围、BMI、握力、30秒坐站实验、2.5米计时起立行走实验、坐椅体前屈等。（供应商须提供该模块对上述不同类型指标中至少5项进行评估操作与结果记录的功能演示视频）。</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ff"/>
                <w:sz w:val="21"/>
                <w:szCs w:val="21"/>
                <w:lang w:val="en-US" w:eastAsia="zh-CN" w:bidi="ar-SA"/>
              </w:rPr>
              <w:t xml:space="preserve">●10.评估前筛查机制：在开展老年人功能性体适能评估之前，系统需先引导完成运动前风险筛查问卷与疾病史调查问卷。其中，运动前风险筛查问卷应涵盖病史、症状、相关健康问题以及心血管风险因素等核心内容；疾病史调查问卷应涵盖疾病名称、患病时间、用药情况、疾病控制情况等核心信息（需提供功能演示视频，清晰展现问卷填写界面与筛查逻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11.风险预警功能：当运动前风险筛查结果或疾病史调查情况表明不满足体适能评估安全要求时，系统应自动弹出警示窗口进行明确提醒。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w:t>
            </w:r>
            <w:r>
              <w:rPr>
                <w:rFonts w:hint="eastAsia" w:ascii="宋体" w:hAnsi="宋体" w:eastAsia="宋体" w:cs="宋体"/>
                <w:color w:val="0000ff"/>
                <w:sz w:val="21"/>
                <w:szCs w:val="21"/>
                <w:lang w:val="en-US" w:eastAsia="zh-CN" w:bidi="ar-SA"/>
              </w:rPr>
              <w:t xml:space="preserve">12.CGA评估适配判定：系统须具备基于问卷采集信息，自动判定老年人是否适合接受标准CGA评估的功能。判定逻辑须符合临床常识，对于经系统识别为不适合进行评估的个案（如健康老人或疾病终末期、完全功能丧失等严重情况的老年人），系统应能自动弹出窗口进行明确提示。（供应商须提供针对“健康老人”和“患有严重疾病老人”两种模拟案例，系统能正确弹出提醒窗口的功能演示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color w:val="0000ff"/>
                <w:sz w:val="21"/>
                <w:szCs w:val="21"/>
                <w:lang w:val="en-US" w:eastAsia="zh-CN" w:bidi="ar-SA"/>
              </w:rPr>
              <w:t xml:space="preserve">●13.干预方案生成：系统可基于评估结果自动生成个性化的老年人干预方案报告。报告须包含食谱建议与运动建议两部分核心内容。其中，食谱建议应提供符合营养学标准的膳食安排，内容至少涵盖餐次、主要食材及营养构成说明；运动建议应涵盖有氧运动、肌肉力量/耐力训练、柔韧性练习及安全注意事项等核心要素。（供应商须提供基于一套模拟评估数据，系统生成包含上述核心内容的干预方案报告的功能演示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color w:val="0000ff"/>
                <w:sz w:val="21"/>
                <w:szCs w:val="21"/>
                <w:lang w:val="en-US" w:eastAsia="zh-CN" w:bidi="ar-SA"/>
              </w:rPr>
              <w:t xml:space="preserve">●14.内置标准化问卷：系统内置老年人常见标准化问卷评估表，至少包含老年抑郁调查表(GDS)、老年患者骨质疏松风险评估表、肺炎严重度指数、肿瘤治疗后生活质量评价表(FACT-L)、帕金森调查表(NMSS)、老年听力障碍筛查量表、老年口腔健康评价指数（GOHAI）等，满足多场景评估需求（供应商须提供功能演示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二、工作站台车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1.外观设计：台车采用带滚轮设计，便于移动部署，符合办公及评估场景使用需求。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2.配套设备：配备鼠标、键盘等标准输入设备，满足系统操作需求。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3.主机配置：采用一体式主机显示器，集成度高，节省使用空间。</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4.硬件参数：CPU 需为双核及以上配置；内存容量≥8GB；固态硬盘容量≥512GB，保障系统运行与数据存储效率。</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5.网络接口：集成千兆网卡，配备标准网线接口，支持稳定网络连接。</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6.电源适配：配备 60W 电源适配器，满足设备供电需求。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7.工作环境温度：10℃-30℃（运行环境温度范围）。</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8.工作环境湿度：相对湿度≤80%（非凝结状态）。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9.供电要求：适配电源规格为 220V±22V，50Hz±1Hz。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10.功率消耗：设备正常运行时功率消耗≤400W。</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健康检测终端</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1.总体要求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1.1产品整体一体式设计，外观整洁美观，使用方便。外形尺寸应便于在常规办公及社区环境中移动与部署（建议参考尺寸：长度≤1600mm，宽度≤600mm），重量≤70kg。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1.2为方便使用，身高体重秤应能灵活摆放，支持在设备左侧或右侧进行集成安装。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应集成身份识别登录模块及多项生理参数检测功能。检测功能应至少涵盖：身高、体重、BMI、血压、体温、血氧饱和度、脉搏、人体成分、心电图、血糖、尿酸、总胆固醇、血脂等核心指标。系统应支持通过有线或无线网络方式，将测量数据上传至健康管理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3.健康管理系统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 健康小站软件系统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1)支持至少两种及以上登录方式，如二代身份证识别、二维码扫描等；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2)测量引导界面应提供清晰的指引，如通过图文、语音或视频等方式，帮助居民自助使用设备；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3)支持微信扫一扫登录；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4)支持扫描一/二维码登录系统；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5)系统应采用引导式测量流程，在一项测量完成后能自动或提示进入下一项目，流程清晰便捷；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6)系统中的检测项目应支持由管理员根据实际需求进行启用或关闭，以实现灵活的体检套餐配置；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7)系统应提供标准数据接口，支持与第三方平台对接；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8)支持系统维护功能，如远程连接诊断、日志查看、时间同步等；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9)具备本地数据统计功能，可统计各测量项目的使用次数、上传记录、每日测量人次等；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10)设备应集成热敏打印机，并具备自动切纸功能。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4.全自动身高体重秤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1)功能：全自动测量身高、体重，并具备数据传输功能；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2)身高测量方式：应采用自动化非接触式测量技术（如超声波、激光等），确保测量精度和安全性；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3)使用电压：AC110-220V 50/60Hz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4)身高测量范围及精度：范围：60－200cm 精度：±0.5cm；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)体重测量范围及精度：范围：1－300kg 精度：±0.1kg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6)数据通讯：支持RS-232或USB等标准通讯接口。</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5.全自动血压计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1)血压计结构：应为上臂式，保障测量准确性。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2)测量范围： 压力（0～280）mmHg［(0～37.3)kPa］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3)测量准确度： 压</w:t>
            </w:r>
            <w:r>
              <w:rPr>
                <w:rFonts w:hint="eastAsia" w:ascii="宋体" w:hAnsi="宋体" w:eastAsia="宋体" w:cs="宋体"/>
                <w:i w:val="0"/>
                <w:iCs w:val="0"/>
                <w:color w:val="000000"/>
                <w:sz w:val="21"/>
                <w:szCs w:val="21"/>
                <w:u w:val="none"/>
                <w:lang w:val="en-US" w:eastAsia="zh-CN" w:bidi="ar"/>
              </w:rPr>
              <w:t xml:space="preserve">力±3mmHg(±0.4kPa)以内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4)电击保护：B型应用部分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6.指夹式血氧仪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1)测量方式：指夹式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2)测量误差：在70%~100%范围内，测量误差为±2%；其中测量误差中的“%”为脉搏血氧饱和度百分比；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3)脉率检测误差：30~250bpm范围内，监测误差为±2bpm或±2%，两者取最大；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4)安全与性能标准：应符合YY 0784-2010《医用电气设备 医用脉搏血氧仪设备基本安全和主要性能专用要求》或现行有效的国家/行业标准。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7.二代身份证读卡器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1)产品标准：应符合国家主管部门对居民身份证阅读机具的认证标准要求；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2）读取方式：非接触式读取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8.人体成分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1)测量原理：应采用生物电阻抗法（BIA）等科学方法进行体成分分析；</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2)分析内容：应至少包含脂肪率、体水分率等核心身体成分指标。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9.红外额温枪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1)显示指引：应具备不同体温区间的视觉提示功能（如绿、黄、红三色背光或屏幕提示）；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2)自动关机：不大于18秒；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3)红外测量法，1s快速测温；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4)感温部：非接触式红外线传感器（红外额温）；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5)测量范围：体温模式34℃~42.9℃；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6)测量精度:34℃~34.9℃，±0.3℃；35℃~42℃，±0.2℃；42.1℃~42.9℃，±0.3℃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7)测量距离：5-15cm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8)测量时间：＜2秒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9)显示分辨率：0.1℃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10.心电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1）检测通道数：至少1个通道。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2）电极配置：应提供不少于3个测量电极（可采用一体化金属电极或通过导联线连接电极片）。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3）测量部位：所测心电信号可为标准 I 导联（右手与左手之间），或胸导联（右手和胸部靠近心脏的部位之间），或 II 导联（右手与左腿之间），外接导联线测量部位。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4）幅频特性：1Hz~40Hz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5）内部噪声：≤30μVp-p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6）心率测量范围：30bpm~240bpm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7）心率测量精度：±2bpm 或±2%两者取最大值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8）波形显示灵敏度：5.0mm/mV；误差：±10%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9）共模抑制比： ≥60dB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10）扫描速度：20mm/s；误差：±10%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11）输入回路电流：≤ 0.1 μA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12）输入阻抗： ≥5MΩ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血糖、尿酸及总胆固醇检测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1)测量指标：血糖值，尿酸值，总胆固醇值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2)测量原理：应采用电化学法等成熟的生物传感技术。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3)测量时间：应为快速检测，单次测量时间原则上不超过30秒。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4)数据通讯：支持USB或蓝牙等标准方式进行数据传输。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12.血脂测量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1）检测内容∶应能检测全血中总胆固醇中总胆固醇（TC）、高密度脂蛋白胆固醇（HDL）和甘油三酯（TG）的含量，并可计算出TC/HDL 及低密度脂蛋白胆固醇（LDL）的数值。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2）测试范围应覆盖临床常见值如：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TC：2.59mmol/L ~12.93mmol/L（100mg/dL~500mg/dL）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HDL: 0.39mmol/L ~2.59 mmol/L（15mg/dL~100mg/dL）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TG：0.51mmol/L ~7.34 mmol/L（45mg/dL~650mg/dL）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3）标本类型：支持末梢全血或静脉全血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4）数据传输：支持蓝牙或USB等无线/有线传输方式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5）数据存储：设备应具备本地数据存储能力，可存储不少于300组历史记录。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13.终端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1)配置不小于15.6英寸的触摸显示屏，分辨率不低于1920*1080（Full HD），操作流畅。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2)核心处理单元：性能应满足设备多任务流畅运行需求（建议配置：CPU主频≥1.3GHz，运行内存≥4GB，存储空间≥128GB）。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3)通讯接口：应具备丰富的标准接口，如RJ45、Wi-Fi、蓝牙、USB等，满足外设连接与网络通信需求。</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none" w:color="000000" w:sz="4" w:space="0"/>
              <w:bottom w:val="non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老年人能力评估全套设备</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一、测试量化对照表（1套）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1、产品描述：长者照护等级评估流程标识牌，用于展示评估流程、项目、数据及注意事项。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2、技术要求：1套（共12张），采用KT板或同等及以上耐用性的材质，确保内容清晰、耐用。单块标识牌尺寸应便于悬挂与观看（建议参考尺寸：长600mm*宽450mm左右）。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二、跨越障碍（1套）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1、测试项目：用于评估老年人的平衡能力、下肢肌力、髋关节活动度、步态稳定性及跌倒风险。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2、测试内容：模拟日常上下楼梯及跨越高低落差的情景。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3、安全要求：测试前应进行安全筛查，严重心肺疾病及骨折初愈者慎用。测试全程须有专人保护，防止跌倒。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4、材质与结构：应采用高强度工程塑料（如ABS）等坚固耐用材质。建议宽度44厘米，结构应可拆卸、便于搬运与存储，重量轻便。</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5、规格：设备应提供至少3种不同高度档位（例如：低、中、高三档，建议可调节高度为14cm，24cm，29cm），以适应不同能力的老年人进行测试。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6、颜色：建议黄色，红色，橙色，绿色，蓝色等。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三、进食测试（四方蝴蝶桌）（1张）。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1、功能描述：用于进行进食能力评估，观察老年人使用餐具、抓握、吞咽等能力，为选择辅助餐具提供依据。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2、材质：桌面为多层实木板，桌腿为实木；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3、建议参考尺寸：尺寸应满足多人围坐及摆放测试用品需求，不小于1100*1100*750mm。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四、仪器柜（1张）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1、功能描述：用于存放评估测试用品及相关设备；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2、材质：多层实木板，进行日常评估设备的放置及相关物品储存；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3、建议参考尺寸：尺寸应满足存储需求，不小于1100mm*800mm*400mm。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五、基础体征检测测试（测试仪器桌）（1张）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1、功能描述：用于进行血压、血氧等基础生命体征测量，并完成信息登记。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2、材质：多层实木板；桌面应平整坚固，易于清洁；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3、建议参考尺寸：应满足摆放检测设备和操作需求，不小于1000*550*750mm。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六、认知障碍测试、视力测试（测试仪器桌）（1张）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1、功能描述：用于进行认知障碍筛查（如记忆、计算、理解、手眼协调等能力）及视力测试。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2、材质：桌面为多层实木板，桌腿为实木。认知测试区及社会沟通，用于摆放认知测试用品，桌体应稳固，为测试提供良好平台。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七、适老化扶手椅（2张）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1、材质：曲木+防水PU材质；应符合老年人人体工学设计，坐感舒适，倚靠安全。边角应做圆角处理，无锐利棱角。椅腿设计应稳固，防滑防倾倒。。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建议参考尺寸：约535*495*415mm、扶手610mm、靠背800mm。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八、辅助连体筷（1双）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商品重量：绿色/红色、商品尺寸：20cm、耐热温度不低于：100℃、商品材质：PBT树脂、硅胶、聚氨酯烤漆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九、喂食勺子（1个）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材质：塑料部位/聚丙烯金属部/XM-7不锈钢耐热温度不低于：120℃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十、辅助叉子（1个）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材质：塑料部位/聚丙烯金属部/XM-7不锈钢耐热温度不低于：120℃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十一、辅助碗（1个）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1、材质：PET树脂、ABS树脂；耐热温度：-20℃-140℃；进食障碍时，辅助器具的选择。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规格：重约110g；容量约350ml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十二、餐盘（1个）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1、材质：脚部/弹性体，耐热温度不低于：140℃；进食障碍时，辅助器具的选择。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：重约72g,直径约140mm,聚丙烯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十三、身高体重测量仪（1台）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1、功能与结构：用于自动测量身高与体重。设备应为一体式设计，结构稳固，确保测量过程安全。机身及底座应采用金属或同等强度及耐用性的材质。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2、材质与精度：机身应稳固耐用。体重测量范围应覆盖3-200kg，分度值不大于50g；身高测量范围应覆盖95-200cm，误差不高于±0.5cm；应配备清晰易读的显示屏，可同时显示身高、体重及BMI值。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十四、血压计（1台）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1、功能：全自动上臂式血压计，能自动调节加压。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2、技术要求：测量范围应覆盖0-299mmHg (0-39.9kPa)，脉搏数40-180次/分，压力测量精度压力测量误差不高于±3mmHg (±0.4kPa)。标配臂带，其适用范围应能适配老年人群（建议参考范围：臂围22-32cm）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十五、血氧测量仪（1台）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1、安全类型：应符合中国医疗器械相关法规要求，类型不低于2类BF型应用设备。</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2、屏幕显示：应配备高清显示屏，能清晰显示血氧饱和度、脉率、脉搏波形等关键参数。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3、供电方式：支持电池供电，确保单次更换电池后可满足常规评估时段内的连续使用需求。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4、血氧测量范围：35%~100%。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5、血氧测量精度：在70%~100%范围内，精度应符合行业通用标准（例如：80%~100%区间±2%；70%~79%区间±3%）。</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6、脉率测量范围：25bpm~250bpm。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7、脉率测量精度：误差不高于±3bpm或±2%（取最大值）。</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8、物理特性：设备应轻便、小巧，便于持握与携带。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9、工作环境：应能在常规室内环境（温度5℃~40℃，相对湿度15%~80%，无凝结）下稳定运行。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十六、视力表（1张）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要求：用于老年人视力评估与常见眼病初步筛查。设备应支持在光线充足环境下进行视力辨别测试，允许测试者佩戴日常眼镜。设备应整合标准对数视力表与阿姆斯勒方格表等功能，能够辅助筛查黄斑病变、青光眼、白内障等老年人常见眼疾，并为提出就医建议提供依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2、显示与亮度：应采用背光式标准化视力表，确保白底亮度均匀、无眩光，视觉体验舒适，亮度参数应符合相关行业标准。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3、电气要求：设备应适配常规市电，内置电源适配器应满足宽电压输入（AC 100-240V）要求，运行稳定安全。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4、测试与记录：测试距离应符合临床规范。视力记录方法应同时支持小数记录和5分记录等通用标准。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5、结构与材质：设备外壳应使用坚固耐用的材质（如工程塑料等），整体结构应便于握持、放置与清洁。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十七、模拟时钟（1个）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1、功能要求：用于老年人认知功能评估（如画钟测试）。时钟盘面应清晰、简洁，时分秒指针齐全，且指针可手动调节，以满足不同测试场景的需求。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2、材质与安全：应选用环保、安全的材质制成，整体结构稳固，边角处理圆润，无锐利棱角。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3、规格：时钟尺寸应适中，便于评估者持握、展示与被评估者观察。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十八、几何图形插板（1张）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1、功能要求：用于评估老年人的形状识别、颜色辨别及手眼协调能力。插板应包含多种基本几何形状（至少包括圆形、半圆形、三角形、长方形、正方形等），形状标准，色彩对比分明。</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2、材质与安全：插板及几何模块应使用环保、安全的材质，表面光滑，无毛刺，确保使用安全。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3、规格：插板整体尺寸与几何模块大小应设计合理，便于老年人抓取和放置，建议参考尺寸520×420×50mm。</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便捷式健康一体机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一、产品描述</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健康一体机应满足便携式健康体检需求，能适应多种应用场景。产品应采用集成化设计，将所有检测设备收纳于一个便携式设备箱内，支持通过主控平板统一管理、显示和数据传输，并具备良好的硬件扩展能力。</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二、产品规格</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1.规格：设备应集成于一个坚固的便携式设备箱内，整体尺寸设计应便于单人携带与运输。</w:t>
            </w:r>
            <w:r/>
          </w:p>
          <w:p>
            <w:pPr>
              <w:ind w:left="0" w:right="0"/>
              <w:jc w:val="left"/>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2.结构：设备箱应采用金属或同等强度及耐用性的材质，符合医疗设备外观与防护要求。 </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3.设备连接：箱内所有检测设备与主控平板之间应实现无线连接（如蓝牙、Wi-Fi等），避免箱内布线杂乱，确保开箱即用；</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4.数据传输：主控平板应支持Wi-Fi及移动网络（如4G/5G）等多种联网方式，确保在不同场景下能将检测数据上传至管理平台；</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5.核心功能：一体机应集成并至少能实现以下基本健康监测与告警功能：血压、体温、血糖、血氧监测，以及睡眠监测、跌倒监测、烟雾告警、SOS紧急告警。</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三、产品配置</w:t>
            </w:r>
            <w:r/>
          </w:p>
          <w:p>
            <w:pPr>
              <w:ind w:left="0" w:right="0"/>
              <w:jc w:val="left"/>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总体要求：以下所有外设组件均应能与主控平板稳定连接，并集成于一体机系统内协同工作。</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①血压仪 一台 </w:t>
            </w:r>
            <w:r/>
          </w:p>
          <w:p>
            <w:pPr>
              <w:ind w:left="0" w:right="0"/>
              <w:jc w:val="left"/>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测量原理：示波法</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性能要求：测量范围应覆盖0mmHg-280mmHg；脉率测量范围40-199次/分钟；压力测量精度应优于±3mmHg，脉率(心率)应优于±5%。</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②血糖仪 一台</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性能要求：测量单位应为mmol/L；测量时间应满足快速检测需求；</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③指夹式脉搏血氧仪 一台</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性能要求：血氧饱和度测量范围35%-100%；脉率测量范围25BPM-250BPM；</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④红外体温计 一台</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性能要求：内部电源供电应能快速、非接触地测量体温。</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⑤毫米波雷达跌倒监测仪 一台</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功能要求：应能通过非接触方式监测特定区域内人体跌倒事件。</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连接方式：支持Wi-Fi或蓝牙连接。</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⑥生命体征探测器（睡眠监测） 一台</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功能要求：应能监测睡眠期间的心率、呼吸等关键生命体征。</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连接方式：支持无线连接（如Wi-Fi）。</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⑦温湿度探测器 一台</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功能要求：用于监测环境温湿度。</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通信与组网：应通过低功耗无线通信技术（如Zigbee、蓝牙等）与智能网关或系统主设备稳定组网。</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性能要求：在典型室内环境下，通信应稳定可靠。</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⑧智能按钮(SOS报警器)（一台）</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功能要求：用于紧急情况下的SOS报警，应设计有便于老年人操作的物理按键。</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通信与组网：应通过低功耗无线通信技术（如Zigbee、蓝牙等）与智能网关或系统主设备稳定组网，确保报警信号可靠传输。</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⑨感烟探测器（一台）</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功能要求：用于监测烟雾火灾隐患，及时发出警报。</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通信与组网：应通过低功耗无线通信技术（如Zigbee、蓝牙等）与智能网关或系统主设备稳定组网。</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监测性能：其监测范围与灵敏度应能满足常规居室/房间的覆盖需求，符合国家相关消防标准。</w:t>
            </w:r>
            <w:r>
              <w:rPr>
                <w:rStyle w:val="921"/>
                <w:rFonts w:hint="eastAsia" w:ascii="宋体" w:hAnsi="宋体" w:eastAsia="宋体" w:cs="宋体"/>
                <w:sz w:val="21"/>
                <w:szCs w:val="21"/>
                <w:lang w:val="en-US" w:eastAsia="zh-CN" w:bidi="ar"/>
              </w:rPr>
              <w:br/>
            </w:r>
            <w:r>
              <w:rPr>
                <w:rStyle w:val="921"/>
                <w:rFonts w:hint="eastAsia" w:ascii="宋体" w:hAnsi="宋体" w:eastAsia="宋体" w:cs="宋体"/>
                <w:sz w:val="21"/>
                <w:szCs w:val="21"/>
                <w:lang w:val="en-US" w:eastAsia="zh-CN" w:bidi="ar"/>
              </w:rPr>
              <w:t xml:space="preserve">⑩智能网关 一台</w:t>
            </w:r>
            <w:r/>
          </w:p>
          <w:p>
            <w:pPr>
              <w:ind w:left="0" w:right="0"/>
              <w:jc w:val="both"/>
              <w:keepLines w:val="0"/>
              <w:keepNext w:val="0"/>
              <w:spacing w:before="0" w:beforeAutospacing="0" w:after="0" w:afterAutospacing="0"/>
              <w:widowControl/>
              <w:rPr>
                <w:rStyle w:val="922"/>
                <w:rFonts w:hint="eastAsia" w:ascii="宋体" w:hAnsi="宋体" w:eastAsia="宋体" w:cs="宋体"/>
                <w:sz w:val="21"/>
                <w:szCs w:val="21"/>
                <w:lang w:val="en-US" w:eastAsia="zh-CN" w:bidi="ar"/>
              </w:rPr>
              <w:suppressLineNumbers w:val="0"/>
            </w:pPr>
            <w:r>
              <w:rPr>
                <w:rStyle w:val="922"/>
                <w:rFonts w:hint="eastAsia" w:ascii="宋体" w:hAnsi="宋体" w:eastAsia="宋体" w:cs="宋体"/>
                <w:sz w:val="21"/>
                <w:szCs w:val="21"/>
                <w:lang w:val="en-US" w:eastAsia="zh-CN" w:bidi="ar"/>
              </w:rPr>
              <w:t xml:space="preserve">核心功能：作为系统的连接中心，负责汇聚各类无线传感器（如SOS按钮、感烟探测器、温湿度传感器等）的数据，并转发至主控平板及云端管理平台。</w:t>
            </w:r>
            <w:r/>
          </w:p>
          <w:p>
            <w:pPr>
              <w:ind w:left="0" w:right="0"/>
              <w:jc w:val="both"/>
              <w:keepLines w:val="0"/>
              <w:keepNext w:val="0"/>
              <w:spacing w:before="0" w:beforeAutospacing="0" w:after="0" w:afterAutospacing="0"/>
              <w:widowControl/>
              <w:rPr>
                <w:rStyle w:val="922"/>
                <w:rFonts w:hint="eastAsia" w:ascii="宋体" w:hAnsi="宋体" w:eastAsia="宋体" w:cs="宋体"/>
                <w:sz w:val="21"/>
                <w:szCs w:val="21"/>
                <w:lang w:val="en-US" w:eastAsia="zh-CN" w:bidi="ar"/>
              </w:rPr>
              <w:suppressLineNumbers w:val="0"/>
            </w:pPr>
            <w:r>
              <w:rPr>
                <w:rStyle w:val="922"/>
                <w:rFonts w:hint="eastAsia" w:ascii="宋体" w:hAnsi="宋体" w:eastAsia="宋体" w:cs="宋体"/>
                <w:sz w:val="21"/>
                <w:szCs w:val="21"/>
                <w:lang w:val="en-US" w:eastAsia="zh-CN" w:bidi="ar"/>
              </w:rPr>
              <w:t xml:space="preserve">连接能力：必须支持双模通讯，即同时支持与传感器组网的无线协议（如Zigbee、蓝牙等）和接入互联网的Wi-Fi协议。</w:t>
            </w:r>
            <w:r/>
          </w:p>
          <w:p>
            <w:pPr>
              <w:ind w:left="0" w:right="0"/>
              <w:jc w:val="both"/>
              <w:keepLines w:val="0"/>
              <w:keepNext w:val="0"/>
              <w:spacing w:before="0" w:beforeAutospacing="0" w:after="0" w:afterAutospacing="0"/>
              <w:widowControl/>
              <w:rPr>
                <w:rStyle w:val="922"/>
                <w:rFonts w:hint="eastAsia" w:ascii="宋体" w:hAnsi="宋体" w:eastAsia="宋体" w:cs="宋体"/>
                <w:sz w:val="21"/>
                <w:szCs w:val="21"/>
                <w:highlight w:val="none"/>
                <w:lang w:val="en-US" w:eastAsia="zh-CN" w:bidi="ar"/>
              </w:rPr>
              <w:suppressLineNumbers w:val="0"/>
            </w:pPr>
            <w:r>
              <w:rPr>
                <w:rStyle w:val="922"/>
                <w:rFonts w:hint="eastAsia" w:ascii="宋体" w:hAnsi="宋体" w:eastAsia="宋体" w:cs="宋体"/>
                <w:sz w:val="21"/>
                <w:szCs w:val="21"/>
                <w:lang w:val="en-US" w:eastAsia="zh-CN" w:bidi="ar"/>
              </w:rPr>
              <w:t xml:space="preserve">电气性</w:t>
            </w:r>
            <w:r>
              <w:rPr>
                <w:rStyle w:val="922"/>
                <w:rFonts w:hint="eastAsia" w:ascii="宋体" w:hAnsi="宋体" w:eastAsia="宋体" w:cs="宋体"/>
                <w:sz w:val="21"/>
                <w:szCs w:val="21"/>
                <w:highlight w:val="none"/>
                <w:lang w:val="en-US" w:eastAsia="zh-CN" w:bidi="ar"/>
              </w:rPr>
              <w:t xml:space="preserve">能：功耗应符合低功耗设计要求，运行稳定可靠。</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highlight w:val="none"/>
                <w:lang w:val="en-US" w:eastAsia="zh-CN" w:bidi="ar"/>
              </w:rPr>
              <w:suppressLineNumbers w:val="0"/>
            </w:pPr>
            <w:r>
              <w:rPr>
                <w:rStyle w:val="922"/>
                <w:rFonts w:hint="eastAsia" w:ascii="宋体" w:hAnsi="宋体" w:eastAsia="宋体" w:cs="宋体"/>
                <w:sz w:val="21"/>
                <w:szCs w:val="21"/>
                <w:highlight w:val="none"/>
                <w:lang w:val="en-US" w:eastAsia="zh-CN" w:bidi="ar"/>
              </w:rPr>
              <w:t xml:space="preserve">⑪</w:t>
            </w:r>
            <w:r>
              <w:rPr>
                <w:rStyle w:val="921"/>
                <w:rFonts w:hint="eastAsia" w:ascii="宋体" w:hAnsi="宋体" w:eastAsia="宋体" w:cs="宋体"/>
                <w:sz w:val="21"/>
                <w:szCs w:val="21"/>
                <w:highlight w:val="none"/>
                <w:lang w:val="en-US" w:eastAsia="zh-CN" w:bidi="ar"/>
              </w:rPr>
              <w:t xml:space="preserve">主控终端平板 一台</w:t>
            </w:r>
            <w:r>
              <w:rPr>
                <w:rStyle w:val="921"/>
                <w:rFonts w:hint="eastAsia" w:ascii="宋体" w:hAnsi="宋体" w:eastAsia="宋体" w:cs="宋体"/>
                <w:sz w:val="21"/>
                <w:szCs w:val="21"/>
                <w:highlight w:val="none"/>
                <w:lang w:val="en-US" w:eastAsia="zh-CN" w:bidi="ar"/>
              </w:rPr>
              <w:br/>
            </w:r>
            <w:r>
              <w:rPr>
                <w:rStyle w:val="921"/>
                <w:rFonts w:hint="eastAsia" w:ascii="宋体" w:hAnsi="宋体" w:eastAsia="宋体" w:cs="宋体"/>
                <w:sz w:val="21"/>
                <w:szCs w:val="21"/>
                <w:highlight w:val="none"/>
                <w:lang w:val="en-US" w:eastAsia="zh-CN" w:bidi="ar"/>
              </w:rPr>
              <w:t xml:space="preserve">屏幕：不小于10英寸触摸屏。</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highlight w:val="none"/>
                <w:lang w:val="en-US" w:eastAsia="zh-CN" w:bidi="ar"/>
              </w:rPr>
              <w:t xml:space="preserve">核心角色：作为整套健康一</w:t>
            </w:r>
            <w:r>
              <w:rPr>
                <w:rStyle w:val="921"/>
                <w:rFonts w:hint="eastAsia" w:ascii="宋体" w:hAnsi="宋体" w:eastAsia="宋体" w:cs="宋体"/>
                <w:sz w:val="21"/>
                <w:szCs w:val="21"/>
                <w:lang w:val="en-US" w:eastAsia="zh-CN" w:bidi="ar"/>
              </w:rPr>
              <w:t xml:space="preserve">体机设备的主控终端。</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连接能力：必须具备稳定的无线连接能力（如蓝牙、Wi-Fi），确保能与所有检测外设（包括但不限于血压仪、血氧仪、血糖仪、跌倒监测雷达等）进行可靠的数据传输与协同控制。</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基本要求：设备硬件性能（包括但不限于CPU、运行内存、存储空间）必须保障预装的一体机管理软件及所有功能模块能够流畅、稳定、长期运行，无卡顿、延迟现象。</w:t>
            </w:r>
            <w:r/>
          </w:p>
          <w:p>
            <w:pPr>
              <w:ind w:left="0" w:right="0"/>
              <w:jc w:val="both"/>
              <w:keepLines w:val="0"/>
              <w:keepNext w:val="0"/>
              <w:spacing w:before="0" w:beforeAutospacing="0" w:after="0" w:afterAutospacing="0"/>
              <w:widowControl/>
              <w:rPr>
                <w:rStyle w:val="921"/>
                <w:rFonts w:hint="eastAsia" w:ascii="宋体" w:hAnsi="宋体" w:eastAsia="宋体" w:cs="宋体"/>
                <w:sz w:val="21"/>
                <w:szCs w:val="21"/>
                <w:lang w:val="en-US" w:eastAsia="zh-CN" w:bidi="ar"/>
              </w:rPr>
              <w:suppressLineNumbers w:val="0"/>
            </w:pPr>
            <w:r>
              <w:rPr>
                <w:rStyle w:val="921"/>
                <w:rFonts w:hint="eastAsia" w:ascii="宋体" w:hAnsi="宋体" w:eastAsia="宋体" w:cs="宋体"/>
                <w:sz w:val="21"/>
                <w:szCs w:val="21"/>
                <w:lang w:val="en-US" w:eastAsia="zh-CN" w:bidi="ar"/>
              </w:rPr>
              <w:t xml:space="preserve">建议性指标：为保障系统在多任务并行处理与未来功能扩展时的最佳体验，建议设备运行内存（RAM）不低于4GB，内置存储空间（ROM）不低于64GB。</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认知症预防干预服务机器人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一、产品规格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1、核心处理性能：设备应搭载高性能处理器，计算能力须满足机器人AI算法、多模态交互及各类评估与干预软件流畅、实时运行的要求。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2、系统内存与存储：运行内存（RAM）不低于4GB，内置存储空间（ROM）不低于16GB，以确保系统及应用软件的流畅运行与数据存储。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3、显示要求：屏幕尺寸与分辨率应满足清晰展示评估内容、训练视频及人机交互界面的需求，确保老年人易读、易操作。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4、操作系统：预装稳定的移动操作系统。</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5、网络连接：支持Wi-Fi无线网络连接（如2.4G/5G频段）。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6、便携性与部署：产品结构应紧凑稳固，整体尺寸设计便于在养老房间、活动室等典型场景中灵活移动与部署。</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7、启动与供电：启动方式应简便可靠。电源线长度应满足常规使用场景下的灵活供电需求。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二、产品功能：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总体要求：机器人应集成人工智能（AI）技术，具备专业的认知症预防、评估、干预与照护管理功能，服务于老年人及照护者。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1、Ai照护测评 </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（1）支持认知症照护专项测评（须包含国际或行业公认的标准化认知症评估工具）；</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（2）支持精神行为状态测评（须包含国际或行业公认的标准化精神行为症状评估工具）。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2、Ai个案照护计划：基于 Ai 照护测评中两项测评结果的综合分析，自动生成个性化个案照护计划，计划内容需涵盖生活照料、医疗护理、功能康复、精神行为干预等核心维度，具备可操作性与针对性。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3、认知症照护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（1）生活照料：提供进食及进水照护、排泄照护、修饰及沐浴照护、穿脱衣照护、膳食营养管理、睡眠及起居照护等指导内容，内容形式应易于理解与学习（如视频、图文等）；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医疗护理：①健康管理：包含营养状态测评、口腔健康自我测评、跌倒风险测评、膳食营养管理日记、睡眠尺度测评、精神健康测评等功能模块，测评工具科学合规；②服药管理：支持药品信息录入管理、服药计划制定、服药记录登记与查询，具备服药提醒功能（如语音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功能康复：包含健脑体操（涵盖记忆力、注意力、判断力、计算力、空间识别力、双重课题等训练类型）、生活自理能力康复训练（涵盖进食、如厕、大小便控制、修饰、洗浴、穿脱衣、起居、行走能力等训练内容）、口腔功能训练、身体机能训练（涵盖肌力、平衡性、柔软性、持久力等训练方向），训练内容科学、形式多样，适配认知症老年人康复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（4）精神行为症状（BPSD）的非药物管理：提供至少 24 种常见精神行为症状的 AI 专家照护指导，可结合老年人身体状况、环境因素分析症状成因，输出针对性非药物管理解决方案，方案符合老年精神医学及照护行业规范。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4、照护者关怀：具备照护者心理支持、照护知识科普、压力缓解指导等功能，提供文章、视频、音频等多种形式的关怀内容，助力照护者提升照护能力与身心健康水平。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5、Ai照护管理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（1）支持老年人基本信息的记录、查询、修改与展示，信息字段包含姓名、年龄、健康状况、既往病史等核心内容，数据存储安全；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（2）支持非药物管理照护记录的录入、分类存储与查询展示，记录内容可关联对应照护计划与症状干预方案，便于照护效果追溯。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6、认知症照护效果监测：基于 Ai 照护测评中的两项核心测评，开展阶段性照护效果评价</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（1）认知症照护效果评价：支持两次及以上测评结果的对比分析，以雷达图或同等直观的可视化方式呈现变化趋势；</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（2）精神行为照护效果评价：支持两次及以上测评结果的对比分析，以雷达图或同等直观的可视化方式呈现变化趋势，为照护计划调整提供数据支撑。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老年痴呆机器人疗法：支持通过触碰、抚摸、漫画表情包展示、语音呼唤应答等人机互动方式，缓解痴呆老年人精神行为症状；支持遥控行走功能（含无线遥控操作），移动灵活、安全稳定，适配室内照护场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三、配备健康干预实训系统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干预处方：内置干预处方库，支持膳食营养、运动康复、睡眠休息、心理调节、生活方式、中医调理等类型的处方配置，系统内置各类有效处方数量不少于 700 个；支持文本型处方、表格化配置、组合处方配置等多种形式，处方内容科学合规，符合老年人健康干预行业规范。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干预计划制定和执行：支持基于干预处方及老年人健康状况，制定个性化膳食、运动、睡眠、心理、生活方式、中医调理等健康干预计划；支持多终端适配（如电脑端、平板端、手机端），便于采购人按照计划任务执行与反馈，系统可记录计划执行进度与效果数据。</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轮椅秤</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1、材质：秤体主体应采用不低于304级不锈钢或具备同等及以上耐腐蚀、易清洁、承重稳定的医用级金属材质，符合医疗 / 养老场景卫生与耐用需求。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2、显示与数据输出：配备高清液晶显示屏，数字清晰易读；须具备标准数据输出接口（如有线USB、RS232或无线蓝牙等），支持与电脑、打印机等外设连接，实现数据的传输、存储与打印。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3、结构与尺寸：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（1）坡道设计：坡度平稳，无明显凸起或凹陷，便于轮椅顺畅进出，保障使用安全；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（2）秤面尺寸：平台有效尺寸应满足通用轮椅安全、平稳停放与称重需求。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（3）设备净重：整体结构应在确保称重稳定性的前提下，兼顾移动的便捷性。</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日常生活评估辅具展板</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主要功能：用于老年人日常生活能力评估，辅助开展穿衣、扣纽扣、拉拉链、穿袜子等生活场景的能力测评。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穿衣器 * 1：尺寸≥62cm×13cm×3cm（允许 ±5% 偏差），材质采用 ABS+EVA 或其他同等强度、轻便耐用、无异味的环保材质，符合老年人群使用安全标准；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穿扣器 * 1：尺寸≥18cm×3.5cm（允许 ±5% 偏差），把手材质为塑料（或同等防滑、握感舒适的环保材质），钩子材质为不锈钢（或同等耐腐蚀、强度达标的金属材质），保障使用稳定性；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拉链辅助器 * 1：头部材质为不锈钢（或同等强度、不易生锈的金属材质），握柄采用 U 形设计（或其他便于握持、操作省力的人性化设计），适配不同类型拉链使用；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穿袜器 * 1：尺寸≥23cm×10.5cm（允许 ±5% 偏差），材质采用 ABS + 尼龙或其他柔软舒适、耐磨耐用的环保材质，便于老年人自主穿脱袜子。</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进食辅具评估展板</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辅助连体筷 * 1：重量约 36g（允许 ±5% 偏差），长度约 200mm（允许 ±5% 偏差），耐热温度≥100℃；材质采用 PBT 树脂 + 硅胶 + 聚氨酯烤漆或其他食品级、无异味、耐热耐用的环保材质，符合食品安全标准，便于握持与操作。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助食叉 * 1：支持在水平 140°、轴向旋转 360° 的空间范围内任意调整并锁定位置，锁定后状态稳定；手柄配备可调节松紧的橡胶皮带（或其他同等防滑、适配不同手型的调节结构），手柄内部预留配重放置空间，可根据用户使用习惯灵活配置，保障使用便捷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可弯海绵握柄餐勺（小号）*1：餐勺支持弯曲调节，配备海绵握柄（或其他同等柔软、防滑、握感舒适的握柄材质）；附带适配握柄的扁海绵套（规格参考 NS-2 型或同等适配型号），满足不同握持需求。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漱口杯 * 1：材质为食品级 PP 聚丙烯（或其他食品级、无异味、耐热耐用的环保材质），自重约 82g（允许 ±5% 偏差），尺寸约 207mm×155mm×H80mm（允许 ±5% 偏差），耐热温度≥100℃；杯体弧度贴合人体下颌及颈部生理结构，适配卧床人群多角度漱口使用，配备把手设计，方便拿取。</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防洒碗 * 1：碗底配备吸附力持久的吸盘（材质为无毒级硅胶或其他同等吸附效果的环保材质），可有效防止碗体滑动；碗口一侧采用屋檐式设计（或其他同等防遗洒结构），减少食物遗洒；碗体材质为食品级 PP 塑料（或其他食品级、无异味、耐冲击的环保材质），碗主体尺寸约 125mm×80mm（允许 ±5% 偏差）。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6、</w:t>
            </w:r>
            <w:r>
              <w:rPr>
                <w:rFonts w:hint="eastAsia" w:ascii="宋体" w:hAnsi="宋体" w:eastAsia="宋体" w:cs="宋体"/>
                <w:i w:val="0"/>
                <w:iCs w:val="0"/>
                <w:color w:val="000000"/>
                <w:sz w:val="21"/>
                <w:szCs w:val="21"/>
                <w:u w:val="none"/>
              </w:rPr>
              <w:t xml:space="preserve">记忆成人勺子 * 1：采用 U 形握柄设计，支持任意调整手柄 U 形间隙距离；材质为 304 不锈钢（或同等食品级不锈钢）+ 形状记忆聚合物（或其他同等记忆性能、耐用的环保材质）；产品尺寸约 240mm×40mm（允许 ±5% 偏差），重量约 60g（允许 ±5% 偏差），符合食品接触安全标准。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7、</w:t>
            </w:r>
            <w:r>
              <w:rPr>
                <w:rFonts w:hint="eastAsia" w:ascii="宋体" w:hAnsi="宋体" w:eastAsia="宋体" w:cs="宋体"/>
                <w:i w:val="0"/>
                <w:iCs w:val="0"/>
                <w:color w:val="000000"/>
                <w:sz w:val="21"/>
                <w:szCs w:val="21"/>
                <w:u w:val="none"/>
              </w:rPr>
              <w:t xml:space="preserve">可折弯叉 * 1：产品尺寸约 190mm×42mm（允许 ±5% 偏差）；材质为 304 不锈钢（或同等食品级不锈钢）+ 食品级硅胶（或其他同等安全、耐用的环保材质），支持折弯调节，适配不同进食姿势需求。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8、</w:t>
            </w:r>
            <w:r>
              <w:rPr>
                <w:rFonts w:hint="eastAsia" w:ascii="宋体" w:hAnsi="宋体" w:eastAsia="宋体" w:cs="宋体"/>
                <w:i w:val="0"/>
                <w:iCs w:val="0"/>
                <w:color w:val="000000"/>
                <w:sz w:val="21"/>
                <w:szCs w:val="21"/>
                <w:u w:val="none"/>
              </w:rPr>
              <w:t xml:space="preserve">斜口杯 * 1：采用鼻口开放设计，杯口为斜切口结构，适配颈部转动不便、容易噎食的人群使用，无需低头即可饮水，避免杯沿卡脸及仰头饮水导致的呛咳误吸风险；尺寸约 7.3cm×12.2cm（允许 ±5% 偏差），容量≥237ml，净重约 26g（允许 ±5% 偏差）；材质为食品级 PP（或其他食品级、无异味、耐冲击的环保材质），颜色可选蓝色、红色或其他安全环保配色，包装采用符合食品卫生标准的透明包装（如 OPP 透明塑料袋或同等材质包装）。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9、</w:t>
            </w:r>
            <w:r>
              <w:rPr>
                <w:rFonts w:hint="eastAsia" w:ascii="宋体" w:hAnsi="宋体" w:eastAsia="宋体" w:cs="宋体"/>
                <w:i w:val="0"/>
                <w:iCs w:val="0"/>
                <w:color w:val="000000"/>
                <w:sz w:val="21"/>
                <w:szCs w:val="21"/>
                <w:u w:val="none"/>
              </w:rPr>
              <w:t xml:space="preserve">流食杯 * 1：尺寸约 8.4cm×15.5cm（允许 ±5% 偏差）；材质为食品级 PP（或其他食品级、无异味、易清洗的环保材质），适配流食进食场景使用，符合食品安全标准。</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体征数据测量评估展板</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一、核心功能：用于老年人身体体征数据测量及关节活动、肌力、听力等功能评估，适配老年健康评估场景使用，保障测量数据精准、操作便捷。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1、角度尺 * 1：尺寸≥31.8cm×12.7cm（允许 ±5% 偏差），厚度≥2mm，材质为 PVC 或其他同等硬度、耐磨、不易变形的环保材质，刻度清晰准确，便于关节角度测量。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2、听诊器 * 1：具备完整功能组件（含耳塞、耳环、弹簧片、铭牌、导音管、听诊头），听诊头密封性良好，导音清晰，材质符合医疗级安全标准，佩戴舒适，适配体征听诊需求。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3、多功能关节活动测量表 * 1：表盘直径≥6.5cm，支持 360° 旋转测量，刻度精准，指针灵敏，材质耐用，便于多部位关节活动度测量。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4、握力器 * 1：尺寸≥19.5cm×13cm（允许 ±5% 偏差），量程≥90kg/198lb，分度值≤0.1kg/0.2lb，材质为高密度工程塑料或其他同等强度、耐磨损、握感舒适的环保材质，测量数据精准，操作简便。</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5、手电筒 * 1：尺寸≥10.6cm×12.5cm（允许 ±5% 偏差），重量约 19.4g（允许 ±5% 偏差），具备足够照明亮度，续航稳定，开关便捷，适配眼部检查等评估场景使用。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6、体温计 * 1：支持一键测温功能，具备自动关机设计，尺寸≥12.4cm×1.9cm×0.9cm（允许 ±5% 偏差），测量范围 32℃-42.9℃，测量误差符合国家计量标准，显示清晰，适配老年人体温测量需求。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7、听力音叉 * 1：材质为铝合金或其他同等材质（如不锈钢），发音清晰、稳定，频率精准，符合听力评估行业标准，便于听力功能筛查。</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智慧评估实训室</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洗漱评估展板</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一、核心功能：用于老年人洗漱相关日常生活能力评估，辅助开展梳头、擦背、洗澡、刷牙、饮水等场景的能力测评，适配不同身体功能水平的老年人群使用需求。</w:t>
            </w:r>
            <w:r/>
          </w:p>
          <w:p>
            <w:p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长柄梳子 * 1：长度约 38cm（允许 ±5% 偏差），材质采用 ABS+PP+TPR 或其他食品级、无异味、耐用防滑的环保材质，梳齿圆润无毛刺，符合老年人群使用安全标准；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弯柄擦背刷 * 1：材质采用 PP+TPE 或其他柔软舒适、耐磨易清洁的环保材质，尺寸≥35cm×27cm×8cm（允许 ±5% 偏差），弯柄设计符合人体工学，便于自主擦背操作；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柱状长柄刷 * 1：长度约 39cm（允许 ±5% 偏差），材质采用 ABS+TPR 或其他强度适中、握感舒适、防滑耐用的环保材质，刷头柔软，适配洗澡清洁需求；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长柄洗澡刷 * 1：材质采用 PP+15% 玻璃纤维环保塑胶（或其他同等强度、耐磨损的环保塑胶材料），刷头配备可拆卸清洗或更换的复合布套；长度约 39cm（允许 ±5% 偏差），刷头尺寸≥103mm×76mm（允许 ±5% 偏差），刷柄防滑易握，适配老年人群自主洗澡使用；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粗柄梳子 * 1：梳柄采用 NBR 防滑材质（或其他同等防滑效果、握感舒适的环保材质），梳柄表面采用防滑间隔设计（或其他防滑结构），可增加手部与梳柄间的摩擦力，便于抓握操作，梳齿圆润无毛刺；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6、</w:t>
            </w:r>
            <w:r>
              <w:rPr>
                <w:rFonts w:hint="eastAsia" w:ascii="宋体" w:hAnsi="宋体" w:eastAsia="宋体" w:cs="宋体"/>
                <w:i w:val="0"/>
                <w:iCs w:val="0"/>
                <w:color w:val="000000"/>
                <w:sz w:val="21"/>
                <w:szCs w:val="21"/>
                <w:u w:val="none"/>
              </w:rPr>
              <w:t xml:space="preserve">记忆成人牙刷 * 1：尺寸≥3.7cm×2.6cm×22.5cm（允许 ±5% 偏差），采用形状记忆聚合物（或其他同等记忆性能、柔软耐用的环保材质），刷头设计贴合口腔清洁需求，握柄便于抓握；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7、</w:t>
            </w:r>
            <w:r>
              <w:rPr>
                <w:rFonts w:hint="eastAsia" w:ascii="宋体" w:hAnsi="宋体" w:eastAsia="宋体" w:cs="宋体"/>
                <w:i w:val="0"/>
                <w:iCs w:val="0"/>
                <w:color w:val="000000"/>
                <w:sz w:val="21"/>
                <w:szCs w:val="21"/>
                <w:u w:val="none"/>
              </w:rPr>
              <w:t xml:space="preserve">洗漱杯子 * 1：尺寸≥20.3cm×15.1cm×8.4cm（允许 ±5% 偏差），容量≥880 毫升，材质采用食品级 PP（或其他食品级、无异味、耐冲击、易清洗的环保材质），符合食品安全标准，配备便于抓握的把手设计。</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人脸与身份信息识别智能终端</w:t>
            </w:r>
            <w:r/>
          </w:p>
        </w:tc>
        <w:tc>
          <w:tcPr>
            <w:shd w:val="clear" w:color="auto" w:fill="auto"/>
            <w:tcBorders>
              <w:top w:val="none" w:color="000000" w:sz="4" w:space="0"/>
              <w:left w:val="none" w:color="000000" w:sz="4" w:space="0"/>
              <w:bottom w:val="none" w:color="000000" w:sz="4" w:space="0"/>
              <w:right w:val="non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rPr>
              <w:t xml:space="preserve">1、触摸屏：集成</w:t>
            </w:r>
            <w:r>
              <w:rPr>
                <w:rFonts w:hint="eastAsia" w:ascii="宋体" w:hAnsi="宋体" w:eastAsia="宋体" w:cs="宋体"/>
                <w:i w:val="0"/>
                <w:iCs w:val="0"/>
                <w:color w:val="000000"/>
                <w:sz w:val="21"/>
                <w:szCs w:val="21"/>
                <w:highlight w:val="none"/>
                <w:u w:val="none"/>
              </w:rPr>
              <w:t xml:space="preserve">不小于8英寸的电容式触摸屏、非接触式IC卡读卡器及桌面支架。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rPr>
              <w:t xml:space="preserve">2、操作系统：预装An</w:t>
            </w:r>
            <w:r>
              <w:rPr>
                <w:rFonts w:hint="eastAsia" w:ascii="宋体" w:hAnsi="宋体" w:eastAsia="宋体" w:cs="宋体"/>
                <w:i w:val="0"/>
                <w:iCs w:val="0"/>
                <w:color w:val="000000"/>
                <w:sz w:val="21"/>
                <w:szCs w:val="21"/>
                <w:u w:val="none"/>
              </w:rPr>
              <w:t xml:space="preserve">droid操作系统，系统版本应满足当前应用软件的安全性与兼容性要求。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3、Wi-Fi：内置Wi-Fi模块，支持2.4G频段，支持双频（2.4G/5G）为佳。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4、以太网：集成RJ45接口，支持百兆及以上速率的有线网络连接。</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5、蓝牙：内置蓝牙模块，版本不低于4.2。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6、摄像头：应配备双目摄像头，支持红外活体检测功能。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7、体温检测：应集成非接触式体温检测模块。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8、微波人体感应：应具备人体感应功能，感应距离3-5米（允许±0.5米偏差），满足设备前置唤醒或人员接近侦测的实用需求。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9、双色补光灯：应具备辅助光线补偿功能，以确保在不同环境光照条件下识别功能的正常使用。</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cyan"/>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身份证读卡器</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一、技术要求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1、主机接口：配备 Type-c 接口（或其他通用接口，如 USB-A），支持即插即用，连接稳定可靠。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2、电源系统：采用标准USB供电方式，可由计算机USB端口或标准手机充电器直接供电，无需额外电源适配器。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3、软件平台兼容性：提供适用于Windows、Linux、Android等常用操作系统的驱动程序，保障在不同软硬件环境下的即插即用与稳定运行。</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4、开发工具支持：提供 SDK 开发包，支持 VC/C++、VB、PB、Java、C# 等常用编程语言，便于二次开发与系统集成。</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5、通信速率：≥115200bps，保障身份证信息快速传输。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6、主机尺寸：约 142.5mm×94.5mm×21.5mm（允许 ±5% 偏差），体积小巧，便于携带与放置。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7、工作环境温度：0℃~60℃（非冷凝状态），适配不同使用场景环境需求。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8、工作环境湿度：相对湿度≤90%（非冷凝状态），具备良好的环境适应性。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二、产品特性：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谐振频率：13.56MHZ（符合 ISO14443A 协议标准），保障身份证信息读取兼容性。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调制系数：8%~14%，符合国家身份证阅读设备技术规范。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调制方式：ASK（幅移键控），满足身份证信息传输技术要求。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编码方式：NRZ-L，保障数据传输的准确性与稳定性。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磁场强度：≤7.5A/m，符合电磁安全标准，保障使用安全。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读卡距离：0~3cm（允许 ±0.5cm 偏差），支持近距离快速读卡，操作便捷。</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智慧评估实训室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智能数字实训终端</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一、实训推车车体 1台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1、实训推车整体采用一体化设计，至少包含移动车体、实训触控主机模块、移动电源模块，整体推车走线内置隐藏，保障外观整洁美观，避免线材裸露导致的安全隐患。</w:t>
            </w:r>
            <w:r/>
          </w:p>
          <w:p>
            <w:pPr>
              <w:pStyle w:val="711"/>
              <w:ind w:left="0" w:right="0"/>
              <w:keepLines w:val="0"/>
              <w:keepNext w:val="0"/>
              <w:spacing w:before="0" w:beforeAutospacing="0" w:after="0" w:afterAutospacing="0"/>
              <w:rPr>
                <w:rFonts w:hint="eastAsia" w:ascii="宋体" w:hAnsi="宋体" w:eastAsia="宋体" w:cs="宋体"/>
                <w:i w:val="0"/>
                <w:iCs w:val="0"/>
                <w:color w:val="0000ff"/>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2、实训推车需便于操作，支持教师单手操作移动把手即可完成拍摄角度调整；移动车体支持全方位移动旋转，满足立体式操作需求；教师单手可实现 360 度旋转调节，垂直拉动调节角度不小于 60 度，支持任意角度拉动及任意位置悬停；旋转范围限制为最大一圈（避免无限制转动导致线材缠绕），操作便捷且安全。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3、移动车体：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（1）整车高度≥1.8米，摄像机移动范围≥2米；整车可以满足10度倾斜测试；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要求采用隐线式设计方式，显示屏、摄像机接口对接统一套上白色热缩管包裹，外部不漏线材，美观整洁；要求符合人体工程学结构设计，车体要求由万向轮底架、立杆、转臂三部分组成，底架用于移动和固定，立杆用于承重，转臂用于转动操作；移动车体要操作舒适，采用活动关节带阻尼装置，配合气压活动臂，保证拉动旋转调节过程没有异响、手感顺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（3）车体台面、把手采用注塑工艺、材质为高硬度ABS材质（或其他同等硬度、耐磨、环保的工程塑料）；底盘、机箱、内部固定件等采用钣金工艺，材质为高硬度SPCC（或其他同等强度、耐腐蚀的金属材质）；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要求具备刹车功能，采用医用级静音万向轮，拉动无明显异响；轮子直径≥100mm（磨砂材质，安全稳固）；刹车轮采用双踏板设计，刹车与解锁均通过踩下踏板实现（踩下底部踏板制动，踩下顶部踏板解锁），整车承重≥100k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4、实训触控主机模块：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ff"/>
                <w:sz w:val="21"/>
                <w:szCs w:val="21"/>
                <w:highlight w:val="none"/>
                <w:u w:val="none"/>
                <w:lang w:val="en-US" w:eastAsia="zh-CN" w:bidi="ar"/>
              </w:rPr>
              <w:t xml:space="preserve">●（1）嵌入式教学软件功能：嵌入式系统并内置于实训推车，具备示范教学、示范录制、示范回看、资源管理核心功能（供应商须提供功能演示视频，视频需清晰展示各功能完整操作流程及效果）；</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（2）需配备≥15.6 英寸高清液晶一体触摸屏，表面覆盖钢化高强度玻璃，触控灵敏、显示清晰；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（3）主机接口朝下布局固定，接口配置至少包含：≥1 路 HDMI 输入、≥2 路 HDMI 输出、≥1 路 USB 接口、≥1 路 RS232 接口、≥1 路音频输入接口、≥1 路音频输出接口，接口规格符合行业通用标准；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（4）支持内置高速无线接收器，至少支持扩展 3 路视频无线输入；工作频率覆盖 5.15-5.85GHz，配备双天线，支持级联功能，最大数据速率≥300Mbps，空旷无遮挡环境下最大传输距离约 100 米（允许 ±10% 偏差），支持无线自动配对与自主组网；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（5）支持内置无线麦克风接收模块，通过天线与无线麦克风对接拾音；内置全向麦克风，支持≥3 米范围内高灵敏度拾音（拾音清晰，无明显杂音）；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（6）支持内置≥1TB SSD 固态硬盘，保障教学资源存储容量与数据读写可靠性；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（7）支持内置 WiFi 无线网络传输模块，兼容 2.4GHz+5GHz 双频段，支持 MESH 组网技术，保障网络连接稳定性；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（8）内置数字音频模块，至少支持反馈消除、回声消除、噪声消除高级算法；支持对无线麦克风、线性输入等音频信号进行本地扩声，音质清晰无失真；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5、支持≥1 路 5G 全网通 NANO-SIM 卡插槽；支持通过 5GHz 射频信号接入多路无线网络高清视频流信号，5GHz RF 网络具备上电自动连接、自主组网能力，保障多设备协同工作效率；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6、移动电源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（1）采用磷酸铁锂电芯（或其他同等安全性能、长循环寿命的锂电芯类型），电池容量≥16500mAh，充满电后正常工况下连续使用时长≥8 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（2）支持即插电充电功能，接入电源线后自动启动充电流程；</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（3）支持边充边用模式，充电过程中不影响设备正常运行；</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（4）具备电量显示功能，显示精度精确到小数点后两位，便于实时掌握剩余电量；</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（5）配备电源开关按钮，需长按 3 秒后关机，防止误操作导致设备停机；</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（6）具备电压过低预警提示功能（如灯光闪烁、声音提醒等直观方式）；</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（7）具备过流、过充、过放三重电池保护功能，符合国家电气安全标准；</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（8）接口配置至少包含：220V 品字充电接口、DC 12V 电源输出接口、设备检修口，接口防护措施到位；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7、主机内置 web 配置功能，支持通过网页界面灵活配置主机 IP 地址、视频采集通道名称等参数，配置操作便捷易懂；</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8、配备音箱，额定功率≥20W；喇叭单元配置为 4"×2 低音单元 + 1.5" 高音单元；支持 AUX（双莲花）音频输入接口；音箱材质为铝合金，外观颜色为灰白色（或其他同等适配教学场景的配色），音质清晰洪亮。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二、4K高清采集摄像机1台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图像传感器：1/2.8 英寸及以上，有效像素≥800 万；最高支持 4K/60FPS 视频录制与输出，向下兼容 1080P、720P等分辨率。</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镜头：高解析度长焦镜头，光学变焦倍数≥12 倍。</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视场角：应提供从广角到长焦的连续光学变焦能力，以满足不同景别的拍摄需求。</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输出接口：至少支持 HDMI、3G-SDI、网络接口（如 RJ45）。</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机身操作：轻触式按键，支持 ZOOM 操作、聚焦调节、亮度调整、菜单控制、图像冻结、模式切换。</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配置管理：自带全功能网页管理界面，支持网页端完成所有功能配置与调试。</w:t>
            </w:r>
            <w:r/>
          </w:p>
          <w:p>
            <w:pPr>
              <w:pStyle w:val="711"/>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供电：应支持标准POE供电。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三、示教互动软件1套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1、软件应集成于实训推车主机系统中，支持示范教学、示范录制、示范回看、资源管理四大核心功能；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2、软件主要功能应支持触摸式交互；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3、示范教学过程实时显示实训摄像机采集的画面，支持单画面、双画面、三画面和四画面模式切换；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4、示范教学支持全屏显示，支持退出全屏；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5、支持示范一键启动录制和停止录制，支持录制的视频格式为标准MP4格式；支持暂停录制和恢复录制，保证录制文件是完整的；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6、支持录制过程中显示已录制的时间，时间精确到秒；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7、支持示范操作的资源录制，可以分别录制不同接入摄像机采集的视频为资源文件；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ff"/>
                <w:sz w:val="21"/>
                <w:szCs w:val="21"/>
                <w:highlight w:val="none"/>
                <w:u w:val="none"/>
                <w:lang w:val="en-US" w:eastAsia="zh-CN" w:bidi="ar"/>
              </w:rPr>
              <w:t xml:space="preserve">●8、云台控制：支持通过软件界面对接入的摄像机进行云台控制，可实现画面光学变焦（放大 / 缩小）操作（供应商须提供功能演示视频，清晰展示操作流程及效果）；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9、支持点批注进入批注模式，可以进行重点批注，支持切换不同画笔颜色或笔迹精细模式；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10、关键点标记：支持示范过程中对操作关键点进行标记（含正向标记、改进标记两种类型），并记录标记对应的视频时间节点；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ff"/>
                <w:sz w:val="21"/>
                <w:szCs w:val="21"/>
                <w:highlight w:val="none"/>
                <w:u w:val="none"/>
                <w:lang w:val="en-US" w:eastAsia="zh-CN" w:bidi="ar"/>
              </w:rPr>
              <w:t xml:space="preserve">●11、视频回看：支持示范录制视频回看，可通过标记快速定位关键点；回看过程中支持暂停、全屏播放、重点批注，批注文件支持单独保存与打开；支持视频列表预览、进度条拖动、音量调节，支持多视角资源文件播放（供应商须提供功能演示视频，清晰展示回看及相关操作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12、支持资源管理，支持教学视频、示范视频、标注图片、截图文件的预览；支持编辑模式下的文件夹及文件删除；支持将选中文件 / 文件夹拷贝至 U 盘，显示拷贝进度并支持取消拷贝；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13、支持关联课表自动开课，支持对直播课程进行暂停直播、开始直播、结束直播等操作；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14、支持音视频远程互动，支持查看听课教室列表，支持与远程教室进行双向互动，支持本地静音和远程静音；当听课教室接入时，支持本地主讲教室与远程听课教室画面双画面显示；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支持自动搜索同一个局域网内所有安装同屏接收端的教学一体机；支持示范实训操作实时同屏到同局域网内一台或多台教学一体机大屏上；同屏视频质量最大可达到高清4K；视频同步延时≤500ms，操作实时显示无卡顿；支持直观显示同屏连接状态（如在线 / 离线、连接数量等）。</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智慧评估一体化工作站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运动康复评估系统</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核心功能要求：系统应为集成触控显示、计算处理、运动感应及网络通信功能的一体化设备，具备康复评估、康复训练、数据管理与智能方案推荐等核心功能，支持虚实结合的交互式康复训练与评估。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一、功能参数：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1.系统架构：采用一体化集成设计，整合触控显示、计算主机、运动感应等核心模块，实现评估与训练功能的无缝衔接；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2.基础配置：应集成显示、计算、运动感应及网络通信模块，各模块间协同工作稳定可靠；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3.智能导航：系统界面应能根据用户的不同身体功能状态与康复阶段，智能引导并推荐相应的评估、训练项目及历史数据查询入口；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4.身份识别：应具备用户身份识别功能（如通过人脸识别等技术），并能自动调取相应用户的历史评估数据、训练记录及康复方案；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5.训练场景：应提供多种类型的虚实结合3D训练场景（如康复训练、放松调节、互动激励等），场景渲染流畅，无明显卡顿、拖影现象；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6.视觉呈现：应具备高质量的图形渲染能力，确保训练模型与动作效果的真实、自然，并支持场景亮度、色彩等基础参数调节；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7.交互技术：系统应集成并应用3D渲染、实时动画、人机交互及触控等技术，以保障核心功能的实现与良好的用户体验；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8.功能覆盖：系统应具备完善的评估与训练体系，评估内容应覆盖BMI、体姿、平衡、关节活动度(ROM)、体适能等主要方向；训练内容应覆盖综合、坐姿、抗阻、关节活动度及双人互动等多种模式。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1）关节测量：采用非接触式体感捕捉技术，无需用户佩戴传感器，可实现关节活动度的静态数值与动态曲线测量。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2）关节角度：具备关键关节角度的测量功能。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3）后台管理：系统应具备用户身份识别、数据采集、处理与分析能力，支持训练方案制定、用户信息管理、训练记录存储与查询。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4）智能推荐：系统应具备智能推荐功能，可基于用户评估数据自动推荐适配的训练项目。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5）人机互动：应采用动作捕捉与图像识别技术实现人机交互，辅助用户完成训练。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6）个性化方案：各治疗模块应提供多种训练模式与可调参数（如难度、呈现形式等），以支持个性化治疗方案制定。</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7）运动捕捉：应具备稳定的人体运动捕捉与定位能力，在常规使用环境下能有效抵抗干扰，确保动作识别的准确性。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8）训练引导：治疗模块应支持多关节协同训练，并具备语音提示与操作指引功能。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9）操作指导：各训练模块应提供操作说明，方便用户快速掌握使用方法。</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10）场景融合：宜采用影像融合技术，将用户实时影像融入训练场景，以增强训练的沉浸感。</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11）数据与报告：应具备用户信息数据库功能，用于存储用户数据；并可生成单项或综合性的评估与训练图表报告。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▲12）评估系统：</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系统应具备完善的康复评估体系，评估内容应覆盖以下五大类别，评估项目总数不少于20项：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①身体成分评估（如BMI、人体质量等）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②体姿评估（如肩部、骨盆、腿部等静态姿势）</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③平衡功能评估（如静态平衡、动态平衡）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④关节活动度（ROM）评估（涵盖颈、肩、肘、腕、髋、膝、踝等主要关节）</w:t>
            </w:r>
            <w:r/>
          </w:p>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i w:val="0"/>
                <w:iCs w:val="0"/>
                <w:color w:val="0000ff"/>
                <w:sz w:val="21"/>
                <w:szCs w:val="21"/>
                <w:u w:val="none"/>
                <w:lang w:val="en-US" w:eastAsia="zh-CN" w:bidi="ar"/>
              </w:rPr>
              <w:t xml:space="preserve">⑤体适能评估（如肌力、耐力、协调性等）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注：须提供系统截图证明材料或产品官方彩页（需注明发布日期）、原厂说明书、产品技术白皮书（须由产品研发主体出具）或承诺在中标后合同签订前提供具备相应认证资质的第三方检测机构出具的检验报告（承诺函格式自拟，相关检测费用由中标人承担）等任一证明材料，以证实其训练项目覆盖度与数量符合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▲13）康复训练体系</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系统应具备完善的康复训练体系，训练内容应覆盖以下五大类别，训练项目总数不少于50项：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①综合训练：不少于20项，应覆盖肩部力量、上肢力量与耐力、上肢协调速度、下肢力量与耐力、下肢协调速度、心肺耐力、静态平衡、动态平衡、认知理解、速度与反应等训练方向。</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②坐姿运动训练：不少于10项。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③抗阻力训练：不少于10项。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④关节活动度训练：不少于7项。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⑤双人互动训练：不少于3项。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注：须提供系统截图证明材料或产品官方彩页（需注明发布日期）、原厂说明书、产品技术白皮书（须由产品研发主体出具）或承诺在中标后合同签订前提供具备相应认证资质的第三方检测机构出具的检验报告（承诺函格式自拟，相关检测费用由中标人承担）等任一证明材料，以证实其训练项目覆盖度与数量符合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三、图像处理器技术参数：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1）处理器：配置高性能多核处理器，其综合性能须保障系统3D场景渲染、实时动作捕捉及多任务处理的流畅、稳定运行；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2）内存：配置不低于8GB容量的系统内存，支持容量扩展；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3）存储：配置不低于256GB容量的固态硬盘（SSD），支持容量扩展；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4）I/O接口：应提供丰富的外部接口，包括多个USB接口、以及支持4K高清输出的视频接口（如HDMI或DisplayPort）。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四、集成触摸显示器技术参数：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1）显示尺寸：不小于65英寸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2）分辨率：不低于1920×1080像素（Full HD）</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3）宽高比：≥16：9（宽：高）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4）亮度：≥450CD/M²(TYP.)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5）透射对比度：1400：1(TYP.)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6）可视角度：四向可视角度89/89/89/89（Typ.）(CR≥10）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7）材质及性能：采用金属边框及五金背板，具备抗磨损、防刮擦特性，支持多点触控，触控响应灵敏，定位精准；支持触控校准功能，保障长期使用精度，操作流畅无延迟。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五、感应器技术参数：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1、核心配置与感应范围：集成深度感应、彩色视觉及音频采集模块；深度感应有效范围应覆盖用户在设备前常规康复训练的活动区域。</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2、数据性</w:t>
            </w:r>
            <w:r>
              <w:rPr>
                <w:rFonts w:hint="eastAsia" w:ascii="宋体" w:hAnsi="宋体" w:eastAsia="宋体" w:cs="宋体"/>
                <w:i w:val="0"/>
                <w:iCs w:val="0"/>
                <w:color w:val="000000"/>
                <w:sz w:val="21"/>
                <w:szCs w:val="21"/>
                <w:highlight w:val="none"/>
                <w:u w:val="none"/>
                <w:lang w:val="en-US" w:eastAsia="zh-CN" w:bidi="ar"/>
              </w:rPr>
              <w:t xml:space="preserve">能与捕捉能力：彩色视觉输出分辨率不低于1280x720 (HD)，输出帧率不低于25 fps，保障动作捕捉的实时性与画面清晰度。支持同时识别2人及以上，每人可捕捉的主要身体关节点不少于15个，须覆盖头、躯干、四肢等核心部位。系统应具备抗环境干扰能力，确保在常规</w:t>
            </w:r>
            <w:r>
              <w:rPr>
                <w:rFonts w:hint="eastAsia" w:ascii="宋体" w:hAnsi="宋体" w:eastAsia="宋体" w:cs="宋体"/>
                <w:i w:val="0"/>
                <w:iCs w:val="0"/>
                <w:color w:val="000000"/>
                <w:sz w:val="21"/>
                <w:szCs w:val="21"/>
                <w:u w:val="none"/>
                <w:lang w:val="en-US" w:eastAsia="zh-CN" w:bidi="ar"/>
              </w:rPr>
              <w:t xml:space="preserve">室内环境下动作捕捉稳定。</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3、音频性能：支持音频采集，具备回声消除与噪声抑制功能。</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智能拐杖</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主要功能：安全助行，远程监测。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1、具有双向通话功能；采用高端手机芯片，声音洪亮，通话清晰，拐杖机身采用医用钛合金材料，具有生物亲和性、防腐、强度高、轻便、安全等特点；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2、支持配套APP绑定至少3个亲情号码，配备一键拨号功能，便于老人快速联系家人求助；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3、具备精准定位及跌倒报警功能；老人遇突发危险可通过设备向子女求助，子女可通过配套APP实时掌握老人位置；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4、支持单手操作，多功能按键集中布置于手柄位置，按键设计适配老年用户，轻按即可完成操作；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结合人体工程学原理，设计类三角形的结构，使用者握住手柄时没有阻隔感，并且在行走的时候，可以保持手臂和拐杖杆子成一条直线，身体重力通过小臂直接传导到拐杖杆子底部，老人在使用的时候手腕不酸痛，让行走更加舒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6、如果老人在遇到迷路、跌倒、磕碰等危险状况可以长按SOS键自动拨打子女家人手机号码及时发出求救信息，SOS一键呼救；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7、采用GPS+基站+WIFI三重定位模式，定位覆盖≥99.9%日常生活空间，定位精度误差≤5米；亲属可通过绑定APP实时查看老人位置；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8、拐杖内置多个传感器，结合AI智能算法精准识别跌倒状态；当老人跌倒严重无法自主求助时，设备可主动拨打紧急联系人号码；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9、手杖内置心率、血压传感器，可以随时监测老人身体状态，并实时上传到APP端，供亲属查看；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10、整体承重≥150kg（300斤），结构结实稳固；底座采用防滑设计，保障使用安全；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11、360°全方位避震脚踝设计，轮胎级别材质，提升防滑性能与使用安全性；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12、在基本功能使用条件下，单次充电续航不少于15天；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13、内置收音机、音乐播放功能；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14、确保安全助行、远程监测核心功能稳定实现；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15、内置LED照明模块，支持夜间或昏暗环境照明；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16、支持根据使用者姿势及身高进行高度调节，适配不同用户需求。</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智能防摔倒防护马甲</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核心功能：应具备跌倒检测与气囊防护功能，系统运行稳定可靠。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响应性能：具备失重状态识别功能，识别响应时间不大于0.3秒，确保快速感知危险状态。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防护性能：气囊触发后，应能对人体头、背、腰、髋等关键部位形成有效保护。</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缓冲能力：具备跌倒冲击力缓冲功能，缓冲效率不低于</w:t>
            </w:r>
            <w:r>
              <w:rPr>
                <w:rFonts w:hint="eastAsia" w:ascii="宋体" w:hAnsi="宋体" w:eastAsia="宋体" w:cs="宋体"/>
                <w:i w:val="0"/>
                <w:iCs w:val="0"/>
                <w:color w:val="000000"/>
                <w:sz w:val="21"/>
                <w:szCs w:val="21"/>
                <w:u w:val="none"/>
                <w:lang w:val="en-US" w:eastAsia="zh-CN"/>
              </w:rPr>
              <w:t xml:space="preserve">8</w:t>
            </w:r>
            <w:r>
              <w:rPr>
                <w:rFonts w:hint="eastAsia" w:ascii="宋体" w:hAnsi="宋体" w:eastAsia="宋体" w:cs="宋体"/>
                <w:i w:val="0"/>
                <w:iCs w:val="0"/>
                <w:color w:val="000000"/>
                <w:sz w:val="21"/>
                <w:szCs w:val="21"/>
                <w:u w:val="none"/>
              </w:rPr>
              <w:t xml:space="preserve">0%，以降低摔倒带来的损伤风险。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安全警报：配备跌倒报警功能，发生跌倒后可及时向预设联系人发出报警信息。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6、</w:t>
            </w:r>
            <w:r>
              <w:rPr>
                <w:rFonts w:hint="eastAsia" w:ascii="宋体" w:hAnsi="宋体" w:eastAsia="宋体" w:cs="宋体"/>
                <w:i w:val="0"/>
                <w:iCs w:val="0"/>
                <w:color w:val="000000"/>
                <w:sz w:val="21"/>
                <w:szCs w:val="21"/>
                <w:u w:val="none"/>
              </w:rPr>
              <w:t xml:space="preserve">运动监测：支持计步及运动轨迹记录功能。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7、</w:t>
            </w:r>
            <w:r>
              <w:rPr>
                <w:rFonts w:hint="eastAsia" w:ascii="宋体" w:hAnsi="宋体" w:eastAsia="宋体" w:cs="宋体"/>
                <w:i w:val="0"/>
                <w:iCs w:val="0"/>
                <w:color w:val="000000"/>
                <w:sz w:val="21"/>
                <w:szCs w:val="21"/>
                <w:u w:val="none"/>
              </w:rPr>
              <w:t xml:space="preserve">定位功能：支持卫星定位与基站定位，便于监护人掌握使用者位置信息。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8、</w:t>
            </w:r>
            <w:r>
              <w:rPr>
                <w:rFonts w:hint="eastAsia" w:ascii="宋体" w:hAnsi="宋体" w:eastAsia="宋体" w:cs="宋体"/>
                <w:i w:val="0"/>
                <w:iCs w:val="0"/>
                <w:color w:val="000000"/>
                <w:sz w:val="21"/>
                <w:szCs w:val="21"/>
                <w:u w:val="none"/>
              </w:rPr>
              <w:t xml:space="preserve">续航能力：单次充电后，在常规使用模式下续航时间不低于24小时。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9、</w:t>
            </w:r>
            <w:r>
              <w:rPr>
                <w:rFonts w:hint="eastAsia" w:ascii="宋体" w:hAnsi="宋体" w:eastAsia="宋体" w:cs="宋体"/>
                <w:i w:val="0"/>
                <w:iCs w:val="0"/>
                <w:color w:val="000000"/>
                <w:sz w:val="21"/>
                <w:szCs w:val="21"/>
                <w:u w:val="none"/>
              </w:rPr>
              <w:t xml:space="preserve">维护性能：马甲外套支持水洗，便于日常清洁维护。</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健康管理机器人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一、核心功能要求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1.支持脉搏波信号采集，可分析血压、心率、脉压、平均动脉压、心律等核心体征数据，并提供基于循证医学的健康指导建议；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2.具备后台数据统一管理功能，涵盖设备运行状态、注册用户信息、健康数据记录、用药提醒记录、视频问诊 / 通话记录等内容，支持大数据统计分析，界面直观化展示，操作流程简洁易懂；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3.提供在线医生视频问诊服务支持；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4.搭载医疗知识库，具备健康智能预诊功能，可对常见健康问题进行初步分析；</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5.支持体征测量数据实时记录，可为多名家庭成员建立个人健康档案，智能呈现各项指标变化趋势，具备健康管理、风险预警及大数据分析能力；</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6.体检结果支持通过即时通讯工具分享，授权家人可随时查看相关健康数据，实现远程健康监护；</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7.具备空气净化功能，采用安全合规的病菌消杀技术，可实现杀菌、保湿、除味效果；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8.支持用药提醒功能，可按药品名称、服用频率、服用时间、药品图片等多维度自定义设置多个提醒任务，到点自动触发提醒；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9.具备远程视频监控功能，支持通过移动端应用实时查看居家环境安全状况；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10.配备一键紧急求救功能，支持通过按键或语音方式快速向预设联系人发起求救呼叫；</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11.搭载智能语音交互系统，支持语音聊天、天气查询、指令控制等功能，具备良好的语音识别准确率及响应速度；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12.集成血压测量模块，采用一体化设计，测量操作便捷；</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13.支持通过移动端应用实现健康数据查看、视频通话、在线咨询等功能操作。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二、机器人技术参数：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1.屏幕尺</w:t>
            </w:r>
            <w:r>
              <w:rPr>
                <w:rFonts w:hint="eastAsia" w:ascii="宋体" w:hAnsi="宋体" w:eastAsia="宋体" w:cs="宋体"/>
                <w:i w:val="0"/>
                <w:iCs w:val="0"/>
                <w:color w:val="000000"/>
                <w:sz w:val="21"/>
                <w:szCs w:val="21"/>
                <w:highlight w:val="none"/>
                <w:u w:val="none"/>
                <w:lang w:val="en-US" w:eastAsia="zh-CN" w:bidi="ar"/>
              </w:rPr>
              <w:t xml:space="preserve">寸：≥9英寸；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2.屏幕分辨率：≥1024×600，保障教学课件、视频画面等清晰呈现；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3.摄像头像素：≥800W；</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4.麦克风：配置环形四麦阵列，提升教学环境下的语音收音清晰度，精准捕捉指令与对话；</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5.通讯方式：支持Wi-Fi、蓝牙无线通讯；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6.输入电源：支持通用Type-C接口供电，具备过压、过流保护；</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7.电池容量：≥10000mAh，支持离线持续使用，满足课堂移动教学、多场景切换需求；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8.产品尺寸：结构设计合理，便于家庭环境摆放与移动。</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电动起立床</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1.直立角度0°~85°以上可调，有效预防体位性低血压等并发症。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2.床体尾端配有分体式脚托板，内外翻调节范围≥-30°～＋30°，跖屈背屈调节范围不小于-59°～+34°，有利于预防和矫正足部变形。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3.床面升降范围不小于0～400mm，方便转移。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4.配备可调节扶手桌面（餐板），支持上下、前后双向调节，患者可在站立训练时进行上肢功能训练。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5.站立位时脚托板具备足够的静态承载能力，确保使用安全。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6.至少配有3组保护带，分别保护膝关节、髋关节和胸部，且保护带的宽度≥125mm，其中，膝部保护带分开式设计，分别保护左右两侧膝盖。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7.床面采用易清洁、耐腐蚀的医用材质。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9.最大承重≥175kg。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10.配有紧急开关，在紧急情况下按下可以停止设备工作。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11.采用便捷的固定装置，操作简单，能可靠锁定/解锁床体。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12.至少配备2个电机和一侧气弹簧三重保护,驱动系统安全可靠，具备过载保护功能。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13.防进液等级不低于IPX4。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外形尺寸（L*W*H）：2155mm*815mm*（1065~2110）mm（±10%），床面尺寸（L*W）：1810mm*610mm（±10%），脚托板尺寸（L*W）：170mm*315mm（±10%），扶手桌面（餐板）尺寸（L*W）：775mm*455mm（±10%），胸部固定带（L*W）：740mm*125mm（±10%），腿部固定带（L*W）：450mm*125mm（±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15.净重：95kg（±20%）。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16.电源：AC220V、50Hz，输入功率符合中国电网标准。</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上下肢运动康复训练机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1.具有水平训练、垂直交叉、垂直平行等多种上肢训练方式。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2.具有正转、反转等下肢训练方式。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3.主动训练模式下，阻力可调，调节范围：≥0~6Nm。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4.被动训练模式下，转速可调，调节范围：≥5~60r/min，步进≤1r/min。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5.被动训练模式下，电机输出动力具备安全限值，保证训练安全。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6.具有常规手柄和带护托手柄等多种扶手配置。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7.具备定时功能，到达设置时间后自动切断输出，可设定范围：≥1~99min，步进≤1min。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8.设备高度可调，调节范围：≥0~60mm。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9.上肢训练工作臂可水平旋转、垂直旋转调节。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10.配有不小于10英寸彩色液晶触摸屏，支持人机互动功能。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11.设备可设置训练时间、训练速度、运动阻力、运动方向等训练参数。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12.对称性监测：具备肌力对称性监测功能，提供图示显示和相对比例数据。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13.可查看训练结果数据，至少包括：运动里程、运动时间、能量消耗等。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14.具有可调节的辅助脚踏板，适应不同患者的小腿固定。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15.具有急停按钮和痉挛保护功能。当监测到痉挛发生时，设备触发保护动作；当出现多次痉挛后，设备应能自动停止。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16.具有开机自检功能和语音提示功能。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17.设备运转应平稳、协调、低噪音。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18.外形尺寸设计应符合临床使用需求。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19.设备重量应便于移动和定位。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20.电源：AC220V、50Hz，输入功率符合中国电网标准。</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简易运动训练套装</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1.配有层板组合式收纳隔板，复合实木材质，可任意调节层板高度，隔板栏位：≥4个。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2.收纳柜配有自锁脚轮，方便移动位置。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3.设有专用的哑铃放置位，放置孔位：≥20个。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4.设有专用的弹力带放置位，具有保护及收纳作用，放置孔位：≥6个。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5.配有组合式悬挂装置，可用于悬挂沙袋、训练垫、弹力管等物件，悬挂孔位：≥54个。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6.配有≥20个哑铃，哑铃重量范围：≥0.5~5kg。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7.配有≥14个绑式沙袋，沙袋重量范围：≥0.25~2.5kg。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8.提供折叠式体操棒及收纳装置，体操棒数量：≥3件。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9.提供平衡软垫及收纳装置，平衡软垫数量：≥2件。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10.提供弹力带及收纳装置，弹力带数量：≥6件，弹力带弹力范围：≥10~25lbs。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11.提供弹力绳及收纳装置，弹力绳数量：≥5件，弹力绳弹力范围：≥10~30lbs。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12.提供瑜伽垫及收纳装置，瑜伽垫数量：≥3件。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13.提供泡沫轴及收纳装置，泡沫轴数量：≥1件。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14.提供按摩球及收纳装置，按摩球数量：≥2件。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15.提供普拉提圈及收纳装置，普拉提圈数量：≥2件。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16.提供瑜伽小球及收纳装置，瑜伽小球数量：≥3件。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17.提供软式重力球及收纳装置，软式重力球数量：≥8件，软式重力球重量范围：≥1~5lbs。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18.提供药球及收纳装置，药球数量：≥5件，药球重量范围：≥1~5kg。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19.提供瑜伽球固定圈及收纳装置，数量：≥3件。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20.提供半球及收纳装置，半球数量：≥1件。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21.外形尺寸（L*W*H）：896mm*502.5mm*1843mm（±10%）。</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智慧康复一体化工作站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智能化硬件单床解决设备</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至少包含智慧养老机构配套使用的智能网关、无线紧急按钮、便携式紧急按钮、无线红外探测器、门磁传感器、智能感应小夜灯、跌倒检测报警摄像头、在床生命体征监测仪、无线音乐闪光震动门铃（震动款）、智能定位胸卡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1、智能网关：需支持多种常用物联网通信协议，用于连接和管理本项目各类终端设备。</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2、无线紧急按钮：具备一键触发无线报警功能，待机时间和防护等级满足日常使用需求。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3、便携式紧急按钮：便于佩戴，功能同上，需说明具体佩戴方式和续航能力。</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4、无线红外探测器：应能探测设定区域内的人员活动，并发送报警信号。</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5、门磁传感器：用于监测门/窗的开关状态，状态改变时应发送信号。</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6、智能感应小夜灯：具备环境光线感应与人体活动感应功能，能实现“人来灯亮，人走灯缓灭”。</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7、跌倒检测报警摄像头：需具备通过本地算法识别人员跌倒等异常行为并报警的功能，并具备隐私保护模式。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8、在床生命体征监测仪：应能无感监测在床人员的心率、呼吸率等关键体征，并在异常时报警。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9、无线音乐闪光震动门铃：触发时应能提供声音、闪光与震动等多种提示方式。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10、便携式智能定位终端：需具备室内外定位、SOS一键报警及电子围栏功能。</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智能护理机器人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1、产品尺寸：参考尺寸约730x320x610mm，具体外形结构尺寸便于在养老机构标准床单位周边灵活移动与操作即可。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2、工作温湿度：10 ~40℃、20 ~80%RH，应满足中国典型地区养老机构室内常年使用要求。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3、感知技术：应具备智能感知能力，能够自动识别护理需求并触发相应工作流程。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4、自清洁：设备应具备防止交叉感染的技术措施，可包括但不限于自清洁功能。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5、感知灵敏度：感知系统响应速度应满足及时响应的实际应用需求。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6、护理频次：不低于3次大便和10次小便/天。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7、清洗净度：清洗效果应有明确、可验证的评估机制，并能满足卫生标准。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8、姿态：左右轴侧倾±30°、前倾不低于10°，满足不同体位和使用场景的护理需求。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9、真空吸力压强：设备工作部件的调节范围应能满足不同体位和使用场景的护理需求。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10、穿戴设计：与人体接触的部分应符合安全、舒适的原则。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11、水温：清洗用水温度应可调节，并能在设定温度范围内保持稳定，温度控制误差不大于±2℃。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12、风温：烘干风温应可调节，并能在设定温度范围内保持稳定，温度控制误差不大于±2℃。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13、漏电保护：必须符合国家电气安全标准，具备完善的漏电保护措施。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14、电气安全执行标准：应符合GB 4706.1等标准要求。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15、功能：应具备包括但不限于智能识别、清洗、烘干、祛湿、除臭等自动化护理功能。供应商须承诺在合同期内提供软件功能优化与升级服务。</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便携式智能洗浴机</w:t>
            </w:r>
            <w:r/>
          </w:p>
        </w:tc>
        <w:tc>
          <w:tcPr>
            <w:shd w:val="clear" w:color="auto" w:fill="ffffff"/>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1、功能模式：设备应具备擦澡、洗头、淋浴等基本洗浴功能。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2、设计原则：应采用可移动式设计，能在床旁等非传统浴室环境完成洗浴操作。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3、使用适应性：应能适应使用者坐、卧等不同体位完成洗浴操作。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4、出水控制：设备出水应具备可控性，能实现即按即出、松手即停的基本控制功能。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5、娱乐功能：可具备多媒体播放功能。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6、洗浴配件：应配备适用于不同洗浴功能的专用配件（不少于2种类型的花洒），满足不同场景的使用需求。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7、数据连接：可具备数据连接与传输功能。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8、污水回收：应具备洗浴过程中污水即时回收的能力，保持洗浴区域干爽，避免交叉感染。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9、电气安全：整机电气安全设计应符合相关国家标准，确保洗浴过程中用水用电安全。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10、节水性能：单次完整洗浴过程的耗水量应控制在合理范围内（建议单次洗发用水量不大于3L,单次擦澡用水量不大于6L）。</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11、操作设计：设备应符合人机工程学原理，操作简便，能有效降低护理人员工作强度。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12、噪声控制：设备运行噪声应控制在合理范围内，保证使用舒适性。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13、按摩功能：可具备水流按摩等功能。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14、环保要求：设备各部件及材质应符合国家相关环保标准。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15、水箱设计：净水箱与污水箱应分离设计，避免交叉感染。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16、外形尺寸：400mm(长)*200mm（宽）*350mm（高）（±10%）应便于在养老房间内移动、存放与操作。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17、输入电源：AC 220V(±10%)/50Hz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18、工作电源：应采用安全电压供电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19、额定电压：应采用安全电压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20、工作电流：整机工作电流应符合设备功率需求</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none" w:color="000000" w:sz="4" w:space="0"/>
              <w:right w:val="non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大小便护理机器人（物联版）</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1、运行噪声：设备在夜间工作模式下的运行噪声应不大于45分贝。</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2、排泄物处理能力：设备应具备处理不同性状排泄物（包括成型大便）的能力，确保管路通畅。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3、智能识别与数据记录：设备应能自动识别大小便并启动相应冲洗模式。应具备记录排泄次数、时间等数据的功能，并可存储和导出。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4、集便器材质：与使用者接触的集便器部分应采用医用级、抗菌、防水材质。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5、清洗功能：设备应具备对使用部位和集便器的自动清洗功能，清洗应覆盖主要区域，确保清洁效果，防止污物残留。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6、使用适应性：设备应允许使用者在一定角度内左右侧身，支持最大左右侧身45°使用，且在此范围内有效防渗漏。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7、工作模式与操控：设备应具备多种工作模式，并配备语音提示及遥控操作功能。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8、配套床品：应配备具有防褥疮、透气速干功能的专用床垫或床单。</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自动化护理流程：设备应能自动完成检测、冲洗、烘干等基本护理流程，并具备除臭功能。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9、气味控制：设备应具备有效的封闭式除臭系统，防止排泄物气味外泄。</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10、水温调节：清洗用水温度应可调节，至少具备高、中、低三档或具备无极调节功能。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11、水压调节：清洗水压应可调节，至少具备高、中、低三档或具备无极调节功能。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12、烘干功能：设备应具备可定时或可设定时长的送风干燥功能。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13、环境改善功能：设备可具备改善局部环境空气质量的辅助功能。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14、物联功能：设备应具备数据联网通讯能力，支持将设备运行状态、护理数据、报警信息等传输至机构指定的管理平台，并支持远程查询与管理。</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大小便智能护理床</w:t>
            </w:r>
            <w:r/>
          </w:p>
        </w:tc>
        <w:tc>
          <w:tcPr>
            <w:shd w:val="clear" w:color="auto" w:fill="ffffff"/>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1、床体尺寸：长度约200cm，宽度约110cm，尺寸应适配养老机构标准床单位空间。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2、核心功能：应集成卧床大小便自动处理功能，具备自动冲洗、粉碎排污与管道直排能力，无需人工倾倒污物。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3、侧身功能：应具备辅助使用者向左右侧身的功能，侧身角度可调。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4、抬臀功能：应具备辅助抬臀功能，抬升高度可调，升降平稳，以协助舒展身体、预防压疮。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5、抬腿功能：应具备抬腿功能，抬升高度可调，以促进下肢血液循环。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6、背起功能：背部起升角度应可调，可实现半卧位等姿势。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7、腰部活动功能：可具备辅助腰部被动活动的功能。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8、坐起与餐桌：应具备辅助使用者坐起的功能，并可配套活动餐桌，方便用餐等活动。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9、扶手调节：床体扶手高度应可调节。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10、全失能适配：应能满足全失能人员在平躺状态下完成大小便处理的需求。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11、排污方式：应采用管道直排式排污设计，管道口径需确保排污通畅，无堵塞风险。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12、烘干功能：清洗后应具备送风烘干功能，风温可调，并可控制烘干时长。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13、操作控制：遥控器应具备暂停与继续执行指令的功能。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14、一键复位：应具备一键复位功能，使床体恢复至基准平躺状态。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15、自动排污：如厕后应能自动冲洗并粉碎污物，通过管道排出。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16、安全互锁：设备应具备动作安全互锁逻辑，防止因误操作或动作冲突导致风险。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17、流程复位：完成如厕流程后，设备应能自动复位至待机状态。</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人体全身模型170cm</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骨骼附半边肌肉着色模型显示男性全身骨骼的组成和形态外观、神经分支、脊椎动脉和腰椎间盘等，由男性全身散骨串制而成一整体骨架，成直立姿势，四肢大的关节部分均可活动，其中一侧骨骼用不同颜色油漆标识出肌肉起止点位置，头颅含可活动的下巴、可移动的头颅盖、骨缝线和三颗可取下的下牙，其中四肢骨和头颅骨可以灵活拆卸组装，整体固定在支架上，带底座，可灵活移动 ，尺寸：自然大，高170cm，材质：主要骨骼部件应采用高强度PVC或ABS等耐用环保材料制成，做工精细，不易损坏。</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人体骨架（全身骨骼模型）170cm</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身人体骨骼模型示男性成人骨骼，由男性全身散骨串制而成一整体骨架，成直立姿势，四肢大的关节部分均可活动，显示男性全身骨骼的组成和形态外观、神经分支、脊椎动脉和腰椎间盘等，头颅含可活动的下巴、可移动的头颅盖、骨缝线和三颗可取下的下牙，其中四肢骨和头颅骨可以灵活拆卸组装，整体固定在支架上，带底座，可灵活移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尺寸：自然大，高170cm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材质：高强度PVC或ABS等耐用环保材料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包装：包装应牢固可靠，确保运输过程中模型完好无损。</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压疮仿真模型</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主要功能：用于压疮（褥疮）预防及照护技能的实训与考核。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病理表现：模型应准确展示压疮从1期至4期的典型临床表现，以及不可分期压疮和可疑深部组织损伤的病理特征。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类型展示：模型应能体现不同解剖部位发生的压疮类型。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外观与触感：模型外观应形态逼真，模拟组织色泽、创缘及渗液等细节；材质触感应接近真实皮肤，具有适宜的柔软度和弹性。</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cyan"/>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高级瘘管造口术护理模型</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模型功能：用于造口护理及灌肠等临床护理技能的教学与实训。</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造口类型：模型应至少包含结肠造口与回肠造口两种典型造口类型。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结构仿真度：造口及其周围组织结构形态应仿真、位置准确。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核心实训功能：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①</w:t>
            </w:r>
            <w:r>
              <w:rPr>
                <w:rFonts w:hint="eastAsia" w:ascii="宋体" w:hAnsi="宋体" w:eastAsia="宋体" w:cs="宋体"/>
                <w:i w:val="0"/>
                <w:iCs w:val="0"/>
                <w:color w:val="000000"/>
                <w:sz w:val="21"/>
                <w:szCs w:val="21"/>
                <w:highlight w:val="none"/>
                <w:u w:val="none"/>
              </w:rPr>
              <w:t xml:space="preserve">模型应支持通过结肠造口进行造口扩张、冲洗、灌肠及造口袋粘贴与更换等护理操作练习。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②</w:t>
            </w:r>
            <w:r>
              <w:rPr>
                <w:rFonts w:hint="eastAsia" w:ascii="宋体" w:hAnsi="宋体" w:eastAsia="宋体" w:cs="宋体"/>
                <w:i w:val="0"/>
                <w:iCs w:val="0"/>
                <w:color w:val="000000"/>
                <w:sz w:val="21"/>
                <w:szCs w:val="21"/>
                <w:highlight w:val="none"/>
                <w:u w:val="none"/>
              </w:rPr>
              <w:t xml:space="preserve">模型应支持通过回肠造口进行管饲练习。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排泄物模拟：应配备模拟排泄物，且排泄物的粘稠度可调节，以满足不同场景的重复训练需求。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材质与触感：造口及周围腹部组织应采用柔软、耐用的高分子材料制成，触感逼真，能够提供真实的操作反馈。</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高级压疮(褥疮)护理模型</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模型原型：应以</w:t>
            </w:r>
            <w:r>
              <w:rPr>
                <w:rFonts w:hint="eastAsia" w:ascii="宋体" w:hAnsi="宋体" w:eastAsia="宋体" w:cs="宋体"/>
                <w:i w:val="0"/>
                <w:iCs w:val="0"/>
                <w:color w:val="000000"/>
                <w:sz w:val="21"/>
                <w:szCs w:val="21"/>
                <w:highlight w:val="none"/>
                <w:u w:val="none"/>
                <w:lang w:val="en-US" w:eastAsia="zh-CN"/>
              </w:rPr>
              <w:t xml:space="preserve">中老年</w:t>
            </w:r>
            <w:r>
              <w:rPr>
                <w:rFonts w:hint="eastAsia" w:ascii="宋体" w:hAnsi="宋体" w:eastAsia="宋体" w:cs="宋体"/>
                <w:i w:val="0"/>
                <w:iCs w:val="0"/>
                <w:color w:val="000000"/>
                <w:sz w:val="21"/>
                <w:szCs w:val="21"/>
                <w:highlight w:val="none"/>
                <w:u w:val="none"/>
              </w:rPr>
              <w:t xml:space="preserve">人体结构为基础，形态逼真。</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材质与触感：模拟皮肤及组织应具有接近真实的触感，提供良好的操作反馈。</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压疮分期展示：应清晰展示压疮（褥疮）从第1期至第4期的典型临床表现与特征。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复杂伤口类型展示：应展示多种复杂伤口及并发症类型，至少包括但不限于：窦道、瘘管、腐肉、焦痂、感染性伤口、骨骼暴露及缝合伤口等。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实训功能：模型应能支持进行伤口清洁、评估、分期、分类以及伤口长度与深度测量等基础护理操作练习。</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雷达智慧健康监测仪</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1、监测模式：采用非接触式监测技术，可24小时持续监测，保护个人隐私。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2、技术架构：应采用本地化边缘计算与智能感知技术。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3、生命体征监测：可探测并输出包括人体存在状态、呼吸频率、心率、体动等关键生命体征数据。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4、睡眠报告分析：具备睡眠质量分析功能，可生成包含深睡、浅睡、翻身、离床等核心指标的日/周/月报告。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5、异常报警功能：支持呼吸异常、长时间离床等异常事件的报警提示。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6、安装方式：支持壁挂与吸顶等多种安装方式，安装位置应便于设定监测区域。</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7、软件升级：支持远程固件升级功能。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8、性能要求：设备应具备良好的抗干扰能力和低功耗特性。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9、电气规格：</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①外形尺寸：应满足安装便捷性与美观性要求。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②供电方式：采用通用USB接口供电，输入电压5V。</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10、通信接口：应具备将监测数据上传至管理平台的能力，支持Wi-Fi、蓝牙等常规通信方式中的至少一种。</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11、检测范围：有效检测距离应覆盖0.4~3m，并在此范围内能准确探测到目标的呼吸、心率等生命体征。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12、检测角度：波束方位角与俯仰角均应≥±60°。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13、环境适应性：工作温度-10℃～55℃，工作湿度≤95%(无凝结)。</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雷达摔倒探测器</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1、核心技术：应采用雷达感知与智能分析技术实现跌倒检测。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2、核心功能：应具备人员存在感知、活动状态识别、跌倒判断与远程报警功能。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监测模式：应采用无感监测模式，保护个人隐私。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3、性能要求：设备应具备较强的抗干扰能力和低功耗特性。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4、环境适应性：应能在多种室内环境因素（如温度、湿度、尘埃、光照变化）下稳定工作。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5、电气与结构规格：外形结构应便于安装，供电方式应采用通用直流安全电压供电，工作电流应满足低功耗要求。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6、通信接口：应支持Wi-Fi、蓝牙等常规通信方式中的至少一种，用于数据传输与报警。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7、安装方式：应支持顶装与壁装等多种安装方式。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8、安装高度：顶装适用高度范围应覆盖2.2米至3.0米；壁装适用高度范围应覆盖1.2米至1.6米。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9、探测范围：在典型安装高度下，其有效探测范围应能覆盖一个标准单人房间的主要活动区域（参考面积：不小于4米 x 4米）。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10、识别与报警：应能准确识别区域内有人/无人状态，并在检测到疑似跌倒事件时，于秒级时间内触发报警。</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健康陪伴机器人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1．设备需具备远场语音交互能力。在环境噪声≤50dB的典型室内环境中，于不少于5米的距离内应能实现稳定、清晰的语音识别与双向交互。。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2.应具备基于数据分析的异常预警能力，须支持手动一键SOS报警功能，并具备扩展接口或软件能力，可对接第三方健康监测设备实现自动报警。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3.应具备通过语音或应用程序控制其他智能设备的能力，简化长者日常操作。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4.支持移动端小程序，可随时随地建立联系。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5.设备包含便捷式健康一体机，适合慢性病(心血管疾病.糖尿病等) 患者使用的健康管理设备。便捷测量体征，支持通过 WiFi无线通信技术进行健康数据的传输: 支持云端存取，微信实时推送，并实现多用户管理功能。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6.外观尺寸应适合家居环境使用，约320*290*159mm（允许偏差±20%），结构稳固，操作便捷。 </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7.电池在满电状态下，于典型混合应用场景下的连续工作时间应不低于4小时。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8.须采用通用型外部电源适配器供电。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9.通讯 Wi-Fi/蓝牙 </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10.屏幕尺寸不小于10英寸 </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11.屏分辨率不低于1280* 800 </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12.摄像头有效像素不低于200万</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13.应集成扬声器，最大音量下在1米距离处测得的声压级应不低于70dB，音质应保证语音提示和通话清晰可辨。</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理疗机器人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备自动化理疗功能，无需医者直接接触，避免交叉感染；智能体温监控及治疗过程温度实时调整；课程参数通过人机交互可灵活调整；支持自动记录历史治疗效果最佳参数；支持建立治疗电子档案，可追溯治疗地点及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2、内置预设理疗方案不少于8种，支持治疗方案自定义功能；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3、支持通过交互界面规划理疗轨迹；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4、用户在理疗的过程种可以实时的修改轨迹运行的速度和与人体接触的力度，机器人无需暂停或者停止；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5、机器人 3D 视觉可以准确识别人体区域，识别精度误差不大于±3mm；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6、支持系统远程升级功能；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7、具备三维建模与定位功能，集成力控系统；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8、支持模拟还原专业手法，包括力度、速度、姿态、轨迹；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9、支持主要理疗参数独立调节，至少可支持自由调控力度、温度、频率，异常时可实现瞬间响应。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10、智能控制系统要求：具备基于3D视觉的智能路径规划功能，内置标准化理疗方案库，支持温度精准控制与实时调节，集成力控保护、温度保护等多重安全机制，具备柔顺力控功能，确保操作安全舒适。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1、机体组成：至少包含机体+不少于6轴机械手臂+3D视觉系统+射频理疗头等核心组件；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2、额定电压：AC 220V (±10%)；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3、最大功耗：1000W(±10%)；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4、尺寸：1100mm*500mm*1400mm(长*宽*高)(±20%)；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5、机械臂自由度：≥6个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6、力传感器：设备应具备力控功能，力控精度应优于±2N；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7、按摩时间：单次理疗课程持续时间宜为40-50分钟；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8、移动性能：设备应配置移动脚轮，支持人工推动移位；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9、智能功能：应具备三维人体识别、视觉分析、路径规划、柔顺力控及多重安全控制等智能化功能；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10、安全配置：设备本体应配备不少于2个急停开关，理疗头应集成温度传感器，实时监测人体温度，轨迹运行结束后理疗头应自动停止发热。</w:t>
            </w:r>
            <w:r/>
          </w:p>
        </w:tc>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智慧照护一体化工作站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智能驾驶轮椅机器人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1.车轮尺寸：前轮≥10英寸，后轮≥10英寸；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2.尺寸参数：车长≤1000mm、车宽≤594mm、车高≤1000mm、坐高520mm±20mm、坐深420mm±20mm、坐宽440mm±20mm、底盘高度≥60mm；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3性能参数：最大爬坡度≥10°（符合GB/T 12996-2012）；最大行驶速度≤6m/s（支持多档位调节，最低档位≤1m/s）；</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4.动力配置：电池额定电压≥24V、额定容量≥10Ah；驱动电机为双电机，单电机功率≥200W（总功率≥400W）；</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5.续航及承载：满电续航≥15km（室温25℃±5℃、平坦路面、载重75kg、中速行驶条件下）；最大承重≥150kg；设备自重≤42kg（含电池）；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6.核心功能：自主导航，支持路线规划及实时定位；（2）自主避障，可识别静动态障碍物；（3）一键紧急呼叫；（4）软件免费迭代升级。</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智能助行机器人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1.内置多种传感器系统，智能跟随人体步行速度和幅度，自动调节助力频率，学习并适应人体的步行节奏，具有更舒适的穿戴体验；。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2.髋关节通过大功率直流无刷电机驱动，辅助左右两侧髋关节的屈曲和助力，可持续提供超大助力，使用户步行更加轻松省力；</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3.用户可独立完成穿脱外骨骼，无需他人协助，穿戴时间＜30s，支持站姿和坐姿两种方式穿戴，在家庭、社区等日常生活中使用。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4.内置大容量锂电池，可连续行走2小时。支持蓝牙连接，提供手机、平板APP，可实时存储、统计、分析并显示行走数据，步行健康情况一目了然；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采用符合人体工程学结构设计，保证了穿戴者的正常运动范围不受限，同时配备舒适海绵材质腰垫，保证产品与人的贴合性与穿戴舒适性，结构材料上除必要的受力部位采用高强度的航空铝材料，其余采用相对质轻的高强度塑胶材料，在保证结构性能的同时进一步减轻产品重量，提高穿戴舒适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6.任何模式下助力大小需要手动调节；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7.机器在行走过程中识别用户步态后，即可帮助抬腿；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8.机器有左腿模式、右腿模式和助行模式三种模式选择，三种模式可以循环切换；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9.助力等级应不少于5级可调；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10.应支持通过移动终端进行参数设置与设备管理、设备更新等；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11.机器具有评估模式，评估结束后生成评估报告，评估报告至少应包括：髋关节运动曲线、步态分析、差异分析、评估结果描述；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12.机器应支持蓝牙无线通信；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13.内置电池持续使用时间：≥3小时；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14.产品尺寸：应符合成人使用需求；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15.重量：应满足便携性要求；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16.电池电压：21.6V 锂电池组；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17.续航时间：2~4h；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18.充电时间：≤3h；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19.外动力源：应采用高输出力电机；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20.保护功能：过流、欠压、过温、超速等保护；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21.电池快换：穿着状态可30秒以内快速更换；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22.整机噪声：≤65 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23.助力大小：多档位可调，≥12Nm；左右腿助力大小可单独可调；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24.工作模式：应支持多种工作模式；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25.使用环境：室内及户外；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26.电源适配器：输入：100-240V；输出：约DC 25.2V；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27.工作温度:-10℃-45℃；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28.储存温度:-20℃-50℃。</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电动站立行走训练机器人</w:t>
            </w:r>
            <w:r/>
          </w:p>
        </w:tc>
        <w:tc>
          <w:tcPr>
            <w:shd w:val="clear" w:color="auto" w:fill="auto"/>
            <w:tcBorders>
              <w:top w:val="single" w:color="000000" w:sz="4" w:space="0"/>
              <w:left w:val="single" w:color="000000" w:sz="4" w:space="0"/>
              <w:bottom w:val="non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1.电动轮椅功能、站立训练功能、步态训练功能和牵引拉升功能四位一体。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2.支持使用者通过简单操作，不需要他人协助即可独立完成坐姿至站姿的转换及各姿态间的平稳切换；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3.应具备辅助使用者独立站立的功能，有效减少长期卧床并发症风险；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4.设备使用应具备场所灵活性，降低对他人协助的依赖；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5.应具备颈椎牵引功能；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6.应具备腰椎牵引功能；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7.应具备颈部牵引功能；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8.应具备速度调节功能，并提供明确的速度状态指示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9.应具备方向控制功能，支持前进、后退及转向操作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10.应配备站立辅助系统，包含升降控制装置及安全保护带，站立高度应满足成人使用需求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11.满电续航里程应不低于20公里</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12.最高行驶速度应不超过6公里/小时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13.制动性能应满足：水平路面制动距离＜1.5米；6°坡道制动距离＜3.6米；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14.最大负荷转移时，工作噪声不大于65dB，空载时，工作噪声不大于60dB；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15.应具备直观的操控界面，支持行进方向控制及设备折叠/展开操作；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16.应采用双电机驱动系统，支持单手操控各方向运动；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17.应配备升降驱动系统，支持扶手、靠背及安全保护带同步升降；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18.靠背及安全保护带支架应支持手动折叠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19.控制器应支持左右侧安装，适配不同使用习惯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20.整车尺寸：长1000mm（±10%）× 宽680mm（±10%）× 高1100mm（±10%）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21.额定功率：250W（±10%）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22.额定电压：24V（±10%）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23.电源输入：100-240V（±10%），50/60Hz（±5%）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24.输出电压：29.4V（±10%）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25.输出电流：2A（±10%）</w:t>
            </w:r>
            <w:r/>
          </w:p>
        </w:tc>
        <w:tc>
          <w:tcPr>
            <w:shd w:val="clear" w:color="auto" w:fill="auto"/>
            <w:tcBorders>
              <w:top w:val="single" w:color="000000" w:sz="4" w:space="0"/>
              <w:left w:val="single" w:color="000000" w:sz="4" w:space="0"/>
              <w:bottom w:val="non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智能屏</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1.型号:应满足居家养老场景使用需求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2.主机尺寸:不低于10英寸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3.内存:运行内存≥1GB，存储空间≥16GB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4.媒体功能：应支持音视频播放功能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5.语音交互：需具备语音识别及响应能力，支持基础信息服务（如天气查询等）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6.内容资源：应具备正版内容资源库</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智能门锁</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1.产品尺寸：外形尺寸应适配常规入户门安装需求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2.适应门厚：应适用于40-120mm厚度的标准门体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  能：应支持包括生物识别、密码、机械钥匙在内的至少三种开锁方式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4.识别性能：生物识别系统应具备快速识别能力，识别准确率需满足安全使用要求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5.材质要求：外壳应采用金属材质，面板需使用高强度玻璃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6.电源系统：应支持干电池与锂电池双供电模式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7.低电量性能：电池欠压状态下仍应保证不少于50次正常开锁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8.使用寿命：整机耐久性应不低于1万次开合循环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9.应急供电：应支持外部应急供电接口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10.安全防护：应具备多次错误输入锁定及欠压报警功能</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智慧医养月光宝盒</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设备形态与功能：应集成音视频采集与语音交互模块，具备智能网关功能。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语音功能：应支持语音提示与播报功能。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系统对接：需具备与养老机构管理平台进行数据交互与集成的能力。</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火柴人摄像头</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1.跌倒检测：应具备基于AI算法的跌倒检测功能，有效检测距离≥6米，报警信息为目标对象（姓名）+发生跌倒的区域。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2.挥手求救检测：应具备基于AI算法的挥手求救识别功能，有效检测距离≥6米，报警信息为目标对象（姓名）+发生求救事件的区域。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3.区域监测：应具备电子围栏与重点区域监测功能，有效监测距离≥6米，报警信息为目标对象（姓名）+发生电子围栏、感兴趣事件的区域。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隐私计算：要求使用隐私计算方案，严格实现数据保密，不显示原始视频，不传输原始视频，特别是不会传输原始视频到云端服务器，使用边缘计算视频本地处理不上传云端，进行隐私属性删除，在处理和分析计算数据的过程中能保持数据不透明、不泄露、无法被计算方</w:t>
            </w:r>
            <w:r>
              <w:rPr>
                <w:rFonts w:hint="eastAsia" w:ascii="宋体" w:hAnsi="宋体" w:eastAsia="宋体" w:cs="宋体"/>
                <w:i w:val="0"/>
                <w:iCs w:val="0"/>
                <w:color w:val="000000"/>
                <w:sz w:val="21"/>
                <w:szCs w:val="21"/>
                <w:u w:val="none"/>
                <w:lang w:val="en-US" w:eastAsia="zh-CN" w:bidi="ar"/>
              </w:rPr>
              <w:t xml:space="preserve">以及其他非授权方获取；所有人工智能算法都在行为识别传感器内部运行，在传感器内依靠小型嵌入式AI模型，依靠算力实时将原始视频转换为人体骨架的火柴人动画，实现隐私计算；要求配置黑白素描的背景采集选项，能够将环境中的字体和敏感文字去除。当传感器检测到跌倒或其他紧急情况时，将立即通过云端和手机APP把脱敏后的视频动画发送给医护人员和家庭成员。在报警视频动画中，老人的行为由动画骨架图表示。这些动画能提供必要的视觉信息，使接收人员能看到事件是如何发生的、老人是否跌倒，但并不提供原始的视频，即使在卧室和浴室也可放心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低存储成本、保护隐私的火柴人动画和录像：要求传感器使用边缘计算，将原始视频实时转换为人体骨架的火柴人动画，实现APP界面显示及在云端存储，为降低存储成本，要求每个火柴人的动画数据不得超过30KB/秒，常态化传输0.3KB-3KB/秒，每天每个火柴人动画数据不超过30MB/天。能够实现隐私计算算法的火柴人动画能够实现云端存储及按日期搜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健康数据统计及分析：要求依靠人工智能算法模型，实时监测目标对象的健康活动数据，统计目标对象的站、座、弯腰、睡觉的具体时间。要求至少每小时刷新一次，能够通过时间轴回看健康数据的人体骨架动画录像。要求使用大数据分析算法，大数据自动生成风险区域热力图大数据自动生成风险区域热力图，预防跌倒事件，为居家适老化改造提供数据支持。自动统计数据，生成报表事件统计,每日事件统计、事故高发区统计、高人流区域统计、活动统计、每日各类活动的总时间、个人事件历史记录、最常去的地方、访客人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7.人脸及身份识别：要求使用边缘计算，每台传感器存储人脸特征数据不低于1500个，存储数量为1500-15000个区间为合格。人脸数据使用加密算法，在传感器内，不可反向破译。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8.双向语音通话：要求在全球区域内实现双向通话，通话距离&gt;5米，有效通话距离为5-12米。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9.数据加密：要求使用支持安全引导、节点验证和数据加密等功能的专用硬件安全芯片，例如：Microchip和MAXIM。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10.AI芯片：要求使用算力不低于2TOP的AI芯片。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11.COMS感光元器件：要求使用支持1080P的感光元器件，最低不低于200万像素。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边缘计算及算法实现：要求边缘计算同时实现以下算法：人脸识别、人体跟踪、姿势识别、跌倒姿势识别、数量统计、活动数据统计、站立姿势分析统计、坐姿势分析统计、睡觉姿势分析统计、弯腰行为分析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13.产品和性能参数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传感器参数主芯片满足功能需求；DRAM内存≥2GB；eMMC闪存≥8GB；镜头分辨率不低于1080p；对角视场范围≥120°；红外夜视 支持；功耗≤5W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14.检测性能指标：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①跌倒检测距离：最佳检测距离≤6米，最远检测距离≥12米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②挥手检测距离：最佳检测距离≤5米，最远检测距离≥8米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③人脸识别距离：最佳识别距离≤5米，最远识别距离≥8米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④语音通话距离：最佳通话距离≤5米，最远通话距离≥10米</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适老化卧室全套设备</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一、智能防摔倒防护马甲（带模特）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1、应内置智能感应与防护系统；</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2、失重状态识别响应时间应不大于0.2秒；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3、安全气囊触发时间应不大于0.1秒，保护范围应覆盖人体关键部位（如头、背、腰、髋关节等）；</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4、冲击力缓冲效果应不低于85%，降低摔倒带来的损伤；</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5、应具备跌倒自动报警功能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6、应具备运动轨迹记录功能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7、应支持定位功能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8、续航时间应不低于40小时</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9、外套应支持水洗或其他方式的清洁维护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二、智能床垫（非接触式心率呼吸记录仪）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1、监测终端与显示控制单元宜采用分体式设计，便于护理人员观察和操作。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2、应能实时监测在床人员的心率、呼吸率、在/离床状态、体动、睡眠阶段与作息规律。</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3、当监测到心率或呼吸频率异常、以及疑似睡眠呼吸暂停事件时，系统应能发出提示。</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4、应具备对潜在健康风险（如心脏问题、呼吸异常、压疮风险等）的预警和报警功能。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5、系统平台应支持同时对多个床位进行集中管理，并支持远程查看数据。</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6、设备应能稳定安装于床板与床垫之间，日常更换床单或使用者活动不应导致其移位。</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7、设备应能准确监测体重在20公斤至100公斤区间使用者的生命体征。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三、智能尿湿报警器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1、系统应包含智能报警网关与尿湿传感器，可与成人纸尿裤配合使用，传感器应可重复使用。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2、应支持通过智能移动终端应用程序实现报警网关与传感器之间的一对一或一对多连接与管理。</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3、系统需至少具备：尿湿自动报警、尿量记录与统计、翻身提醒、睡姿检测、护理用品使用统计、环境温度监测。</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4、应支持Wi-Fi、蓝牙等无线通信方式，并支持通过APP进行远程监控。</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5、智能报警网关应内置电池，采用通用型充电接口，并可兼作夜灯使用。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四、床边电动升降桌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1、应采用电动升降方式，支持一键操作与远程控制，适用于卧床者床上用餐、康复训练等场景。</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2、升降范围应覆盖65-100cm，升降速度应平稳可控。</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3、桌面材质应满足环保、阻燃及耐液体侵蚀的安全要求。</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4、主体支撑结构应牢固可靠，桌面额定承载量应不低于25kg。</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5、应具备拆卸或折叠功能，便于移动与存放。</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6、底座应配备带锁定功能的万向轮，确保移动便捷性与使用稳定性。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五、雷达跌倒报警设备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应采用智能感知与分析技术，具备人员存在感知、活动状态识别、跌倒判断与远程报警功能。应具备隐私保护能力，实现无感监测。设备应具备较强的抗干扰能力和低功耗特性。应能在多种环境因素（如温度、湿度、尘埃、光照变化）下稳定工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2、技术参数：</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①外形尺寸：100mm*100mm (±20%)；</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②工作电压：DC 12V (±10%)；</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③工作电流：≤1.0A；</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④通讯方式：应支持Wi-Fi、蓝牙等常规无线通信方式中的至少一种；</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⑤安装方式：应支持顶装与壁装；</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⑥安装高度：顶装适用高度 2.0米-3.5米；壁装适用高度 1.2米-1.8米；</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⑦探测范围：在典型安装高度下，其有效探测范围应能覆盖一个标准单人房间的主要活动区域（参考面积：不小于4米 x 4米）；</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⑧应能准确识别区域内有人/无人状态，并在检测到疑似跌倒事件时触发报警；</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⑨工作温度：-20℃～50℃；</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⑩工作湿度：≤95%RH (无凝结)。</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lang w:val="en-US" w:eastAsia="zh-CN"/>
              </w:rPr>
              <w:t xml:space="preserve">六、拉绳按钮</w:t>
            </w:r>
            <w:r>
              <w:rPr>
                <w:rFonts w:hint="eastAsia"/>
                <w:lang w:val="en-US" w:eastAsia="zh-CN"/>
              </w:rPr>
              <w:br/>
            </w:r>
            <w:r>
              <w:rPr>
                <w:rFonts w:hint="eastAsia" w:ascii="宋体" w:hAnsi="宋体" w:eastAsia="宋体" w:cs="宋体"/>
                <w:i w:val="0"/>
                <w:iCs w:val="0"/>
                <w:color w:val="000000"/>
                <w:sz w:val="21"/>
                <w:szCs w:val="21"/>
                <w:u w:val="none"/>
                <w:lang w:val="en-US" w:eastAsia="zh-CN" w:bidi="ar"/>
              </w:rPr>
              <w:t xml:space="preserve">设备应支持通过按压按钮或拉动拉绳两种方式触发紧急求助信号，同时支持三大运营商频段，同步上传电池的电量状态，具备LED灯显示状态的功能，应采用低功耗设计，保证长时间稳定运行。工作电压 DC3.6V - 6V，工作电流 待机电流≤5µA；报警电流≤50mA ，支持全网通（移动、电信、联通)，外壳材质 ABS或其他阻燃、耐用材质，拉绳长度≥60cm，安装方式 壁装，支持标准规格干电池或可充电电池，工作温度 －10℃～55℃，工作湿度  ≤95%RH (无凝结)。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七、紧急按钮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设备应支持低功耗无线通信技</w:t>
            </w:r>
            <w:r>
              <w:rPr>
                <w:rFonts w:hint="eastAsia" w:ascii="宋体" w:hAnsi="宋体" w:eastAsia="宋体" w:cs="宋体"/>
                <w:i w:val="0"/>
                <w:iCs w:val="0"/>
                <w:color w:val="000000"/>
                <w:sz w:val="21"/>
                <w:szCs w:val="21"/>
                <w:u w:val="none"/>
                <w:lang w:val="en-US" w:eastAsia="zh-CN" w:bidi="ar"/>
              </w:rPr>
              <w:t xml:space="preserve">术，具备稳定的网络连接能力；应具备低电压报警、电池电量上报及电源防反接功能；应支持本地声光报警及远程平台报警推送；应具备设备自检、状态上报、数据本地存储及重传机制；产品尺寸:94mm*30mm*22mm(±10%)，工作电压:DC 3V (±10%)，工作电流:待机电流≤10μA；报警电流≤80mA，通信方式:支持NB-IoT或Cat.1等常规通信制式，支持自动复位，支持粘贴或螺丝固定等壁装方式，电池类型:支持可更换的标准化规格电池或锂电池，工作温度:-10°C~55°℃，工作湿度:≤95%RH(无凝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八、床椅一体机器人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1、产品应兼具电动护理床与电动轮椅双重功能，支持在床模式与轮椅模式间进行转换，旨在辅助使用者完成床椅间的转移，降低护理强度及转移过程中的安全风险。</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2、接触人体的面料层应具备防水、抗菌、易清洁的物理特性；填充层应具备高回弹、耐压陷及透气舒适的支撑性能。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3、驱动系统应运行平稳高效、噪声控制在合理范围内。床体与轮椅部分的结构连接必须配备有效、可靠的安全锁定装置，确保在任何使用状态下均无意外分离风险。</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4、形态转换过程应操作简便。</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5、应配备手持控制器等直观的操作界面，可控制主要功能的运行。</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6、性能与安全参数：</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①驻坡能力：≥ 6°</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②静态稳定性：≥ 6°</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③动态稳定性：≥ 3°</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④爬坡能力：≥ 3°</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⑤越障高度：≥ 25 mm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⑥越沟宽度：≥ 100 mm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⑦最小水平回转半径：≤ 1000 mm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⑧护理床姿态调节范围：背部起折角度 0° - 75°；腿部起折角度 0° - 16°</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⑨轮椅姿态：背部靠背角度可调节至 ≥ 75°；腿部支撑角度可调节至 ≥ 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九、智能语音终端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1、网络连接：应内置蜂窝网络模块，支持独立接入互联网。</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2、无线通信：应采用抗干扰能力强的无线通信技术。</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3、通信性能：无线信号应具备良好的穿透性与覆盖范围。</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4、语音通话：应支持预设多个紧急联系人号码，具备一键发起双向语音通话的功能。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5、呼叫逻辑：当呼叫无人接听或被拒绝时，系统应能自动按预设顺序拨打后续号码。</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6、信息播报：应支持远程下发语音广播、文本转语音播报及本地信息播放功能。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7、活动监测：宜内置传感器，可探测周围环境活动，并在长时间无活动时触发报警提示。</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8、紧急报警：应配备实体紧急报警按键，触发时应具备明显的声光提示。</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9、辅助照明：应集成可控的小夜灯功能。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10、扩展功能：应具备与其他健康监测设备对接的数据接口，并可对外供电。</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11、系统管理：管理平台应能监测终端在线状态，并在设备离线时告警。</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12、维护升级：应支持固件与软件的远程更新。</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13、集成性：设备应集成所需核心功能，安装与维护便捷。</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十、配套组合展示台（3 组）</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1、尺寸规格：单组展示台外形尺寸应不小于：长度3200mm (±5%) × 宽度550mm (±5%) × 高度2200mm (±5%)。</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2、基材标准：采用 E1 级环保多层实木板，表面覆贴科技木皮饰面，木皮纹理自然连贯，无明显色差、划痕、鼓包；</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3、框架材质：采用实木框架（材质需明确为白蜡木），框架结构稳固，连接处采用榫卯或加固五金件连接，无松动、变形隐患，承重性能≥50kg/㎡；</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4、涂装要求：采用净味环保漆，漆面均匀光滑，无流挂、气泡、颗粒感，色泽一致，具备耐磨、耐污、易清洁性能；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5、适老化适配：展示台边角需做圆角处理，避免尖锐边角磕碰风险；台面高度符合老年人操作习惯，便于起身查看和取放物品。</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适老化浴室和洗手间全套设备</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一、智能坐式沐浴器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1、应具备节水沐浴功能，用水效率高。</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2、座椅应采用高强度环保材料，承重能力不低于130公斤。</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3、应配备可折叠扶手，触感舒适。</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4、内部结构应防腐蚀、耐老化。</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5、出水部件应支持多角度调节。</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6、喷淋臂角度调节范围不小于160度。</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7、喷淋臂应具备多档位定位功能。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8、应配备恒温混水阀，控温精准。</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9、温度与流量调节应操作简便、标识清晰。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二、智能语音终端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1、应支持蜂窝网络连接。</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2、无线通信应抗干扰能力强。</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3、信号穿透性应满足室内使用需求。</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4、应支持预设多个紧急联系人，具备一键通话功能。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5、应具备呼叫转移功能。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6、应支持语音广播和信息播报。</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7、宜内置活动感知传感器，支持异常报警。</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8、应配备带声光提示的紧急呼叫按钮。</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9、应具备小夜灯功能。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10、应具备数据接口和充电接口。</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11、管理系统应支持设备状态监测。</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12、应支持远程软件升级。</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13、设备应集成度高，安装维护方便。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三、雷达摔倒检测仪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1、应采用非接触式智能感知技术，具备人员存在状态与活动状态的检测能力，并确保使用过程中的隐私保护。</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2、当检测到疑似跌倒事件时，应能自动触发报警并将报警信息即时发送至指定管理平台。</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3、设备应能在浴室等典型室内环境（包括特定的温度、湿度、水汽、尘埃及光照条件）下稳定工作。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4、应能区分并上报探测区域内的人员活动状态，如无人、静止、少量活动或频繁活动。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5、应能准确感知区域内是否有人存在。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6、跌倒检测的准确率应不低于98%，报警响应应在秒级完成，且具备较低的误报率。</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7、检测过程应无需用户佩戴任何设备，避免用户产生心理负担。</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8、报警时应有明显的现场声光提示，并支持报警状态自动恢复（如检测到人员起身或有他人靠近协助时）。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四、电动升降台盆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1、材质要求：主体结构应采用高强度工程塑料及防锈金属材料，表面涂层应均匀、耐用且易于清洁。</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2、驱动与结构：应内置性能稳定的电机驱动系统，整体采用一体化结构设计，确保运行平稳、安全可靠。</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3、功能要求：升降调节幅度应不小于200mm，支持便捷的按键操控。台盆下部应预留充足空间，方便轮椅使用者接近和使用。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4、输入电压：AC 220V (±10%)</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5、电机额定电压：DC 24V (±10%)</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6、额定功率：≤ 50W</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7、最大可调高度：≥ 200mm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8、净重：≤ 45kg</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9、运行速度：完成单次最大行程时间 ≤ 20s</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10、运行噪音：≤ 60 dB</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11、产品寿命：升降循环次数 ≥ 10,000次</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12、防水等级：≥ IP66。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五、坐便器辅助升降椅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1、产品尺寸：长度61.6cm (±5%) ×</w:t>
            </w:r>
            <w:r>
              <w:rPr>
                <w:rFonts w:hint="eastAsia" w:ascii="宋体" w:hAnsi="宋体" w:eastAsia="宋体" w:cs="宋体"/>
                <w:i w:val="0"/>
                <w:iCs w:val="0"/>
                <w:color w:val="000000"/>
                <w:sz w:val="21"/>
                <w:szCs w:val="21"/>
                <w:u w:val="none"/>
                <w:lang w:val="en-US" w:eastAsia="zh-CN" w:bidi="ar"/>
              </w:rPr>
              <w:t xml:space="preserve"> 宽度52.5cm (±5%) × 高度79cm (±5%)。</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2、产品净重：≤ 25 kg。</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3、材质与外观：主体结构应采用高强度工程塑料，颜色为白色或浅色系。</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4、提升参数：坐垫前端提升高度范围58-60cm，后端提升高度范围79.5-81.5cm，最大提升角度≥33°。</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5、核心功能：应具备电动升降、靠背支撑、臂托及无线遥控功能（有效遥控距离≥50米）。</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6、承重性能：坐圈额定承重≥200kg，扶手额定承重≥100kg。</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7、电气参数：充电电压适应范围100-240V，工作电压为DC 24V，采用锂电池供电。</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8、防护等级：整机防水等级不低于IP44。。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六、电子护理洗头车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1、系统组成：设备应集成移动推车、净水箱、污水箱、洗头盆、喷淋系统、蓄电池、水泵及脚踏控制开关等核心组件，并配备必要的辅助配件。</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2、供电与安全：应配备内置蓄电池，支持移动状态下的设备运行，并具备漏电保护等安全措施。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3、人机交互：应配备图形化显示界面，支持参数设置与状态显示，操作应简便直观。</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4、结构设计：设备外形应整洁，洗头盆不用时可收纳，节省空间。</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5、加热功能：应具备定时上水与加热功能，加热温度可设定。</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6、数据保护：设备应具备断电记忆功能，能自动保存用户设置。</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7、操控方式：喷淋开关应采用脚踏等非手动控制方式。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8、保护功能：应具备开机自检、缺水报警、干烧保护等安全机制。</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9、电气规格：</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电源输入：AC 220V (±10%)，50Hz</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使用环境：温度10-45℃，湿度≤90%</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额定功率：≤ 1800W</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温度控制精度：±2℃</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加热设定范围：30-80℃</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水箱容量：≥ 30L</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内置电池续航时间：≥ 4小时</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10、外观尺寸：长≤65cm，宽≤55cm，高≤100cm。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七、适老化扶手一套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1、配置清单：应包含但不限于以下组件：一字型扶手、135度转角扶手、U型或双腿式马桶扶手、L型扶手、带双扶手洗澡凳、带防滑靠背扶手各一件。</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2、承重性能：所有扶手及洗澡凳在施加不小于1500N（约150公斤）的静态载荷下，应无永久性变形或结构损坏。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3、材质与结构：</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①扶手主体应采用高强度金属材料（如不锈钢），并做防腐蚀处理，确保在潮湿环境下不易生锈。</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②抓握部位宜使用ABS等高强度工程塑料，结构应稳固。</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③表面应具有防滑处理，确保湿手抓握不易滑脱。</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4、安装要求：所有配件应提供相应的安装构件，确保安装后牢固可靠。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八、智能马桶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1、安装适应性：应能适配300mm或400mm的常见标准坑距。</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2、冲水系统：应采用节水且冲排效果良好的虹吸式冲水方式。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3、排水方式：地排水。</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4、结构形式：连体式。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5、盖板材质：座便器盖板应采用高强度、耐污、易清洁的工程塑料。</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6、核心功能：应至少具备以下功能：离座自动冲水、座圈加热、臀部清洗、暖风烘干、自动除臭、遥控操作、缓冲盖板。</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7、项目范围：本项目报价应包含为安装此智能马桶所需的无障碍卫生间改造及相关配套费用。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bCs/>
                <w:i w:val="0"/>
                <w:iCs w:val="0"/>
                <w:color w:val="0000ff"/>
                <w:sz w:val="21"/>
                <w:szCs w:val="21"/>
                <w:u w:val="none"/>
                <w:lang w:val="en-US" w:eastAsia="zh-CN" w:bidi="ar"/>
              </w:rPr>
              <w:suppressLineNumbers w:val="0"/>
            </w:pPr>
            <w:r>
              <w:rPr>
                <w:rFonts w:hint="eastAsia" w:ascii="宋体" w:hAnsi="宋体" w:eastAsia="宋体" w:cs="宋体"/>
                <w:b/>
                <w:bCs/>
                <w:i w:val="0"/>
                <w:iCs w:val="0"/>
                <w:color w:val="0000ff"/>
                <w:sz w:val="21"/>
                <w:szCs w:val="21"/>
                <w:u w:val="none"/>
                <w:lang w:val="en-US" w:eastAsia="zh-CN" w:bidi="ar"/>
              </w:rPr>
              <w:t xml:space="preserve">备注：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iCs/>
                <w:color w:val="0000ff"/>
                <w:sz w:val="21"/>
                <w:szCs w:val="21"/>
                <w:u w:val="single"/>
                <w:lang w:val="en-US" w:eastAsia="zh-CN" w:bidi="ar"/>
              </w:rPr>
              <w:t xml:space="preserve">以上产品中“智能马桶”，</w:t>
            </w:r>
            <w:r>
              <w:rPr>
                <w:rFonts w:hint="eastAsia" w:ascii="宋体" w:hAnsi="宋体" w:eastAsia="宋体" w:cs="宋体"/>
                <w:b w:val="0"/>
                <w:bCs w:val="0"/>
                <w:i/>
                <w:iCs/>
                <w:color w:val="0000ff"/>
                <w:sz w:val="24"/>
                <w:szCs w:val="24"/>
                <w:highlight w:val="none"/>
                <w:u w:val="single"/>
                <w:lang w:val="en-US" w:eastAsia="zh-CN"/>
              </w:rPr>
              <w:t xml:space="preserve">属于《关于调整优化节能产品、环境标志产品政府采购执行机制的通知》（财库〔2019〕9 号）规定的强制采购节能产品范畴，对应品目：</w:t>
            </w:r>
            <w:r>
              <w:rPr>
                <w:rFonts w:hint="eastAsia" w:ascii="宋体" w:hAnsi="宋体" w:eastAsia="宋体" w:cs="宋体"/>
                <w:b/>
                <w:bCs/>
                <w:i/>
                <w:iCs/>
                <w:color w:val="0000ff"/>
                <w:sz w:val="24"/>
                <w:szCs w:val="24"/>
                <w:highlight w:val="none"/>
                <w:u w:val="single"/>
                <w:lang w:val="en-US" w:eastAsia="zh-CN"/>
              </w:rPr>
              <w:t xml:space="preserve">★A060805 便器</w:t>
            </w:r>
            <w:r>
              <w:rPr>
                <w:rFonts w:hint="eastAsia" w:ascii="宋体" w:hAnsi="宋体" w:eastAsia="宋体" w:cs="宋体"/>
                <w:b w:val="0"/>
                <w:bCs w:val="0"/>
                <w:i/>
                <w:iCs/>
                <w:color w:val="0000ff"/>
                <w:sz w:val="24"/>
                <w:szCs w:val="24"/>
                <w:highlight w:val="none"/>
                <w:u w:val="single"/>
                <w:lang w:val="en-US" w:eastAsia="zh-CN"/>
              </w:rPr>
              <w:t xml:space="preserve">。投标人须提供由国家确定的节能产品认证机构出具、处于有效期内，且证书载明的产品规格型号与所投产品一致的节能产品认证证书。</w:t>
            </w:r>
            <w:r>
              <w:rPr>
                <w:rFonts w:hint="eastAsia" w:ascii="宋体" w:hAnsi="宋体" w:eastAsia="宋体" w:cs="宋体"/>
                <w:b/>
                <w:bCs/>
                <w:i/>
                <w:iCs/>
                <w:color w:val="0000ff"/>
                <w:sz w:val="24"/>
                <w:szCs w:val="24"/>
                <w:highlight w:val="none"/>
                <w:u w:val="single"/>
                <w:lang w:val="en-US" w:eastAsia="zh-CN"/>
              </w:rPr>
              <w:t xml:space="preserve">此项为实质性要求，不满足的投标将被视为无效</w:t>
            </w:r>
            <w:r>
              <w:rPr>
                <w:rFonts w:hint="eastAsia" w:ascii="宋体" w:hAnsi="宋体" w:eastAsia="宋体" w:cs="宋体"/>
                <w:b w:val="0"/>
                <w:bCs w:val="0"/>
                <w:i/>
                <w:iCs/>
                <w:color w:val="0000ff"/>
                <w:sz w:val="24"/>
                <w:szCs w:val="24"/>
                <w:highlight w:val="none"/>
                <w:u w:val="single"/>
                <w:lang w:val="en-US" w:eastAsia="zh-CN"/>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适老化客厅全套设备</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一、智能药盒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1、应具备按日分格功能，便于管理一周用药。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2、应支持每日多次用药提醒，提醒时间可自定义设置。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3、材质应安全无毒，并具备良好的密封防潮性能。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4、体积应适中，便于携带与取用。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5、内部空间设计应能容纳常见规格的药品。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6、分格组件应便于拆装清洗，宜配备辅助用药工具。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二、无障碍电视柜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双拉手设计，加宽拉手设计，能轻松开启，增配省力拉手使力度不够的人士也能方便开合抽屉，阻尼门铰，防止夹伤手指，同时减少柜门开关时的碰撞声；柜子底部留空，轮椅可方便接近。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w:t>
            </w:r>
            <w:r>
              <w:rPr>
                <w:rFonts w:hint="eastAsia" w:ascii="宋体" w:hAnsi="宋体" w:eastAsia="宋体" w:cs="宋体"/>
                <w:i w:val="0"/>
                <w:iCs w:val="0"/>
                <w:color w:val="000000"/>
                <w:sz w:val="21"/>
                <w:szCs w:val="21"/>
                <w:highlight w:val="none"/>
                <w:u w:val="none"/>
                <w:lang w:val="en-US" w:eastAsia="zh-CN" w:bidi="ar"/>
              </w:rPr>
              <w:t xml:space="preserve">智能人体感应器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应采用低功耗设计与无线通信技术，电池供电，安装便捷。应能通过感应技术检测人体活动。当在设定的时间区间内（如8小时、12小时、24小时）未检测到活动时，系统应能向预设的监护人发送报警通知（如发送短信、拨打电话和微信公众号通知）。安装方式应支持壁挂，安装高度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四、呼叫器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应支持低功耗广域网通信技术，具备一键式紧急呼叫功能。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五、电动辅助起身坐垫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1、面料与安全性：表面材质应耐磨易清洁，底部需具备有效防滑功能。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2、结构与设计：应配备防尘结构，控制器应支持插拔，外观设计应符合人体工程学。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3、物理特性：坐垫厚度≤5.5cm，承重能力≥150kg，便于携带。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4、电气规格：</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①电机工作电压：DC 24V (±10%)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②额定功率：≤ 50W</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③输入电源：AC 100-240V, 50/60Hz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④运行速度：完成单次完整的升降循环时间 ≤ 30秒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5、尺寸与重量：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①产品尺寸：长度420mm (±5%) × 宽度410mm (±5%) × 厚度≤65mm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②产品净重：≤ 6.5kg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6、性能参数：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①额定承重：≥ 100kg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②抬升行程：前端≥100mm，后端≥330mm。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六、健康陪聊机器人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1、语音交互：应具备远场语音交互能力，在室内环境下拾音距离不低于5米，能实现准确识别与流畅对话。</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2、智能预警：应具备健康数据监测与分析能力，支持对异常体征及突发状况进行预警和报警。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3、智能控制：宜支持通过语音指令控制其他智能家居设备。</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4、远程联系：应支持通过移动终端应用程序实现远程视频通话及信息交互。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5、健康监测：设备应能测量关键生命体征（如血压、血氧、心率等），支持通过Wi-Fi传输数据至云端，并实现多用户管理及异常提醒。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6、外观尺寸：长320mm (±5%) × 宽290mm (±5%) × 高159mm (±5%)。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7、电池容量：≥6000mAh。</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8、充电接口：Type-C。</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9、通信方式：支</w:t>
            </w:r>
            <w:r>
              <w:rPr>
                <w:rFonts w:hint="eastAsia" w:ascii="宋体" w:hAnsi="宋体" w:eastAsia="宋体" w:cs="宋体"/>
                <w:i w:val="0"/>
                <w:iCs w:val="0"/>
                <w:color w:val="000000"/>
                <w:sz w:val="21"/>
                <w:szCs w:val="21"/>
                <w:highlight w:val="none"/>
                <w:u w:val="none"/>
                <w:lang w:val="en-US" w:eastAsia="zh-CN" w:bidi="ar"/>
              </w:rPr>
              <w:t xml:space="preserve">持Wi-Fi、蓝牙。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10、屏幕规格：尺寸≥10英寸，分辨率≥1280×800。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11、摄像头：像素≥200万。</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12、扬声器：功率≥3W。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七、智能语音终端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1、网络连接：应内置蜂窝网络通信模块，支持独立联网功能。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2、无线通信：应采用抗干扰无线通信技术，确保传输稳定性。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3、信号覆盖：无线信号应具备良好的穿透能力，适应室内复杂环境使用。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4、语音通话：应支持预设至少3个紧急联系人号码，具备一键双向通话功能。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5、呼叫逻辑：应支持在无人接听时自动轮询预设号码的功能。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6、信息播报：应支持语音广播功能，具备灯光提示和本地播放能力。</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7、活动监测：宜内置活动检测传感器，支持异常状态报警。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8、紧急报警：应配备大按键紧急报警装置，支持声光提示。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9、辅助照明：应集成可控小夜灯功能。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10、扩展功能：应具备数据接口，支持健康设备数据上传和移动设备充电。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11、系统管理：应支持设备状态监测和离线报警功能。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12、维护升级：应支持远程软件升级。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13、集成要求：设备应高度集成，安装维护便捷。此项报价应包含所需的客厅环境改造费用（含墙面、地面等改造）。</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适老化餐厅和厨房全套设备</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一、智能烟雾感应器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低功耗无线通信技术，电池供电，安装简便；应具备烟雾浓度检测与报警功能；安装位置应合理，避免误报；报警信号应能及时传送至管理平台并支持多种方式通知监护人（如向监护人发送短信、拨打电话和微信公众号通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二、智能燃气报警感应器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采用低功耗无线通信技术，确保信号传输稳定可靠。气体探测传感器应具备高稳定性和准确性。应具备实时浓度显示功能。报警时应同时启动声光报警提示。应支持本地按键消音和远程消音功能。应具备传感器故障自动检测与报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三、智能水浸感应器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采用低功耗无线通信技术，电池供电，安装维护简便，能通过可靠的检测机制实现溢水状态的准确识别；设备检测到溢水时，应能将报警信息实时传输至管理平台，并支持通过多种方式通知预设的监护人（如向监护人发送短信、拨打电话和微信公众号通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四、厨房组合柜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根据无障碍设计的装修要求台面长度应在2000mm至2400mm范围内可调，由具备电动升降功能的支撑结构承托。灶台下方应沿其长度方向（范围同台面长度）安装安全防触碰装置。当升降过程中探测到障碍物（包括人体）时，装置应立即停止下降并自动反向抬升一定距离，为实训教学构建无障碍生活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五、体感油烟机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应支持非接触式感应控制，实现无需直接触摸即可完成开关等操作，控制传感器的安装位置与识别区域，应便于乘坐轮椅者等手臂活动范围有限的人员进行操作。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1、产品尺寸：长度900mm (±2%) × 深度347mm (±5%) × 高度940mm (±3%)。</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2、宜具备紫外线消毒功能，用于对流通空气进行杀菌处理。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3、应具备可燃气体泄漏监测功能，当检测到泄漏时能发出本地警示。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4、应配备照明灯，确保灶台区域光线充足。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六、电动升降橱柜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1、技术参数：额定提升力：≥ 350N，最大负载：≥ 20kg，升降速度：30 mm/s (±20%)，升降行程：≥ 550mm，适用柜体高度：≥ 800mm，安装方式：螺钉可靠固定；</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2、性能要求：运行应平稳，具备缓启动和缓停止功能，应具备防碰撞检测功能，遇阻自动停止或反向运行，应具备电机过热、过载保护功能，应具备无级悬停功能，可在行程内任意高度可靠停止；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3、安全要求：系统应具备完善的安全防护措施，确保运行过程中无夹伤风险；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4、操作方式：应配备遥控器进行升降控制，操作界面应具备急停或暂停功能。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七、配套适老化洗手池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安装方式：采用靠墙</w:t>
            </w:r>
            <w:r>
              <w:rPr>
                <w:rFonts w:hint="eastAsia" w:ascii="宋体" w:hAnsi="宋体" w:eastAsia="宋体" w:cs="宋体"/>
                <w:i w:val="0"/>
                <w:iCs w:val="0"/>
                <w:color w:val="000000"/>
                <w:sz w:val="21"/>
                <w:szCs w:val="21"/>
                <w:u w:val="none"/>
                <w:lang w:val="en-US" w:eastAsia="zh-CN" w:bidi="ar"/>
              </w:rPr>
              <w:t xml:space="preserve">式安装，配套完整给排水系统，满足日常洗漱出水及排水使用需求；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尺寸规格：长度 500mm（±50mm）× 宽度 500mm（±50mm）；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材质要求：所有材质需具备防水、防潮特性，且符合安全环保标准；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收纳设计：底部设置多层收纳柜，柜体结构稳固可靠；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承重标准：安装完成后，台面承重能力不低于 75kg。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八、适老化餐具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配置：应包含用于进食、进水照护技能训练的成套餐具，至少包括：开口水杯1个、记忆勺子1个、记忆叉子1个、可折弯勺1个、可折弯叉1个、粗柄汤勺1个、助食筷2双、防洒盘2个、硅胶勺子2个、餐盘取物辅助器1个、餐具辅具挂板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1.开水杯产品参数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杯应具备特殊结构设计，使使用者无需大幅度低头或仰头即可完成饮水，适用于颈部活动受限或存在吞咽困难风险的人员。杯口应采用非对称造型，避免饮水时与面部及鼻部发生碰撞。容量：250ml(±10%)，重量：≤30g，材质：食品级PP，配置要求：应提供多种易辨识颜色，包装需满足产品卫生防护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2.记忆成人勺子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握柄设计：手柄应具备可调节开合角度或形状的功能，以适应不同使用者的抓握需求。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材质：勺体部分应采用食品级不锈钢材质；手柄部分应采用可塑形、可重复定型的环保高分子材料。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物理参数：尺寸应满足成人使用需求。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3.记忆叉子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角度调节：叉头应能在水平面内进行不小于140°的调节，并支持绕手柄轴向360°旋转，所有角度均可锁定。</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握柄适配：手柄应配备可调节装置（如绑带），以适应不同使用者的手部尺寸。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配重功能：手柄应设计有配重仓，支持通过增减配重物来调整工具的整体平衡与重量，满足个性化使用需求。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4.可折弯勺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物理参数：尺寸应满足成人使用需求。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产品材质：勺体部分应采用食品级不锈钢，手柄部分应采用食品级硅胶或具有同等安全性与柔韧性的材料。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产品功能：勺头与手柄连接处应能在多个角度弯曲并保持稳定。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5.可折弯叉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物理参数：尺寸应满足成人使用需求。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产品材质：叉体部分应采用食品级不锈钢，手柄部分应采用食品级硅胶或具有同等安全性与柔韧性的材料。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产品功能：叉头与手柄连接处应能在多个角度弯曲并保持稳定。6.粗柄汤勺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握柄设计：手柄应加粗设计，便于抓握。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材质：勺体部分应采用食品级不锈钢，手柄部分应采用防滑、易抓握的食品级安全材料。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物理参数：尺寸应满足成人使用需求。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7.助食筷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物理参数：尺寸应满足成人使用需求。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耐热性能：耐热温度不低于100℃。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材质要求：应采用食品接触级安全材料，表面处理应光滑无毛刺，应具备辅助持握设计。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8.防洒盘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结构功能：盘底应配备防滑或吸附固定装置，盘口需设置防洒挡板及便于取食的开口。</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材质要求：食品级密胺或具有同等安全性能的材料。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物理参数：直径：25cm(±10%)，重量：≤300g。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8.硅胶勺子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物理参数：尺寸应满足成人使用需求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勺头部分：食品级硅胶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手柄部分：具备适应性调整功能的安全材料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耐热性能：勺头部分应耐受不低于70℃的温度。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九、适老化可调升降桌：</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1.教学实训功能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设备需支持照护技能实训教学，能够模拟不同场景下的餐桌使用需求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升降功能需满足坐姿、站姿及轮椅使用者等多种照护体位的实训要求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设计应便于演示和观察照护操作过程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2.基础规格</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桌面尺寸：900mm×900mm（±2%）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高度调节范围：550-800mm（±10%）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调节方式：电动/液压/机械调节（需平稳可靠）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3.安全要求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所有边角必须作圆角处理（圆角半径≥R10）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升降系统需具备防夹手设计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桌面承重≥50kg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配备急停装置和防倾覆结构</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4.材质工艺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桌面：耐磨、防滑、耐消毒剂腐蚀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封边：密封防潮，无锐利边缘</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基材：符合GB 18584环保要求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5.移动配置：四轮均带刹车装置（两万向轮+两定向轮），配备可调水平地脚。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十、适老化餐椅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1.教学实训功能要求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用于进食、进水照护技能的教学演示与实操训练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设计应便于展示和练习多种喂食体位与技巧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结构应便于观察和纠正被照护者的坐姿与进食动作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应满足照护者从不同方位进行辅助操作的需求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2.基础规格</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外形尺寸：长度560mm(±5%) × 宽度570mm(±5%) × 高度810mm(±5%)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座面高度应适配标准餐桌，便于进食训练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3.适老化与安全设计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采用半扶手或类似设计，便于使用者站起、坐下及照护者进行移位辅助训练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靠背应设置抓握结构，便于移动椅子和进行起身训练辅助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所有外露边角必须作圆滑处理，无锐利棱角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座椅应具备足够的稳定性，承重不低于150kg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4.材质与工艺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坐垫应提供适度的支撑性与回弹性，确保训练舒适度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主体框架应坚固耐用，确保教学重复使用需求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所有材料应符合国家相关环保与安全标准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十一、橱柜</w:t>
            </w:r>
            <w:r>
              <w:rPr>
                <w:rFonts w:hint="eastAsia" w:ascii="宋体" w:hAnsi="宋体" w:eastAsia="宋体" w:cs="宋体"/>
                <w:i w:val="0"/>
                <w:iCs w:val="0"/>
                <w:color w:val="000000"/>
                <w:sz w:val="21"/>
                <w:szCs w:val="21"/>
                <w:highlight w:val="none"/>
                <w:u w:val="none"/>
                <w:lang w:val="en-US" w:eastAsia="zh-CN" w:bidi="ar"/>
              </w:rPr>
              <w:t xml:space="preserve">情景展示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1.鸣笛烧水壶：食品接触级不锈钢，容量3L(±5%)，应具备水沸腾后自动鸣笛警示功能。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2．微波炉：容积：≥17L，微波输出功率：≥700W。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3.电磁炉：长度≤35cm*宽度≤28cm*厚度≤7cm(±10%)。应具备防水功能，应采用耐高温、耐冲击、易清洁的微晶面板。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8.无障碍闪光电水壶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容量：2L(±5%)，应具备便于抓握的壶柄和易于倾倒的壶嘴设计，应具备防干烧自动断电功能和防滑底座。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9.智能语音烹饪锅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容量：≥6L，功率：≥1000W，宜支持语音控制等智能化操作方式。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十二、吸顶红外探测器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1、安装与外观：应采用吸顶式安装方式，外观设计应简洁美观。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2、通信功能：应支持低功耗广域网通信技术（如NB-IoT、Cat.1等），并适配国内运营商网络。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3、性能要求：应具备温度补偿及抗环境干扰能力。应能准确探测并输出区域内有人/无人状态及事件时间。</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4、探测范围：在安装高度2.4m至3.6m内，有效探测半径应不小于6米（覆盖角度360°）。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5、抗白光干扰能力：≥6500 Lux。</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6、安全与维护：应具备防拆报警功能。应支持电池低压报警及电量状态上传。应具备数据存储、重传及时间同步功能。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7、电气与环境参数：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①产品尺寸：直径105mm(±10%)，高度40mm(±10%)。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②工作电压：DC 3V (±10%)。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③工作电流：待机电流≤25μA；报警电流≤40mA。</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④电池：支持可更换的标准规格锂电池，续航时间满足长期稳定运行要求。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⑤工作温度：-10℃～55℃。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⑥工作湿度：≤95%RH (无凝结)。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十三、水浸探测器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1、通信方式：应支持低功耗广域网通信技术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2、电信运营商网络，确保数据稳定传输。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3、传感器配置：应采用全封闭式探针结构水浸探头，探头线长度不小于1米。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4、指示功能：应具备通信信号强度指示、工作状态指示及设备自检指示功能。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5、报警功能：应支持设备故障指示和电源低压报警功能。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6、安全防护：应具备防拆报警功能。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7、安装方式：应支持卡扣式安装，并提供粘贴与螺丝固定等安装选项。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8、结构设计：应采用分体式结构，探头应具备防水防潮性能，适应狭小空间安装需求。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9、电气参数：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工作电压：DC 3.6V(±10%)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静态电流：≤10μA</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工作温度：-10℃～55℃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工作湿度：20%～95%RH(无凝结)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10、物理尺寸：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尺寸：110mm×40mm×25mm(±20%)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探头线长：≥1m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感应距离：≥20mm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十四、感烟探测器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1、安装方式：吸顶式安装。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2、通信功能：应支持低功耗广域网通信技术，能够接入国内电信运营商网络。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3、探测性能：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①传感器类型：光电式感烟传感器。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②监测面积：≥60㎡。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③应具备智能算法分析能力，降低误报率。</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4、报警功能：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①报警声压：在正前方3米处测量，应≥85dB(A)。</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②应同时具备本地声光报警与远程平台报警功能。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③支持报警消音及警情消除后自动复位。</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5、设备管理：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①应具备设备自检、防拆检测及状态上报功能。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②支持手动按钮测试。</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③具备电池低压报警及电量状态上传功能。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④具备数据存储、重传与时间同步功能。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6、电源与环境：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①工作电压：DC 3V (±10%)。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②电池：应采用可更换的标准规格锂电池，保证长期稳定运行。</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③工作温度：-10℃～55℃。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④工作湿度：≤95%RH (无凝结)。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7、物理尺寸：直径105mm(±20%)，高度50mm (±20%)。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十五、燃气探测器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1、通信功能：应支持现代无线通信技术，能够接入国内电信运营商网络。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2、探测性能：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①传感器类型：半导体式气体传感器。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②量程：0~20%LEL。</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③探测气体：天然气（CH₄）。</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④报警浓度：8%LEL (±3%LEL)。</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⑤传感器寿命：≥3年。</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3、报警功能：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①报警声压：在正前方1米处测量，70dB~115dB。</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②应同时具备本地声光报警与远程平台报警功能。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③支持报警消音及警情消除后自动复位。</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④报警灵敏度可调节。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4、设备管理：应具备设备自检及状态上报功能。具备数据存储与重传机制。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5、电源与功耗：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①工作电压：AC 220V (±10%) / 50Hz。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②功耗：待机功耗≤2W；报警功耗≤3W。</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③安装方式：支持吸顶安装与壁挂安装。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6、物理尺寸：86mm(±10%) × 86mm(±10%) × 42mm(±10%)。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十六、可视温湿度探测器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1、显示功能：应配备不小于4.3英寸的显示屏，并支持背光显示，确保在光线昏暗环境下可清晰读数。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2、通信与接口：应支持RS485有线通信接口。宜支持低功耗无线通信技术。应具备开关量信号输出功能。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3、供电方式：支持主备电源自动切换，当主电源（DC 9-18V）中断时，能自动切换至备用电池供电。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4、测量性能：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测量范围：温度 -20℃ ~ 60℃；湿度 0% RH ~ 100% RH。</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测量精度：温度 ±0.5℃；湿度 ±5% RH。</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响应时间：＜1秒。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5、设备功能：应具备实时时钟显示、本地按键操作和设备自测试功能。支持声音报警及消音功能。具备数据存储、重传及时间同步功能。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6、电气参数：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工作电压：DC 9V ~ 18V(±10%)。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工作电流：报警时 ≤100mA。</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物理尺寸：长度≤120mm，宽度≤95mm，厚度≤35mm。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7、环境适应性：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工作温度：-10℃ ~ 55℃。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工作湿度：≤95%RH (无凝结)。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十七、助餐机器人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1.系统组成</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应包含主机、餐盘、餐盖、餐勺、充电器等完整组件，构成可独立工作的喂食系统。</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2.智能喂食功能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①应具备一键启动功能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②应能自动识别使用者位置并准确定位</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③应具备顺序盛取食物并准确喂食的功能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④应能检测使用者进食意愿，在设定时间内未检测到进食意愿时应自动暂停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3.人机交互功能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①应支持简单肢体动作识别作为交互方式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②应具备手动紧急停止功能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③应提供明确的操作状态指示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4.系统维护</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①应支持系统软件更新功能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②应具备完善的充电管理系统</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5.安全要求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①所有与食物接触部件应符合食品卫生安全标准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②机械运动部件应具备安全防护措施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③应具备故障检测与报警功能</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床椅一体机器人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一、核心功能要求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应兼具电动护理床与电动轮椅双重功能，支持床与轮椅形态的平稳转换。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面料应具备防水、抗菌、易清洁的特性；填充材料应提供足够的支撑力与舒适度，且耐用不易变形。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驱动系统应运行平稳、低噪音、安全可靠。床与轮椅部分的连接机构必须设有可靠的安全锁止装置，确保使用过程中无意外分离风险。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形态转换过程应简化操作。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应具备便捷的操作方式（如手持控制器）以实现主要功能的控制。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二、性能与安全参数</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6.驻坡性能：≥6°</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7.静态稳定性：≥6°</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8.动态稳定性：≥3°</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9</w:t>
            </w: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rPr>
              <w:t xml:space="preserve">爬坡能力：≥3°</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1</w:t>
            </w:r>
            <w:r>
              <w:rPr>
                <w:rFonts w:hint="eastAsia" w:ascii="宋体" w:hAnsi="宋体" w:eastAsia="宋体" w:cs="宋体"/>
                <w:i w:val="0"/>
                <w:iCs w:val="0"/>
                <w:color w:val="000000"/>
                <w:sz w:val="21"/>
                <w:szCs w:val="21"/>
                <w:u w:val="none"/>
                <w:lang w:val="en-US" w:eastAsia="zh-CN"/>
              </w:rPr>
              <w:t xml:space="preserve">0.</w:t>
            </w:r>
            <w:r>
              <w:rPr>
                <w:rFonts w:hint="eastAsia" w:ascii="宋体" w:hAnsi="宋体" w:eastAsia="宋体" w:cs="宋体"/>
                <w:i w:val="0"/>
                <w:iCs w:val="0"/>
                <w:color w:val="000000"/>
                <w:sz w:val="21"/>
                <w:szCs w:val="21"/>
                <w:u w:val="none"/>
              </w:rPr>
              <w:t xml:space="preserve">越障高度：≥25mm</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1</w:t>
            </w: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越沟宽度：≥100mm</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1</w:t>
            </w: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最小水平回转半径：≤1100mm</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1</w:t>
            </w: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护理床姿态调节范围：背部起折角度0-75°（±5°）；腿部起折角度0-1</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w:t>
            </w:r>
            <w:r>
              <w:rPr>
                <w:rFonts w:hint="eastAsia" w:ascii="宋体" w:hAnsi="宋体" w:eastAsia="宋体" w:cs="宋体"/>
                <w:i w:val="0"/>
                <w:iCs w:val="0"/>
                <w:color w:val="000000"/>
                <w:sz w:val="21"/>
                <w:szCs w:val="21"/>
                <w:u w:val="none"/>
              </w:rPr>
              <w:br/>
            </w:r>
            <w:r>
              <w:rPr>
                <w:rFonts w:hint="eastAsia" w:ascii="宋体" w:hAnsi="宋体" w:eastAsia="宋体" w:cs="宋体"/>
                <w:i w:val="0"/>
                <w:iCs w:val="0"/>
                <w:color w:val="000000"/>
                <w:sz w:val="21"/>
                <w:szCs w:val="21"/>
                <w:u w:val="none"/>
              </w:rPr>
              <w:t xml:space="preserve">1</w:t>
            </w: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轮椅姿态：背部靠背角度≥7</w:t>
            </w:r>
            <w:r>
              <w:rPr>
                <w:rFonts w:hint="eastAsia" w:ascii="宋体" w:hAnsi="宋体" w:eastAsia="宋体" w:cs="宋体"/>
                <w:i w:val="0"/>
                <w:iCs w:val="0"/>
                <w:color w:val="000000"/>
                <w:sz w:val="21"/>
                <w:szCs w:val="21"/>
                <w:u w:val="none"/>
                <w:lang w:val="en-US" w:eastAsia="zh-CN"/>
              </w:rPr>
              <w:t xml:space="preserve">0</w:t>
            </w:r>
            <w:r>
              <w:rPr>
                <w:rFonts w:hint="eastAsia" w:ascii="宋体" w:hAnsi="宋体" w:eastAsia="宋体" w:cs="宋体"/>
                <w:i w:val="0"/>
                <w:iCs w:val="0"/>
                <w:color w:val="000000"/>
                <w:sz w:val="21"/>
                <w:szCs w:val="21"/>
                <w:u w:val="none"/>
              </w:rPr>
              <w:t xml:space="preserve">°；腿部支撑角度≥1</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人体成分分析仪</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一、人体成分分析仪硬件参数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1、测量方法：多频率生物电阻抗测试法</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2、测试部位：通过不少于3个不同频率，在5个身体节段（右上肢、左上肢、躯干、右下肢、左下肢）进行测量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3、电极系统：应采用多点测量技术，确保能够独立、准确地测量双侧上肢、下肢及躯干的生物电阻抗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4、人体成分计算方式：基于实测数据的直接计算法，不以经验值估算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5、输出指标：应至少包括蛋白质、无机盐、身体水分、体脂肪量、肌肉量、体重、BMI、体脂百分比、基础代谢率、内脏脂肪面积、腰臀比等核心参数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6、测量电流：≤300μA</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7、消耗功率：45VA (±10%)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8、电源电压：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输入电压：AC100-230V (±10%)，50/60Hz (±5%)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输出电压：DC12V (±10%)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9、显示方法：≥7英寸彩色触摸屏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10、外部接口：应包含USB、Wi-Fi等通用数据接口</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11、仪器尺寸：380mm (±10%)×780mm (±10%)×980mm (±10%)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12、仪器重量：22kg (±10%)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13、测试时间：≤70秒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14、测试体重范围：5-250kg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15、测试年龄范围：≥3岁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16、测试身高范围：80-220cm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17、操作环境：温度10-40℃ (±2℃)，湿度30-75%RH (±5%)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18、保存环境：温度-20-60℃ (±2℃)，湿度≤95%RH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二、人体成分工作站软件参数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1、用户管理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 支持用户注册、信息创建与编辑，需涵盖姓名、身高、性别、出生日期、年龄、手机号码、现病史等核心基础信息。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 具备指定用户删除功能。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 支持按姓名、手机号、性别、疾病史等条件进行用户检索。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2、查看及对比历史测量数据和报告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 可展示用户人体成分测量历史记录，呈现每条记录的测量数据及报告，并支持历史测量结果对比分析。</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 支持历史报告调取、下载及打印功能。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 可查看历史检测数据，系统能自动判定分析检测结果，对异常数据进行醒目提醒。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3、报告内容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 人体成分分析仪报告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（1）支持多种品牌及型号人体成分设备的对接、检测数据获取及报告生成。</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（2）除人体成分分析报告外，需包含膳食营养处方报告、运动处方报告等配套报告内容。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 膳食处方建议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1）能根据用户人体成分检测结果、疾病史等信息，推荐适配的食谱方案，明确餐次、菜名、食材、重量及碳水化合物含量等关键信息。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2）可提供针对性食物交换份方案，覆盖谷物类、蔬菜类、大豆类、水果类、奶制品类、肉蛋类、油脂类等主要食物类别。</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 运动处方建议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（1）可提供运动前热身及运动后放松方案，明确运动时间及操作要求；配套提供针对性有氧运动、全身力量训练及柔韧练习方案，说明各类运动的锻炼要点、强度及目标。</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（2）支持生成针对性锻炼课程表，明确有氧运动、全身力量训练及柔韧练习的锻炼频率与时间。</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4、系统设置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 机构管理：支持机构信息维护，涵盖机构名称、联系方式、网址、Logo 等基础信息。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 设备管理：支持多型号人体成分设备的管理及数据对接模块切换。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 报告设置：支持报告生成页面自定义选择，按设置内容生成对应报告。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5、知识库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 膳食配餐库管理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（1）膳食食材库：包含食材基础信息及营养相关说明（如能量、蛋白质、脂肪含量，食材特点、营养成分、维生素及微量元素含量，人群及疾病禁忌等），食材库数量不少于 3000 种。</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（2）成品菜库：可查询成品菜谱的食材组成及详细信息（如分类、口味、菜系、营养成分、主料辅料、做法、适用人群、禁忌情况、烹饪方式等），成品菜库数量不少于 18000 种。</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（3）慢性病膳食营养方案：提供不少于 400 套针对慢性病的一周膳食营养方案，满足临床营养配餐需求；每套方案需明确适用疾病、每日总能量参考量，涵盖七天膳食（含早餐、早加餐、午餐、午加餐、晚餐、晚加餐）；方案中需包含清真及非清真类别，其中清真膳食套餐不少于 20 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慢性病膳食营养方案适用人群需覆盖高血压、糖尿病、高尿酸血症、痛风、贫血、心脑血管疾病、心脏病、肥胖、慢肺阻、高血脂、肿瘤相关人群（晚期、放化疗期、康复期）、肝硬化、吞咽困难、便秘、肌少症、骨质疏松、肾功能相关疾病（衰竭、急性肾炎、慢性肾炎、肾病综合症）、甲状腺相关疾病（甲亢、甲减）、水肿、正常人群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 运动库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（1）包含针对不同慢性病人群的运动方案，明确运动项目、动作步骤、运动目的、练习次数及注意事项，方案数量不少于 100 种。</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（2）适用人群覆盖老年人、青少年、成人、亚健康人群、慢性病人群；包含青少年热身与放松、老年人振动训练、成年人振动训练、老年人防跌倒肌力训练、足底筋膜伸展等典型运动处方。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3）慢性病运动方案需涵盖高血压、低血压、冠心病、心悸、糖尿病、颈椎病、肩周炎、关节炎、痛风、静脉曲张、胃肠相关疾病（如胃病、胃下垂、慢性腹泻、便秘痔疮脱肛等）、前列腺肥大、神经衰弱、甲亢、呼吸道相关疾病（如感冒、咳嗽、气管炎等）、疼痛相关症状（如腰痛、下背痛、头痛、膝踝痛、足跟痛等）、鼾症、阿尔茨海默病等常见及典型病症，支持方案扩展或新增功能【投标文件中需提供方案清单及功能实现说明或系统截图等相关证明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6、配备慢病营养分析系统，需采集用户主诉及病史、体成分数据、临床检查数据、运动数据、生活方式数据、膳食数据等信息，进行综合分析并生成报告。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 主诉及病史数据需包含症状、主诉、现病史、既往史、家族史、过敏史、婚育史、月经史、手术史等核心信息。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 体成分数据可自动同步最新一次人体成分检查结果，作为评估基础数据。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 临床数据需包含体温、脉率、血压、血氧、心率等基础指标数据，支持主观综合评估量表（SGA）数据及营养缺乏相关体征调查问卷录入，兼容体检指标数据导入。</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6.4 运动调查模块可采集每周运动、家庭运动、交通出行相关运动等情况数据。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 生活方式数据采集需涵盖用户日常饮食习惯及方式，可输出饮食习惯健康程度评分及评估结果。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 支持通过回顾法、频次法等方式采集用户一日三餐饮食信息，并生成膳食调查结果。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7、数据采集及调查完成后，可生成初步分析结论，支持基于结论开具干预处方，干预方案需包含膳食干预、运动干预、营养制剂、药物干预、修正诊断等模块。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7.1 膳食干预支持智能配餐、模板配餐、自定义配餐三种模式。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7.2 运动干预支持运动项目选择及运动时间设置，可自动计算运动消耗热量。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 营养制剂及药物制剂支持手动添加，可录入名称、剂量等关键信息。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 支持修正诊断功能，可调整初步诊断结果，按用户情况设置复诊信息。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8、慢病营养分析报告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8.1 报告分为精简版和详细版，支持两种版本切换及打印功能。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8.2 精简版报告需包含体成分分析结果、膳食分析、生活调查、身体检查、生活方式干预建议、膳食方案明细、一日膳食清单、饮食选择方法、营养食谱推荐、运动干预方案、综合诊断结果等核心内容。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8.3 详细版报告需包含患者基本信息、病史调查结果、体成分检查结果、身体检查结果、膳食调查结果、生活方式调查评价、生活方式干预建议、膳食干预方案、运动干预方案、综合诊断结果及复诊建议等完整内容。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9、支持用户慢病营养分析报告的历史记录查询及数据查看功能。</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老年人膳食宝塔模型</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产品规格：外形尺寸约47cm×47cm×50cm（允许长、宽、高存在±</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%的误差）。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材质要求：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食物模型：应采用环保、无毒、无异味的材料制作。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宝塔外罩：应采用高透明度、不易碎裂的有机材料。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工艺与性能：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模型应形态逼真，结构稳固，便于展示和拆装。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膳食结构层次应分类清晰、标识明确，便于健康知识讲解。</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配置数量：食物模型总数不少于24个。</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高血压膳食宝塔模型</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产品规格：外形尺寸约47cm×47cm×50cm（允许长、宽、高存在±</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%的误差）。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材质要求：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食物模型：应采用环保、无毒、无异味的材料制作。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宝塔外罩：应采用高透明度、不易碎裂的有机材料。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工艺与性能：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模型应形态逼真，结构稳固，便于展示和拆装。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膳食结构层次应分类清晰、标识明确，体现高血压膳食管理特点，便于健康知识讲解。</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配置数量：食物模型总数不少于24个。</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糖尿病膳食宝塔模型</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产品规格：外形尺寸约47cm×47cm×50cm（允许长、宽、高存在±5%的误差）。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材质要求：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食物模型：应采用环保、无毒、无异味的材料制作。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宝塔外罩：应采用高透明度、不易碎裂的有机材料。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工艺与性能：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模型应形态逼真，结构稳固，便于展示和拆装。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膳食结构层次应分类清晰、标识明确，体现糖尿病膳食管理特点（如血糖生成指数、碳水化合物计量等），便于健康知识讲解。</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配置数量：食物模型总数不少于24个。</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氧流量调节范围：0.5 - 5 L/min (±5%)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rPr>
              <w:t xml:space="preserve">出氧浓度：≥ 90% (在整个流量调节范围内)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rPr>
              <w:t xml:space="preserve">运行噪声：≤ 40 dB (在标准测试环境下)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整机重量：≤ 21 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外形尺寸：长度≤40cm，宽度≤27cm，高度≤58cm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6、</w:t>
            </w:r>
            <w:r>
              <w:rPr>
                <w:rFonts w:hint="eastAsia" w:ascii="宋体" w:hAnsi="宋体" w:eastAsia="宋体" w:cs="宋体"/>
                <w:i w:val="0"/>
                <w:iCs w:val="0"/>
                <w:color w:val="000000"/>
                <w:sz w:val="21"/>
                <w:szCs w:val="21"/>
                <w:u w:val="none"/>
              </w:rPr>
              <w:t xml:space="preserve">雾化功能：宜具备雾化功能，雾化率应满足基本医疗需求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7、</w:t>
            </w:r>
            <w:r>
              <w:rPr>
                <w:rFonts w:hint="eastAsia" w:ascii="宋体" w:hAnsi="宋体" w:eastAsia="宋体" w:cs="宋体"/>
                <w:i w:val="0"/>
                <w:iCs w:val="0"/>
                <w:color w:val="000000"/>
                <w:sz w:val="21"/>
                <w:szCs w:val="21"/>
                <w:u w:val="none"/>
              </w:rPr>
              <w:t xml:space="preserve">输出压力：工作压力稳定，满足持续供氧要求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8、</w:t>
            </w:r>
            <w:r>
              <w:rPr>
                <w:rFonts w:hint="eastAsia" w:ascii="宋体" w:hAnsi="宋体" w:eastAsia="宋体" w:cs="宋体"/>
                <w:i w:val="0"/>
                <w:iCs w:val="0"/>
                <w:color w:val="000000"/>
                <w:sz w:val="21"/>
                <w:szCs w:val="21"/>
                <w:u w:val="none"/>
              </w:rPr>
              <w:t xml:space="preserve">持续运行能力：支持长时间连续运行</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9、</w:t>
            </w:r>
            <w:r>
              <w:rPr>
                <w:rFonts w:hint="eastAsia" w:ascii="宋体" w:hAnsi="宋体" w:eastAsia="宋体" w:cs="宋体"/>
                <w:i w:val="0"/>
                <w:iCs w:val="0"/>
                <w:color w:val="000000"/>
                <w:sz w:val="21"/>
                <w:szCs w:val="21"/>
                <w:u w:val="none"/>
              </w:rPr>
              <w:t xml:space="preserve">标准配置：应包含过滤装置、湿化瓶、鼻氧管（不少于2根）、</w:t>
            </w:r>
            <w:r>
              <w:rPr>
                <w:rFonts w:hint="eastAsia" w:ascii="宋体" w:hAnsi="宋体" w:eastAsia="宋体" w:cs="宋体"/>
                <w:i w:val="0"/>
                <w:iCs w:val="0"/>
                <w:color w:val="000000"/>
                <w:sz w:val="21"/>
                <w:szCs w:val="21"/>
                <w:u w:val="none"/>
                <w:lang w:val="en-US" w:eastAsia="zh-CN"/>
              </w:rPr>
              <w:t xml:space="preserve">10、</w:t>
            </w:r>
            <w:r>
              <w:rPr>
                <w:rFonts w:hint="eastAsia" w:ascii="宋体" w:hAnsi="宋体" w:eastAsia="宋体" w:cs="宋体"/>
                <w:i w:val="0"/>
                <w:iCs w:val="0"/>
                <w:color w:val="000000"/>
                <w:sz w:val="21"/>
                <w:szCs w:val="21"/>
                <w:u w:val="none"/>
              </w:rPr>
              <w:t xml:space="preserve">雾化配件（如具备雾化功能）、电源线等必要配件</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家用睡眠呼吸机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1.治疗压力范围：4 - 20 cmH₂O (±5%)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2.加湿功能：应具备集成加湿功能，并支持湿度调节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3.压力调节精度：≤ 0.5 cmH₂O</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4.延时升压功能：应支持压力延时上升功能，延时时间可调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5.水箱容量：≥ 350 ml</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6.运行噪声：≤ 28 dB (在标准测试环境下)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7.自动启停：应具备自动开机和关机功能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8.整机重量：≤ 1.5 kg (含加湿器)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9.工作海拔：应具备海拔高度自动补偿功能，适用海拔范围不小于2500米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10.外形尺寸：长度≤120mm，宽度≤260mm，高度≤155mm（允许长、宽、高存在±10%的误差）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11.漏气补偿：应具备自动漏气补偿功能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12.电源适配：输入电压：AC 100-240V (±10%)，50/60Hz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13.数据显示：应配备彩色显示屏，支持中文界面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14.数据管理：宜支持治疗数据记录功能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 舒适性技术：应具备压力释放及呼吸舒适补偿等舒适性功能。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 人性化设计：屏幕应支持亮度调节功能。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 智能功能：宜支持治疗数据记录与传输功能，应具备故障报警及操作提示功能，应支持中文操作界面，应具备海拔高度自动补偿功能。</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血压计（物联版)</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 储存功能：支持存储不少于50组测量值，每组测量值需包含对应测量日期及时间信息，配备免丢失记忆体以保障数据安全。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 显示功能：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 显示方法：采用大屏幕液晶数字式显示，确保测量数据清晰易读。</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 时间显示：具备时间显示功能，可正常显示设定的时间数值。</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 产品尺寸：产品外形尺寸不大于140mm×109mm×63mm（长×宽×高）。</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 测量范围：</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 血压测量范围：0-280mmHg。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 脉率测量范围：40-195次/分。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 测量精确度：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 压力测量精确度：±3mmHg。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 脉率测量精确度：±5%。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 电源配置：支持4节AA（5号）电池供电，输入电压为DC 6V；兼容符合国家标准的同规格电源适配方式。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 配套资源：配备健康教育视频资源包，具体要求如下：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7.1 视频数量：健康教育视频数量不少于200个。</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 视频内容需覆盖常见慢性病健康宣教需求，至少包含以下慢性病类别：高血糖、高血压、脑卒中、血脂异常、脂肪肝、肥胖症、冠心病、肺癌、肝癌、胃癌、乳腺癌、结直肠癌、宫颈癌、前列腺癌、骨质疏松症、运动系统退行性病变、抑郁症、老年痴呆（阿尔兹海默症）、慢阻肺、慢性肾病、萎缩性胃炎、胆结石、脑肿瘤、痛风综合征、代谢综合征、慢性肝病、类风湿性关节炎、缺铁性贫血、慢性疲劳综合症、睡眠呼吸暂停综合征、动脉硬化、甲状腺癌、肝硬化、乙肝、多发性硬化、脑梗死、慢性胃病、尼古丁成瘾、外周血管病、酒精肝。</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血糖仪（物联版)</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1、产品配置：应为包含血糖仪、试纸、采血针的完整套装。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2、基本性能：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①检测方式：指尖血检测。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②单次检测血样量：≤ 1.0 μL。</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③调码方式：自动或免调码。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3、物联功能：应内置无线通信模块，支持检测数据的自动传输。</w:t>
            </w:r>
            <w:r/>
          </w:p>
          <w:p>
            <w:p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4、配套资料：应提供健康管理与老年服务相关的实训室建设指导方案（电子版及纸质版），至少包含：</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①健康服务与管理实训室建设方案,实施交付胶装印刷材料和电子版一份；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②老年服务与管理实训室解决方案,实施交付胶装印刷材料和电子版一份；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③健康风险评估实训室建设方案,实施交付胶装印刷材料和电子版一份；</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艾灸机器人</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一、基本参数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工作环境：温度0-50℃ (±2℃)，湿度30%-70%RH (±5%)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电源：AC220V (±10%) / 50Hz (±1Hz)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功率：平均功率≤350W，峰值功率≤950W</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工作半径：≥900mm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温度控制范围：30-70℃ (±2℃)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机械自由度：≥6</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负载能力：≥5kg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重复定位精度：≤±0.15mm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防护等级：≥IP54</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重量：≤115kg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外形尺寸：长1150mm，宽550mm，高1400mm（允许长、宽、高存在±10%的误差）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二、控制及功能参数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1、便携式移动控制系统：应配备便携式控制终端，支持多台设备集中控制与运行状态实时显示。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2、门店管理系统：宜配备业务管理软件，具备客户管理、订单处理及耗材管理等核心功能。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3、点火功能：应采用无明火点火技术。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4、除灰功能：应具备自动除灰功能，支持除灰时间间隔设定。</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5、除烟除味功能：应配备烟雾过滤净化装置。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6、测距配置：应配备不少于6个距离传感器，确保测距精度。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7、传感配置：应配备不少于2个温度传感器、1个热释电传感器及1个灸头温度检测装置，分别用于人体温度测量和灸头温度监测。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8、艾灸方式：应采用直接灸疗方式。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9、灸具配置：灸具应采用天然隔热材料。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10、艾灸手法：应支持悬停灸、回旋灸、雀啄灸、往复灸、循经灸五种艾灸手法。</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11、定穴功能：应具备光学辅助定位功能。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12、艾灸参数调整：应支持艾灸手法和艾灸时间的调整。</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13、温度调节功能：在使用直径50mm(±2mm)灸材时，灸头距离被灸面应在30mm-65mm范围内可调，艾灸温度应稳定在37℃-55℃范围内。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14、机械臂配置：至少应配备6轴机械臂，支持多轴联动。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15、安全控制功能：应具备主动避让、温度防护和物理碰撞防护功能。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16、高温防护控制：当灸头与被灸者距离低于15mm时，应自动抬起并报警。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17、紧急制动功能：应配备紧急制动按钮。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18、无线遥控功能：应支持无线遥控操作。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19、断电保护功能：意外断电时机械臂应自动锁死。</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亚健康检测仪（配套健康风险评估管理虚拟仿真实验系统）</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1、检测范围：应能对人体多项生理功能状态进行无创检测与评估，2、检测报告应涵盖主要生理系统的关键生理参数。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3、检测方式：采用无创检测技术。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4、数据支持：应具备健康数据分析和处理能力。</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5、检测速度：完成单次全身检测时间≤15分钟。</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6、准确度：检测结果应具有可靠的重复性和一致性。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7、数据管理：应支持检测数据存储、查询及报告生成功能。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8、临床应用：检测结果宜为健康状态评估提供参考依据。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二、工作条件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1、环境温度：5℃～40℃ (±1℃)</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2、相对湿度：≤90% (±2%)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3、电源：AC220V (±10%)，50Hz (±1Hz)</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4、大气压力：700hPa～1060hPa (±10hPa)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三、系统指标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1.传感系统 1套 耳麦式频率传感器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2.工作站台车 1台, 显示设备≥2个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3.台车长宽高：约50cm*90cm*150cm，±10%为正常误差范围；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4.外壳材料：ABS医用级环保材料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5.功耗：≤80W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四、健康风险评估管理虚拟仿真实验系统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核心评估功能：软件需支持健康体检、营养评估、运动功能评估、脊柱健康评估、神经心理评估、睡眠评估、中医体质辨识、日常生活能力评估、环境评估及生活方式评估等多种评估功能；以“健康检测-分析与评估”为服务逻辑主线，全面覆盖评估场景的核心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highlight w:val="none"/>
                <w:u w:val="none"/>
                <w:lang w:val="en-US" w:eastAsia="zh-CN" w:bidi="ar"/>
              </w:rPr>
              <w:suppressLineNumbers w:val="0"/>
            </w:pPr>
            <w:r>
              <w:rPr>
                <w:rFonts w:hint="eastAsia" w:ascii="宋体" w:hAnsi="宋体" w:eastAsia="宋体" w:cs="宋体"/>
                <w:i w:val="0"/>
                <w:iCs w:val="0"/>
                <w:color w:val="0000ff"/>
                <w:sz w:val="21"/>
                <w:szCs w:val="21"/>
                <w:highlight w:val="none"/>
                <w:u w:val="none"/>
                <w:lang w:val="en-US" w:eastAsia="zh-CN" w:bidi="ar"/>
              </w:rPr>
              <w:t xml:space="preserve">▲2.报告解读与风险评估：软件需具备健康体检报告解读能力，能对受检者各类评估结果进行综合分析，开展疾病风险预测，提供风险认知及规避建议，并生成个性化健康风险评估与分析报告（提供截图等相关证明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ff"/>
                <w:sz w:val="21"/>
                <w:szCs w:val="21"/>
                <w:highlight w:val="none"/>
                <w:u w:val="none"/>
                <w:lang w:val="en-US" w:eastAsia="zh-CN" w:bidi="ar"/>
              </w:rPr>
              <w:suppressLineNumbers w:val="0"/>
            </w:pPr>
            <w:r>
              <w:rPr>
                <w:rFonts w:hint="eastAsia" w:ascii="宋体" w:hAnsi="宋体" w:eastAsia="宋体" w:cs="宋体"/>
                <w:i w:val="0"/>
                <w:iCs w:val="0"/>
                <w:color w:val="0000ff"/>
                <w:sz w:val="21"/>
                <w:szCs w:val="21"/>
                <w:highlight w:val="none"/>
                <w:u w:val="none"/>
                <w:lang w:val="en-US" w:eastAsia="zh-CN" w:bidi="ar"/>
              </w:rPr>
              <w:t xml:space="preserve">▲3.评估方案覆盖：软件需支持多项评估方案，至少包含十种常见慢性疾病风险评估、身体运动功能评估、中医九种体质分型、饮食习惯调查、运动习惯调查、匹兹堡睡眠质量指数、健康生活素质调查、跌倒风险评估、认知能力评估、日常生活能力量表、日常生活活动能力量表、能量消耗调查及常用心理学评估量表等核心方案（提供截图等相关证明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4.量表自动评估：软件需支持根据用户填写的量表内容自动生成评估结果；系统内置的量表结果评估模型不少于十种，且模型需符合行业通用评估标准。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5.个性化干预方案：软件需支持基于评估结果制定个性化干预方案；提供可视化操作界面，方便使用者针对不同评估结果，为评估对象制定针对性健康干预方案。</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6.数据可视化分析：软件需配备数据可视化分析界面，提供数据分析工具，能在评估过程中生成直观的评估结果呈现形式（如图表、曲线等），辅助使用者理解评估数据。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7.流程自定义功能：软件需支持后台实验流程及步骤的自定义配置；提供可视化操作界面，方便教师根据教学或研究需求，自主调整健康风险评估流程及对应量表模型。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8.风险动态跟踪：软件需支持评估对象健康风险的动态跟踪，能根据最新评估数据自动更新风险评估报告，保障评估结果的时效性与准确性。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9.多维度结果分析：软件需支持评估结果的多维度分析，能从生理、心理、生活方式等不同角度解读评估数据，助力全面了解评估对象健康状况。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10.报告导出功能：软件需提供详细评估报告导出功能，支持将评估结果以多种格式（如PDF、Excel等）导出，方便评估结果的保存与分享。</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社区养老益智游戏设备</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1.适老化教学辅助设备多功能游戏桌4张（每张游戏桌标配适老椅4张）：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800*800*760mm（±2%）；主体采用橡胶木实木拼板，环保油漆，桌角适老化扶手设计，适合长者进行互动游戏体验；具备教学实训功能，可作为长者游戏教学、技能训练的辅助载体，支持教学场景下的分组互动与指导；桌面为多用游戏盘，含储藏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2.适老化教学游戏桌标配适老椅：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1.框架：采用白蜡木制作；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2.油漆：采用符合国标环保油漆，达到国标E1级环保标准；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3.海绵：采用成型高密度泡绵；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4.软包：采用耐磨超纤皮；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5.粘合剂材：采用环保认证胶水；</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6.功能：具备教学实训适配性，座椅高度及软包设计符合长者教学场景久坐需求，支持教学过程中长者舒适参与互动。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3.展示台2件：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1060*510*770mm（±2%）；主体采用橡胶木实木拼板，环保油漆，适老化设计；具备教学实训功能，可用于游戏设备展示、操作示范、生活自理能力训练教学演示等；配备多功能储藏空间，支持教学道具收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4.神机妙算游戏2：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翻牌类社交游戏，具备数学运算训练及教学实训功能，可作为长者数学思维教学的辅助工具，通过游戏化教学提升思维能力、反应能力。</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5.运筹帷幄游戏2：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椴木多层板，边框采用橡胶木板，环保油漆；内含象棋一套、围棋一套，支持双面游戏；具备教学实训功能，可用于棋类教学活动，通过互动下棋教学活跃长者大脑，延缓大脑衰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6.思维天地游戏2：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椴木多层板，边框采用橡胶木板，环保油漆；内含象棋一套、围棋一套，支持双面游戏；具备教学实训功能，可作为棋类教学实训器材，通过互动下棋教学活跃长者大脑，延缓大脑衰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7.过目不忘游戏2：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记忆类互动社交游戏；具备教学实训功能，可用于记忆力训练教学，通过图案颜色匹配的教学引导，锻炼老年人记忆力和思维能力，减缓智力衰退速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8.百发百中游戏2：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右脑训练类游戏；具备教学实训功能，可作为动手协调能力教学辅助器材，通过游戏操作教学锻炼老年人动手能力和身体协调能力，趣味性高。</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9.眼明手快游戏2：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观察训练类游戏；具备教学实训功能，可用于观察力与判断力教学，通过游戏教学锻炼老年人思维和判断能力，活跃长者大脑，促进全身机能协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10.十拿九稳游戏2：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观察训练类游戏；具备教学实训功能，可作为观察判断能力教学实训工具，通过游戏教学锻炼老年人思维和判断能力，活跃长者大脑，促进全身机能协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11.柳暗花明游戏2：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观察训练类游戏；具备教学实训功能，可用于思维训练教学活动，通过游戏教学锻炼老年人思维和判断能力，活跃长者大脑，促进全身机能协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12.斗智斗勇游戏2：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观察训练类游戏；具备教学实训功能，可作为互动思维教学器材，通过游戏教学锻炼老年人思维和判断能力，活跃长者大脑，促进全身机能协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13.“棋”乐无穷游戏2：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棋类互动游戏；具备教学实训功能，可用于棋类基础教学，通过互动游戏教学锻炼老年人思维和判断能力，活跃长者大脑，促进全身机能协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14.全神贯注游戏2：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观察训练类游戏；具备教学实训功能，可作为专注力训练教学辅助工具，通过游戏教学锻炼老年人思维和判断能力，活跃长者大脑，促进全身机能协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15.独具慧眼游戏2：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500*500*20mm（±2%）；主体采用多层实木夹板，边框采用橡胶木板，环保油漆；观察训练类游戏；具备教学实训功能，可用于细节观察能力教学，通过游戏教学锻炼老年人思维和判断能力，活跃长者大脑，促进全身机能协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16.哭笑BB2：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备触觉感应功能：抚摸小手时发出哭声，抚摸小脚时发出笑声，轻拍小肚时恢复安静；平躺状态下眼睛可闭合模拟睡眠，手脚关节可活动；配备婴儿衣物、帽子、床、枕头及被子；具备教学实训功能，可作为生活照料技能教学道具，用于长者照料能力训练教学；产品质量符合国家相关安全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17.墙面游戏-生活技能练习2（Ⅰ）：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460×460×95mm（±2%）；主体采用多层实木夹板、榉木，环保油漆；具备生活自理能力训练、思维训练、技能训练及教学实训功能，可作为生活技能教学实训装置，通过操作教学增强大脑活力，延缓自理能力衰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18.墙面游戏-解锁练习2：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460×460×49mm（±2%）；主体采用多层实木夹板，环保油漆；具备生活自理能力训练、思维训练、技能训练及教学实训功能，可用于解锁技能教学实训，通过教学引导增强大脑活力，延缓自理能力衰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19.墙面游戏-触觉2：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产品整体尺寸：460×460×47mm（±2%）；主体采用多层实木夹板、榉木，环保油漆；具备触觉感知、思维训练及教学实训功能，可作为触觉训练教学辅助器材，通过教学互动增强大脑活力，延缓自理能力衰退。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20.墙面游戏-生活技能练习2（Ⅱ）：</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整体尺寸：460×460×18mm（±2%）；主体采用多层实木夹板、布，环保油漆；具备生活自理能力训练、思维训练、技能训练及教学实训功能，可作为基础生活技能教学实训工具，通过教学操作增强大脑活力，延缓自理能力衰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21.手不能抖2：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60cm*40cm（±2%）；材质：桦木夹板，环保水性漆；产品无毒无味，质量符合以下标准：1.中国强制性产品认证（GB6675）；2.ISO9001:2015国际质量体系认证；3.出口相关质量标准；具备教学实训功能，可用于动手协调与用电安全知识教学，通过操作演示与指导提升长者能力；采用模块化手摇发电机构和稳压稳流技术供电，运行需形成回路；产品需配备用电安全警示说明。</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22.长者陪伴猫猫2：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备模拟猫咪动作功能，可发出治愈系喵声和咕噜声；外观设计逼真，触感柔软；配备梳子配件，支持梳理操作；具备教学实训功能，可作为情感照料与动手能力教学道具，用于长者照料技能教学；产品质量符合国家相关安全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23.长者陪伴金毛寻回犬2：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备模拟小狗叫声功能，触感逼真；温柔触摸胸口可感知模拟心跳；具备声音感应功能，可响应互动发出吠声；配备装饰领巾；具备教学实训功能，可作为情感互动与触觉训练教学辅助器材，通过互动教学提升长者参与度；产品质量符合国家相关安全标准。</w:t>
            </w:r>
            <w:r/>
          </w:p>
        </w:tc>
        <w:tc>
          <w:tcPr>
            <w:shd w:val="clear" w:color="auto" w:fill="auto"/>
            <w:tcBorders>
              <w:top w:val="single" w:color="000000" w:sz="4" w:space="0"/>
              <w:left w:val="single" w:color="000000" w:sz="4" w:space="0"/>
              <w:bottom w:val="single" w:color="000000" w:sz="4" w:space="0"/>
              <w:right w:val="none" w:color="000000" w:sz="4" w:space="0"/>
            </w:tcBorders>
            <w:tcW w:w="4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居家养老一体化工作站</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val="false"/>
          </w:tcPr>
          <w:p>
            <w:pPr>
              <w:pStyle w:val="919"/>
              <w:ind w:left="0" w:right="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0000ff"/>
                <w:sz w:val="24"/>
                <w:szCs w:val="24"/>
                <w:highlight w:val="none"/>
                <w:lang w:val="en-US" w:eastAsia="zh-CN"/>
              </w:rPr>
              <w:suppressLineNumbers w:val="0"/>
            </w:pPr>
            <w:r>
              <w:rPr>
                <w:rFonts w:hint="eastAsia" w:ascii="宋体" w:hAnsi="宋体" w:eastAsia="宋体" w:cs="宋体"/>
                <w:b/>
                <w:bCs/>
                <w:color w:val="0000ff"/>
                <w:sz w:val="24"/>
                <w:szCs w:val="24"/>
                <w:highlight w:val="none"/>
                <w:lang w:val="en-US" w:eastAsia="zh-CN"/>
              </w:rPr>
              <w:t xml:space="preserve">备注:</w:t>
            </w:r>
            <w:r/>
          </w:p>
          <w:p>
            <w:pPr>
              <w:ind w:left="0" w:right="0" w:firstLine="480"/>
              <w:keepLines w:val="0"/>
              <w:keepNext w:val="0"/>
              <w:pageBreakBefore w:val="0"/>
              <w:spacing w:before="0" w:beforeAutospacing="0" w:after="0" w:afterAutospacing="0" w:line="440" w:lineRule="exact"/>
              <w:widowControl w:val="off"/>
              <w:rPr>
                <w:rFonts w:hint="eastAsia" w:ascii="宋体" w:hAnsi="宋体" w:eastAsia="宋体" w:cs="宋体"/>
                <w:b w:val="0"/>
                <w:bCs w:val="0"/>
                <w:i w:val="0"/>
                <w:color w:val="0000ff"/>
                <w:sz w:val="24"/>
                <w:szCs w:val="24"/>
                <w:highlight w:val="none"/>
                <w:u w:val="none"/>
                <w14:ligatures w14:val="none"/>
              </w:rPr>
              <w:suppressLineNumbers w:val="0"/>
            </w:pPr>
            <w:r>
              <w:rPr>
                <w:rFonts w:hint="eastAsia" w:ascii="宋体" w:hAnsi="宋体" w:eastAsia="宋体" w:cs="宋体"/>
                <w:b w:val="0"/>
                <w:bCs w:val="0"/>
                <w:i w:val="0"/>
                <w:iCs w:val="0"/>
                <w:color w:val="0000ff"/>
                <w:sz w:val="24"/>
                <w:szCs w:val="24"/>
                <w:highlight w:val="none"/>
                <w:u w:val="none"/>
                <w:lang w:val="en-US" w:eastAsia="zh-CN" w:bidi="ar"/>
              </w:rPr>
              <w:t xml:space="preserve">1.标注“▲”的技术参数为加分项，供应商须针对该部分条款提供有效证明材料，形式可包括：招标文件指定的证明文件（如有）、产品官方彩页（需注明发布日期）、原厂说明书、产品技术白皮书（须由产品研发主体出具）或承诺在中标后合同签订前提供具备相应认证资质的第三方检测机构出具的检验报告（承诺函格式自拟，相关检测费用由中标人承担）。</w:t>
            </w:r>
            <w:r/>
          </w:p>
          <w:p>
            <w:pPr>
              <w:ind w:left="0" w:right="0" w:firstLine="480"/>
              <w:keepLines w:val="0"/>
              <w:keepNext w:val="0"/>
              <w:pageBreakBefore w:val="0"/>
              <w:spacing w:before="0" w:beforeAutospacing="0" w:after="0" w:afterAutospacing="0" w:line="440" w:lineRule="exact"/>
              <w:widowControl w:val="off"/>
              <w:rPr>
                <w:rFonts w:hint="eastAsia" w:ascii="宋体" w:hAnsi="宋体" w:eastAsia="宋体" w:cs="宋体"/>
                <w:b/>
                <w:bCs/>
                <w:color w:val="0000ff"/>
                <w:sz w:val="24"/>
                <w:szCs w:val="24"/>
                <w:highlight w:val="none"/>
                <w:lang w:val="en-US" w:eastAsia="zh-CN"/>
              </w:rPr>
              <w:suppressLineNumbers w:val="0"/>
            </w:pPr>
            <w:r>
              <w:rPr>
                <w:rFonts w:hint="eastAsia" w:ascii="宋体" w:hAnsi="宋体" w:eastAsia="宋体" w:cs="宋体"/>
                <w:b w:val="0"/>
                <w:bCs w:val="0"/>
                <w:i w:val="0"/>
                <w:iCs w:val="0"/>
                <w:color w:val="0000ff"/>
                <w:sz w:val="24"/>
                <w:szCs w:val="24"/>
                <w:highlight w:val="none"/>
                <w:u w:val="none"/>
                <w:lang w:val="en-US" w:eastAsia="zh-CN" w:bidi="ar"/>
              </w:rPr>
              <w:t xml:space="preserve">2.标注“●”的技术参数为加分项，供应商须按招标文件规定的具体内容进行功能视频演示。</w:t>
            </w:r>
            <w:r/>
          </w:p>
        </w:tc>
      </w:tr>
    </w:tbl>
    <w:p>
      <w:pPr>
        <w:pStyle w:val="74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三</w:t>
      </w:r>
      <w:r>
        <w:rPr>
          <w:rFonts w:hint="eastAsia" w:ascii="宋体" w:hAnsi="宋体" w:eastAsia="宋体" w:cs="宋体"/>
          <w:b/>
          <w:bCs/>
          <w:i w:val="0"/>
          <w:iCs w:val="0"/>
          <w:caps w:val="0"/>
          <w:spacing w:val="0"/>
          <w:sz w:val="24"/>
          <w:szCs w:val="24"/>
        </w:rPr>
        <w:t xml:space="preserve">、技术参数响应与偏离</w:t>
      </w:r>
      <w:r/>
    </w:p>
    <w:p>
      <w:pPr>
        <w:ind w:left="0" w:firstLine="480"/>
        <w:keepLines w:val="0"/>
        <w:keepNext w:val="0"/>
        <w:pageBreakBefore w:val="0"/>
        <w:spacing w:line="440" w:lineRule="exact"/>
        <w:widowControl w:val="off"/>
        <w:rPr>
          <w:rFonts w:hint="eastAsia" w:ascii="宋体" w:hAnsi="宋体" w:eastAsia="宋体" w:cs="宋体"/>
          <w:b w:val="0"/>
          <w:bCs w:val="0"/>
          <w:i/>
          <w:iCs/>
          <w:color w:val="0000ff"/>
          <w:sz w:val="24"/>
          <w:szCs w:val="24"/>
          <w:highlight w:val="none"/>
          <w:u w:val="single"/>
          <w:lang w:val="en-US" w:eastAsia="zh-CN"/>
        </w:rPr>
      </w:pPr>
      <w:r>
        <w:rPr>
          <w:rFonts w:hint="eastAsia" w:ascii="宋体" w:hAnsi="宋体" w:eastAsia="宋体" w:cs="宋体"/>
          <w:b w:val="0"/>
          <w:bCs w:val="0"/>
          <w:i/>
          <w:iCs/>
          <w:color w:val="0000ff"/>
          <w:sz w:val="24"/>
          <w:szCs w:val="24"/>
          <w:highlight w:val="none"/>
          <w:u w:val="single"/>
          <w:lang w:val="en-US" w:eastAsia="zh-CN"/>
        </w:rPr>
        <w:t xml:space="preserve">1、本项目采购需求中</w:t>
      </w:r>
      <w:r>
        <w:rPr>
          <w:rFonts w:hint="eastAsia" w:ascii="宋体" w:hAnsi="宋体" w:eastAsia="宋体" w:cs="宋体"/>
          <w:b/>
          <w:bCs/>
          <w:i/>
          <w:iCs/>
          <w:color w:val="0000ff"/>
          <w:sz w:val="24"/>
          <w:szCs w:val="24"/>
          <w:highlight w:val="none"/>
          <w:u w:val="single"/>
          <w:lang w:val="en-US" w:eastAsia="zh-CN"/>
        </w:rPr>
        <w:t xml:space="preserve">“智能马桶”，</w:t>
      </w:r>
      <w:r>
        <w:rPr>
          <w:rFonts w:hint="eastAsia" w:ascii="宋体" w:hAnsi="宋体" w:eastAsia="宋体" w:cs="宋体"/>
          <w:b w:val="0"/>
          <w:bCs w:val="0"/>
          <w:i/>
          <w:iCs/>
          <w:color w:val="0000ff"/>
          <w:sz w:val="24"/>
          <w:szCs w:val="24"/>
          <w:highlight w:val="none"/>
          <w:u w:val="single"/>
          <w:lang w:val="en-US" w:eastAsia="zh-CN"/>
        </w:rPr>
        <w:t xml:space="preserve">属于《关于调整优化节能产品、环境标志产品政府采购执行机制的通知》（财库〔2019〕9 号）规定的强制采购节能产品范畴，对应品目：</w:t>
      </w:r>
      <w:r>
        <w:rPr>
          <w:rFonts w:hint="eastAsia" w:ascii="宋体" w:hAnsi="宋体" w:eastAsia="宋体" w:cs="宋体"/>
          <w:b/>
          <w:bCs/>
          <w:i/>
          <w:iCs/>
          <w:color w:val="0000ff"/>
          <w:sz w:val="24"/>
          <w:szCs w:val="24"/>
          <w:highlight w:val="none"/>
          <w:u w:val="single"/>
          <w:lang w:val="en-US" w:eastAsia="zh-CN"/>
        </w:rPr>
        <w:t xml:space="preserve">★A060805 便器</w:t>
      </w:r>
      <w:r>
        <w:rPr>
          <w:rFonts w:hint="eastAsia" w:ascii="宋体" w:hAnsi="宋体" w:eastAsia="宋体" w:cs="宋体"/>
          <w:b w:val="0"/>
          <w:bCs w:val="0"/>
          <w:i/>
          <w:iCs/>
          <w:color w:val="0000ff"/>
          <w:sz w:val="24"/>
          <w:szCs w:val="24"/>
          <w:highlight w:val="none"/>
          <w:u w:val="single"/>
          <w:lang w:val="en-US" w:eastAsia="zh-CN"/>
        </w:rPr>
        <w:t xml:space="preserve">。投标人须提供由国家确定的节能产品认证机构出具、处于有效期内，且证书载明的产品规格型号与所投产品一致的节能产品认证证书。</w:t>
      </w:r>
      <w:r>
        <w:rPr>
          <w:rFonts w:hint="eastAsia" w:ascii="宋体" w:hAnsi="宋体" w:eastAsia="宋体" w:cs="宋体"/>
          <w:b/>
          <w:bCs/>
          <w:i/>
          <w:iCs/>
          <w:color w:val="0000ff"/>
          <w:sz w:val="24"/>
          <w:szCs w:val="24"/>
          <w:highlight w:val="none"/>
          <w:u w:val="single"/>
          <w:lang w:val="en-US" w:eastAsia="zh-CN"/>
        </w:rPr>
        <w:t xml:space="preserve">此项为实质性要求，不满足的投标将被视为无效</w:t>
      </w:r>
      <w:r>
        <w:rPr>
          <w:rFonts w:hint="eastAsia" w:ascii="宋体" w:hAnsi="宋体" w:eastAsia="宋体" w:cs="宋体"/>
          <w:b w:val="0"/>
          <w:bCs w:val="0"/>
          <w:i/>
          <w:iCs/>
          <w:color w:val="0000ff"/>
          <w:sz w:val="24"/>
          <w:szCs w:val="24"/>
          <w:highlight w:val="none"/>
          <w:u w:val="single"/>
          <w:lang w:val="en-US"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i/>
          <w:iCs/>
          <w:color w:val="0000ff"/>
          <w:sz w:val="24"/>
          <w:szCs w:val="24"/>
          <w:highlight w:val="none"/>
          <w:u w:val="single"/>
        </w:rPr>
      </w:pPr>
      <w:r>
        <w:rPr>
          <w:rFonts w:hint="eastAsia" w:ascii="宋体" w:hAnsi="宋体" w:eastAsia="宋体" w:cs="宋体"/>
          <w:b w:val="0"/>
          <w:bCs w:val="0"/>
          <w:i/>
          <w:iCs/>
          <w:color w:val="0000ff"/>
          <w:sz w:val="24"/>
          <w:szCs w:val="24"/>
          <w:highlight w:val="none"/>
          <w:u w:val="single"/>
          <w:lang w:val="en-US" w:eastAsia="zh-CN"/>
        </w:rPr>
        <w:t xml:space="preserve">2、</w:t>
      </w:r>
      <w:r>
        <w:rPr>
          <w:rFonts w:hint="eastAsia" w:ascii="宋体" w:hAnsi="宋体" w:eastAsia="宋体" w:cs="宋体"/>
          <w:b w:val="0"/>
          <w:bCs w:val="0"/>
          <w:i/>
          <w:iCs/>
          <w:color w:val="0000ff"/>
          <w:sz w:val="24"/>
          <w:szCs w:val="24"/>
          <w:highlight w:val="none"/>
          <w:u w:val="single"/>
        </w:rPr>
        <w:t xml:space="preserve">供应商须针对本项目“技术参数要求”中未标注“▲”和“</w:t>
      </w:r>
      <w:r>
        <w:rPr>
          <w:rFonts w:hint="eastAsia" w:ascii="宋体" w:hAnsi="宋体" w:eastAsia="宋体" w:cs="宋体"/>
          <w:b w:val="0"/>
          <w:bCs w:val="0"/>
          <w:i/>
          <w:iCs/>
          <w:color w:val="0000ff"/>
          <w:sz w:val="24"/>
          <w:szCs w:val="24"/>
          <w:highlight w:val="none"/>
          <w:u w:val="single"/>
          <w:lang w:val="en-US" w:eastAsia="zh-CN"/>
        </w:rPr>
        <w:t xml:space="preserve">●</w:t>
      </w:r>
      <w:r>
        <w:rPr>
          <w:rFonts w:hint="eastAsia" w:ascii="宋体" w:hAnsi="宋体" w:eastAsia="宋体" w:cs="宋体"/>
          <w:b w:val="0"/>
          <w:bCs w:val="0"/>
          <w:i/>
          <w:iCs/>
          <w:color w:val="0000ff"/>
          <w:sz w:val="24"/>
          <w:szCs w:val="24"/>
          <w:highlight w:val="none"/>
          <w:u w:val="single"/>
        </w:rPr>
        <w:t xml:space="preserve">”的所有条款，逐条编制《技术参数响应及偏离表》，</w:t>
      </w:r>
      <w:r>
        <w:rPr>
          <w:rFonts w:hint="eastAsia" w:ascii="宋体" w:hAnsi="宋体" w:eastAsia="宋体" w:cs="宋体"/>
          <w:b/>
          <w:bCs/>
          <w:i/>
          <w:iCs/>
          <w:color w:val="0000ff"/>
          <w:sz w:val="24"/>
          <w:szCs w:val="24"/>
          <w:highlight w:val="none"/>
          <w:u w:val="single"/>
        </w:rPr>
        <w:t xml:space="preserve">负偏离项总数不得超过</w:t>
      </w:r>
      <w:r>
        <w:rPr>
          <w:rFonts w:hint="eastAsia" w:ascii="宋体" w:hAnsi="宋体" w:eastAsia="宋体" w:cs="宋体"/>
          <w:b/>
          <w:bCs/>
          <w:i/>
          <w:iCs/>
          <w:color w:val="0000ff"/>
          <w:sz w:val="24"/>
          <w:szCs w:val="24"/>
          <w:highlight w:val="none"/>
          <w:u w:val="single"/>
          <w:lang w:val="en-US" w:eastAsia="zh-CN"/>
        </w:rPr>
        <w:t xml:space="preserve">10条</w:t>
      </w:r>
      <w:r>
        <w:rPr>
          <w:rFonts w:hint="eastAsia" w:ascii="宋体" w:hAnsi="宋体" w:eastAsia="宋体" w:cs="宋体"/>
          <w:b w:val="0"/>
          <w:bCs w:val="0"/>
          <w:i/>
          <w:iCs/>
          <w:color w:val="0000ff"/>
          <w:sz w:val="24"/>
          <w:szCs w:val="24"/>
          <w:highlight w:val="none"/>
          <w:u w:val="single"/>
        </w:rPr>
        <w:t xml:space="preserve">（以技术参数表中最末级序号为独立计数单位，每项计一条），若超出此限，将被视为未实质性响应采购要求</w:t>
      </w:r>
      <w:r>
        <w:rPr>
          <w:rFonts w:hint="eastAsia" w:ascii="宋体" w:hAnsi="宋体" w:eastAsia="宋体" w:cs="宋体"/>
          <w:b/>
          <w:bCs/>
          <w:i/>
          <w:iCs/>
          <w:color w:val="0000ff"/>
          <w:sz w:val="24"/>
          <w:szCs w:val="24"/>
          <w:highlight w:val="none"/>
          <w:u w:val="single"/>
        </w:rPr>
        <w:t xml:space="preserve">，作无效响应处理。</w:t>
      </w:r>
      <w:r/>
    </w:p>
    <w:p>
      <w:pPr>
        <w:ind w:left="0"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eastAsia="zh-CN"/>
        </w:rPr>
        <w:t xml:space="preserve">正偏离</w:t>
      </w:r>
      <w:r>
        <w:rPr>
          <w:rFonts w:hint="eastAsia" w:ascii="宋体" w:hAnsi="宋体" w:eastAsia="宋体" w:cs="宋体"/>
          <w:b w:val="0"/>
          <w:bCs w:val="0"/>
          <w:sz w:val="24"/>
          <w:szCs w:val="24"/>
        </w:rPr>
        <w:t xml:space="preserve">”指优于招标文件要求；“负偏离”指低于招标文件要求；“符合”指满足招标文件要求。投标人应在《技术参数响应及偏离表》（格式详见第六章投标文件格式）中，对招标文件采购清单内的所有技术参数逐条明确其响应状态，即明确填写“</w:t>
      </w:r>
      <w:r>
        <w:rPr>
          <w:rFonts w:hint="eastAsia" w:ascii="宋体" w:hAnsi="宋体" w:eastAsia="宋体" w:cs="宋体"/>
          <w:b w:val="0"/>
          <w:bCs w:val="0"/>
          <w:sz w:val="24"/>
          <w:szCs w:val="24"/>
          <w:lang w:eastAsia="zh-CN"/>
        </w:rPr>
        <w:t xml:space="preserve">正偏离</w:t>
      </w:r>
      <w:r>
        <w:rPr>
          <w:rFonts w:hint="eastAsia" w:ascii="宋体" w:hAnsi="宋体" w:eastAsia="宋体" w:cs="宋体"/>
          <w:b w:val="0"/>
          <w:bCs w:val="0"/>
          <w:sz w:val="24"/>
          <w:szCs w:val="24"/>
        </w:rPr>
        <w:t xml:space="preserve">”、“负偏离”或“符合”，不得遗漏。凡未在《技术参数响应及偏离表》中声明偏离情况的技术条款，均视为“符合”。中标人须在合同履行阶段严格遵守招标文件中对应条款的约定。</w:t>
      </w:r>
      <w:r/>
    </w:p>
    <w:p>
      <w:pPr>
        <w:ind w:left="0"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对于非评分项的技术参数，投标人可选择在投标时提供证明材料，亦可于中标通知书发出后、正式签订合同前补充提供（补充材料须在合同签订前</w:t>
      </w: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个工作日内提交）。所提供的材料将作为合同履约验收的依据之一。</w:t>
      </w:r>
      <w:r/>
    </w:p>
    <w:p>
      <w:pPr>
        <w:pStyle w:val="74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四</w:t>
      </w:r>
      <w:r>
        <w:rPr>
          <w:rFonts w:hint="eastAsia" w:ascii="宋体" w:hAnsi="宋体" w:eastAsia="宋体" w:cs="宋体"/>
          <w:b/>
          <w:bCs/>
          <w:i w:val="0"/>
          <w:iCs w:val="0"/>
          <w:caps w:val="0"/>
          <w:spacing w:val="0"/>
          <w:sz w:val="24"/>
          <w:szCs w:val="24"/>
        </w:rPr>
        <w:t xml:space="preserve">、商务要求响应及偏离</w:t>
      </w:r>
      <w:r/>
    </w:p>
    <w:p>
      <w:pPr>
        <w:pStyle w:val="743"/>
        <w:numPr>
          <w:ilvl w:val="0"/>
          <w:numId w:val="7"/>
        </w:numPr>
        <w:ind w:left="0" w:firstLine="480"/>
        <w:keepLines w:val="0"/>
        <w:keepNext w:val="0"/>
        <w:pageBreakBefore w:val="0"/>
        <w:spacing w:line="440" w:lineRule="exact"/>
        <w:widowControl w:val="off"/>
        <w:rPr>
          <w:rFonts w:hint="eastAsia" w:ascii="宋体" w:hAnsi="宋体" w:eastAsia="宋体" w:cs="宋体"/>
          <w:b w:val="0"/>
          <w:bCs w:val="0"/>
          <w:i/>
          <w:iCs/>
          <w:caps w:val="0"/>
          <w:spacing w:val="0"/>
          <w:sz w:val="24"/>
          <w:szCs w:val="24"/>
          <w:highlight w:val="none"/>
          <w:u w:val="single"/>
        </w:rPr>
      </w:pPr>
      <w:r>
        <w:rPr>
          <w:rFonts w:hint="eastAsia" w:ascii="宋体" w:hAnsi="宋体" w:eastAsia="宋体" w:cs="宋体"/>
          <w:b w:val="0"/>
          <w:bCs w:val="0"/>
          <w:i/>
          <w:iCs/>
          <w:caps w:val="0"/>
          <w:spacing w:val="0"/>
          <w:sz w:val="24"/>
          <w:szCs w:val="24"/>
          <w:highlight w:val="none"/>
          <w:u w:val="single"/>
        </w:rPr>
        <w:t xml:space="preserve">交付时间：合同生效后</w:t>
      </w:r>
      <w:r>
        <w:rPr>
          <w:rFonts w:hint="eastAsia" w:ascii="宋体" w:hAnsi="宋体" w:eastAsia="宋体" w:cs="宋体"/>
          <w:b w:val="0"/>
          <w:bCs w:val="0"/>
          <w:i/>
          <w:iCs/>
          <w:caps w:val="0"/>
          <w:spacing w:val="0"/>
          <w:sz w:val="24"/>
          <w:szCs w:val="24"/>
          <w:highlight w:val="none"/>
          <w:u w:val="single"/>
          <w:lang w:val="en-US" w:eastAsia="zh-CN"/>
        </w:rPr>
        <w:t xml:space="preserve">60</w:t>
      </w:r>
      <w:r>
        <w:rPr>
          <w:rFonts w:hint="eastAsia" w:ascii="宋体" w:hAnsi="宋体" w:eastAsia="宋体" w:cs="宋体"/>
          <w:b w:val="0"/>
          <w:bCs w:val="0"/>
          <w:i/>
          <w:iCs/>
          <w:caps w:val="0"/>
          <w:spacing w:val="0"/>
          <w:sz w:val="24"/>
          <w:szCs w:val="24"/>
          <w:highlight w:val="none"/>
          <w:u w:val="single"/>
        </w:rPr>
        <w:t xml:space="preserve">个日历天（此期限不包括采购人验收时间），供应商应在此期限内完成全部货物的交付、安装与调试。</w:t>
      </w:r>
      <w:r/>
    </w:p>
    <w:p>
      <w:pPr>
        <w:pStyle w:val="743"/>
        <w:numPr>
          <w:ilvl w:val="0"/>
          <w:numId w:val="0"/>
        </w:numPr>
        <w:ind w:left="0" w:firstLine="480"/>
        <w:keepLines w:val="0"/>
        <w:keepNext w:val="0"/>
        <w:pageBreakBefore w:val="0"/>
        <w:spacing w:line="440" w:lineRule="exact"/>
        <w:widowControl w:val="off"/>
        <w:rPr>
          <w:rFonts w:hint="eastAsia" w:ascii="宋体" w:hAnsi="宋体" w:eastAsia="宋体" w:cs="宋体"/>
          <w:b w:val="0"/>
          <w:bCs w:val="0"/>
          <w:i/>
          <w:iCs/>
          <w:caps w:val="0"/>
          <w:spacing w:val="0"/>
          <w:sz w:val="24"/>
          <w:szCs w:val="24"/>
          <w:highlight w:val="none"/>
          <w:u w:val="single"/>
        </w:rPr>
      </w:pPr>
      <w:r>
        <w:rPr>
          <w:rFonts w:hint="eastAsia" w:ascii="宋体" w:hAnsi="宋体" w:eastAsia="宋体" w:cs="宋体"/>
          <w:b w:val="0"/>
          <w:bCs w:val="0"/>
          <w:i/>
          <w:iCs/>
          <w:caps w:val="0"/>
          <w:spacing w:val="0"/>
          <w:sz w:val="24"/>
          <w:szCs w:val="24"/>
          <w:highlight w:val="none"/>
          <w:u w:val="single"/>
          <w:lang w:val="en-US" w:eastAsia="zh-CN"/>
        </w:rPr>
        <w:t xml:space="preserve">注：</w:t>
      </w:r>
      <w:r>
        <w:rPr>
          <w:rFonts w:hint="eastAsia" w:ascii="宋体" w:hAnsi="宋体" w:eastAsia="宋体" w:cs="宋体"/>
          <w:b w:val="0"/>
          <w:bCs w:val="0"/>
          <w:i/>
          <w:iCs/>
          <w:caps w:val="0"/>
          <w:spacing w:val="0"/>
          <w:sz w:val="24"/>
          <w:szCs w:val="24"/>
          <w:highlight w:val="none"/>
          <w:u w:val="single"/>
        </w:rPr>
        <w:t xml:space="preserve">若因不可抗力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r/>
    </w:p>
    <w:p>
      <w:pPr>
        <w:pStyle w:val="743"/>
        <w:numPr>
          <w:ilvl w:val="0"/>
          <w:numId w:val="7"/>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交付地点：江苏省盐城技师学院采购人指定地点。</w:t>
      </w:r>
      <w:r/>
    </w:p>
    <w:p>
      <w:pPr>
        <w:pStyle w:val="743"/>
        <w:numPr>
          <w:ilvl w:val="0"/>
          <w:numId w:val="7"/>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r/>
    </w:p>
    <w:p>
      <w:pPr>
        <w:pStyle w:val="743"/>
        <w:numPr>
          <w:ilvl w:val="0"/>
          <w:numId w:val="7"/>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质量保证：所供货物及软件应为成熟、稳定的在售型号。免费质保期不少于三年，自最终验收合格之日起计算。质保期内，提供7×24小时技术支持，故障1小时内电话响应，24小时内现场到位（如需），并免费提供</w:t>
      </w:r>
      <w:r>
        <w:rPr>
          <w:rFonts w:hint="eastAsia" w:ascii="宋体" w:hAnsi="宋体" w:eastAsia="宋体" w:cs="宋体"/>
          <w:i/>
          <w:iCs/>
          <w:caps w:val="0"/>
          <w:spacing w:val="0"/>
          <w:sz w:val="24"/>
          <w:szCs w:val="24"/>
          <w:highlight w:val="none"/>
          <w:u w:val="single"/>
          <w:lang w:val="en-US" w:eastAsia="zh-CN"/>
        </w:rPr>
        <w:t xml:space="preserve">不少于三年的</w:t>
      </w:r>
      <w:r>
        <w:rPr>
          <w:rFonts w:hint="eastAsia" w:ascii="宋体" w:hAnsi="宋体" w:eastAsia="宋体" w:cs="宋体"/>
          <w:i/>
          <w:iCs/>
          <w:caps w:val="0"/>
          <w:spacing w:val="0"/>
          <w:sz w:val="24"/>
          <w:szCs w:val="24"/>
          <w:highlight w:val="none"/>
          <w:u w:val="single"/>
        </w:rPr>
        <w:t xml:space="preserve">系统升级与技术服务。质保期外，应能提供持续的技术支持与维护服务，收费标准不高于其官方公示价格或同期市场公允价格。</w:t>
      </w:r>
      <w:r/>
    </w:p>
    <w:p>
      <w:pPr>
        <w:pStyle w:val="743"/>
        <w:numPr>
          <w:ilvl w:val="0"/>
          <w:numId w:val="7"/>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付款方式：</w:t>
      </w:r>
      <w:r/>
    </w:p>
    <w:p>
      <w:pPr>
        <w:pStyle w:val="74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lang w:eastAsia="zh-CN"/>
        </w:rPr>
      </w:pPr>
      <w:r>
        <w:rPr>
          <w:rFonts w:hint="eastAsia" w:ascii="宋体" w:hAnsi="宋体" w:eastAsia="宋体" w:cs="宋体"/>
          <w:i/>
          <w:iCs/>
          <w:caps w:val="0"/>
          <w:spacing w:val="0"/>
          <w:sz w:val="24"/>
          <w:szCs w:val="24"/>
          <w:highlight w:val="none"/>
          <w:u w:val="single"/>
        </w:rPr>
        <w:t xml:space="preserve">预付款：合同签订生效并收到合规发票后10个工作日内</w:t>
      </w:r>
      <w:r>
        <w:rPr>
          <w:rFonts w:hint="eastAsia" w:ascii="宋体" w:hAnsi="宋体" w:eastAsia="宋体" w:cs="宋体"/>
          <w:i/>
          <w:iCs/>
          <w:caps w:val="0"/>
          <w:spacing w:val="0"/>
          <w:sz w:val="24"/>
          <w:szCs w:val="24"/>
          <w:highlight w:val="none"/>
          <w:u w:val="single"/>
          <w:lang w:eastAsia="zh-CN"/>
        </w:rPr>
        <w:t xml:space="preserve">，</w:t>
      </w:r>
      <w:r>
        <w:rPr>
          <w:rFonts w:hint="eastAsia" w:ascii="宋体" w:hAnsi="宋体" w:eastAsia="宋体" w:cs="宋体"/>
          <w:i/>
          <w:iCs/>
          <w:caps w:val="0"/>
          <w:spacing w:val="0"/>
          <w:sz w:val="24"/>
          <w:szCs w:val="24"/>
          <w:highlight w:val="none"/>
          <w:u w:val="single"/>
        </w:rPr>
        <w:t xml:space="preserve">支付合同总价的30%</w:t>
      </w:r>
      <w:r>
        <w:rPr>
          <w:rFonts w:hint="eastAsia" w:ascii="宋体" w:hAnsi="宋体" w:eastAsia="宋体" w:cs="宋体"/>
          <w:i/>
          <w:iCs/>
          <w:caps w:val="0"/>
          <w:spacing w:val="0"/>
          <w:sz w:val="24"/>
          <w:szCs w:val="24"/>
          <w:highlight w:val="none"/>
          <w:u w:val="single"/>
          <w:lang w:eastAsia="zh-CN"/>
        </w:rPr>
        <w:t xml:space="preserve">；</w:t>
      </w:r>
      <w:r/>
    </w:p>
    <w:p>
      <w:pPr>
        <w:pStyle w:val="74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lang w:eastAsia="zh-CN"/>
        </w:rPr>
      </w:pPr>
      <w:r>
        <w:rPr>
          <w:rFonts w:hint="eastAsia" w:ascii="宋体" w:hAnsi="宋体" w:eastAsia="宋体" w:cs="宋体"/>
          <w:i/>
          <w:iCs/>
          <w:caps w:val="0"/>
          <w:spacing w:val="0"/>
          <w:sz w:val="24"/>
          <w:szCs w:val="24"/>
          <w:highlight w:val="none"/>
          <w:u w:val="single"/>
        </w:rPr>
        <w:t xml:space="preserve">进度款：货物安装调试完毕并初步验收合格后，收到合规发票后 10个工作日内</w:t>
      </w:r>
      <w:r>
        <w:rPr>
          <w:rFonts w:hint="eastAsia" w:ascii="宋体" w:hAnsi="宋体" w:eastAsia="宋体" w:cs="宋体"/>
          <w:i/>
          <w:iCs/>
          <w:caps w:val="0"/>
          <w:spacing w:val="0"/>
          <w:sz w:val="24"/>
          <w:szCs w:val="24"/>
          <w:highlight w:val="none"/>
          <w:u w:val="single"/>
          <w:lang w:eastAsia="zh-CN"/>
        </w:rPr>
        <w:t xml:space="preserve">，</w:t>
      </w:r>
      <w:r>
        <w:rPr>
          <w:rFonts w:hint="eastAsia" w:ascii="宋体" w:hAnsi="宋体" w:eastAsia="宋体" w:cs="宋体"/>
          <w:i/>
          <w:iCs/>
          <w:caps w:val="0"/>
          <w:spacing w:val="0"/>
          <w:sz w:val="24"/>
          <w:szCs w:val="24"/>
          <w:highlight w:val="none"/>
          <w:u w:val="single"/>
        </w:rPr>
        <w:t xml:space="preserve">支付至合同总价的70%</w:t>
      </w:r>
      <w:r>
        <w:rPr>
          <w:rFonts w:hint="eastAsia" w:ascii="宋体" w:hAnsi="宋体" w:eastAsia="宋体" w:cs="宋体"/>
          <w:i/>
          <w:iCs/>
          <w:caps w:val="0"/>
          <w:spacing w:val="0"/>
          <w:sz w:val="24"/>
          <w:szCs w:val="24"/>
          <w:highlight w:val="none"/>
          <w:u w:val="single"/>
          <w:lang w:eastAsia="zh-CN"/>
        </w:rPr>
        <w:t xml:space="preserve">；</w:t>
      </w:r>
      <w:r/>
    </w:p>
    <w:p>
      <w:pPr>
        <w:pStyle w:val="743"/>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lang w:eastAsia="zh-CN"/>
        </w:rPr>
        <w:t xml:space="preserve">尾款</w:t>
      </w:r>
      <w:r>
        <w:rPr>
          <w:rFonts w:hint="eastAsia" w:ascii="宋体" w:hAnsi="宋体" w:eastAsia="宋体" w:cs="宋体"/>
          <w:i/>
          <w:iCs/>
          <w:caps w:val="0"/>
          <w:spacing w:val="0"/>
          <w:sz w:val="24"/>
          <w:szCs w:val="24"/>
          <w:highlight w:val="none"/>
          <w:u w:val="single"/>
        </w:rPr>
        <w:t xml:space="preserve">：初步验收合格且项目</w:t>
      </w:r>
      <w:r>
        <w:rPr>
          <w:rFonts w:hint="eastAsia" w:ascii="宋体" w:hAnsi="宋体" w:eastAsia="宋体" w:cs="宋体"/>
          <w:i/>
          <w:iCs/>
          <w:caps w:val="0"/>
          <w:spacing w:val="0"/>
          <w:sz w:val="24"/>
          <w:szCs w:val="24"/>
          <w:highlight w:val="none"/>
          <w:u w:val="single"/>
          <w:lang w:eastAsia="zh-CN"/>
        </w:rPr>
        <w:t xml:space="preserve">稳定运行满6个月</w:t>
      </w:r>
      <w:r>
        <w:rPr>
          <w:rFonts w:hint="eastAsia" w:ascii="宋体" w:hAnsi="宋体" w:eastAsia="宋体" w:cs="宋体"/>
          <w:i/>
          <w:iCs/>
          <w:caps w:val="0"/>
          <w:spacing w:val="0"/>
          <w:sz w:val="24"/>
          <w:szCs w:val="24"/>
          <w:highlight w:val="none"/>
          <w:u w:val="single"/>
        </w:rPr>
        <w:t xml:space="preserve">并完成最终验收后，收到合规发票后10个工作日内</w:t>
      </w:r>
      <w:r>
        <w:rPr>
          <w:rFonts w:hint="eastAsia" w:ascii="宋体" w:hAnsi="宋体" w:eastAsia="宋体" w:cs="宋体"/>
          <w:i/>
          <w:iCs/>
          <w:caps w:val="0"/>
          <w:spacing w:val="0"/>
          <w:sz w:val="24"/>
          <w:szCs w:val="24"/>
          <w:highlight w:val="none"/>
          <w:u w:val="single"/>
          <w:lang w:val="en-US" w:eastAsia="zh-CN"/>
        </w:rPr>
        <w:t xml:space="preserve">结清余款</w:t>
      </w:r>
      <w:r>
        <w:rPr>
          <w:rFonts w:hint="eastAsia" w:ascii="宋体" w:hAnsi="宋体" w:eastAsia="宋体" w:cs="宋体"/>
          <w:i/>
          <w:iCs/>
          <w:caps w:val="0"/>
          <w:spacing w:val="0"/>
          <w:sz w:val="24"/>
          <w:szCs w:val="24"/>
          <w:highlight w:val="none"/>
          <w:u w:val="single"/>
        </w:rPr>
        <w:t xml:space="preserve">。</w:t>
      </w:r>
      <w:r/>
    </w:p>
    <w:p>
      <w:pPr>
        <w:pStyle w:val="743"/>
        <w:numPr>
          <w:ilvl w:val="0"/>
          <w:numId w:val="7"/>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方案完整性要求：投标人应确保其投标方案（包括必要的扩展内容）能完整实现招标文件的全部功能需求。如需增补清单外内容，应在投标文件中明确列出并计入总价。未列明者，视为现有清单已完全满足需求，因缺失导致的补充及整改责任由中标人承担。 </w:t>
      </w:r>
      <w:r/>
    </w:p>
    <w:p>
      <w:pPr>
        <w:pStyle w:val="743"/>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标准与费用包干：投标人应确保其产品与实施符合国家及项目所在地的强制性标准与规范。为满足所有要求及实现项目功能所产生的一切费用（包括但不限于货物采购费、运输费、安装调试费、培训费、税费、质保期内服务费等）、风险（包括市场价格波动、政策调整等风险）及税金均已包含在投标总价内，中标后不予调整。</w:t>
      </w:r>
      <w:r/>
    </w:p>
    <w:p>
      <w:pPr>
        <w:pStyle w:val="743"/>
        <w:ind w:left="0" w:firstLine="482"/>
        <w:keepLines w:val="0"/>
        <w:keepNext w:val="0"/>
        <w:pageBreakBefore w:val="0"/>
        <w:spacing w:line="440" w:lineRule="exact"/>
        <w:widowControl w:val="off"/>
        <w:rPr>
          <w:rFonts w:hint="default" w:ascii="宋体" w:hAnsi="宋体" w:eastAsia="宋体" w:cs="宋体"/>
          <w:b/>
          <w:bCs/>
          <w:i/>
          <w:iCs/>
          <w:caps w:val="0"/>
          <w:spacing w:val="0"/>
          <w:sz w:val="24"/>
          <w:szCs w:val="24"/>
          <w:highlight w:val="none"/>
          <w:u w:val="single"/>
          <w:lang w:val="en-US" w:eastAsia="zh-CN"/>
        </w:rPr>
      </w:pPr>
      <w:r>
        <w:rPr>
          <w:rFonts w:hint="eastAsia" w:ascii="宋体" w:hAnsi="宋体" w:eastAsia="宋体" w:cs="宋体"/>
          <w:b/>
          <w:bCs/>
          <w:i/>
          <w:iCs/>
          <w:caps w:val="0"/>
          <w:spacing w:val="0"/>
          <w:sz w:val="24"/>
          <w:szCs w:val="24"/>
          <w:highlight w:val="none"/>
          <w:u w:val="single"/>
          <w:lang w:val="en-US" w:eastAsia="zh-CN"/>
        </w:rPr>
        <w:t xml:space="preserve">7.中标后七个工作日内，</w:t>
      </w:r>
      <w:r>
        <w:rPr>
          <w:rFonts w:hint="eastAsia" w:ascii="宋体" w:hAnsi="宋体" w:eastAsia="宋体" w:cs="宋体"/>
          <w:b/>
          <w:bCs/>
          <w:i/>
          <w:iCs/>
          <w:spacing w:val="-5"/>
          <w:sz w:val="24"/>
          <w:u w:val="single"/>
          <w:lang w:eastAsia="zh-CN"/>
        </w:rPr>
        <w:t xml:space="preserve">中标</w:t>
      </w:r>
      <w:r>
        <w:rPr>
          <w:rFonts w:hint="eastAsia" w:ascii="宋体" w:hAnsi="宋体" w:eastAsia="宋体" w:cs="宋体"/>
          <w:b/>
          <w:bCs/>
          <w:i/>
          <w:iCs/>
          <w:spacing w:val="-5"/>
          <w:sz w:val="24"/>
          <w:u w:val="single"/>
          <w:lang w:val="en-US" w:eastAsia="zh-CN"/>
        </w:rPr>
        <w:t xml:space="preserve">供应商</w:t>
      </w:r>
      <w:r>
        <w:rPr>
          <w:rFonts w:hint="eastAsia" w:ascii="宋体" w:hAnsi="宋体" w:eastAsia="宋体" w:cs="宋体"/>
          <w:b/>
          <w:bCs/>
          <w:i/>
          <w:iCs/>
          <w:spacing w:val="-5"/>
          <w:sz w:val="24"/>
          <w:u w:val="single"/>
          <w:lang w:eastAsia="zh-CN"/>
        </w:rPr>
        <w:t xml:space="preserve">需根据</w:t>
      </w:r>
      <w:r>
        <w:rPr>
          <w:rFonts w:hint="eastAsia" w:ascii="宋体" w:hAnsi="宋体" w:eastAsia="宋体" w:cs="宋体"/>
          <w:b/>
          <w:bCs/>
          <w:i/>
          <w:iCs/>
          <w:spacing w:val="-5"/>
          <w:sz w:val="24"/>
          <w:u w:val="single"/>
          <w:lang w:val="en-US" w:eastAsia="zh-CN"/>
        </w:rPr>
        <w:t xml:space="preserve">采购人</w:t>
      </w:r>
      <w:r>
        <w:rPr>
          <w:rFonts w:hint="eastAsia" w:ascii="宋体" w:hAnsi="宋体" w:eastAsia="宋体" w:cs="宋体"/>
          <w:b/>
          <w:bCs/>
          <w:i/>
          <w:iCs/>
          <w:spacing w:val="-5"/>
          <w:sz w:val="24"/>
          <w:u w:val="single"/>
          <w:lang w:eastAsia="zh-CN"/>
        </w:rPr>
        <w:t xml:space="preserve">要求提供相关</w:t>
      </w:r>
      <w:r>
        <w:rPr>
          <w:rFonts w:hint="eastAsia" w:ascii="宋体" w:hAnsi="宋体" w:cs="宋体"/>
          <w:b/>
          <w:bCs/>
          <w:i/>
          <w:iCs/>
          <w:spacing w:val="-5"/>
          <w:sz w:val="24"/>
          <w:u w:val="single"/>
          <w:lang w:val="en-US" w:eastAsia="zh-CN"/>
        </w:rPr>
        <w:t xml:space="preserve">软件</w:t>
      </w:r>
      <w:r>
        <w:rPr>
          <w:rFonts w:hint="eastAsia" w:ascii="宋体" w:hAnsi="宋体" w:eastAsia="宋体" w:cs="宋体"/>
          <w:b/>
          <w:bCs/>
          <w:i/>
          <w:iCs/>
          <w:spacing w:val="-5"/>
          <w:sz w:val="24"/>
          <w:u w:val="single"/>
          <w:lang w:eastAsia="zh-CN"/>
        </w:rPr>
        <w:t xml:space="preserve">功能</w:t>
      </w:r>
      <w:r>
        <w:rPr>
          <w:rFonts w:hint="eastAsia" w:ascii="宋体" w:hAnsi="宋体" w:cs="宋体"/>
          <w:b/>
          <w:bCs/>
          <w:i/>
          <w:iCs/>
          <w:spacing w:val="-5"/>
          <w:sz w:val="24"/>
          <w:u w:val="single"/>
          <w:lang w:val="en-US" w:eastAsia="zh-CN"/>
        </w:rPr>
        <w:t xml:space="preserve">测试</w:t>
      </w:r>
      <w:r>
        <w:rPr>
          <w:rFonts w:hint="eastAsia" w:ascii="宋体" w:hAnsi="宋体" w:eastAsia="宋体" w:cs="宋体"/>
          <w:b/>
          <w:bCs/>
          <w:i/>
          <w:iCs/>
          <w:spacing w:val="-5"/>
          <w:sz w:val="24"/>
          <w:u w:val="single"/>
          <w:lang w:val="en-US" w:eastAsia="zh-CN"/>
        </w:rPr>
        <w:t xml:space="preserve">和系统演示真实视频</w:t>
      </w:r>
      <w:r>
        <w:rPr>
          <w:rFonts w:hint="eastAsia" w:ascii="宋体" w:hAnsi="宋体" w:eastAsia="宋体" w:cs="宋体"/>
          <w:b/>
          <w:bCs/>
          <w:i/>
          <w:iCs/>
          <w:spacing w:val="-5"/>
          <w:sz w:val="24"/>
          <w:u w:val="single"/>
          <w:lang w:eastAsia="zh-CN"/>
        </w:rPr>
        <w:t xml:space="preserve">供</w:t>
      </w:r>
      <w:r>
        <w:rPr>
          <w:rFonts w:hint="eastAsia" w:ascii="宋体" w:hAnsi="宋体" w:eastAsia="宋体" w:cs="宋体"/>
          <w:b/>
          <w:bCs/>
          <w:i/>
          <w:iCs/>
          <w:spacing w:val="-5"/>
          <w:sz w:val="24"/>
          <w:u w:val="single"/>
          <w:lang w:val="en-US" w:eastAsia="zh-CN"/>
        </w:rPr>
        <w:t xml:space="preserve">采购人</w:t>
      </w:r>
      <w:r>
        <w:rPr>
          <w:rFonts w:hint="eastAsia" w:ascii="宋体" w:hAnsi="宋体" w:cs="宋体"/>
          <w:b/>
          <w:bCs/>
          <w:i/>
          <w:iCs/>
          <w:spacing w:val="-5"/>
          <w:sz w:val="24"/>
          <w:u w:val="single"/>
          <w:lang w:val="en-US" w:eastAsia="zh-CN"/>
        </w:rPr>
        <w:t xml:space="preserve">核查</w:t>
      </w:r>
      <w:r>
        <w:rPr>
          <w:rFonts w:hint="eastAsia" w:ascii="宋体" w:hAnsi="宋体" w:eastAsia="宋体" w:cs="宋体"/>
          <w:b/>
          <w:bCs/>
          <w:i/>
          <w:iCs/>
          <w:spacing w:val="-5"/>
          <w:sz w:val="24"/>
          <w:u w:val="single"/>
          <w:lang w:eastAsia="zh-CN"/>
        </w:rPr>
        <w:t xml:space="preserve">。</w:t>
      </w:r>
      <w:r/>
    </w:p>
    <w:p>
      <w:pPr>
        <w:pStyle w:val="743"/>
        <w:ind w:left="0" w:firstLine="482"/>
        <w:keepLines w:val="0"/>
        <w:keepNext w:val="0"/>
        <w:pageBreakBefore w:val="0"/>
        <w:spacing w:line="440" w:lineRule="exact"/>
        <w:widowControl w:val="off"/>
        <w:rPr>
          <w:rFonts w:hint="eastAsia" w:ascii="宋体" w:hAnsi="宋体" w:eastAsia="宋体" w:cs="宋体"/>
          <w:b/>
          <w:bCs w:val="0"/>
          <w:i/>
          <w:iCs w:val="0"/>
          <w:color w:val="0000ff"/>
          <w:sz w:val="24"/>
          <w:szCs w:val="24"/>
          <w:highlight w:val="none"/>
          <w:u w:val="single"/>
          <w:lang w:val="en-US" w:eastAsia="zh-CN"/>
        </w:rPr>
      </w:pPr>
      <w:r>
        <w:rPr>
          <w:rFonts w:hint="eastAsia" w:ascii="宋体" w:hAnsi="宋体" w:eastAsia="宋体" w:cs="宋体"/>
          <w:b/>
          <w:bCs w:val="0"/>
          <w:i/>
          <w:iCs w:val="0"/>
          <w:color w:val="0000ff"/>
          <w:sz w:val="24"/>
          <w:szCs w:val="24"/>
          <w:highlight w:val="none"/>
          <w:u w:val="single"/>
          <w:lang w:val="en-US" w:eastAsia="zh-CN"/>
        </w:rPr>
        <w:t xml:space="preserve">注：本招标文件中斜体且有下划线部分均为实质性要求和条件。对任何一条实质性要求条款的负偏离，都将导致其投标被视为无效。</w:t>
      </w:r>
      <w:r/>
    </w:p>
    <w:p>
      <w:pPr>
        <w:pStyle w:val="743"/>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rPr>
      </w:pPr>
      <w:r>
        <w:rPr>
          <w:rFonts w:hint="eastAsia" w:ascii="宋体" w:hAnsi="宋体" w:eastAsia="宋体" w:cs="宋体"/>
          <w:b/>
          <w:bCs/>
          <w:i w:val="0"/>
          <w:iCs w:val="0"/>
          <w:caps w:val="0"/>
          <w:spacing w:val="0"/>
          <w:sz w:val="24"/>
          <w:szCs w:val="24"/>
          <w:lang w:val="en-US" w:eastAsia="zh-CN"/>
        </w:rPr>
        <w:t xml:space="preserve">五</w:t>
      </w:r>
      <w:r>
        <w:rPr>
          <w:rFonts w:hint="eastAsia" w:ascii="宋体" w:hAnsi="宋体" w:eastAsia="宋体" w:cs="宋体"/>
          <w:b/>
          <w:bCs/>
          <w:i w:val="0"/>
          <w:iCs w:val="0"/>
          <w:caps w:val="0"/>
          <w:spacing w:val="0"/>
          <w:sz w:val="24"/>
          <w:szCs w:val="24"/>
        </w:rPr>
        <w:t xml:space="preserve">、现场踏勘</w:t>
      </w:r>
      <w:r/>
    </w:p>
    <w:p>
      <w:pPr>
        <w:pStyle w:val="743"/>
        <w:ind w:left="0" w:firstLine="480"/>
        <w:keepLines w:val="0"/>
        <w:keepNext w:val="0"/>
        <w:pageBreakBefore w:val="0"/>
        <w:spacing w:line="480" w:lineRule="exact"/>
        <w:widowControl w:val="off"/>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rPr>
        <w:t xml:space="preserve">供应商应在报价前充分了解项目现场条件及所有可能影响成本和实施的因素。鼓励供应商自行进行现场踏勘。踏勘现场所发生的一切费用及人身财产安全责任，均由供应商自行承担。供应商未踏勘现场，将被视为已充分了解并接受所有现场条件与风险，成交后不得因此提出任何费用或工期索赔。 </w:t>
      </w:r>
      <w:r/>
    </w:p>
    <w:p>
      <w:pPr>
        <w:pStyle w:val="743"/>
        <w:ind w:left="0" w:firstLine="482"/>
        <w:keepLines w:val="0"/>
        <w:keepNext w:val="0"/>
        <w:pageBreakBefore w:val="0"/>
        <w:spacing w:line="480" w:lineRule="exact"/>
        <w:widowControl w:val="off"/>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lang w:val="en-US" w:eastAsia="zh-CN"/>
          <w14:textFill>
            <w14:solidFill>
              <w14:schemeClr w14:val="tx1"/>
            </w14:solidFill>
          </w14:textFill>
        </w:rPr>
        <w:t xml:space="preserve">六</w:t>
      </w:r>
      <w:r>
        <w:rPr>
          <w:rFonts w:hint="eastAsia" w:ascii="宋体" w:hAnsi="宋体" w:eastAsia="宋体" w:cs="宋体"/>
          <w:b/>
          <w:bCs/>
          <w:i w:val="0"/>
          <w:iCs w:val="0"/>
          <w:caps w:val="0"/>
          <w:color w:val="000000" w:themeColor="text1"/>
          <w:spacing w:val="0"/>
          <w:sz w:val="24"/>
          <w:szCs w:val="24"/>
          <w14:textFill>
            <w14:solidFill>
              <w14:schemeClr w14:val="tx1"/>
            </w14:solidFill>
          </w14:textFill>
        </w:rPr>
        <w:t xml:space="preserve">、</w:t>
      </w:r>
      <w:r>
        <w:rPr>
          <w:rFonts w:hint="eastAsia" w:ascii="宋体" w:hAnsi="宋体" w:cs="宋体"/>
          <w:b/>
          <w:bCs/>
          <w:i/>
          <w:iCs/>
          <w:sz w:val="24"/>
          <w:szCs w:val="24"/>
          <w:u w:val="single"/>
          <w:lang w:eastAsia="zh-CN"/>
        </w:rPr>
        <w:t xml:space="preserve">本项目</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不接受</w:t>
      </w:r>
      <w:r>
        <w:rPr>
          <w:rFonts w:hint="eastAsia" w:ascii="宋体" w:hAnsi="宋体" w:cs="宋体"/>
          <w:b/>
          <w:bCs/>
          <w:i/>
          <w:iCs/>
          <w:sz w:val="24"/>
          <w:szCs w:val="24"/>
          <w:u w:val="single"/>
          <w:lang w:val="en-US" w:eastAsia="zh-CN"/>
        </w:rPr>
        <w:t xml:space="preserve"> </w:t>
      </w:r>
      <w:r>
        <w:rPr>
          <w:rFonts w:hint="eastAsia" w:ascii="宋体" w:hAnsi="宋体" w:cs="宋体"/>
          <w:b/>
          <w:bCs/>
          <w:i/>
          <w:iCs/>
          <w:sz w:val="24"/>
          <w:szCs w:val="24"/>
          <w:u w:val="single"/>
          <w:lang w:eastAsia="zh-CN"/>
        </w:rPr>
        <w:t xml:space="preserve">进口产品投标</w:t>
      </w:r>
      <w:r>
        <w:rPr>
          <w:rFonts w:hint="eastAsia" w:ascii="宋体" w:hAnsi="宋体" w:cs="宋体"/>
          <w:b/>
          <w:bCs/>
          <w:sz w:val="24"/>
          <w:szCs w:val="24"/>
          <w:lang w:eastAsia="zh-CN"/>
        </w:rPr>
        <w:t xml:space="preserve">。</w:t>
      </w:r>
      <w:r/>
    </w:p>
    <w:p>
      <w:pPr>
        <w:ind w:firstLine="480"/>
        <w:jc w:val="left"/>
        <w:spacing w:line="440" w:lineRule="exact"/>
        <w:widowControl/>
        <w:tabs>
          <w:tab w:val="left" w:pos="5250" w:leader="none"/>
        </w:tabs>
        <w:rPr>
          <w:rFonts w:hint="eastAsia" w:ascii="宋体" w:hAnsi="宋体" w:eastAsia="宋体" w:cs="宋体"/>
          <w:b/>
          <w:bCs/>
          <w:sz w:val="24"/>
          <w:szCs w:val="24"/>
          <w:u w:val="none"/>
          <w:lang w:val="en-US" w:eastAsia="zh-CN"/>
        </w:rPr>
      </w:pPr>
      <w:r>
        <w:rPr>
          <w:rFonts w:hint="eastAsia" w:ascii="宋体" w:hAnsi="宋体" w:eastAsia="宋体" w:cs="宋体"/>
          <w:b/>
          <w:bCs/>
          <w:i w:val="0"/>
          <w:iCs w:val="0"/>
          <w:caps w:val="0"/>
          <w:spacing w:val="0"/>
          <w:sz w:val="24"/>
          <w:szCs w:val="24"/>
          <w:lang w:val="en-US" w:eastAsia="zh-CN"/>
        </w:rPr>
        <w:t xml:space="preserve">七</w:t>
      </w:r>
      <w:r>
        <w:rPr>
          <w:rFonts w:hint="eastAsia" w:ascii="宋体" w:hAnsi="宋体" w:eastAsia="宋体" w:cs="宋体"/>
          <w:b/>
          <w:bCs/>
          <w:i w:val="0"/>
          <w:iCs w:val="0"/>
          <w:caps w:val="0"/>
          <w:spacing w:val="0"/>
          <w:sz w:val="24"/>
          <w:szCs w:val="24"/>
        </w:rPr>
        <w:t xml:space="preserve">、</w:t>
      </w:r>
      <w:r>
        <w:rPr>
          <w:rFonts w:hint="eastAsia" w:ascii="宋体" w:hAnsi="宋体" w:eastAsia="宋体" w:cs="宋体"/>
          <w:b/>
          <w:bCs/>
          <w:sz w:val="24"/>
          <w:szCs w:val="24"/>
          <w:u w:val="none"/>
          <w:lang w:val="en-US" w:eastAsia="zh-CN"/>
        </w:rPr>
        <w:t xml:space="preserve">其他要求</w:t>
      </w:r>
      <w:r/>
    </w:p>
    <w:p>
      <w:pPr>
        <w:ind w:firstLine="482"/>
        <w:jc w:val="left"/>
        <w:keepLines w:val="0"/>
        <w:keepNext w:val="0"/>
        <w:pageBreakBefore w:val="0"/>
        <w:spacing w:line="440" w:lineRule="exact"/>
        <w:widowControl w:val="off"/>
        <w:rPr>
          <w:rFonts w:hint="eastAsia" w:ascii="宋体" w:hAnsi="宋体"/>
          <w:bCs/>
          <w:color w:val="000000"/>
          <w:sz w:val="24"/>
          <w:lang w:val="en-US" w:eastAsia="zh-CN"/>
        </w:rPr>
      </w:pPr>
      <w:r>
        <w:rPr>
          <w:rFonts w:hint="eastAsia" w:ascii="宋体" w:hAnsi="宋体"/>
          <w:b/>
          <w:bCs w:val="0"/>
          <w:color w:val="000000"/>
          <w:sz w:val="24"/>
          <w:lang w:val="en-US" w:eastAsia="zh-CN"/>
        </w:rPr>
        <w:t xml:space="preserve">（一）</w:t>
      </w:r>
      <w:r>
        <w:rPr>
          <w:rFonts w:hint="eastAsia" w:ascii="宋体" w:hAnsi="宋体"/>
          <w:bCs/>
          <w:color w:val="000000"/>
          <w:sz w:val="24"/>
          <w:lang w:val="en-US" w:eastAsia="zh-CN"/>
        </w:rPr>
        <w:t xml:space="preserve">投标人提供自2022年1月1日以来（以合同签订时间为准）承担的类似项目业绩（</w:t>
      </w:r>
      <w:r>
        <w:rPr>
          <w:rFonts w:hint="eastAsia" w:ascii="宋体" w:hAnsi="宋体"/>
          <w:bCs/>
          <w:color w:val="000000"/>
          <w:sz w:val="24"/>
          <w:highlight w:val="none"/>
          <w:lang w:val="en-US" w:eastAsia="zh-CN"/>
        </w:rPr>
        <w:t xml:space="preserve">类似项目指包含以下一项或多项内容的项目：</w:t>
      </w:r>
      <w:r>
        <w:rPr>
          <w:rFonts w:hint="eastAsia" w:ascii="宋体" w:hAnsi="宋体"/>
          <w:bCs/>
          <w:color w:val="000000"/>
          <w:sz w:val="24"/>
          <w:lang w:val="en-US" w:eastAsia="zh-CN"/>
        </w:rPr>
        <w:t xml:space="preserve">智慧健康养老、康复护理、医疗服务等领域的系统集成或信息化平台建设；职业院校、高等院校、公共实训基地中的实训中心、一体化学习工作站、智慧教室的建设或系统集成；或数字民生、健康服务领域的综合性技术集成与应用项目）</w:t>
      </w:r>
      <w:r>
        <w:rPr>
          <w:rFonts w:hint="eastAsia" w:ascii="宋体" w:hAnsi="宋体"/>
          <w:bCs/>
          <w:color w:val="0000ff"/>
          <w:sz w:val="24"/>
          <w:lang w:val="en-US" w:eastAsia="zh-CN"/>
        </w:rPr>
        <w:t xml:space="preserve">的</w:t>
      </w:r>
      <w:r>
        <w:rPr>
          <w:rFonts w:hint="eastAsia" w:ascii="宋体" w:hAnsi="宋体"/>
          <w:b/>
          <w:bCs w:val="0"/>
          <w:color w:val="0000ff"/>
          <w:sz w:val="24"/>
          <w:lang w:val="en-US" w:eastAsia="zh-CN"/>
        </w:rPr>
        <w:t xml:space="preserve">优先</w:t>
      </w:r>
      <w:r>
        <w:rPr>
          <w:rFonts w:hint="eastAsia" w:ascii="宋体" w:hAnsi="宋体"/>
          <w:bCs/>
          <w:color w:val="0000ff"/>
          <w:sz w:val="24"/>
          <w:lang w:val="en-US" w:eastAsia="zh-CN"/>
        </w:rPr>
        <w:t xml:space="preserve">。</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（二）</w:t>
      </w:r>
      <w:r>
        <w:rPr>
          <w:rFonts w:hint="eastAsia" w:ascii="宋体" w:hAnsi="宋体"/>
          <w:bCs/>
          <w:color w:val="000000"/>
          <w:sz w:val="24"/>
          <w:lang w:val="en"/>
        </w:rPr>
        <w:t xml:space="preserve">投标产品属于财政部、国家发改委公布的“节能产品品目清单”范围内</w:t>
      </w:r>
      <w:r>
        <w:rPr>
          <w:rFonts w:hint="eastAsia" w:ascii="宋体" w:hAnsi="宋体"/>
          <w:bCs/>
          <w:color w:val="0000ff"/>
          <w:sz w:val="24"/>
          <w:lang w:val="en"/>
        </w:rPr>
        <w:t xml:space="preserve">的</w:t>
      </w:r>
      <w:r>
        <w:rPr>
          <w:rFonts w:hint="eastAsia" w:ascii="宋体" w:hAnsi="宋体"/>
          <w:b/>
          <w:bCs w:val="0"/>
          <w:color w:val="0000ff"/>
          <w:sz w:val="24"/>
          <w:lang w:val="en"/>
        </w:rPr>
        <w:t xml:space="preserve">优先</w:t>
      </w:r>
      <w:r>
        <w:rPr>
          <w:rFonts w:hint="eastAsia" w:ascii="宋体" w:hAnsi="宋体"/>
          <w:bCs/>
          <w:color w:val="000000"/>
          <w:sz w:val="24"/>
          <w:lang w:val="en"/>
        </w:rPr>
        <w:t xml:space="preserve">；投标产品属于财政部、生态环境部公布的“环境标志产品品目清单”范围内</w:t>
      </w:r>
      <w:r>
        <w:rPr>
          <w:rFonts w:hint="eastAsia" w:ascii="宋体" w:hAnsi="宋体"/>
          <w:bCs/>
          <w:color w:val="0000ff"/>
          <w:sz w:val="24"/>
          <w:lang w:val="en"/>
        </w:rPr>
        <w:t xml:space="preserve">的</w:t>
      </w:r>
      <w:r>
        <w:rPr>
          <w:rFonts w:hint="eastAsia" w:ascii="宋体" w:hAnsi="宋体"/>
          <w:b/>
          <w:bCs w:val="0"/>
          <w:color w:val="0000ff"/>
          <w:sz w:val="24"/>
          <w:lang w:val="en"/>
        </w:rPr>
        <w:t xml:space="preserve">优先</w:t>
      </w:r>
      <w:r>
        <w:rPr>
          <w:rFonts w:hint="eastAsia" w:ascii="宋体" w:hAnsi="宋体"/>
          <w:bCs/>
          <w:color w:val="000000"/>
          <w:sz w:val="24"/>
          <w:lang w:val="en"/>
        </w:rPr>
        <w:t xml:space="preserve">。</w:t>
      </w:r>
      <w:r/>
    </w:p>
    <w:p>
      <w:pPr>
        <w:ind w:firstLine="482"/>
        <w:jc w:val="left"/>
        <w:keepLines w:val="0"/>
        <w:keepNext w:val="0"/>
        <w:pageBreakBefore w:val="0"/>
        <w:spacing w:line="480" w:lineRule="exact"/>
        <w:widowControl/>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（三）</w:t>
      </w:r>
      <w:r>
        <w:rPr>
          <w:rFonts w:hint="eastAsia" w:ascii="宋体" w:hAnsi="宋体"/>
          <w:bCs/>
          <w:color w:val="000000"/>
          <w:sz w:val="24"/>
          <w:lang w:val="en-US" w:eastAsia="zh-CN"/>
        </w:rPr>
        <w:t xml:space="preserve">供应商提供的货物及软件免费质保期不低于3年（自最终验收合格之日起计算），在此基础上额外增加免费质保年限</w:t>
      </w:r>
      <w:r>
        <w:rPr>
          <w:rFonts w:hint="eastAsia" w:ascii="宋体" w:hAnsi="宋体" w:eastAsia="宋体" w:cs="宋体"/>
          <w:color w:val="0000ff"/>
          <w:sz w:val="24"/>
          <w:szCs w:val="22"/>
          <w:lang w:val="en-US" w:eastAsia="zh-CN" w:bidi="ar-SA"/>
        </w:rPr>
        <w:t xml:space="preserve">的</w:t>
      </w:r>
      <w:r>
        <w:rPr>
          <w:rFonts w:hint="eastAsia" w:ascii="宋体" w:hAnsi="宋体" w:eastAsia="宋体" w:cs="宋体"/>
          <w:b/>
          <w:bCs/>
          <w:color w:val="0000ff"/>
          <w:sz w:val="24"/>
          <w:szCs w:val="22"/>
          <w:lang w:val="en-US" w:eastAsia="zh-CN" w:bidi="ar-SA"/>
        </w:rPr>
        <w:t xml:space="preserve">优先</w:t>
      </w:r>
      <w:r>
        <w:rPr>
          <w:rFonts w:hint="eastAsia" w:ascii="宋体" w:hAnsi="宋体" w:eastAsia="宋体" w:cs="宋体"/>
          <w:b w:val="0"/>
          <w:bCs w:val="0"/>
          <w:color w:val="auto"/>
          <w:sz w:val="24"/>
          <w:szCs w:val="22"/>
          <w:lang w:val="en-US" w:eastAsia="zh-CN" w:bidi="ar-SA"/>
        </w:rPr>
        <w:t xml:space="preserve">。</w:t>
      </w:r>
      <w:r/>
    </w:p>
    <w:p>
      <w:pPr>
        <w:ind w:firstLine="482"/>
        <w:jc w:val="left"/>
        <w:keepLines w:val="0"/>
        <w:keepNext w:val="0"/>
        <w:pageBreakBefore w:val="0"/>
        <w:spacing w:line="480" w:lineRule="exact"/>
        <w:widowControl w:val="off"/>
        <w:rPr>
          <w:rFonts w:hint="eastAsia" w:ascii="宋体" w:hAnsi="宋体" w:eastAsia="宋体" w:cs="宋体"/>
          <w:color w:val="0000ff"/>
          <w:sz w:val="24"/>
          <w:szCs w:val="22"/>
          <w:lang w:val="en-US" w:eastAsia="zh-CN" w:bidi="ar-SA"/>
        </w:rPr>
      </w:pPr>
      <w:r>
        <w:rPr>
          <w:rFonts w:hint="eastAsia" w:ascii="宋体" w:hAnsi="宋体" w:eastAsia="宋体" w:cs="宋体"/>
          <w:b/>
          <w:bCs/>
          <w:color w:val="0000ff"/>
          <w:sz w:val="24"/>
          <w:szCs w:val="22"/>
          <w:lang w:val="en-US" w:eastAsia="zh-CN" w:bidi="ar-SA"/>
        </w:rPr>
        <w:t xml:space="preserve">（四）项目实施及售后服务方案</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投标人须结合本项目设备清单及“评估-康复-照护-居家”四大核心场景，制定详尽、可行、专业化的综合性技术方案。方案应充分体现其在智慧医养领域的项目实施经验、技术整合能力与服务保障体系，内容应具体、可操作、可评估，至少应包含以下内容：</w:t>
      </w:r>
      <w:r/>
    </w:p>
    <w:p>
      <w:pPr>
        <w:pStyle w:val="731"/>
        <w:ind w:left="0" w:right="0" w:firstLine="482"/>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Style w:val="737"/>
          <w:rFonts w:hint="eastAsia" w:ascii="宋体" w:hAnsi="宋体" w:eastAsia="宋体" w:cs="宋体"/>
          <w:b/>
          <w:bCs/>
          <w:i w:val="0"/>
          <w:iCs w:val="0"/>
          <w:caps w:val="0"/>
          <w:color w:val="0f1115"/>
          <w:spacing w:val="0"/>
          <w:sz w:val="24"/>
          <w:szCs w:val="24"/>
          <w:shd w:val="clear" w:color="auto" w:fill="ffffff"/>
        </w:rPr>
        <w:t xml:space="preserve">1、安装、调试及验收方案</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方案应提供一套完整、系统、可追溯的项目交付管理体系，确保所有设备在采购人要求的工期内安全、合规、高效地部署至指定场景并实现稳定、协同运行。内容至少应包含：</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（1）</w:t>
      </w:r>
      <w:r>
        <w:rPr>
          <w:rStyle w:val="737"/>
          <w:rFonts w:hint="eastAsia" w:ascii="宋体" w:hAnsi="宋体" w:eastAsia="宋体" w:cs="宋体"/>
          <w:b/>
          <w:bCs/>
          <w:i w:val="0"/>
          <w:iCs w:val="0"/>
          <w:caps w:val="0"/>
          <w:color w:val="0f1115"/>
          <w:spacing w:val="0"/>
          <w:sz w:val="24"/>
          <w:szCs w:val="24"/>
          <w:shd w:val="clear" w:color="auto" w:fill="ffffff"/>
        </w:rPr>
        <w:t xml:space="preserve">安装计划</w:t>
      </w:r>
      <w:r/>
    </w:p>
    <w:p>
      <w:pPr>
        <w:pStyle w:val="731"/>
        <w:numPr>
          <w:ilvl w:val="0"/>
          <w:numId w:val="8"/>
        </w:numPr>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阐述针对大型康复设备、智能系统</w:t>
      </w:r>
      <w:r>
        <w:rPr>
          <w:rFonts w:hint="eastAsia" w:ascii="宋体" w:hAnsi="宋体" w:eastAsia="宋体" w:cs="宋体"/>
          <w:i w:val="0"/>
          <w:iCs w:val="0"/>
          <w:caps w:val="0"/>
          <w:color w:val="0f1115"/>
          <w:spacing w:val="0"/>
          <w:sz w:val="24"/>
          <w:szCs w:val="24"/>
          <w:shd w:val="clear" w:color="auto" w:fill="ffffff"/>
          <w:lang w:val="en-US" w:eastAsia="zh-CN"/>
        </w:rPr>
        <w:t xml:space="preserve">及</w:t>
      </w:r>
      <w:r>
        <w:rPr>
          <w:rFonts w:hint="eastAsia" w:ascii="宋体" w:hAnsi="宋体" w:eastAsia="宋体" w:cs="宋体"/>
          <w:i w:val="0"/>
          <w:iCs w:val="0"/>
          <w:caps w:val="0"/>
          <w:color w:val="0f1115"/>
          <w:spacing w:val="0"/>
          <w:sz w:val="24"/>
          <w:szCs w:val="24"/>
          <w:shd w:val="clear" w:color="auto" w:fill="ffffff"/>
        </w:rPr>
        <w:t xml:space="preserve">物联终端等不同类别设备的专业化部署策略，至少应包含空间与环境适配（如承重评估、电力改造、网络布线、无障碍通道预留）、设备安装固定方式（如螺栓固定、墙面悬挂、地面平整）及安全防护措施（如防撞、防滑、漏电保护）。</w:t>
      </w:r>
      <w:r/>
    </w:p>
    <w:p>
      <w:pPr>
        <w:pStyle w:val="731"/>
        <w:numPr>
          <w:ilvl w:val="0"/>
          <w:numId w:val="8"/>
        </w:numPr>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提供与总工期相匹配的详细项目实施进度表，采用甘特图或类似工具，明确从现场勘查、设备进场、安装实施到系统联调等关键环节的时间节点、责任人及并行推进策略。</w:t>
      </w:r>
      <w:r/>
    </w:p>
    <w:p>
      <w:pPr>
        <w:pStyle w:val="731"/>
        <w:numPr>
          <w:ilvl w:val="0"/>
          <w:numId w:val="8"/>
        </w:numPr>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同时，清晰列出需要采购人提供的必要配合条件，如场地准备、电力扩容、网络接入点、人员协调等。</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（2）</w:t>
      </w:r>
      <w:r>
        <w:rPr>
          <w:rStyle w:val="737"/>
          <w:rFonts w:hint="eastAsia" w:ascii="宋体" w:hAnsi="宋体" w:eastAsia="宋体" w:cs="宋体"/>
          <w:b/>
          <w:bCs/>
          <w:i w:val="0"/>
          <w:iCs w:val="0"/>
          <w:caps w:val="0"/>
          <w:color w:val="0f1115"/>
          <w:spacing w:val="0"/>
          <w:sz w:val="24"/>
          <w:szCs w:val="24"/>
          <w:shd w:val="clear" w:color="auto" w:fill="ffffff"/>
        </w:rPr>
        <w:t xml:space="preserve">人员配置</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说明为保障项目顺利实施与后续维护所配备的团队架构，至少应包含：</w:t>
      </w:r>
      <w:r/>
    </w:p>
    <w:p>
      <w:pPr>
        <w:pStyle w:val="923"/>
        <w:numPr>
          <w:ilvl w:val="0"/>
          <w:numId w:val="9"/>
        </w:numPr>
        <w:ind w:left="0" w:firstLine="480"/>
        <w:keepLines w:val="0"/>
        <w:keepNext w:val="0"/>
        <w:pageBreakBefore w:val="0"/>
        <w:spacing w:before="0" w:after="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项目经理（1名）：需具备智慧医养项目管理经验，主导过同类项目；负责统筹实施、资源协调、进度汇报及纠纷处理。</w:t>
      </w:r>
      <w:r/>
    </w:p>
    <w:p>
      <w:pPr>
        <w:pStyle w:val="923"/>
        <w:numPr>
          <w:ilvl w:val="0"/>
          <w:numId w:val="9"/>
        </w:numPr>
        <w:ind w:left="0" w:firstLine="480"/>
        <w:keepLines w:val="0"/>
        <w:keepNext w:val="0"/>
        <w:pageBreakBefore w:val="0"/>
        <w:spacing w:before="0" w:after="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技术负责人（1名）：需具备智能设备研发经验，熟悉医养设备软硬件架构；负责技术方案优化、难题解决及技术文档审核。</w:t>
      </w:r>
      <w:r/>
    </w:p>
    <w:p>
      <w:pPr>
        <w:pStyle w:val="923"/>
        <w:numPr>
          <w:ilvl w:val="0"/>
          <w:numId w:val="9"/>
        </w:numPr>
        <w:ind w:left="0" w:firstLine="480"/>
        <w:keepLines w:val="0"/>
        <w:keepNext w:val="0"/>
        <w:pageBreakBefore w:val="0"/>
        <w:spacing w:before="0" w:after="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硬件工程师（≥1名）：具备医养设备安装调试经验；负责设备安装、单机调试及硬件故障排查。</w:t>
      </w:r>
      <w:r/>
    </w:p>
    <w:p>
      <w:pPr>
        <w:pStyle w:val="923"/>
        <w:numPr>
          <w:ilvl w:val="0"/>
          <w:numId w:val="9"/>
        </w:numPr>
        <w:ind w:left="0" w:firstLine="480"/>
        <w:keepLines w:val="0"/>
        <w:keepNext w:val="0"/>
        <w:pageBreakBefore w:val="0"/>
        <w:spacing w:before="0" w:after="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软件工程师（≥1名）：具备物联网系统集成经验，熟悉Wi-Fi、蓝牙等协议；负责系统安装、联调及软件故障处理。</w:t>
      </w:r>
      <w:r/>
    </w:p>
    <w:p>
      <w:pPr>
        <w:pStyle w:val="923"/>
        <w:numPr>
          <w:ilvl w:val="0"/>
          <w:numId w:val="9"/>
        </w:numPr>
        <w:ind w:left="0" w:firstLine="480"/>
        <w:keepLines w:val="0"/>
        <w:keepNext w:val="0"/>
        <w:pageBreakBefore w:val="0"/>
        <w:spacing w:before="0" w:after="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安全员（1名）：具备安全管理经验；负责制定安全方案、开展岗前培训及现场安全监督。</w:t>
      </w:r>
      <w:r/>
    </w:p>
    <w:p>
      <w:pPr>
        <w:pStyle w:val="923"/>
        <w:numPr>
          <w:ilvl w:val="0"/>
          <w:numId w:val="9"/>
        </w:numPr>
        <w:ind w:left="0" w:firstLine="480"/>
        <w:keepLines w:val="0"/>
        <w:keepNext w:val="0"/>
        <w:pageBreakBefore w:val="0"/>
        <w:spacing w:before="0" w:after="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资料员（1名）：具备档案管理资质，熟悉政府采购资料规范；负责资料收集、分类归档及验收资料汇编。</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需明确各角色在项目各阶段的具体职责、到场时间及联系方式。</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（3）</w:t>
      </w:r>
      <w:r>
        <w:rPr>
          <w:rStyle w:val="737"/>
          <w:rFonts w:hint="eastAsia" w:ascii="宋体" w:hAnsi="宋体" w:eastAsia="宋体" w:cs="宋体"/>
          <w:b/>
          <w:bCs/>
          <w:i w:val="0"/>
          <w:iCs w:val="0"/>
          <w:caps w:val="0"/>
          <w:color w:val="0f1115"/>
          <w:spacing w:val="0"/>
          <w:sz w:val="24"/>
          <w:szCs w:val="24"/>
          <w:shd w:val="clear" w:color="auto" w:fill="ffffff"/>
        </w:rPr>
        <w:t xml:space="preserve">调试方案</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详细说明从单机调试到系统联调的完整流程与方法，至少应涵盖以下层面：</w:t>
      </w:r>
      <w:r/>
    </w:p>
    <w:p>
      <w:pPr>
        <w:pStyle w:val="731"/>
        <w:ind w:left="0" w:right="0" w:firstLine="480"/>
        <w:keepLines w:val="0"/>
        <w:keepNext w:val="0"/>
        <w:pageBreakBefore w:val="0"/>
        <w:spacing w:beforeAutospacing="0" w:afterAutospacing="0" w:line="400" w:lineRule="exact"/>
        <w:shd w:val="clear" w:color="auto" w:fill="ffffff"/>
        <w:widowControl w:val="off"/>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① 单机调试：对核心设备（如老年人能力评估系统、上下肢运动康复训练机、大小便护理机器人等）的功能、性能及安全参数进行逐项测试验证，并记录测试数据。</w:t>
      </w:r>
      <w:r/>
    </w:p>
    <w:p>
      <w:pPr>
        <w:pStyle w:val="731"/>
        <w:ind w:left="0" w:right="0" w:firstLine="480"/>
        <w:keepLines w:val="0"/>
        <w:keepNext w:val="0"/>
        <w:pageBreakBefore w:val="0"/>
        <w:spacing w:beforeAutospacing="0" w:afterAutospacing="0" w:line="400" w:lineRule="exact"/>
        <w:shd w:val="clear" w:color="auto" w:fill="ffffff"/>
        <w:widowControl w:val="off"/>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② 系统联调：实现跨设备、跨场景的数据对接与业务逻辑联动，例如健康检测终端与健康管理机器人的数据同步、雷达摔倒探测器与健康陪伴机器人的报警联动、各系统与中央管理平台的接口对接等。</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③ 场景测试：在智慧评估、康复、照护、居家等模拟场景下，进行多设备协同工作的综合测试与优化，确保业务流程连贯、响应及时、用户体验良好。</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（4）</w:t>
      </w:r>
      <w:r>
        <w:rPr>
          <w:rStyle w:val="737"/>
          <w:rFonts w:hint="eastAsia" w:ascii="宋体" w:hAnsi="宋体" w:eastAsia="宋体" w:cs="宋体"/>
          <w:b/>
          <w:bCs/>
          <w:i w:val="0"/>
          <w:iCs w:val="0"/>
          <w:caps w:val="0"/>
          <w:color w:val="0f1115"/>
          <w:spacing w:val="0"/>
          <w:sz w:val="24"/>
          <w:szCs w:val="24"/>
          <w:shd w:val="clear" w:color="auto" w:fill="ffffff"/>
        </w:rPr>
        <w:t xml:space="preserve">验收程序</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提出清晰的、分阶段的验收流程，并明确各阶段的验收依据、参与方、具体内容与合格标准。至少应包含以下三个阶段：</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① 到货验收：设备到场后，由采购人、监理方与供应商共同开箱验货，核对型号、数量、外观及随附资料。</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② 初步验收（调试验收）：设备安装调试完成后，进行功能与性能测试，形成调试报告，双方签字确认。</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③ 最终验收（试运行后）：系统连续稳定试运行不少于30天，期间无重大故障，且完成全部培训与文档移交后，进行最终验收并签署验收报告。</w:t>
      </w:r>
      <w:r/>
    </w:p>
    <w:p>
      <w:pPr>
        <w:pStyle w:val="731"/>
        <w:ind w:left="0" w:right="0" w:firstLine="482"/>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Style w:val="737"/>
          <w:rFonts w:hint="eastAsia" w:ascii="宋体" w:hAnsi="宋体" w:eastAsia="宋体" w:cs="宋体"/>
          <w:b/>
          <w:bCs/>
          <w:i w:val="0"/>
          <w:iCs w:val="0"/>
          <w:caps w:val="0"/>
          <w:color w:val="0f1115"/>
          <w:spacing w:val="0"/>
          <w:sz w:val="24"/>
          <w:szCs w:val="24"/>
          <w:shd w:val="clear" w:color="auto" w:fill="ffffff"/>
        </w:rPr>
        <w:t xml:space="preserve">2、质量保障与应急服务方案</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方案应建立全面、可追溯的质量与服务体系，确保项目交付质量并在售后阶段提供可靠、及时的技术支持与运维保障。内容至少应包含：</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（1）</w:t>
      </w:r>
      <w:r>
        <w:rPr>
          <w:rStyle w:val="737"/>
          <w:rFonts w:hint="eastAsia" w:ascii="宋体" w:hAnsi="宋体" w:eastAsia="宋体" w:cs="宋体"/>
          <w:b/>
          <w:bCs/>
          <w:i w:val="0"/>
          <w:iCs w:val="0"/>
          <w:caps w:val="0"/>
          <w:color w:val="0f1115"/>
          <w:spacing w:val="0"/>
          <w:sz w:val="24"/>
          <w:szCs w:val="24"/>
          <w:shd w:val="clear" w:color="auto" w:fill="ffffff"/>
        </w:rPr>
        <w:t xml:space="preserve">质量目标</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提出可量化、可考核的总体质量目标，至少应包含：设备安装与单机测试合格率≥99%，系统一次性验收通过率≥95%，试运行期间系统故障率≤2%，用户满意度评分≥90分（百分制）。</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（2）</w:t>
      </w:r>
      <w:r>
        <w:rPr>
          <w:rStyle w:val="737"/>
          <w:rFonts w:hint="eastAsia" w:ascii="宋体" w:hAnsi="宋体" w:eastAsia="宋体" w:cs="宋体"/>
          <w:b/>
          <w:bCs/>
          <w:i w:val="0"/>
          <w:iCs w:val="0"/>
          <w:caps w:val="0"/>
          <w:color w:val="0f1115"/>
          <w:spacing w:val="0"/>
          <w:sz w:val="24"/>
          <w:szCs w:val="24"/>
          <w:shd w:val="clear" w:color="auto" w:fill="ffffff"/>
        </w:rPr>
        <w:t xml:space="preserve">管控措施</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阐述在设备采购、到货检验、安装调试、文档管理等全过程所采取的质量控制具体措施，至少应包含：</w:t>
      </w:r>
      <w:r/>
    </w:p>
    <w:p>
      <w:pPr>
        <w:pStyle w:val="731"/>
        <w:numPr>
          <w:ilvl w:val="0"/>
          <w:numId w:val="10"/>
        </w:numPr>
        <w:ind w:left="0" w:right="0" w:firstLine="480"/>
        <w:keepLines w:val="0"/>
        <w:keepNext w:val="0"/>
        <w:pageBreakBefore w:val="0"/>
        <w:spacing w:beforeAutospacing="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核心设备原厂采购承诺，提供设备来源证明；</w:t>
      </w:r>
      <w:r/>
    </w:p>
    <w:p>
      <w:pPr>
        <w:pStyle w:val="731"/>
        <w:numPr>
          <w:ilvl w:val="0"/>
          <w:numId w:val="10"/>
        </w:numPr>
        <w:ind w:left="0" w:right="0"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批量设备到货核查机制，包括批次抽检与全数清点</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731"/>
        <w:numPr>
          <w:ilvl w:val="0"/>
          <w:numId w:val="10"/>
        </w:numPr>
        <w:ind w:left="0" w:right="0" w:firstLine="480"/>
        <w:keepLines w:val="0"/>
        <w:keepNext w:val="0"/>
        <w:pageBreakBefore w:val="0"/>
        <w:spacing w:beforeAutospacing="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关键工序设置质量控制点，如网络布线检测、设备接地测试、软件版本一致性校验等；</w:t>
      </w:r>
      <w:r/>
    </w:p>
    <w:p>
      <w:pPr>
        <w:pStyle w:val="731"/>
        <w:numPr>
          <w:ilvl w:val="0"/>
          <w:numId w:val="10"/>
        </w:numPr>
        <w:ind w:left="0" w:right="0" w:firstLine="480"/>
        <w:keepLines w:val="0"/>
        <w:keepNext w:val="0"/>
        <w:pageBreakBefore w:val="0"/>
        <w:spacing w:beforeAutospacing="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实施过程文档化管理，每日提交施工日志、问题跟踪表。</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（3）</w:t>
      </w:r>
      <w:r>
        <w:rPr>
          <w:rStyle w:val="737"/>
          <w:rFonts w:hint="eastAsia" w:ascii="宋体" w:hAnsi="宋体" w:eastAsia="宋体" w:cs="宋体"/>
          <w:b/>
          <w:bCs/>
          <w:i w:val="0"/>
          <w:iCs w:val="0"/>
          <w:caps w:val="0"/>
          <w:color w:val="0f1115"/>
          <w:spacing w:val="0"/>
          <w:sz w:val="24"/>
          <w:szCs w:val="24"/>
          <w:shd w:val="clear" w:color="auto" w:fill="ffffff"/>
        </w:rPr>
        <w:t xml:space="preserve">产品保证</w:t>
      </w:r>
      <w:r/>
    </w:p>
    <w:p>
      <w:pPr>
        <w:pStyle w:val="731"/>
        <w:numPr>
          <w:ilvl w:val="0"/>
          <w:numId w:val="11"/>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承诺所有设备均为全新正品，符合</w:t>
      </w:r>
      <w:r>
        <w:rPr>
          <w:rFonts w:hint="eastAsia" w:ascii="宋体" w:hAnsi="宋体" w:eastAsia="宋体" w:cs="宋体"/>
          <w:i w:val="0"/>
          <w:iCs w:val="0"/>
          <w:caps w:val="0"/>
          <w:color w:val="0f1115"/>
          <w:spacing w:val="0"/>
          <w:sz w:val="24"/>
          <w:szCs w:val="24"/>
          <w:shd w:val="clear" w:color="auto" w:fill="ffffff"/>
          <w:lang w:val="en-US" w:eastAsia="zh-CN"/>
        </w:rPr>
        <w:t xml:space="preserve">验收</w:t>
      </w:r>
      <w:r>
        <w:rPr>
          <w:rFonts w:hint="eastAsia" w:ascii="宋体" w:hAnsi="宋体" w:eastAsia="宋体" w:cs="宋体"/>
          <w:i w:val="0"/>
          <w:iCs w:val="0"/>
          <w:caps w:val="0"/>
          <w:color w:val="0f1115"/>
          <w:spacing w:val="0"/>
          <w:sz w:val="24"/>
          <w:szCs w:val="24"/>
          <w:shd w:val="clear" w:color="auto" w:fill="ffffff"/>
        </w:rPr>
        <w:t xml:space="preserve">标准，并提供产品合格证等证明文件。</w:t>
      </w:r>
      <w:r/>
    </w:p>
    <w:p>
      <w:pPr>
        <w:pStyle w:val="731"/>
        <w:numPr>
          <w:ilvl w:val="0"/>
          <w:numId w:val="11"/>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对核心产品（如理疗机器人、智能助行机器人）</w:t>
      </w:r>
      <w:r>
        <w:rPr>
          <w:rFonts w:hint="eastAsia" w:ascii="宋体" w:hAnsi="宋体" w:eastAsia="宋体" w:cs="宋体"/>
          <w:i w:val="0"/>
          <w:iCs w:val="0"/>
          <w:caps w:val="0"/>
          <w:color w:val="0f1115"/>
          <w:spacing w:val="0"/>
          <w:sz w:val="24"/>
          <w:szCs w:val="24"/>
          <w:shd w:val="clear" w:color="auto" w:fill="ffffff"/>
          <w:lang w:val="en-US" w:eastAsia="zh-CN"/>
        </w:rPr>
        <w:t xml:space="preserve">承诺中标后</w:t>
      </w:r>
      <w:r>
        <w:rPr>
          <w:rFonts w:hint="eastAsia" w:ascii="宋体" w:hAnsi="宋体" w:eastAsia="宋体" w:cs="宋体"/>
          <w:i w:val="0"/>
          <w:iCs w:val="0"/>
          <w:caps w:val="0"/>
          <w:color w:val="0f1115"/>
          <w:spacing w:val="0"/>
          <w:sz w:val="24"/>
          <w:szCs w:val="24"/>
          <w:shd w:val="clear" w:color="auto" w:fill="ffffff"/>
        </w:rPr>
        <w:t xml:space="preserve">提供原厂质保与售后服务承诺函，并保证其关键性能指标（如评估系统报告生成准确性、康复系统动作捕捉精度、机器人响应时间等）满足招标文件要求。</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（4）</w:t>
      </w:r>
      <w:r>
        <w:rPr>
          <w:rStyle w:val="737"/>
          <w:rFonts w:hint="eastAsia" w:ascii="宋体" w:hAnsi="宋体" w:eastAsia="宋体" w:cs="宋体"/>
          <w:b/>
          <w:bCs/>
          <w:i w:val="0"/>
          <w:iCs w:val="0"/>
          <w:caps w:val="0"/>
          <w:color w:val="0f1115"/>
          <w:spacing w:val="0"/>
          <w:sz w:val="24"/>
          <w:szCs w:val="24"/>
          <w:shd w:val="clear" w:color="auto" w:fill="ffffff"/>
        </w:rPr>
        <w:t xml:space="preserve">安全与应急</w:t>
      </w:r>
      <w:r/>
    </w:p>
    <w:p>
      <w:pPr>
        <w:pStyle w:val="731"/>
        <w:numPr>
          <w:ilvl w:val="0"/>
          <w:numId w:val="12"/>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说明安装实施过程中的安全保障措施，至少应包含：人员安全培训与防护、设备防护（防尘、防潮、防静电）、现场安全警示与隔离措施。</w:t>
      </w:r>
      <w:r/>
    </w:p>
    <w:p>
      <w:pPr>
        <w:pStyle w:val="731"/>
        <w:numPr>
          <w:ilvl w:val="0"/>
          <w:numId w:val="12"/>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制定针对设备故障、系统崩溃、人身意外及自然灾害等风险的应急预案，明确应急组织架构、处置流程、恢复时限（如系统故障4小时内恢复）及备用方案（如关键设备备用机、数据备份恢复机制）。</w:t>
      </w:r>
      <w:r/>
    </w:p>
    <w:p>
      <w:pPr>
        <w:pStyle w:val="731"/>
        <w:numPr>
          <w:ilvl w:val="0"/>
          <w:numId w:val="12"/>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同时，方案须阐述在数据采集、存储、传输等环节保障用户隐私与数据安全的具体措施，包括但不限于数据加密、访问控制、日志审计、符合《个人信息保护法》等相关法规。</w:t>
      </w:r>
      <w:r/>
    </w:p>
    <w:p>
      <w:pPr>
        <w:pStyle w:val="731"/>
        <w:ind w:left="0" w:right="0" w:firstLine="482"/>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Style w:val="737"/>
          <w:rFonts w:hint="eastAsia" w:ascii="宋体" w:hAnsi="宋体" w:eastAsia="宋体" w:cs="宋体"/>
          <w:b/>
          <w:bCs/>
          <w:i w:val="0"/>
          <w:iCs w:val="0"/>
          <w:caps w:val="0"/>
          <w:color w:val="0f1115"/>
          <w:spacing w:val="0"/>
          <w:sz w:val="24"/>
          <w:szCs w:val="24"/>
          <w:shd w:val="clear" w:color="auto" w:fill="ffffff"/>
        </w:rPr>
        <w:t xml:space="preserve">3、培训方案</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方案应提供一套针对性强、多层次、可考核的培训体系，确保不同用户群体能够有效掌握相关设备与系统的操作、管理与应用。内容至少应包含：</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（1）</w:t>
      </w:r>
      <w:r>
        <w:rPr>
          <w:rStyle w:val="737"/>
          <w:rFonts w:hint="eastAsia" w:ascii="宋体" w:hAnsi="宋体" w:eastAsia="宋体" w:cs="宋体"/>
          <w:b/>
          <w:bCs/>
          <w:i w:val="0"/>
          <w:iCs w:val="0"/>
          <w:caps w:val="0"/>
          <w:color w:val="0f1115"/>
          <w:spacing w:val="0"/>
          <w:sz w:val="24"/>
          <w:szCs w:val="24"/>
          <w:shd w:val="clear" w:color="auto" w:fill="ffffff"/>
        </w:rPr>
        <w:t xml:space="preserve">培训目标与周期</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阐述针对系统管理员、专业教师/护理人员、学生/体验者等不同用户群体的差异化培训目标、核心能力要求与具体的培训周期、总课时（不少于30课时）及阶段安排（如基础培训、进阶实训、跟岗实习）。</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（2）</w:t>
      </w:r>
      <w:r>
        <w:rPr>
          <w:rStyle w:val="737"/>
          <w:rFonts w:hint="eastAsia" w:ascii="宋体" w:hAnsi="宋体" w:eastAsia="宋体" w:cs="宋体"/>
          <w:b/>
          <w:bCs/>
          <w:i w:val="0"/>
          <w:iCs w:val="0"/>
          <w:caps w:val="0"/>
          <w:color w:val="0f1115"/>
          <w:spacing w:val="0"/>
          <w:sz w:val="24"/>
          <w:szCs w:val="24"/>
          <w:shd w:val="clear" w:color="auto" w:fill="ffffff"/>
        </w:rPr>
        <w:t xml:space="preserve">师资与安排</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说明培训师资的配置，至少应包含：技术讲师（具备系统集成与调试经验）2名、临床/护理讲师（具备养老或康复实务经验）1名。</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明确培训形式（理论讲授、实操演练、场景模拟、跟岗指导）、培训场地（实训室、多功能教室）及将交付的培训材料清单（如操作手册、视频教程、考核题库、培训证书模板）。</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（3）</w:t>
      </w:r>
      <w:r>
        <w:rPr>
          <w:rStyle w:val="737"/>
          <w:rFonts w:hint="eastAsia" w:ascii="宋体" w:hAnsi="宋体" w:eastAsia="宋体" w:cs="宋体"/>
          <w:b/>
          <w:bCs/>
          <w:i w:val="0"/>
          <w:iCs w:val="0"/>
          <w:caps w:val="0"/>
          <w:color w:val="0f1115"/>
          <w:spacing w:val="0"/>
          <w:sz w:val="24"/>
          <w:szCs w:val="24"/>
          <w:shd w:val="clear" w:color="auto" w:fill="ffffff"/>
        </w:rPr>
        <w:t xml:space="preserve">内容与质控</w:t>
      </w:r>
      <w:r/>
    </w:p>
    <w:p>
      <w:pPr>
        <w:pStyle w:val="731"/>
        <w:numPr>
          <w:ilvl w:val="0"/>
          <w:numId w:val="13"/>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明确各用户群体的核心培训内容，至少需涵盖：设备基础操作与日常维护、系统管理与权限设置、数据查询与分析、安全规范与应急处理。</w:t>
      </w:r>
      <w:r/>
    </w:p>
    <w:p>
      <w:pPr>
        <w:pStyle w:val="731"/>
        <w:numPr>
          <w:ilvl w:val="0"/>
          <w:numId w:val="13"/>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并提出培训效果的评估方法与质量控制机制，包括：培训前摸底测试、培训后实操考核（合格率≥85%）、培训满意度调查（评分≥90分）、培训档案归档（每人一档）。</w:t>
      </w:r>
      <w:r/>
    </w:p>
    <w:p>
      <w:pPr>
        <w:pStyle w:val="731"/>
        <w:ind w:left="0" w:right="0" w:firstLine="482"/>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Style w:val="737"/>
          <w:rFonts w:hint="eastAsia" w:ascii="宋体" w:hAnsi="宋体" w:eastAsia="宋体" w:cs="宋体"/>
          <w:b/>
          <w:bCs/>
          <w:i w:val="0"/>
          <w:iCs w:val="0"/>
          <w:caps w:val="0"/>
          <w:color w:val="0f1115"/>
          <w:spacing w:val="0"/>
          <w:sz w:val="24"/>
          <w:szCs w:val="24"/>
          <w:shd w:val="clear" w:color="auto" w:fill="ffffff"/>
        </w:rPr>
        <w:t xml:space="preserve">4、售后服务方案</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方案应承诺提供长期、稳定、高效、可追溯的技术支持与运维服务。内容至少应包含：</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（1）</w:t>
      </w:r>
      <w:r>
        <w:rPr>
          <w:rStyle w:val="737"/>
          <w:rFonts w:hint="eastAsia" w:ascii="宋体" w:hAnsi="宋体" w:eastAsia="宋体" w:cs="宋体"/>
          <w:b/>
          <w:bCs/>
          <w:i w:val="0"/>
          <w:iCs w:val="0"/>
          <w:caps w:val="0"/>
          <w:color w:val="0f1115"/>
          <w:spacing w:val="0"/>
          <w:sz w:val="24"/>
          <w:szCs w:val="24"/>
          <w:shd w:val="clear" w:color="auto" w:fill="ffffff"/>
        </w:rPr>
        <w:t xml:space="preserve">响应标准</w:t>
      </w:r>
      <w:r/>
    </w:p>
    <w:p>
      <w:pPr>
        <w:pStyle w:val="731"/>
        <w:numPr>
          <w:ilvl w:val="0"/>
          <w:numId w:val="14"/>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提供针对不同级别设备的分级售后服务承诺，至少应区分：</w:t>
      </w:r>
      <w:r/>
    </w:p>
    <w:p>
      <w:pPr>
        <w:pStyle w:val="731"/>
        <w:numPr>
          <w:ilvl w:val="0"/>
          <w:numId w:val="14"/>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核心设备（如理疗机器人、智能助行机器人、老年人能力评估系统）：提供7×24小时服务热线及多渠道在线支持（含电话、微信、邮件），工作时间30分钟内响应，紧急故障12小时内工程师到达现场，一般故障24小时内提出解决方案。</w:t>
      </w:r>
      <w:r/>
    </w:p>
    <w:p>
      <w:pPr>
        <w:pStyle w:val="731"/>
        <w:numPr>
          <w:ilvl w:val="0"/>
          <w:numId w:val="14"/>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重要设备（如康复训练设备、护理机器人）：提供5×8小时服务支持，2小时内响应，48小时内现场处理。</w:t>
      </w:r>
      <w:r/>
    </w:p>
    <w:p>
      <w:pPr>
        <w:pStyle w:val="731"/>
        <w:numPr>
          <w:ilvl w:val="0"/>
          <w:numId w:val="14"/>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普通设备（如辅具展板、模型教具）：提供工作日服务支持，4小时内响应，72小时内处理。</w:t>
      </w:r>
      <w:r/>
    </w:p>
    <w:p>
      <w:pPr>
        <w:pStyle w:val="731"/>
        <w:numPr>
          <w:ilvl w:val="0"/>
          <w:numId w:val="14"/>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故障解决后24小时内提交故障处理报告。</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（2）</w:t>
      </w:r>
      <w:r>
        <w:rPr>
          <w:rStyle w:val="737"/>
          <w:rFonts w:hint="eastAsia" w:ascii="宋体" w:hAnsi="宋体" w:eastAsia="宋体" w:cs="宋体"/>
          <w:b/>
          <w:bCs/>
          <w:i w:val="0"/>
          <w:iCs w:val="0"/>
          <w:caps w:val="0"/>
          <w:color w:val="0f1115"/>
          <w:spacing w:val="0"/>
          <w:sz w:val="24"/>
          <w:szCs w:val="24"/>
          <w:shd w:val="clear" w:color="auto" w:fill="ffffff"/>
        </w:rPr>
        <w:t xml:space="preserve">服务流程与团队</w:t>
      </w:r>
      <w:r/>
    </w:p>
    <w:p>
      <w:pPr>
        <w:pStyle w:val="731"/>
        <w:numPr>
          <w:ilvl w:val="0"/>
          <w:numId w:val="15"/>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说明清晰的服务流程，包括：报修登记→工单派发→响应处理→现场修复→测试验证→用户确认→回访归档。</w:t>
      </w:r>
      <w:r/>
    </w:p>
    <w:p>
      <w:pPr>
        <w:pStyle w:val="731"/>
        <w:numPr>
          <w:ilvl w:val="0"/>
          <w:numId w:val="15"/>
        </w:numPr>
        <w:ind w:left="0" w:right="0" w:firstLine="480"/>
        <w:keepLines w:val="0"/>
        <w:keepNext w:val="0"/>
        <w:pageBreakBefore w:val="0"/>
        <w:spacing w:beforeAutospacing="0" w:afterAutospacing="0" w:line="400" w:lineRule="exact"/>
        <w:widowControl/>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承诺在项目所在地或江苏省内设立常驻服务团队，配置至少2名专职工程师，建立本地备件库（备件储备比例不低于设备总值的5%），并建立内部服务监督与考核机制（如月度服务报告、季度满意度回访）。</w:t>
      </w:r>
      <w:r/>
    </w:p>
    <w:p>
      <w:pPr>
        <w:pStyle w:val="731"/>
        <w:ind w:left="0" w:right="0" w:firstLine="480"/>
        <w:keepLines w:val="0"/>
        <w:keepNext w:val="0"/>
        <w:pageBreakBefore w:val="0"/>
        <w:spacing w:beforeAutospacing="0" w:afterAutospacing="0" w:line="400" w:lineRule="exact"/>
        <w:shd w:val="clear" w:color="auto" w:fill="ffffff"/>
        <w:widowControl/>
        <w:rPr>
          <w:rStyle w:val="737"/>
          <w:rFonts w:hint="eastAsia" w:ascii="宋体" w:hAnsi="宋体" w:eastAsia="宋体" w:cs="宋体"/>
          <w:b/>
          <w:bCs/>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（3）</w:t>
      </w:r>
      <w:r>
        <w:rPr>
          <w:rStyle w:val="737"/>
          <w:rFonts w:hint="eastAsia" w:ascii="宋体" w:hAnsi="宋体" w:eastAsia="宋体" w:cs="宋体"/>
          <w:b/>
          <w:bCs/>
          <w:i w:val="0"/>
          <w:iCs w:val="0"/>
          <w:caps w:val="0"/>
          <w:color w:val="0f1115"/>
          <w:spacing w:val="0"/>
          <w:sz w:val="24"/>
          <w:szCs w:val="24"/>
          <w:shd w:val="clear" w:color="auto" w:fill="ffffff"/>
        </w:rPr>
        <w:t xml:space="preserve">运维支持</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承诺提供质保期内外的运维期技术支持内容，至少应包含：</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① 定期巡检与预防性维护：每季度</w:t>
      </w:r>
      <w:r>
        <w:rPr>
          <w:rFonts w:hint="eastAsia" w:ascii="宋体" w:hAnsi="宋体" w:eastAsia="宋体" w:cs="宋体"/>
          <w:i w:val="0"/>
          <w:iCs w:val="0"/>
          <w:caps w:val="0"/>
          <w:color w:val="0f1115"/>
          <w:spacing w:val="0"/>
          <w:sz w:val="24"/>
          <w:szCs w:val="24"/>
          <w:shd w:val="clear" w:color="auto" w:fill="ffffff"/>
          <w:lang w:val="en-US" w:eastAsia="zh-CN"/>
        </w:rPr>
        <w:t xml:space="preserve">至少</w:t>
      </w:r>
      <w:r>
        <w:rPr>
          <w:rFonts w:hint="eastAsia" w:ascii="宋体" w:hAnsi="宋体" w:eastAsia="宋体" w:cs="宋体"/>
          <w:i w:val="0"/>
          <w:iCs w:val="0"/>
          <w:caps w:val="0"/>
          <w:color w:val="0f1115"/>
          <w:spacing w:val="0"/>
          <w:sz w:val="24"/>
          <w:szCs w:val="24"/>
          <w:shd w:val="clear" w:color="auto" w:fill="ffffff"/>
        </w:rPr>
        <w:t xml:space="preserve">进行一次全面巡检，内容包括设备精度校准、系统优化、安全检查、耗材更换提醒，并提交巡检报告。</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② 远程运维监控：提供远程故障诊断、技术咨询及系统运行状态监控服务，支持实时告警与日志分析。</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③ 软件升级服务：质保期内免费提供核心系统的功能升级、漏洞修补与适应性更新，每年至少提供一次版本升级服务。</w:t>
      </w:r>
      <w:r/>
    </w:p>
    <w:p>
      <w:pPr>
        <w:pStyle w:val="731"/>
        <w:ind w:left="0" w:right="0" w:firstLine="480"/>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④ 长期支持选项：</w:t>
      </w:r>
      <w:r>
        <w:rPr>
          <w:rFonts w:hint="eastAsia" w:ascii="宋体" w:hAnsi="宋体" w:eastAsia="宋体" w:cs="宋体"/>
          <w:sz w:val="24"/>
          <w:szCs w:val="24"/>
          <w:lang w:val="en-US" w:eastAsia="zh-CN"/>
        </w:rPr>
        <w:t xml:space="preserve">说明</w:t>
      </w:r>
      <w:r>
        <w:rPr>
          <w:rFonts w:hint="eastAsia" w:ascii="宋体" w:hAnsi="宋体" w:eastAsia="宋体" w:cs="宋体"/>
          <w:i w:val="0"/>
          <w:iCs w:val="0"/>
          <w:caps w:val="0"/>
          <w:color w:val="0f1115"/>
          <w:spacing w:val="0"/>
          <w:sz w:val="24"/>
          <w:szCs w:val="24"/>
          <w:shd w:val="clear" w:color="auto" w:fill="ffffff"/>
        </w:rPr>
        <w:t xml:space="preserve">质保期满后</w:t>
      </w:r>
      <w:r>
        <w:rPr>
          <w:rFonts w:hint="eastAsia" w:ascii="宋体" w:hAnsi="宋体" w:eastAsia="宋体" w:cs="宋体"/>
          <w:i w:val="0"/>
          <w:iCs w:val="0"/>
          <w:caps w:val="0"/>
          <w:color w:val="0f1115"/>
          <w:spacing w:val="0"/>
          <w:sz w:val="24"/>
          <w:szCs w:val="24"/>
          <w:shd w:val="clear" w:color="auto" w:fill="ffffff"/>
          <w:lang w:val="en-US" w:eastAsia="zh-CN"/>
        </w:rPr>
        <w:t xml:space="preserve">可</w:t>
      </w:r>
      <w:r>
        <w:rPr>
          <w:rFonts w:hint="eastAsia" w:ascii="宋体" w:hAnsi="宋体" w:eastAsia="宋体" w:cs="宋体"/>
          <w:i w:val="0"/>
          <w:iCs w:val="0"/>
          <w:caps w:val="0"/>
          <w:color w:val="0f1115"/>
          <w:spacing w:val="0"/>
          <w:sz w:val="24"/>
          <w:szCs w:val="24"/>
          <w:shd w:val="clear" w:color="auto" w:fill="ffffff"/>
        </w:rPr>
        <w:t xml:space="preserve">提供</w:t>
      </w:r>
      <w:r>
        <w:rPr>
          <w:rFonts w:hint="eastAsia" w:ascii="宋体" w:hAnsi="宋体" w:eastAsia="宋体" w:cs="宋体"/>
          <w:i w:val="0"/>
          <w:iCs w:val="0"/>
          <w:caps w:val="0"/>
          <w:color w:val="0f1115"/>
          <w:spacing w:val="0"/>
          <w:sz w:val="24"/>
          <w:szCs w:val="24"/>
          <w:shd w:val="clear" w:color="auto" w:fill="ffffff"/>
          <w:lang w:val="en-US"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延续性服务方案，包括按年签订维保协议、备件优惠供应、远程技术支持等，收费标准不高于原合同价的8%/年。</w:t>
      </w:r>
      <w:r/>
    </w:p>
    <w:p>
      <w:pPr>
        <w:ind w:firstLine="482"/>
        <w:jc w:val="left"/>
        <w:keepLines w:val="0"/>
        <w:keepNext w:val="0"/>
        <w:pageBreakBefore w:val="0"/>
        <w:spacing w:line="480" w:lineRule="exact"/>
        <w:widowControl/>
        <w:rPr>
          <w:rFonts w:hint="eastAsia" w:ascii="宋体" w:hAnsi="宋体" w:cs="宋体"/>
          <w:b/>
          <w:bCs/>
          <w:color w:val="auto"/>
          <w:sz w:val="24"/>
          <w:szCs w:val="24"/>
          <w:lang w:val="en-US" w:eastAsia="zh-CN"/>
          <w14:ligatures w14:val="none"/>
        </w:rPr>
      </w:pPr>
      <w:r>
        <w:rPr>
          <w:rFonts w:hint="eastAsia" w:ascii="宋体" w:hAnsi="宋体" w:cs="宋体"/>
          <w:b/>
          <w:bCs/>
          <w:color w:val="auto"/>
          <w:sz w:val="24"/>
          <w:szCs w:val="24"/>
          <w:lang w:val="en-US" w:eastAsia="zh-CN"/>
        </w:rPr>
        <w:t xml:space="preserve">八、采购标的对应的中小企业划分标准所属行业一览表</w:t>
      </w:r>
      <w:r/>
    </w:p>
    <w:tbl>
      <w:tblPr>
        <w:tblStyle w:val="707"/>
        <w:tblW w:w="498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4"/>
        <w:gridCol w:w="4189"/>
        <w:gridCol w:w="4235"/>
      </w:tblGrid>
      <w:tr>
        <w:trPr>
          <w:tblHeader/>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20" w:type="dxa"/>
              <w:right w:w="150" w:type="dxa"/>
              <w:bottom w:w="120" w:type="dxa"/>
            </w:tcMar>
            <w:tcW w:w="774"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bCs/>
                <w:lang w:val="en-US" w:eastAsia="zh-CN"/>
              </w:rPr>
              <w:suppressLineNumbers w:val="0"/>
            </w:pPr>
            <w:r>
              <w:rPr>
                <w:rFonts w:hint="eastAsia"/>
                <w:b/>
                <w:bCs/>
                <w:lang w:val="en-US" w:eastAsia="zh-CN"/>
              </w:rPr>
              <w:t xml:space="preserve">序号</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20" w:type="dxa"/>
              <w:right w:w="150" w:type="dxa"/>
              <w:bottom w:w="120" w:type="dxa"/>
            </w:tcMar>
            <w:tcW w:w="388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bCs/>
                <w:lang w:val="en-US" w:eastAsia="zh-CN"/>
              </w:rPr>
              <w:suppressLineNumbers w:val="0"/>
            </w:pPr>
            <w:r>
              <w:rPr>
                <w:rFonts w:hint="eastAsia"/>
                <w:b/>
                <w:bCs/>
                <w:lang w:val="en-US" w:eastAsia="zh-CN"/>
              </w:rPr>
              <w:t xml:space="preserve">采购标的</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20" w:type="dxa"/>
              <w:right w:w="150" w:type="dxa"/>
              <w:bottom w:w="120" w:type="dxa"/>
            </w:tcMar>
            <w:tcW w:w="392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bCs/>
                <w:lang w:val="en-US" w:eastAsia="zh-CN"/>
              </w:rPr>
              <w:suppressLineNumbers w:val="0"/>
            </w:pPr>
            <w:r>
              <w:rPr>
                <w:rFonts w:hint="eastAsia"/>
                <w:b/>
                <w:bCs/>
                <w:lang w:val="en-US" w:eastAsia="zh-CN"/>
              </w:rPr>
              <w:t xml:space="preserve">对应中小企业划分标准所属行业</w:t>
            </w:r>
            <w:r/>
          </w:p>
        </w:tc>
      </w:tr>
      <w:tr>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20" w:type="dxa"/>
              <w:right w:w="150" w:type="dxa"/>
              <w:bottom w:w="120" w:type="dxa"/>
            </w:tcMar>
            <w:tcW w:w="0" w:type="auto"/>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val="0"/>
                <w:bCs w:val="0"/>
                <w:lang w:val="en-US" w:eastAsia="zh-CN"/>
              </w:rPr>
              <w:suppressLineNumbers w:val="0"/>
            </w:pPr>
            <w:r>
              <w:rPr>
                <w:rFonts w:hint="eastAsia"/>
                <w:b w:val="0"/>
                <w:bCs w:val="0"/>
                <w:lang w:val="en-US" w:eastAsia="zh-CN"/>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20" w:type="dxa"/>
              <w:right w:w="150" w:type="dxa"/>
              <w:bottom w:w="120" w:type="dxa"/>
            </w:tcMar>
            <w:tcW w:w="0" w:type="auto"/>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val="0"/>
                <w:bCs w:val="0"/>
                <w:lang w:val="en-US" w:eastAsia="zh-CN"/>
              </w:rPr>
              <w:suppressLineNumbers w:val="0"/>
            </w:pPr>
            <w:r>
              <w:rPr>
                <w:rFonts w:hint="eastAsia"/>
                <w:b w:val="0"/>
                <w:bCs w:val="0"/>
                <w:lang w:val="en-US" w:eastAsia="zh-CN"/>
              </w:rPr>
              <w:t xml:space="preserve">数字化智慧养老实训基地设备采购项目</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20" w:type="dxa"/>
              <w:right w:w="150" w:type="dxa"/>
              <w:bottom w:w="120" w:type="dxa"/>
            </w:tcMar>
            <w:tcW w:w="392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b w:val="0"/>
                <w:bCs w:val="0"/>
                <w:lang w:val="en-US" w:eastAsia="zh-CN"/>
              </w:rPr>
              <w:suppressLineNumbers w:val="0"/>
            </w:pPr>
            <w:r>
              <w:rPr>
                <w:rFonts w:hint="eastAsia"/>
                <w:b w:val="0"/>
                <w:bCs w:val="0"/>
                <w:lang w:val="en-US" w:eastAsia="zh-CN"/>
              </w:rPr>
              <w:t xml:space="preserve">工业</w:t>
            </w:r>
            <w:r/>
          </w:p>
        </w:tc>
      </w:tr>
    </w:tbl>
    <w:p>
      <w:pPr>
        <w:pStyle w:val="901"/>
        <w:rPr>
          <w:rFonts w:hint="eastAsia"/>
        </w:rPr>
      </w:pPr>
      <w:r>
        <w:rPr>
          <w:rFonts w:hint="eastAsia"/>
        </w:rPr>
      </w:r>
      <w:r/>
    </w:p>
    <w:p>
      <w:pPr>
        <w:pStyle w:val="901"/>
      </w:pPr>
      <w:r>
        <w:rPr>
          <w:rFonts w:hint="eastAsia"/>
        </w:rPr>
        <w:t xml:space="preserve">第五章  评标方法与评标标准</w:t>
      </w:r>
      <w:bookmarkEnd w:id="169"/>
      <w:r/>
      <w:r/>
    </w:p>
    <w:p>
      <w:pPr>
        <w:pStyle w:val="731"/>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w:t>
      </w:r>
      <w:r>
        <w:rPr>
          <w:rFonts w:hint="eastAsia" w:ascii="宋体" w:hAnsi="宋体" w:eastAsia="宋体" w:cs="宋体"/>
          <w:sz w:val="24"/>
        </w:rPr>
        <w:t xml:space="preserve">得分且投标报价相同的</w:t>
      </w:r>
      <w:r>
        <w:rPr>
          <w:rFonts w:hint="eastAsia" w:ascii="宋体" w:hAnsi="宋体" w:eastAsia="宋体" w:cs="宋体"/>
          <w:sz w:val="24"/>
          <w:szCs w:val="21"/>
        </w:rPr>
        <w:t xml:space="preserve">，由评标委员会组织通过抽签的方式确定中标候选人的排序</w:t>
      </w:r>
      <w:r>
        <w:rPr>
          <w:rFonts w:hint="eastAsia" w:ascii="宋体" w:hAnsi="宋体" w:eastAsia="宋体" w:cs="宋体"/>
          <w:sz w:val="24"/>
        </w:rPr>
        <w:t xml:space="preserve">。</w:t>
      </w:r>
      <w:r>
        <w:rPr>
          <w:rFonts w:hint="eastAsia" w:ascii="宋体" w:hAnsi="宋体" w:eastAsia="宋体" w:cs="宋体"/>
          <w:color w:val="000000"/>
          <w:sz w:val="24"/>
        </w:rPr>
        <w:t xml:space="preserve">投标文件满足招标文件全部实质性要求，且按照评审因素的量化指标评审得分最高的投标人为排名第一的中标候选人，本项目选取1名中标候选人。</w:t>
      </w:r>
      <w:r/>
    </w:p>
    <w:p>
      <w:pPr>
        <w:pStyle w:val="731"/>
        <w:ind w:firstLine="441"/>
        <w:keepLines w:val="0"/>
        <w:keepNext w:val="0"/>
        <w:pageBreakBefore w:val="0"/>
        <w:spacing w:before="120" w:beforeAutospacing="0" w:after="120" w:afterAutospacing="0" w:line="340" w:lineRule="exact"/>
        <w:widowControl w:val="off"/>
        <w:rPr>
          <w:rFonts w:ascii="宋体" w:hAnsi="宋体" w:eastAsia="宋体" w:cs="宋体"/>
          <w:color w:val="auto"/>
          <w:sz w:val="21"/>
          <w:szCs w:val="21"/>
        </w:rP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分包一</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1"/>
          <w:szCs w:val="21"/>
        </w:rPr>
        <w:t xml:space="preserve">政府采购政策功能落实</w:t>
      </w:r>
      <w:r/>
    </w:p>
    <w:p>
      <w:pPr>
        <w:pStyle w:val="731"/>
        <w:ind w:firstLine="480"/>
        <w:keepLines w:val="0"/>
        <w:keepNext w:val="0"/>
        <w:pageBreakBefore w:val="0"/>
        <w:spacing w:before="120" w:beforeAutospacing="0" w:after="120" w:afterAutospacing="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1、小微型企业价格扣除</w:t>
      </w:r>
      <w:r/>
    </w:p>
    <w:p>
      <w:pPr>
        <w:pStyle w:val="896"/>
        <w:ind w:firstLine="315"/>
        <w:keepLines w:val="0"/>
        <w:keepNext w:val="0"/>
        <w:pageBreakBefore w:val="0"/>
        <w:spacing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（1）本项目不专门面向中小企业采购，对符合规定的小型和微型企业报价给予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%的扣除价格。</w:t>
      </w:r>
      <w:r/>
    </w:p>
    <w:p>
      <w:pPr>
        <w:pStyle w:val="731"/>
        <w:ind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（2）供应商需按照采购文件的要求提供相应的《中小企业声明函》。</w:t>
      </w:r>
      <w:r/>
    </w:p>
    <w:p>
      <w:pPr>
        <w:pStyle w:val="731"/>
        <w:ind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（3）企业标准请参照《关于印发中小企业划型标准规定的通知》（工信部联企业〔2011〕300号）文件规定自行填写。</w:t>
      </w:r>
      <w:r/>
    </w:p>
    <w:p>
      <w:pPr>
        <w:pStyle w:val="731"/>
        <w:ind w:firstLine="480"/>
        <w:keepLines w:val="0"/>
        <w:keepNext w:val="0"/>
        <w:pageBreakBefore w:val="0"/>
        <w:spacing w:before="120" w:beforeAutospacing="0" w:after="120" w:afterAutospacing="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2、残疾人福利单位价格扣除</w:t>
      </w:r>
      <w:r/>
    </w:p>
    <w:p>
      <w:pPr>
        <w:pStyle w:val="731"/>
        <w:ind w:left="120"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（1）本项目对残疾人福利性单位视同小型、微型企业，给予</w:t>
      </w:r>
      <w:r>
        <w:rPr>
          <w:rFonts w:hint="eastAsia" w:ascii="宋体" w:hAnsi="宋体" w:eastAsia="宋体" w:cs="宋体"/>
          <w:color w:val="auto"/>
          <w:sz w:val="24"/>
          <w:szCs w:val="24"/>
          <w:u w:val="single"/>
        </w:rPr>
        <w:t xml:space="preserve">20%的价格扣除。</w:t>
      </w:r>
      <w:r/>
    </w:p>
    <w:p>
      <w:pPr>
        <w:pStyle w:val="731"/>
        <w:ind w:left="120"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（2）残疾人福利单位需按照采购文件的要求提供《残疾人福利性单位声明函》。</w:t>
      </w:r>
      <w:r/>
    </w:p>
    <w:p>
      <w:pPr>
        <w:pStyle w:val="731"/>
        <w:ind w:left="120"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（3）残疾人福利单位标准请参照《关于促进残疾人就业政府采购政策的通知》（财库〔2017〕141号）。</w:t>
      </w:r>
      <w:r/>
    </w:p>
    <w:p>
      <w:pPr>
        <w:ind w:firstLine="482"/>
        <w:jc w:val="left"/>
        <w:keepLines w:val="0"/>
        <w:keepNext w:val="0"/>
        <w:pageBreakBefore w:val="0"/>
        <w:spacing w:line="440" w:lineRule="exact"/>
        <w:widowControl/>
        <w:rPr>
          <w:rFonts w:ascii="宋体" w:hAnsi="宋体" w:eastAsia="宋体" w:cs="宋体"/>
          <w:b/>
          <w:bCs/>
          <w:sz w:val="24"/>
        </w:rPr>
      </w:pPr>
      <w:r>
        <w:rPr>
          <w:rFonts w:hint="eastAsia" w:ascii="宋体" w:hAnsi="宋体" w:eastAsia="宋体" w:cs="宋体"/>
          <w:b/>
          <w:bCs/>
          <w:sz w:val="24"/>
        </w:rPr>
        <w:t xml:space="preserve">3、监狱和戒毒企业价格扣除</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（1）本项目对监狱和戒毒企业（简称监狱企业）视同小型、微型企业，给予20%的价格扣除。</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5、采购本国产品的支持政策</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pStyle w:val="731"/>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bCs/>
          <w:color w:val="000000"/>
          <w:sz w:val="24"/>
        </w:rPr>
        <w:t xml:space="preserve">二、</w:t>
      </w:r>
      <w:r>
        <w:rPr>
          <w:rFonts w:hint="eastAsia" w:ascii="宋体" w:hAnsi="宋体" w:eastAsia="宋体" w:cs="宋体"/>
          <w:b/>
          <w:color w:val="auto"/>
          <w:sz w:val="24"/>
          <w:szCs w:val="24"/>
          <w:highlight w:val="none"/>
          <w:lang w:val="en-US" w:eastAsia="zh-CN"/>
        </w:rPr>
        <w:t xml:space="preserve">评标标准</w:t>
      </w:r>
      <w:r/>
    </w:p>
    <w:tbl>
      <w:tblPr>
        <w:tblStyle w:val="707"/>
        <w:tblW w:w="9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46"/>
        <w:gridCol w:w="1017"/>
        <w:gridCol w:w="6112"/>
      </w:tblGrid>
      <w:tr>
        <w:trPr>
          <w:jc w:val="center"/>
          <w:trHeight w:val="683"/>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评审项目</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分值</w:t>
            </w:r>
            <w:r/>
          </w:p>
        </w:tc>
        <w:tc>
          <w:tcPr>
            <w:tcW w:w="6112"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评审细则</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112" w:type="dxa"/>
            <w:vAlign w:val="top"/>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采用低价优先法，即满足招标文件要求且投标价格最低的有效投标报价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有效投标报价为未被评标委员会判定为无效标的投标文件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为评标基准价，其价格分为满分。</w:t>
            </w:r>
            <w:r/>
          </w:p>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其他投标人的价格分统一按下列公式计算：投标报价得分＝（评标基准价/投标报价）×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（小数点保留两位）。</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业绩</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自2022年1月1日（以合同签订时间为准）以来，承接过实训类、康养类、教学类设备供应、集成、调试或运维服务相关的业绩（包含但不限于家政、婴幼儿、养老、职业技能培训、教育教学配套等场景），含上述任意1类或多类标的的供货或服务业绩，即符合评分范围，每提供1项有效业绩得2分，本项最高10分（最多计5项）。</w:t>
            </w:r>
            <w:r/>
          </w:p>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注：需提供业绩合同关键页（清晰体现签订时间、标的物、甲乙双方盖章）；通用设备或合同关联性不清晰的，可补充加盖公章的技术适配说明、验收报告或采购方确认的供货清单佐证。</w:t>
            </w:r>
            <w:r/>
          </w:p>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中小企业的自身业绩、合法联合体业绩及分包业绩均予认可：联合体业绩需提供联合体协议及参与证明，分包业绩需提供总包合同关键页及分包协议。</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技术参数</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本项目“技术参数要求”中标注“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”的技术参数代表重要指标，共5项，每有一项满足得3分，全部满足得15分；</w:t>
            </w:r>
            <w:r/>
          </w:p>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rPr>
              <w:t xml:space="preserve">供应商须针对该部分条款提供相应证明材料，可包括招标文件指定的证明文件（如有）、产品官方彩页（需标注发布日期）、原厂说明书、技术白皮书（由产品研发主体出具）或具备认证资质的第三方检测机构出具的检验报告。</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视频演示</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15分</w:t>
            </w:r>
            <w:r/>
          </w:p>
        </w:tc>
        <w:tc>
          <w:tcPr>
            <w:tcW w:w="6112" w:type="dxa"/>
            <w:vAlign w:val="center"/>
            <w:textDirection w:val="lrTb"/>
            <w:noWrap/>
          </w:tcPr>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1.演示一（3分）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采购需求中“▲（1）喂食”要求提供演示，并能满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2.演示二（3分）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采购需求中“▲（2）打嗝”要求提供演示，并能满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3.演示三（3分）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 xml:space="preserve">采购需求中“▲（4）摇动</w:t>
            </w:r>
            <w:r>
              <w:rPr>
                <w:rFonts w:hint="eastAsia" w:ascii="宋体" w:hAnsi="宋体" w:eastAsia="宋体" w:cs="宋体"/>
                <w:b w:val="0"/>
                <w:bCs w:val="0"/>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4.演示四（3分）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 xml:space="preserve">采购需求中“▲（11）肠绞痛</w:t>
            </w:r>
            <w:r>
              <w:rPr>
                <w:rFonts w:hint="eastAsia" w:ascii="宋体" w:hAnsi="宋体" w:eastAsia="宋体" w:cs="宋体"/>
                <w:b w:val="0"/>
                <w:bCs w:val="0"/>
                <w:color w:val="auto"/>
                <w:sz w:val="21"/>
                <w:szCs w:val="21"/>
                <w:highlight w:val="none"/>
                <w:lang w:val="en-US" w:eastAsia="zh-CN"/>
              </w:rPr>
              <w:t xml:space="preserve">”要求提供演示，并能满足参数要求的得3分，不满足参数要求或缺少演示点或不提供演示的得0分，本项最高得3分。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5.演示五（3分）</w:t>
            </w:r>
            <w:r/>
          </w:p>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 xml:space="preserve">采购需求中“▲（12)臀部护理（换尿布）</w:t>
            </w:r>
            <w:r>
              <w:rPr>
                <w:rFonts w:hint="eastAsia" w:ascii="宋体" w:hAnsi="宋体" w:eastAsia="宋体" w:cs="宋体"/>
                <w:color w:val="auto"/>
                <w:sz w:val="21"/>
                <w:szCs w:val="21"/>
                <w:highlight w:val="none"/>
                <w:lang w:val="en-US" w:eastAsia="zh-CN"/>
              </w:rPr>
              <w:t xml:space="preserve">”要求提供演示，并能满足参数要求的得3分，不满足参数要求或缺少演示点或不提供演示的得0分，本项最高得3分。</w:t>
            </w:r>
            <w:r/>
          </w:p>
        </w:tc>
      </w:tr>
      <w:tr>
        <w:trPr>
          <w:jc w:val="center"/>
          <w:trHeight w:val="0"/>
        </w:trPr>
        <w:tc>
          <w:tcPr>
            <w:tcW w:w="658" w:type="dxa"/>
            <w:vAlign w:val="center"/>
            <w:vMerge w:val="restart"/>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1246" w:type="dxa"/>
            <w:vAlign w:val="center"/>
            <w:vMerge w:val="restart"/>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项目实施及售后服务方案</w:t>
            </w:r>
            <w:r/>
          </w:p>
        </w:tc>
        <w:tc>
          <w:tcPr>
            <w:tcW w:w="1017" w:type="dxa"/>
            <w:vAlign w:val="center"/>
            <w:vMerge w:val="restart"/>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1.安装、调试及验收方案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安装、调试及验收方案”要求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至少包括以下内容：（1）安装计划；（2）人员配置；（3）调试方案；（4）验收程序；方案优于项目需求的得7分；满足项目需求的得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分；不满足或无此项内容的本项不得分。</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2.质量保障与应急服务方案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质量保障与应急服务方案”要求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至少包括以下内容：（1）总体质量目标；（2）项目管控措施；（3）产品质量保证；（4）安全与应急保障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方案优于项目需求的得7分；满足项目需求的得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分；不满足或无此项内容的本项不得分。</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3.培训方案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培训方案”要求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w:t>
            </w:r>
            <w:r>
              <w:rPr>
                <w:rFonts w:hint="eastAsia" w:ascii="宋体" w:hAnsi="宋体" w:eastAsia="宋体" w:cs="宋体"/>
                <w:color w:val="auto"/>
                <w:sz w:val="21"/>
                <w:szCs w:val="21"/>
                <w:highlight w:val="none"/>
              </w:rPr>
              <w:t xml:space="preserve">（1）培训目标与周期；（2）师资与培训安排；（3）培训内容与质量控制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方案优于项目需求的得7分；满足项目需求的得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分；不满足或无此项内容的本项不得分。</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4.售后服务方案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供应商根据本项目第四章“</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售后服务方案”要求</w:t>
            </w:r>
            <w:r>
              <w:rPr>
                <w:rFonts w:hint="eastAsia" w:ascii="宋体" w:hAnsi="宋体" w:eastAsia="宋体" w:cs="宋体"/>
                <w:color w:val="auto"/>
                <w:sz w:val="21"/>
                <w:szCs w:val="21"/>
                <w:highlight w:val="none"/>
                <w:lang w:val="en-US" w:eastAsia="zh-CN"/>
              </w:rPr>
              <w:t xml:space="preserve">提供技术方案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至少包括以下内容：</w:t>
            </w:r>
            <w:r>
              <w:rPr>
                <w:rFonts w:hint="eastAsia" w:ascii="宋体" w:hAnsi="宋体" w:eastAsia="宋体" w:cs="宋体"/>
                <w:color w:val="auto"/>
                <w:sz w:val="21"/>
                <w:szCs w:val="21"/>
                <w:highlight w:val="none"/>
              </w:rPr>
              <w:t xml:space="preserve">（1）售后服务响应标准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（2）服务流程与团队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）运维期技术支持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方案优于项目需求的得7分；满足项目需求的得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分；不满足或无此项内容的本项不得分。</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节能环保</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2分</w:t>
            </w:r>
            <w:r/>
          </w:p>
        </w:tc>
        <w:tc>
          <w:tcPr>
            <w:tcW w:w="6112" w:type="dxa"/>
            <w:vAlign w:val="center"/>
            <w:textDirection w:val="lrTb"/>
            <w:noWrap/>
          </w:tcPr>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zh-CN" w:eastAsia="zh-CN"/>
              </w:rPr>
              <w:suppressLineNumbers w:val="0"/>
            </w:pPr>
            <w:r>
              <w:rPr>
                <w:rFonts w:hint="eastAsia" w:ascii="宋体" w:hAnsi="宋体" w:eastAsia="宋体" w:cs="宋体"/>
                <w:color w:val="auto"/>
                <w:sz w:val="21"/>
                <w:szCs w:val="21"/>
                <w:highlight w:val="none"/>
                <w:lang w:val="zh-CN" w:eastAsia="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zh-CN" w:eastAsia="zh-CN"/>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2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rPr>
        <w:t xml:space="preserve">注：1.上述加分项中需提供相关证明材料的，在该项目中标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p>
    <w:p>
      <w:pPr>
        <w:ind w:left="0" w:right="0" w:firstLine="42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rPr>
        <w:t xml:space="preserve">2.供应商需按照招标文件规定的演示内容进行功能演示（视频画面须清晰，如不清晰导致评委无法评审的，责任由投标人自负），视频文件的格式为*.mp4或*.avi，供应商须将视频文件分段压缩为*.zip文件上传（单个文件不得大于50M，所有文件总共不得大于300M）。文件上传方式见</w:t>
      </w:r>
      <w:r>
        <w:rPr>
          <w:rFonts w:hint="eastAsia" w:ascii="宋体" w:hAnsi="宋体" w:eastAsia="宋体" w:cs="宋体"/>
          <w:b/>
          <w:color w:val="0000ff"/>
          <w:sz w:val="21"/>
          <w:szCs w:val="21"/>
          <w:highlight w:val="none"/>
          <w:lang w:val="en-US" w:eastAsia="zh-CN"/>
        </w:rPr>
        <w:t xml:space="preserve">《苏采云供应商操作手册》</w:t>
      </w:r>
      <w:r>
        <w:rPr>
          <w:rFonts w:ascii="宋体" w:hAnsi="宋体" w:eastAsia="宋体" w:cs="宋体"/>
          <w:b/>
          <w:color w:val="0000ff"/>
          <w:sz w:val="21"/>
        </w:rPr>
        <w:t xml:space="preserve">规定，上传的演示视频将作为投标文件的组成部分，每个项目根据演示点进行评分。</w:t>
      </w:r>
      <w:r/>
    </w:p>
    <w:p>
      <w:pPr>
        <w:pStyle w:val="731"/>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73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分包二</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1"/>
          <w:szCs w:val="21"/>
        </w:rPr>
        <w:t xml:space="preserve">政府采购政策功能落实</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1、小微型企业</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（1）本项目专门面向中小企业采购，不再对小型和微型企业服务给予价格扣除。</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（2）供应商需按照采购文件的要求提供相应的《</w:t>
      </w:r>
      <w:r>
        <w:rPr>
          <w:rFonts w:hint="eastAsia" w:ascii="宋体" w:hAnsi="宋体" w:cs="宋体"/>
          <w:color w:val="auto"/>
          <w:sz w:val="24"/>
          <w:lang w:val="en-US" w:eastAsia="zh-CN"/>
        </w:rPr>
        <w:t xml:space="preserve">中小</w:t>
      </w:r>
      <w:r>
        <w:rPr>
          <w:rFonts w:hint="eastAsia" w:ascii="宋体" w:hAnsi="宋体" w:cs="宋体"/>
          <w:color w:val="auto"/>
          <w:sz w:val="24"/>
        </w:rPr>
        <w:t xml:space="preserve">企业声明函》。</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（3）企业标准请参照《关于印发中小企业划型标准规定的通知》（工信部联企业[2011]300号）文件规定自行填写。</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2、残疾人福利单位</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（1）本项目对残疾人福利性单位视同小型、微型企业。</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（2）残疾人福利单位标准请参照《关于促进残疾人就业政府采购政策的通知》（财库〔2017〕141号），需提供《残疾人福利性单位声明函》。</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3、监狱和戒毒企业</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（1）本项目对监狱和戒毒企业（简称监狱企业）视同小型、微型企业。</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（2）监狱企业参加政府采购活动时，需提供由省级以上监狱管理局、戒毒管理局(含新疆生产建设兵团)出具的属于监狱企业的证明文件。</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（3）监狱企业标准请参照《关于政府采购支持监狱企业发展有关问题的通知》（财库[2014]68号）。</w:t>
      </w:r>
      <w:r/>
    </w:p>
    <w:p>
      <w:pPr>
        <w:pStyle w:val="731"/>
        <w:ind w:firstLine="480"/>
        <w:jc w:val="both"/>
        <w:keepLines w:val="0"/>
        <w:keepNext w:val="0"/>
        <w:pageBreakBefore w:val="0"/>
        <w:spacing w:beforeAutospacing="0" w:afterAutospacing="0" w:line="440" w:lineRule="exact"/>
        <w:rPr>
          <w:rFonts w:hint="eastAsia" w:ascii="宋体" w:hAnsi="宋体" w:cs="宋体"/>
          <w:color w:val="auto"/>
          <w:sz w:val="24"/>
        </w:rPr>
      </w:pPr>
      <w:r>
        <w:rPr>
          <w:rFonts w:hint="eastAsia" w:ascii="宋体" w:hAnsi="宋体" w:cs="宋体"/>
          <w:color w:val="auto"/>
          <w:sz w:val="24"/>
        </w:rPr>
        <w:t xml:space="preserve">4、残疾人福利单位、监狱企业属于小型、微型企业的，不重复享受政策。</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5、采购本国产品的支持政策</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keepLines w:val="0"/>
        <w:keepNext w:val="0"/>
        <w:pageBreakBefore w:val="0"/>
        <w:spacing w:line="440" w:lineRule="exact"/>
        <w:widowControl/>
        <w:rPr>
          <w:rFonts w:ascii="宋体" w:hAnsi="宋体" w:eastAsia="宋体" w:cs="宋体"/>
          <w:sz w:val="24"/>
        </w:rPr>
      </w:pPr>
      <w:r>
        <w:rPr>
          <w:rFonts w:hint="eastAsia" w:ascii="宋体" w:hAnsi="宋体" w:eastAsia="宋体" w:cs="宋体"/>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1"/>
        <w:ind w:firstLine="480"/>
        <w:jc w:val="both"/>
        <w:keepLines w:val="0"/>
        <w:keepNext w:val="0"/>
        <w:pageBreakBefore w:val="0"/>
        <w:spacing w:beforeAutospacing="0" w:afterAutospacing="0" w:line="440" w:lineRule="exact"/>
        <w:rPr>
          <w:rFonts w:hint="eastAsia" w:ascii="宋体" w:hAnsi="宋体" w:cs="宋体"/>
          <w:color w:val="auto"/>
          <w:sz w:val="24"/>
          <w:szCs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pStyle w:val="731"/>
        <w:ind w:firstLine="482"/>
        <w:spacing w:before="120" w:beforeAutospacing="0" w:after="120" w:afterAutospacing="0"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评标标准</w:t>
      </w:r>
      <w:r/>
    </w:p>
    <w:tbl>
      <w:tblPr>
        <w:tblStyle w:val="707"/>
        <w:tblW w:w="9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46"/>
        <w:gridCol w:w="1017"/>
        <w:gridCol w:w="6494"/>
      </w:tblGrid>
      <w:tr>
        <w:trPr>
          <w:jc w:val="center"/>
          <w:trHeight w:val="655"/>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评审项目</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分值</w:t>
            </w:r>
            <w:r/>
          </w:p>
        </w:tc>
        <w:tc>
          <w:tcPr>
            <w:tcW w:w="6494"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评审细则</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494" w:type="dxa"/>
            <w:vAlign w:val="top"/>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采用低价优先法，即满足招标文件要求且投标价格最低的有效投标报价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有效投标报价为未被评标委员会判定为无效标的投标文件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为评标基准价，其价格分为满分。</w:t>
            </w:r>
            <w:r/>
          </w:p>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其他投标人的价格分统一按下列公式计算：投标报价得分＝（评标基准价/投标报价）×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（小数点保留两位）。</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业绩</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W w:w="6494" w:type="dxa"/>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color w:val="auto"/>
                <w:lang w:val="en-US" w:eastAsia="zh-CN"/>
              </w:rPr>
              <w:suppressLineNumbers w:val="0"/>
            </w:pPr>
            <w:r>
              <w:rPr>
                <w:rFonts w:hint="eastAsia"/>
                <w:color w:val="auto"/>
                <w:lang w:val="en-US" w:eastAsia="zh-CN"/>
              </w:rPr>
              <w:t xml:space="preserve">投标人提供自2022年1月1日以来（以合同签订时间为准），承担的类似项目业绩（类似项目指包含以下一项或多项内容的项目：智慧健康养老、康复护理、医疗服务等领域的系统集成或信息化平台建设；职业院校、高等院校、公共实训基地中的实训中心、一体化学习工作站、智慧教室的建设或系统集成；或数字民生、健康服务领域的综合性技术集成与应用项目），每提供一个符合要求的有效业绩得2分，本项最高得12分。</w:t>
            </w:r>
            <w:r/>
          </w:p>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color w:val="auto"/>
                <w:lang w:val="en-US" w:eastAsia="zh-CN"/>
              </w:rPr>
              <w:t xml:space="preserve">注：①须提供业绩合同的关键页复印件（至少包含合同首页、合同双方盖章页、合同签订日期页，以及包含服务范围、设备清单或技术要求的核心内容页）。若合同核心内容页无法直接判定其符合上述业绩范围，须额外提供该项目的验收报告（需采购方盖章）作为补充证明。②中小企业的自身业绩、合法联合体业绩及分包业绩均予认可。其中：联合体业绩需提供联合体协议及本投标人承担部分的证明；分包业绩需提供总包合同关键页及对应的分包合同。</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3</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技术参数响应</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494" w:type="dxa"/>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rPr>
              <w:suppressLineNumbers w:val="0"/>
            </w:pPr>
            <w:r>
              <w:rPr>
                <w:rFonts w:hint="eastAsia" w:ascii="宋体" w:hAnsi="宋体" w:eastAsia="宋体" w:cs="宋体"/>
                <w:color w:val="auto"/>
                <w:sz w:val="21"/>
                <w:szCs w:val="21"/>
                <w:highlight w:val="none"/>
                <w:lang w:val="en-US" w:eastAsia="zh-CN" w:bidi="ar-SA"/>
              </w:rPr>
              <w:t xml:space="preserve">采购需求中标注“▲”的技术参数为重要技术指标，共5项，有一项满足的得2分，本项最高加10分。</w:t>
            </w:r>
            <w:r/>
          </w:p>
          <w:p>
            <w:pPr>
              <w:ind w:left="0" w:right="0"/>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注：供应商须针对该部分条款提供有效证明材料，形式可包括：招标文件指定的证明文件（如有）、产品官方彩页（需注明发布日期）、原厂说明书、产品技术白皮书（须由产品研发主体出具）或承诺在中标后合同签订前提供具备相应认证资质的第三方检测机构出具的检验报告（承诺函格式自拟，相关检测费用由中标人承担）。</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视频演示</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24分</w:t>
            </w:r>
            <w:r/>
          </w:p>
        </w:tc>
        <w:tc>
          <w:tcPr>
            <w:tcW w:w="6494" w:type="dxa"/>
            <w:vAlign w:val="center"/>
            <w:textDirection w:val="lrTb"/>
            <w:noWrap/>
          </w:tcPr>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1.演示一（3分）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 中“</w:t>
            </w:r>
            <w:r>
              <w:rPr>
                <w:rFonts w:hint="eastAsia" w:ascii="宋体" w:hAnsi="宋体" w:eastAsia="宋体" w:cs="宋体"/>
                <w:i w:val="0"/>
                <w:iCs w:val="0"/>
                <w:color w:val="auto"/>
                <w:sz w:val="21"/>
                <w:szCs w:val="21"/>
                <w:u w:val="none"/>
                <w:lang w:val="en-US" w:eastAsia="zh-CN" w:bidi="ar"/>
              </w:rPr>
              <w:t xml:space="preserve">●9.功能性体适能评估模块</w:t>
            </w:r>
            <w:r>
              <w:rPr>
                <w:rFonts w:hint="eastAsia" w:ascii="宋体" w:hAnsi="宋体" w:eastAsia="宋体" w:cs="宋体"/>
                <w:b w:val="0"/>
                <w:bCs/>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2.演示二（3分）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 中“</w:t>
            </w:r>
            <w:r>
              <w:rPr>
                <w:rFonts w:hint="eastAsia" w:ascii="宋体" w:hAnsi="宋体" w:eastAsia="宋体" w:cs="宋体"/>
                <w:i w:val="0"/>
                <w:iCs w:val="0"/>
                <w:color w:val="auto"/>
                <w:sz w:val="21"/>
                <w:szCs w:val="21"/>
                <w:u w:val="none"/>
                <w:lang w:val="en-US" w:eastAsia="zh-CN" w:bidi="ar"/>
              </w:rPr>
              <w:t xml:space="preserve">●10.评估前筛查机制</w:t>
            </w:r>
            <w:r>
              <w:rPr>
                <w:rFonts w:hint="eastAsia" w:ascii="宋体" w:hAnsi="宋体" w:cs="宋体"/>
                <w:color w:val="auto"/>
                <w:sz w:val="21"/>
                <w:szCs w:val="21"/>
                <w:highlight w:val="none"/>
                <w:u w:val="none"/>
                <w:lang w:val="en-US" w:eastAsia="zh-CN" w:bidi="ar-SA"/>
              </w:rPr>
              <w:t xml:space="preserve">”</w:t>
            </w:r>
            <w:r>
              <w:rPr>
                <w:rFonts w:hint="eastAsia" w:ascii="宋体" w:hAnsi="宋体" w:eastAsia="宋体" w:cs="宋体"/>
                <w:b w:val="0"/>
                <w:bCs/>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3.演示三（3分）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 中“</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color w:val="auto"/>
                <w:sz w:val="21"/>
                <w:szCs w:val="21"/>
                <w:lang w:val="en-US" w:eastAsia="zh-CN" w:bidi="ar-SA"/>
              </w:rPr>
              <w:t xml:space="preserve">12.CGA评估适配判定</w:t>
            </w:r>
            <w:r>
              <w:rPr>
                <w:rFonts w:hint="eastAsia" w:ascii="宋体" w:hAnsi="宋体" w:cs="宋体"/>
                <w:color w:val="auto"/>
                <w:sz w:val="21"/>
                <w:szCs w:val="21"/>
                <w:highlight w:val="none"/>
                <w:u w:val="none"/>
                <w:lang w:val="en-US" w:eastAsia="zh-CN" w:bidi="ar-SA"/>
              </w:rPr>
              <w:t xml:space="preserve">”</w:t>
            </w:r>
            <w:r>
              <w:rPr>
                <w:rFonts w:hint="eastAsia" w:ascii="宋体" w:hAnsi="宋体" w:eastAsia="宋体" w:cs="宋体"/>
                <w:b w:val="0"/>
                <w:bCs/>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4.演示四（3分）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 中“</w:t>
            </w:r>
            <w:r>
              <w:rPr>
                <w:rFonts w:hint="eastAsia" w:ascii="宋体" w:hAnsi="宋体" w:eastAsia="宋体" w:cs="宋体"/>
                <w:color w:val="auto"/>
                <w:sz w:val="21"/>
                <w:szCs w:val="21"/>
                <w:lang w:val="en-US" w:eastAsia="zh-CN" w:bidi="ar-SA"/>
              </w:rPr>
              <w:t xml:space="preserve">●13.干预方案生成</w:t>
            </w:r>
            <w:r>
              <w:rPr>
                <w:rFonts w:hint="eastAsia" w:ascii="宋体" w:hAnsi="宋体" w:cs="宋体"/>
                <w:color w:val="auto"/>
                <w:sz w:val="21"/>
                <w:szCs w:val="21"/>
                <w:highlight w:val="none"/>
                <w:u w:val="none"/>
                <w:lang w:val="en-US" w:eastAsia="zh-CN" w:bidi="ar-SA"/>
              </w:rPr>
              <w:t xml:space="preserve">”</w:t>
            </w:r>
            <w:r>
              <w:rPr>
                <w:rFonts w:hint="eastAsia" w:ascii="宋体" w:hAnsi="宋体" w:eastAsia="宋体" w:cs="宋体"/>
                <w:b w:val="0"/>
                <w:bCs/>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5.演示五（3分）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 中“●14.内置标准化问卷”要求提供演示，并能满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6.演示六（3分）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 中“</w:t>
            </w:r>
            <w:r>
              <w:rPr>
                <w:rFonts w:hint="eastAsia" w:ascii="宋体" w:hAnsi="宋体" w:eastAsia="宋体" w:cs="宋体"/>
                <w:i w:val="0"/>
                <w:iCs w:val="0"/>
                <w:color w:val="auto"/>
                <w:sz w:val="21"/>
                <w:szCs w:val="21"/>
                <w:highlight w:val="none"/>
                <w:u w:val="none"/>
                <w:lang w:val="en-US" w:eastAsia="zh-CN" w:bidi="ar"/>
              </w:rPr>
              <w:t xml:space="preserve">●（1）嵌入式教学软件功能</w:t>
            </w:r>
            <w:r>
              <w:rPr>
                <w:rFonts w:hint="eastAsia" w:ascii="宋体" w:hAnsi="宋体" w:eastAsia="宋体" w:cs="宋体"/>
                <w:b w:val="0"/>
                <w:bCs/>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7.演示七（3分）</w:t>
            </w:r>
            <w:r/>
          </w:p>
          <w:p>
            <w:pPr>
              <w:ind w:left="0" w:right="0" w:firstLine="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 中“</w:t>
            </w:r>
            <w:r>
              <w:rPr>
                <w:rFonts w:hint="eastAsia" w:ascii="宋体" w:hAnsi="宋体" w:eastAsia="宋体" w:cs="宋体"/>
                <w:i w:val="0"/>
                <w:iCs w:val="0"/>
                <w:color w:val="auto"/>
                <w:sz w:val="21"/>
                <w:szCs w:val="21"/>
                <w:highlight w:val="none"/>
                <w:u w:val="none"/>
                <w:lang w:val="en-US" w:eastAsia="zh-CN" w:bidi="ar"/>
              </w:rPr>
              <w:t xml:space="preserve">●8、云台控制</w:t>
            </w:r>
            <w:r>
              <w:rPr>
                <w:rFonts w:hint="eastAsia" w:ascii="宋体" w:hAnsi="宋体" w:cs="宋体"/>
                <w:color w:val="auto"/>
                <w:sz w:val="21"/>
                <w:szCs w:val="21"/>
                <w:highlight w:val="none"/>
                <w:u w:val="none"/>
                <w:lang w:val="en-US" w:eastAsia="zh-CN" w:bidi="ar-SA"/>
              </w:rPr>
              <w:t xml:space="preserve">”</w:t>
            </w:r>
            <w:r>
              <w:rPr>
                <w:rFonts w:hint="eastAsia" w:ascii="宋体" w:hAnsi="宋体" w:eastAsia="宋体" w:cs="宋体"/>
                <w:b w:val="0"/>
                <w:bCs/>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8.演示八（3分）</w:t>
            </w:r>
            <w:r/>
          </w:p>
          <w:p>
            <w:pPr>
              <w:pStyle w:val="743"/>
              <w:ind w:left="0" w:right="0" w:firstLine="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供应商根据本项目第四章 采购需求 中“</w:t>
            </w:r>
            <w:r>
              <w:rPr>
                <w:rFonts w:hint="eastAsia" w:ascii="宋体" w:hAnsi="宋体" w:eastAsia="宋体" w:cs="宋体"/>
                <w:i w:val="0"/>
                <w:iCs w:val="0"/>
                <w:color w:val="auto"/>
                <w:sz w:val="21"/>
                <w:szCs w:val="21"/>
                <w:highlight w:val="none"/>
                <w:u w:val="none"/>
                <w:lang w:val="en-US" w:eastAsia="zh-CN" w:bidi="ar"/>
              </w:rPr>
              <w:t xml:space="preserve">●11、视频回看</w:t>
            </w:r>
            <w:r>
              <w:rPr>
                <w:rFonts w:hint="eastAsia" w:ascii="宋体" w:hAnsi="宋体" w:eastAsia="宋体" w:cs="宋体"/>
                <w:b w:val="0"/>
                <w:bCs/>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足参数要求的得3分，不满足参数要求或缺少演示点或不提供演示的得0分，本项最高得3分。</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z w:val="21"/>
                <w:szCs w:val="21"/>
                <w:highlight w:val="none"/>
                <w:u w:val="none"/>
                <w:lang w:val="en-US" w:eastAsia="zh-CN" w:bidi="ar-SA"/>
              </w:rPr>
              <w:suppressLineNumbers w:val="0"/>
            </w:pPr>
            <w:r>
              <w:rPr>
                <w:rFonts w:hint="eastAsia" w:ascii="宋体" w:hAnsi="宋体" w:cs="宋体"/>
                <w:color w:val="auto"/>
                <w:sz w:val="21"/>
                <w:szCs w:val="21"/>
                <w:highlight w:val="none"/>
                <w:u w:val="none"/>
                <w:lang w:val="en-US" w:eastAsia="zh-CN"/>
              </w:rPr>
              <w:t xml:space="preserve">质保期承诺</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cs="宋体"/>
                <w:color w:val="auto"/>
                <w:sz w:val="21"/>
                <w:szCs w:val="21"/>
                <w:highlight w:val="none"/>
                <w:u w:val="none"/>
                <w:lang w:val="en-US" w:eastAsia="zh-CN"/>
              </w:rPr>
              <w:t xml:space="preserve">2分</w:t>
            </w:r>
            <w:r/>
          </w:p>
        </w:tc>
        <w:tc>
          <w:tcPr>
            <w:tcW w:w="6494" w:type="dxa"/>
            <w:vAlign w:val="center"/>
            <w:textDirection w:val="lrTb"/>
            <w:noWrap/>
          </w:tcPr>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供应商提供的货物及软件免费质保期不低于3年（自最终验收合格之日起计算），在此基础上每额外增加1年免费质保期，加1分，本项最高加2分。</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u w:val="none"/>
                <w:lang w:val="en-US" w:eastAsia="zh-CN" w:bidi="ar-SA"/>
              </w:rPr>
              <w:t xml:space="preserve">注：须提供加盖供应商公章的质保承诺函（格式自拟），承诺函</w:t>
            </w:r>
            <w:r>
              <w:rPr>
                <w:rFonts w:hint="eastAsia" w:cs="宋体"/>
                <w:color w:val="auto"/>
                <w:sz w:val="21"/>
                <w:szCs w:val="21"/>
                <w:highlight w:val="none"/>
                <w:u w:val="none"/>
                <w:lang w:val="en-US" w:eastAsia="zh-CN" w:bidi="ar-SA"/>
              </w:rPr>
              <w:t xml:space="preserve">至少应包含</w:t>
            </w:r>
            <w:r>
              <w:rPr>
                <w:rFonts w:hint="eastAsia" w:ascii="宋体" w:hAnsi="宋体" w:eastAsia="宋体" w:cs="宋体"/>
                <w:color w:val="auto"/>
                <w:sz w:val="21"/>
                <w:szCs w:val="21"/>
                <w:highlight w:val="none"/>
                <w:u w:val="none"/>
                <w:lang w:val="en-US" w:eastAsia="zh-CN" w:bidi="ar-SA"/>
              </w:rPr>
              <w:t xml:space="preserve">免费质保期总时长、质保范围及质保期内服务标准</w:t>
            </w:r>
            <w:r>
              <w:rPr>
                <w:rFonts w:hint="eastAsia" w:cs="宋体"/>
                <w:color w:val="auto"/>
                <w:sz w:val="21"/>
                <w:szCs w:val="21"/>
                <w:highlight w:val="none"/>
                <w:u w:val="none"/>
                <w:lang w:val="en-US" w:eastAsia="zh-CN" w:bidi="ar-SA"/>
              </w:rPr>
              <w:t xml:space="preserve">。</w:t>
            </w:r>
            <w:r/>
          </w:p>
        </w:tc>
      </w:tr>
      <w:tr>
        <w:trPr>
          <w:jc w:val="center"/>
          <w:trHeight w:val="0"/>
        </w:trPr>
        <w:tc>
          <w:tcPr>
            <w:tcW w:w="658" w:type="dxa"/>
            <w:vAlign w:val="center"/>
            <w:vMerge w:val="restart"/>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6</w:t>
            </w:r>
            <w:r/>
          </w:p>
        </w:tc>
        <w:tc>
          <w:tcPr>
            <w:tcW w:w="1246" w:type="dxa"/>
            <w:vAlign w:val="center"/>
            <w:vMerge w:val="restart"/>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项目实施及售后服务方案</w:t>
            </w:r>
            <w:r/>
          </w:p>
        </w:tc>
        <w:tc>
          <w:tcPr>
            <w:tcW w:w="1017" w:type="dxa"/>
            <w:vAlign w:val="center"/>
            <w:vMerge w:val="restart"/>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W w:w="6494"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u w:val="none"/>
                <w:lang w:eastAsia="zh-CN"/>
              </w:rPr>
              <w:suppressLineNumbers w:val="0"/>
            </w:pPr>
            <w:r>
              <w:rPr>
                <w:rFonts w:hint="eastAsia" w:ascii="宋体" w:hAnsi="宋体" w:eastAsia="宋体" w:cs="宋体"/>
                <w:b/>
                <w:bCs/>
                <w:color w:val="auto"/>
                <w:sz w:val="21"/>
                <w:szCs w:val="21"/>
                <w:highlight w:val="none"/>
                <w:u w:val="none"/>
                <w:lang w:val="en-US" w:eastAsia="zh-CN"/>
              </w:rPr>
              <w:t xml:space="preserve">1.</w:t>
            </w:r>
            <w:r>
              <w:rPr>
                <w:rFonts w:hint="eastAsia" w:ascii="宋体" w:hAnsi="宋体" w:eastAsia="宋体" w:cs="宋体"/>
                <w:b/>
                <w:bCs/>
                <w:color w:val="auto"/>
                <w:sz w:val="21"/>
                <w:szCs w:val="21"/>
                <w:highlight w:val="none"/>
                <w:u w:val="none"/>
              </w:rPr>
              <w:t xml:space="preserve">安装</w:t>
            </w:r>
            <w:r>
              <w:rPr>
                <w:rFonts w:hint="eastAsia" w:ascii="宋体" w:hAnsi="宋体" w:eastAsia="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rPr>
              <w:t xml:space="preserve">调试及验收</w:t>
            </w:r>
            <w:r>
              <w:rPr>
                <w:rFonts w:hint="eastAsia" w:ascii="宋体" w:hAnsi="宋体" w:eastAsia="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6分</w:t>
            </w:r>
            <w:r>
              <w:rPr>
                <w:rFonts w:hint="eastAsia" w:ascii="宋体" w:hAnsi="宋体" w:eastAsia="宋体" w:cs="宋体"/>
                <w:b/>
                <w:bCs/>
                <w:color w:val="auto"/>
                <w:sz w:val="21"/>
                <w:szCs w:val="21"/>
                <w:highlight w:val="none"/>
                <w:u w:val="none"/>
                <w:lang w:eastAsia="zh-CN"/>
              </w:rPr>
              <w:t xml:space="preserve">）</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u w:val="none"/>
              </w:rPr>
              <w:t xml:space="preserve">供应商根据本项目第四章“1.安装、调试及验收方案”要求</w:t>
            </w:r>
            <w:r>
              <w:rPr>
                <w:rFonts w:hint="eastAsia" w:ascii="宋体" w:hAnsi="宋体" w:eastAsia="宋体" w:cs="宋体"/>
                <w:color w:val="auto"/>
                <w:sz w:val="21"/>
                <w:szCs w:val="21"/>
                <w:highlight w:val="none"/>
                <w:u w:val="none"/>
                <w:lang w:val="en-US" w:eastAsia="zh-CN"/>
              </w:rPr>
              <w:t xml:space="preserve">提供技术方案</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至少包括以下内容：</w:t>
            </w:r>
            <w:r>
              <w:rPr>
                <w:rFonts w:hint="eastAsia" w:ascii="宋体" w:hAnsi="宋体" w:eastAsia="宋体" w:cs="宋体"/>
                <w:color w:val="auto"/>
                <w:sz w:val="21"/>
                <w:szCs w:val="21"/>
                <w:highlight w:val="none"/>
                <w:u w:val="none"/>
              </w:rPr>
              <w:t xml:space="preserve">（1）安装计划；（2）人员配置；（3）调试方案；（</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）验收程序；</w:t>
            </w:r>
            <w:r>
              <w:rPr>
                <w:rFonts w:hint="eastAsia" w:ascii="宋体" w:hAnsi="宋体" w:eastAsia="宋体" w:cs="宋体"/>
                <w:color w:val="auto"/>
                <w:sz w:val="21"/>
                <w:szCs w:val="21"/>
                <w:highlight w:val="none"/>
                <w:u w:val="none"/>
                <w:lang w:val="en-US" w:eastAsia="zh-CN"/>
              </w:rPr>
              <w:t xml:space="preserve">方案优于项目需求的得</w:t>
            </w:r>
            <w:r>
              <w:rPr>
                <w:rFonts w:hint="eastAsia" w:cs="宋体"/>
                <w:color w:val="auto"/>
                <w:sz w:val="21"/>
                <w:szCs w:val="21"/>
                <w:highlight w:val="none"/>
                <w:u w:val="none"/>
                <w:lang w:val="en-US" w:eastAsia="zh-CN"/>
              </w:rPr>
              <w:t xml:space="preserve">6</w:t>
            </w:r>
            <w:r>
              <w:rPr>
                <w:rFonts w:hint="eastAsia" w:ascii="宋体" w:hAnsi="宋体" w:eastAsia="宋体" w:cs="宋体"/>
                <w:color w:val="auto"/>
                <w:sz w:val="21"/>
                <w:szCs w:val="21"/>
                <w:highlight w:val="none"/>
                <w:u w:val="none"/>
                <w:lang w:val="en-US" w:eastAsia="zh-CN"/>
              </w:rPr>
              <w:t xml:space="preserve">分；满足项目需求的得</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分；不满足或无此项内容的本项不得分。</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且能显著提升项目交付质量与效率的优化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6494"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u w:val="none"/>
                <w:lang w:eastAsia="zh-CN"/>
              </w:rPr>
              <w:suppressLineNumbers w:val="0"/>
            </w:pPr>
            <w:r>
              <w:rPr>
                <w:rFonts w:hint="eastAsia" w:ascii="宋体" w:hAnsi="宋体" w:cs="宋体"/>
                <w:b/>
                <w:bCs/>
                <w:color w:val="auto"/>
                <w:sz w:val="21"/>
                <w:szCs w:val="21"/>
                <w:highlight w:val="none"/>
                <w:u w:val="none"/>
                <w:lang w:val="en-US" w:eastAsia="zh-CN"/>
              </w:rPr>
              <w:t xml:space="preserve">2</w:t>
            </w:r>
            <w:r>
              <w:rPr>
                <w:rFonts w:hint="eastAsia" w:ascii="宋体" w:hAnsi="宋体" w:eastAsia="宋体" w:cs="宋体"/>
                <w:b/>
                <w:bCs/>
                <w:color w:val="auto"/>
                <w:sz w:val="21"/>
                <w:szCs w:val="21"/>
                <w:highlight w:val="none"/>
                <w:u w:val="none"/>
                <w:lang w:val="en-US" w:eastAsia="zh-CN"/>
              </w:rPr>
              <w:t xml:space="preserve">.质量保障与应急服务方案</w:t>
            </w:r>
            <w:r>
              <w:rPr>
                <w:rFonts w:hint="eastAsia" w:ascii="宋体" w:hAnsi="宋体" w:eastAsia="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6</w:t>
            </w:r>
            <w:r>
              <w:rPr>
                <w:rFonts w:hint="eastAsia" w:ascii="宋体" w:hAnsi="宋体" w:eastAsia="宋体" w:cs="宋体"/>
                <w:b/>
                <w:bCs/>
                <w:color w:val="auto"/>
                <w:sz w:val="21"/>
                <w:szCs w:val="21"/>
                <w:highlight w:val="none"/>
                <w:u w:val="none"/>
                <w:lang w:val="en-US" w:eastAsia="zh-CN"/>
              </w:rPr>
              <w:t xml:space="preserve">分</w:t>
            </w:r>
            <w:r>
              <w:rPr>
                <w:rFonts w:hint="eastAsia" w:ascii="宋体" w:hAnsi="宋体" w:eastAsia="宋体" w:cs="宋体"/>
                <w:b/>
                <w:bCs/>
                <w:color w:val="auto"/>
                <w:sz w:val="21"/>
                <w:szCs w:val="21"/>
                <w:highlight w:val="none"/>
                <w:u w:val="none"/>
                <w:lang w:eastAsia="zh-CN"/>
              </w:rPr>
              <w:t xml:space="preserve">）</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u w:val="none"/>
              </w:rPr>
              <w:t xml:space="preserve">供应商根据本项目第四章“</w:t>
            </w:r>
            <w:r>
              <w:rPr>
                <w:rFonts w:hint="eastAsia" w:cs="宋体"/>
                <w:color w:val="auto"/>
                <w:sz w:val="21"/>
                <w:szCs w:val="21"/>
                <w:highlight w:val="none"/>
                <w:u w:val="none"/>
                <w:lang w:val="en-US" w:eastAsia="zh-CN"/>
              </w:rPr>
              <w:t xml:space="preserve">2.质量保障与应急服务方案</w:t>
            </w:r>
            <w:r>
              <w:rPr>
                <w:rFonts w:hint="eastAsia" w:ascii="宋体" w:hAnsi="宋体" w:eastAsia="宋体" w:cs="宋体"/>
                <w:color w:val="auto"/>
                <w:sz w:val="21"/>
                <w:szCs w:val="21"/>
                <w:highlight w:val="none"/>
                <w:u w:val="none"/>
              </w:rPr>
              <w:t xml:space="preserve">”要求</w:t>
            </w:r>
            <w:r>
              <w:rPr>
                <w:rFonts w:hint="eastAsia" w:ascii="宋体" w:hAnsi="宋体" w:eastAsia="宋体" w:cs="宋体"/>
                <w:color w:val="auto"/>
                <w:sz w:val="21"/>
                <w:szCs w:val="21"/>
                <w:highlight w:val="none"/>
                <w:u w:val="none"/>
                <w:lang w:val="en-US" w:eastAsia="zh-CN"/>
              </w:rPr>
              <w:t xml:space="preserve">提供技术方案</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至少包括以下内容：</w:t>
            </w:r>
            <w:r>
              <w:rPr>
                <w:rFonts w:hint="eastAsia" w:ascii="宋体" w:hAnsi="宋体" w:eastAsia="宋体" w:cs="宋体"/>
                <w:color w:val="auto"/>
                <w:sz w:val="21"/>
                <w:szCs w:val="21"/>
                <w:highlight w:val="none"/>
                <w:u w:val="none"/>
              </w:rPr>
              <w:t xml:space="preserve">（1）质量目标；（2）管控措施；（3）产品保证；（4）安全与应急；</w:t>
            </w:r>
            <w:r>
              <w:rPr>
                <w:rFonts w:hint="eastAsia" w:ascii="宋体" w:hAnsi="宋体" w:eastAsia="宋体" w:cs="宋体"/>
                <w:color w:val="auto"/>
                <w:sz w:val="21"/>
                <w:szCs w:val="21"/>
                <w:highlight w:val="none"/>
                <w:u w:val="none"/>
                <w:lang w:val="en-US" w:eastAsia="zh-CN"/>
              </w:rPr>
              <w:t xml:space="preserve">方案优于项目需求的得</w:t>
            </w:r>
            <w:r>
              <w:rPr>
                <w:rFonts w:hint="eastAsia" w:cs="宋体"/>
                <w:color w:val="auto"/>
                <w:sz w:val="21"/>
                <w:szCs w:val="21"/>
                <w:highlight w:val="none"/>
                <w:u w:val="none"/>
                <w:lang w:val="en-US" w:eastAsia="zh-CN"/>
              </w:rPr>
              <w:t xml:space="preserve">6</w:t>
            </w:r>
            <w:r>
              <w:rPr>
                <w:rFonts w:hint="eastAsia" w:ascii="宋体" w:hAnsi="宋体" w:eastAsia="宋体" w:cs="宋体"/>
                <w:color w:val="auto"/>
                <w:sz w:val="21"/>
                <w:szCs w:val="21"/>
                <w:highlight w:val="none"/>
                <w:u w:val="none"/>
                <w:lang w:val="en-US" w:eastAsia="zh-CN"/>
              </w:rPr>
              <w:t xml:space="preserve">分；满足项目需求的得</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分；不满足或无此项内容的本项不得分。</w:t>
            </w:r>
            <w:r/>
          </w:p>
          <w:p>
            <w:pPr>
              <w:ind w:left="0" w:right="0"/>
              <w:jc w:val="left"/>
              <w:keepLines w:val="0"/>
              <w:keepNext w:val="0"/>
              <w:pageBreakBefore w:val="0"/>
              <w:spacing w:before="0" w:beforeAutospacing="0" w:after="0" w:afterAutospacing="0" w:line="320" w:lineRule="exact"/>
              <w:widowControl w:val="off"/>
              <w:rPr>
                <w:rFonts w:hint="default" w:ascii="宋体" w:hAnsi="宋体" w:eastAsia="宋体" w:cs="宋体"/>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且能显著提升项目交付质量与效率的优化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6494"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u w:val="none"/>
                <w:lang w:eastAsia="zh-CN"/>
              </w:rPr>
              <w:suppressLineNumbers w:val="0"/>
            </w:pPr>
            <w:r>
              <w:rPr>
                <w:rFonts w:hint="eastAsia" w:ascii="宋体" w:hAnsi="宋体" w:cs="宋体"/>
                <w:b/>
                <w:bCs/>
                <w:color w:val="auto"/>
                <w:sz w:val="21"/>
                <w:szCs w:val="21"/>
                <w:highlight w:val="none"/>
                <w:u w:val="none"/>
                <w:lang w:val="en-US" w:eastAsia="zh-CN"/>
              </w:rPr>
              <w:t xml:space="preserve">3</w:t>
            </w:r>
            <w:r>
              <w:rPr>
                <w:rFonts w:hint="eastAsia" w:ascii="宋体" w:hAnsi="宋体" w:eastAsia="宋体" w:cs="宋体"/>
                <w:b/>
                <w:bCs/>
                <w:color w:val="auto"/>
                <w:sz w:val="21"/>
                <w:szCs w:val="21"/>
                <w:highlight w:val="none"/>
                <w:u w:val="none"/>
                <w:lang w:val="en-US" w:eastAsia="zh-CN"/>
              </w:rPr>
              <w:t xml:space="preserve">.培训方案</w:t>
            </w:r>
            <w:r>
              <w:rPr>
                <w:rFonts w:hint="eastAsia" w:ascii="宋体" w:hAnsi="宋体" w:eastAsia="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4</w:t>
            </w:r>
            <w:r>
              <w:rPr>
                <w:rFonts w:hint="eastAsia" w:ascii="宋体" w:hAnsi="宋体" w:eastAsia="宋体" w:cs="宋体"/>
                <w:b/>
                <w:bCs/>
                <w:color w:val="auto"/>
                <w:sz w:val="21"/>
                <w:szCs w:val="21"/>
                <w:highlight w:val="none"/>
                <w:u w:val="none"/>
                <w:lang w:val="en-US" w:eastAsia="zh-CN"/>
              </w:rPr>
              <w:t xml:space="preserve">分</w:t>
            </w:r>
            <w:r>
              <w:rPr>
                <w:rFonts w:hint="eastAsia" w:ascii="宋体" w:hAnsi="宋体" w:eastAsia="宋体" w:cs="宋体"/>
                <w:b/>
                <w:bCs/>
                <w:color w:val="auto"/>
                <w:sz w:val="21"/>
                <w:szCs w:val="21"/>
                <w:highlight w:val="none"/>
                <w:u w:val="none"/>
                <w:lang w:eastAsia="zh-CN"/>
              </w:rPr>
              <w:t xml:space="preserve">）</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u w:val="none"/>
              </w:rPr>
              <w:t xml:space="preserve">供应商根据本项目第四章“</w:t>
            </w:r>
            <w:r>
              <w:rPr>
                <w:rFonts w:hint="eastAsia"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rPr>
              <w:t xml:space="preserve">培训方案”要求</w:t>
            </w:r>
            <w:r>
              <w:rPr>
                <w:rFonts w:hint="eastAsia" w:ascii="宋体" w:hAnsi="宋体" w:eastAsia="宋体" w:cs="宋体"/>
                <w:color w:val="auto"/>
                <w:sz w:val="21"/>
                <w:szCs w:val="21"/>
                <w:highlight w:val="none"/>
                <w:u w:val="none"/>
                <w:lang w:val="en-US" w:eastAsia="zh-CN"/>
              </w:rPr>
              <w:t xml:space="preserve">提供技术方案</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至少包括以下内容：</w:t>
            </w:r>
            <w:r>
              <w:rPr>
                <w:rFonts w:hint="eastAsia" w:ascii="宋体" w:hAnsi="宋体" w:eastAsia="宋体" w:cs="宋体"/>
                <w:color w:val="auto"/>
                <w:sz w:val="21"/>
                <w:szCs w:val="21"/>
                <w:highlight w:val="none"/>
                <w:u w:val="none"/>
              </w:rPr>
              <w:t xml:space="preserve">（1）培训目标与周期；（2）师资与安排；（3）内容与质控；</w:t>
            </w:r>
            <w:r>
              <w:rPr>
                <w:rFonts w:hint="eastAsia" w:ascii="宋体" w:hAnsi="宋体" w:eastAsia="宋体" w:cs="宋体"/>
                <w:color w:val="auto"/>
                <w:sz w:val="21"/>
                <w:szCs w:val="21"/>
                <w:highlight w:val="none"/>
                <w:u w:val="none"/>
                <w:lang w:val="en-US" w:eastAsia="zh-CN"/>
              </w:rPr>
              <w:t xml:space="preserve">方案优于项目需求的得</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分；满足项目需求的得</w:t>
            </w:r>
            <w:r>
              <w:rPr>
                <w:rFonts w:hint="eastAsia"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rPr>
              <w:t xml:space="preserve">分；不满足或无此项内容的本项不得分。</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且能显著提升项目交付质量与效率的优化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6494"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b/>
                <w:bCs/>
                <w:color w:val="auto"/>
                <w:sz w:val="21"/>
                <w:szCs w:val="21"/>
                <w:highlight w:val="none"/>
                <w:u w:val="none"/>
                <w:lang w:eastAsia="zh-CN"/>
              </w:rPr>
              <w:suppressLineNumbers w:val="0"/>
            </w:pPr>
            <w:r>
              <w:rPr>
                <w:rFonts w:hint="eastAsia" w:ascii="宋体" w:hAnsi="宋体" w:cs="宋体"/>
                <w:b/>
                <w:bCs/>
                <w:color w:val="auto"/>
                <w:sz w:val="21"/>
                <w:szCs w:val="21"/>
                <w:highlight w:val="none"/>
                <w:u w:val="none"/>
                <w:lang w:val="en-US" w:eastAsia="zh-CN"/>
              </w:rPr>
              <w:t xml:space="preserve">4</w:t>
            </w:r>
            <w:r>
              <w:rPr>
                <w:rFonts w:hint="eastAsia" w:ascii="宋体" w:hAnsi="宋体" w:eastAsia="宋体" w:cs="宋体"/>
                <w:b/>
                <w:bCs/>
                <w:color w:val="auto"/>
                <w:sz w:val="21"/>
                <w:szCs w:val="21"/>
                <w:highlight w:val="none"/>
                <w:u w:val="none"/>
                <w:lang w:val="en-US" w:eastAsia="zh-CN"/>
              </w:rPr>
              <w:t xml:space="preserve">.售后服务方案</w:t>
            </w:r>
            <w:r>
              <w:rPr>
                <w:rFonts w:hint="eastAsia" w:ascii="宋体" w:hAnsi="宋体" w:eastAsia="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4</w:t>
            </w:r>
            <w:r>
              <w:rPr>
                <w:rFonts w:hint="eastAsia" w:ascii="宋体" w:hAnsi="宋体" w:eastAsia="宋体" w:cs="宋体"/>
                <w:b/>
                <w:bCs/>
                <w:color w:val="auto"/>
                <w:sz w:val="21"/>
                <w:szCs w:val="21"/>
                <w:highlight w:val="none"/>
                <w:u w:val="none"/>
                <w:lang w:val="en-US" w:eastAsia="zh-CN"/>
              </w:rPr>
              <w:t xml:space="preserve">分</w:t>
            </w:r>
            <w:r>
              <w:rPr>
                <w:rFonts w:hint="eastAsia" w:ascii="宋体" w:hAnsi="宋体" w:eastAsia="宋体" w:cs="宋体"/>
                <w:b/>
                <w:bCs/>
                <w:color w:val="auto"/>
                <w:sz w:val="21"/>
                <w:szCs w:val="21"/>
                <w:highlight w:val="none"/>
                <w:u w:val="none"/>
                <w:lang w:eastAsia="zh-CN"/>
              </w:rPr>
              <w:t xml:space="preserve">）</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u w:val="none"/>
              </w:rPr>
              <w:t xml:space="preserve">供应商根据本项目第四章“</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售后服务方案”要求</w:t>
            </w:r>
            <w:r>
              <w:rPr>
                <w:rFonts w:hint="eastAsia" w:ascii="宋体" w:hAnsi="宋体" w:eastAsia="宋体" w:cs="宋体"/>
                <w:color w:val="auto"/>
                <w:sz w:val="21"/>
                <w:szCs w:val="21"/>
                <w:highlight w:val="none"/>
                <w:u w:val="none"/>
                <w:lang w:val="en-US" w:eastAsia="zh-CN"/>
              </w:rPr>
              <w:t xml:space="preserve">提供技术方案</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至少包括以下内容：</w:t>
            </w:r>
            <w:r>
              <w:rPr>
                <w:rFonts w:hint="eastAsia" w:ascii="宋体" w:hAnsi="宋体" w:eastAsia="宋体" w:cs="宋体"/>
                <w:color w:val="auto"/>
                <w:sz w:val="21"/>
                <w:szCs w:val="21"/>
                <w:highlight w:val="none"/>
                <w:u w:val="none"/>
              </w:rPr>
              <w:t xml:space="preserve">（1）响应标准</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（2）服务流程与团队</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rPr>
              <w:t xml:space="preserve">）运维支持</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方案优于项目需求的得</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分；满足项目需求的得</w:t>
            </w:r>
            <w:r>
              <w:rPr>
                <w:rFonts w:hint="eastAsia" w:cs="宋体"/>
                <w:color w:val="auto"/>
                <w:sz w:val="21"/>
                <w:szCs w:val="21"/>
                <w:highlight w:val="none"/>
                <w:u w:val="none"/>
                <w:lang w:val="en-US" w:eastAsia="zh-CN"/>
              </w:rPr>
              <w:t xml:space="preserve">2分</w:t>
            </w:r>
            <w:r>
              <w:rPr>
                <w:rFonts w:hint="eastAsia" w:ascii="宋体" w:hAnsi="宋体" w:eastAsia="宋体" w:cs="宋体"/>
                <w:color w:val="auto"/>
                <w:sz w:val="21"/>
                <w:szCs w:val="21"/>
                <w:highlight w:val="none"/>
                <w:u w:val="none"/>
                <w:lang w:val="en-US" w:eastAsia="zh-CN"/>
              </w:rPr>
              <w:t xml:space="preserve">；不满足或无此项内容的本项不得分。</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且能显著提升项目交付质量与效率的优化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节能环保</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2分</w:t>
            </w:r>
            <w:r/>
          </w:p>
        </w:tc>
        <w:tc>
          <w:tcPr>
            <w:tcW w:w="6494" w:type="dxa"/>
            <w:vAlign w:val="center"/>
            <w:textDirection w:val="lrTb"/>
            <w:noWrap/>
          </w:tcPr>
          <w:p>
            <w:pPr>
              <w:pStyle w:val="925"/>
              <w:ind w:left="0" w:right="0" w:firstLine="0"/>
              <w:keepLines w:val="0"/>
              <w:keepNext w:val="0"/>
              <w:pageBreakBefore w:val="0"/>
              <w:spacing w:before="0" w:beforeAutospacing="0" w:after="0" w:afterAutospacing="0" w:line="320" w:lineRule="exact"/>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zh-CN" w:eastAsia="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智能马桶”，属于《关于调整优化节能产品、环境标志产品政府采购执行机制的通知》（财库〔2019〕9 号）规定的强制采购节能产品范畴，</w:t>
            </w:r>
            <w:r>
              <w:rPr>
                <w:rFonts w:hint="eastAsia" w:cs="宋体"/>
                <w:color w:val="auto"/>
                <w:sz w:val="21"/>
                <w:szCs w:val="21"/>
                <w:highlight w:val="none"/>
                <w:lang w:val="en-US" w:eastAsia="zh-CN"/>
              </w:rPr>
              <w:t xml:space="preserve">不再作为加分项。</w:t>
            </w:r>
            <w:r/>
          </w:p>
          <w:p>
            <w:pPr>
              <w:pStyle w:val="925"/>
              <w:ind w:left="0" w:right="0" w:firstLine="0"/>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zh-CN" w:eastAsia="zh-CN"/>
              </w:rPr>
              <w:t xml:space="preserve">2.投标产品属于财政部、生态环境部公布的“环境标志产品品目清单”范围内的，投标人提供国家确定的认证机构出具的、处于有效期内的该环保产品认证证书的，有1个得0.5分，最多得1分。“智能马桶”，属于《关于调整优化节能产品、环境标志产品政府采购执行机制的通知》（财库〔2019〕9 号）规定的强制采购节能产品范畴，</w:t>
            </w:r>
            <w:r>
              <w:rPr>
                <w:rFonts w:hint="eastAsia" w:cs="宋体"/>
                <w:color w:val="auto"/>
                <w:sz w:val="21"/>
                <w:szCs w:val="21"/>
                <w:highlight w:val="none"/>
                <w:lang w:val="en-US" w:eastAsia="zh-CN"/>
              </w:rPr>
              <w:t xml:space="preserve">不再作为加分项。</w:t>
            </w:r>
            <w:r/>
          </w:p>
        </w:tc>
      </w:tr>
    </w:tbl>
    <w:p>
      <w:pPr>
        <w:ind w:firstLine="422"/>
        <w:keepLines w:val="0"/>
        <w:keepNext w:val="0"/>
        <w:pageBreakBefore w:val="0"/>
        <w:spacing w:line="360" w:lineRule="exact"/>
        <w:widowControl w:val="off"/>
        <w:tabs>
          <w:tab w:val="left" w:pos="900" w:leader="none"/>
        </w:tabs>
        <w:rPr>
          <w:highlight w:val="none"/>
        </w:rPr>
      </w:pPr>
      <w:r>
        <w:rPr>
          <w:rFonts w:hint="eastAsia" w:ascii="宋体" w:hAnsi="宋体" w:eastAsia="宋体" w:cs="宋体"/>
          <w:b/>
          <w:color w:val="0000ff"/>
          <w:sz w:val="21"/>
          <w:szCs w:val="21"/>
          <w:highlight w:val="none"/>
          <w:lang w:val="en-US" w:eastAsia="zh-CN"/>
        </w:rPr>
        <w:t xml:space="preserve">注：</w:t>
      </w:r>
      <w:r>
        <w:rPr>
          <w:rFonts w:hint="eastAsia" w:ascii="宋体" w:hAnsi="宋体" w:cs="宋体"/>
          <w:b/>
          <w:color w:val="0000ff"/>
          <w:sz w:val="21"/>
          <w:szCs w:val="21"/>
          <w:highlight w:val="none"/>
          <w:lang w:val="en-US" w:eastAsia="zh-CN"/>
        </w:rPr>
        <w:t xml:space="preserve">1.</w:t>
      </w:r>
      <w:r>
        <w:rPr>
          <w:rFonts w:hint="eastAsia" w:ascii="宋体" w:hAnsi="宋体" w:eastAsia="宋体" w:cs="宋体"/>
          <w:b/>
          <w:color w:val="0000ff"/>
          <w:sz w:val="21"/>
          <w:szCs w:val="21"/>
          <w:highlight w:val="none"/>
          <w:lang w:val="en-US" w:eastAsia="zh-CN"/>
        </w:rPr>
        <w:t xml:space="preserve">上述加分项中需提供相关证明材料的，在该项目</w:t>
      </w:r>
      <w:r>
        <w:rPr>
          <w:rFonts w:hint="eastAsia" w:ascii="宋体" w:hAnsi="宋体" w:cs="宋体"/>
          <w:b/>
          <w:color w:val="0000ff"/>
          <w:sz w:val="21"/>
          <w:szCs w:val="21"/>
          <w:highlight w:val="none"/>
          <w:lang w:val="en-US" w:eastAsia="zh-CN"/>
        </w:rPr>
        <w:t xml:space="preserve">中标</w:t>
      </w:r>
      <w:r>
        <w:rPr>
          <w:rFonts w:hint="eastAsia" w:ascii="宋体" w:hAnsi="宋体" w:eastAsia="宋体" w:cs="宋体"/>
          <w:b/>
          <w:color w:val="0000ff"/>
          <w:sz w:val="21"/>
          <w:szCs w:val="21"/>
          <w:highlight w:val="none"/>
          <w:lang w:val="en-US" w:eastAsia="zh-CN"/>
        </w:rPr>
        <w:t xml:space="preserve">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p>
    <w:p>
      <w:pPr>
        <w:ind w:firstLine="422"/>
        <w:keepLines w:val="0"/>
        <w:keepNext w:val="0"/>
        <w:pageBreakBefore w:val="0"/>
        <w:spacing w:line="360" w:lineRule="exact"/>
        <w:widowControl w:val="off"/>
        <w:tabs>
          <w:tab w:val="left" w:pos="900" w:leader="none"/>
        </w:tabs>
        <w:rPr>
          <w:rFonts w:hint="eastAsia" w:ascii="宋体" w:hAnsi="宋体" w:eastAsia="宋体" w:cs="宋体"/>
          <w:b/>
          <w:color w:val="0000ff"/>
          <w:sz w:val="21"/>
          <w:szCs w:val="21"/>
          <w:highlight w:val="none"/>
          <w:lang w:val="en-US" w:eastAsia="zh-CN"/>
        </w:rPr>
      </w:pPr>
      <w:r>
        <w:rPr>
          <w:rFonts w:hint="eastAsia" w:ascii="宋体" w:hAnsi="宋体" w:cs="宋体"/>
          <w:b/>
          <w:color w:val="0000ff"/>
          <w:sz w:val="21"/>
          <w:szCs w:val="21"/>
          <w:highlight w:val="none"/>
          <w:lang w:val="en-US" w:eastAsia="zh-CN"/>
        </w:rPr>
        <w:t xml:space="preserve">2.</w:t>
      </w:r>
      <w:r>
        <w:rPr>
          <w:rFonts w:hint="eastAsia" w:ascii="宋体" w:hAnsi="宋体" w:eastAsia="宋体" w:cs="宋体"/>
          <w:b/>
          <w:color w:val="0000ff"/>
          <w:sz w:val="21"/>
          <w:szCs w:val="21"/>
          <w:highlight w:val="none"/>
          <w:lang w:val="en-US" w:eastAsia="zh-CN"/>
        </w:rPr>
        <w:t xml:space="preserve">供应商需按照</w:t>
      </w:r>
      <w:r>
        <w:rPr>
          <w:rFonts w:hint="eastAsia" w:ascii="宋体" w:hAnsi="宋体" w:cs="宋体"/>
          <w:b/>
          <w:color w:val="0000ff"/>
          <w:sz w:val="21"/>
          <w:szCs w:val="21"/>
          <w:highlight w:val="none"/>
          <w:lang w:val="en-US" w:eastAsia="zh-CN"/>
        </w:rPr>
        <w:t xml:space="preserve">招标</w:t>
      </w:r>
      <w:r>
        <w:rPr>
          <w:rFonts w:hint="eastAsia" w:ascii="宋体" w:hAnsi="宋体" w:eastAsia="宋体" w:cs="宋体"/>
          <w:b/>
          <w:color w:val="0000ff"/>
          <w:sz w:val="21"/>
          <w:szCs w:val="21"/>
          <w:highlight w:val="none"/>
          <w:lang w:val="en-US" w:eastAsia="zh-CN"/>
        </w:rPr>
        <w:t xml:space="preserve">文件规定的演示内容进行功能演示（视频画面须清晰</w:t>
      </w:r>
      <w:r>
        <w:rPr>
          <w:rFonts w:hint="eastAsia" w:ascii="宋体" w:hAnsi="宋体" w:cs="宋体"/>
          <w:b/>
          <w:color w:val="0000ff"/>
          <w:sz w:val="21"/>
          <w:szCs w:val="21"/>
          <w:highlight w:val="none"/>
          <w:lang w:val="en-US" w:eastAsia="zh-CN"/>
        </w:rPr>
        <w:t xml:space="preserve">，如不清晰导致评委无法评审的，责任由投标人自负</w:t>
      </w:r>
      <w:r>
        <w:rPr>
          <w:rFonts w:hint="eastAsia" w:ascii="宋体" w:hAnsi="宋体" w:eastAsia="宋体" w:cs="宋体"/>
          <w:b/>
          <w:color w:val="0000ff"/>
          <w:sz w:val="21"/>
          <w:szCs w:val="21"/>
          <w:highlight w:val="none"/>
          <w:lang w:val="en-US" w:eastAsia="zh-CN"/>
        </w:rPr>
        <w:t xml:space="preserve">），视频文件的格式为*.mp4或*.avi，供应商须将视频文件分段压缩为*.zip文件上传（单个文件不得大于50M，所有文件总共不得大于300M）。文件上传方式见《苏采云供应商操作手册》规定，上传的演示视频将作为投标文件的组成部分，每个项目根据演示</w:t>
      </w:r>
      <w:r>
        <w:rPr>
          <w:rFonts w:hint="eastAsia" w:ascii="宋体" w:hAnsi="宋体" w:cs="宋体"/>
          <w:b/>
          <w:color w:val="0000ff"/>
          <w:sz w:val="21"/>
          <w:szCs w:val="21"/>
          <w:highlight w:val="none"/>
          <w:lang w:val="en-US" w:eastAsia="zh-CN"/>
        </w:rPr>
        <w:t xml:space="preserve">点</w:t>
      </w:r>
      <w:r>
        <w:rPr>
          <w:rFonts w:hint="eastAsia" w:ascii="宋体" w:hAnsi="宋体" w:eastAsia="宋体" w:cs="宋体"/>
          <w:b/>
          <w:color w:val="0000ff"/>
          <w:sz w:val="21"/>
          <w:szCs w:val="21"/>
          <w:highlight w:val="none"/>
          <w:lang w:val="en-US" w:eastAsia="zh-CN"/>
        </w:rPr>
        <w:t xml:space="preserve">进行评分。</w:t>
      </w:r>
      <w:r/>
    </w:p>
    <w:p>
      <w:pPr>
        <w:pStyle w:val="731"/>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731"/>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901"/>
        <w:rPr>
          <w:rFonts w:hint="eastAsia"/>
        </w:rPr>
      </w:pPr>
      <w:r/>
      <w:bookmarkStart w:id="170" w:name="_Toc234256918"/>
      <w:r/>
      <w:r/>
    </w:p>
    <w:p>
      <w:pPr>
        <w:pStyle w:val="901"/>
        <w:rPr>
          <w:rFonts w:hint="eastAsia"/>
        </w:rPr>
      </w:pPr>
      <w:r>
        <w:rPr>
          <w:rFonts w:hint="eastAsia"/>
        </w:rPr>
      </w:r>
      <w:r/>
    </w:p>
    <w:p>
      <w:pPr>
        <w:pStyle w:val="901"/>
        <w:rPr>
          <w:rFonts w:hint="eastAsia"/>
        </w:rPr>
      </w:pPr>
      <w:r>
        <w:rPr>
          <w:rFonts w:hint="eastAsia"/>
        </w:rPr>
      </w:r>
      <w:bookmarkEnd w:id="1"/>
      <w:bookmarkEnd w:id="42"/>
      <w:bookmarkEnd w:id="89"/>
      <w:bookmarkEnd w:id="90"/>
      <w:bookmarkEnd w:id="91"/>
      <w:bookmarkEnd w:id="92"/>
      <w:bookmarkEnd w:id="93"/>
      <w:bookmarkEnd w:id="94"/>
      <w:bookmarkEnd w:id="95"/>
      <w:bookmarkEnd w:id="96"/>
      <w:bookmarkEnd w:id="105"/>
      <w:bookmarkEnd w:id="106"/>
      <w:bookmarkEnd w:id="113"/>
      <w:bookmarkEnd w:id="160"/>
      <w:bookmarkEnd w:id="166"/>
      <w:bookmarkEnd w:id="170"/>
      <w:r/>
    </w:p>
    <w:p>
      <w:pPr>
        <w:jc w:val="center"/>
        <w:widowControl/>
        <w:rPr>
          <w:rFonts w:ascii="微软雅黑" w:eastAsia="微软雅黑" w:cs="宋体" w:hAnsiTheme="minorEastAsia"/>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rPr>
        <w:t xml:space="preserve">第六章 投标文件格式</w:t>
      </w:r>
      <w:r/>
    </w:p>
    <w:p>
      <w:pPr>
        <w:widowControl/>
        <w:rPr>
          <w:rFonts w:cs="Times New Roman" w:asciiTheme="minorEastAsia" w:hAnsiTheme="minorEastAsia"/>
          <w:b/>
          <w:sz w:val="72"/>
          <w:szCs w:val="72"/>
        </w:rPr>
      </w:pPr>
      <w:r>
        <w:rPr>
          <w:rFonts w:cs="Times New Roman" w:asciiTheme="minorEastAsia" w:hAnsiTheme="minorEastAsia"/>
          <w:b/>
          <w:sz w:val="72"/>
          <w:szCs w:val="72"/>
        </w:rPr>
      </w:r>
      <w:r/>
    </w:p>
    <w:p>
      <w:pPr>
        <w:widowControl/>
        <w:rPr>
          <w:rFonts w:cs="Times New Roman" w:asciiTheme="minorEastAsia" w:hAnsiTheme="minorEastAsia"/>
          <w:b/>
          <w:sz w:val="72"/>
          <w:szCs w:val="72"/>
        </w:rPr>
      </w:pPr>
      <w:r>
        <w:rPr>
          <w:rFonts w:cs="Times New Roman" w:asciiTheme="minorEastAsia" w:hAnsiTheme="minorEastAsia"/>
          <w:b/>
          <w:sz w:val="72"/>
          <w:szCs w:val="72"/>
        </w:rPr>
      </w:r>
      <w:r/>
    </w:p>
    <w:p>
      <w:pPr>
        <w:pStyle w:val="712"/>
      </w:pPr>
      <w:r/>
      <w:r/>
    </w:p>
    <w:p>
      <w:pPr>
        <w:jc w:val="center"/>
        <w:widowControl/>
        <w:rPr>
          <w:rFonts w:asciiTheme="minorEastAsia" w:hAnsiTheme="minorEastAsia" w:cstheme="minorEastAsia"/>
          <w:b/>
          <w:sz w:val="84"/>
          <w:szCs w:val="84"/>
        </w:rPr>
      </w:pPr>
      <w:r>
        <w:rPr>
          <w:rFonts w:hint="eastAsia" w:asciiTheme="minorEastAsia" w:hAnsiTheme="minorEastAsia" w:cstheme="minorEastAsia"/>
          <w:b/>
          <w:sz w:val="84"/>
          <w:szCs w:val="84"/>
        </w:rPr>
        <w:t xml:space="preserve">投 标 文 件</w:t>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widowControl/>
        <w:rPr>
          <w:rFonts w:cs="Times New Roman" w:asciiTheme="minorEastAsia" w:hAnsiTheme="minorEastAsia"/>
          <w:sz w:val="24"/>
        </w:rPr>
      </w:pPr>
      <w:r>
        <w:rPr>
          <w:rFonts w:cs="Times New Roman" w:asciiTheme="minorEastAsia" w:hAnsiTheme="minorEastAsia"/>
          <w:sz w:val="24"/>
        </w:rPr>
      </w:r>
      <w:r/>
    </w:p>
    <w:p>
      <w:pPr>
        <w:pStyle w:val="712"/>
        <w:rPr>
          <w:rFonts w:asciiTheme="minorEastAsia" w:hAnsiTheme="minorEastAsia"/>
          <w:sz w:val="24"/>
        </w:rPr>
      </w:pPr>
      <w:r>
        <w:rPr>
          <w:rFonts w:asciiTheme="minorEastAsia" w:hAnsiTheme="minorEastAsia"/>
          <w:sz w:val="24"/>
        </w:rPr>
      </w:r>
      <w:r/>
    </w:p>
    <w:p>
      <w:r/>
      <w:r/>
    </w:p>
    <w:p>
      <w:pPr>
        <w:pStyle w:val="712"/>
        <w:rPr>
          <w:rFonts w:asciiTheme="minorEastAsia" w:hAnsiTheme="minorEastAsia"/>
          <w:sz w:val="24"/>
        </w:rPr>
      </w:pPr>
      <w:r>
        <w:rPr>
          <w:rFonts w:asciiTheme="minorEastAsia" w:hAnsiTheme="minorEastAsia"/>
          <w:sz w:val="24"/>
        </w:rPr>
      </w:r>
      <w:r/>
    </w:p>
    <w:p>
      <w:pPr>
        <w:pStyle w:val="712"/>
      </w:pPr>
      <w:r/>
      <w:r/>
    </w:p>
    <w:p>
      <w:pPr>
        <w:widowControl/>
        <w:rPr>
          <w:rFonts w:cs="Times New Roman" w:asciiTheme="minorEastAsia" w:hAnsiTheme="minorEastAsia"/>
          <w:sz w:val="24"/>
        </w:rPr>
      </w:pPr>
      <w:r>
        <w:rPr>
          <w:rFonts w:cs="Times New Roman" w:asciiTheme="minorEastAsia" w:hAnsiTheme="minorEastAsia"/>
          <w:sz w:val="24"/>
        </w:rPr>
      </w:r>
      <w:r/>
    </w:p>
    <w:p>
      <w:pPr>
        <w:ind w:firstLine="1134"/>
        <w:spacing w:line="360" w:lineRule="auto"/>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asciiTheme="minorEastAsia" w:hAnsiTheme="minorEastAsia" w:cstheme="minorEastAsia"/>
          <w:b/>
          <w:sz w:val="24"/>
        </w:rPr>
        <w:outlineLvl w:val="1"/>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u w:val="single"/>
        </w:rPr>
        <w:t xml:space="preserve"> （加盖CA电子公章）   </w:t>
      </w:r>
      <w:r/>
    </w:p>
    <w:p>
      <w:pPr>
        <w:ind w:firstLine="1134"/>
        <w:spacing w:line="360" w:lineRule="auto"/>
        <w:widowControl/>
        <w:rPr>
          <w:rFonts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jc w:val="left"/>
        <w:widowControl/>
        <w:rPr>
          <w:rFonts w:cs="Times New Roman" w:asciiTheme="minorEastAsia" w:hAnsiTheme="minorEastAsia"/>
          <w:b/>
          <w:bCs/>
          <w:sz w:val="36"/>
          <w:szCs w:val="36"/>
        </w:rPr>
      </w:pPr>
      <w:r>
        <w:rPr>
          <w:rFonts w:cs="Times New Roman" w:asciiTheme="minorEastAsia" w:hAnsiTheme="minorEastAsia"/>
          <w:b/>
          <w:bCs/>
          <w:sz w:val="36"/>
          <w:szCs w:val="36"/>
        </w:rPr>
        <w:br w:type="page" w:clear="all"/>
      </w:r>
      <w:r/>
    </w:p>
    <w:p>
      <w:pPr>
        <w:jc w:val="center"/>
        <w:spacing w:before="12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二、上一年度的财务状况报</w:t>
      </w:r>
      <w:r>
        <w:rPr>
          <w:rFonts w:hint="eastAsia" w:eastAsia="宋体" w:asciiTheme="minorEastAsia" w:hAnsiTheme="minorEastAsia" w:cstheme="minorEastAsia"/>
          <w:sz w:val="24"/>
          <w:lang w:val="en-US" w:eastAsia="zh-CN"/>
        </w:rPr>
        <w:t xml:space="preserve">表</w:t>
      </w:r>
      <w:r>
        <w:rPr>
          <w:rFonts w:hint="eastAsia" w:asciiTheme="minorEastAsia" w:hAnsiTheme="minorEastAsia" w:cstheme="minorEastAsia"/>
          <w:sz w:val="24"/>
        </w:rPr>
        <w:t xml:space="preserve">（至少提供资产负债表、利润表、现金流量表，投标人成立不满一年无需提供）</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七、法人授权书</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八、投标函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十一、关于符合本国产品标准的声明函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十二、投标分项报价表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十三、技术要求响应及偏离表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十四、商务要求响应及偏离表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十五、开标一览表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十六、</w:t>
      </w:r>
      <w:r>
        <w:rPr>
          <w:rFonts w:hint="eastAsia" w:ascii="宋体" w:hAnsi="宋体" w:eastAsia="宋体" w:cs="宋体"/>
          <w:sz w:val="24"/>
        </w:rPr>
        <w:t xml:space="preserve">技术方案、服务承诺、培训承诺等</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十七、盐城市政府</w:t>
      </w:r>
      <w:r>
        <w:rPr>
          <w:rFonts w:hint="eastAsia" w:ascii="宋体" w:hAnsi="宋体" w:eastAsia="宋体" w:cs="宋体"/>
          <w:sz w:val="24"/>
        </w:rPr>
        <w:t xml:space="preserve">采购</w:t>
      </w:r>
      <w:r>
        <w:rPr>
          <w:rFonts w:hint="eastAsia" w:asciiTheme="minorEastAsia" w:hAnsiTheme="minorEastAsia" w:cstheme="minorEastAsia"/>
          <w:sz w:val="24"/>
        </w:rPr>
        <w:t xml:space="preserve">事前信用承诺书</w:t>
      </w:r>
      <w:r/>
    </w:p>
    <w:p>
      <w:pPr>
        <w:rPr>
          <w:rFonts w:asciiTheme="minorEastAsia" w:hAnsiTheme="minorEastAsia" w:cstheme="minorEastAsia"/>
          <w:sz w:val="24"/>
        </w:rPr>
      </w:pPr>
      <w:r>
        <w:rPr>
          <w:rFonts w:hint="eastAsia" w:asciiTheme="minorEastAsia" w:hAnsiTheme="minorEastAsia" w:cstheme="minorEastAsia"/>
          <w:sz w:val="24"/>
        </w:rPr>
        <w:br w:type="page" w:clear="all"/>
      </w:r>
      <w:r/>
    </w:p>
    <w:p>
      <w:pPr>
        <w:pStyle w:val="926"/>
        <w:jc w:val="center"/>
        <w:spacing w:beforeAutospacing="0" w:afterAutospacing="0" w:line="4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一、法人或者其他组织的营业执照等证明文件，自然人的   身份证明</w:t>
      </w:r>
      <w:r/>
    </w:p>
    <w:p>
      <w:pPr>
        <w:spacing w:before="120"/>
        <w:widowControl/>
        <w:rPr>
          <w:rFonts w:asciiTheme="minorEastAsia" w:hAnsiTheme="minorEastAsia" w:cstheme="minorEastAsia"/>
          <w:b/>
          <w:bCs/>
          <w:sz w:val="32"/>
          <w:szCs w:val="32"/>
        </w:rPr>
      </w:pPr>
      <w:r>
        <w:rPr>
          <w:rFonts w:asciiTheme="minorEastAsia" w:hAnsiTheme="minorEastAsia" w:cstheme="minorEastAsia"/>
          <w:b/>
          <w:bCs/>
          <w:sz w:val="32"/>
          <w:szCs w:val="32"/>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line="360" w:lineRule="auto"/>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二、上一年度的财务状况报告</w:t>
      </w:r>
      <w:r/>
    </w:p>
    <w:p>
      <w:pPr>
        <w:jc w:val="center"/>
        <w:spacing w:line="360" w:lineRule="auto"/>
        <w:widowControl/>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31"/>
        <w:jc w:val="both"/>
        <w:spacing w:line="360" w:lineRule="auto"/>
        <w:widowControl/>
        <w:rPr>
          <w:rFonts w:ascii="宋体" w:hAnsi="宋体" w:eastAsia="宋体" w:cs="宋体"/>
        </w:rPr>
      </w:pPr>
      <w:r>
        <w:rPr>
          <w:rFonts w:ascii="宋体" w:hAnsi="宋体" w:eastAsia="宋体" w:cs="宋体"/>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731"/>
        <w:ind w:firstLine="480"/>
        <w:jc w:val="both"/>
        <w:spacing w:line="560" w:lineRule="exact"/>
        <w:widowControl/>
        <w:rPr>
          <w:rFonts w:asciiTheme="minorEastAsia" w:hAnsiTheme="minorEastAsia" w:cstheme="minorEastAsia"/>
        </w:rPr>
      </w:pPr>
      <w:r>
        <w:rPr>
          <w:rFonts w:hint="eastAsia" w:asciiTheme="minorEastAsia" w:hAnsi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731"/>
        <w:ind w:firstLine="480"/>
        <w:jc w:val="both"/>
        <w:widowControl/>
        <w:rPr>
          <w:rFonts w:asciiTheme="minorEastAsia" w:hAnsiTheme="minorEastAsia" w:cstheme="minorEastAsia"/>
        </w:rPr>
      </w:pPr>
      <w:r>
        <w:rPr>
          <w:rFonts w:hint="eastAsia" w:asciiTheme="minorEastAsia" w:hAnsiTheme="minorEastAsia" w:cstheme="minorEastAsia"/>
        </w:rPr>
        <w:t xml:space="preserve">主要设备有：</w:t>
      </w:r>
      <w:r>
        <w:rPr>
          <w:rFonts w:hint="eastAsia" w:asciiTheme="minorEastAsia" w:hAnsiTheme="minorEastAsia" w:cstheme="minorEastAsia"/>
          <w:u w:val="single"/>
        </w:rPr>
        <w:t xml:space="preserve">              </w:t>
      </w:r>
      <w:r>
        <w:rPr>
          <w:rFonts w:hint="eastAsia" w:asciiTheme="minorEastAsia" w:hAnsiTheme="minorEastAsia" w:cstheme="minorEastAsia"/>
        </w:rPr>
        <w:t xml:space="preserve">。</w:t>
      </w:r>
      <w:r/>
    </w:p>
    <w:p>
      <w:pPr>
        <w:pStyle w:val="731"/>
        <w:ind w:firstLine="480"/>
        <w:jc w:val="both"/>
        <w:widowControl/>
        <w:rPr>
          <w:rFonts w:ascii="微软雅黑" w:hAnsi="宋体" w:eastAsia="微软雅黑" w:cs="宋体"/>
          <w:iCs/>
        </w:rPr>
      </w:pPr>
      <w:r>
        <w:rPr>
          <w:rFonts w:hint="eastAsia" w:asciiTheme="minorEastAsia" w:hAnsiTheme="minorEastAsia" w:cstheme="minorEastAsia"/>
        </w:rPr>
        <w:t xml:space="preserve">主要专业技术能力有：</w:t>
      </w:r>
      <w:r>
        <w:rPr>
          <w:rFonts w:hint="eastAsia" w:asciiTheme="minorEastAsia" w:hAnsiTheme="minorEastAsia" w:cstheme="minorEastAsia"/>
          <w:u w:val="single"/>
        </w:rPr>
        <w:t xml:space="preserve">     </w:t>
      </w:r>
      <w:r>
        <w:rPr>
          <w:rFonts w:hint="eastAsia" w:asciiTheme="minorEastAsia" w:hAnsiTheme="minorEastAsia" w:cstheme="minorEastAsia"/>
        </w:rPr>
        <w:t xml:space="preserve">。</w:t>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731"/>
        <w:ind w:firstLine="480"/>
        <w:jc w:val="both"/>
        <w:spacing w:beforeAutospacing="0" w:afterAutospacing="0" w:line="500" w:lineRule="exact"/>
        <w:widowControl/>
        <w:rPr>
          <w:rFonts w:ascii="宋体" w:hAnsi="宋体" w:eastAsia="宋体" w:cs="宋体"/>
        </w:rPr>
      </w:pPr>
      <w:r>
        <w:rPr>
          <w:rFonts w:hint="eastAsia" w:asciiTheme="minorEastAsia" w:hAnsi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jc w:val="left"/>
        <w:spacing w:line="500" w:lineRule="exac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五、参加政府采购活动前3年内在经营活动中没有重大违法记录的书面声明</w:t>
      </w:r>
      <w:r/>
    </w:p>
    <w:p>
      <w:pPr>
        <w:pStyle w:val="731"/>
        <w:jc w:val="center"/>
        <w:spacing w:line="500" w:lineRule="exact"/>
        <w:widowControl/>
        <w:rPr>
          <w:rFonts w:asciiTheme="minorEastAsia" w:hAnsiTheme="minorEastAsia" w:cstheme="minorEastAsia"/>
          <w:b/>
        </w:rPr>
      </w:pPr>
      <w:r>
        <w:rPr>
          <w:rFonts w:hint="eastAsia" w:asciiTheme="minorEastAsia" w:hAnsiTheme="minorEastAsia" w:cstheme="minorEastAsia"/>
          <w:b/>
          <w:sz w:val="44"/>
          <w:szCs w:val="44"/>
        </w:rPr>
        <w:t xml:space="preserve">声  明</w:t>
      </w:r>
      <w:r/>
    </w:p>
    <w:p>
      <w:pPr>
        <w:pStyle w:val="731"/>
        <w:ind w:firstLine="480"/>
        <w:jc w:val="both"/>
        <w:spacing w:line="500" w:lineRule="exact"/>
        <w:widowControl/>
        <w:rPr>
          <w:rFonts w:asciiTheme="minorEastAsia" w:hAnsiTheme="minorEastAsia" w:cstheme="minorEastAsia"/>
        </w:rPr>
      </w:pPr>
      <w:r>
        <w:rPr>
          <w:rFonts w:hint="eastAsia" w:asciiTheme="minorEastAsia" w:hAnsiTheme="minorEastAsia" w:cs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731"/>
        <w:jc w:val="both"/>
        <w:spacing w:line="560" w:lineRule="exact"/>
        <w:widowControl/>
        <w:rPr>
          <w:rFonts w:asciiTheme="minorEastAsia" w:hAnsiTheme="minorEastAsia" w:cstheme="minorEastAsia"/>
        </w:rPr>
      </w:pPr>
      <w:r>
        <w:rPr>
          <w:rFonts w:asciiTheme="minorEastAsia" w:hAnsiTheme="minorEastAsia" w:cstheme="minorEastAsia"/>
        </w:rPr>
      </w:r>
      <w:r/>
    </w:p>
    <w:p>
      <w:pPr>
        <w:jc w:val="left"/>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line="36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六、特定资格要求的证明文件</w:t>
      </w:r>
      <w:r/>
    </w:p>
    <w:p>
      <w:pPr>
        <w:pStyle w:val="731"/>
        <w:jc w:val="center"/>
        <w:spacing w:afterAutospacing="0" w:line="360" w:lineRule="exact"/>
        <w:widowControl/>
        <w:rPr>
          <w:rFonts w:ascii="宋体" w:hAnsi="宋体" w:eastAsia="宋体" w:cs="宋体"/>
        </w:rPr>
      </w:pPr>
      <w:r>
        <w:rPr>
          <w:rFonts w:hint="eastAsia" w:ascii="宋体" w:hAnsi="宋体" w:eastAsia="宋体" w:cs="宋体"/>
        </w:rPr>
        <w:t xml:space="preserve">如果本项目申请人的特定资格要求中要求提供的，必须提供。</w:t>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七、法人授权书</w:t>
      </w:r>
      <w:r/>
    </w:p>
    <w:p>
      <w:pPr>
        <w:pStyle w:val="731"/>
        <w:ind w:firstLine="480"/>
        <w:jc w:val="both"/>
        <w:spacing w:line="560" w:lineRule="exact"/>
        <w:widowControl/>
        <w:rPr>
          <w:rFonts w:asciiTheme="minorEastAsia" w:hAnsiTheme="minorEastAsia" w:cstheme="minorEastAsia"/>
        </w:rPr>
      </w:pPr>
      <w:r>
        <w:rPr>
          <w:rFonts w:hint="eastAsia" w:asciiTheme="minorEastAsia" w:hAnsiTheme="minorEastAsia" w:cstheme="minorEastAsia"/>
        </w:rPr>
        <w:t xml:space="preserve">本授权书声明：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（供应商名称）授权</w:t>
      </w:r>
      <w:r>
        <w:rPr>
          <w:rFonts w:hint="eastAsia" w:asciiTheme="minorEastAsia" w:hAnsiTheme="minorEastAsia" w:cstheme="minorEastAsia"/>
          <w:u w:val="single"/>
        </w:rPr>
        <w:t xml:space="preserve">            </w:t>
      </w:r>
      <w:r>
        <w:rPr>
          <w:rFonts w:hint="eastAsia" w:asciiTheme="minorEastAsia" w:hAnsiTheme="minorEastAsia" w:cstheme="minorEastAsia"/>
        </w:rPr>
        <w:t xml:space="preserve">（被授权人的姓名）为我方就</w:t>
      </w:r>
      <w:r>
        <w:rPr>
          <w:rFonts w:hint="eastAsia" w:eastAsia="宋体" w:asciiTheme="minorEastAsia" w:hAnsiTheme="minorEastAsia" w:cstheme="minorEastAsia"/>
          <w:u w:val="single"/>
          <w:lang w:eastAsia="zh-CN"/>
        </w:rPr>
        <w:t xml:space="preserve">JSZC-320900-JSZH-G2026-0065</w:t>
      </w:r>
      <w:r>
        <w:rPr>
          <w:rFonts w:hint="eastAsia" w:asciiTheme="minorEastAsia" w:hAnsiTheme="minorEastAsia" w:cstheme="minorEastAsia"/>
        </w:rPr>
        <w:t xml:space="preserve">号</w:t>
      </w:r>
      <w:r>
        <w:rPr>
          <w:rFonts w:hint="eastAsia" w:eastAsia="宋体" w:asciiTheme="minorEastAsia" w:hAnsiTheme="minorEastAsia" w:cstheme="minorEastAsia"/>
          <w:u w:val="single"/>
          <w:lang w:eastAsia="zh-CN"/>
        </w:rPr>
        <w:t xml:space="preserve">江苏省盐城技师学院家政服务专业设备及数字化智慧养老实训基地设备采购项目</w:t>
      </w:r>
      <w:r>
        <w:rPr>
          <w:rFonts w:hint="eastAsia" w:asciiTheme="minorEastAsia" w:hAnsiTheme="minorEastAsia" w:cstheme="minorEastAsia"/>
        </w:rPr>
        <w:t xml:space="preserve">采购活动的合法代理人，以本单位名义全权处理一切与该项目采购有关的事务。</w:t>
      </w:r>
      <w:r/>
    </w:p>
    <w:p>
      <w:pPr>
        <w:pStyle w:val="731"/>
        <w:ind w:firstLine="480"/>
        <w:jc w:val="both"/>
        <w:spacing w:line="400" w:lineRule="exact"/>
        <w:widowControl/>
        <w:rPr>
          <w:rFonts w:asciiTheme="minorEastAsia" w:hAnsiTheme="minorEastAsia" w:cstheme="minorEastAsia"/>
        </w:rPr>
      </w:pPr>
      <w:r>
        <w:rPr>
          <w:rFonts w:hint="eastAsia" w:asciiTheme="minorEastAsia" w:hAnsiTheme="minorEastAsia" w:cstheme="minorEastAsia"/>
        </w:rPr>
        <w:t xml:space="preserve">本授权书于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年</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月</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日起生效，特此声明。</w:t>
      </w:r>
      <w:r/>
    </w:p>
    <w:p>
      <w:pPr>
        <w:pStyle w:val="731"/>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被授权人身份证号码：</w:t>
      </w:r>
      <w:r>
        <w:rPr>
          <w:rFonts w:hint="eastAsia" w:asciiTheme="minorEastAsia" w:hAnsiTheme="minorEastAsia" w:cstheme="minorEastAsia"/>
          <w:u w:val="single"/>
        </w:rPr>
        <w:t xml:space="preserve">                     </w:t>
      </w:r>
      <w:r/>
    </w:p>
    <w:p>
      <w:pPr>
        <w:pStyle w:val="731"/>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被授权人联系电话：</w:t>
      </w:r>
      <w:r>
        <w:rPr>
          <w:rFonts w:hint="eastAsia" w:asciiTheme="minorEastAsia" w:hAnsiTheme="minorEastAsia" w:cstheme="minorEastAsia"/>
          <w:u w:val="single"/>
        </w:rPr>
        <w:t xml:space="preserve">（手机）               </w:t>
      </w:r>
      <w:r/>
    </w:p>
    <w:p>
      <w:pPr>
        <w:pStyle w:val="731"/>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授权单位名称：</w:t>
      </w:r>
      <w:r>
        <w:rPr>
          <w:rFonts w:hint="eastAsia" w:asciiTheme="minorEastAsia" w:hAnsiTheme="minorEastAsia" w:cstheme="minorEastAsia"/>
          <w:u w:val="single"/>
        </w:rPr>
        <w:t xml:space="preserve">    （加盖CA电子公章）         </w:t>
      </w:r>
      <w:r/>
    </w:p>
    <w:p>
      <w:pPr>
        <w:pStyle w:val="731"/>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单位地址：</w:t>
      </w:r>
      <w:r>
        <w:rPr>
          <w:rFonts w:hint="eastAsia" w:asciiTheme="minorEastAsia" w:hAnsiTheme="minorEastAsia" w:cstheme="minorEastAsia"/>
          <w:u w:val="single"/>
        </w:rPr>
        <w:t xml:space="preserve">                               </w:t>
      </w:r>
      <w:r/>
    </w:p>
    <w:p>
      <w:pPr>
        <w:pStyle w:val="731"/>
        <w:ind w:firstLine="480"/>
        <w:jc w:val="both"/>
        <w:spacing w:line="400" w:lineRule="exact"/>
        <w:widowControl/>
        <w:tabs>
          <w:tab w:val="left" w:pos="360" w:leader="none"/>
        </w:tabs>
        <w:rPr>
          <w:rFonts w:asciiTheme="minorEastAsia" w:hAnsiTheme="minorEastAsia" w:cstheme="minorEastAsia"/>
        </w:rPr>
      </w:pPr>
      <w:r>
        <w:rPr>
          <w:rFonts w:hint="eastAsia" w:asciiTheme="minorEastAsia" w:hAnsiTheme="minorEastAsia" w:cstheme="minorEastAsia"/>
        </w:rPr>
        <w:t xml:space="preserve">日    期：</w:t>
      </w:r>
      <w:r>
        <w:rPr>
          <w:rFonts w:hint="eastAsia" w:asciiTheme="minorEastAsia" w:hAnsiTheme="minorEastAsia" w:cstheme="minorEastAsia"/>
          <w:u w:val="single"/>
        </w:rPr>
        <w:t xml:space="preserve">                                   </w:t>
      </w:r>
      <w:r/>
    </w:p>
    <w:p>
      <w:pPr>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八、投标函</w:t>
      </w:r>
      <w:r/>
    </w:p>
    <w:p>
      <w:pPr>
        <w:jc w:val="left"/>
        <w:spacing w:line="500" w:lineRule="exact"/>
        <w:widowControl/>
        <w:rPr>
          <w:rFonts w:hint="default" w:ascii="宋体" w:hAnsi="宋体" w:eastAsia="宋体" w:cs="宋体"/>
          <w:sz w:val="24"/>
          <w:lang w:val="en-US" w:eastAsia="zh-CN"/>
        </w:rPr>
      </w:pPr>
      <w:r>
        <w:rPr>
          <w:rFonts w:hint="eastAsia" w:ascii="宋体" w:hAnsi="宋体" w:cs="宋体"/>
          <w:sz w:val="24"/>
        </w:rPr>
        <w:t xml:space="preserve">致：</w:t>
      </w:r>
      <w:r>
        <w:rPr>
          <w:rFonts w:hint="eastAsia" w:ascii="宋体" w:hAnsi="宋体" w:eastAsia="宋体" w:cs="宋体"/>
          <w:sz w:val="24"/>
          <w:lang w:val="en-US" w:eastAsia="zh-CN"/>
        </w:rPr>
        <w:t xml:space="preserve">江苏省盐城技师学院</w:t>
      </w:r>
      <w:r/>
    </w:p>
    <w:p>
      <w:pPr>
        <w:ind w:firstLine="480"/>
        <w:jc w:val="left"/>
        <w:spacing w:line="500" w:lineRule="exact"/>
        <w:widowControl/>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 </w:t>
      </w:r>
      <w:r>
        <w:rPr>
          <w:rFonts w:hint="eastAsia" w:ascii="宋体" w:hAnsi="宋体" w:eastAsia="宋体" w:cs="宋体"/>
          <w:sz w:val="24"/>
          <w:u w:val="single"/>
          <w:lang w:eastAsia="zh-CN"/>
        </w:rPr>
        <w:t xml:space="preserve">JSZC-320900-JSZH-G2026-0065</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widowControl/>
        <w:rPr>
          <w:rFonts w:ascii="宋体" w:hAnsi="宋体" w:cs="宋体"/>
          <w:sz w:val="24"/>
        </w:rPr>
      </w:pPr>
      <w:r>
        <w:rPr>
          <w:rFonts w:hint="eastAsia" w:ascii="宋体" w:hAnsi="宋体" w:cs="宋体"/>
          <w:sz w:val="24"/>
        </w:rPr>
        <w:t xml:space="preserve">据此函，__________签字人兹宣布同意如下：</w:t>
      </w:r>
      <w:r/>
    </w:p>
    <w:p>
      <w:pPr>
        <w:ind w:firstLine="480"/>
        <w:spacing w:line="500" w:lineRule="exact"/>
        <w:widowControl/>
        <w:rPr>
          <w:rFonts w:ascii="宋体" w:hAnsi="宋体" w:cs="宋体"/>
          <w:sz w:val="24"/>
        </w:rPr>
      </w:pPr>
      <w:r>
        <w:rPr>
          <w:rFonts w:hint="eastAsia" w:ascii="宋体" w:hAnsi="宋体" w:cs="宋体"/>
          <w:sz w:val="24"/>
        </w:rPr>
        <w:t xml:space="preserve">1.按招标文件规定的各项要求，向买方提供所需货物（包含与货物相关的服务）。</w:t>
      </w:r>
      <w:r/>
    </w:p>
    <w:p>
      <w:pPr>
        <w:ind w:firstLine="480"/>
        <w:spacing w:line="500" w:lineRule="exact"/>
        <w:widowControl/>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spacing w:line="500" w:lineRule="exact"/>
        <w:widowControl/>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spacing w:line="500" w:lineRule="exact"/>
        <w:widowControl/>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spacing w:line="500" w:lineRule="exact"/>
        <w:widowControl/>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spacing w:line="500" w:lineRule="exact"/>
        <w:widowControl/>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widowControl/>
        <w:rPr>
          <w:rFonts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widowControl/>
        <w:rPr>
          <w:rFonts w:ascii="宋体" w:hAnsi="宋体" w:cs="宋体"/>
          <w:sz w:val="24"/>
        </w:rPr>
      </w:pPr>
      <w:r>
        <w:rPr>
          <w:rFonts w:hint="eastAsia" w:ascii="宋体" w:hAnsi="宋体" w:cs="宋体"/>
          <w:sz w:val="24"/>
        </w:rPr>
        <w:t xml:space="preserve">地      址：</w:t>
      </w:r>
      <w:r/>
    </w:p>
    <w:p>
      <w:pPr>
        <w:ind w:firstLine="480"/>
        <w:jc w:val="left"/>
        <w:spacing w:line="500" w:lineRule="exact"/>
        <w:widowControl/>
        <w:rPr>
          <w:rFonts w:ascii="宋体" w:hAnsi="宋体" w:cs="宋体"/>
          <w:sz w:val="24"/>
        </w:rPr>
      </w:pPr>
      <w:r>
        <w:rPr>
          <w:rFonts w:hint="eastAsia" w:ascii="宋体" w:hAnsi="宋体" w:cs="宋体"/>
          <w:sz w:val="24"/>
        </w:rPr>
        <w:t xml:space="preserve">邮      编：</w:t>
      </w:r>
      <w:r/>
    </w:p>
    <w:p>
      <w:pPr>
        <w:ind w:firstLine="480"/>
        <w:jc w:val="left"/>
        <w:spacing w:line="500" w:lineRule="exact"/>
        <w:widowControl/>
        <w:rPr>
          <w:rFonts w:ascii="宋体" w:hAnsi="宋体" w:cs="宋体"/>
          <w:sz w:val="24"/>
        </w:rPr>
      </w:pPr>
      <w:r>
        <w:rPr>
          <w:rFonts w:hint="eastAsia" w:ascii="宋体" w:hAnsi="宋体" w:cs="宋体"/>
          <w:sz w:val="24"/>
        </w:rPr>
        <w:t xml:space="preserve">电      话：</w:t>
      </w:r>
      <w:r/>
    </w:p>
    <w:p>
      <w:pPr>
        <w:ind w:firstLine="480"/>
        <w:jc w:val="left"/>
        <w:spacing w:line="500" w:lineRule="exact"/>
        <w:widowControl/>
        <w:rPr>
          <w:rFonts w:ascii="宋体" w:hAnsi="宋体" w:cs="宋体"/>
          <w:sz w:val="24"/>
        </w:rPr>
      </w:pPr>
      <w:r>
        <w:rPr>
          <w:rFonts w:hint="eastAsia" w:ascii="宋体" w:hAnsi="宋体" w:cs="宋体"/>
          <w:sz w:val="24"/>
        </w:rPr>
        <w:t xml:space="preserve">传       真：</w:t>
      </w:r>
      <w:r/>
    </w:p>
    <w:p>
      <w:pPr>
        <w:ind w:firstLine="480"/>
        <w:jc w:val="left"/>
        <w:spacing w:line="500" w:lineRule="exact"/>
        <w:widowControl/>
        <w:rPr>
          <w:rFonts w:ascii="宋体" w:hAnsi="宋体" w:cs="宋体"/>
          <w:sz w:val="24"/>
        </w:rPr>
      </w:pPr>
      <w:r>
        <w:rPr>
          <w:rFonts w:hint="eastAsia" w:ascii="宋体" w:hAnsi="宋体" w:cs="宋体"/>
          <w:sz w:val="24"/>
        </w:rPr>
        <w:t xml:space="preserve">投标人开户行：</w:t>
      </w:r>
      <w:r/>
    </w:p>
    <w:p>
      <w:pPr>
        <w:ind w:firstLine="480"/>
        <w:jc w:val="left"/>
        <w:spacing w:line="500" w:lineRule="exact"/>
        <w:widowControl/>
        <w:rPr>
          <w:rFonts w:ascii="宋体" w:hAnsi="宋体" w:cs="宋体"/>
          <w:sz w:val="24"/>
        </w:rPr>
      </w:pPr>
      <w:r>
        <w:rPr>
          <w:rFonts w:hint="eastAsia" w:ascii="宋体" w:hAnsi="宋体" w:cs="宋体"/>
          <w:sz w:val="24"/>
        </w:rPr>
        <w:t xml:space="preserve">账       号：</w:t>
      </w:r>
      <w:r/>
    </w:p>
    <w:p>
      <w:pPr>
        <w:ind w:firstLine="480"/>
        <w:jc w:val="left"/>
        <w:spacing w:line="500" w:lineRule="exact"/>
        <w:widowControl/>
      </w:pPr>
      <w:r>
        <w:rPr>
          <w:rFonts w:hint="eastAsia" w:ascii="宋体" w:hAnsi="宋体" w:cs="宋体"/>
          <w:sz w:val="24"/>
        </w:rPr>
        <w:t xml:space="preserve">日      期：______年____月____日</w:t>
      </w:r>
      <w:r>
        <w:t xml:space="preserve"> </w:t>
      </w:r>
      <w:r/>
    </w:p>
    <w:p>
      <w:pPr>
        <w:jc w:val="left"/>
        <w:widowControl/>
        <w:rPr>
          <w:rFonts w:ascii="黑体" w:hAnsi="黑体" w:eastAsia="黑体" w:cs="黑体"/>
          <w:i/>
          <w:sz w:val="32"/>
          <w:szCs w:val="32"/>
        </w:rPr>
      </w:pPr>
      <w:r>
        <w:rPr>
          <w:rFonts w:ascii="黑体" w:hAnsi="黑体" w:eastAsia="黑体" w:cs="黑体"/>
          <w:i/>
          <w:sz w:val="32"/>
          <w:szCs w:val="32"/>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九、中小企业声明函（货物）</w:t>
      </w:r>
      <w:r/>
    </w:p>
    <w:p>
      <w:pPr>
        <w:ind w:firstLine="480"/>
        <w:spacing w:line="519" w:lineRule="atLeas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eastAsia="宋体" w:cs="宋体"/>
          <w:sz w:val="24"/>
          <w:lang w:val="en-US" w:eastAsia="zh-CN"/>
        </w:rPr>
        <w:t xml:space="preserve">江苏省盐城技师学院</w:t>
      </w:r>
      <w:r>
        <w:rPr>
          <w:rFonts w:ascii="宋体" w:hAnsi="宋体" w:cs="宋体"/>
          <w:sz w:val="24"/>
        </w:rPr>
        <w:t xml:space="preserve">组织的</w:t>
      </w:r>
      <w:r>
        <w:rPr>
          <w:rFonts w:hint="eastAsia" w:ascii="宋体" w:hAnsi="宋体" w:cs="宋体"/>
          <w:sz w:val="24"/>
        </w:rPr>
        <w:t xml:space="preserve">，</w:t>
      </w:r>
      <w:r>
        <w:rPr>
          <w:rFonts w:ascii="宋体" w:hAnsi="宋体" w:cs="宋体"/>
          <w:sz w:val="24"/>
        </w:rPr>
        <w:t xml:space="preserve">采购编号为</w:t>
      </w:r>
      <w:r>
        <w:rPr>
          <w:rFonts w:hint="eastAsia" w:ascii="宋体" w:hAnsi="宋体" w:eastAsia="宋体" w:cs="宋体"/>
          <w:sz w:val="24"/>
          <w:u w:val="single"/>
          <w:lang w:eastAsia="zh-CN"/>
        </w:rPr>
        <w:t xml:space="preserve">JSZC-320900-JSZH-G2026-0065</w:t>
      </w:r>
      <w:r>
        <w:rPr>
          <w:rFonts w:ascii="宋体" w:hAnsi="宋体" w:cs="宋体"/>
          <w:sz w:val="24"/>
        </w:rPr>
        <w:t xml:space="preserve">，</w:t>
      </w:r>
      <w:r>
        <w:rPr>
          <w:rFonts w:hint="eastAsia" w:ascii="宋体" w:hAnsi="宋体" w:eastAsia="宋体" w:cs="宋体"/>
          <w:sz w:val="24"/>
          <w:u w:val="single"/>
          <w:lang w:eastAsia="zh-CN"/>
        </w:rPr>
        <w:t xml:space="preserve">江苏省盐城技师学院家政服务专业设备及数字化智慧养老实训基地设备采购项目</w:t>
      </w:r>
      <w:r>
        <w:rPr>
          <w:rFonts w:ascii="宋体" w:hAnsi="宋体" w:cs="宋体"/>
          <w:sz w:val="24"/>
        </w:rPr>
        <w:t xml:space="preserve">的采购活动，提供的货物全部由符合政策要</w:t>
      </w:r>
      <w:r>
        <w:rPr>
          <w:rFonts w:hint="eastAsia" w:ascii="宋体" w:hAnsi="宋体" w:cs="宋体"/>
          <w:sz w:val="24"/>
        </w:rPr>
        <w:t xml:space="preserve">求的</w:t>
      </w:r>
      <w:r>
        <w:rPr>
          <w:rFonts w:ascii="宋体" w:hAnsi="宋体" w:cs="宋体"/>
          <w:sz w:val="24"/>
        </w:rPr>
        <w:t xml:space="preserve">中小企业制造。根据《工业和信息化部、国家统计局、国家发展和改革委员会、财政部关于印发中小企业划型标准规定的通知》(工信部联企业</w:t>
      </w:r>
      <w:r>
        <w:rPr>
          <w:rFonts w:hint="eastAsia" w:ascii="宋体" w:hAnsi="宋体" w:cs="宋体"/>
          <w:sz w:val="24"/>
        </w:rPr>
        <w:t xml:space="preserve">〔2011〕300号</w:t>
      </w:r>
      <w:r>
        <w:rPr>
          <w:rFonts w:ascii="宋体" w:hAnsi="宋体" w:cs="宋体"/>
          <w:sz w:val="24"/>
        </w:rPr>
        <w:t xml:space="preserve">)的规定，相关企业（含联合体中的小微企业、签订分包意向协议的小微企业）的具体情况如下：</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w:t>
      </w:r>
      <w:r>
        <w:rPr>
          <w:rFonts w:hint="eastAsia" w:ascii="宋体" w:hAnsi="宋体" w:cs="宋体"/>
          <w:sz w:val="24"/>
        </w:rPr>
        <w:t xml:space="preserve">制造商为</w:t>
      </w:r>
      <w:r>
        <w:rPr>
          <w:rFonts w:ascii="宋体" w:hAnsi="宋体" w:cs="宋体"/>
          <w:sz w:val="24"/>
        </w:rPr>
        <w:t xml:space="preserve">（</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w:t>
      </w:r>
      <w:r>
        <w:rPr>
          <w:rFonts w:hint="eastAsia" w:ascii="宋体" w:hAnsi="宋体" w:cs="宋体"/>
          <w:sz w:val="24"/>
        </w:rPr>
        <w:t xml:space="preserve">制造商为</w:t>
      </w:r>
      <w:r>
        <w:rPr>
          <w:rFonts w:ascii="宋体" w:hAnsi="宋体" w:cs="宋体"/>
          <w:sz w:val="24"/>
        </w:rPr>
        <w:t xml:space="preserve">（</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widowControl/>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rPr>
          <w:rFonts w:hint="eastAsia" w:ascii="宋体" w:hAnsi="宋体" w:cs="宋体"/>
          <w:sz w:val="24"/>
        </w:rPr>
        <w:t xml:space="preserve">。</w:t>
      </w:r>
      <w:r/>
    </w:p>
    <w:p>
      <w:pPr>
        <w:ind w:firstLine="480"/>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ind w:firstLine="480"/>
        <w:spacing w:line="49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pStyle w:val="731"/>
        <w:ind w:right="1560" w:firstLine="120"/>
        <w:jc w:val="center"/>
        <w:spacing w:line="0" w:lineRule="atLeast"/>
        <w:widowControl/>
        <w:tabs>
          <w:tab w:val="left" w:pos="4864" w:leader="none"/>
        </w:tabs>
        <w:rPr>
          <w:rFonts w:ascii="黑体" w:hAnsi="黑体" w:eastAsia="黑体" w:cs="黑体"/>
          <w:i/>
          <w:sz w:val="32"/>
          <w:szCs w:val="32"/>
        </w:rPr>
      </w:pPr>
      <w:r>
        <w:rPr>
          <w:rFonts w:ascii="黑体" w:hAnsi="黑体" w:eastAsia="黑体" w:cs="黑体"/>
          <w:i/>
          <w:sz w:val="32"/>
          <w:szCs w:val="32"/>
        </w:rPr>
        <w:br w:type="page" w:clear="all"/>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十、残疾人福利性单位声明函</w:t>
      </w:r>
      <w:r/>
    </w:p>
    <w:p>
      <w:pPr>
        <w:ind w:firstLine="480"/>
        <w:jc w:val="left"/>
        <w:spacing w:line="560" w:lineRule="exact"/>
        <w:widowControl/>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0"/>
          <w:u w:val="single"/>
          <w:lang w:val="en-US" w:eastAsia="zh-CN"/>
        </w:rPr>
        <w:t xml:space="preserve">江苏省盐城技师学院</w:t>
      </w:r>
      <w:r>
        <w:rPr>
          <w:rFonts w:hint="eastAsia" w:ascii="宋体" w:hAnsi="宋体" w:cs="宋体"/>
          <w:sz w:val="24"/>
        </w:rPr>
        <w:t xml:space="preserve">单位的采购文件编号为</w:t>
      </w:r>
      <w:r>
        <w:rPr>
          <w:rFonts w:hint="eastAsia" w:ascii="宋体" w:hAnsi="宋体" w:eastAsia="宋体" w:cs="宋体"/>
          <w:sz w:val="24"/>
          <w:u w:val="single"/>
          <w:lang w:eastAsia="zh-CN"/>
        </w:rPr>
        <w:t xml:space="preserve">JSZC-320900-JSZH-G2026-0065</w:t>
      </w:r>
      <w:r>
        <w:rPr>
          <w:rFonts w:hint="eastAsia" w:ascii="宋体" w:hAnsi="宋体" w:cs="宋体"/>
          <w:sz w:val="24"/>
        </w:rPr>
        <w:t xml:space="preserve">的</w:t>
      </w:r>
      <w:r>
        <w:rPr>
          <w:rFonts w:hint="eastAsia" w:ascii="宋体" w:hAnsi="宋体" w:eastAsia="宋体" w:cs="宋体"/>
          <w:sz w:val="24"/>
          <w:u w:val="single"/>
          <w:lang w:eastAsia="zh-CN"/>
        </w:rPr>
        <w:t xml:space="preserve">江苏省盐城技师学院家政服务专业设备及数字化智慧养老实训基地设备采购项目</w:t>
      </w:r>
      <w:r>
        <w:rPr>
          <w:rFonts w:hint="eastAsia" w:ascii="宋体" w:hAnsi="宋体" w:cs="宋体"/>
          <w:sz w:val="24"/>
        </w:rPr>
        <w:t xml:space="preserve">采购活动提供本单位制造的货物，或者提供其他残疾人福利性单位制造的货物（不包括使用非残疾人福利性单位注册商标的货物）。</w:t>
      </w:r>
      <w:r/>
    </w:p>
    <w:p>
      <w:pPr>
        <w:ind w:firstLine="480"/>
        <w:jc w:val="left"/>
        <w:spacing w:line="560" w:lineRule="exact"/>
        <w:widowControl/>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60" w:lineRule="exact"/>
        <w:widowControl/>
        <w:rPr>
          <w:rFonts w:ascii="宋体" w:hAnsi="宋体" w:cs="宋体"/>
          <w:sz w:val="24"/>
        </w:rPr>
      </w:pPr>
      <w:r>
        <w:rPr>
          <w:rFonts w:ascii="宋体" w:hAnsi="宋体" w:cs="宋体"/>
          <w:sz w:val="24"/>
        </w:rPr>
      </w:r>
      <w:r/>
    </w:p>
    <w:p>
      <w:pPr>
        <w:ind w:firstLine="480"/>
        <w:spacing w:line="499"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eastAsia="宋体" w:cs="宋体"/>
          <w:sz w:val="24"/>
        </w:rPr>
        <w:t xml:space="preserve">。</w:t>
      </w:r>
      <w:r/>
    </w:p>
    <w:p>
      <w:pPr>
        <w:ind w:firstLine="480"/>
        <w:jc w:val="left"/>
        <w:spacing w:line="520" w:lineRule="exact"/>
        <w:widowControl/>
        <w:rPr>
          <w:rFonts w:ascii="宋体" w:hAnsi="宋体" w:cs="宋体"/>
          <w:sz w:val="24"/>
        </w:rPr>
      </w:pPr>
      <w:r>
        <w:rPr>
          <w:rFonts w:ascii="宋体" w:hAnsi="宋体" w:cs="宋体"/>
          <w:sz w:val="24"/>
        </w:rPr>
      </w:r>
      <w:r/>
    </w:p>
    <w:p>
      <w:pPr>
        <w:ind w:firstLine="480"/>
        <w:jc w:val="left"/>
        <w:spacing w:line="520" w:lineRule="exact"/>
        <w:widowControl/>
        <w:rPr>
          <w:rFonts w:ascii="宋体" w:hAnsi="宋体" w:cs="宋体"/>
          <w:sz w:val="24"/>
        </w:rPr>
      </w:pPr>
      <w:r>
        <w:rPr>
          <w:rFonts w:ascii="宋体" w:hAnsi="宋体" w:cs="宋体"/>
          <w:sz w:val="24"/>
        </w:rPr>
      </w:r>
      <w:r/>
    </w:p>
    <w:p>
      <w:pPr>
        <w:ind w:right="480" w:firstLine="480"/>
        <w:jc w:val="right"/>
        <w:spacing w:line="520" w:lineRule="exact"/>
        <w:widowControl/>
        <w:rPr>
          <w:rFonts w:ascii="宋体" w:hAnsi="宋体" w:cs="宋体"/>
          <w:sz w:val="24"/>
        </w:rPr>
      </w:pPr>
      <w:r>
        <w:rPr>
          <w:rFonts w:hint="eastAsia" w:ascii="宋体" w:hAnsi="宋体" w:cs="宋体"/>
          <w:sz w:val="24"/>
        </w:rPr>
        <w:t xml:space="preserve">企业名称（加盖CA电子公章）：</w:t>
      </w:r>
      <w:r/>
    </w:p>
    <w:p>
      <w:pPr>
        <w:ind w:right="480" w:firstLine="480"/>
        <w:jc w:val="right"/>
        <w:spacing w:line="520" w:lineRule="exact"/>
        <w:widowControl/>
      </w:pPr>
      <w:r>
        <w:rPr>
          <w:rFonts w:hint="eastAsia" w:ascii="宋体" w:hAnsi="宋体" w:cs="宋体"/>
          <w:sz w:val="24"/>
        </w:rPr>
        <w:t xml:space="preserve">日  期：</w:t>
      </w:r>
      <w:r/>
    </w:p>
    <w:p>
      <w:pPr>
        <w:widowControl/>
        <w:rPr>
          <w:rFonts w:ascii="微软雅黑" w:hAnsi="宋体" w:eastAsia="微软雅黑" w:cs="黑体"/>
          <w:iCs/>
          <w:sz w:val="30"/>
          <w:szCs w:val="30"/>
        </w:rPr>
      </w:pPr>
      <w:r>
        <w:rPr>
          <w:rFonts w:ascii="微软雅黑" w:hAnsi="宋体" w:eastAsia="微软雅黑" w:cs="黑体"/>
          <w:iCs/>
          <w:sz w:val="30"/>
          <w:szCs w:val="30"/>
        </w:rPr>
        <w:br w:type="page" w:clear="all"/>
      </w:r>
      <w:r/>
    </w:p>
    <w:p>
      <w:pPr>
        <w:pStyle w:val="731"/>
        <w:jc w:val="center"/>
        <w:spacing w:beforeAutospacing="0" w:afterAutospacing="0"/>
      </w:pPr>
      <w:r>
        <w:rPr>
          <w:rFonts w:hint="eastAsia" w:ascii="黑体" w:hAnsi="黑体" w:eastAsia="黑体" w:cs="黑体"/>
          <w:i/>
          <w:sz w:val="32"/>
          <w:szCs w:val="32"/>
          <w:u w:val="single"/>
        </w:rPr>
        <w:t xml:space="preserve">十一、关于符合本国产品标准的声明函</w:t>
      </w:r>
      <w:r/>
    </w:p>
    <w:p>
      <w:pPr>
        <w:pStyle w:val="731"/>
        <w:ind w:firstLine="420"/>
        <w:jc w:val="both"/>
        <w:spacing w:beforeAutospacing="0" w:afterAutospacing="0"/>
      </w:pPr>
      <w:r>
        <w:rPr>
          <w:rFonts w:ascii="Arial" w:hAnsi="Arial" w:cs="Arial"/>
          <w:color w:val="ff0000"/>
        </w:rPr>
        <w:t xml:space="preserve"> </w:t>
      </w:r>
      <w:r/>
    </w:p>
    <w:p>
      <w:pPr>
        <w:pStyle w:val="731"/>
        <w:ind w:firstLine="420"/>
        <w:jc w:val="both"/>
        <w:spacing w:beforeAutospacing="0" w:afterAutospacing="0" w:line="360" w:lineRule="auto"/>
      </w:pPr>
      <w:r>
        <w:rPr>
          <w:rFonts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1"/>
        <w:ind w:firstLine="420"/>
        <w:jc w:val="both"/>
        <w:spacing w:before="30" w:beforeAutospacing="0" w:after="30" w:afterAutospacing="0" w:line="360" w:lineRule="auto"/>
      </w:pPr>
      <w:r>
        <w:rPr>
          <w:rFonts w:ascii="宋体" w:hAnsi="宋体" w:eastAsia="宋体" w:cs="宋体"/>
          <w:shd w:val="clear" w:color="auto" w:fill="ffffff"/>
        </w:rPr>
        <w:t xml:space="preserve">1.</w:t>
      </w:r>
      <w:r>
        <w:rPr>
          <w:rFonts w:ascii="宋体" w:hAnsi="宋体" w:eastAsia="宋体" w:cs="宋体"/>
          <w:u w:val="single"/>
          <w:shd w:val="clear" w:color="auto" w:fill="ffffff"/>
        </w:rPr>
        <w:t xml:space="preserve">（产品名称1）</w:t>
      </w:r>
      <w:r>
        <w:rPr>
          <w:rFonts w:ascii="宋体" w:hAnsi="宋体" w:eastAsia="宋体" w:cs="宋体"/>
          <w:shd w:val="clear" w:color="auto" w:fill="ffffff"/>
          <w:vertAlign w:val="superscript"/>
        </w:rPr>
        <w:t xml:space="preserve">1</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vertAlign w:val="superscript"/>
        </w:rPr>
        <w:t xml:space="preserve">2</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 （产品名称1）</w:t>
      </w:r>
      <w:r>
        <w:rPr>
          <w:rFonts w:ascii="宋体" w:hAnsi="宋体" w:eastAsia="宋体" w:cs="宋体"/>
          <w:u w:val="single"/>
          <w:shd w:val="clear" w:color="auto" w:fill="ffffff"/>
        </w:rPr>
        <w:t xml:space="preserve"> </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trike/>
          <w:shd w:val="clear" w:color="auto" w:fill="ffffff"/>
          <w:vertAlign w:val="superscript"/>
        </w:rPr>
        <w:t xml:space="preserve">3</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trike/>
          <w:shd w:val="clear" w:color="auto" w:fill="ffffff"/>
          <w:vertAlign w:val="superscript"/>
        </w:rPr>
        <w:t xml:space="preserve">4</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trike/>
          <w:shd w:val="clear" w:color="auto" w:fill="ffffff"/>
          <w:vertAlign w:val="superscript"/>
        </w:rPr>
        <w:t xml:space="preserve">5</w:t>
      </w:r>
      <w:r>
        <w:rPr>
          <w:rFonts w:ascii="宋体" w:hAnsi="宋体" w:eastAsia="宋体" w:cs="宋体"/>
          <w:shd w:val="clear" w:color="auto" w:fill="ffffff"/>
        </w:rPr>
        <w:t xml:space="preserve">在中国境内完成。</w:t>
      </w:r>
      <w:r/>
    </w:p>
    <w:p>
      <w:pPr>
        <w:pStyle w:val="731"/>
        <w:ind w:firstLine="420"/>
        <w:jc w:val="both"/>
        <w:spacing w:before="30" w:beforeAutospacing="0" w:after="30" w:afterAutospacing="0" w:line="360" w:lineRule="auto"/>
      </w:pPr>
      <w:r>
        <w:rPr>
          <w:rFonts w:ascii="宋体" w:hAnsi="宋体" w:eastAsia="宋体" w:cs="宋体"/>
          <w:shd w:val="clear" w:color="auto" w:fill="ffffff"/>
        </w:rPr>
        <w:t xml:space="preserve">2.</w:t>
      </w:r>
      <w:r>
        <w:rPr>
          <w:rFonts w:ascii="宋体" w:hAnsi="宋体" w:eastAsia="宋体" w:cs="宋体"/>
          <w:u w:val="single"/>
          <w:shd w:val="clear" w:color="auto" w:fill="ffffff"/>
        </w:rPr>
        <w:t xml:space="preserve">（产品名称2）</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hd w:val="clear" w:color="auto" w:fill="ffffff"/>
        </w:rPr>
        <w:t xml:space="preserve">在中国境内完成。</w:t>
      </w:r>
      <w:r/>
    </w:p>
    <w:p>
      <w:pPr>
        <w:pStyle w:val="731"/>
        <w:ind w:firstLine="420"/>
        <w:jc w:val="both"/>
        <w:spacing w:before="30" w:beforeAutospacing="0" w:after="30" w:afterAutospacing="0" w:line="360" w:lineRule="auto"/>
      </w:pPr>
      <w:r>
        <w:rPr>
          <w:rFonts w:ascii="宋体" w:hAnsi="宋体" w:eastAsia="宋体" w:cs="宋体"/>
          <w:shd w:val="clear" w:color="auto" w:fill="ffffff"/>
        </w:rPr>
        <w:t xml:space="preserve">……</w:t>
      </w:r>
      <w:r/>
    </w:p>
    <w:p>
      <w:pPr>
        <w:pStyle w:val="731"/>
        <w:ind w:right="480"/>
        <w:spacing w:before="30" w:beforeAutospacing="0" w:after="30" w:afterAutospacing="0" w:line="360" w:lineRule="auto"/>
        <w:rPr>
          <w:rFonts w:ascii="宋体" w:hAnsi="宋体" w:eastAsia="宋体" w:cs="宋体"/>
          <w:shd w:val="clear" w:color="auto" w:fill="ffffff"/>
        </w:rPr>
      </w:pPr>
      <w:r>
        <w:rPr>
          <w:rFonts w:ascii="宋体" w:hAnsi="宋体" w:eastAsia="宋体" w:cs="宋体"/>
          <w:shd w:val="clear" w:color="auto" w:fill="ffffff"/>
        </w:rPr>
        <w:t xml:space="preserve">本公司（单位）对上述声明内容的真实性负责。如有虚假，愿承担相应法律责任。</w:t>
      </w:r>
      <w:r>
        <w:rPr>
          <w:rFonts w:hint="eastAsia" w:ascii="宋体" w:hAnsi="宋体" w:eastAsia="宋体" w:cs="宋体"/>
          <w:shd w:val="clear" w:color="auto" w:fill="ffffff"/>
        </w:rPr>
        <w:t xml:space="preserve"> </w:t>
      </w:r>
      <w:r/>
    </w:p>
    <w:p>
      <w:pPr>
        <w:pStyle w:val="731"/>
        <w:ind w:right="480"/>
        <w:jc w:val="center"/>
        <w:spacing w:before="30" w:beforeAutospacing="0" w:after="30" w:afterAutospacing="0" w:line="360" w:lineRule="auto"/>
      </w:pPr>
      <w:r>
        <w:rPr>
          <w:rFonts w:hint="eastAsia" w:ascii="宋体" w:hAnsi="宋体" w:eastAsia="宋体" w:cs="宋体"/>
          <w:shd w:val="clear" w:color="auto" w:fill="ffffff"/>
        </w:rPr>
        <w:t xml:space="preserve">                                           </w:t>
      </w:r>
      <w:r>
        <w:rPr>
          <w:rFonts w:ascii="宋体" w:hAnsi="宋体" w:eastAsia="宋体" w:cs="宋体"/>
          <w:shd w:val="clear" w:color="auto" w:fill="ffffff"/>
        </w:rPr>
        <w:t xml:space="preserve">公司（单位）名称（盖章）：</w:t>
      </w:r>
      <w:r/>
    </w:p>
    <w:p>
      <w:pPr>
        <w:pStyle w:val="731"/>
        <w:jc w:val="both"/>
        <w:spacing w:before="30" w:beforeAutospacing="0" w:after="30" w:afterAutospacing="0" w:line="360" w:lineRule="auto"/>
      </w:pPr>
      <w:r>
        <w:rPr>
          <w:rFonts w:ascii="宋体" w:hAnsi="宋体" w:eastAsia="宋体" w:cs="宋体"/>
          <w:shd w:val="clear" w:color="auto" w:fill="ffffff"/>
        </w:rPr>
        <w:t xml:space="preserve">                       日期：　   年　  月　  日</w:t>
      </w:r>
      <w:r/>
    </w:p>
    <w:p>
      <w:pPr>
        <w:pStyle w:val="731"/>
        <w:jc w:val="both"/>
        <w:spacing w:before="30" w:beforeAutospacing="0" w:after="30" w:afterAutospacing="0" w:line="360" w:lineRule="auto"/>
        <w:rPr>
          <w:b/>
          <w:bCs/>
        </w:rPr>
      </w:pPr>
      <w:r>
        <w:rPr>
          <w:rFonts w:ascii="宋体" w:hAnsi="宋体" w:eastAsia="宋体" w:cs="宋体"/>
          <w:b/>
          <w:bCs/>
          <w:shd w:val="clear" w:color="auto" w:fill="ffffff"/>
        </w:rPr>
        <w:t xml:space="preserve">1.产品如有型号，请在“产品名称”栏一并填写。</w:t>
      </w:r>
      <w:r/>
    </w:p>
    <w:p>
      <w:pPr>
        <w:pStyle w:val="731"/>
        <w:jc w:val="both"/>
        <w:spacing w:before="30" w:beforeAutospacing="0" w:after="30" w:afterAutospacing="0" w:line="360" w:lineRule="auto"/>
        <w:rPr>
          <w:b/>
          <w:bCs/>
        </w:rPr>
      </w:pPr>
      <w:r>
        <w:rPr>
          <w:rFonts w:ascii="宋体" w:hAnsi="宋体" w:eastAsia="宋体" w:cs="宋体"/>
          <w:b/>
          <w:bCs/>
          <w:shd w:val="clear" w:color="auto" w:fill="ffffff"/>
        </w:rPr>
        <w:t xml:space="preserve">2.生产厂名与厂址应与生产厂营业执照载明的相关信息保持一致。</w:t>
      </w:r>
      <w:r/>
    </w:p>
    <w:p>
      <w:pPr>
        <w:pStyle w:val="731"/>
        <w:jc w:val="both"/>
        <w:spacing w:before="30" w:beforeAutospacing="0" w:after="30" w:afterAutospacing="0" w:line="360" w:lineRule="auto"/>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731"/>
        <w:jc w:val="both"/>
        <w:spacing w:before="30" w:beforeAutospacing="0" w:after="30" w:afterAutospacing="0" w:line="360" w:lineRule="auto"/>
        <w:rPr>
          <w:b/>
          <w:bCs/>
        </w:rPr>
      </w:pPr>
      <w:r>
        <w:rPr>
          <w:rFonts w:ascii="宋体" w:hAnsi="宋体" w:eastAsia="宋体" w:cs="宋体"/>
          <w:b/>
          <w:bCs/>
          <w:shd w:val="clear" w:color="auto" w:fill="ffffff"/>
        </w:rPr>
        <w:t xml:space="preserve">4.该产品的关键组件要求实施前，“关键组件”栏可不填，下同。</w:t>
      </w:r>
      <w:r/>
    </w:p>
    <w:p>
      <w:pPr>
        <w:pStyle w:val="731"/>
        <w:jc w:val="both"/>
        <w:spacing w:before="30" w:beforeAutospacing="0" w:after="30" w:afterAutospacing="0" w:line="360" w:lineRule="auto"/>
        <w:rPr>
          <w:b/>
          <w:bCs/>
        </w:rPr>
      </w:pPr>
      <w:r>
        <w:rPr>
          <w:rFonts w:ascii="宋体" w:hAnsi="宋体" w:eastAsia="宋体" w:cs="宋体"/>
          <w:b/>
          <w:bCs/>
          <w:shd w:val="clear" w:color="auto" w:fill="ffffff"/>
        </w:rPr>
        <w:t xml:space="preserve">5.该产品的关键工序要求实施前，“关键工序”栏可不填，下同。</w:t>
      </w:r>
      <w:r/>
    </w:p>
    <w:p>
      <w:pPr>
        <w:pStyle w:val="731"/>
        <w:jc w:val="both"/>
        <w:spacing w:before="30" w:beforeAutospacing="0" w:after="30" w:afterAutospacing="0" w:line="360" w:lineRule="auto"/>
        <w:rPr>
          <w:rFonts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spacing w:line="360" w:lineRule="auto"/>
        <w:rPr>
          <w:b/>
          <w:bCs/>
        </w:rPr>
      </w:pPr>
      <w:r>
        <w:rPr>
          <w:rFonts w:hint="eastAsia" w:ascii="宋体" w:hAnsi="宋体" w:eastAsia="宋体" w:cs="宋体"/>
          <w:b/>
          <w:bCs/>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12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712"/>
      </w:pPr>
      <w:r/>
      <w:r/>
    </w:p>
    <w:tbl>
      <w:tblPr>
        <w:tblStyle w:val="707"/>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68"/>
        <w:gridCol w:w="980"/>
        <w:gridCol w:w="980"/>
        <w:gridCol w:w="980"/>
        <w:gridCol w:w="1280"/>
        <w:gridCol w:w="1157"/>
        <w:gridCol w:w="1012"/>
      </w:tblGrid>
      <w:tr>
        <w:trPr>
          <w:jc w:val="center"/>
          <w:trHeight w:val="700"/>
        </w:trPr>
        <w:tc>
          <w:tcPr>
            <w:shd w:val="clear" w:color="auto" w:fill="auto"/>
            <w:tcW w:w="739" w:type="dxa"/>
            <w:vAlign w:val="center"/>
            <w:textDirection w:val="lrTb"/>
            <w:noWrap w:val="false"/>
          </w:tcPr>
          <w:p>
            <w:pPr>
              <w:ind w:left="0" w:right="0"/>
              <w:keepLines w:val="0"/>
              <w:keepNext w:val="0"/>
              <w:spacing w:before="0" w:beforeAutospacing="0" w:after="0" w:afterAutospacing="0"/>
              <w:widowControl/>
              <w:rPr>
                <w:rFonts w:ascii="Calibri" w:hAnsi="Calibri" w:eastAsia="宋体" w:cs="宋体"/>
                <w:color w:val="000000"/>
                <w:sz w:val="24"/>
              </w:rPr>
              <w:suppressLineNumbers w:val="0"/>
            </w:pPr>
            <w:r/>
            <w:bookmarkStart w:id="171" w:name="RANGE!A2"/>
            <w:r/>
            <w:bookmarkEnd w:id="171"/>
            <w:r>
              <w:rPr>
                <w:rFonts w:hint="eastAsia" w:ascii="宋体" w:hAnsi="宋体" w:eastAsia="宋体" w:cs="宋体"/>
                <w:color w:val="000000"/>
                <w:sz w:val="24"/>
              </w:rPr>
              <w:t xml:space="preserve">序号</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产品名称</w:t>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品牌及型号</w:t>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交付期</w:t>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分项单价</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分项</w:t>
            </w:r>
            <w:r/>
          </w:p>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总价</w:t>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jc w:val="center"/>
          <w:trHeight w:val="700"/>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1</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ascii="宋体" w:hAnsi="宋体"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r>
      <w:tr>
        <w:trPr>
          <w:jc w:val="center"/>
          <w:trHeight w:val="1033"/>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2</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ascii="宋体" w:hAnsi="宋体"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r>
      <w:tr>
        <w:trPr>
          <w:jc w:val="center"/>
          <w:trHeight w:val="1033"/>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3</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ascii="宋体" w:hAnsi="宋体"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r>
      <w:tr>
        <w:trPr>
          <w:jc w:val="center"/>
          <w:trHeight w:val="700"/>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4</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ascii="宋体" w:hAnsi="宋体"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r>
      <w:tr>
        <w:trPr>
          <w:jc w:val="center"/>
          <w:trHeight w:val="700"/>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5</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ascii="宋体" w:hAnsi="宋体"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r>
      <w:tr>
        <w:trPr>
          <w:jc w:val="center"/>
          <w:trHeight w:val="367"/>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w:t>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r>
      <w:tr>
        <w:trPr>
          <w:jc w:val="center"/>
          <w:trHeight w:val="599"/>
        </w:trPr>
        <w:tc>
          <w:tcPr>
            <w:gridSpan w:val="7"/>
            <w:shd w:val="clear" w:color="auto" w:fill="auto"/>
            <w:tcW w:w="7684"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4"/>
              </w:rPr>
              <w:suppressLineNumbers w:val="0"/>
            </w:pPr>
            <w:r>
              <w:rPr>
                <w:rFonts w:hint="eastAsia" w:ascii="宋体" w:hAnsi="宋体" w:eastAsia="宋体" w:cs="宋体"/>
                <w:color w:val="000000"/>
                <w:sz w:val="24"/>
              </w:rPr>
              <w:t xml:space="preserve">投标总报价（人民币：元）</w:t>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000000"/>
                <w:sz w:val="24"/>
              </w:rPr>
              <w:suppressLineNumbers w:val="0"/>
            </w:pPr>
            <w:r>
              <w:rPr>
                <w:rFonts w:ascii="Calibri" w:hAnsi="Calibri" w:eastAsia="宋体" w:cs="宋体"/>
                <w:color w:val="000000"/>
                <w:sz w:val="24"/>
              </w:rPr>
            </w:r>
            <w:r/>
          </w:p>
        </w:tc>
      </w:tr>
      <w:tr>
        <w:trPr>
          <w:jc w:val="center"/>
          <w:trHeight w:val="863"/>
        </w:trPr>
        <w:tc>
          <w:tcPr>
            <w:gridSpan w:val="8"/>
            <w:shd w:val="clear" w:color="auto" w:fill="auto"/>
            <w:tcW w:w="8696" w:type="dxa"/>
            <w:vAlign w:val="center"/>
            <w:textDirection w:val="lrTb"/>
            <w:noWrap w:val="false"/>
          </w:tcPr>
          <w:p>
            <w:pPr>
              <w:ind w:left="0" w:right="0"/>
              <w:keepLines w:val="0"/>
              <w:keepNext w:val="0"/>
              <w:spacing w:before="0" w:beforeAutospacing="0" w:after="0" w:afterAutospacing="0"/>
              <w:widowControl/>
              <w:rPr>
                <w:rFonts w:ascii="宋体" w:hAnsi="宋体" w:eastAsia="宋体" w:cs="宋体"/>
                <w:color w:val="ff0000"/>
                <w:sz w:val="24"/>
              </w:rPr>
              <w:suppressLineNumbers w:val="0"/>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w:t>
            </w:r>
            <w:r>
              <w:rPr>
                <w:rFonts w:hint="eastAsia" w:ascii="宋体" w:hAnsi="宋体" w:eastAsia="宋体" w:cs="宋体"/>
                <w:sz w:val="24"/>
              </w:rPr>
              <w:t xml:space="preserve">%。</w:t>
            </w:r>
            <w:r/>
          </w:p>
        </w:tc>
      </w:tr>
    </w:tbl>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备注：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2.“投标分项报价表”中“投标总报价”数额应当与“开标一览表”中“投标总报价”数额一致。</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spacing w:before="12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tbl>
      <w:tblPr>
        <w:tblStyle w:val="707"/>
        <w:tblpPr w:horzAnchor="page" w:tblpXSpec="center" w:vertAnchor="text" w:tblpY="390" w:leftFromText="180" w:topFromText="0" w:rightFromText="180" w:bottomFromText="0"/>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3260"/>
        <w:gridCol w:w="2031"/>
        <w:gridCol w:w="1555"/>
        <w:gridCol w:w="1323"/>
      </w:tblGrid>
      <w:tr>
        <w:trPr>
          <w:jc w:val="center"/>
          <w:trHeight w:val="1396"/>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序号</w:t>
            </w:r>
            <w:r/>
          </w:p>
        </w:tc>
        <w:tc>
          <w:tcPr>
            <w:tcW w:w="326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招标文件要求</w:t>
            </w:r>
            <w:r/>
          </w:p>
        </w:tc>
        <w:tc>
          <w:tcPr>
            <w:tcW w:w="203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投标响应情况</w:t>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超出、符合或偏离</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证明材料</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3260" w:type="dxa"/>
            <w:vAlign w:val="center"/>
            <w:textDirection w:val="lrTb"/>
            <w:noWrap w:val="false"/>
          </w:tcPr>
          <w:p>
            <w:pPr>
              <w:ind w:left="0" w:right="0"/>
              <w:jc w:val="center"/>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w:t>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sz w:val="24"/>
              </w:rPr>
              <w:suppressLineNumbers w:val="0"/>
            </w:pPr>
            <w:r>
              <w:rPr>
                <w:rFonts w:asciiTheme="minorEastAsia" w:hAnsiTheme="minorEastAsia" w:cstheme="minorEastAsia"/>
                <w:sz w:val="24"/>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bl>
    <w:p>
      <w:pPr>
        <w:pStyle w:val="731"/>
        <w:widowControl/>
        <w:rPr>
          <w:rFonts w:asciiTheme="minorEastAsia" w:hAnsiTheme="minorEastAsia" w:cstheme="minorEastAsia"/>
        </w:rPr>
      </w:pPr>
      <w:r>
        <w:rPr>
          <w:rFonts w:hint="eastAsia" w:asciiTheme="minorEastAsia" w:hAnsiTheme="minorEastAsia" w:cstheme="minorEastAsia"/>
        </w:rPr>
        <w:t xml:space="preserve">注：行数不够，可自行添加。</w:t>
      </w:r>
      <w:r>
        <w:rPr>
          <w:rFonts w:asciiTheme="minorEastAsia" w:hAnsiTheme="minorEastAsia"/>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十四、商务要求响应及偏离表</w:t>
      </w:r>
      <w:r/>
    </w:p>
    <w:tbl>
      <w:tblPr>
        <w:tblStyle w:val="707"/>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序号</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招标文件要求</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投标响应情况</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超出、符合或偏离</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sz w:val="24"/>
              </w:rPr>
              <w:suppressLineNumbers w:val="0"/>
            </w:pPr>
            <w:r>
              <w:rPr>
                <w:rFonts w:hint="eastAsia" w:asciiTheme="minorEastAsia" w:hAnsiTheme="minorEastAsia" w:cstheme="minorEastAsia"/>
                <w:sz w:val="24"/>
              </w:rPr>
              <w:t xml:space="preserve">　</w:t>
            </w:r>
            <w:r/>
          </w:p>
        </w:tc>
      </w:tr>
    </w:tbl>
    <w:p>
      <w:pPr>
        <w:pStyle w:val="731"/>
        <w:widowControl/>
        <w:rPr>
          <w:rFonts w:ascii="微软雅黑" w:hAnsi="宋体" w:eastAsia="微软雅黑" w:cs="黑体"/>
          <w:iCs/>
          <w:sz w:val="30"/>
          <w:szCs w:val="30"/>
        </w:rPr>
      </w:pPr>
      <w:r>
        <w:rPr>
          <w:rFonts w:hint="eastAsia" w:asciiTheme="minorEastAsia" w:hAnsiTheme="minorEastAsia" w:cstheme="minorEastAsia"/>
        </w:rPr>
        <w:t xml:space="preserve">注：行数不够，可自行添加。</w:t>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line="400" w:lineRule="exact"/>
        <w:widowControl/>
        <w:rPr>
          <w:rFonts w:hint="eastAsia" w:ascii="黑体" w:hAnsi="黑体" w:eastAsia="黑体" w:cs="黑体"/>
          <w:i/>
          <w:sz w:val="32"/>
          <w:szCs w:val="32"/>
          <w:u w:val="single"/>
          <w:lang w:eastAsia="zh-CN"/>
        </w:rPr>
      </w:pPr>
      <w:r>
        <w:rPr>
          <w:rFonts w:hint="eastAsia" w:ascii="黑体" w:hAnsi="黑体" w:eastAsia="黑体" w:cs="黑体"/>
          <w:i/>
          <w:sz w:val="32"/>
          <w:szCs w:val="32"/>
          <w:u w:val="single"/>
        </w:rPr>
        <w:t xml:space="preserve">十五、开标一览表</w:t>
      </w:r>
      <w:r>
        <w:rPr>
          <w:rFonts w:hint="eastAsia" w:ascii="黑体" w:hAnsi="黑体" w:eastAsia="黑体" w:cs="黑体"/>
          <w:i/>
          <w:sz w:val="32"/>
          <w:szCs w:val="32"/>
          <w:u w:val="single"/>
          <w:lang w:eastAsia="zh-CN"/>
        </w:rPr>
        <w:t xml:space="preserve">（</w:t>
      </w:r>
      <w:r>
        <w:rPr>
          <w:rFonts w:hint="eastAsia" w:ascii="黑体" w:hAnsi="黑体" w:eastAsia="黑体" w:cs="黑体"/>
          <w:i/>
          <w:sz w:val="32"/>
          <w:szCs w:val="32"/>
          <w:u w:val="single"/>
          <w:lang w:val="en-US" w:eastAsia="zh-CN"/>
        </w:rPr>
        <w:t xml:space="preserve">总价</w:t>
      </w:r>
      <w:r>
        <w:rPr>
          <w:rFonts w:hint="eastAsia" w:ascii="黑体" w:hAnsi="黑体" w:eastAsia="黑体" w:cs="黑体"/>
          <w:i/>
          <w:sz w:val="32"/>
          <w:szCs w:val="32"/>
          <w:u w:val="single"/>
          <w:lang w:eastAsia="zh-CN"/>
        </w:rPr>
        <w:t xml:space="preserve">）</w:t>
      </w:r>
      <w:r/>
    </w:p>
    <w:p>
      <w:pPr>
        <w:jc w:val="center"/>
        <w:spacing w:before="50" w:after="50"/>
        <w:widowControl/>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before="100" w:after="100" w:line="360" w:lineRule="auto"/>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投标人全称（CA公章）：供应商名称</w:t>
      </w:r>
      <w:r/>
    </w:p>
    <w:p>
      <w:pPr>
        <w:spacing w:before="100" w:after="100" w:line="360" w:lineRule="auto"/>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江苏省盐城技师学院家政服务专业设备及数字化智慧养老实训基地设备采购项目</w:t>
      </w:r>
      <w:r/>
    </w:p>
    <w:p>
      <w:pPr>
        <w:spacing w:before="100" w:after="100" w:line="360" w:lineRule="auto"/>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JSZC-320900-JSZH-G2026-0065</w:t>
      </w:r>
      <w:r/>
    </w:p>
    <w:p>
      <w:pPr>
        <w:spacing w:before="100" w:after="100" w:line="360" w:lineRule="auto"/>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分包号：/</w:t>
      </w:r>
      <w:r/>
    </w:p>
    <w:tbl>
      <w:tblPr>
        <w:tblStyle w:val="736"/>
        <w:tblW w:w="87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7"/>
        <w:gridCol w:w="4173"/>
      </w:tblGrid>
      <w:tr>
        <w:trPr>
          <w:jc w:val="cente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总价（小写）</w:t>
            </w:r>
            <w:r/>
          </w:p>
        </w:tc>
      </w:tr>
      <w:tr>
        <w:trPr>
          <w:jc w:val="center"/>
          <w:trHeight w:val="9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投标产品名称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元</w:t>
            </w:r>
            <w:r/>
          </w:p>
        </w:tc>
      </w:tr>
      <w:tr>
        <w:trPr>
          <w:jc w:val="center"/>
          <w:trHeight w:val="110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ind w:left="0" w:right="0"/>
              <w:keepLines w:val="0"/>
              <w:keepNext w:val="0"/>
              <w:spacing w:before="100" w:beforeAutospacing="0" w:after="10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rPr>
            </w:r>
            <w:r/>
          </w:p>
        </w:tc>
      </w:tr>
    </w:tbl>
    <w:p>
      <w:pPr>
        <w:spacing w:before="100" w:after="100"/>
        <w:widowControl/>
        <w:pBdr>
          <w:top w:val="none" w:color="000000" w:sz="0" w:space="0"/>
          <w:left w:val="none" w:color="000000" w:sz="0" w:space="0"/>
          <w:bottom w:val="none" w:color="000000" w:sz="0" w:space="0"/>
          <w:right w:val="none" w:color="000000" w:sz="0" w:space="0"/>
        </w:pBdr>
      </w:pPr>
      <w:r/>
      <w:r/>
    </w:p>
    <w:p>
      <w:pPr>
        <w:jc w:val="right"/>
        <w:spacing w:before="100" w:after="100"/>
        <w:widowControl/>
        <w:rPr>
          <w:rFonts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   </w:t>
      </w:r>
      <w:r>
        <w:rPr>
          <w:rFonts w:hint="eastAsia" w:ascii="Calibri" w:hAnsi="Calibri" w:eastAsia="宋体" w:cs="Calibri"/>
          <w:color w:val="000000"/>
          <w:sz w:val="24"/>
        </w:rPr>
        <w:t xml:space="preserve">  </w:t>
      </w:r>
      <w:r>
        <w:rPr>
          <w:rFonts w:ascii="宋体" w:hAnsi="宋体" w:eastAsia="宋体" w:cs="宋体"/>
          <w:color w:val="000000"/>
          <w:sz w:val="24"/>
        </w:rPr>
        <w:t xml:space="preserve">年   月   日</w:t>
      </w:r>
      <w:r/>
    </w:p>
    <w:p>
      <w:pPr>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bookmarkStart w:id="172" w:name="_GoBack"/>
      <w:r/>
      <w:bookmarkEnd w:id="172"/>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十六、技术方案、服务承诺、培训承诺等</w:t>
      </w:r>
      <w:r/>
    </w:p>
    <w:p>
      <w:pPr>
        <w:jc w:val="center"/>
        <w:spacing w:before="120" w:line="400" w:lineRule="exact"/>
        <w:widowControl/>
        <w:rPr>
          <w:rFonts w:ascii="黑体" w:hAnsi="黑体" w:eastAsia="黑体" w:cs="黑体"/>
          <w:i/>
          <w:sz w:val="32"/>
          <w:szCs w:val="32"/>
          <w:u w:val="single"/>
        </w:rPr>
      </w:pPr>
      <w:r>
        <w:rPr>
          <w:rFonts w:ascii="黑体" w:hAnsi="黑体" w:eastAsia="黑体" w:cs="黑体"/>
          <w:i/>
          <w:sz w:val="32"/>
          <w:szCs w:val="32"/>
          <w:u w:val="single"/>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widowControl/>
        <w:rPr>
          <w:rFonts w:cs="Times New Roman" w:asciiTheme="minorEastAsia" w:hAnsiTheme="minorEastAsia"/>
          <w:sz w:val="32"/>
          <w:szCs w:val="32"/>
        </w:rPr>
      </w:pPr>
      <w:r>
        <w:rPr>
          <w:rFonts w:cs="Times New Roman" w:asciiTheme="minorEastAsia" w:hAnsiTheme="minorEastAsia"/>
          <w:sz w:val="32"/>
          <w:szCs w:val="32"/>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法定代表人（签名）：</w:t>
      </w:r>
      <w:r/>
    </w:p>
    <w:p>
      <w:pPr>
        <w:ind w:firstLine="440"/>
        <w:jc w:val="right"/>
        <w:spacing w:line="520" w:lineRule="exact"/>
        <w:widowControl/>
        <w:rPr>
          <w:sz w:val="24"/>
        </w:rPr>
      </w:pPr>
      <w:r>
        <w:rPr>
          <w:rFonts w:hint="eastAsia"/>
          <w:sz w:val="24"/>
        </w:rPr>
        <w:t xml:space="preserve">单位名称（盖章）：</w:t>
      </w:r>
      <w:r/>
    </w:p>
    <w:p>
      <w:pPr>
        <w:jc w:val="center"/>
        <w:spacing w:line="520" w:lineRule="exact"/>
        <w:widowControl/>
        <w:rPr>
          <w:sz w:val="24"/>
        </w:rPr>
      </w:pPr>
      <w:r>
        <w:rPr>
          <w:rFonts w:hint="eastAsia"/>
          <w:sz w:val="24"/>
        </w:rPr>
        <w:t xml:space="preserve">                                                          年  月  日</w:t>
      </w:r>
      <w:r/>
    </w:p>
    <w:p>
      <w:pPr>
        <w:spacing w:line="520" w:lineRule="exact"/>
        <w:widowControl/>
        <w:rPr>
          <w:rFonts w:cs="Times New Roman" w:asciiTheme="minorEastAsia" w:hAnsiTheme="minorEastAsia"/>
          <w:sz w:val="32"/>
          <w:szCs w:val="32"/>
        </w:rPr>
      </w:pPr>
      <w:r>
        <w:rPr>
          <w:rFonts w:asciiTheme="minorEastAsia" w:hAnsiTheme="minorEastAsia"/>
        </w:rPr>
        <w:br w:type="page" w:clear="all"/>
      </w:r>
      <w:r/>
    </w:p>
    <w:p>
      <w:pPr>
        <w:jc w:val="center"/>
        <w:spacing w:before="12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31"/>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一、质疑供应商基本信息</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质疑供应商：</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地址：</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rPr>
      </w:pPr>
      <w:r>
        <w:rPr>
          <w:rFonts w:hint="eastAsia" w:asciiTheme="minorEastAsia" w:hAnsiTheme="minorEastAsia" w:cstheme="minorEastAsia"/>
          <w:bCs/>
        </w:rPr>
        <w:t xml:space="preserve">邮编：</w:t>
      </w:r>
      <w:r>
        <w:rPr>
          <w:rFonts w:hint="eastAsia" w:asciiTheme="minorEastAsia" w:hAnsiTheme="minorEastAsia" w:cstheme="minorEastAsia"/>
          <w:u w:val="single"/>
        </w:rPr>
        <w:t xml:space="preserve">                                                              </w:t>
      </w:r>
      <w:r/>
    </w:p>
    <w:p>
      <w:pPr>
        <w:pStyle w:val="731"/>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联系人：</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联系电话：</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授权代表：</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联系电话：</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地址：</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邮编：</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二、质疑项目基本情况</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质疑项目的名称：</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u w:val="single"/>
        </w:rPr>
      </w:pPr>
      <w:r>
        <w:rPr>
          <w:rFonts w:hint="eastAsia" w:asciiTheme="minorEastAsia" w:hAnsiTheme="minorEastAsia" w:cstheme="minorEastAsia"/>
          <w:bCs/>
        </w:rPr>
        <w:t xml:space="preserve">质疑项目的编号：</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包号：</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采购人名称：</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采购文件获取日期：</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三、质疑事项具体内容</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质疑事项1：</w:t>
      </w:r>
      <w:r>
        <w:rPr>
          <w:rFonts w:hint="eastAsia" w:asciiTheme="minorEastAsia" w:hAnsiTheme="minorEastAsia" w:cstheme="minorEastAsia"/>
          <w:bCs/>
          <w:u w:val="single"/>
        </w:rPr>
        <w:t xml:space="preserve">                                              </w:t>
      </w:r>
      <w:r/>
    </w:p>
    <w:p>
      <w:pPr>
        <w:pStyle w:val="731"/>
        <w:ind w:firstLine="482"/>
        <w:widowControl/>
        <w:rPr>
          <w:rFonts w:asciiTheme="minorEastAsia" w:hAnsiTheme="minorEastAsia" w:cstheme="minorEastAsia"/>
          <w:b/>
          <w:bCs/>
        </w:rPr>
      </w:pPr>
      <w:r>
        <w:rPr>
          <w:rFonts w:hint="eastAsia" w:asciiTheme="minorEastAsia" w:hAnsiTheme="minorEastAsia" w:cstheme="minorEastAsia"/>
          <w:bCs/>
        </w:rPr>
        <w:t xml:space="preserve">事实依据：</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法律依据：</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质疑事项2</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w:t>
      </w:r>
      <w:r/>
    </w:p>
    <w:p>
      <w:pPr>
        <w:pStyle w:val="731"/>
        <w:ind w:firstLine="482"/>
        <w:jc w:val="both"/>
        <w:widowControl/>
        <w:rPr>
          <w:rFonts w:asciiTheme="minorEastAsia" w:hAnsiTheme="minorEastAsia" w:cstheme="minorEastAsia"/>
          <w:b/>
        </w:rPr>
        <w:outlineLvl w:val="1"/>
      </w:pPr>
      <w:r>
        <w:rPr>
          <w:rFonts w:hint="eastAsia" w:asciiTheme="minorEastAsia" w:hAnsiTheme="minorEastAsia" w:cstheme="minorEastAsia"/>
          <w:b/>
        </w:rPr>
        <w:t xml:space="preserve">四、与质疑事项相关的质疑请求</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请求：</w:t>
      </w:r>
      <w:r>
        <w:rPr>
          <w:rFonts w:hint="eastAsia" w:asciiTheme="minorEastAsia" w:hAnsiTheme="minorEastAsia" w:cstheme="minorEastAsia"/>
          <w:bCs/>
          <w:u w:val="single"/>
        </w:rPr>
        <w:t xml:space="preserve">                                                              </w:t>
      </w:r>
      <w:r/>
    </w:p>
    <w:p>
      <w:pPr>
        <w:pStyle w:val="731"/>
        <w:ind w:firstLine="482"/>
        <w:jc w:val="both"/>
        <w:widowControl/>
        <w:rPr>
          <w:rFonts w:asciiTheme="minorEastAsia" w:hAnsiTheme="minorEastAsia" w:cstheme="minorEastAsia"/>
          <w:b/>
          <w:bCs/>
        </w:rPr>
      </w:pPr>
      <w:r>
        <w:rPr>
          <w:rFonts w:hint="eastAsia" w:asciiTheme="minorEastAsia" w:hAnsiTheme="minorEastAsia" w:cstheme="minorEastAsia"/>
          <w:bCs/>
        </w:rPr>
        <w:t xml:space="preserve">签字（签章）：        公章：             日期：   </w:t>
      </w:r>
      <w:r/>
    </w:p>
    <w:p>
      <w:pPr>
        <w:ind w:firstLine="440"/>
        <w:spacing w:line="520" w:lineRule="exact"/>
        <w:widowControl/>
        <w:rPr>
          <w:sz w:val="24"/>
        </w:rPr>
      </w:pPr>
      <w:r>
        <w:rPr>
          <w:rFonts w:hint="eastAsia"/>
          <w:sz w:val="24"/>
        </w:rPr>
        <w:t xml:space="preserve">质疑函制作说明：</w:t>
      </w:r>
      <w:r/>
    </w:p>
    <w:p>
      <w:pPr>
        <w:ind w:firstLine="440"/>
        <w:spacing w:line="520" w:lineRule="exact"/>
        <w:widowControl/>
        <w:rPr>
          <w:rFonts w:ascii="宋体" w:hAnsi="宋体" w:eastAsia="宋体" w:cs="宋体"/>
          <w:sz w:val="24"/>
        </w:rPr>
        <w:outlineLvl w:val="2"/>
      </w:pPr>
      <w:r>
        <w:rPr>
          <w:rFonts w:hint="eastAsia" w:ascii="宋体" w:hAnsi="宋体" w:eastAsia="宋体" w:cs="宋体"/>
          <w:sz w:val="24"/>
        </w:rPr>
        <w:t xml:space="preserve">1.供应商提出质疑时，应提交质疑函和必要的证明材料。</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40"/>
        <w:spacing w:line="520" w:lineRule="exact"/>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40"/>
        <w:spacing w:line="520" w:lineRule="exact"/>
        <w:widowControl/>
        <w:rPr>
          <w:rFonts w:ascii="宋体" w:hAnsi="宋体" w:eastAsia="宋体" w:cs="宋体"/>
          <w:sz w:val="24"/>
        </w:rPr>
        <w:outlineLvl w:val="2"/>
      </w:pPr>
      <w:r>
        <w:rPr>
          <w:rFonts w:hint="eastAsia" w:ascii="宋体" w:hAnsi="宋体" w:eastAsia="宋体" w:cs="宋体"/>
          <w:sz w:val="24"/>
        </w:rPr>
        <w:t xml:space="preserve">5.质疑函的质疑请求应与质疑事项相关。</w:t>
      </w:r>
      <w:r/>
    </w:p>
    <w:p>
      <w:pPr>
        <w:ind w:firstLine="440"/>
        <w:spacing w:line="520" w:lineRule="exact"/>
        <w:widowControl/>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pStyle w:val="731"/>
        <w:spacing w:beforeAutospacing="0" w:afterAutospacing="0"/>
      </w:pPr>
      <w:r/>
      <w:r/>
    </w:p>
    <w:sectPr>
      <w:footerReference w:type="default" r:id="rId10"/>
      <w:footnotePr/>
      <w:endnotePr/>
      <w:type w:val="nextPage"/>
      <w:pgSz w:w="11906" w:h="16838" w:orient="portrait"/>
      <w:pgMar w:top="1440" w:right="1463"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方正魏碑_GBK">
    <w:panose1 w:val="020B0503020202020204"/>
  </w:font>
  <w:font w:name="Segoe UI Symbol">
    <w:panose1 w:val="020B0502040204020203"/>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微软雅黑">
    <w:panose1 w:val="020B0503020204020204"/>
  </w:font>
  <w:font w:name="Calibri">
    <w:panose1 w:val="020F05020202040302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8"/>
  </w:num>
  <w:num w:numId="3">
    <w:abstractNumId w:val="7"/>
  </w:num>
  <w:num w:numId="4">
    <w:abstractNumId w:val="10"/>
  </w:num>
  <w:num w:numId="5">
    <w:abstractNumId w:val="9"/>
  </w:num>
  <w:num w:numId="6">
    <w:abstractNumId w:val="12"/>
  </w:num>
  <w:num w:numId="7">
    <w:abstractNumId w:val="15"/>
  </w:num>
  <w:num w:numId="8">
    <w:abstractNumId w:val="5"/>
  </w:num>
  <w:num w:numId="9">
    <w:abstractNumId w:val="1"/>
  </w:num>
  <w:num w:numId="10">
    <w:abstractNumId w:val="4"/>
  </w:num>
  <w:num w:numId="11">
    <w:abstractNumId w:val="16"/>
  </w:num>
  <w:num w:numId="12">
    <w:abstractNumId w:val="14"/>
  </w:num>
  <w:num w:numId="13">
    <w:abstractNumId w:val="3"/>
  </w:num>
  <w:num w:numId="14">
    <w:abstractNumId w:val="11"/>
  </w:num>
  <w:num w:numId="15">
    <w:abstractNumId w:val="13"/>
  </w:num>
  <w:num w:numId="16">
    <w:abstractNumId w:val="8"/>
  </w:num>
  <w:num w:numId="17">
    <w:abstractNumId w:val="2"/>
  </w:num>
  <w:num w:numId="18">
    <w:abstractNumId w:val="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7">
    <w:name w:val="Heading 1"/>
    <w:basedOn w:val="696"/>
    <w:next w:val="696"/>
    <w:link w:val="899"/>
    <w:uiPriority w:val="0"/>
    <w:qFormat/>
    <w:pPr>
      <w:keepLines/>
      <w:keepNext/>
      <w:spacing w:before="340" w:after="330" w:line="578" w:lineRule="auto"/>
      <w:outlineLvl w:val="0"/>
    </w:pPr>
    <w:rPr>
      <w:b/>
      <w:bCs/>
      <w:sz w:val="44"/>
      <w:szCs w:val="44"/>
    </w:rPr>
  </w:style>
  <w:style w:type="paragraph" w:styleId="698">
    <w:name w:val="Heading 2"/>
    <w:basedOn w:val="696"/>
    <w:next w:val="696"/>
    <w:link w:val="91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9">
    <w:name w:val="Heading 3"/>
    <w:basedOn w:val="696"/>
    <w:next w:val="696"/>
    <w:link w:val="911"/>
    <w:uiPriority w:val="0"/>
    <w:semiHidden/>
    <w:unhideWhenUsed/>
    <w:qFormat/>
    <w:pPr>
      <w:ind w:firstLine="880"/>
      <w:keepLines/>
      <w:keepNext/>
      <w:spacing w:line="360" w:lineRule="auto"/>
      <w:outlineLvl w:val="2"/>
    </w:pPr>
    <w:rPr>
      <w:rFonts w:ascii="宋体" w:hAnsi="宋体" w:eastAsia="宋体" w:cs="宋体"/>
      <w:b/>
      <w:sz w:val="28"/>
      <w:szCs w:val="22"/>
    </w:rPr>
  </w:style>
  <w:style w:type="paragraph" w:styleId="700">
    <w:name w:val="Heading 4"/>
    <w:basedOn w:val="696"/>
    <w:next w:val="696"/>
    <w:link w:val="912"/>
    <w:uiPriority w:val="0"/>
    <w:semiHidden/>
    <w:unhideWhenUsed/>
    <w:qFormat/>
    <w:pPr>
      <w:keepLines/>
      <w:keepNext/>
      <w:spacing w:line="360" w:lineRule="auto"/>
      <w:outlineLvl w:val="3"/>
    </w:pPr>
    <w:rPr>
      <w:rFonts w:ascii="Arial" w:hAnsi="Arial" w:eastAsia="宋体" w:cs="宋体"/>
      <w:b/>
      <w:sz w:val="24"/>
      <w:szCs w:val="22"/>
    </w:rPr>
  </w:style>
  <w:style w:type="paragraph" w:styleId="701">
    <w:name w:val="Heading 5"/>
    <w:basedOn w:val="696"/>
    <w:next w:val="696"/>
    <w:link w:val="913"/>
    <w:uiPriority w:val="0"/>
    <w:semiHidden/>
    <w:unhideWhenUsed/>
    <w:qFormat/>
    <w:pPr>
      <w:keepLines/>
      <w:keepNext/>
      <w:spacing w:before="280" w:after="290" w:line="372" w:lineRule="auto"/>
      <w:outlineLvl w:val="4"/>
    </w:pPr>
    <w:rPr>
      <w:rFonts w:ascii="宋体" w:hAnsi="宋体" w:eastAsia="宋体" w:cs="宋体"/>
      <w:b/>
      <w:sz w:val="28"/>
      <w:szCs w:val="22"/>
    </w:rPr>
  </w:style>
  <w:style w:type="paragraph" w:styleId="702">
    <w:name w:val="Heading 6"/>
    <w:basedOn w:val="696"/>
    <w:next w:val="696"/>
    <w:link w:val="905"/>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703">
    <w:name w:val="Heading 7"/>
    <w:basedOn w:val="696"/>
    <w:next w:val="696"/>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51"/>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52"/>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tblCellMar>
        <w:left w:w="108" w:type="dxa"/>
        <w:top w:w="0" w:type="dxa"/>
        <w:right w:w="108" w:type="dxa"/>
        <w:bottom w:w="0" w:type="dxa"/>
      </w:tblCellMar>
    </w:tblPr>
  </w:style>
  <w:style w:type="paragraph" w:styleId="708">
    <w:name w:val="toc 7"/>
    <w:basedOn w:val="696"/>
    <w:next w:val="696"/>
    <w:uiPriority w:val="39"/>
    <w:unhideWhenUsed/>
    <w:qFormat/>
    <w:pPr>
      <w:ind w:left="1701" w:right="0" w:firstLine="0"/>
      <w:spacing w:after="57"/>
    </w:pPr>
  </w:style>
  <w:style w:type="paragraph" w:styleId="709">
    <w:name w:val="Normal Indent"/>
    <w:basedOn w:val="696"/>
    <w:uiPriority w:val="0"/>
    <w:qFormat/>
    <w:pPr>
      <w:ind w:firstLine="420"/>
    </w:pPr>
  </w:style>
  <w:style w:type="paragraph" w:styleId="710">
    <w:name w:val="Caption"/>
    <w:basedOn w:val="696"/>
    <w:next w:val="69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1">
    <w:name w:val="annotation text"/>
    <w:basedOn w:val="696"/>
    <w:link w:val="908"/>
    <w:uiPriority w:val="0"/>
    <w:qFormat/>
    <w:pPr>
      <w:jc w:val="left"/>
    </w:pPr>
  </w:style>
  <w:style w:type="paragraph" w:styleId="712">
    <w:name w:val="Body Text"/>
    <w:basedOn w:val="696"/>
    <w:next w:val="696"/>
    <w:uiPriority w:val="0"/>
    <w:unhideWhenUsed/>
    <w:qFormat/>
    <w:pPr>
      <w:spacing w:after="120"/>
    </w:pPr>
    <w:rPr>
      <w:rFonts w:ascii="Calibri" w:hAnsi="Calibri"/>
      <w:szCs w:val="22"/>
    </w:rPr>
  </w:style>
  <w:style w:type="paragraph" w:styleId="713">
    <w:name w:val="Body Text Indent"/>
    <w:basedOn w:val="696"/>
    <w:next w:val="714"/>
    <w:link w:val="914"/>
    <w:uiPriority w:val="0"/>
    <w:qFormat/>
    <w:pPr>
      <w:ind w:left="420"/>
      <w:spacing w:after="120"/>
    </w:pPr>
  </w:style>
  <w:style w:type="paragraph" w:styleId="714">
    <w:name w:val="envelope return"/>
    <w:basedOn w:val="696"/>
    <w:uiPriority w:val="99"/>
    <w:qFormat/>
    <w:rPr>
      <w:rFonts w:ascii="Arial" w:hAnsi="Arial" w:cs="Arial"/>
    </w:rPr>
  </w:style>
  <w:style w:type="paragraph" w:styleId="715">
    <w:name w:val="toc 5"/>
    <w:basedOn w:val="696"/>
    <w:next w:val="696"/>
    <w:uiPriority w:val="39"/>
    <w:unhideWhenUsed/>
    <w:qFormat/>
    <w:pPr>
      <w:ind w:left="1134" w:right="0" w:firstLine="0"/>
      <w:spacing w:after="57"/>
    </w:pPr>
  </w:style>
  <w:style w:type="paragraph" w:styleId="716">
    <w:name w:val="toc 3"/>
    <w:basedOn w:val="696"/>
    <w:next w:val="696"/>
    <w:uiPriority w:val="39"/>
    <w:unhideWhenUsed/>
    <w:qFormat/>
    <w:pPr>
      <w:ind w:left="440"/>
      <w:jc w:val="left"/>
      <w:spacing w:after="100" w:line="259" w:lineRule="auto"/>
      <w:widowControl/>
    </w:pPr>
    <w:rPr>
      <w:rFonts w:cs="Times New Roman"/>
      <w:sz w:val="22"/>
      <w:szCs w:val="22"/>
    </w:rPr>
  </w:style>
  <w:style w:type="paragraph" w:styleId="717">
    <w:name w:val="Plain Text"/>
    <w:basedOn w:val="696"/>
    <w:uiPriority w:val="0"/>
    <w:unhideWhenUsed/>
    <w:qFormat/>
    <w:rPr>
      <w:rFonts w:ascii="宋体" w:hAnsi="Courier New" w:cs="Courier New"/>
      <w:szCs w:val="21"/>
    </w:rPr>
  </w:style>
  <w:style w:type="paragraph" w:styleId="718">
    <w:name w:val="toc 8"/>
    <w:basedOn w:val="696"/>
    <w:next w:val="696"/>
    <w:uiPriority w:val="39"/>
    <w:unhideWhenUsed/>
    <w:qFormat/>
    <w:pPr>
      <w:ind w:left="1984" w:right="0" w:firstLine="0"/>
      <w:spacing w:after="57"/>
    </w:pPr>
  </w:style>
  <w:style w:type="paragraph" w:styleId="719">
    <w:name w:val="endnote text"/>
    <w:basedOn w:val="696"/>
    <w:link w:val="889"/>
    <w:uiPriority w:val="99"/>
    <w:semiHidden/>
    <w:unhideWhenUsed/>
    <w:qFormat/>
    <w:pPr>
      <w:spacing w:after="0" w:line="240" w:lineRule="auto"/>
    </w:pPr>
    <w:rPr>
      <w:sz w:val="20"/>
    </w:rPr>
  </w:style>
  <w:style w:type="paragraph" w:styleId="720">
    <w:name w:val="Balloon Text"/>
    <w:basedOn w:val="696"/>
    <w:link w:val="910"/>
    <w:uiPriority w:val="0"/>
    <w:qFormat/>
    <w:rPr>
      <w:sz w:val="18"/>
      <w:szCs w:val="18"/>
    </w:rPr>
  </w:style>
  <w:style w:type="paragraph" w:styleId="721">
    <w:name w:val="Footer"/>
    <w:basedOn w:val="696"/>
    <w:link w:val="893"/>
    <w:uiPriority w:val="0"/>
    <w:qFormat/>
    <w:pPr>
      <w:jc w:val="left"/>
      <w:tabs>
        <w:tab w:val="center" w:pos="4153" w:leader="none"/>
        <w:tab w:val="right" w:pos="8306" w:leader="none"/>
      </w:tabs>
    </w:pPr>
    <w:rPr>
      <w:sz w:val="18"/>
      <w:szCs w:val="18"/>
    </w:rPr>
  </w:style>
  <w:style w:type="paragraph" w:styleId="722">
    <w:name w:val="Header"/>
    <w:basedOn w:val="696"/>
    <w:link w:val="892"/>
    <w:uiPriority w:val="0"/>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6"/>
    <w:next w:val="696"/>
    <w:uiPriority w:val="39"/>
    <w:unhideWhenUsed/>
    <w:qFormat/>
    <w:pPr>
      <w:jc w:val="left"/>
      <w:spacing w:after="100" w:line="259" w:lineRule="auto"/>
      <w:widowControl/>
    </w:pPr>
    <w:rPr>
      <w:rFonts w:cs="Times New Roman"/>
      <w:sz w:val="22"/>
      <w:szCs w:val="22"/>
    </w:rPr>
  </w:style>
  <w:style w:type="paragraph" w:styleId="724">
    <w:name w:val="toc 4"/>
    <w:basedOn w:val="696"/>
    <w:next w:val="696"/>
    <w:uiPriority w:val="39"/>
    <w:unhideWhenUsed/>
    <w:qFormat/>
    <w:pPr>
      <w:ind w:left="850" w:right="0" w:firstLine="0"/>
      <w:spacing w:after="57"/>
    </w:pPr>
  </w:style>
  <w:style w:type="paragraph" w:styleId="725">
    <w:name w:val="Subtitle"/>
    <w:basedOn w:val="696"/>
    <w:next w:val="696"/>
    <w:link w:val="755"/>
    <w:uiPriority w:val="11"/>
    <w:qFormat/>
    <w:pPr>
      <w:spacing w:before="200" w:after="200"/>
    </w:pPr>
    <w:rPr>
      <w:sz w:val="24"/>
      <w:szCs w:val="24"/>
    </w:rPr>
  </w:style>
  <w:style w:type="paragraph" w:styleId="726">
    <w:name w:val="footnote text"/>
    <w:basedOn w:val="696"/>
    <w:link w:val="888"/>
    <w:uiPriority w:val="99"/>
    <w:semiHidden/>
    <w:unhideWhenUsed/>
    <w:qFormat/>
    <w:pPr>
      <w:spacing w:after="40" w:line="240" w:lineRule="auto"/>
    </w:pPr>
    <w:rPr>
      <w:sz w:val="18"/>
    </w:rPr>
  </w:style>
  <w:style w:type="paragraph" w:styleId="727">
    <w:name w:val="toc 6"/>
    <w:basedOn w:val="696"/>
    <w:next w:val="696"/>
    <w:uiPriority w:val="39"/>
    <w:unhideWhenUsed/>
    <w:qFormat/>
    <w:pPr>
      <w:ind w:left="1417" w:right="0" w:firstLine="0"/>
      <w:spacing w:after="57"/>
    </w:pPr>
  </w:style>
  <w:style w:type="paragraph" w:styleId="728">
    <w:name w:val="table of figures"/>
    <w:basedOn w:val="696"/>
    <w:next w:val="696"/>
    <w:uiPriority w:val="99"/>
    <w:unhideWhenUsed/>
    <w:qFormat/>
    <w:pPr>
      <w:spacing w:after="0" w:afterAutospacing="0"/>
    </w:pPr>
  </w:style>
  <w:style w:type="paragraph" w:styleId="729">
    <w:name w:val="toc 2"/>
    <w:basedOn w:val="696"/>
    <w:next w:val="696"/>
    <w:uiPriority w:val="39"/>
    <w:qFormat/>
    <w:pPr>
      <w:ind w:left="420"/>
    </w:pPr>
  </w:style>
  <w:style w:type="paragraph" w:styleId="730">
    <w:name w:val="toc 9"/>
    <w:basedOn w:val="696"/>
    <w:next w:val="696"/>
    <w:uiPriority w:val="39"/>
    <w:unhideWhenUsed/>
    <w:qFormat/>
    <w:pPr>
      <w:ind w:left="2268" w:right="0" w:firstLine="0"/>
      <w:spacing w:after="57"/>
    </w:pPr>
  </w:style>
  <w:style w:type="paragraph" w:styleId="731">
    <w:name w:val="Normal (Web)"/>
    <w:basedOn w:val="696"/>
    <w:link w:val="902"/>
    <w:uiPriority w:val="0"/>
    <w:qFormat/>
    <w:pPr>
      <w:jc w:val="left"/>
      <w:spacing w:beforeAutospacing="1" w:afterAutospacing="1"/>
    </w:pPr>
    <w:rPr>
      <w:rFonts w:cs="Times New Roman"/>
      <w:sz w:val="24"/>
    </w:rPr>
  </w:style>
  <w:style w:type="paragraph" w:styleId="732">
    <w:name w:val="Title"/>
    <w:basedOn w:val="696"/>
    <w:next w:val="696"/>
    <w:link w:val="904"/>
    <w:uiPriority w:val="0"/>
    <w:qFormat/>
    <w:pPr>
      <w:jc w:val="center"/>
      <w:spacing w:before="120" w:after="120"/>
      <w:outlineLvl w:val="0"/>
    </w:pPr>
    <w:rPr>
      <w:rFonts w:eastAsia="黑体" w:asciiTheme="majorHAnsi" w:hAnsiTheme="majorHAnsi" w:cstheme="majorBidi"/>
      <w:b/>
      <w:bCs/>
      <w:sz w:val="44"/>
      <w:szCs w:val="32"/>
    </w:rPr>
  </w:style>
  <w:style w:type="paragraph" w:styleId="733">
    <w:name w:val="annotation subject"/>
    <w:basedOn w:val="711"/>
    <w:next w:val="711"/>
    <w:link w:val="909"/>
    <w:uiPriority w:val="0"/>
    <w:qFormat/>
    <w:rPr>
      <w:b/>
      <w:bCs/>
    </w:rPr>
  </w:style>
  <w:style w:type="paragraph" w:styleId="734">
    <w:name w:val="Body Text First Indent 2"/>
    <w:basedOn w:val="713"/>
    <w:next w:val="735"/>
    <w:link w:val="915"/>
    <w:uiPriority w:val="0"/>
    <w:qFormat/>
    <w:pPr>
      <w:ind w:firstLine="420"/>
    </w:pPr>
  </w:style>
  <w:style w:type="paragraph" w:styleId="735" w:customStyle="1">
    <w:name w:val="样式 标题 3 + (中文) 黑体 小四 非加粗 段前: 7.8 磅 段后: 0 磅 行距: 固定值 20 磅_0"/>
    <w:basedOn w:val="696"/>
    <w:uiPriority w:val="0"/>
    <w:qFormat/>
    <w:pPr>
      <w:keepLines/>
      <w:keepNext/>
      <w:spacing w:line="400" w:lineRule="exact"/>
      <w:outlineLvl w:val="2"/>
    </w:pPr>
    <w:rPr>
      <w:rFonts w:eastAsia="黑体" w:cs="宋体"/>
      <w:szCs w:val="21"/>
    </w:rPr>
  </w:style>
  <w:style w:type="table" w:styleId="736">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06"/>
    <w:uiPriority w:val="0"/>
    <w:qFormat/>
    <w:rPr>
      <w:b/>
    </w:rPr>
  </w:style>
  <w:style w:type="character" w:styleId="738">
    <w:name w:val="endnote reference"/>
    <w:basedOn w:val="706"/>
    <w:uiPriority w:val="99"/>
    <w:semiHidden/>
    <w:unhideWhenUsed/>
    <w:qFormat/>
    <w:rPr>
      <w:vertAlign w:val="superscript"/>
    </w:rPr>
  </w:style>
  <w:style w:type="character" w:styleId="739">
    <w:name w:val="Emphasis"/>
    <w:uiPriority w:val="0"/>
    <w:qFormat/>
    <w:rPr>
      <w:i/>
    </w:rPr>
  </w:style>
  <w:style w:type="character" w:styleId="740">
    <w:name w:val="Hyperlink"/>
    <w:basedOn w:val="706"/>
    <w:uiPriority w:val="99"/>
    <w:unhideWhenUsed/>
    <w:qFormat/>
    <w:rPr>
      <w:color w:val="0563c1" w:themeColor="hyperlink"/>
      <w:u w:val="single"/>
      <w14:textFill>
        <w14:solidFill>
          <w14:schemeClr w14:val="hlink"/>
        </w14:solidFill>
      </w14:textFill>
    </w:rPr>
  </w:style>
  <w:style w:type="character" w:styleId="741">
    <w:name w:val="annotation reference"/>
    <w:basedOn w:val="706"/>
    <w:uiPriority w:val="0"/>
    <w:qFormat/>
    <w:rPr>
      <w:sz w:val="21"/>
      <w:szCs w:val="21"/>
    </w:rPr>
  </w:style>
  <w:style w:type="character" w:styleId="742">
    <w:name w:val="footnote reference"/>
    <w:basedOn w:val="706"/>
    <w:uiPriority w:val="99"/>
    <w:unhideWhenUsed/>
    <w:qFormat/>
    <w:rPr>
      <w:vertAlign w:val="superscript"/>
    </w:rPr>
  </w:style>
  <w:style w:type="paragraph" w:styleId="743" w:customStyle="1">
    <w:name w:val="正文缩进1"/>
    <w:basedOn w:val="696"/>
    <w:uiPriority w:val="0"/>
    <w:qFormat/>
    <w:pPr>
      <w:ind w:firstLine="420"/>
    </w:pPr>
  </w:style>
  <w:style w:type="character" w:styleId="744" w:customStyle="1">
    <w:name w:val="Heading 1 Char"/>
    <w:basedOn w:val="706"/>
    <w:uiPriority w:val="9"/>
    <w:qFormat/>
    <w:rPr>
      <w:rFonts w:ascii="Arial" w:hAnsi="Arial" w:eastAsia="Arial" w:cs="Arial"/>
      <w:sz w:val="40"/>
      <w:szCs w:val="40"/>
    </w:rPr>
  </w:style>
  <w:style w:type="character" w:styleId="745" w:customStyle="1">
    <w:name w:val="Heading 2 Char"/>
    <w:basedOn w:val="706"/>
    <w:uiPriority w:val="9"/>
    <w:qFormat/>
    <w:rPr>
      <w:rFonts w:ascii="Arial" w:hAnsi="Arial" w:eastAsia="Arial" w:cs="Arial"/>
      <w:sz w:val="34"/>
    </w:rPr>
  </w:style>
  <w:style w:type="character" w:styleId="746" w:customStyle="1">
    <w:name w:val="Heading 3 Char"/>
    <w:basedOn w:val="706"/>
    <w:uiPriority w:val="9"/>
    <w:qFormat/>
    <w:rPr>
      <w:rFonts w:ascii="Arial" w:hAnsi="Arial" w:eastAsia="Arial" w:cs="Arial"/>
      <w:sz w:val="30"/>
      <w:szCs w:val="30"/>
    </w:rPr>
  </w:style>
  <w:style w:type="character" w:styleId="747" w:customStyle="1">
    <w:name w:val="Heading 4 Char"/>
    <w:basedOn w:val="706"/>
    <w:uiPriority w:val="9"/>
    <w:qFormat/>
    <w:rPr>
      <w:rFonts w:ascii="Arial" w:hAnsi="Arial" w:eastAsia="Arial" w:cs="Arial"/>
      <w:b/>
      <w:bCs/>
      <w:sz w:val="26"/>
      <w:szCs w:val="26"/>
    </w:rPr>
  </w:style>
  <w:style w:type="character" w:styleId="748" w:customStyle="1">
    <w:name w:val="Heading 5 Char"/>
    <w:basedOn w:val="706"/>
    <w:uiPriority w:val="9"/>
    <w:qFormat/>
    <w:rPr>
      <w:rFonts w:ascii="Arial" w:hAnsi="Arial" w:eastAsia="Arial" w:cs="Arial"/>
      <w:b/>
      <w:bCs/>
      <w:sz w:val="24"/>
      <w:szCs w:val="24"/>
    </w:rPr>
  </w:style>
  <w:style w:type="character" w:styleId="749" w:customStyle="1">
    <w:name w:val="Heading 6 Char"/>
    <w:basedOn w:val="706"/>
    <w:uiPriority w:val="9"/>
    <w:qFormat/>
    <w:rPr>
      <w:rFonts w:ascii="Arial" w:hAnsi="Arial" w:eastAsia="Arial" w:cs="Arial"/>
      <w:b/>
      <w:bCs/>
      <w:sz w:val="22"/>
      <w:szCs w:val="22"/>
    </w:rPr>
  </w:style>
  <w:style w:type="character" w:styleId="750" w:customStyle="1">
    <w:name w:val="Heading 7 Char"/>
    <w:basedOn w:val="706"/>
    <w:link w:val="703"/>
    <w:uiPriority w:val="9"/>
    <w:qFormat/>
    <w:rPr>
      <w:rFonts w:ascii="Arial" w:hAnsi="Arial" w:eastAsia="Arial" w:cs="Arial"/>
      <w:b/>
      <w:bCs/>
      <w:i/>
      <w:iCs/>
      <w:sz w:val="22"/>
      <w:szCs w:val="22"/>
    </w:rPr>
  </w:style>
  <w:style w:type="character" w:styleId="751" w:customStyle="1">
    <w:name w:val="Heading 8 Char"/>
    <w:basedOn w:val="706"/>
    <w:link w:val="704"/>
    <w:uiPriority w:val="9"/>
    <w:qFormat/>
    <w:rPr>
      <w:rFonts w:ascii="Arial" w:hAnsi="Arial" w:eastAsia="Arial" w:cs="Arial"/>
      <w:i/>
      <w:iCs/>
      <w:sz w:val="22"/>
      <w:szCs w:val="22"/>
    </w:rPr>
  </w:style>
  <w:style w:type="character" w:styleId="752" w:customStyle="1">
    <w:name w:val="Heading 9 Char"/>
    <w:basedOn w:val="706"/>
    <w:link w:val="705"/>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等线" w:hAnsi="等线" w:eastAsia="等线" w:cs="等线"/>
    </w:rPr>
  </w:style>
  <w:style w:type="character" w:styleId="754" w:customStyle="1">
    <w:name w:val="Title Char"/>
    <w:basedOn w:val="706"/>
    <w:uiPriority w:val="10"/>
    <w:qFormat/>
    <w:rPr>
      <w:sz w:val="48"/>
      <w:szCs w:val="48"/>
    </w:rPr>
  </w:style>
  <w:style w:type="character" w:styleId="755" w:customStyle="1">
    <w:name w:val="Subtitle Char"/>
    <w:basedOn w:val="706"/>
    <w:link w:val="725"/>
    <w:uiPriority w:val="11"/>
    <w:qFormat/>
    <w:rPr>
      <w:sz w:val="24"/>
      <w:szCs w:val="24"/>
    </w:rPr>
  </w:style>
  <w:style w:type="paragraph" w:styleId="756">
    <w:name w:val="Quote"/>
    <w:basedOn w:val="696"/>
    <w:next w:val="696"/>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696"/>
    <w:next w:val="6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basedOn w:val="706"/>
    <w:uiPriority w:val="99"/>
    <w:qFormat/>
  </w:style>
  <w:style w:type="character" w:styleId="761" w:customStyle="1">
    <w:name w:val="Footer Char"/>
    <w:basedOn w:val="706"/>
    <w:uiPriority w:val="99"/>
    <w:qFormat/>
  </w:style>
  <w:style w:type="character" w:styleId="762" w:customStyle="1">
    <w:name w:val="Caption Char"/>
    <w:uiPriority w:val="99"/>
    <w:qFormat/>
  </w:style>
  <w:style w:type="table" w:styleId="763"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70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70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70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70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70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70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70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70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70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70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70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70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3"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70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70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70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70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70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70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70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2" w:customStyle="1">
    <w:name w:val="Grid Table 4 - Accent 2"/>
    <w:basedOn w:val="70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3" w:customStyle="1">
    <w:name w:val="Grid Table 4 - Accent 3"/>
    <w:basedOn w:val="70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4" w:customStyle="1">
    <w:name w:val="Grid Table 4 - Accent 4"/>
    <w:basedOn w:val="70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5" w:customStyle="1">
    <w:name w:val="Grid Table 4 - Accent 5"/>
    <w:basedOn w:val="70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6" w:customStyle="1">
    <w:name w:val="Grid Table 4 - Accent 6"/>
    <w:basedOn w:val="70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7"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9"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0"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1"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2"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3"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4"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70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70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70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8" w:customStyle="1">
    <w:name w:val="Grid Table 6 Colorful - Accent 4"/>
    <w:basedOn w:val="70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70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0" w:customStyle="1">
    <w:name w:val="Grid Table 6 Colorful - Accent 6"/>
    <w:basedOn w:val="70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1"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70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70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70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70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70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70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70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70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70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70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70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70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70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7" w:customStyle="1">
    <w:name w:val="List Table 2 - Accent 2"/>
    <w:basedOn w:val="70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8" w:customStyle="1">
    <w:name w:val="List Table 2 - Accent 3"/>
    <w:basedOn w:val="70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9" w:customStyle="1">
    <w:name w:val="List Table 2 - Accent 4"/>
    <w:basedOn w:val="70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0" w:customStyle="1">
    <w:name w:val="List Table 2 - Accent 5"/>
    <w:basedOn w:val="70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1" w:customStyle="1">
    <w:name w:val="List Table 2 - Accent 6"/>
    <w:basedOn w:val="70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2"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70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3 - Accent 2"/>
    <w:basedOn w:val="70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70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70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70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70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9"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70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4 - Accent 2"/>
    <w:basedOn w:val="70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2" w:customStyle="1">
    <w:name w:val="List Table 4 - Accent 3"/>
    <w:basedOn w:val="70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3" w:customStyle="1">
    <w:name w:val="List Table 4 - Accent 4"/>
    <w:basedOn w:val="70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4" w:customStyle="1">
    <w:name w:val="List Table 4 - Accent 5"/>
    <w:basedOn w:val="70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5" w:customStyle="1">
    <w:name w:val="List Table 4 - Accent 6"/>
    <w:basedOn w:val="70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6"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70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70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70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70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70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70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70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5" w:customStyle="1">
    <w:name w:val="List Table 6 Colorful - Accent 2"/>
    <w:basedOn w:val="70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6" w:customStyle="1">
    <w:name w:val="List Table 6 Colorful - Accent 3"/>
    <w:basedOn w:val="70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7" w:customStyle="1">
    <w:name w:val="List Table 6 Colorful - Accent 4"/>
    <w:basedOn w:val="70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8" w:customStyle="1">
    <w:name w:val="List Table 6 Colorful - Accent 5"/>
    <w:basedOn w:val="70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9" w:customStyle="1">
    <w:name w:val="List Table 6 Colorful - Accent 6"/>
    <w:basedOn w:val="70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0"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70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70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70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70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70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70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9"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0"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2"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70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Bordered &amp; Lined - Accent 2"/>
    <w:basedOn w:val="70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Bordered &amp; Lined - Accent 3"/>
    <w:basedOn w:val="70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Bordered &amp; Lined - Accent 4"/>
    <w:basedOn w:val="70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Bordered &amp; Lined - Accent 5"/>
    <w:basedOn w:val="70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Bordered &amp; Lined - Accent 6"/>
    <w:basedOn w:val="70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70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3" w:customStyle="1">
    <w:name w:val="Bordered - Accent 2"/>
    <w:basedOn w:val="70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4" w:customStyle="1">
    <w:name w:val="Bordered - Accent 3"/>
    <w:basedOn w:val="70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5" w:customStyle="1">
    <w:name w:val="Bordered - Accent 4"/>
    <w:basedOn w:val="70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6" w:customStyle="1">
    <w:name w:val="Bordered - Accent 5"/>
    <w:basedOn w:val="70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7" w:customStyle="1">
    <w:name w:val="Bordered - Accent 6"/>
    <w:basedOn w:val="70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8" w:customStyle="1">
    <w:name w:val="Footnote Text Char"/>
    <w:link w:val="726"/>
    <w:uiPriority w:val="99"/>
    <w:qFormat/>
    <w:rPr>
      <w:sz w:val="18"/>
    </w:rPr>
  </w:style>
  <w:style w:type="character" w:styleId="889" w:customStyle="1">
    <w:name w:val="Endnote Text Char"/>
    <w:link w:val="719"/>
    <w:uiPriority w:val="99"/>
    <w:qFormat/>
    <w:rPr>
      <w:sz w:val="20"/>
    </w:rPr>
  </w:style>
  <w:style w:type="paragraph" w:styleId="890" w:customStyle="1">
    <w:name w:val="TOC Heading"/>
    <w:uiPriority w:val="39"/>
    <w:unhideWhenUsed/>
    <w:qFormat/>
    <w:rPr>
      <w:rFonts w:hint="default" w:ascii="等线" w:hAnsi="等线" w:eastAsia="等线" w:cs="等线"/>
    </w:rPr>
  </w:style>
  <w:style w:type="paragraph" w:styleId="891" w:customStyle="1">
    <w:name w:val="Default"/>
    <w:basedOn w:val="696"/>
    <w:uiPriority w:val="0"/>
    <w:semiHidden/>
    <w:qFormat/>
    <w:pPr>
      <w:jc w:val="left"/>
    </w:pPr>
    <w:rPr>
      <w:rFonts w:ascii="宋体" w:hAnsi="Calibri" w:cs="宋体"/>
      <w:color w:val="000000"/>
      <w:sz w:val="24"/>
    </w:rPr>
  </w:style>
  <w:style w:type="character" w:styleId="892" w:customStyle="1">
    <w:name w:val="页眉 字符"/>
    <w:basedOn w:val="706"/>
    <w:link w:val="722"/>
    <w:uiPriority w:val="0"/>
    <w:qFormat/>
    <w:rPr>
      <w:rFonts w:asciiTheme="minorHAnsi" w:hAnsiTheme="minorHAnsi" w:eastAsiaTheme="minorEastAsia" w:cstheme="minorBidi"/>
      <w:sz w:val="18"/>
      <w:szCs w:val="18"/>
    </w:rPr>
  </w:style>
  <w:style w:type="character" w:styleId="893" w:customStyle="1">
    <w:name w:val="页脚 字符"/>
    <w:basedOn w:val="706"/>
    <w:link w:val="721"/>
    <w:uiPriority w:val="0"/>
    <w:qFormat/>
    <w:rPr>
      <w:rFonts w:asciiTheme="minorHAnsi" w:hAnsiTheme="minorHAnsi" w:eastAsiaTheme="minorEastAsia" w:cstheme="minorBidi"/>
      <w:sz w:val="18"/>
      <w:szCs w:val="18"/>
    </w:rPr>
  </w:style>
  <w:style w:type="paragraph" w:styleId="8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5" w:customStyle="1">
    <w:name w:val="页脚1"/>
    <w:basedOn w:val="696"/>
    <w:uiPriority w:val="99"/>
    <w:unhideWhenUsed/>
    <w:qFormat/>
    <w:pPr>
      <w:jc w:val="left"/>
      <w:tabs>
        <w:tab w:val="center" w:pos="4153" w:leader="none"/>
        <w:tab w:val="right" w:pos="8306" w:leader="none"/>
      </w:tabs>
    </w:pPr>
    <w:rPr>
      <w:sz w:val="18"/>
      <w:szCs w:val="18"/>
    </w:rPr>
  </w:style>
  <w:style w:type="paragraph" w:styleId="896" w:customStyle="1">
    <w:name w:val="普通正文"/>
    <w:basedOn w:val="696"/>
    <w:uiPriority w:val="0"/>
    <w:qFormat/>
    <w:pPr>
      <w:ind w:firstLine="480"/>
      <w:jc w:val="left"/>
      <w:spacing w:before="120" w:after="120" w:line="360" w:lineRule="auto"/>
    </w:pPr>
    <w:rPr>
      <w:rFonts w:ascii="Arial" w:hAnsi="Arial" w:eastAsia="等线" w:cs="Arial"/>
      <w:sz w:val="24"/>
    </w:rPr>
  </w:style>
  <w:style w:type="paragraph" w:styleId="897" w:customStyle="1">
    <w:name w:val="正文首行缩进 21"/>
    <w:basedOn w:val="898"/>
    <w:uiPriority w:val="0"/>
    <w:qFormat/>
    <w:pPr>
      <w:ind w:firstLine="420"/>
    </w:pPr>
  </w:style>
  <w:style w:type="paragraph" w:styleId="898" w:customStyle="1">
    <w:name w:val="正文文本缩进1"/>
    <w:basedOn w:val="696"/>
    <w:uiPriority w:val="0"/>
    <w:qFormat/>
    <w:pPr>
      <w:ind w:left="420"/>
      <w:spacing w:after="120"/>
    </w:pPr>
  </w:style>
  <w:style w:type="character" w:styleId="899" w:customStyle="1">
    <w:name w:val="标题 1 字符"/>
    <w:basedOn w:val="706"/>
    <w:link w:val="697"/>
    <w:uiPriority w:val="0"/>
    <w:qFormat/>
    <w:rPr>
      <w:rFonts w:asciiTheme="minorHAnsi" w:hAnsiTheme="minorHAnsi" w:eastAsiaTheme="minorEastAsia" w:cstheme="minorBidi"/>
      <w:b/>
      <w:bCs/>
      <w:sz w:val="44"/>
      <w:szCs w:val="44"/>
    </w:rPr>
  </w:style>
  <w:style w:type="paragraph" w:styleId="900" w:customStyle="1">
    <w:name w:val="TOC 标题1"/>
    <w:basedOn w:val="697"/>
    <w:next w:val="696"/>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01" w:customStyle="1">
    <w:name w:val="标题123"/>
    <w:basedOn w:val="731"/>
    <w:link w:val="903"/>
    <w:uiPriority w:val="0"/>
    <w:qFormat/>
    <w:pPr>
      <w:jc w:val="center"/>
      <w:keepNext/>
      <w:spacing w:beforeAutospacing="0" w:afterAutospacing="0"/>
      <w:outlineLvl w:val="0"/>
    </w:pPr>
    <w:rPr>
      <w:rFonts w:ascii="黑体" w:hAnsi="宋体" w:eastAsia="黑体" w:cs="黑体"/>
      <w:b/>
      <w:bCs/>
      <w:color w:val="000000"/>
      <w:sz w:val="44"/>
      <w:szCs w:val="44"/>
    </w:rPr>
  </w:style>
  <w:style w:type="character" w:styleId="902" w:customStyle="1">
    <w:name w:val="普通(网站) 字符"/>
    <w:basedOn w:val="706"/>
    <w:link w:val="731"/>
    <w:uiPriority w:val="0"/>
    <w:qFormat/>
    <w:rPr>
      <w:rFonts w:asciiTheme="minorHAnsi" w:hAnsiTheme="minorHAnsi" w:eastAsiaTheme="minorEastAsia"/>
      <w:sz w:val="24"/>
      <w:szCs w:val="24"/>
    </w:rPr>
  </w:style>
  <w:style w:type="character" w:styleId="903" w:customStyle="1">
    <w:name w:val="标题123 字符"/>
    <w:basedOn w:val="902"/>
    <w:link w:val="901"/>
    <w:uiPriority w:val="0"/>
    <w:qFormat/>
    <w:rPr>
      <w:rFonts w:ascii="黑体" w:hAnsi="宋体" w:eastAsia="黑体" w:cs="黑体"/>
      <w:b/>
      <w:bCs/>
      <w:color w:val="000000"/>
      <w:sz w:val="44"/>
      <w:szCs w:val="44"/>
    </w:rPr>
  </w:style>
  <w:style w:type="character" w:styleId="904" w:customStyle="1">
    <w:name w:val="标题 字符"/>
    <w:basedOn w:val="706"/>
    <w:link w:val="732"/>
    <w:uiPriority w:val="0"/>
    <w:qFormat/>
    <w:rPr>
      <w:rFonts w:eastAsia="黑体" w:asciiTheme="majorHAnsi" w:hAnsiTheme="majorHAnsi" w:cstheme="majorBidi"/>
      <w:b/>
      <w:bCs/>
      <w:sz w:val="44"/>
      <w:szCs w:val="32"/>
    </w:rPr>
  </w:style>
  <w:style w:type="character" w:styleId="905" w:customStyle="1">
    <w:name w:val="标题 6 字符"/>
    <w:basedOn w:val="706"/>
    <w:link w:val="702"/>
    <w:uiPriority w:val="9"/>
    <w:qFormat/>
    <w:rPr>
      <w:rFonts w:asciiTheme="majorHAnsi" w:hAnsiTheme="majorHAnsi" w:eastAsiaTheme="majorEastAsia" w:cstheme="majorBidi"/>
      <w:b/>
      <w:bCs/>
      <w:sz w:val="24"/>
      <w:szCs w:val="24"/>
    </w:rPr>
  </w:style>
  <w:style w:type="table" w:styleId="906" w:customStyle="1">
    <w:name w:val="网格型1"/>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7">
    <w:name w:val="List Paragraph"/>
    <w:basedOn w:val="696"/>
    <w:uiPriority w:val="99"/>
    <w:qFormat/>
    <w:pPr>
      <w:ind w:firstLine="420"/>
    </w:pPr>
  </w:style>
  <w:style w:type="character" w:styleId="908" w:customStyle="1">
    <w:name w:val="批注文字 字符"/>
    <w:basedOn w:val="706"/>
    <w:link w:val="711"/>
    <w:uiPriority w:val="0"/>
    <w:qFormat/>
    <w:rPr>
      <w:rFonts w:asciiTheme="minorHAnsi" w:hAnsiTheme="minorHAnsi" w:eastAsiaTheme="minorEastAsia" w:cstheme="minorBidi"/>
      <w:sz w:val="21"/>
      <w:szCs w:val="24"/>
    </w:rPr>
  </w:style>
  <w:style w:type="character" w:styleId="909" w:customStyle="1">
    <w:name w:val="批注主题 字符"/>
    <w:basedOn w:val="908"/>
    <w:link w:val="733"/>
    <w:uiPriority w:val="0"/>
    <w:qFormat/>
    <w:rPr>
      <w:rFonts w:asciiTheme="minorHAnsi" w:hAnsiTheme="minorHAnsi" w:eastAsiaTheme="minorEastAsia" w:cstheme="minorBidi"/>
      <w:b/>
      <w:bCs/>
      <w:sz w:val="21"/>
      <w:szCs w:val="24"/>
    </w:rPr>
  </w:style>
  <w:style w:type="character" w:styleId="910" w:customStyle="1">
    <w:name w:val="批注框文本 字符"/>
    <w:basedOn w:val="706"/>
    <w:link w:val="720"/>
    <w:uiPriority w:val="0"/>
    <w:qFormat/>
    <w:rPr>
      <w:rFonts w:asciiTheme="minorHAnsi" w:hAnsiTheme="minorHAnsi" w:eastAsiaTheme="minorEastAsia" w:cstheme="minorBidi"/>
      <w:sz w:val="18"/>
      <w:szCs w:val="18"/>
    </w:rPr>
  </w:style>
  <w:style w:type="character" w:styleId="911" w:customStyle="1">
    <w:name w:val="标题 3 字符"/>
    <w:basedOn w:val="706"/>
    <w:link w:val="699"/>
    <w:uiPriority w:val="0"/>
    <w:semiHidden/>
    <w:qFormat/>
    <w:rPr>
      <w:rFonts w:ascii="宋体" w:hAnsi="宋体" w:cs="宋体"/>
      <w:b/>
      <w:sz w:val="28"/>
      <w:szCs w:val="22"/>
    </w:rPr>
  </w:style>
  <w:style w:type="character" w:styleId="912" w:customStyle="1">
    <w:name w:val="标题 4 字符"/>
    <w:basedOn w:val="706"/>
    <w:link w:val="700"/>
    <w:uiPriority w:val="0"/>
    <w:semiHidden/>
    <w:qFormat/>
    <w:rPr>
      <w:rFonts w:ascii="Arial" w:hAnsi="Arial" w:cs="宋体"/>
      <w:b/>
      <w:sz w:val="24"/>
      <w:szCs w:val="22"/>
    </w:rPr>
  </w:style>
  <w:style w:type="character" w:styleId="913" w:customStyle="1">
    <w:name w:val="标题 5 字符"/>
    <w:basedOn w:val="706"/>
    <w:link w:val="701"/>
    <w:uiPriority w:val="0"/>
    <w:semiHidden/>
    <w:qFormat/>
    <w:rPr>
      <w:rFonts w:ascii="宋体" w:hAnsi="宋体" w:cs="宋体"/>
      <w:b/>
      <w:sz w:val="28"/>
      <w:szCs w:val="22"/>
    </w:rPr>
  </w:style>
  <w:style w:type="character" w:styleId="914" w:customStyle="1">
    <w:name w:val="正文文本缩进 字符"/>
    <w:basedOn w:val="706"/>
    <w:link w:val="713"/>
    <w:uiPriority w:val="0"/>
    <w:qFormat/>
    <w:rPr>
      <w:rFonts w:asciiTheme="minorHAnsi" w:hAnsiTheme="minorHAnsi" w:eastAsiaTheme="minorEastAsia" w:cstheme="minorBidi"/>
      <w:sz w:val="21"/>
      <w:szCs w:val="24"/>
    </w:rPr>
  </w:style>
  <w:style w:type="character" w:styleId="915" w:customStyle="1">
    <w:name w:val="正文文本首行缩进 2 字符"/>
    <w:basedOn w:val="914"/>
    <w:link w:val="734"/>
    <w:uiPriority w:val="0"/>
    <w:qFormat/>
    <w:rPr>
      <w:rFonts w:asciiTheme="minorHAnsi" w:hAnsiTheme="minorHAnsi" w:eastAsiaTheme="minorEastAsia" w:cstheme="minorBidi"/>
      <w:sz w:val="21"/>
      <w:szCs w:val="24"/>
    </w:rPr>
  </w:style>
  <w:style w:type="character" w:styleId="916" w:customStyle="1">
    <w:name w:val="标题 2 字符"/>
    <w:link w:val="698"/>
    <w:uiPriority w:val="0"/>
    <w:semiHidden/>
    <w:qFormat/>
    <w:rPr>
      <w:rFonts w:ascii="宋体" w:hAnsi="宋体"/>
      <w:b/>
      <w:bCs/>
      <w:sz w:val="36"/>
      <w:szCs w:val="36"/>
    </w:rPr>
  </w:style>
  <w:style w:type="paragraph" w:styleId="917" w:customStyle="1">
    <w:name w:val="纯文本1"/>
    <w:basedOn w:val="696"/>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8"/>
      <w:szCs w:val="20"/>
      <w:lang w:val="en-US" w:eastAsia="zh-CN" w:bidi="ar"/>
    </w:rPr>
  </w:style>
  <w:style w:type="paragraph" w:styleId="918" w:customStyle="1">
    <w:name w:val="Heading 21"/>
    <w:basedOn w:val="696"/>
    <w:next w:val="696"/>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919" w:customStyle="1">
    <w:name w:val="普通(网站)12"/>
    <w:basedOn w:val="696"/>
    <w:uiPriority w:val="0"/>
    <w:qFormat/>
    <w:pPr>
      <w:jc w:val="left"/>
      <w:spacing w:beforeAutospacing="1" w:afterAutospacing="1"/>
    </w:pPr>
    <w:rPr>
      <w:rFonts w:cs="Times New Roman"/>
      <w:sz w:val="24"/>
    </w:rPr>
  </w:style>
  <w:style w:type="character" w:styleId="920" w:customStyle="1">
    <w:name w:val="font51"/>
    <w:basedOn w:val="706"/>
    <w:uiPriority w:val="0"/>
    <w:qFormat/>
    <w:rPr>
      <w:rFonts w:hint="eastAsia" w:ascii="宋体" w:hAnsi="宋体" w:eastAsia="宋体" w:cs="宋体"/>
      <w:color w:val="000000"/>
      <w:sz w:val="20"/>
      <w:szCs w:val="20"/>
      <w:u w:val="none"/>
    </w:rPr>
  </w:style>
  <w:style w:type="character" w:styleId="921" w:customStyle="1">
    <w:name w:val="font01"/>
    <w:basedOn w:val="706"/>
    <w:uiPriority w:val="0"/>
    <w:qFormat/>
    <w:rPr>
      <w:rFonts w:hint="eastAsia" w:ascii="宋体" w:hAnsi="宋体" w:eastAsia="宋体" w:cs="宋体"/>
      <w:color w:val="000000"/>
      <w:sz w:val="22"/>
      <w:szCs w:val="22"/>
      <w:u w:val="none"/>
    </w:rPr>
  </w:style>
  <w:style w:type="character" w:styleId="922" w:customStyle="1">
    <w:name w:val="font131"/>
    <w:basedOn w:val="706"/>
    <w:uiPriority w:val="0"/>
    <w:qFormat/>
    <w:rPr>
      <w:rFonts w:ascii="Segoe UI Symbol" w:hAnsi="Segoe UI Symbol" w:eastAsia="Segoe UI Symbol" w:cs="Segoe UI Symbol"/>
      <w:color w:val="000000"/>
      <w:sz w:val="20"/>
      <w:szCs w:val="20"/>
      <w:u w:val="none"/>
    </w:rPr>
  </w:style>
  <w:style w:type="paragraph" w:styleId="923"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924" w:customStyle="1">
    <w:name w:val="标题 11"/>
    <w:basedOn w:val="696"/>
    <w:next w:val="696"/>
    <w:uiPriority w:val="0"/>
    <w:qFormat/>
    <w:pPr>
      <w:ind w:left="120"/>
      <w:spacing w:before="39"/>
      <w:outlineLvl w:val="0"/>
    </w:pPr>
    <w:rPr>
      <w:sz w:val="27"/>
      <w:szCs w:val="27"/>
    </w:rPr>
  </w:style>
  <w:style w:type="paragraph" w:styleId="925" w:customStyle="1">
    <w:name w:val="Table Text"/>
    <w:basedOn w:val="696"/>
    <w:uiPriority w:val="0"/>
    <w:semiHidden/>
    <w:qFormat/>
    <w:rPr>
      <w:rFonts w:ascii="宋体" w:hAnsi="宋体" w:eastAsia="宋体" w:cs="宋体"/>
      <w:sz w:val="24"/>
      <w:szCs w:val="24"/>
    </w:rPr>
  </w:style>
  <w:style w:type="paragraph" w:styleId="926" w:customStyle="1">
    <w:name w:val="普通(网站)1"/>
    <w:basedOn w:val="696"/>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27" w:customStyle="1">
    <w:name w:val="Footer1"/>
    <w:basedOn w:val="696"/>
    <w:uiPriority w:val="99"/>
    <w:qFormat/>
    <w:pPr>
      <w:jc w:val="left"/>
      <w:tabs>
        <w:tab w:val="center" w:pos="4153" w:leader="none"/>
        <w:tab w:val="right" w:pos="8306" w:leader="none"/>
      </w:tabs>
    </w:pPr>
    <w:rPr>
      <w:sz w:val="18"/>
      <w:szCs w:val="18"/>
    </w:rPr>
  </w:style>
  <w:style w:type="numbering" w:styleId="39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D4496F2-8972-4A23-A1CA-F9AA555E904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张俊东</cp:lastModifiedBy>
  <cp:revision>234</cp:revision>
  <dcterms:created xsi:type="dcterms:W3CDTF">2014-10-29T12:08:00Z</dcterms:created>
  <dcterms:modified xsi:type="dcterms:W3CDTF">2026-08-14T08:00:40Z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429354E616314551B1FD6C868EAD5EF8_13</vt:lpwstr>
  </property>
  <property fmtid="{D5CDD505-2E9C-101B-9397-08002B2CF9AE}" pid="4" name="KSOTemplateDocerSaveRecord">
    <vt:lpwstr>eyJoZGlkIjoiOGNjNDM3YjE1ZmFjNDY2OWQ2MjY3N2I1ZWI0OGI2ZTQiLCJ1c2VySWQiOiI3MjY2ODQwMDkifQ==</vt:lpwstr>
  </property>
</Properties>
</file>