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77D4AD">
      <w:pPr>
        <w:pStyle w:val="32"/>
        <w:spacing w:before="120" w:beforeAutospacing="0" w:after="120" w:afterAutospacing="0" w:line="360" w:lineRule="auto"/>
      </w:pPr>
      <w:r>
        <w:t> </w:t>
      </w:r>
    </w:p>
    <w:p w14:paraId="4FB9C99C">
      <w:pPr>
        <w:pStyle w:val="32"/>
        <w:spacing w:before="120" w:beforeAutospacing="0" w:after="120" w:afterAutospacing="0" w:line="360" w:lineRule="auto"/>
        <w:jc w:val="center"/>
      </w:pPr>
      <w:r>
        <w:rPr>
          <w:rFonts w:ascii="Arial" w:hAnsi="Arial" w:cs="Arial"/>
          <w:b/>
          <w:color w:val="000000"/>
          <w:sz w:val="84"/>
          <w:szCs w:val="84"/>
        </w:rPr>
        <w:t>招标文件</w:t>
      </w:r>
    </w:p>
    <w:p w14:paraId="6914BB9E">
      <w:pPr>
        <w:pStyle w:val="32"/>
        <w:spacing w:before="120" w:beforeAutospacing="0" w:after="120" w:afterAutospacing="0" w:line="360" w:lineRule="auto"/>
        <w:ind w:firstLine="2249"/>
        <w:rPr>
          <w:rFonts w:ascii="Arial" w:hAnsi="Arial" w:cs="Arial"/>
          <w:b/>
          <w:color w:val="000000"/>
          <w:sz w:val="32"/>
          <w:szCs w:val="32"/>
        </w:rPr>
      </w:pPr>
    </w:p>
    <w:p w14:paraId="52DD7096">
      <w:pPr>
        <w:pStyle w:val="32"/>
        <w:spacing w:before="120" w:beforeAutospacing="0" w:after="120" w:afterAutospacing="0" w:line="360" w:lineRule="auto"/>
        <w:ind w:firstLine="2249"/>
        <w:rPr>
          <w:rFonts w:ascii="Arial" w:hAnsi="Arial" w:cs="Arial"/>
          <w:b/>
          <w:color w:val="000000"/>
          <w:sz w:val="32"/>
          <w:szCs w:val="32"/>
        </w:rPr>
      </w:pPr>
    </w:p>
    <w:p w14:paraId="7B0DD1C7">
      <w:pPr>
        <w:pStyle w:val="32"/>
        <w:spacing w:before="120" w:beforeAutospacing="0" w:after="120" w:afterAutospacing="0" w:line="360" w:lineRule="auto"/>
        <w:ind w:firstLine="2249"/>
        <w:rPr>
          <w:rFonts w:ascii="Arial" w:hAnsi="Arial" w:cs="Arial"/>
          <w:b/>
          <w:color w:val="000000"/>
          <w:sz w:val="32"/>
          <w:szCs w:val="32"/>
        </w:rPr>
      </w:pPr>
    </w:p>
    <w:p w14:paraId="381FC41C">
      <w:pPr>
        <w:pStyle w:val="32"/>
        <w:spacing w:before="120" w:beforeAutospacing="0" w:after="120" w:afterAutospacing="0" w:line="360" w:lineRule="auto"/>
        <w:jc w:val="center"/>
        <w:rPr>
          <w:rFonts w:hint="eastAsia" w:ascii="宋体" w:hAnsi="宋体" w:eastAsia="宋体" w:cs="宋体"/>
          <w:b/>
          <w:bCs/>
          <w:sz w:val="30"/>
          <w:szCs w:val="30"/>
          <w:lang w:eastAsia="zh-CN"/>
        </w:rPr>
      </w:pPr>
      <w:r>
        <w:rPr>
          <w:rFonts w:ascii="Arial" w:hAnsi="Arial" w:cs="Arial"/>
          <w:b/>
          <w:color w:val="000000"/>
          <w:sz w:val="32"/>
          <w:szCs w:val="32"/>
        </w:rPr>
        <w:t>项目名称：</w:t>
      </w:r>
      <w:r>
        <w:rPr>
          <w:rFonts w:hint="eastAsia" w:ascii="宋体" w:hAnsi="宋体" w:eastAsia="宋体" w:cs="宋体"/>
          <w:b/>
          <w:bCs/>
          <w:sz w:val="30"/>
          <w:szCs w:val="30"/>
          <w:lang w:eastAsia="zh-CN"/>
        </w:rPr>
        <w:t>2027年度滨海县会议服务采购项目</w:t>
      </w:r>
    </w:p>
    <w:p w14:paraId="6A0E1FBA">
      <w:pPr>
        <w:pStyle w:val="32"/>
        <w:spacing w:before="120" w:beforeAutospacing="0" w:after="120" w:afterAutospacing="0" w:line="360" w:lineRule="auto"/>
        <w:jc w:val="center"/>
        <w:rPr>
          <w:rFonts w:hint="eastAsia" w:ascii="宋体" w:hAnsi="宋体" w:eastAsia="宋体" w:cs="宋体"/>
          <w:b/>
          <w:bCs/>
          <w:sz w:val="30"/>
          <w:szCs w:val="30"/>
        </w:rPr>
      </w:pPr>
      <w:r>
        <w:rPr>
          <w:rFonts w:hint="eastAsia" w:ascii="Arial" w:hAnsi="Arial" w:cs="Arial"/>
          <w:b/>
          <w:color w:val="000000"/>
          <w:sz w:val="32"/>
          <w:szCs w:val="32"/>
        </w:rPr>
        <w:t>项目编号：JSZC-320922-JSJS-G2026-0011</w:t>
      </w:r>
    </w:p>
    <w:p w14:paraId="1F7E699F">
      <w:pPr>
        <w:pStyle w:val="32"/>
        <w:spacing w:beforeAutospacing="0" w:afterAutospacing="0" w:line="360" w:lineRule="auto"/>
      </w:pPr>
      <w:r>
        <w:t> </w:t>
      </w:r>
    </w:p>
    <w:p w14:paraId="5F248CA5">
      <w:pPr>
        <w:pStyle w:val="32"/>
        <w:spacing w:beforeAutospacing="0" w:afterAutospacing="0" w:line="360" w:lineRule="auto"/>
      </w:pPr>
      <w:r>
        <w:t> </w:t>
      </w:r>
    </w:p>
    <w:p w14:paraId="6E24C81B">
      <w:pPr>
        <w:pStyle w:val="32"/>
        <w:spacing w:beforeAutospacing="0" w:afterAutospacing="0" w:line="360" w:lineRule="auto"/>
      </w:pPr>
      <w:r>
        <w:t> </w:t>
      </w:r>
    </w:p>
    <w:p w14:paraId="0010270E">
      <w:pPr>
        <w:pStyle w:val="32"/>
        <w:spacing w:beforeAutospacing="0" w:afterAutospacing="0" w:line="360" w:lineRule="auto"/>
      </w:pPr>
      <w:r>
        <w:t> </w:t>
      </w:r>
    </w:p>
    <w:p w14:paraId="6A6F21A7">
      <w:pPr>
        <w:pStyle w:val="32"/>
        <w:spacing w:beforeAutospacing="0" w:afterAutospacing="0" w:line="360" w:lineRule="auto"/>
      </w:pPr>
      <w:r>
        <w:t> </w:t>
      </w:r>
    </w:p>
    <w:p w14:paraId="6A14540D">
      <w:pPr>
        <w:pStyle w:val="32"/>
        <w:spacing w:beforeAutospacing="0" w:afterAutospacing="0" w:line="360" w:lineRule="auto"/>
      </w:pPr>
      <w:r>
        <w:t> </w:t>
      </w:r>
    </w:p>
    <w:p w14:paraId="77E7F24B">
      <w:pPr>
        <w:pStyle w:val="32"/>
        <w:spacing w:beforeAutospacing="0" w:afterAutospacing="0" w:line="360" w:lineRule="auto"/>
      </w:pPr>
      <w:r>
        <w:t> </w:t>
      </w:r>
    </w:p>
    <w:p w14:paraId="060FFBB5">
      <w:pPr>
        <w:pStyle w:val="32"/>
        <w:spacing w:before="120" w:beforeAutospacing="0" w:after="120" w:afterAutospacing="0" w:line="360" w:lineRule="auto"/>
        <w:jc w:val="center"/>
        <w:rPr>
          <w:rFonts w:hint="eastAsia" w:ascii="Arial" w:hAnsi="Arial" w:eastAsia="宋体" w:cs="Arial"/>
          <w:b/>
          <w:color w:val="000000"/>
          <w:sz w:val="32"/>
          <w:szCs w:val="32"/>
        </w:rPr>
      </w:pPr>
    </w:p>
    <w:p w14:paraId="461258F4">
      <w:pPr>
        <w:pStyle w:val="32"/>
        <w:spacing w:before="120" w:beforeAutospacing="0" w:after="120" w:afterAutospacing="0" w:line="360" w:lineRule="auto"/>
        <w:jc w:val="center"/>
        <w:rPr>
          <w:rFonts w:hint="eastAsia" w:ascii="Arial" w:hAnsi="Arial" w:eastAsia="宋体" w:cs="Arial"/>
          <w:b/>
          <w:color w:val="000000"/>
          <w:sz w:val="32"/>
          <w:szCs w:val="32"/>
        </w:rPr>
      </w:pPr>
    </w:p>
    <w:p w14:paraId="110482D2">
      <w:pPr>
        <w:pStyle w:val="32"/>
        <w:spacing w:before="120" w:beforeAutospacing="0" w:after="120" w:afterAutospacing="0" w:line="360" w:lineRule="auto"/>
        <w:jc w:val="center"/>
        <w:rPr>
          <w:rFonts w:hint="eastAsia" w:ascii="Arial" w:hAnsi="Arial" w:eastAsia="宋体" w:cs="Arial"/>
          <w:b/>
          <w:color w:val="000000"/>
          <w:sz w:val="32"/>
          <w:szCs w:val="32"/>
        </w:rPr>
      </w:pPr>
    </w:p>
    <w:p w14:paraId="4697E0C2">
      <w:pPr>
        <w:pStyle w:val="32"/>
        <w:spacing w:before="120" w:beforeAutospacing="0" w:after="120" w:afterAutospacing="0" w:line="360" w:lineRule="auto"/>
        <w:jc w:val="center"/>
        <w:rPr>
          <w:rFonts w:hint="eastAsia" w:ascii="Arial" w:hAnsi="Arial" w:eastAsia="宋体" w:cs="Arial"/>
          <w:b/>
          <w:color w:val="000000"/>
          <w:sz w:val="32"/>
          <w:szCs w:val="32"/>
        </w:rPr>
      </w:pPr>
    </w:p>
    <w:p w14:paraId="6F80BE90">
      <w:pPr>
        <w:pStyle w:val="32"/>
        <w:spacing w:before="120" w:beforeAutospacing="0" w:after="120" w:afterAutospacing="0" w:line="360" w:lineRule="auto"/>
        <w:jc w:val="center"/>
        <w:rPr>
          <w:rFonts w:hint="eastAsia" w:ascii="Arial" w:hAnsi="Arial" w:eastAsia="宋体" w:cs="Arial"/>
          <w:b/>
          <w:color w:val="000000"/>
          <w:sz w:val="32"/>
          <w:szCs w:val="32"/>
          <w:lang w:eastAsia="zh-CN"/>
        </w:rPr>
      </w:pPr>
      <w:r>
        <w:rPr>
          <w:rFonts w:hint="eastAsia" w:ascii="Arial" w:hAnsi="Arial" w:eastAsia="宋体" w:cs="Arial"/>
          <w:b/>
          <w:color w:val="000000"/>
          <w:sz w:val="32"/>
          <w:szCs w:val="32"/>
          <w:lang w:eastAsia="zh-CN"/>
        </w:rPr>
        <w:t>滨海县机关事务服务中心</w:t>
      </w:r>
    </w:p>
    <w:p w14:paraId="685CAE86">
      <w:pPr>
        <w:pStyle w:val="32"/>
        <w:spacing w:before="120" w:beforeAutospacing="0" w:after="120" w:afterAutospacing="0" w:line="360" w:lineRule="auto"/>
        <w:jc w:val="center"/>
      </w:pPr>
      <w:r>
        <w:rPr>
          <w:rFonts w:hint="eastAsia" w:ascii="Arial" w:hAnsi="Arial" w:cs="Arial"/>
          <w:b/>
          <w:color w:val="000000"/>
          <w:sz w:val="32"/>
          <w:szCs w:val="32"/>
        </w:rPr>
        <w:t>2026</w:t>
      </w:r>
      <w:r>
        <w:rPr>
          <w:rFonts w:ascii="Arial" w:hAnsi="Arial" w:cs="Arial"/>
          <w:b/>
          <w:color w:val="000000"/>
          <w:sz w:val="32"/>
          <w:szCs w:val="32"/>
        </w:rPr>
        <w:t>年</w:t>
      </w:r>
      <w:r>
        <w:rPr>
          <w:rFonts w:hint="eastAsia" w:ascii="Arial" w:hAnsi="Arial" w:eastAsia="宋体" w:cs="Arial"/>
          <w:b/>
          <w:color w:val="000000"/>
          <w:sz w:val="32"/>
          <w:szCs w:val="32"/>
          <w:lang w:val="en-US" w:eastAsia="zh-CN"/>
        </w:rPr>
        <w:t>10</w:t>
      </w:r>
      <w:r>
        <w:rPr>
          <w:rFonts w:ascii="Arial" w:hAnsi="Arial" w:cs="Arial"/>
          <w:b/>
          <w:color w:val="000000"/>
          <w:sz w:val="32"/>
          <w:szCs w:val="32"/>
        </w:rPr>
        <w:t>月</w:t>
      </w:r>
    </w:p>
    <w:p w14:paraId="169BFDE5">
      <w:pPr>
        <w:pStyle w:val="32"/>
        <w:spacing w:before="120" w:beforeAutospacing="0" w:after="120" w:afterAutospacing="0" w:line="360" w:lineRule="auto"/>
      </w:pPr>
      <w:r>
        <w:rPr>
          <w:rFonts w:ascii="Arial" w:hAnsi="Arial" w:cs="Arial"/>
          <w:color w:val="000000"/>
        </w:rPr>
        <w:t>                       </w:t>
      </w:r>
    </w:p>
    <w:p w14:paraId="3CB4D792">
      <w:pPr>
        <w:pStyle w:val="32"/>
        <w:spacing w:beforeAutospacing="0" w:afterAutospacing="0" w:line="360" w:lineRule="auto"/>
        <w:jc w:val="center"/>
      </w:pPr>
      <w:bookmarkStart w:id="0" w:name="_Toc20823272"/>
      <w:bookmarkStart w:id="1" w:name="_Toc16938516"/>
      <w:bookmarkStart w:id="2" w:name="_Toc120614210"/>
      <w:bookmarkStart w:id="3" w:name="_Toc523127445"/>
      <w:bookmarkStart w:id="4" w:name="_Toc479757206"/>
      <w:bookmarkStart w:id="5" w:name="_Toc513029200"/>
      <w:r>
        <w:rPr>
          <w:rFonts w:ascii="黑体" w:hAnsi="宋体" w:eastAsia="黑体" w:cs="黑体"/>
          <w:b/>
          <w:color w:val="000000"/>
          <w:sz w:val="44"/>
          <w:szCs w:val="44"/>
        </w:rPr>
        <w:t>总 目 录</w:t>
      </w:r>
      <w:bookmarkEnd w:id="0"/>
      <w:bookmarkEnd w:id="1"/>
      <w:bookmarkEnd w:id="2"/>
      <w:bookmarkEnd w:id="3"/>
      <w:bookmarkEnd w:id="4"/>
      <w:bookmarkEnd w:id="5"/>
    </w:p>
    <w:p w14:paraId="518B4041">
      <w:pPr>
        <w:pStyle w:val="32"/>
        <w:spacing w:beforeAutospacing="0" w:afterAutospacing="0" w:line="360" w:lineRule="auto"/>
        <w:jc w:val="both"/>
      </w:pPr>
      <w:r>
        <w:t> </w:t>
      </w:r>
    </w:p>
    <w:p w14:paraId="7076CA2F">
      <w:pPr>
        <w:pStyle w:val="32"/>
        <w:tabs>
          <w:tab w:val="left" w:pos="1441"/>
        </w:tabs>
        <w:spacing w:beforeAutospacing="0" w:afterAutospacing="0" w:line="360" w:lineRule="auto"/>
        <w:ind w:left="2160" w:hanging="1440"/>
        <w:jc w:val="both"/>
        <w:rPr>
          <w:rFonts w:eastAsia="黑体"/>
        </w:rPr>
      </w:pPr>
      <w:r>
        <w:rPr>
          <w:rFonts w:hint="eastAsia" w:ascii="黑体" w:hAnsi="宋体" w:eastAsia="黑体" w:cs="黑体"/>
          <w:color w:val="000000"/>
          <w:sz w:val="36"/>
          <w:szCs w:val="36"/>
        </w:rPr>
        <w:t>第一章  招标公告</w:t>
      </w:r>
    </w:p>
    <w:p w14:paraId="6CC6833B">
      <w:pPr>
        <w:pStyle w:val="32"/>
        <w:tabs>
          <w:tab w:val="left" w:pos="1441"/>
        </w:tabs>
        <w:spacing w:beforeAutospacing="0" w:afterAutospacing="0" w:line="360" w:lineRule="auto"/>
        <w:ind w:left="2160" w:hanging="1440"/>
        <w:jc w:val="both"/>
        <w:rPr>
          <w:rFonts w:eastAsia="黑体"/>
        </w:rPr>
      </w:pPr>
      <w:r>
        <w:rPr>
          <w:rFonts w:hint="eastAsia" w:ascii="黑体" w:hAnsi="宋体" w:eastAsia="黑体" w:cs="黑体"/>
          <w:color w:val="000000"/>
          <w:sz w:val="36"/>
          <w:szCs w:val="36"/>
        </w:rPr>
        <w:t>第二章  投标人须知 </w:t>
      </w:r>
    </w:p>
    <w:p w14:paraId="65A6FD36">
      <w:pPr>
        <w:pStyle w:val="32"/>
        <w:tabs>
          <w:tab w:val="left" w:pos="1441"/>
        </w:tabs>
        <w:spacing w:beforeAutospacing="0" w:afterAutospacing="0" w:line="360" w:lineRule="auto"/>
        <w:ind w:firstLine="720"/>
        <w:jc w:val="both"/>
        <w:rPr>
          <w:rFonts w:hint="eastAsia" w:eastAsia="黑体"/>
          <w:lang w:eastAsia="zh-CN"/>
        </w:rPr>
      </w:pPr>
      <w:r>
        <w:rPr>
          <w:rFonts w:hint="eastAsia" w:ascii="黑体" w:hAnsi="宋体" w:eastAsia="黑体" w:cs="黑体"/>
          <w:color w:val="000000"/>
          <w:sz w:val="36"/>
          <w:szCs w:val="36"/>
        </w:rPr>
        <w:t>第三章  合同</w:t>
      </w:r>
      <w:r>
        <w:rPr>
          <w:rFonts w:hint="eastAsia" w:ascii="黑体" w:hAnsi="宋体" w:eastAsia="黑体" w:cs="黑体"/>
          <w:color w:val="000000"/>
          <w:sz w:val="36"/>
          <w:szCs w:val="36"/>
          <w:lang w:val="en-US" w:eastAsia="zh-CN"/>
        </w:rPr>
        <w:t>条款</w:t>
      </w:r>
    </w:p>
    <w:p w14:paraId="1AD9A31C">
      <w:pPr>
        <w:pStyle w:val="32"/>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第四章  采购需求</w:t>
      </w:r>
    </w:p>
    <w:p w14:paraId="16CFBD74">
      <w:pPr>
        <w:pStyle w:val="32"/>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第五章  评标方法与评标标准</w:t>
      </w:r>
    </w:p>
    <w:p w14:paraId="6BBB1809">
      <w:pPr>
        <w:pStyle w:val="32"/>
        <w:tabs>
          <w:tab w:val="left" w:pos="1441"/>
        </w:tabs>
        <w:spacing w:beforeAutospacing="0" w:afterAutospacing="0" w:line="360" w:lineRule="auto"/>
        <w:ind w:left="2160" w:hanging="1440"/>
        <w:jc w:val="both"/>
      </w:pPr>
      <w:r>
        <w:rPr>
          <w:rFonts w:hint="eastAsia" w:ascii="黑体" w:hAnsi="宋体" w:eastAsia="黑体" w:cs="黑体"/>
          <w:color w:val="000000"/>
          <w:sz w:val="36"/>
          <w:szCs w:val="36"/>
        </w:rPr>
        <w:t>第六章  投标文件格式</w:t>
      </w:r>
    </w:p>
    <w:p w14:paraId="3FA32B0F">
      <w:pPr>
        <w:pStyle w:val="32"/>
        <w:spacing w:beforeAutospacing="0" w:afterAutospacing="0" w:line="360" w:lineRule="auto"/>
        <w:jc w:val="both"/>
      </w:pPr>
      <w:r>
        <w:t> </w:t>
      </w:r>
    </w:p>
    <w:p w14:paraId="5D9C4229">
      <w:pPr>
        <w:pStyle w:val="32"/>
        <w:spacing w:beforeAutospacing="0" w:afterAutospacing="0" w:line="360" w:lineRule="auto"/>
        <w:jc w:val="both"/>
      </w:pPr>
      <w:r>
        <w:t> </w:t>
      </w:r>
    </w:p>
    <w:p w14:paraId="113ADA5D">
      <w:pPr>
        <w:pStyle w:val="32"/>
        <w:spacing w:beforeAutospacing="0" w:afterAutospacing="0" w:line="360" w:lineRule="auto"/>
        <w:jc w:val="both"/>
      </w:pPr>
      <w:r>
        <w:t> </w:t>
      </w:r>
    </w:p>
    <w:p w14:paraId="280B5C50">
      <w:pPr>
        <w:pStyle w:val="32"/>
        <w:spacing w:beforeAutospacing="0" w:afterAutospacing="0" w:line="360" w:lineRule="auto"/>
        <w:jc w:val="both"/>
      </w:pPr>
      <w:r>
        <w:t> </w:t>
      </w:r>
    </w:p>
    <w:p w14:paraId="13A6C1D6">
      <w:pPr>
        <w:pStyle w:val="32"/>
        <w:spacing w:beforeAutospacing="0" w:afterAutospacing="0" w:line="360" w:lineRule="auto"/>
        <w:jc w:val="both"/>
      </w:pPr>
      <w:r>
        <w:t> </w:t>
      </w:r>
    </w:p>
    <w:p w14:paraId="5FE471E2">
      <w:pPr>
        <w:pStyle w:val="32"/>
        <w:spacing w:beforeAutospacing="0" w:afterAutospacing="0" w:line="360" w:lineRule="auto"/>
        <w:jc w:val="both"/>
      </w:pPr>
      <w:r>
        <w:t> </w:t>
      </w:r>
    </w:p>
    <w:p w14:paraId="737F2202">
      <w:pPr>
        <w:pStyle w:val="32"/>
        <w:spacing w:beforeAutospacing="0" w:afterAutospacing="0" w:line="360" w:lineRule="auto"/>
        <w:jc w:val="both"/>
      </w:pPr>
      <w:r>
        <w:t> </w:t>
      </w:r>
    </w:p>
    <w:p w14:paraId="3B5DAB39">
      <w:pPr>
        <w:pStyle w:val="32"/>
        <w:spacing w:beforeAutospacing="0" w:afterAutospacing="0" w:line="360" w:lineRule="auto"/>
        <w:jc w:val="both"/>
      </w:pPr>
      <w:r>
        <w:t> </w:t>
      </w:r>
    </w:p>
    <w:p w14:paraId="2ECC4B52">
      <w:pPr>
        <w:pStyle w:val="32"/>
        <w:spacing w:beforeAutospacing="0" w:afterAutospacing="0" w:line="360" w:lineRule="auto"/>
        <w:jc w:val="both"/>
      </w:pPr>
      <w:r>
        <w:t> </w:t>
      </w:r>
    </w:p>
    <w:p w14:paraId="5783611B">
      <w:pPr>
        <w:pStyle w:val="32"/>
        <w:spacing w:beforeAutospacing="0" w:afterAutospacing="0" w:line="360" w:lineRule="auto"/>
        <w:jc w:val="both"/>
      </w:pPr>
      <w:r>
        <w:t> </w:t>
      </w:r>
    </w:p>
    <w:p w14:paraId="25D6B11D">
      <w:pPr>
        <w:pStyle w:val="32"/>
        <w:spacing w:beforeAutospacing="0" w:afterAutospacing="0" w:line="360" w:lineRule="auto"/>
        <w:jc w:val="both"/>
      </w:pPr>
      <w:r>
        <w:t> </w:t>
      </w:r>
    </w:p>
    <w:p w14:paraId="25615BE8">
      <w:pPr>
        <w:pStyle w:val="32"/>
        <w:spacing w:beforeAutospacing="0" w:afterAutospacing="0" w:line="360" w:lineRule="auto"/>
        <w:jc w:val="both"/>
      </w:pPr>
      <w:r>
        <w:t> </w:t>
      </w:r>
    </w:p>
    <w:p w14:paraId="7D3D42E5">
      <w:pPr>
        <w:pStyle w:val="32"/>
        <w:spacing w:beforeAutospacing="0" w:afterAutospacing="0" w:line="360" w:lineRule="auto"/>
        <w:jc w:val="both"/>
      </w:pPr>
      <w:r>
        <w:t> </w:t>
      </w:r>
    </w:p>
    <w:p w14:paraId="44F7A015">
      <w:pPr>
        <w:pStyle w:val="32"/>
        <w:spacing w:beforeAutospacing="0" w:afterAutospacing="0" w:line="360" w:lineRule="auto"/>
        <w:jc w:val="both"/>
      </w:pPr>
      <w:r>
        <w:t> </w:t>
      </w:r>
    </w:p>
    <w:p w14:paraId="24072D9A">
      <w:pPr>
        <w:pStyle w:val="32"/>
        <w:spacing w:beforeAutospacing="0" w:afterAutospacing="0" w:line="360" w:lineRule="auto"/>
        <w:jc w:val="both"/>
      </w:pPr>
      <w:r>
        <w:t> </w:t>
      </w:r>
    </w:p>
    <w:p w14:paraId="30722B2B">
      <w:pPr>
        <w:pStyle w:val="32"/>
        <w:spacing w:beforeAutospacing="0" w:afterAutospacing="0" w:line="360" w:lineRule="auto"/>
        <w:jc w:val="both"/>
      </w:pPr>
      <w:r>
        <w:t> </w:t>
      </w:r>
    </w:p>
    <w:p w14:paraId="63FD2143">
      <w:pPr>
        <w:pStyle w:val="32"/>
        <w:spacing w:beforeAutospacing="0" w:afterAutospacing="0" w:line="360" w:lineRule="auto"/>
        <w:jc w:val="both"/>
      </w:pPr>
      <w:r>
        <w:t> </w:t>
      </w:r>
    </w:p>
    <w:p w14:paraId="76BDA049">
      <w:pPr>
        <w:pStyle w:val="32"/>
        <w:spacing w:beforeAutospacing="0" w:afterAutospacing="0" w:line="360" w:lineRule="auto"/>
        <w:jc w:val="both"/>
        <w:sectPr>
          <w:pgSz w:w="11906" w:h="16838"/>
          <w:pgMar w:top="1440" w:right="1701" w:bottom="1440" w:left="1701" w:header="851" w:footer="992" w:gutter="0"/>
          <w:cols w:space="425" w:num="1"/>
          <w:docGrid w:linePitch="360" w:charSpace="0"/>
        </w:sectPr>
      </w:pPr>
    </w:p>
    <w:p w14:paraId="1FC930BA">
      <w:pPr>
        <w:pStyle w:val="32"/>
        <w:spacing w:beforeAutospacing="0" w:afterAutospacing="0" w:line="360" w:lineRule="auto"/>
        <w:jc w:val="center"/>
        <w:rPr>
          <w:rFonts w:eastAsia="黑体"/>
          <w:sz w:val="48"/>
          <w:szCs w:val="48"/>
        </w:rPr>
      </w:pPr>
      <w:r>
        <w:rPr>
          <w:rFonts w:hint="eastAsia" w:ascii="黑体" w:hAnsi="宋体" w:eastAsia="黑体" w:cs="黑体"/>
          <w:color w:val="000000"/>
          <w:sz w:val="48"/>
          <w:szCs w:val="48"/>
        </w:rPr>
        <w:t>第一章 招标公告</w:t>
      </w:r>
    </w:p>
    <w:p w14:paraId="353EDAC1">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项目概况</w:t>
      </w:r>
    </w:p>
    <w:p w14:paraId="5698BB06">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highlight w:val="yellow"/>
        </w:rPr>
      </w:pPr>
      <w:r>
        <w:rPr>
          <w:rFonts w:hint="eastAsia" w:ascii="宋体" w:hAnsi="宋体" w:eastAsia="宋体" w:cs="宋体"/>
          <w:color w:val="000000"/>
          <w:u w:val="single"/>
          <w:lang w:eastAsia="zh-CN"/>
        </w:rPr>
        <w:t>2027年度滨海县会议服务采购项目</w:t>
      </w:r>
      <w:r>
        <w:rPr>
          <w:rFonts w:hint="eastAsia" w:ascii="宋体" w:hAnsi="宋体" w:eastAsia="宋体" w:cs="宋体"/>
          <w:color w:val="000000"/>
        </w:rPr>
        <w:t>的潜在投标人可在</w:t>
      </w:r>
      <w:r>
        <w:rPr>
          <w:rFonts w:hint="eastAsia" w:ascii="宋体" w:hAnsi="宋体" w:eastAsia="宋体" w:cs="宋体"/>
          <w:color w:val="333333"/>
          <w:shd w:val="clear" w:color="auto" w:fill="FFFFFF"/>
        </w:rPr>
        <w:t>“苏采云”系统内免费下载（投标人必须在苏采云系统中获取采购文件，方能参与政府采购项目）</w:t>
      </w:r>
      <w:r>
        <w:rPr>
          <w:rFonts w:hint="eastAsia" w:ascii="宋体" w:hAnsi="宋体" w:eastAsia="宋体" w:cs="宋体"/>
          <w:color w:val="000000"/>
        </w:rPr>
        <w:t>，并</w:t>
      </w:r>
      <w:r>
        <w:rPr>
          <w:rFonts w:hint="eastAsia" w:ascii="宋体" w:hAnsi="宋体" w:eastAsia="宋体" w:cs="宋体"/>
          <w:color w:val="000000"/>
          <w:highlight w:val="none"/>
        </w:rPr>
        <w:t>于</w:t>
      </w:r>
      <w:r>
        <w:rPr>
          <w:rFonts w:hint="eastAsia" w:ascii="宋体" w:hAnsi="宋体" w:eastAsia="宋体" w:cs="宋体"/>
          <w:highlight w:val="none"/>
          <w:u w:val="single"/>
        </w:rPr>
        <w:t>2026年</w:t>
      </w:r>
      <w:r>
        <w:rPr>
          <w:rFonts w:hint="eastAsia" w:ascii="宋体" w:hAnsi="宋体" w:eastAsia="宋体" w:cs="宋体"/>
          <w:highlight w:val="none"/>
          <w:u w:val="single"/>
          <w:lang w:val="en-US" w:eastAsia="zh-CN"/>
        </w:rPr>
        <w:t>11</w:t>
      </w:r>
      <w:r>
        <w:rPr>
          <w:rFonts w:hint="eastAsia" w:ascii="宋体" w:hAnsi="宋体" w:eastAsia="宋体" w:cs="宋体"/>
          <w:highlight w:val="none"/>
          <w:u w:val="single"/>
        </w:rPr>
        <w:t>月</w:t>
      </w:r>
      <w:r>
        <w:rPr>
          <w:rFonts w:hint="eastAsia" w:ascii="宋体" w:hAnsi="宋体" w:eastAsia="宋体" w:cs="宋体"/>
          <w:highlight w:val="none"/>
          <w:u w:val="single"/>
          <w:lang w:val="en-US" w:eastAsia="zh-CN"/>
        </w:rPr>
        <w:t>4</w:t>
      </w:r>
      <w:r>
        <w:rPr>
          <w:rFonts w:hint="eastAsia" w:ascii="宋体" w:hAnsi="宋体" w:eastAsia="宋体" w:cs="宋体"/>
          <w:highlight w:val="none"/>
          <w:u w:val="single"/>
        </w:rPr>
        <w:t>日</w:t>
      </w:r>
      <w:r>
        <w:rPr>
          <w:rFonts w:hint="default" w:ascii="宋体" w:hAnsi="宋体" w:eastAsia="宋体" w:cs="宋体"/>
          <w:highlight w:val="none"/>
          <w:u w:val="single"/>
          <w:lang w:val="en-US"/>
        </w:rPr>
        <w:t>9</w:t>
      </w:r>
      <w:r>
        <w:rPr>
          <w:rFonts w:hint="eastAsia" w:ascii="宋体" w:hAnsi="宋体" w:eastAsia="宋体" w:cs="宋体"/>
          <w:highlight w:val="none"/>
          <w:u w:val="single"/>
        </w:rPr>
        <w:t>点00分00秒</w:t>
      </w:r>
      <w:r>
        <w:rPr>
          <w:rFonts w:hint="eastAsia" w:ascii="宋体" w:hAnsi="宋体" w:eastAsia="宋体" w:cs="宋体"/>
          <w:color w:val="000000"/>
          <w:highlight w:val="none"/>
          <w:u w:val="single"/>
        </w:rPr>
        <w:t>（</w:t>
      </w:r>
      <w:r>
        <w:rPr>
          <w:rFonts w:hint="eastAsia" w:ascii="宋体" w:hAnsi="宋体" w:eastAsia="宋体" w:cs="宋体"/>
          <w:color w:val="000000"/>
          <w:highlight w:val="none"/>
        </w:rPr>
        <w:t>北京时间）前递交投标文件。</w:t>
      </w:r>
    </w:p>
    <w:p w14:paraId="034D449E">
      <w:pPr>
        <w:pStyle w:val="32"/>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bookmarkStart w:id="6" w:name="_Toc28359002"/>
      <w:bookmarkStart w:id="7" w:name="_Toc35393621"/>
      <w:bookmarkStart w:id="8" w:name="_Toc28359079"/>
      <w:bookmarkStart w:id="9" w:name="_Toc38985263"/>
      <w:bookmarkStart w:id="10" w:name="_Hlk24379207"/>
      <w:bookmarkStart w:id="11" w:name="_Toc35393790"/>
      <w:r>
        <w:rPr>
          <w:rFonts w:hint="eastAsia" w:ascii="宋体" w:hAnsi="宋体" w:eastAsia="宋体" w:cs="宋体"/>
          <w:b/>
          <w:color w:val="000000"/>
        </w:rPr>
        <w:t>一、项目基本情况</w:t>
      </w:r>
      <w:bookmarkEnd w:id="6"/>
      <w:bookmarkEnd w:id="7"/>
      <w:bookmarkEnd w:id="8"/>
      <w:bookmarkEnd w:id="9"/>
      <w:bookmarkEnd w:id="10"/>
      <w:bookmarkEnd w:id="11"/>
    </w:p>
    <w:p w14:paraId="50DD4B96">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lang w:eastAsia="zh-CN"/>
        </w:rPr>
      </w:pPr>
      <w:r>
        <w:rPr>
          <w:rFonts w:hint="eastAsia" w:ascii="宋体" w:hAnsi="宋体" w:eastAsia="宋体" w:cs="宋体"/>
          <w:color w:val="000000"/>
        </w:rPr>
        <w:t>1.项目编号：</w:t>
      </w:r>
      <w:r>
        <w:rPr>
          <w:rFonts w:hint="eastAsia" w:ascii="宋体" w:hAnsi="宋体" w:eastAsia="宋体" w:cs="宋体"/>
          <w:color w:val="000000"/>
          <w:lang w:val="en-US" w:eastAsia="zh-CN"/>
        </w:rPr>
        <w:t xml:space="preserve"> JSZC-320922-JSJS-G2026-0011</w:t>
      </w:r>
    </w:p>
    <w:p w14:paraId="0528729C">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color w:val="000000"/>
          <w:lang w:eastAsia="zh-CN"/>
        </w:rPr>
        <w:t>2027年度滨海县会议服务采购项目</w:t>
      </w:r>
    </w:p>
    <w:p w14:paraId="611CA5A4">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333333"/>
          <w:shd w:val="clear" w:color="auto" w:fill="FFFFFF"/>
        </w:rPr>
        <w:t>3.采购方式：公开招标</w:t>
      </w:r>
    </w:p>
    <w:p w14:paraId="442FD437">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highlight w:val="none"/>
        </w:rPr>
      </w:pPr>
      <w:r>
        <w:rPr>
          <w:rFonts w:hint="eastAsia" w:ascii="宋体" w:hAnsi="宋体" w:eastAsia="宋体" w:cs="宋体"/>
          <w:color w:val="000000"/>
          <w:highlight w:val="none"/>
        </w:rPr>
        <w:t>4.预算金额：</w:t>
      </w:r>
      <w:r>
        <w:rPr>
          <w:rFonts w:hint="eastAsia" w:ascii="宋体" w:hAnsi="宋体" w:eastAsia="宋体" w:cs="宋体"/>
          <w:color w:val="000000"/>
          <w:highlight w:val="none"/>
          <w:lang w:val="en-US" w:eastAsia="zh-CN"/>
        </w:rPr>
        <w:t>700</w:t>
      </w:r>
      <w:r>
        <w:rPr>
          <w:rFonts w:hint="eastAsia" w:ascii="宋体" w:hAnsi="宋体" w:eastAsia="宋体" w:cs="宋体"/>
          <w:color w:val="000000"/>
          <w:highlight w:val="none"/>
        </w:rPr>
        <w:t>万元</w:t>
      </w:r>
    </w:p>
    <w:p w14:paraId="63E9CDB0">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000000"/>
          <w:highlight w:val="none"/>
        </w:rPr>
        <w:t>5.最高限价：</w:t>
      </w:r>
      <w:r>
        <w:rPr>
          <w:rFonts w:hint="eastAsia" w:ascii="宋体" w:hAnsi="宋体" w:eastAsia="宋体" w:cs="宋体"/>
          <w:color w:val="000000"/>
          <w:highlight w:val="none"/>
          <w:lang w:val="en-US" w:eastAsia="zh-CN"/>
        </w:rPr>
        <w:t>700</w:t>
      </w:r>
      <w:r>
        <w:rPr>
          <w:rFonts w:hint="eastAsia" w:ascii="宋体" w:hAnsi="宋体" w:eastAsia="宋体" w:cs="宋体"/>
          <w:color w:val="000000"/>
          <w:highlight w:val="none"/>
        </w:rPr>
        <w:t>万元</w:t>
      </w:r>
      <w:r>
        <w:rPr>
          <w:rFonts w:hint="eastAsia" w:ascii="宋体" w:hAnsi="宋体" w:eastAsia="宋体" w:cs="宋体"/>
          <w:color w:val="000000"/>
          <w:highlight w:val="none"/>
          <w:lang w:eastAsia="zh-CN"/>
        </w:rPr>
        <w:t>。</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sz w:val="24"/>
          <w:szCs w:val="24"/>
          <w:highlight w:val="none"/>
        </w:rPr>
        <w:t>投标人的投标价不得超出最高限价，否则作无效标书处理</w:t>
      </w:r>
      <w:r>
        <w:rPr>
          <w:rFonts w:hint="eastAsia" w:ascii="宋体" w:hAnsi="宋体" w:eastAsia="宋体" w:cs="宋体"/>
          <w:color w:val="auto"/>
          <w:sz w:val="24"/>
          <w:szCs w:val="24"/>
          <w:highlight w:val="none"/>
          <w:u w:val="none"/>
          <w:lang w:val="en-US" w:eastAsia="zh-CN"/>
        </w:rPr>
        <w:t>）</w:t>
      </w:r>
    </w:p>
    <w:p w14:paraId="2898FC87">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lang w:eastAsia="zh-CN"/>
        </w:rPr>
      </w:pPr>
      <w:r>
        <w:rPr>
          <w:rFonts w:hint="eastAsia" w:ascii="宋体" w:hAnsi="宋体" w:eastAsia="宋体" w:cs="宋体"/>
          <w:color w:val="000000"/>
        </w:rPr>
        <w:t>6.采购需求（简介）：</w:t>
      </w:r>
      <w:r>
        <w:rPr>
          <w:rFonts w:hint="eastAsia" w:ascii="宋体" w:hAnsi="宋体" w:eastAsia="宋体" w:cs="宋体"/>
          <w:b/>
          <w:color w:val="000000"/>
          <w:lang w:eastAsia="zh-CN"/>
        </w:rPr>
        <w:t>2027年度滨海县会议服务采购项目</w:t>
      </w:r>
      <w:r>
        <w:rPr>
          <w:rFonts w:hint="eastAsia" w:ascii="宋体" w:hAnsi="宋体" w:eastAsia="宋体" w:cs="宋体"/>
          <w:b/>
          <w:color w:val="000000"/>
        </w:rPr>
        <w:t>，中标供应商在自有合法经营场地内为滨海</w:t>
      </w:r>
      <w:r>
        <w:rPr>
          <w:rFonts w:hint="eastAsia" w:ascii="宋体" w:hAnsi="宋体" w:eastAsia="宋体" w:cs="宋体"/>
          <w:b/>
          <w:color w:val="000000"/>
          <w:highlight w:val="none"/>
        </w:rPr>
        <w:t>县各机关事业单位提供各类会议</w:t>
      </w:r>
      <w:r>
        <w:rPr>
          <w:rFonts w:hint="eastAsia" w:ascii="宋体" w:hAnsi="宋体" w:eastAsia="宋体" w:cs="宋体"/>
          <w:b/>
          <w:color w:val="000000"/>
        </w:rPr>
        <w:t>及配套服务，工作内容包含会议场地提供、会场布置、会议设备保障、会议服务、保洁</w:t>
      </w:r>
      <w:r>
        <w:rPr>
          <w:rFonts w:hint="eastAsia" w:ascii="宋体" w:hAnsi="宋体" w:eastAsia="宋体" w:cs="宋体"/>
          <w:b/>
          <w:color w:val="000000"/>
          <w:lang w:eastAsia="zh-CN"/>
        </w:rPr>
        <w:t>、</w:t>
      </w:r>
      <w:r>
        <w:rPr>
          <w:rFonts w:hint="eastAsia" w:ascii="宋体" w:hAnsi="宋体" w:eastAsia="宋体" w:cs="宋体"/>
          <w:b/>
          <w:color w:val="000000"/>
          <w:lang w:val="en-US" w:eastAsia="zh-CN"/>
        </w:rPr>
        <w:t>保安</w:t>
      </w:r>
      <w:r>
        <w:rPr>
          <w:rFonts w:hint="eastAsia" w:ascii="宋体" w:hAnsi="宋体" w:eastAsia="宋体" w:cs="宋体"/>
          <w:b/>
          <w:color w:val="000000"/>
        </w:rPr>
        <w:t>及其他配套服务等。详细内容见本招标文件第四章</w:t>
      </w:r>
      <w:r>
        <w:rPr>
          <w:rFonts w:hint="eastAsia" w:ascii="宋体" w:hAnsi="宋体" w:eastAsia="宋体" w:cs="宋体"/>
          <w:color w:val="000000"/>
        </w:rPr>
        <w:t>。</w:t>
      </w:r>
    </w:p>
    <w:p w14:paraId="5B8C346D">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000000"/>
          <w:lang w:val="en-US"/>
        </w:rPr>
      </w:pPr>
      <w:r>
        <w:rPr>
          <w:rFonts w:hint="eastAsia" w:ascii="宋体" w:hAnsi="宋体" w:eastAsia="宋体" w:cs="宋体"/>
          <w:b w:val="0"/>
          <w:bCs w:val="0"/>
          <w:color w:val="000000"/>
        </w:rPr>
        <w:t>7.合同履行期限：</w:t>
      </w:r>
      <w:r>
        <w:rPr>
          <w:rFonts w:hint="eastAsia" w:ascii="宋体" w:hAnsi="宋体" w:eastAsia="宋体" w:cs="宋体"/>
          <w:color w:val="auto"/>
          <w:sz w:val="24"/>
          <w:szCs w:val="24"/>
          <w:highlight w:val="none"/>
          <w:u w:val="none"/>
          <w:lang w:val="en-US" w:eastAsia="zh-CN"/>
        </w:rPr>
        <w:t>14个月（</w:t>
      </w:r>
      <w:r>
        <w:rPr>
          <w:rFonts w:hint="eastAsia" w:ascii="宋体" w:hAnsi="宋体" w:eastAsia="宋体" w:cs="宋体"/>
          <w:b w:val="0"/>
          <w:sz w:val="24"/>
          <w:u w:val="none"/>
        </w:rPr>
        <w:t>试用期2个月+服务期12个月</w:t>
      </w:r>
      <w:r>
        <w:rPr>
          <w:rFonts w:hint="eastAsia" w:ascii="宋体" w:hAnsi="宋体" w:eastAsia="宋体" w:cs="宋体"/>
          <w:color w:val="auto"/>
          <w:sz w:val="24"/>
          <w:szCs w:val="24"/>
          <w:highlight w:val="none"/>
          <w:u w:val="none"/>
          <w:lang w:val="en-US" w:eastAsia="zh-CN"/>
        </w:rPr>
        <w:t>）</w:t>
      </w:r>
    </w:p>
    <w:p w14:paraId="6C6F03E1">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8</w:t>
      </w:r>
      <w:r>
        <w:rPr>
          <w:rFonts w:hint="eastAsia" w:ascii="宋体" w:hAnsi="宋体" w:eastAsia="宋体" w:cs="宋体"/>
          <w:color w:val="000000"/>
        </w:rPr>
        <w:t>.</w:t>
      </w:r>
      <w:r>
        <w:rPr>
          <w:rFonts w:hint="eastAsia" w:ascii="宋体" w:hAnsi="宋体" w:eastAsia="宋体" w:cs="宋体"/>
          <w:color w:val="auto"/>
          <w:sz w:val="24"/>
          <w:szCs w:val="24"/>
          <w:highlight w:val="none"/>
        </w:rPr>
        <w:t>服务地点：</w:t>
      </w:r>
      <w:r>
        <w:rPr>
          <w:rFonts w:hint="eastAsia" w:ascii="宋体" w:hAnsi="宋体" w:eastAsia="宋体" w:cs="宋体"/>
          <w:b w:val="0"/>
          <w:sz w:val="24"/>
        </w:rPr>
        <w:t>中标供应商自有合法经营场地（位于滨海县行政区域内）</w:t>
      </w:r>
    </w:p>
    <w:p w14:paraId="2725DF21">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highlight w:val="none"/>
          <w:u w:val="single"/>
          <w:lang w:val="en-US" w:eastAsia="zh-CN"/>
        </w:rPr>
      </w:pPr>
      <w:r>
        <w:rPr>
          <w:rFonts w:hint="eastAsia" w:ascii="宋体" w:hAnsi="宋体" w:eastAsia="宋体" w:cs="宋体"/>
          <w:color w:val="000000"/>
          <w:lang w:val="en-US" w:eastAsia="zh-CN"/>
        </w:rPr>
        <w:t>9.</w:t>
      </w:r>
      <w:r>
        <w:rPr>
          <w:rFonts w:hint="eastAsia" w:ascii="宋体" w:hAnsi="宋体" w:eastAsia="宋体" w:cs="宋体"/>
          <w:color w:val="auto"/>
          <w:sz w:val="24"/>
          <w:szCs w:val="24"/>
          <w:highlight w:val="none"/>
        </w:rPr>
        <w:t>本项目（是/否）属于专门面向</w:t>
      </w:r>
      <w:r>
        <w:rPr>
          <w:rFonts w:hint="eastAsia" w:ascii="宋体" w:hAnsi="宋体" w:eastAsia="宋体" w:cs="宋体"/>
          <w:strike w:val="0"/>
          <w:dstrike w:val="0"/>
          <w:color w:val="auto"/>
          <w:sz w:val="24"/>
          <w:szCs w:val="24"/>
          <w:highlight w:val="none"/>
        </w:rPr>
        <w:t>中小企业</w:t>
      </w:r>
      <w:r>
        <w:rPr>
          <w:rFonts w:hint="eastAsia" w:ascii="宋体" w:hAnsi="宋体" w:eastAsia="宋体" w:cs="宋体"/>
          <w:color w:val="auto"/>
          <w:sz w:val="24"/>
          <w:szCs w:val="24"/>
          <w:highlight w:val="none"/>
        </w:rPr>
        <w:t>采购的项目：</w:t>
      </w:r>
      <w:r>
        <w:rPr>
          <w:rFonts w:hint="eastAsia" w:ascii="宋体" w:hAnsi="宋体" w:eastAsia="宋体" w:cs="宋体"/>
          <w:strike w:val="0"/>
          <w:dstrike w:val="0"/>
          <w:color w:val="auto"/>
          <w:sz w:val="24"/>
          <w:szCs w:val="24"/>
          <w:highlight w:val="none"/>
          <w:u w:val="single"/>
        </w:rPr>
        <w:t>否</w:t>
      </w:r>
    </w:p>
    <w:p w14:paraId="3F261312">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10.本项目不接受联合体参与投标</w:t>
      </w:r>
    </w:p>
    <w:p w14:paraId="0E0D8B02">
      <w:pPr>
        <w:pStyle w:val="32"/>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bookmarkStart w:id="12" w:name="_Toc35393622"/>
      <w:bookmarkStart w:id="13" w:name="_Toc28359080"/>
      <w:bookmarkStart w:id="14" w:name="_Toc35393791"/>
      <w:bookmarkStart w:id="15" w:name="_Toc38985264"/>
      <w:bookmarkStart w:id="16" w:name="_Toc28359003"/>
      <w:r>
        <w:rPr>
          <w:rFonts w:hint="eastAsia" w:ascii="宋体" w:hAnsi="宋体" w:eastAsia="宋体" w:cs="宋体"/>
          <w:b/>
          <w:color w:val="000000"/>
        </w:rPr>
        <w:t>二、申请人的资格要求：</w:t>
      </w:r>
      <w:bookmarkEnd w:id="12"/>
      <w:bookmarkEnd w:id="13"/>
      <w:bookmarkEnd w:id="14"/>
      <w:bookmarkEnd w:id="15"/>
      <w:bookmarkEnd w:id="16"/>
    </w:p>
    <w:p w14:paraId="206E5B1F">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1.满足《中华人民共和国政府采购法》第二十二条规定，并提供下列材料：</w:t>
      </w:r>
    </w:p>
    <w:p w14:paraId="329D556F">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1.1法人或者其他组织的营业执照等证明文件，自然人的身份证明；</w:t>
      </w:r>
    </w:p>
    <w:p w14:paraId="746164CE">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1.2上一年度的财务状况报告（至少提供资产负债表、利润表、现金流量表，投标人成立不满一年无需提供）；</w:t>
      </w:r>
    </w:p>
    <w:p w14:paraId="447D6C8F">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10815210">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rPr>
      </w:pPr>
      <w:r>
        <w:rPr>
          <w:rFonts w:hint="eastAsia" w:ascii="宋体" w:hAnsi="宋体" w:eastAsia="宋体" w:cs="宋体"/>
          <w:color w:val="000000"/>
        </w:rPr>
        <w:t>1.4依法缴纳税收和社会保障资金的相关材料（提供提交</w:t>
      </w:r>
      <w:r>
        <w:rPr>
          <w:rFonts w:hint="eastAsia" w:ascii="宋体" w:hAnsi="宋体" w:eastAsia="宋体" w:cs="宋体"/>
          <w:sz w:val="24"/>
          <w:lang w:val="en-US" w:eastAsia="zh-CN"/>
        </w:rPr>
        <w:t>投标</w:t>
      </w:r>
      <w:r>
        <w:rPr>
          <w:rFonts w:hint="eastAsia" w:ascii="宋体" w:hAnsi="宋体" w:eastAsia="宋体" w:cs="宋体"/>
          <w:color w:val="000000"/>
        </w:rPr>
        <w:t>文件截止时间前一年内至少一个月依法缴纳税收及缴纳社会保障资金的证明材料。供应商依法享受缓缴、免缴税收、社会保障资金的提供证明材料。）；</w:t>
      </w:r>
    </w:p>
    <w:p w14:paraId="4F96DF12">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4D4ADC7A">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1.6法律、行政法规规定的其他条件。</w:t>
      </w:r>
    </w:p>
    <w:p w14:paraId="75DD6473">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lang w:val="en-US" w:eastAsia="zh-CN"/>
        </w:rPr>
        <w:t>投标</w:t>
      </w:r>
      <w:r>
        <w:rPr>
          <w:rFonts w:hint="eastAsia" w:ascii="宋体" w:hAnsi="宋体" w:eastAsia="宋体" w:cs="宋体"/>
          <w:color w:val="000000"/>
        </w:rPr>
        <w:t>文件中无需提供证明材料）</w:t>
      </w:r>
    </w:p>
    <w:p w14:paraId="70E516DB">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1.8单位负责人为同一人或者存在直接控股、管理关系的不同供应商，不得参加同一合同项下的政府采购活动。</w:t>
      </w:r>
    </w:p>
    <w:p w14:paraId="7548D6F0">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2.落实政府采购政策需满足的资格要求：</w:t>
      </w:r>
      <w:r>
        <w:rPr>
          <w:rFonts w:hint="eastAsia" w:ascii="宋体" w:hAnsi="宋体" w:eastAsia="宋体" w:cs="宋体"/>
          <w:color w:val="000000"/>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000000"/>
        </w:rPr>
        <w:t>。</w:t>
      </w:r>
    </w:p>
    <w:p w14:paraId="3F4CB950">
      <w:pPr>
        <w:pStyle w:val="32"/>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rPr>
      </w:pPr>
      <w:r>
        <w:rPr>
          <w:rFonts w:hint="eastAsia" w:ascii="宋体" w:hAnsi="宋体" w:eastAsia="宋体" w:cs="宋体"/>
          <w:color w:val="000000"/>
        </w:rPr>
        <w:t>3.本项目的特定资格要求：</w:t>
      </w:r>
      <w:r>
        <w:rPr>
          <w:rFonts w:hint="eastAsia" w:ascii="宋体" w:hAnsi="宋体" w:eastAsia="宋体" w:cs="宋体"/>
          <w:color w:val="auto"/>
          <w:sz w:val="24"/>
          <w:szCs w:val="24"/>
          <w:highlight w:val="none"/>
          <w:u w:val="single"/>
          <w:lang w:val="en-US" w:eastAsia="zh-CN"/>
        </w:rPr>
        <w:t>本项目不接受联合体投标</w:t>
      </w:r>
      <w:r>
        <w:rPr>
          <w:rFonts w:hint="eastAsia" w:ascii="宋体" w:hAnsi="宋体" w:eastAsia="宋体" w:cs="宋体"/>
          <w:color w:val="000000"/>
        </w:rPr>
        <w:t>。</w:t>
      </w:r>
    </w:p>
    <w:p w14:paraId="36DF568A">
      <w:pPr>
        <w:pStyle w:val="32"/>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三、获取招标文件</w:t>
      </w:r>
    </w:p>
    <w:p w14:paraId="6005F57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bookmarkStart w:id="17" w:name="_Toc35393624"/>
      <w:bookmarkStart w:id="18" w:name="_Toc28359082"/>
      <w:bookmarkStart w:id="19" w:name="_Toc28359005"/>
      <w:bookmarkStart w:id="20" w:name="_Toc35393793"/>
      <w:bookmarkStart w:id="21" w:name="_Toc38985266"/>
      <w:r>
        <w:rPr>
          <w:rFonts w:hint="eastAsia" w:ascii="宋体" w:hAnsi="宋体" w:eastAsia="宋体" w:cs="宋体"/>
          <w:color w:val="000000"/>
          <w:sz w:val="24"/>
        </w:rPr>
        <w:t>1.时间：</w:t>
      </w:r>
      <w:bookmarkEnd w:id="17"/>
      <w:bookmarkEnd w:id="18"/>
      <w:bookmarkEnd w:id="19"/>
      <w:bookmarkEnd w:id="20"/>
      <w:bookmarkEnd w:id="21"/>
      <w:r>
        <w:rPr>
          <w:rFonts w:hint="eastAsia" w:ascii="宋体" w:hAnsi="宋体" w:eastAsia="宋体" w:cs="宋体"/>
          <w:color w:val="000000"/>
          <w:sz w:val="24"/>
        </w:rPr>
        <w:t>自招标文件公告发布之日起5个工作日。</w:t>
      </w:r>
    </w:p>
    <w:p w14:paraId="0FC9B70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2.地点：“苏采云”系统内免费下载（投标人必须在苏采云系统中获取采购文件，方能参与政府采购项目）；</w:t>
      </w:r>
    </w:p>
    <w:p w14:paraId="57D1722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3.方式：本项目采用网上注册登记方式。</w:t>
      </w:r>
    </w:p>
    <w:p w14:paraId="42C0443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4.售价：0元</w:t>
      </w:r>
    </w:p>
    <w:p w14:paraId="66EAF5EB">
      <w:pPr>
        <w:pStyle w:val="32"/>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四、提交投标文件截止时间、开标时间和地点</w:t>
      </w:r>
    </w:p>
    <w:p w14:paraId="78CBE36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highlight w:val="yellow"/>
        </w:rPr>
      </w:pPr>
      <w:r>
        <w:rPr>
          <w:rFonts w:hint="eastAsia" w:ascii="宋体" w:hAnsi="宋体" w:eastAsia="宋体" w:cs="宋体"/>
          <w:color w:val="000000"/>
          <w:sz w:val="24"/>
        </w:rPr>
        <w:t>1</w:t>
      </w:r>
      <w:r>
        <w:rPr>
          <w:rFonts w:hint="eastAsia" w:ascii="宋体" w:hAnsi="宋体" w:eastAsia="宋体" w:cs="宋体"/>
          <w:color w:val="000000"/>
          <w:sz w:val="24"/>
          <w:highlight w:val="none"/>
        </w:rPr>
        <w:t>.时间：</w:t>
      </w:r>
      <w:r>
        <w:rPr>
          <w:rFonts w:hint="eastAsia" w:ascii="宋体" w:hAnsi="宋体" w:eastAsia="宋体" w:cs="宋体"/>
          <w:sz w:val="24"/>
          <w:highlight w:val="none"/>
        </w:rPr>
        <w:t>2026年</w:t>
      </w:r>
      <w:r>
        <w:rPr>
          <w:rFonts w:hint="eastAsia" w:ascii="宋体" w:hAnsi="宋体" w:eastAsia="宋体" w:cs="宋体"/>
          <w:sz w:val="24"/>
          <w:highlight w:val="none"/>
          <w:lang w:val="en-US" w:eastAsia="zh-CN"/>
        </w:rPr>
        <w:t>11</w:t>
      </w:r>
      <w:r>
        <w:rPr>
          <w:rFonts w:hint="eastAsia" w:ascii="宋体" w:hAnsi="宋体" w:eastAsia="宋体" w:cs="宋体"/>
          <w:sz w:val="24"/>
          <w:highlight w:val="none"/>
        </w:rPr>
        <w:t>月</w:t>
      </w:r>
      <w:r>
        <w:rPr>
          <w:rFonts w:hint="eastAsia" w:ascii="宋体" w:hAnsi="宋体" w:eastAsia="宋体" w:cs="宋体"/>
          <w:sz w:val="24"/>
          <w:highlight w:val="none"/>
          <w:lang w:val="en-US" w:eastAsia="zh-CN"/>
        </w:rPr>
        <w:t>4</w:t>
      </w:r>
      <w:r>
        <w:rPr>
          <w:rFonts w:hint="eastAsia" w:ascii="宋体" w:hAnsi="宋体" w:eastAsia="宋体" w:cs="宋体"/>
          <w:sz w:val="24"/>
          <w:highlight w:val="none"/>
        </w:rPr>
        <w:t>日9点00分00秒</w:t>
      </w:r>
      <w:r>
        <w:rPr>
          <w:rFonts w:hint="eastAsia" w:ascii="宋体" w:hAnsi="宋体" w:eastAsia="宋体" w:cs="宋体"/>
          <w:color w:val="000000"/>
          <w:sz w:val="24"/>
          <w:highlight w:val="none"/>
        </w:rPr>
        <w:t>（北京时间）</w:t>
      </w:r>
    </w:p>
    <w:p w14:paraId="3FF6EF1D">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2.地点：苏采云“不见面”开标大厅。</w:t>
      </w:r>
    </w:p>
    <w:p w14:paraId="7AC29489">
      <w:pPr>
        <w:pStyle w:val="32"/>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bookmarkStart w:id="22" w:name="_Toc38985267"/>
      <w:bookmarkStart w:id="23" w:name="_Toc35393794"/>
      <w:bookmarkStart w:id="24" w:name="_Toc28359084"/>
      <w:bookmarkStart w:id="25" w:name="_Toc35393625"/>
      <w:bookmarkStart w:id="26" w:name="_Toc28359007"/>
      <w:r>
        <w:rPr>
          <w:rFonts w:hint="eastAsia" w:ascii="宋体" w:hAnsi="宋体" w:eastAsia="宋体" w:cs="宋体"/>
          <w:b/>
          <w:color w:val="000000"/>
        </w:rPr>
        <w:t>五、公告期限</w:t>
      </w:r>
      <w:bookmarkEnd w:id="22"/>
      <w:bookmarkEnd w:id="23"/>
      <w:bookmarkEnd w:id="24"/>
      <w:bookmarkEnd w:id="25"/>
      <w:bookmarkEnd w:id="26"/>
    </w:p>
    <w:p w14:paraId="3F9A2129">
      <w:pPr>
        <w:pStyle w:val="32"/>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hd w:val="clear" w:color="auto" w:fill="FFFFFF"/>
        </w:rPr>
      </w:pPr>
      <w:bookmarkStart w:id="27" w:name="_Toc35393626"/>
      <w:bookmarkStart w:id="28" w:name="_Toc35393795"/>
      <w:bookmarkStart w:id="29" w:name="_Toc38985268"/>
      <w:r>
        <w:rPr>
          <w:rFonts w:hint="eastAsia" w:ascii="宋体" w:hAnsi="宋体" w:eastAsia="宋体" w:cs="宋体"/>
          <w:color w:val="333333"/>
          <w:shd w:val="clear" w:color="auto" w:fill="FFFFFF"/>
        </w:rPr>
        <w:t>自本公告发布之日起5个工作日。</w:t>
      </w:r>
      <w:bookmarkEnd w:id="27"/>
      <w:bookmarkEnd w:id="28"/>
      <w:bookmarkEnd w:id="29"/>
    </w:p>
    <w:p w14:paraId="3BA3737C">
      <w:pPr>
        <w:pStyle w:val="32"/>
        <w:keepNext/>
        <w:keepLines/>
        <w:pageBreakBefore w:val="0"/>
        <w:kinsoku/>
        <w:wordWrap/>
        <w:overflowPunct/>
        <w:topLinePunct w:val="0"/>
        <w:autoSpaceDE/>
        <w:autoSpaceDN/>
        <w:bidi w:val="0"/>
        <w:adjustRightInd/>
        <w:snapToGrid/>
        <w:spacing w:beforeAutospacing="0" w:afterAutospacing="0" w:line="360" w:lineRule="auto"/>
        <w:ind w:firstLine="498"/>
        <w:jc w:val="both"/>
        <w:textAlignment w:val="auto"/>
        <w:rPr>
          <w:rFonts w:hint="eastAsia" w:ascii="宋体" w:hAnsi="宋体" w:eastAsia="宋体" w:cs="宋体"/>
        </w:rPr>
      </w:pPr>
      <w:r>
        <w:rPr>
          <w:rFonts w:hint="eastAsia" w:ascii="宋体" w:hAnsi="宋体" w:eastAsia="宋体" w:cs="宋体"/>
          <w:b/>
          <w:color w:val="000000"/>
        </w:rPr>
        <w:t>六、其他补充事宜</w:t>
      </w:r>
    </w:p>
    <w:p w14:paraId="7306CCFC">
      <w:pPr>
        <w:pStyle w:val="32"/>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560"/>
        <w:jc w:val="both"/>
        <w:textAlignment w:val="auto"/>
        <w:rPr>
          <w:rFonts w:hint="eastAsia" w:ascii="宋体" w:hAnsi="宋体" w:eastAsia="宋体" w:cs="宋体"/>
          <w:color w:val="333333"/>
          <w:shd w:val="clear" w:color="auto" w:fill="FFFFFF"/>
        </w:rPr>
      </w:pPr>
      <w:bookmarkStart w:id="30" w:name="_Toc28359018"/>
      <w:r>
        <w:rPr>
          <w:rFonts w:hint="eastAsia" w:ascii="宋体" w:hAnsi="宋体" w:eastAsia="宋体" w:cs="宋体"/>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E09E3A8">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领取CA和办理电子签章（</w:t>
      </w:r>
      <w:r>
        <w:rPr>
          <w:rFonts w:hint="eastAsia" w:ascii="宋体" w:hAnsi="宋体" w:eastAsia="宋体" w:cs="宋体"/>
          <w:sz w:val="24"/>
          <w:shd w:val="clear" w:color="auto" w:fill="FFFFFF"/>
        </w:rPr>
        <w:t>盐城市府西路1号盐城市公共资源交易中心四楼大厅10号，11号窗口办理</w:t>
      </w:r>
      <w:r>
        <w:rPr>
          <w:rFonts w:hint="eastAsia" w:ascii="宋体" w:hAnsi="宋体" w:eastAsia="宋体" w:cs="宋体"/>
          <w:color w:val="333333"/>
          <w:sz w:val="24"/>
          <w:shd w:val="clear" w:color="auto" w:fill="FFFFFF"/>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31085903">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2.潜在供应商访问电子招标响应交易平台的网络地址和方法：</w:t>
      </w:r>
    </w:p>
    <w:p w14:paraId="4B63C57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2.1“苏采云”系统用户注册--获取“CA数字证书”--CA绑定与登录--参与投标--下载采购文件（后缀名为“.kedt”）--将后缀名为“.kedt”的采购文件导入政府采购客户端工具--制作</w:t>
      </w:r>
      <w:r>
        <w:rPr>
          <w:rFonts w:hint="eastAsia" w:ascii="宋体" w:hAnsi="宋体" w:eastAsia="宋体" w:cs="宋体"/>
          <w:sz w:val="24"/>
          <w:lang w:val="en-US" w:eastAsia="zh-CN"/>
        </w:rPr>
        <w:t>投标</w:t>
      </w:r>
      <w:r>
        <w:rPr>
          <w:rFonts w:hint="eastAsia" w:ascii="宋体" w:hAnsi="宋体" w:eastAsia="宋体" w:cs="宋体"/>
          <w:color w:val="000000"/>
          <w:sz w:val="24"/>
        </w:rPr>
        <w:t>文件--导出加密的</w:t>
      </w:r>
      <w:r>
        <w:rPr>
          <w:rFonts w:hint="eastAsia" w:ascii="宋体" w:hAnsi="宋体" w:eastAsia="宋体" w:cs="宋体"/>
          <w:sz w:val="24"/>
          <w:lang w:val="en-US" w:eastAsia="zh-CN"/>
        </w:rPr>
        <w:t>投标</w:t>
      </w:r>
      <w:r>
        <w:rPr>
          <w:rFonts w:hint="eastAsia" w:ascii="宋体" w:hAnsi="宋体" w:eastAsia="宋体" w:cs="宋体"/>
          <w:color w:val="000000"/>
          <w:sz w:val="24"/>
        </w:rPr>
        <w:t>文件（后缀名为zip）--通过“苏采云”系统上传</w:t>
      </w:r>
      <w:r>
        <w:rPr>
          <w:rFonts w:hint="eastAsia" w:ascii="宋体" w:hAnsi="宋体" w:eastAsia="宋体" w:cs="宋体"/>
          <w:sz w:val="24"/>
          <w:lang w:val="en-US" w:eastAsia="zh-CN"/>
        </w:rPr>
        <w:t>投标</w:t>
      </w:r>
      <w:r>
        <w:rPr>
          <w:rFonts w:hint="eastAsia" w:ascii="宋体" w:hAnsi="宋体" w:eastAsia="宋体" w:cs="宋体"/>
          <w:color w:val="000000"/>
          <w:sz w:val="24"/>
        </w:rPr>
        <w:t>文件。具体见《“苏采云”系统供应商操作手册》（手册下载地址：苏采云系统-右侧消息通知栏）。</w:t>
      </w:r>
    </w:p>
    <w:p w14:paraId="34ACCDD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2.2潜在投标人访问“苏采云”系统方法：江苏省政府采购网首页-“苏采云”链接。</w:t>
      </w:r>
    </w:p>
    <w:p w14:paraId="570BD673">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2.3采购文件（后缀名为“.kedt”）、供应商操作手册及政府采购客户端工具可通过“苏采云”系统相应链接进行下载。</w:t>
      </w:r>
    </w:p>
    <w:p w14:paraId="666E244A">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2.4</w:t>
      </w:r>
      <w:r>
        <w:rPr>
          <w:rFonts w:hint="eastAsia" w:ascii="宋体" w:hAnsi="宋体" w:eastAsia="宋体" w:cs="宋体"/>
          <w:color w:val="000000"/>
          <w:sz w:val="24"/>
          <w:lang w:eastAsia="zh-CN"/>
        </w:rPr>
        <w:t>采购代理机构</w:t>
      </w:r>
      <w:r>
        <w:rPr>
          <w:rFonts w:hint="eastAsia" w:ascii="宋体" w:hAnsi="宋体" w:eastAsia="宋体" w:cs="宋体"/>
          <w:color w:val="000000"/>
          <w:sz w:val="24"/>
        </w:rPr>
        <w:t>将数据电文形式的采购文件加载至“苏采云”系统，供潜在供应商下载或者查阅。</w:t>
      </w:r>
    </w:p>
    <w:p w14:paraId="11384DB0">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2.5请潜在投标单位提前安装相应的控件（详见《“苏采云”系统供应商操作手册》）并使用谷歌浏览器登录“苏采云”系统参与不见面开评标。</w:t>
      </w:r>
    </w:p>
    <w:p w14:paraId="1F4502E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如潜在投标人未按上述要求操作，将自行承担所产生的风险。</w:t>
      </w:r>
    </w:p>
    <w:p w14:paraId="1D9C80A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3.有关本次招标的事项若存在变动或修改，敬请及时关注滨海县政府</w:t>
      </w:r>
      <w:r>
        <w:rPr>
          <w:rFonts w:hint="eastAsia" w:ascii="宋体" w:hAnsi="宋体" w:eastAsia="宋体" w:cs="宋体"/>
          <w:color w:val="000000"/>
          <w:sz w:val="24"/>
          <w:lang w:eastAsia="zh-CN"/>
        </w:rPr>
        <w:t>采购代理机构</w:t>
      </w:r>
      <w:r>
        <w:rPr>
          <w:rFonts w:hint="eastAsia" w:ascii="宋体" w:hAnsi="宋体" w:eastAsia="宋体" w:cs="宋体"/>
          <w:color w:val="000000"/>
          <w:sz w:val="24"/>
        </w:rPr>
        <w:t>在“中国政府采购网”“江苏政府采购网”“盐城市政府采购网”发布的更正公告。</w:t>
      </w:r>
    </w:p>
    <w:p w14:paraId="3C39646D">
      <w:pPr>
        <w:pStyle w:val="32"/>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4.本次招标不收取投标保证金，不收取质量保证金。</w:t>
      </w:r>
    </w:p>
    <w:p w14:paraId="16DAD3C0">
      <w:pPr>
        <w:pStyle w:val="3"/>
        <w:pageBreakBefore w:val="0"/>
        <w:widowControl/>
        <w:shd w:val="clear" w:color="auto" w:fill="FFFFFF"/>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b w:val="0"/>
          <w:bCs w:val="0"/>
          <w:color w:val="333333"/>
          <w:sz w:val="24"/>
          <w:szCs w:val="24"/>
        </w:rPr>
      </w:pPr>
      <w:r>
        <w:rPr>
          <w:rFonts w:hint="eastAsia" w:ascii="宋体" w:hAnsi="宋体" w:eastAsia="宋体" w:cs="宋体"/>
          <w:b w:val="0"/>
          <w:bCs w:val="0"/>
          <w:color w:val="333333"/>
          <w:sz w:val="24"/>
          <w:szCs w:val="24"/>
          <w:shd w:val="clear" w:color="auto" w:fill="FFFFFF"/>
        </w:rPr>
        <w:t>七、对本次招标提出询问，请按以下方式联系。</w:t>
      </w:r>
      <w:bookmarkEnd w:id="30"/>
    </w:p>
    <w:p w14:paraId="49FA724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bookmarkStart w:id="31" w:name="_Toc28359009"/>
      <w:r>
        <w:rPr>
          <w:rFonts w:hint="eastAsia" w:ascii="宋体" w:hAnsi="宋体" w:eastAsia="宋体" w:cs="宋体"/>
          <w:color w:val="000000"/>
          <w:sz w:val="24"/>
        </w:rPr>
        <w:t>1.采购人信息</w:t>
      </w:r>
    </w:p>
    <w:p w14:paraId="7243AE7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名    称：</w:t>
      </w:r>
      <w:r>
        <w:rPr>
          <w:rFonts w:hint="eastAsia" w:ascii="宋体" w:hAnsi="宋体" w:eastAsia="宋体" w:cs="宋体"/>
          <w:color w:val="000000"/>
          <w:sz w:val="24"/>
          <w:lang w:eastAsia="zh-CN"/>
        </w:rPr>
        <w:t>滨海县机关事务服务中心</w:t>
      </w:r>
    </w:p>
    <w:p w14:paraId="122D1B14">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地    址：</w:t>
      </w:r>
      <w:r>
        <w:rPr>
          <w:rFonts w:hint="eastAsia" w:ascii="宋体" w:hAnsi="宋体" w:eastAsia="宋体" w:cs="宋体"/>
          <w:color w:val="000000"/>
          <w:sz w:val="24"/>
          <w:szCs w:val="24"/>
          <w:lang w:val="en-US" w:eastAsia="zh-CN"/>
        </w:rPr>
        <w:t>府前路1</w:t>
      </w:r>
      <w:r>
        <w:rPr>
          <w:rFonts w:hint="eastAsia" w:ascii="宋体" w:hAnsi="宋体" w:eastAsia="宋体" w:cs="宋体"/>
          <w:color w:val="000000"/>
          <w:sz w:val="24"/>
          <w:szCs w:val="24"/>
        </w:rPr>
        <w:t>号</w:t>
      </w:r>
    </w:p>
    <w:p w14:paraId="352DDDE6">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lang w:val="en-US"/>
        </w:rPr>
      </w:pPr>
      <w:r>
        <w:rPr>
          <w:rFonts w:hint="eastAsia" w:ascii="宋体" w:hAnsi="宋体" w:eastAsia="宋体" w:cs="宋体"/>
          <w:color w:val="000000"/>
          <w:sz w:val="24"/>
        </w:rPr>
        <w:t>联 系 人：</w:t>
      </w:r>
      <w:r>
        <w:rPr>
          <w:rFonts w:hint="eastAsia" w:ascii="宋体" w:hAnsi="宋体" w:eastAsia="宋体" w:cs="宋体"/>
          <w:color w:val="000000"/>
          <w:sz w:val="24"/>
          <w:szCs w:val="24"/>
          <w:lang w:val="en-US" w:eastAsia="zh-CN"/>
        </w:rPr>
        <w:t>王先生</w:t>
      </w:r>
    </w:p>
    <w:p w14:paraId="30B84381">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联系电话：</w:t>
      </w:r>
      <w:r>
        <w:rPr>
          <w:rFonts w:hint="eastAsia" w:ascii="宋体" w:hAnsi="宋体" w:eastAsia="宋体" w:cs="宋体"/>
          <w:color w:val="000000"/>
          <w:sz w:val="24"/>
          <w:lang w:val="en-US" w:eastAsia="zh-CN"/>
        </w:rPr>
        <w:t>15950282277</w:t>
      </w:r>
    </w:p>
    <w:p w14:paraId="42E37B6A">
      <w:pPr>
        <w:pageBreakBefore w:val="0"/>
        <w:widowControl/>
        <w:kinsoku/>
        <w:wordWrap/>
        <w:overflowPunct/>
        <w:topLinePunct w:val="0"/>
        <w:autoSpaceDE/>
        <w:autoSpaceDN/>
        <w:bidi w:val="0"/>
        <w:adjustRightInd/>
        <w:snapToGrid/>
        <w:spacing w:line="360" w:lineRule="auto"/>
        <w:ind w:firstLine="480"/>
        <w:jc w:val="lef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2.采购代理机构信息</w:t>
      </w:r>
    </w:p>
    <w:p w14:paraId="012D78A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名    称：</w:t>
      </w:r>
      <w:r>
        <w:rPr>
          <w:rFonts w:hint="eastAsia" w:ascii="宋体" w:hAnsi="宋体" w:eastAsia="宋体" w:cs="宋体"/>
          <w:color w:val="000000"/>
          <w:sz w:val="24"/>
          <w:szCs w:val="24"/>
          <w:lang w:val="en-US" w:eastAsia="zh-CN"/>
        </w:rPr>
        <w:t>江苏建世工程咨询有限公司</w:t>
      </w:r>
    </w:p>
    <w:p w14:paraId="1AB1966D">
      <w:pPr>
        <w:keepNext w:val="0"/>
        <w:keepLines w:val="0"/>
        <w:pageBreakBefore w:val="0"/>
        <w:widowControl w:val="0"/>
        <w:tabs>
          <w:tab w:val="left" w:pos="900"/>
        </w:tabs>
        <w:kinsoku/>
        <w:wordWrap/>
        <w:overflowPunct/>
        <w:topLinePunct w:val="0"/>
        <w:autoSpaceDE/>
        <w:autoSpaceDN/>
        <w:bidi w:val="0"/>
        <w:adjustRightInd/>
        <w:snapToGrid/>
        <w:spacing w:line="360" w:lineRule="auto"/>
        <w:ind w:left="0" w:firstLine="480"/>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地    址：</w:t>
      </w:r>
      <w:r>
        <w:rPr>
          <w:rFonts w:hint="eastAsia" w:ascii="宋体" w:hAnsi="宋体" w:eastAsia="宋体" w:cs="宋体"/>
          <w:color w:val="auto"/>
          <w:sz w:val="24"/>
          <w:szCs w:val="24"/>
          <w:highlight w:val="none"/>
          <w:lang w:eastAsia="zh-CN"/>
        </w:rPr>
        <w:t>滨海县S327/西湖路西北侧配送超市商务楼1幢6层607室</w:t>
      </w:r>
    </w:p>
    <w:p w14:paraId="4DE1ED99">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联 系 人：</w:t>
      </w:r>
      <w:r>
        <w:rPr>
          <w:rFonts w:hint="eastAsia" w:ascii="宋体" w:hAnsi="宋体" w:eastAsia="宋体" w:cs="宋体"/>
          <w:color w:val="000000"/>
          <w:sz w:val="24"/>
          <w:lang w:eastAsia="zh-CN"/>
        </w:rPr>
        <w:t>徐先生</w:t>
      </w:r>
    </w:p>
    <w:p w14:paraId="0A29F08E">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联系方式：</w:t>
      </w:r>
      <w:r>
        <w:rPr>
          <w:rFonts w:hint="eastAsia" w:ascii="宋体" w:hAnsi="宋体" w:eastAsia="宋体" w:cs="宋体"/>
          <w:color w:val="000000"/>
          <w:sz w:val="24"/>
          <w:lang w:eastAsia="zh-CN"/>
        </w:rPr>
        <w:t>15851110809</w:t>
      </w:r>
    </w:p>
    <w:p w14:paraId="297B9CB2">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3.项目联系方式</w:t>
      </w:r>
    </w:p>
    <w:p w14:paraId="32549F9F">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项目联系人：</w:t>
      </w:r>
      <w:r>
        <w:rPr>
          <w:rFonts w:hint="eastAsia" w:ascii="宋体" w:hAnsi="宋体" w:eastAsia="宋体" w:cs="宋体"/>
          <w:color w:val="000000"/>
          <w:sz w:val="24"/>
          <w:szCs w:val="24"/>
          <w:lang w:val="en-US" w:eastAsia="zh-CN"/>
        </w:rPr>
        <w:t>王先生</w:t>
      </w:r>
      <w:r>
        <w:rPr>
          <w:rFonts w:hint="eastAsia" w:ascii="宋体" w:hAnsi="宋体" w:eastAsia="宋体" w:cs="宋体"/>
          <w:color w:val="000000"/>
          <w:sz w:val="24"/>
        </w:rPr>
        <w:t>、</w:t>
      </w:r>
      <w:r>
        <w:rPr>
          <w:rFonts w:hint="eastAsia" w:ascii="宋体" w:hAnsi="宋体" w:eastAsia="宋体" w:cs="宋体"/>
          <w:color w:val="000000"/>
          <w:sz w:val="24"/>
          <w:lang w:eastAsia="zh-CN"/>
        </w:rPr>
        <w:t>徐先生</w:t>
      </w:r>
    </w:p>
    <w:p w14:paraId="59087C27">
      <w:pPr>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000000"/>
          <w:sz w:val="24"/>
        </w:rPr>
      </w:pPr>
      <w:r>
        <w:rPr>
          <w:rFonts w:hint="eastAsia" w:ascii="宋体" w:hAnsi="宋体" w:eastAsia="宋体" w:cs="宋体"/>
          <w:color w:val="000000"/>
          <w:sz w:val="24"/>
        </w:rPr>
        <w:t>电     话：</w:t>
      </w:r>
      <w:r>
        <w:rPr>
          <w:rFonts w:hint="eastAsia" w:ascii="宋体" w:hAnsi="宋体" w:eastAsia="宋体" w:cs="宋体"/>
          <w:color w:val="000000"/>
          <w:sz w:val="24"/>
          <w:lang w:val="en-US" w:eastAsia="zh-CN"/>
        </w:rPr>
        <w:t>15950282277</w:t>
      </w:r>
      <w:r>
        <w:rPr>
          <w:rFonts w:hint="eastAsia" w:ascii="宋体" w:hAnsi="宋体" w:eastAsia="宋体" w:cs="宋体"/>
          <w:color w:val="000000"/>
          <w:sz w:val="24"/>
        </w:rPr>
        <w:t>、</w:t>
      </w:r>
      <w:r>
        <w:rPr>
          <w:rFonts w:hint="eastAsia" w:ascii="宋体" w:hAnsi="宋体" w:eastAsia="宋体" w:cs="宋体"/>
          <w:color w:val="000000"/>
          <w:sz w:val="24"/>
          <w:lang w:eastAsia="zh-CN"/>
        </w:rPr>
        <w:t>15851110809</w:t>
      </w:r>
      <w:r>
        <w:rPr>
          <w:rFonts w:hint="eastAsia" w:ascii="宋体" w:hAnsi="宋体" w:eastAsia="宋体" w:cs="宋体"/>
          <w:color w:val="000000"/>
          <w:sz w:val="24"/>
        </w:rPr>
        <w:t>　　　　　　　　　　　</w:t>
      </w:r>
    </w:p>
    <w:p w14:paraId="456DD556">
      <w:pPr>
        <w:widowControl/>
        <w:spacing w:line="360" w:lineRule="auto"/>
        <w:ind w:firstLine="480"/>
        <w:jc w:val="left"/>
        <w:rPr>
          <w:rFonts w:hint="eastAsia" w:ascii="宋体" w:hAnsi="宋体" w:eastAsia="宋体" w:cs="宋体"/>
          <w:color w:val="000000"/>
          <w:sz w:val="24"/>
        </w:rPr>
      </w:pPr>
      <w:r>
        <w:rPr>
          <w:rFonts w:hint="eastAsia" w:ascii="宋体" w:hAnsi="宋体" w:eastAsia="宋体" w:cs="宋体"/>
          <w:color w:val="000000"/>
          <w:sz w:val="24"/>
        </w:rPr>
        <w:t> </w:t>
      </w:r>
    </w:p>
    <w:p w14:paraId="6DA6EB88">
      <w:pPr>
        <w:widowControl/>
        <w:spacing w:line="360" w:lineRule="auto"/>
        <w:ind w:firstLine="480"/>
        <w:jc w:val="left"/>
        <w:rPr>
          <w:rFonts w:hint="eastAsia" w:ascii="黑体" w:hAnsi="宋体" w:eastAsia="黑体" w:cs="黑体"/>
          <w:b/>
          <w:color w:val="000000"/>
          <w:sz w:val="48"/>
          <w:szCs w:val="48"/>
        </w:rPr>
      </w:pPr>
      <w:r>
        <w:rPr>
          <w:rFonts w:hint="eastAsia" w:ascii="宋体" w:hAnsi="宋体" w:eastAsia="宋体" w:cs="宋体"/>
          <w:color w:val="000000"/>
          <w:sz w:val="24"/>
        </w:rPr>
        <w:br w:type="page" w:clear="all"/>
      </w:r>
      <w:r>
        <w:rPr>
          <w:rFonts w:hint="eastAsia" w:ascii="宋体" w:hAnsi="宋体" w:eastAsia="宋体" w:cs="宋体"/>
          <w:color w:val="000000"/>
        </w:rPr>
        <w:t> </w:t>
      </w:r>
      <w:bookmarkStart w:id="32" w:name="_Toc120614211"/>
      <w:r>
        <w:rPr>
          <w:rFonts w:hint="eastAsia" w:ascii="宋体" w:hAnsi="宋体" w:eastAsia="宋体" w:cs="宋体"/>
          <w:color w:val="000000"/>
        </w:rPr>
        <w:t xml:space="preserve">          </w:t>
      </w:r>
      <w:r>
        <w:rPr>
          <w:rFonts w:hint="eastAsia" w:ascii="宋体" w:hAnsi="宋体" w:eastAsia="宋体" w:cs="宋体"/>
          <w:color w:val="000000"/>
          <w:sz w:val="48"/>
          <w:szCs w:val="48"/>
        </w:rPr>
        <w:t xml:space="preserve"> </w:t>
      </w:r>
      <w:r>
        <w:rPr>
          <w:rFonts w:hint="eastAsia" w:ascii="黑体" w:hAnsi="宋体" w:eastAsia="黑体" w:cs="黑体"/>
          <w:b/>
          <w:color w:val="000000"/>
          <w:sz w:val="48"/>
          <w:szCs w:val="48"/>
        </w:rPr>
        <w:t>第二章 </w:t>
      </w:r>
      <w:bookmarkEnd w:id="32"/>
      <w:bookmarkStart w:id="33" w:name="_Toc16938518"/>
      <w:bookmarkStart w:id="34" w:name="_Toc513029202"/>
      <w:bookmarkStart w:id="35" w:name="_Toc20823274"/>
      <w:bookmarkStart w:id="36" w:name="_Toc120614213"/>
      <w:r>
        <w:rPr>
          <w:rFonts w:hint="eastAsia" w:ascii="黑体" w:hAnsi="宋体" w:eastAsia="黑体" w:cs="黑体"/>
          <w:b/>
          <w:color w:val="000000"/>
          <w:sz w:val="48"/>
          <w:szCs w:val="48"/>
        </w:rPr>
        <w:t>投标人须知</w:t>
      </w:r>
      <w:bookmarkEnd w:id="33"/>
      <w:bookmarkEnd w:id="34"/>
      <w:bookmarkEnd w:id="35"/>
      <w:bookmarkEnd w:id="36"/>
      <w:bookmarkStart w:id="37" w:name="_Toc513029203"/>
      <w:bookmarkStart w:id="38" w:name="_Toc16938519"/>
      <w:bookmarkStart w:id="39" w:name="_Toc120614214"/>
      <w:bookmarkStart w:id="40" w:name="_Toc20823275"/>
    </w:p>
    <w:p w14:paraId="390AE04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right="839"/>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一、总则</w:t>
      </w:r>
      <w:bookmarkEnd w:id="37"/>
      <w:bookmarkEnd w:id="38"/>
      <w:bookmarkEnd w:id="39"/>
      <w:bookmarkEnd w:id="40"/>
    </w:p>
    <w:p w14:paraId="1C8021E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41" w:name="_Toc16938520"/>
      <w:bookmarkStart w:id="42" w:name="_Toc458694821"/>
      <w:bookmarkStart w:id="43" w:name="_Toc20823276"/>
      <w:bookmarkStart w:id="44" w:name="_Toc513029204"/>
      <w:r>
        <w:rPr>
          <w:rFonts w:hint="eastAsia" w:ascii="宋体" w:hAnsi="宋体" w:eastAsia="宋体" w:cs="宋体"/>
          <w:color w:val="000000"/>
          <w:sz w:val="24"/>
          <w:szCs w:val="24"/>
        </w:rPr>
        <w:t>1</w:t>
      </w:r>
      <w:bookmarkEnd w:id="41"/>
      <w:r>
        <w:rPr>
          <w:rFonts w:hint="eastAsia" w:ascii="宋体" w:hAnsi="宋体" w:eastAsia="宋体" w:cs="宋体"/>
          <w:color w:val="000000"/>
          <w:sz w:val="24"/>
          <w:szCs w:val="24"/>
        </w:rPr>
        <w:t>、招标方式</w:t>
      </w:r>
      <w:bookmarkEnd w:id="42"/>
      <w:bookmarkEnd w:id="43"/>
      <w:bookmarkEnd w:id="44"/>
    </w:p>
    <w:p w14:paraId="5BB446A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1.1本次招标采取公开招标方式，本招标文件仅适用于招标公告中所述项目。</w:t>
      </w:r>
    </w:p>
    <w:p w14:paraId="4B34C4E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45" w:name="_Toc513029205"/>
      <w:bookmarkStart w:id="46" w:name="_Toc20823277"/>
      <w:bookmarkStart w:id="47" w:name="_Toc16938521"/>
      <w:r>
        <w:rPr>
          <w:rFonts w:hint="eastAsia" w:ascii="宋体" w:hAnsi="宋体" w:eastAsia="宋体" w:cs="宋体"/>
          <w:color w:val="000000"/>
          <w:sz w:val="24"/>
          <w:szCs w:val="24"/>
        </w:rPr>
        <w:t>2、合格的投标人</w:t>
      </w:r>
      <w:bookmarkEnd w:id="45"/>
      <w:bookmarkEnd w:id="46"/>
      <w:bookmarkEnd w:id="47"/>
    </w:p>
    <w:p w14:paraId="7EEFE8D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2.1满足招标公告中供应商的资格要求的规定。</w:t>
      </w:r>
    </w:p>
    <w:p w14:paraId="6BEE657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2.2满足本文件实质性要求和条件的规定。</w:t>
      </w:r>
    </w:p>
    <w:p w14:paraId="7037193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48" w:name="_Toc513029206"/>
      <w:bookmarkStart w:id="49" w:name="_Toc20823278"/>
      <w:bookmarkStart w:id="50" w:name="_Toc16938522"/>
      <w:bookmarkStart w:id="51" w:name="_Toc20823279"/>
      <w:bookmarkStart w:id="52" w:name="_Toc462564067"/>
      <w:bookmarkStart w:id="53" w:name="_Toc16938523"/>
      <w:bookmarkStart w:id="54" w:name="_Toc513029207"/>
      <w:r>
        <w:rPr>
          <w:rFonts w:hint="eastAsia" w:ascii="宋体" w:hAnsi="宋体" w:eastAsia="宋体" w:cs="宋体"/>
          <w:color w:val="000000"/>
          <w:sz w:val="24"/>
          <w:szCs w:val="24"/>
        </w:rPr>
        <w:t>3、适用法律</w:t>
      </w:r>
      <w:bookmarkEnd w:id="48"/>
      <w:bookmarkEnd w:id="49"/>
      <w:bookmarkEnd w:id="50"/>
      <w:r>
        <w:rPr>
          <w:rFonts w:hint="eastAsia" w:ascii="宋体" w:hAnsi="宋体" w:eastAsia="宋体" w:cs="宋体"/>
          <w:color w:val="000000"/>
          <w:sz w:val="24"/>
          <w:szCs w:val="24"/>
        </w:rPr>
        <w:t>和标准</w:t>
      </w:r>
    </w:p>
    <w:p w14:paraId="6AC9498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3.1本次招标及由此产生的合同受中华人民共和国有关的法律法规制约和保护。</w:t>
      </w:r>
    </w:p>
    <w:p w14:paraId="709E1A6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3.2在本项目政府采购活动过程中，如果所执行的标准有更新的，按照最新标准执行。</w:t>
      </w:r>
    </w:p>
    <w:p w14:paraId="5F8F2D2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4、投标费用</w:t>
      </w:r>
      <w:bookmarkEnd w:id="51"/>
      <w:bookmarkEnd w:id="52"/>
      <w:bookmarkEnd w:id="53"/>
      <w:bookmarkEnd w:id="54"/>
    </w:p>
    <w:p w14:paraId="65FA9F1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000000"/>
          <w:sz w:val="24"/>
          <w:szCs w:val="24"/>
        </w:rPr>
      </w:pPr>
      <w:r>
        <w:rPr>
          <w:rFonts w:hint="eastAsia" w:ascii="宋体" w:hAnsi="宋体" w:eastAsia="宋体" w:cs="宋体"/>
          <w:bCs/>
          <w:color w:val="auto"/>
          <w:sz w:val="24"/>
          <w:szCs w:val="24"/>
        </w:rPr>
        <w:t>4.1</w:t>
      </w:r>
      <w:r>
        <w:rPr>
          <w:rFonts w:hint="eastAsia" w:ascii="宋体" w:hAnsi="宋体" w:eastAsia="宋体" w:cs="宋体"/>
          <w:color w:val="auto"/>
          <w:sz w:val="24"/>
          <w:szCs w:val="24"/>
        </w:rPr>
        <w:t xml:space="preserve"> 供应商应自行承担所有与参加投标有关的费用，无论投标过程中的做法和结果如何，采购人或采购代理机构在任何情况下均无义务和责任承担这些费用。</w:t>
      </w:r>
    </w:p>
    <w:p w14:paraId="791FD21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4.2本次招标采购人及采购代理单位不收取标书工本费。</w:t>
      </w:r>
    </w:p>
    <w:p w14:paraId="7D8F29D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5、招标文件的约束力</w:t>
      </w:r>
    </w:p>
    <w:p w14:paraId="49CFBB3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5.1</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一旦参加本项目采购活动，即被认为接受了本招标文件的规定和约束。</w:t>
      </w:r>
    </w:p>
    <w:p w14:paraId="0E07E93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right="839"/>
        <w:jc w:val="both"/>
        <w:textAlignment w:val="auto"/>
        <w:rPr>
          <w:rFonts w:hint="eastAsia" w:ascii="宋体" w:hAnsi="宋体" w:eastAsia="宋体" w:cs="宋体"/>
          <w:b/>
          <w:color w:val="000000"/>
          <w:sz w:val="24"/>
          <w:szCs w:val="24"/>
        </w:rPr>
      </w:pPr>
      <w:bookmarkStart w:id="55" w:name="_Toc120614215"/>
      <w:bookmarkStart w:id="56" w:name="_Toc16938525"/>
      <w:bookmarkStart w:id="57" w:name="_Toc20823281"/>
      <w:bookmarkStart w:id="58" w:name="_Toc513029209"/>
      <w:r>
        <w:rPr>
          <w:rFonts w:hint="eastAsia" w:ascii="宋体" w:hAnsi="宋体" w:eastAsia="宋体" w:cs="宋体"/>
          <w:b/>
          <w:color w:val="000000"/>
          <w:sz w:val="24"/>
          <w:szCs w:val="24"/>
        </w:rPr>
        <w:t>二、招标文件</w:t>
      </w:r>
      <w:bookmarkEnd w:id="55"/>
      <w:bookmarkEnd w:id="56"/>
      <w:bookmarkEnd w:id="57"/>
      <w:bookmarkEnd w:id="58"/>
    </w:p>
    <w:p w14:paraId="14009CF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59" w:name="_Toc20823282"/>
      <w:bookmarkStart w:id="60" w:name="_Toc513029210"/>
      <w:bookmarkStart w:id="61" w:name="_Toc16938526"/>
      <w:r>
        <w:rPr>
          <w:rFonts w:hint="eastAsia" w:ascii="宋体" w:hAnsi="宋体" w:eastAsia="宋体" w:cs="宋体"/>
          <w:color w:val="000000"/>
          <w:sz w:val="24"/>
          <w:szCs w:val="24"/>
        </w:rPr>
        <w:t>6、招标文件构成</w:t>
      </w:r>
      <w:bookmarkEnd w:id="59"/>
      <w:bookmarkEnd w:id="60"/>
      <w:bookmarkEnd w:id="61"/>
    </w:p>
    <w:p w14:paraId="48ED074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6.1招标文件由以下部分组成：</w:t>
      </w:r>
    </w:p>
    <w:p w14:paraId="7271774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（1）招标公告</w:t>
      </w:r>
    </w:p>
    <w:p w14:paraId="234BCE5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须知</w:t>
      </w:r>
    </w:p>
    <w:p w14:paraId="19E8897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（3）合同文本</w:t>
      </w:r>
    </w:p>
    <w:p w14:paraId="540A173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（4）采购需求</w:t>
      </w:r>
    </w:p>
    <w:p w14:paraId="065B4F7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（5）评标方法与评标标准</w:t>
      </w:r>
    </w:p>
    <w:p w14:paraId="2C2C434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（6）投标文件格式</w:t>
      </w:r>
    </w:p>
    <w:p w14:paraId="256A314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请仔细检查招标文件是否齐全，如有缺漏请立即与</w:t>
      </w: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联系解决。</w:t>
      </w:r>
    </w:p>
    <w:p w14:paraId="24C0A09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62" w:name="_Hlt16619475"/>
      <w:r>
        <w:rPr>
          <w:rFonts w:hint="eastAsia" w:ascii="宋体" w:hAnsi="宋体" w:eastAsia="宋体" w:cs="宋体"/>
          <w:color w:val="000000"/>
          <w:sz w:val="24"/>
          <w:szCs w:val="24"/>
        </w:rPr>
        <w:t>6.2</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自行承担。</w:t>
      </w:r>
    </w:p>
    <w:p w14:paraId="4A94354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63" w:name="_Toc20823283"/>
      <w:bookmarkStart w:id="64" w:name="_Toc513029211"/>
      <w:bookmarkStart w:id="65" w:name="_Toc16938527"/>
      <w:bookmarkStart w:id="66" w:name="_Toc462564070"/>
      <w:r>
        <w:rPr>
          <w:rFonts w:hint="eastAsia" w:ascii="宋体" w:hAnsi="宋体" w:eastAsia="宋体" w:cs="宋体"/>
          <w:color w:val="000000"/>
          <w:sz w:val="24"/>
          <w:szCs w:val="24"/>
        </w:rPr>
        <w:t>7、招标文件的澄清</w:t>
      </w:r>
      <w:bookmarkEnd w:id="63"/>
      <w:bookmarkEnd w:id="64"/>
      <w:bookmarkEnd w:id="65"/>
      <w:bookmarkEnd w:id="66"/>
    </w:p>
    <w:p w14:paraId="3B72BCF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7.1</w:t>
      </w:r>
      <w:r>
        <w:rPr>
          <w:rFonts w:hint="eastAsia" w:ascii="宋体" w:hAnsi="宋体" w:eastAsia="宋体" w:cs="宋体"/>
          <w:color w:val="auto"/>
          <w:sz w:val="24"/>
          <w:szCs w:val="24"/>
        </w:rPr>
        <w:t>任何要求对招标文件进行澄清的供应商，应在投标截止期十日前按招标公告中的通讯地址，以书面形式通知采购代理机构</w:t>
      </w:r>
      <w:r>
        <w:rPr>
          <w:rFonts w:hint="eastAsia" w:ascii="宋体" w:hAnsi="宋体" w:eastAsia="宋体" w:cs="宋体"/>
          <w:color w:val="000000"/>
          <w:sz w:val="24"/>
          <w:szCs w:val="24"/>
        </w:rPr>
        <w:t>。</w:t>
      </w:r>
    </w:p>
    <w:p w14:paraId="6A73AFF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67" w:name="_Toc513029212"/>
      <w:bookmarkStart w:id="68" w:name="_Toc16938528"/>
      <w:bookmarkStart w:id="69" w:name="_Toc462564071"/>
      <w:bookmarkStart w:id="70" w:name="_Toc20823284"/>
      <w:r>
        <w:rPr>
          <w:rFonts w:hint="eastAsia" w:ascii="宋体" w:hAnsi="宋体" w:eastAsia="宋体" w:cs="宋体"/>
          <w:color w:val="000000"/>
          <w:sz w:val="24"/>
          <w:szCs w:val="24"/>
        </w:rPr>
        <w:t>8、招标文件的修改</w:t>
      </w:r>
      <w:bookmarkEnd w:id="67"/>
      <w:bookmarkEnd w:id="68"/>
      <w:bookmarkEnd w:id="69"/>
      <w:bookmarkEnd w:id="70"/>
    </w:p>
    <w:p w14:paraId="6AB2062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8.1 在投标截止时间前，</w:t>
      </w:r>
      <w:r>
        <w:rPr>
          <w:rFonts w:hint="eastAsia" w:ascii="宋体" w:hAnsi="宋体" w:eastAsia="宋体" w:cs="宋体"/>
          <w:color w:val="auto"/>
          <w:sz w:val="24"/>
          <w:szCs w:val="24"/>
        </w:rPr>
        <w:t>采购代理机构</w:t>
      </w:r>
      <w:r>
        <w:rPr>
          <w:rFonts w:hint="eastAsia" w:ascii="宋体" w:hAnsi="宋体" w:eastAsia="宋体" w:cs="宋体"/>
          <w:bCs/>
          <w:color w:val="auto"/>
          <w:sz w:val="24"/>
          <w:szCs w:val="24"/>
        </w:rPr>
        <w:t>可以对招标文件进行修改。</w:t>
      </w:r>
    </w:p>
    <w:p w14:paraId="56F8684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8.2</w:t>
      </w:r>
      <w:r>
        <w:rPr>
          <w:rFonts w:hint="eastAsia" w:ascii="宋体" w:hAnsi="宋体" w:eastAsia="宋体" w:cs="宋体"/>
          <w:color w:val="auto"/>
          <w:sz w:val="24"/>
          <w:szCs w:val="24"/>
        </w:rPr>
        <w:t>采购代理机构</w:t>
      </w:r>
      <w:r>
        <w:rPr>
          <w:rFonts w:hint="eastAsia" w:ascii="宋体" w:hAnsi="宋体" w:eastAsia="宋体" w:cs="宋体"/>
          <w:bCs/>
          <w:color w:val="auto"/>
          <w:sz w:val="24"/>
          <w:szCs w:val="24"/>
        </w:rPr>
        <w:t>有权按照法定的要求推迟投标截止日期和开标日期。</w:t>
      </w:r>
    </w:p>
    <w:p w14:paraId="2B459DC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bCs/>
          <w:color w:val="auto"/>
          <w:sz w:val="24"/>
          <w:szCs w:val="24"/>
        </w:rPr>
        <w:t>8.3</w:t>
      </w:r>
      <w:r>
        <w:rPr>
          <w:rFonts w:hint="eastAsia" w:ascii="宋体" w:hAnsi="宋体" w:eastAsia="宋体" w:cs="宋体"/>
          <w:bCs/>
          <w:color w:val="auto"/>
          <w:sz w:val="24"/>
          <w:szCs w:val="24"/>
          <w:highlight w:val="none"/>
        </w:rPr>
        <w:t>招标文件的修改将在“中国政府采购网”、“江苏政府采购网、盐城市政府采购网”公布，补充文件将作为招标文件的组成部分，并对供应商具有约束力</w:t>
      </w:r>
      <w:r>
        <w:rPr>
          <w:rFonts w:hint="eastAsia" w:ascii="宋体" w:hAnsi="宋体" w:eastAsia="宋体" w:cs="宋体"/>
          <w:color w:val="000000"/>
          <w:sz w:val="24"/>
          <w:szCs w:val="24"/>
        </w:rPr>
        <w:t>。</w:t>
      </w:r>
    </w:p>
    <w:p w14:paraId="39FCED3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right="839"/>
        <w:jc w:val="both"/>
        <w:textAlignment w:val="auto"/>
        <w:rPr>
          <w:rFonts w:hint="eastAsia" w:ascii="宋体" w:hAnsi="宋体" w:eastAsia="宋体" w:cs="宋体"/>
          <w:b/>
          <w:color w:val="000000"/>
          <w:sz w:val="24"/>
          <w:szCs w:val="24"/>
        </w:rPr>
      </w:pPr>
      <w:bookmarkStart w:id="71" w:name="_Toc120614216"/>
      <w:bookmarkStart w:id="72" w:name="_Toc20823285"/>
      <w:bookmarkStart w:id="73" w:name="_Toc462564072"/>
      <w:bookmarkStart w:id="74" w:name="_Toc513029213"/>
      <w:bookmarkStart w:id="75" w:name="_Toc16938529"/>
      <w:r>
        <w:rPr>
          <w:rFonts w:hint="eastAsia" w:ascii="宋体" w:hAnsi="宋体" w:eastAsia="宋体" w:cs="宋体"/>
          <w:b/>
          <w:color w:val="000000"/>
          <w:sz w:val="24"/>
          <w:szCs w:val="24"/>
        </w:rPr>
        <w:t>三、投标文件的编制</w:t>
      </w:r>
      <w:bookmarkEnd w:id="71"/>
      <w:bookmarkEnd w:id="72"/>
      <w:bookmarkEnd w:id="73"/>
      <w:bookmarkEnd w:id="74"/>
      <w:bookmarkEnd w:id="75"/>
    </w:p>
    <w:p w14:paraId="55D99E3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76" w:name="_Toc16938530"/>
      <w:bookmarkStart w:id="77" w:name="_Toc20823286"/>
      <w:bookmarkStart w:id="78" w:name="_Toc462564073"/>
      <w:bookmarkStart w:id="79" w:name="_Toc513029214"/>
      <w:r>
        <w:rPr>
          <w:rFonts w:hint="eastAsia" w:ascii="宋体" w:hAnsi="宋体" w:eastAsia="宋体" w:cs="宋体"/>
          <w:color w:val="000000"/>
          <w:sz w:val="24"/>
          <w:szCs w:val="24"/>
        </w:rPr>
        <w:t>9、投标文件的语言及度量衡单位</w:t>
      </w:r>
      <w:bookmarkEnd w:id="76"/>
      <w:bookmarkEnd w:id="77"/>
      <w:bookmarkEnd w:id="78"/>
      <w:bookmarkEnd w:id="79"/>
    </w:p>
    <w:p w14:paraId="4CB07A9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9.1</w:t>
      </w:r>
      <w:r>
        <w:rPr>
          <w:rFonts w:hint="eastAsia" w:ascii="宋体" w:hAnsi="宋体" w:eastAsia="宋体" w:cs="宋体"/>
          <w:color w:val="auto"/>
          <w:sz w:val="24"/>
          <w:szCs w:val="24"/>
        </w:rPr>
        <w:t xml:space="preserve"> 供应商提交的投标文件以及供应商与采购人就有关投标的所有来往通知、函件和文件均应使用</w:t>
      </w:r>
      <w:r>
        <w:rPr>
          <w:rFonts w:hint="eastAsia" w:ascii="宋体" w:hAnsi="宋体" w:eastAsia="宋体" w:cs="宋体"/>
          <w:bCs/>
          <w:color w:val="auto"/>
          <w:sz w:val="24"/>
          <w:szCs w:val="24"/>
        </w:rPr>
        <w:t>简体中文</w:t>
      </w:r>
      <w:r>
        <w:rPr>
          <w:rFonts w:hint="eastAsia" w:ascii="宋体" w:hAnsi="宋体" w:eastAsia="宋体" w:cs="宋体"/>
          <w:color w:val="auto"/>
          <w:sz w:val="24"/>
          <w:szCs w:val="24"/>
        </w:rPr>
        <w:t>。</w:t>
      </w:r>
    </w:p>
    <w:p w14:paraId="4FCCDD5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bCs/>
          <w:color w:val="auto"/>
          <w:sz w:val="24"/>
          <w:szCs w:val="24"/>
        </w:rPr>
        <w:t>9.2</w:t>
      </w:r>
      <w:r>
        <w:rPr>
          <w:rFonts w:hint="eastAsia" w:ascii="宋体" w:hAnsi="宋体" w:eastAsia="宋体" w:cs="宋体"/>
          <w:color w:val="auto"/>
          <w:sz w:val="24"/>
          <w:szCs w:val="24"/>
        </w:rPr>
        <w:t xml:space="preserve"> 除技术性能另有规定外，投标文件所使用的度量衡单位，均须采用国家法定计量单位</w:t>
      </w:r>
      <w:r>
        <w:rPr>
          <w:rFonts w:hint="eastAsia" w:ascii="宋体" w:hAnsi="宋体" w:eastAsia="宋体" w:cs="宋体"/>
          <w:color w:val="000000"/>
          <w:sz w:val="24"/>
          <w:szCs w:val="24"/>
        </w:rPr>
        <w:t>。</w:t>
      </w:r>
    </w:p>
    <w:p w14:paraId="0F0C6F6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80" w:name="_Toc20823287"/>
      <w:bookmarkStart w:id="81" w:name="_Toc16938531"/>
      <w:bookmarkStart w:id="82" w:name="_Toc513029215"/>
      <w:bookmarkStart w:id="83" w:name="_Toc462564074"/>
      <w:r>
        <w:rPr>
          <w:rFonts w:hint="eastAsia" w:ascii="宋体" w:hAnsi="宋体" w:eastAsia="宋体" w:cs="宋体"/>
          <w:color w:val="000000"/>
          <w:sz w:val="24"/>
          <w:szCs w:val="24"/>
        </w:rPr>
        <w:t>10、投标文件构成</w:t>
      </w:r>
      <w:bookmarkEnd w:id="80"/>
      <w:bookmarkEnd w:id="81"/>
      <w:bookmarkEnd w:id="82"/>
      <w:bookmarkEnd w:id="83"/>
    </w:p>
    <w:p w14:paraId="34C5A7A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10.1</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编写的投标文件应包括资格证明文件、符合性证明文件、投标分项报价表、技术要求响应及偏离表、商务要求响应及偏离表、其他证明文件、投标函、开标一览表等部分。</w:t>
      </w:r>
    </w:p>
    <w:p w14:paraId="192869A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10.2如标书制作工具中格式和内容与“中国政府采购网”“江苏政府采购网”“盐城市政府采购网”发布的招标文件不一致，请以“中国政府采购网”“江苏政府采购网”“盐城市政府采购网”发布的招标文件为准。</w:t>
      </w:r>
    </w:p>
    <w:p w14:paraId="4C3A4EF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84" w:name="_Toc14577354"/>
      <w:bookmarkStart w:id="85" w:name="_Toc513029216"/>
      <w:bookmarkStart w:id="86" w:name="_Toc49090507"/>
      <w:bookmarkStart w:id="87" w:name="_Toc513029219"/>
      <w:bookmarkStart w:id="88" w:name="_Toc14577357"/>
      <w:bookmarkStart w:id="89" w:name="_Toc49090509"/>
      <w:bookmarkStart w:id="90" w:name="_Hlt26670360"/>
      <w:bookmarkStart w:id="91" w:name="_Hlt26954838"/>
      <w:bookmarkStart w:id="92" w:name="_Hlt26668975"/>
      <w:r>
        <w:rPr>
          <w:rFonts w:hint="eastAsia" w:ascii="宋体" w:hAnsi="宋体" w:eastAsia="宋体" w:cs="宋体"/>
          <w:color w:val="000000"/>
          <w:sz w:val="24"/>
          <w:szCs w:val="24"/>
        </w:rPr>
        <w:t>11、证明</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及投标标的符合招标文件规定的文件</w:t>
      </w:r>
      <w:bookmarkEnd w:id="84"/>
      <w:bookmarkEnd w:id="85"/>
      <w:bookmarkEnd w:id="86"/>
      <w:bookmarkEnd w:id="87"/>
      <w:bookmarkEnd w:id="88"/>
      <w:bookmarkEnd w:id="89"/>
    </w:p>
    <w:p w14:paraId="1372D0E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right="-116" w:rightChars="0"/>
        <w:jc w:val="both"/>
        <w:textAlignment w:val="auto"/>
        <w:rPr>
          <w:rFonts w:hint="eastAsia" w:ascii="宋体" w:hAnsi="宋体" w:eastAsia="宋体" w:cs="宋体"/>
          <w:color w:val="000000"/>
          <w:sz w:val="24"/>
          <w:szCs w:val="24"/>
        </w:rPr>
      </w:pPr>
      <w:bookmarkStart w:id="93" w:name="_Toc14577355"/>
      <w:bookmarkStart w:id="94" w:name="_Toc49090508"/>
      <w:r>
        <w:rPr>
          <w:rFonts w:hint="eastAsia" w:ascii="宋体" w:hAnsi="宋体" w:eastAsia="宋体" w:cs="宋体"/>
          <w:color w:val="000000"/>
          <w:sz w:val="24"/>
          <w:szCs w:val="24"/>
        </w:rPr>
        <w:t>  11.1</w:t>
      </w:r>
      <w:r>
        <w:rPr>
          <w:rFonts w:hint="eastAsia" w:ascii="宋体" w:hAnsi="宋体" w:eastAsia="宋体" w:cs="宋体"/>
          <w:color w:val="auto"/>
          <w:sz w:val="24"/>
          <w:szCs w:val="24"/>
        </w:rPr>
        <w:t>供应商应按照法律、法规、规章和规范性文件以及招标文件要求提交证明文件，证明其及投标标的符合招标文件规定</w:t>
      </w:r>
      <w:r>
        <w:rPr>
          <w:rFonts w:hint="eastAsia" w:ascii="宋体" w:hAnsi="宋体" w:eastAsia="宋体" w:cs="宋体"/>
          <w:color w:val="000000"/>
          <w:sz w:val="24"/>
          <w:szCs w:val="24"/>
        </w:rPr>
        <w:t>。</w:t>
      </w:r>
      <w:bookmarkEnd w:id="93"/>
      <w:bookmarkEnd w:id="94"/>
    </w:p>
    <w:p w14:paraId="7511295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11.2招标文件对证明文件无明确形式要求的，证明文件可以以文字资料、图纸和数据等形式提交。</w:t>
      </w:r>
    </w:p>
    <w:p w14:paraId="4B65C26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12、投标分项报价</w:t>
      </w:r>
      <w:bookmarkStart w:id="95" w:name="_Hlt26670373"/>
      <w:r>
        <w:rPr>
          <w:rFonts w:hint="eastAsia" w:ascii="宋体" w:hAnsi="宋体" w:eastAsia="宋体" w:cs="宋体"/>
          <w:color w:val="000000"/>
          <w:sz w:val="24"/>
          <w:szCs w:val="24"/>
        </w:rPr>
        <w:t>表</w:t>
      </w:r>
    </w:p>
    <w:p w14:paraId="61DB10A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12.1</w:t>
      </w:r>
      <w:bookmarkStart w:id="96" w:name="_Hlt26954840"/>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应按照招标文件规定格式填报投标分项报价表</w:t>
      </w:r>
      <w:bookmarkStart w:id="97" w:name="_Hlt26670399"/>
      <w:r>
        <w:rPr>
          <w:rFonts w:hint="eastAsia" w:ascii="宋体" w:hAnsi="宋体" w:eastAsia="宋体" w:cs="宋体"/>
          <w:color w:val="000000"/>
          <w:sz w:val="24"/>
          <w:szCs w:val="24"/>
        </w:rPr>
        <w:t>。</w:t>
      </w:r>
    </w:p>
    <w:p w14:paraId="117EEF0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12.2投标货币。投标文件中的单价和总价无特殊规定的采用人民币报价，以元为单位标注。招标文件中另有规定的按规定执行。</w:t>
      </w:r>
    </w:p>
    <w:p w14:paraId="320251B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12.3投标分项报价表包含（不限于）包括但不限于人员工资、社会保险和公积金、福利费、高温费、体检费、劳保费、行政办公费、会务耗材费、水电费、场地使用费、设备维修维保费用、管理费、合理利润、税费及合同包含的所有风险、责任等各项应有费用。除合同约定外，采购人不再增加任何费用。</w:t>
      </w:r>
    </w:p>
    <w:p w14:paraId="5CFF29C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12.4各投标</w:t>
      </w:r>
      <w:r>
        <w:rPr>
          <w:rFonts w:hint="eastAsia" w:ascii="宋体" w:hAnsi="宋体" w:eastAsia="宋体" w:cs="宋体"/>
          <w:sz w:val="24"/>
          <w:szCs w:val="24"/>
          <w:lang w:val="en-US" w:eastAsia="zh-CN"/>
        </w:rPr>
        <w:t>供应商</w:t>
      </w:r>
      <w:r>
        <w:rPr>
          <w:rFonts w:hint="eastAsia" w:ascii="宋体" w:hAnsi="宋体" w:eastAsia="宋体" w:cs="宋体"/>
          <w:sz w:val="24"/>
          <w:szCs w:val="24"/>
        </w:rPr>
        <w:t>自行根据招标人提供的服务内容、招标文件及答疑文件等资料要求，并根据市场行情、结合自身公司实力、管理水平等因素，按要求进行报价。</w:t>
      </w:r>
    </w:p>
    <w:p w14:paraId="79CA939C">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rPr>
        <w:t>12.5</w:t>
      </w:r>
      <w:r>
        <w:rPr>
          <w:rFonts w:hint="eastAsia" w:ascii="宋体" w:hAnsi="宋体" w:eastAsia="宋体" w:cs="宋体"/>
          <w:sz w:val="24"/>
          <w:szCs w:val="24"/>
          <w:lang w:eastAsia="zh-CN"/>
        </w:rPr>
        <w:t>供应商</w:t>
      </w:r>
      <w:r>
        <w:rPr>
          <w:rFonts w:hint="eastAsia" w:ascii="宋体" w:hAnsi="宋体" w:eastAsia="宋体" w:cs="宋体"/>
          <w:sz w:val="24"/>
          <w:szCs w:val="24"/>
        </w:rPr>
        <w:t>根据招标内容的要求准确报价，一经报出，不得更改。</w:t>
      </w:r>
    </w:p>
    <w:p w14:paraId="46ABEED3">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lang w:val="zh-CN"/>
        </w:rPr>
      </w:pPr>
      <w:r>
        <w:rPr>
          <w:rFonts w:hint="eastAsia" w:ascii="宋体" w:hAnsi="宋体" w:eastAsia="宋体" w:cs="宋体"/>
          <w:sz w:val="24"/>
          <w:szCs w:val="24"/>
        </w:rPr>
        <w:t>12.6</w:t>
      </w:r>
      <w:r>
        <w:rPr>
          <w:rFonts w:hint="eastAsia" w:ascii="宋体" w:hAnsi="宋体" w:eastAsia="宋体" w:cs="宋体"/>
          <w:b w:val="0"/>
          <w:sz w:val="24"/>
          <w:szCs w:val="24"/>
        </w:rPr>
        <w:t>投标报价的单位为人民币。如果未能按合同、招标投标文件履约的，终止合同，履约保证金不予退还，并不支付服务期间的服务费用</w:t>
      </w:r>
      <w:r>
        <w:rPr>
          <w:rFonts w:hint="eastAsia" w:ascii="宋体" w:hAnsi="宋体" w:eastAsia="宋体" w:cs="宋体"/>
          <w:sz w:val="24"/>
          <w:szCs w:val="24"/>
          <w:lang w:val="zh-CN"/>
        </w:rPr>
        <w:t>。</w:t>
      </w:r>
    </w:p>
    <w:p w14:paraId="47E62A3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sz w:val="24"/>
          <w:szCs w:val="24"/>
        </w:rPr>
      </w:pPr>
      <w:r>
        <w:rPr>
          <w:rFonts w:hint="eastAsia" w:ascii="宋体" w:hAnsi="宋体" w:eastAsia="宋体" w:cs="宋体"/>
          <w:sz w:val="24"/>
          <w:szCs w:val="24"/>
          <w:lang w:val="zh-CN"/>
        </w:rPr>
        <w:t>12.</w:t>
      </w:r>
      <w:r>
        <w:rPr>
          <w:rFonts w:hint="eastAsia" w:ascii="宋体" w:hAnsi="宋体" w:eastAsia="宋体" w:cs="宋体"/>
          <w:sz w:val="24"/>
          <w:szCs w:val="24"/>
        </w:rPr>
        <w:t>7</w:t>
      </w:r>
      <w:r>
        <w:rPr>
          <w:rFonts w:hint="eastAsia" w:ascii="宋体" w:hAnsi="宋体" w:eastAsia="宋体" w:cs="宋体"/>
          <w:sz w:val="24"/>
          <w:szCs w:val="24"/>
          <w:lang w:val="zh-CN"/>
        </w:rPr>
        <w:t>对于超出招标文件的其他临时性服务项目，由甲乙双方协商解决。</w:t>
      </w:r>
    </w:p>
    <w:p w14:paraId="4ABA58D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bookmarkStart w:id="98" w:name="_Hlt26954731"/>
      <w:bookmarkStart w:id="99" w:name="_Hlt26954844"/>
      <w:bookmarkStart w:id="100" w:name="_Hlt26954848"/>
      <w:bookmarkStart w:id="101" w:name="_Hlt26670486"/>
      <w:bookmarkStart w:id="102" w:name="_Hlt26954842"/>
      <w:bookmarkStart w:id="103" w:name="_Hlt26670482"/>
      <w:bookmarkStart w:id="104" w:name="_Hlt26670403"/>
      <w:bookmarkStart w:id="105" w:name="_Hlt26668983"/>
      <w:bookmarkStart w:id="106" w:name="_Hlt26670425"/>
      <w:bookmarkStart w:id="107" w:name="_Hlt26954846"/>
      <w:r>
        <w:rPr>
          <w:rFonts w:hint="eastAsia" w:ascii="宋体" w:hAnsi="宋体" w:eastAsia="宋体" w:cs="宋体"/>
          <w:sz w:val="24"/>
          <w:szCs w:val="24"/>
        </w:rPr>
        <w:t>13、技术要求响应及偏离表、商务要求响应及偏离表</w:t>
      </w:r>
    </w:p>
    <w:p w14:paraId="58BADA2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sz w:val="24"/>
          <w:szCs w:val="24"/>
        </w:rPr>
        <w:t>13.1</w:t>
      </w:r>
      <w:r>
        <w:rPr>
          <w:rFonts w:hint="eastAsia" w:ascii="宋体" w:hAnsi="宋体" w:eastAsia="宋体" w:cs="宋体"/>
          <w:sz w:val="24"/>
          <w:szCs w:val="24"/>
          <w:lang w:eastAsia="zh-CN"/>
        </w:rPr>
        <w:t>供应商</w:t>
      </w:r>
      <w:r>
        <w:rPr>
          <w:rFonts w:hint="eastAsia" w:ascii="宋体" w:hAnsi="宋体" w:eastAsia="宋体" w:cs="宋体"/>
          <w:sz w:val="24"/>
          <w:szCs w:val="24"/>
        </w:rPr>
        <w:t>需对招标文件中的技术要求与商务要求逐项作出</w:t>
      </w:r>
      <w:r>
        <w:rPr>
          <w:rFonts w:hint="eastAsia" w:ascii="宋体" w:hAnsi="宋体" w:eastAsia="宋体" w:cs="宋体"/>
          <w:color w:val="000000"/>
          <w:sz w:val="24"/>
          <w:szCs w:val="24"/>
        </w:rPr>
        <w:t>响应或偏离，并说明原因。</w:t>
      </w:r>
    </w:p>
    <w:p w14:paraId="6859F15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13.2</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可在投标文件中提供认为需要的其他技术文件或说明。</w:t>
      </w:r>
    </w:p>
    <w:p w14:paraId="5A624C9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08" w:name="_Toc14577359"/>
      <w:bookmarkStart w:id="109" w:name="_Toc49090510"/>
      <w:r>
        <w:rPr>
          <w:rFonts w:hint="eastAsia" w:ascii="宋体" w:hAnsi="宋体" w:eastAsia="宋体" w:cs="宋体"/>
          <w:color w:val="000000"/>
          <w:sz w:val="24"/>
          <w:szCs w:val="24"/>
        </w:rPr>
        <w:t>14、投标函和开标一览表</w:t>
      </w:r>
      <w:bookmarkEnd w:id="108"/>
      <w:bookmarkEnd w:id="109"/>
    </w:p>
    <w:p w14:paraId="50BD945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14.1</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应按照招标文件中提供的格式完整、正确填写投标函、开标一览表。</w:t>
      </w:r>
    </w:p>
    <w:p w14:paraId="4498E43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14.2开标一览表中的投标总报价应与投标分项报价表中的投标总报价一致，如不一致，不作为无效投标处理，但评标时按开标一览表中价格为准。</w:t>
      </w:r>
    </w:p>
    <w:p w14:paraId="0E81DEA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10" w:name="_Toc14577360"/>
      <w:bookmarkStart w:id="111" w:name="_Toc49090511"/>
      <w:bookmarkStart w:id="112" w:name="_Hlt26670489"/>
      <w:bookmarkStart w:id="113" w:name="_Hlt26954850"/>
      <w:bookmarkStart w:id="114" w:name="_Hlt26954734"/>
      <w:r>
        <w:rPr>
          <w:rFonts w:hint="eastAsia" w:ascii="宋体" w:hAnsi="宋体" w:eastAsia="宋体" w:cs="宋体"/>
          <w:color w:val="auto"/>
          <w:sz w:val="24"/>
          <w:szCs w:val="24"/>
        </w:rPr>
        <w:t>14.3投标文件的大写金额和小写金额不一致的，以大写金额为准；对不同文字文本投标的解释发生异议的，以中文文本为准。</w:t>
      </w:r>
    </w:p>
    <w:p w14:paraId="39A8411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15、投标有效期</w:t>
      </w:r>
      <w:bookmarkEnd w:id="110"/>
      <w:bookmarkEnd w:id="111"/>
    </w:p>
    <w:p w14:paraId="6C39AA0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15.1投标有效期为</w:t>
      </w: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规定的开标之日后九十（90）天。投标有效期比规定短的将被视为未实质性响应招标文件而予以拒绝。</w:t>
      </w:r>
    </w:p>
    <w:p w14:paraId="03867B9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16、投标有效期的延长</w:t>
      </w:r>
    </w:p>
    <w:p w14:paraId="634F0E1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16.1</w:t>
      </w:r>
      <w:r>
        <w:rPr>
          <w:rFonts w:hint="eastAsia" w:ascii="宋体" w:hAnsi="宋体" w:eastAsia="宋体" w:cs="宋体"/>
          <w:color w:val="auto"/>
          <w:sz w:val="24"/>
          <w:szCs w:val="24"/>
        </w:rPr>
        <w:t>在特殊情况下，采购代理机构于原投标有效期满之前，可向供应商提出延长投标有效期的要求。这种要求与答复均应采用书面形式。供应商可以拒绝</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的这一要求而放弃投标。同意延长投标有效期的供应商既不能要求也不允许修改其投标文件，同时受投标有效期约束的所有权利与义务均延长至新的有效期</w:t>
      </w:r>
      <w:r>
        <w:rPr>
          <w:rFonts w:hint="eastAsia" w:ascii="宋体" w:hAnsi="宋体" w:eastAsia="宋体" w:cs="宋体"/>
          <w:color w:val="000000"/>
          <w:sz w:val="24"/>
          <w:szCs w:val="24"/>
        </w:rPr>
        <w:t>。</w:t>
      </w:r>
    </w:p>
    <w:p w14:paraId="285FCAA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right="839"/>
        <w:jc w:val="both"/>
        <w:textAlignment w:val="auto"/>
        <w:rPr>
          <w:rFonts w:hint="eastAsia" w:ascii="宋体" w:hAnsi="宋体" w:eastAsia="宋体" w:cs="宋体"/>
          <w:b/>
          <w:color w:val="000000"/>
          <w:sz w:val="24"/>
          <w:szCs w:val="24"/>
        </w:rPr>
      </w:pPr>
      <w:bookmarkStart w:id="115" w:name="_Toc513029224"/>
      <w:bookmarkStart w:id="116" w:name="_Toc20823296"/>
      <w:bookmarkStart w:id="117" w:name="_Toc16938540"/>
      <w:bookmarkStart w:id="118" w:name="_Toc120614217"/>
      <w:bookmarkStart w:id="119" w:name="_Hlt26954739"/>
      <w:bookmarkStart w:id="120" w:name="_Hlt26954852"/>
      <w:r>
        <w:rPr>
          <w:rFonts w:hint="eastAsia" w:ascii="宋体" w:hAnsi="宋体" w:eastAsia="宋体" w:cs="宋体"/>
          <w:b/>
          <w:color w:val="000000"/>
          <w:sz w:val="24"/>
          <w:szCs w:val="24"/>
        </w:rPr>
        <w:t>四、投标文件的递交</w:t>
      </w:r>
      <w:bookmarkEnd w:id="115"/>
      <w:bookmarkEnd w:id="116"/>
      <w:bookmarkEnd w:id="117"/>
      <w:bookmarkEnd w:id="118"/>
    </w:p>
    <w:p w14:paraId="1FA80CE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21" w:name="_Toc16938541"/>
      <w:bookmarkStart w:id="122" w:name="_Toc513029225"/>
      <w:bookmarkStart w:id="123" w:name="_Toc20823297"/>
      <w:bookmarkStart w:id="124" w:name="_Toc462564084"/>
      <w:r>
        <w:rPr>
          <w:rFonts w:hint="eastAsia" w:ascii="宋体" w:hAnsi="宋体" w:eastAsia="宋体" w:cs="宋体"/>
          <w:color w:val="000000"/>
          <w:sz w:val="24"/>
          <w:szCs w:val="24"/>
        </w:rPr>
        <w:t>17、投标文件</w:t>
      </w:r>
      <w:bookmarkEnd w:id="121"/>
      <w:bookmarkEnd w:id="122"/>
      <w:bookmarkEnd w:id="123"/>
      <w:bookmarkEnd w:id="124"/>
      <w:r>
        <w:rPr>
          <w:rFonts w:hint="eastAsia" w:ascii="宋体" w:hAnsi="宋体" w:eastAsia="宋体" w:cs="宋体"/>
          <w:color w:val="000000"/>
          <w:sz w:val="24"/>
          <w:szCs w:val="24"/>
        </w:rPr>
        <w:t>的递交</w:t>
      </w:r>
    </w:p>
    <w:p w14:paraId="37C73BF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17.1电子投标文件的递交</w:t>
      </w:r>
    </w:p>
    <w:p w14:paraId="563C6FF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应当按照《操作手册》规定，在投标截止时间前制作并上传电子投标文件。</w:t>
      </w:r>
      <w:bookmarkStart w:id="125" w:name="_Toc16938542"/>
      <w:bookmarkEnd w:id="125"/>
      <w:bookmarkStart w:id="126" w:name="_Toc20823298"/>
      <w:bookmarkEnd w:id="126"/>
      <w:bookmarkStart w:id="127" w:name="_Toc513029226"/>
    </w:p>
    <w:p w14:paraId="51B37A0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18、投标截止时间</w:t>
      </w:r>
    </w:p>
    <w:p w14:paraId="13DF412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18.1</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上传电子投标文件的时间不得迟于招标公告中规定的投标截止时间。</w:t>
      </w:r>
    </w:p>
    <w:p w14:paraId="3B01CE2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应充分考虑到网络环境、网络带宽等风险因素，如因</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自身原因造成的电子投标文件上传不成功的按照本招标文件第二章第26.1.2条规定做无效投标处理。</w:t>
      </w:r>
    </w:p>
    <w:p w14:paraId="5DB4088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18.2</w:t>
      </w: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可以按照规定，通过修改招标文件酌情延长投标截止时间，在此情况下，</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的所有权利和义务以及</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受制的截止时间均应以延长后新的截止时间为准。</w:t>
      </w:r>
    </w:p>
    <w:p w14:paraId="0E3268D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28" w:name="_Toc16938543"/>
      <w:bookmarkStart w:id="129" w:name="_Toc513029227"/>
      <w:bookmarkStart w:id="130" w:name="_Toc20823299"/>
      <w:r>
        <w:rPr>
          <w:rFonts w:hint="eastAsia" w:ascii="宋体" w:hAnsi="宋体" w:eastAsia="宋体" w:cs="宋体"/>
          <w:color w:val="000000"/>
          <w:sz w:val="24"/>
          <w:szCs w:val="24"/>
        </w:rPr>
        <w:t>19、投标文件</w:t>
      </w:r>
      <w:bookmarkEnd w:id="128"/>
      <w:bookmarkEnd w:id="129"/>
      <w:bookmarkEnd w:id="130"/>
      <w:r>
        <w:rPr>
          <w:rFonts w:hint="eastAsia" w:ascii="宋体" w:hAnsi="宋体" w:eastAsia="宋体" w:cs="宋体"/>
          <w:color w:val="000000"/>
          <w:sz w:val="24"/>
          <w:szCs w:val="24"/>
        </w:rPr>
        <w:t>的拒收</w:t>
      </w:r>
    </w:p>
    <w:p w14:paraId="186D183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19.1</w:t>
      </w:r>
      <w:r>
        <w:rPr>
          <w:rFonts w:hint="eastAsia" w:ascii="宋体" w:hAnsi="宋体" w:eastAsia="宋体" w:cs="宋体"/>
          <w:color w:val="auto"/>
          <w:sz w:val="24"/>
          <w:szCs w:val="24"/>
        </w:rPr>
        <w:t>采购代理机构拒绝接收在其规定的投标截止时间后上传的任何投标文件</w:t>
      </w:r>
      <w:r>
        <w:rPr>
          <w:rFonts w:hint="eastAsia" w:ascii="宋体" w:hAnsi="宋体" w:eastAsia="宋体" w:cs="宋体"/>
          <w:color w:val="000000"/>
          <w:sz w:val="24"/>
          <w:szCs w:val="24"/>
        </w:rPr>
        <w:t>。</w:t>
      </w:r>
    </w:p>
    <w:p w14:paraId="2FBCCDE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31" w:name="_Toc20823300"/>
      <w:bookmarkStart w:id="132" w:name="_Toc513029228"/>
      <w:bookmarkStart w:id="133" w:name="_Toc16938544"/>
      <w:r>
        <w:rPr>
          <w:rFonts w:hint="eastAsia" w:ascii="宋体" w:hAnsi="宋体" w:eastAsia="宋体" w:cs="宋体"/>
          <w:color w:val="000000"/>
          <w:sz w:val="24"/>
          <w:szCs w:val="24"/>
        </w:rPr>
        <w:t>20、投标文件的撤回和修改</w:t>
      </w:r>
      <w:bookmarkEnd w:id="131"/>
      <w:bookmarkEnd w:id="132"/>
      <w:bookmarkEnd w:id="133"/>
    </w:p>
    <w:p w14:paraId="481C12B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20.1投标文件的撤回</w:t>
      </w:r>
    </w:p>
    <w:p w14:paraId="54D9DCC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20.1.1电子投标文件的撤回</w:t>
      </w:r>
    </w:p>
    <w:p w14:paraId="5F41BB5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可在投标截止时间前，撤回其电子投标文件，具体操作方法见《操作手册》。</w:t>
      </w:r>
    </w:p>
    <w:p w14:paraId="05EFD40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20.1.2</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撤回电子投标文件，则认为其不再参与本项目投标活动。</w:t>
      </w:r>
    </w:p>
    <w:p w14:paraId="55F930A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20.2投标文件的修改</w:t>
      </w:r>
    </w:p>
    <w:p w14:paraId="3BF01D8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20.2.1</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可在投标截止时间前，对其电子投标文件进行修改，具体操作方法见《操作手册》。</w:t>
      </w:r>
    </w:p>
    <w:p w14:paraId="18B87C8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20.2.2在投标截止时间之后，</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不得对其电子投标文件作任何修改。</w:t>
      </w:r>
    </w:p>
    <w:p w14:paraId="0F7ADF1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20.3在投标截止时间至招标文件中规定的投标有效期满之间的这段时间内，</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不得撤回其投标。</w:t>
      </w:r>
    </w:p>
    <w:p w14:paraId="5F32CA9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right="839"/>
        <w:jc w:val="both"/>
        <w:textAlignment w:val="auto"/>
        <w:rPr>
          <w:rFonts w:hint="eastAsia" w:ascii="宋体" w:hAnsi="宋体" w:eastAsia="宋体" w:cs="宋体"/>
          <w:b/>
          <w:color w:val="000000"/>
          <w:sz w:val="24"/>
          <w:szCs w:val="24"/>
        </w:rPr>
      </w:pPr>
      <w:bookmarkStart w:id="134" w:name="_Toc513029229"/>
      <w:bookmarkStart w:id="135" w:name="_Toc16938545"/>
      <w:bookmarkStart w:id="136" w:name="_Toc20823301"/>
      <w:bookmarkStart w:id="137" w:name="_Toc120614218"/>
      <w:r>
        <w:rPr>
          <w:rFonts w:hint="eastAsia" w:ascii="宋体" w:hAnsi="宋体" w:eastAsia="宋体" w:cs="宋体"/>
          <w:b/>
          <w:color w:val="000000"/>
          <w:sz w:val="24"/>
          <w:szCs w:val="24"/>
        </w:rPr>
        <w:t>五、开标与评标</w:t>
      </w:r>
      <w:bookmarkEnd w:id="134"/>
      <w:bookmarkEnd w:id="135"/>
      <w:bookmarkEnd w:id="136"/>
      <w:bookmarkEnd w:id="137"/>
    </w:p>
    <w:p w14:paraId="3550D04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38" w:name="_Toc513029230"/>
      <w:bookmarkStart w:id="139" w:name="_Toc16938546"/>
      <w:bookmarkStart w:id="140" w:name="_Toc20823302"/>
      <w:r>
        <w:rPr>
          <w:rFonts w:hint="eastAsia" w:ascii="宋体" w:hAnsi="宋体" w:eastAsia="宋体" w:cs="宋体"/>
          <w:color w:val="000000"/>
          <w:sz w:val="24"/>
          <w:szCs w:val="24"/>
        </w:rPr>
        <w:t>21、开标</w:t>
      </w:r>
      <w:bookmarkEnd w:id="138"/>
      <w:bookmarkEnd w:id="139"/>
      <w:bookmarkEnd w:id="140"/>
    </w:p>
    <w:p w14:paraId="015213D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21.1</w:t>
      </w:r>
      <w:r>
        <w:rPr>
          <w:rFonts w:hint="eastAsia" w:ascii="宋体" w:hAnsi="宋体" w:eastAsia="宋体" w:cs="宋体"/>
          <w:color w:val="auto"/>
          <w:sz w:val="24"/>
          <w:szCs w:val="24"/>
        </w:rPr>
        <w:t>采购代理机构将在招标公告中规定的时间和地点组织公开开标。</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应当按照《操作手册》规定，参加开标活动和在苏采云系统规定的时间内对投标文件进行解密</w:t>
      </w:r>
      <w:r>
        <w:rPr>
          <w:rFonts w:hint="eastAsia" w:ascii="宋体" w:hAnsi="宋体" w:eastAsia="宋体" w:cs="宋体"/>
          <w:color w:val="000000"/>
          <w:sz w:val="24"/>
          <w:szCs w:val="24"/>
        </w:rPr>
        <w:t>。</w:t>
      </w:r>
    </w:p>
    <w:p w14:paraId="3FEBADC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21.2开标仪式由采购代理机构组织。苏采云系统将自动对项目进行开标，并宣布各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名称和投标价格。</w:t>
      </w:r>
    </w:p>
    <w:p w14:paraId="7A5B8D9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21.3</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在开标过程中涉及到的投标文件解密、开标结果确认等工作，应按照《操作手册》规定执行。</w:t>
      </w:r>
    </w:p>
    <w:p w14:paraId="332B195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21.4</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如果对开标过程和开标记录有疑义，应当根据《操作手册》规定提出，如苏采云系统中《开标记录表》宣布后5分钟内未提出的，视同认可开标结果。</w:t>
      </w:r>
    </w:p>
    <w:p w14:paraId="668C6F0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41" w:name="_Toc16938547"/>
      <w:bookmarkStart w:id="142" w:name="_Toc513029231"/>
      <w:bookmarkStart w:id="143" w:name="_Toc20823303"/>
      <w:r>
        <w:rPr>
          <w:rFonts w:hint="eastAsia" w:ascii="宋体" w:hAnsi="宋体" w:eastAsia="宋体" w:cs="宋体"/>
          <w:color w:val="000000"/>
          <w:sz w:val="24"/>
          <w:szCs w:val="24"/>
        </w:rPr>
        <w:t>22、评标委员会</w:t>
      </w:r>
      <w:bookmarkEnd w:id="141"/>
      <w:bookmarkEnd w:id="142"/>
      <w:bookmarkEnd w:id="143"/>
    </w:p>
    <w:p w14:paraId="79BE9EB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22.1开标后，</w:t>
      </w: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将立即组织评标委员会（以下简称评委会）进行评标。</w:t>
      </w:r>
    </w:p>
    <w:p w14:paraId="0AA7C02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22.2评委会由采购人代表和有关技术、经济等方面的专家组成，且人员构成符合政府采购有关规定。</w:t>
      </w:r>
    </w:p>
    <w:p w14:paraId="03D02F1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22.3评委会独立工作，负责评审所有投标文件并确定中标候选人。</w:t>
      </w:r>
    </w:p>
    <w:p w14:paraId="26A999F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23、评标过程的保密与公正</w:t>
      </w:r>
    </w:p>
    <w:p w14:paraId="2AF43A7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23.1</w:t>
      </w:r>
      <w:r>
        <w:rPr>
          <w:rFonts w:hint="eastAsia" w:ascii="宋体" w:hAnsi="宋体" w:eastAsia="宋体" w:cs="宋体"/>
          <w:color w:val="auto"/>
          <w:sz w:val="24"/>
          <w:szCs w:val="24"/>
        </w:rPr>
        <w:t>凡是与审查、澄清、评价和比较投标的有关资料以及授标建议等，采购人、评委、采购代理机构</w:t>
      </w:r>
      <w:r>
        <w:rPr>
          <w:rFonts w:hint="eastAsia" w:ascii="宋体" w:hAnsi="宋体" w:eastAsia="宋体" w:cs="宋体"/>
          <w:color w:val="000000"/>
          <w:sz w:val="24"/>
          <w:szCs w:val="24"/>
        </w:rPr>
        <w:t>均不得向</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或与评标无关的其他人员透露。</w:t>
      </w:r>
    </w:p>
    <w:p w14:paraId="3FFAD71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23.2在评标过程中，</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不得以任何行为影响评标过程，否则其投标文件将被作为无效投标文件。</w:t>
      </w:r>
    </w:p>
    <w:p w14:paraId="3D90DF7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23.3</w:t>
      </w:r>
      <w:r>
        <w:rPr>
          <w:rFonts w:hint="eastAsia" w:ascii="宋体" w:hAnsi="宋体" w:eastAsia="宋体" w:cs="宋体"/>
          <w:color w:val="auto"/>
          <w:sz w:val="24"/>
          <w:szCs w:val="24"/>
        </w:rPr>
        <w:t>采购代理机构和评标委员会</w:t>
      </w:r>
      <w:r>
        <w:rPr>
          <w:rFonts w:hint="eastAsia" w:ascii="宋体" w:hAnsi="宋体" w:eastAsia="宋体" w:cs="宋体"/>
          <w:color w:val="000000"/>
          <w:sz w:val="24"/>
          <w:szCs w:val="24"/>
        </w:rPr>
        <w:t>不向未中标的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解释未中标原因，也不公布评标过程中的相关细节。</w:t>
      </w:r>
    </w:p>
    <w:p w14:paraId="14C2E84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23.4采用综合评分法的项目，未中标的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可于中标结果公告期限届满之日起通过苏采云系统查看自己的评审得分及排序情况。</w:t>
      </w:r>
      <w:bookmarkStart w:id="144" w:name="_Toc513029232"/>
      <w:bookmarkStart w:id="145" w:name="_Toc16938548"/>
      <w:bookmarkStart w:id="146" w:name="_Toc20823304"/>
    </w:p>
    <w:p w14:paraId="5BCFAFB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24、投标文件的澄清</w:t>
      </w:r>
      <w:bookmarkEnd w:id="144"/>
      <w:bookmarkEnd w:id="145"/>
      <w:bookmarkEnd w:id="146"/>
    </w:p>
    <w:p w14:paraId="4B0E289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24.1评标期间，评委会对投标文件中含义不明确、同类问题表述不一致或者有明显文字和计算错误的内容，有权要求</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作出必要的澄清、说明或者补正。</w:t>
      </w:r>
    </w:p>
    <w:p w14:paraId="4D1B1C9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的澄清、说明或者补正不得超出投标文件的范围或者改变投标文件的实质性内容。</w:t>
      </w:r>
    </w:p>
    <w:p w14:paraId="33929C2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评标委员会并非对每个</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都做澄清要求。</w:t>
      </w:r>
    </w:p>
    <w:p w14:paraId="1037501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24.2需要供应商进行澄清、说明和补正的，评委会将通过苏采云系统向供应商发出“澄清要求函”，接到“澄清要求函”的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应当按照要求在苏采云系统中提交“澄清响应函”并加盖CA电子公章。澄清、说明和补正的内容作为投标文件的补充部分，具体操作方式见《操作手册》。</w:t>
      </w:r>
    </w:p>
    <w:p w14:paraId="5AEDF71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24.3接到评委会澄清、说明和补正要求的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如未按规定作出澄清、说明和补正，其风险由</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自行承担。</w:t>
      </w:r>
    </w:p>
    <w:p w14:paraId="13F40F4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47" w:name="_Toc513029233"/>
      <w:bookmarkStart w:id="148" w:name="_Toc20823305"/>
      <w:bookmarkStart w:id="149" w:name="_Toc16938549"/>
      <w:r>
        <w:rPr>
          <w:rFonts w:hint="eastAsia" w:ascii="宋体" w:hAnsi="宋体" w:eastAsia="宋体" w:cs="宋体"/>
          <w:color w:val="000000"/>
          <w:sz w:val="24"/>
          <w:szCs w:val="24"/>
        </w:rPr>
        <w:t>25、对投标文件的初审</w:t>
      </w:r>
      <w:bookmarkEnd w:id="147"/>
      <w:bookmarkEnd w:id="148"/>
      <w:bookmarkEnd w:id="149"/>
    </w:p>
    <w:p w14:paraId="5EB09F2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25.1投标文件初审分为资格审查和符合性审查。</w:t>
      </w:r>
    </w:p>
    <w:p w14:paraId="58F8398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25.1.1资格审查：依据法律法规和招标文件的规定，由采购人对投标文件中的资格证明文件进行审查。资格审查的结论，采购人以书面形式向评委会进行反馈。</w:t>
      </w:r>
    </w:p>
    <w:p w14:paraId="5CCDA7C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采购人在进行资格性审查的同时，将在“信用中国”网站（www.creditchina.gov.cn）查询</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的信用记录，以确定</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是否具备投标资格,查询结果留存并归档。</w:t>
      </w:r>
    </w:p>
    <w:p w14:paraId="3C5963B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接受联合体的项目，两个以上的自然人、法人或者其他组织组成一个联合体，以一个供应商的身份共同参加政府采购活动的,联合体成员存在不良信用记录的，视同联合体存在不良信用记录。</w:t>
      </w:r>
    </w:p>
    <w:p w14:paraId="06AEB84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25.1.2符合性审查：依据招标文件的规定，由评委会从投标文件的有效性、完整性和对招标文件的响应程度进行审查，以确定是否对招标文件的实质性要求作出响应。</w:t>
      </w:r>
    </w:p>
    <w:p w14:paraId="6588312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25.1.3未通过资格审查或符合性审查的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w:t>
      </w:r>
      <w:r>
        <w:rPr>
          <w:rFonts w:hint="eastAsia" w:ascii="宋体" w:hAnsi="宋体" w:eastAsia="宋体" w:cs="宋体"/>
          <w:color w:val="auto"/>
          <w:sz w:val="24"/>
          <w:szCs w:val="24"/>
        </w:rPr>
        <w:t>采购代理机构将</w:t>
      </w:r>
      <w:r>
        <w:rPr>
          <w:rFonts w:hint="eastAsia" w:ascii="宋体" w:hAnsi="宋体" w:eastAsia="宋体" w:cs="宋体"/>
          <w:color w:val="000000"/>
          <w:sz w:val="24"/>
          <w:szCs w:val="24"/>
        </w:rPr>
        <w:t>在苏采云系统中告知未通过资格审查或符合性审查的原因，评标结束后，</w:t>
      </w:r>
      <w:r>
        <w:rPr>
          <w:rFonts w:hint="eastAsia" w:ascii="宋体" w:hAnsi="宋体" w:eastAsia="宋体" w:cs="宋体"/>
          <w:color w:val="auto"/>
          <w:sz w:val="24"/>
          <w:szCs w:val="24"/>
        </w:rPr>
        <w:t>采购代理机构将</w:t>
      </w:r>
      <w:r>
        <w:rPr>
          <w:rFonts w:hint="eastAsia" w:ascii="宋体" w:hAnsi="宋体" w:eastAsia="宋体" w:cs="宋体"/>
          <w:color w:val="000000"/>
          <w:sz w:val="24"/>
          <w:szCs w:val="24"/>
        </w:rPr>
        <w:t>不再告知未通过资格审查和符合性审查的原因。</w:t>
      </w:r>
    </w:p>
    <w:p w14:paraId="37E473D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25.2在详细评标之前，评委会将首先审查每份投标文件是否实质性响应了招标文件的要求。实质性响应的投标应该是与招标文件要求的全部条款、条件和规格相符，没有重大偏离或保留的投标。</w:t>
      </w:r>
    </w:p>
    <w:p w14:paraId="0B57027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所谓重大偏离或保留是指与招标文件规定的实质性要求存在负偏离，或者在实质上与招标文件不一致，而且限制了合同中采购人和采购代理机构的权利或</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的义务，纠正这些偏离或保留将会对其他实质性响应要求的</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的竞争地位产生不公正的影响。重大偏离的认定需经过评委会以少数服从多数的原则作出结论。评委决定投标文件的响应性只根据投标文件本身的内容，而不寻求外部的证据。</w:t>
      </w:r>
    </w:p>
    <w:p w14:paraId="3B7E4D5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25.3如果投标文件实质上没有响应招标文件的要求，评委会将予以拒绝，</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不得通过修改或撤销不合要求的偏离或保留而使其投标成为实质性响应的投标。</w:t>
      </w:r>
    </w:p>
    <w:p w14:paraId="4C17596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25.4评委会将对确定为实质性响应的投标进行进一步审核，确定其是否有计算上或累加上的算术错误，修正错误的原则如下：</w:t>
      </w:r>
    </w:p>
    <w:p w14:paraId="2437C95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（1）投标文件中开标一览表内容与投标文件中相应内容不一致的，以开标一览表为准。</w:t>
      </w:r>
    </w:p>
    <w:p w14:paraId="15D6564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（2）大写金额和小写金额不一致的，以大写金额为准。</w:t>
      </w:r>
    </w:p>
    <w:p w14:paraId="7DCE45F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（3）单价金额小数点或者百分比有明显错位的，以开标一览表的总价为准，并修改单价。</w:t>
      </w:r>
    </w:p>
    <w:p w14:paraId="45D76F0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（4）总价金额与按单价汇总金额不一致的，以单价金额计算结果为准。</w:t>
      </w:r>
    </w:p>
    <w:p w14:paraId="346347E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同时出现两种以上错误的，按照前款规定的顺序修正。</w:t>
      </w:r>
    </w:p>
    <w:p w14:paraId="6BF70E7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25.5评委会将按上述修正错误的方法调整投标文件中的投标报价，并通过苏采云系统告知</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，调整后的价格应对</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具有约束力。如果</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不接受修正后的价格，则其投标将被拒绝。</w:t>
      </w:r>
    </w:p>
    <w:p w14:paraId="790ACFD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50" w:name="_Toc20823306"/>
      <w:bookmarkStart w:id="151" w:name="_Toc16938550"/>
      <w:bookmarkStart w:id="152" w:name="_Toc513029234"/>
      <w:r>
        <w:rPr>
          <w:rFonts w:hint="eastAsia" w:ascii="宋体" w:hAnsi="宋体" w:eastAsia="宋体" w:cs="宋体"/>
          <w:color w:val="000000"/>
          <w:sz w:val="24"/>
          <w:szCs w:val="24"/>
        </w:rPr>
        <w:t>25.6</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在开、评标全过程中应保持通信畅通，及时登录苏采云系统查阅、答复相关信息，并安排专人与</w:t>
      </w: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及评标委员会联系。</w:t>
      </w:r>
      <w:bookmarkEnd w:id="150"/>
      <w:bookmarkEnd w:id="151"/>
      <w:bookmarkEnd w:id="152"/>
    </w:p>
    <w:p w14:paraId="5375C5D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26、无效投标条款和废标条款</w:t>
      </w:r>
    </w:p>
    <w:p w14:paraId="258311A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53" w:name="_Toc16938551"/>
      <w:bookmarkStart w:id="154" w:name="_Toc513029235"/>
      <w:bookmarkStart w:id="155" w:name="_Toc20823307"/>
      <w:r>
        <w:rPr>
          <w:rFonts w:hint="eastAsia" w:ascii="宋体" w:hAnsi="宋体" w:eastAsia="宋体" w:cs="宋体"/>
          <w:color w:val="000000"/>
          <w:sz w:val="24"/>
          <w:szCs w:val="24"/>
        </w:rPr>
        <w:t>26.1无效投标条款</w:t>
      </w:r>
      <w:bookmarkEnd w:id="153"/>
      <w:bookmarkEnd w:id="154"/>
      <w:bookmarkEnd w:id="155"/>
    </w:p>
    <w:p w14:paraId="7A18B9A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26.1.1</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在苏采云系统规定的时间内未成功解密电子投标文件的。</w:t>
      </w:r>
    </w:p>
    <w:p w14:paraId="6CBFB1D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26.1.2</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未按照招标文件要求上传电子投标文件的。</w:t>
      </w:r>
    </w:p>
    <w:p w14:paraId="2C6EE2E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26.1.3同一</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提交两个（含两个）以上不同的投标报价的。</w:t>
      </w:r>
    </w:p>
    <w:p w14:paraId="2F856F5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26.1.4</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不具备招标文件中规定资格要求的。</w:t>
      </w:r>
    </w:p>
    <w:p w14:paraId="0C18A4E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26.1.5</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的报价超过了采购预算或最高限价的。</w:t>
      </w:r>
    </w:p>
    <w:p w14:paraId="717A713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26.1.6未通过符合性审查的。</w:t>
      </w:r>
    </w:p>
    <w:p w14:paraId="48BB55B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26.1.7不符合招标文件中规定的实质性要求和条件的（本招标文件中斜体且有下划线部分为实质性要求和条件）。</w:t>
      </w:r>
    </w:p>
    <w:p w14:paraId="25C11F8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26.1.8</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存在其他不符合《中华人民共和国政府采购法》第二十二条规定条件的信用记录。</w:t>
      </w:r>
    </w:p>
    <w:p w14:paraId="6CEFA36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26.1.9投标文件含有采购人不能接受的附加条件的。</w:t>
      </w:r>
    </w:p>
    <w:p w14:paraId="3B3889F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26.1.10</w:t>
      </w:r>
      <w:r>
        <w:rPr>
          <w:rFonts w:hint="eastAsia" w:ascii="宋体" w:hAnsi="宋体" w:eastAsia="宋体" w:cs="宋体"/>
          <w:sz w:val="24"/>
          <w:szCs w:val="24"/>
          <w:lang w:eastAsia="zh-CN"/>
        </w:rPr>
        <w:t>供应商</w:t>
      </w:r>
      <w:r>
        <w:rPr>
          <w:rFonts w:hint="eastAsia" w:ascii="宋体" w:hAnsi="宋体" w:eastAsia="宋体" w:cs="宋体"/>
          <w:sz w:val="24"/>
          <w:szCs w:val="24"/>
        </w:rPr>
        <w:t>不能证明其报价合理性的，评标委员会应当将其作为无效投标处理。</w:t>
      </w:r>
    </w:p>
    <w:p w14:paraId="5DCC598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sz w:val="24"/>
          <w:szCs w:val="24"/>
        </w:rPr>
      </w:pPr>
      <w:r>
        <w:rPr>
          <w:rFonts w:hint="eastAsia" w:ascii="宋体" w:hAnsi="宋体" w:eastAsia="宋体" w:cs="宋体"/>
          <w:sz w:val="24"/>
          <w:szCs w:val="24"/>
        </w:rPr>
        <w:t>（一）评审过程中出现下列情形之一的，评标委员会应当启动异常低价投标审查程序：</w:t>
      </w:r>
    </w:p>
    <w:p w14:paraId="07D8563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1.投标报价低于采购项目预算50% 的，即投标报价&lt;采购项目预算×50%；</w:t>
      </w:r>
    </w:p>
    <w:p w14:paraId="504B071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2.投标报价低于采购项目最高限价45% 的，即投标报价&lt;采购项目最高限价×45%；</w:t>
      </w:r>
    </w:p>
    <w:p w14:paraId="05605E0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3.评标委员会认定的供应商报价过低、有可能影响产品质量或者不能诚信履约的其他情形。</w:t>
      </w:r>
    </w:p>
    <w:p w14:paraId="7DA057D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E842DC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26.1.11投标文件未按照招标文件要求加盖CA电子公章的。</w:t>
      </w:r>
    </w:p>
    <w:p w14:paraId="5628A79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26.1.12其他法律、法规及本招标文件规定的属无效投标的情形。</w:t>
      </w:r>
    </w:p>
    <w:p w14:paraId="1E7EE55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26.2废标条款</w:t>
      </w:r>
    </w:p>
    <w:p w14:paraId="1843B83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26.2.1符合专业条件的供应商或者对招标文件作实质响应的供应商不足三家的。</w:t>
      </w:r>
    </w:p>
    <w:p w14:paraId="509FC5A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26.2.2出现影响采购公正的违法、违规行为的。</w:t>
      </w:r>
    </w:p>
    <w:p w14:paraId="4129323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26.2.3因重大变故，采购任务取消的。</w:t>
      </w:r>
    </w:p>
    <w:p w14:paraId="1C293CD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26.2.4评标委员会认定招标文件存在歧义、重大缺陷导致评审工作无法进行。</w:t>
      </w:r>
    </w:p>
    <w:p w14:paraId="2CA015F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26.2.5因苏采云系统系统故障原因造成开标不成功的。</w:t>
      </w:r>
    </w:p>
    <w:p w14:paraId="326906F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26.3投标截止时间结束后参加投标的供应商不足三家的处理：</w:t>
      </w:r>
    </w:p>
    <w:p w14:paraId="10943B5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26.3.1如出现投标截止时间结束后参加投标的供应商或者在评标期间对招标文件做出实质响应的供应商不足三家情况，按政府采购相关规定执行。</w:t>
      </w:r>
    </w:p>
    <w:p w14:paraId="3D8E8B6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right="839"/>
        <w:jc w:val="both"/>
        <w:textAlignment w:val="auto"/>
        <w:rPr>
          <w:rFonts w:hint="eastAsia" w:ascii="宋体" w:hAnsi="宋体" w:eastAsia="宋体" w:cs="宋体"/>
          <w:b/>
          <w:color w:val="000000"/>
          <w:sz w:val="24"/>
          <w:szCs w:val="24"/>
        </w:rPr>
      </w:pPr>
      <w:bookmarkStart w:id="156" w:name="_Toc120614219"/>
      <w:r>
        <w:rPr>
          <w:rFonts w:hint="eastAsia" w:ascii="宋体" w:hAnsi="宋体" w:eastAsia="宋体" w:cs="宋体"/>
          <w:b/>
          <w:color w:val="000000"/>
          <w:sz w:val="24"/>
          <w:szCs w:val="24"/>
        </w:rPr>
        <w:t>六、定标</w:t>
      </w:r>
      <w:bookmarkEnd w:id="156"/>
    </w:p>
    <w:p w14:paraId="15D22E8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57" w:name="_Toc20823310"/>
      <w:bookmarkStart w:id="158" w:name="_Toc16938554"/>
      <w:bookmarkStart w:id="159" w:name="_Toc513029238"/>
      <w:r>
        <w:rPr>
          <w:rFonts w:hint="eastAsia" w:ascii="宋体" w:hAnsi="宋体" w:eastAsia="宋体" w:cs="宋体"/>
          <w:color w:val="000000"/>
          <w:sz w:val="24"/>
          <w:szCs w:val="24"/>
        </w:rPr>
        <w:t>27、</w:t>
      </w:r>
      <w:bookmarkEnd w:id="157"/>
      <w:r>
        <w:rPr>
          <w:rFonts w:hint="eastAsia" w:ascii="宋体" w:hAnsi="宋体" w:eastAsia="宋体" w:cs="宋体"/>
          <w:color w:val="000000"/>
          <w:sz w:val="24"/>
          <w:szCs w:val="24"/>
        </w:rPr>
        <w:t>确定</w:t>
      </w:r>
      <w:bookmarkEnd w:id="158"/>
      <w:bookmarkEnd w:id="159"/>
      <w:r>
        <w:rPr>
          <w:rFonts w:hint="eastAsia" w:ascii="宋体" w:hAnsi="宋体" w:eastAsia="宋体" w:cs="宋体"/>
          <w:color w:val="000000"/>
          <w:sz w:val="24"/>
          <w:szCs w:val="24"/>
        </w:rPr>
        <w:t>中标单位</w:t>
      </w:r>
    </w:p>
    <w:p w14:paraId="309EB42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27.1中标候选人的选取原则和数量见招标文件第五章规定。</w:t>
      </w:r>
    </w:p>
    <w:p w14:paraId="4BD5CCA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27.2采购人应根据评委会推荐的中标候选人确定中标人。</w:t>
      </w:r>
    </w:p>
    <w:p w14:paraId="68AD3C8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27.3</w:t>
      </w: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将在“中国政府采购网”“江苏政府采购网”“盐城市政府采购网”发布中标公告，公告期限为1个工作日。</w:t>
      </w:r>
    </w:p>
    <w:p w14:paraId="579B846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27.4若有充分证据证明，中标人出现下列情况之一的，一经查实，将被取消中标资格：</w:t>
      </w:r>
    </w:p>
    <w:p w14:paraId="338B732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27.4.1提供虚假材料谋取中标的。</w:t>
      </w:r>
    </w:p>
    <w:p w14:paraId="7DCAA93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27.4.2向采购人、</w:t>
      </w: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行贿或者提供其他不正当利益的。</w:t>
      </w:r>
    </w:p>
    <w:p w14:paraId="0ED0BF2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27.4.3属于本文件规定的无效条件，但在评标过程中又未被评委会发现的。</w:t>
      </w:r>
    </w:p>
    <w:p w14:paraId="1CAEA17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27.4.4与采购人或者其他供应商恶意串通的。</w:t>
      </w:r>
    </w:p>
    <w:p w14:paraId="0B66592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27.4.5采取不正当手段诋毁、排挤其他供应商的。</w:t>
      </w:r>
    </w:p>
    <w:p w14:paraId="0C2DFD9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60" w:name="_Toc200451960"/>
      <w:r>
        <w:rPr>
          <w:rFonts w:hint="eastAsia" w:ascii="宋体" w:hAnsi="宋体" w:eastAsia="宋体" w:cs="宋体"/>
          <w:color w:val="000000"/>
          <w:sz w:val="24"/>
          <w:szCs w:val="24"/>
        </w:rPr>
        <w:t>27.5有下列情形之一的，视为</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串通投标，投标无效：</w:t>
      </w:r>
      <w:bookmarkEnd w:id="160"/>
    </w:p>
    <w:p w14:paraId="4638785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27.5.1不同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的投标文件由同一单位或者个人编制。</w:t>
      </w:r>
    </w:p>
    <w:p w14:paraId="31BAD0E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27.5.2不同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委托同一单位或者个人办理投标事宜。</w:t>
      </w:r>
    </w:p>
    <w:p w14:paraId="703757F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27.5.3不同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的投标文件载明的项目管理成员或者联系人员为同一人。</w:t>
      </w:r>
    </w:p>
    <w:p w14:paraId="5234A75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27.5.4不同</w:t>
      </w:r>
      <w:r>
        <w:rPr>
          <w:rFonts w:hint="eastAsia" w:ascii="宋体" w:hAnsi="宋体" w:eastAsia="宋体" w:cs="宋体"/>
          <w:color w:val="000000"/>
          <w:sz w:val="24"/>
          <w:szCs w:val="24"/>
          <w:lang w:eastAsia="zh-CN"/>
        </w:rPr>
        <w:t>供应商</w:t>
      </w:r>
      <w:r>
        <w:rPr>
          <w:rFonts w:hint="eastAsia" w:ascii="宋体" w:hAnsi="宋体" w:eastAsia="宋体" w:cs="宋体"/>
          <w:color w:val="000000"/>
          <w:sz w:val="24"/>
          <w:szCs w:val="24"/>
        </w:rPr>
        <w:t>的投标文件异常一致或者投标报价呈规律性差异。</w:t>
      </w:r>
    </w:p>
    <w:p w14:paraId="3F85FD2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28、质疑处理</w:t>
      </w:r>
    </w:p>
    <w:p w14:paraId="1AEFC85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28.1提出质疑的供应商应当是参与所质疑项目采购活动的供应商。潜在供应商依法获取其可质疑的采购文件的，可以对采购文件提出质疑。</w:t>
      </w:r>
    </w:p>
    <w:p w14:paraId="7CBDA97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或采购人提出质疑。上述应知其权益受到损害之日，是指：</w:t>
      </w:r>
    </w:p>
    <w:p w14:paraId="3B944DB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28.2.1对可以质疑的采购文件提出质疑的，为收到采购文件之日或者采购文件公告期限届满之日；</w:t>
      </w:r>
    </w:p>
    <w:p w14:paraId="05E1297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28.2.2对采购过程提出质疑的，为各采购程序环节结束之日；</w:t>
      </w:r>
    </w:p>
    <w:p w14:paraId="49CF828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28.2.3对中标或者成交结果提出质疑的，为中标或者成交结果公告期限届满之日。</w:t>
      </w:r>
    </w:p>
    <w:p w14:paraId="14790F7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、采购人将只对供应商第一次质疑作出答复。</w:t>
      </w:r>
    </w:p>
    <w:p w14:paraId="7FED25A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7520D00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提出，由</w:t>
      </w: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负责答复。</w:t>
      </w:r>
    </w:p>
    <w:p w14:paraId="5BD046E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及采购人只接收以纸质原件形式送达的质疑,采购人和</w:t>
      </w:r>
      <w:r>
        <w:rPr>
          <w:rFonts w:hint="eastAsia" w:ascii="宋体" w:hAnsi="宋体" w:eastAsia="宋体" w:cs="宋体"/>
          <w:color w:val="auto"/>
          <w:sz w:val="24"/>
          <w:szCs w:val="24"/>
        </w:rPr>
        <w:t>采购代理机构</w:t>
      </w:r>
      <w:r>
        <w:rPr>
          <w:rFonts w:hint="eastAsia" w:ascii="宋体" w:hAnsi="宋体" w:eastAsia="宋体" w:cs="宋体"/>
          <w:color w:val="000000"/>
          <w:sz w:val="24"/>
          <w:szCs w:val="24"/>
        </w:rPr>
        <w:t>不接受未填写快递运单的快件。质疑接收部门为</w:t>
      </w:r>
      <w:r>
        <w:rPr>
          <w:rFonts w:hint="eastAsia" w:ascii="宋体" w:hAnsi="宋体" w:eastAsia="宋体" w:cs="宋体"/>
          <w:color w:val="000000"/>
          <w:sz w:val="24"/>
          <w:szCs w:val="24"/>
          <w:lang w:val="en-US" w:eastAsia="zh-CN"/>
        </w:rPr>
        <w:t>江苏建世工程咨询有限公司</w:t>
      </w:r>
      <w:r>
        <w:rPr>
          <w:rFonts w:hint="eastAsia" w:ascii="宋体" w:hAnsi="宋体" w:eastAsia="宋体" w:cs="宋体"/>
          <w:color w:val="000000"/>
          <w:sz w:val="24"/>
          <w:szCs w:val="24"/>
        </w:rPr>
        <w:t>，联系地址：</w:t>
      </w:r>
      <w:r>
        <w:rPr>
          <w:rFonts w:ascii="宋体" w:hAnsi="宋体" w:eastAsia="宋体" w:cs="宋体"/>
          <w:sz w:val="24"/>
          <w:szCs w:val="24"/>
        </w:rPr>
        <w:t>滨海县S327/西湖路西北侧配送超市商务楼1幢6层607室</w:t>
      </w:r>
      <w:r>
        <w:rPr>
          <w:rFonts w:hint="eastAsia" w:ascii="宋体" w:hAnsi="宋体" w:eastAsia="宋体" w:cs="宋体"/>
          <w:color w:val="000000"/>
          <w:sz w:val="24"/>
          <w:szCs w:val="24"/>
        </w:rPr>
        <w:t>，联系电话：</w:t>
      </w:r>
      <w:r>
        <w:rPr>
          <w:rFonts w:hint="eastAsia" w:ascii="宋体" w:hAnsi="宋体" w:eastAsia="宋体" w:cs="宋体"/>
          <w:color w:val="000000"/>
          <w:sz w:val="24"/>
          <w:szCs w:val="24"/>
          <w:lang w:eastAsia="zh-CN"/>
        </w:rPr>
        <w:t>15851110809</w:t>
      </w:r>
      <w:r>
        <w:rPr>
          <w:rFonts w:hint="eastAsia" w:ascii="宋体" w:hAnsi="宋体" w:eastAsia="宋体" w:cs="宋体"/>
          <w:color w:val="000000"/>
          <w:sz w:val="24"/>
          <w:szCs w:val="24"/>
        </w:rPr>
        <w:t>。</w:t>
      </w:r>
    </w:p>
    <w:p w14:paraId="1C02EAD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28.5以下情形的质疑不予受理</w:t>
      </w:r>
    </w:p>
    <w:p w14:paraId="45CBB59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28.5.1内容不符合《政府采购质疑和投诉办法》第十二条规定的质疑。</w:t>
      </w:r>
    </w:p>
    <w:p w14:paraId="313BB278">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28.5.2超出政府采购法定期限的质疑。</w:t>
      </w:r>
    </w:p>
    <w:p w14:paraId="0554A94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28.5.3以传真、电子邮件等方式递交的非原件形式的质疑。</w:t>
      </w:r>
    </w:p>
    <w:p w14:paraId="4F33AE8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28.5.4未参加投标活动的供应商或在投标活动中自身权益未受到损害的供应商所提出的质疑。</w:t>
      </w:r>
    </w:p>
    <w:p w14:paraId="3DC39CF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28.5.5供应商组成联合体参加投标，联合体中任何一方或多方未按要求签字、盖章、加盖公章的质疑。</w:t>
      </w:r>
    </w:p>
    <w:p w14:paraId="3D6F73B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28.6供应商提出书面质疑必须有理、有据，不得捏造事实、提供虚假材料进行恶意质疑。否则，一经查实，</w:t>
      </w: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有权依据政府采购的有关规定，报请政府采购监管部门对该供应商进行相应的行政处罚和记录该供应商的失信信息。</w:t>
      </w:r>
    </w:p>
    <w:p w14:paraId="55E5E2B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29、中标通知书</w:t>
      </w:r>
    </w:p>
    <w:p w14:paraId="0C6ED2B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29.1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AEAC51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29.2中标通知书将是合同的一个组成部分。对采购人和中标人均具有法律效力。中标通知书发出后，采购人改变中标结果的，或者中标人放弃中标项目的，应当依法承担法律责任。</w:t>
      </w:r>
    </w:p>
    <w:p w14:paraId="015B2CF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right="839"/>
        <w:jc w:val="both"/>
        <w:textAlignment w:val="auto"/>
        <w:rPr>
          <w:rFonts w:hint="eastAsia" w:ascii="宋体" w:hAnsi="宋体" w:eastAsia="宋体" w:cs="宋体"/>
          <w:b/>
          <w:color w:val="000000"/>
          <w:sz w:val="24"/>
          <w:szCs w:val="24"/>
        </w:rPr>
      </w:pPr>
      <w:bookmarkStart w:id="161" w:name="_Toc16938552"/>
      <w:bookmarkStart w:id="162" w:name="_Toc513029236"/>
      <w:bookmarkStart w:id="163" w:name="_Toc120614220"/>
      <w:bookmarkStart w:id="164" w:name="_Toc20823308"/>
      <w:r>
        <w:rPr>
          <w:rFonts w:hint="eastAsia" w:ascii="宋体" w:hAnsi="宋体" w:eastAsia="宋体" w:cs="宋体"/>
          <w:b/>
          <w:color w:val="000000"/>
          <w:sz w:val="24"/>
          <w:szCs w:val="24"/>
        </w:rPr>
        <w:t>七、授予合同</w:t>
      </w:r>
      <w:bookmarkEnd w:id="161"/>
      <w:bookmarkEnd w:id="162"/>
      <w:bookmarkEnd w:id="163"/>
      <w:bookmarkEnd w:id="164"/>
    </w:p>
    <w:p w14:paraId="4DAD18B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bookmarkStart w:id="165" w:name="_Toc20823309"/>
      <w:bookmarkStart w:id="166" w:name="_Toc16938553"/>
      <w:bookmarkStart w:id="167" w:name="_Toc513029237"/>
      <w:r>
        <w:rPr>
          <w:rFonts w:hint="eastAsia" w:ascii="宋体" w:hAnsi="宋体" w:eastAsia="宋体" w:cs="宋体"/>
          <w:color w:val="000000"/>
          <w:sz w:val="24"/>
          <w:szCs w:val="24"/>
        </w:rPr>
        <w:t>30.签订合同</w:t>
      </w:r>
      <w:bookmarkEnd w:id="165"/>
      <w:bookmarkEnd w:id="166"/>
      <w:bookmarkEnd w:id="167"/>
    </w:p>
    <w:p w14:paraId="4ECB509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30.1中标人应当在中标通知书发出之日起三十日内，按照招标文件确定的事项与采购人签订政府采购合同。</w:t>
      </w:r>
    </w:p>
    <w:p w14:paraId="791C398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30.2招标文件、中标人的投标文件及招标过程中有关澄清、承诺文件均应作为合同附件。</w:t>
      </w:r>
    </w:p>
    <w:p w14:paraId="45DE706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4648EDC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31、服务（包含与服务相关的货物）的追加</w:t>
      </w:r>
    </w:p>
    <w:p w14:paraId="044C428E">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37F5BD4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32.政府采购政策功能落实</w:t>
      </w:r>
    </w:p>
    <w:p w14:paraId="435218C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32.1政府采购线上合同信用融资政策</w:t>
      </w:r>
    </w:p>
    <w:p w14:paraId="2F014CB1">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465838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中小企业、监狱企业及残疾人福利性单位</w:t>
      </w:r>
    </w:p>
    <w:p w14:paraId="08463AD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.1中小企业定义：</w:t>
      </w:r>
    </w:p>
    <w:p w14:paraId="4C971EF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7510FF7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.2供应商提供的货物、工程或者服务符合下列情形的，享受中小企业扶持政策：</w:t>
      </w:r>
    </w:p>
    <w:p w14:paraId="0FF0F93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.2.1在货物采购项目中，货物由中小企业制造，即货物由中小企业生产且使用该中小企业商号或者注册商标；</w:t>
      </w:r>
    </w:p>
    <w:p w14:paraId="5672F2B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.2.2在工程采购项目中，工程由中小企业承建，即工程施工单位为中小企业；</w:t>
      </w:r>
    </w:p>
    <w:p w14:paraId="58D54DB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.2.3在服务采购项目中，服务由中小企业承接，即提供服务的人员为中小企业依照《中华人民共和国劳动合同法》订立劳动合同的从业人员。</w:t>
      </w:r>
    </w:p>
    <w:p w14:paraId="6119AE25">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.3在货物采购项目中，供应商提供的货物既有中小企业制造货物，也有大型企业制造货物的，不享受中小企业扶持政策。</w:t>
      </w:r>
    </w:p>
    <w:p w14:paraId="550F51C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.4以联合体形式参加政府采购活动，联合体各方均为中小企业的，联合体视同中小企业。其中，联合体各方均为小微企业的，联合体视同小微企业。</w:t>
      </w:r>
    </w:p>
    <w:p w14:paraId="53726F8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AA19C8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.6残疾人福利单位定义：享受政府采购支持政策的残疾人福利性单位应当同时满足以下条件：</w:t>
      </w:r>
    </w:p>
    <w:p w14:paraId="4CE92C36">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.6.1安置的残疾人占本单位在职职工人数的比例不低于25%（含25%），并且安置的残疾人人数不少于10人（含10人）；</w:t>
      </w:r>
    </w:p>
    <w:p w14:paraId="1A3941EB">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.6.2依法与安置的每位残疾人签订了一年以上（含一年）的劳动合同或服务协议；</w:t>
      </w:r>
    </w:p>
    <w:p w14:paraId="15AC9DD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.6.3为安置的每位残疾人按月足额缴纳了基本养老保险、基本医疗保险、失业保险、工伤保险和生育保险等社会保险费；</w:t>
      </w:r>
    </w:p>
    <w:p w14:paraId="1D584E5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.6.4通过银行等金融机构向安置的每位残疾人，按月支付了不低于单位所在区县适用的经省级人民政府批准的月最低工资标准的工资；</w:t>
      </w:r>
    </w:p>
    <w:p w14:paraId="34FD0B6F">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.6.5提供本单位承接的服务、承担的工程或者服务（以下简称产品），或者提供其他残疾人福利性单位制造的货物（不包括使用非残疾人福利性单位注册商标的货物）；</w:t>
      </w:r>
    </w:p>
    <w:p w14:paraId="09C5A48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32ADD44">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.7本项目是否专门面向中小企业预留采购份额见第一章《招标公告》。</w:t>
      </w:r>
    </w:p>
    <w:p w14:paraId="416F9AD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.8采购标的对应的中小企业划分标准所属行业见第四章《采购需求》。</w:t>
      </w:r>
    </w:p>
    <w:p w14:paraId="41B77210">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.9小微企业价格评审优惠的政策：见第五章《评标方法和评标标准》。</w:t>
      </w:r>
    </w:p>
    <w:p w14:paraId="5245454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政府采购节能产品、环境标志产品</w:t>
      </w:r>
    </w:p>
    <w:p w14:paraId="75F98C49">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sz w:val="24"/>
          <w:lang w:val="en-US" w:eastAsia="zh-CN"/>
        </w:rPr>
        <w:t>投标</w:t>
      </w:r>
      <w:r>
        <w:rPr>
          <w:rFonts w:hint="eastAsia" w:ascii="宋体" w:hAnsi="宋体" w:eastAsia="宋体" w:cs="宋体"/>
          <w:color w:val="000000"/>
          <w:sz w:val="24"/>
          <w:szCs w:val="24"/>
        </w:rPr>
        <w:t>文件中提供所投产品的相关证书(由国家确定的认证机构出具的、处于有效期之内的节能产品、环境标志产品认证证书)。节能产品、环境标志产品品目清单以递交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sz w:val="24"/>
          <w:lang w:val="en-US" w:eastAsia="zh-CN"/>
        </w:rPr>
        <w:t>投标</w:t>
      </w:r>
      <w:r>
        <w:rPr>
          <w:rFonts w:hint="eastAsia" w:ascii="宋体" w:hAnsi="宋体" w:eastAsia="宋体" w:cs="宋体"/>
          <w:color w:val="000000"/>
          <w:sz w:val="24"/>
          <w:szCs w:val="24"/>
        </w:rPr>
        <w:t>文件截止时已正式公布的最近一期信息为准，如属政府强制采购产品未提供认证证书的或认证证书提供不全的将视为未实质性响应采购要求。其他条件相同情况下，应当优先采购节能产品、环境标志产品。</w:t>
      </w:r>
    </w:p>
    <w:p w14:paraId="417D66CA">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63E9AB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政府采购创新产品</w:t>
      </w:r>
    </w:p>
    <w:p w14:paraId="00AF78AD">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采购人优先采购各级政府部门公开发布的有效期内的创新产品、创新服务、首台套、首购首用等《目录》的创新产品。</w:t>
      </w:r>
    </w:p>
    <w:p w14:paraId="6DC418C2">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履约保证金政策</w:t>
      </w:r>
    </w:p>
    <w:p w14:paraId="22AA1CE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确需收取履约保证金的，履约保证金的缴纳形式：</w:t>
      </w:r>
    </w:p>
    <w:p w14:paraId="5E01E7D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045DF73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 xml:space="preserve"> 如以履约保函（保险）形式缴纳履约保证金，供应商可通过政府采购电子履约保函（保险）平台（www.jsdzbh.com）在线申请履约保函（保险）。</w:t>
      </w:r>
    </w:p>
    <w:p w14:paraId="4A4C06C7">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24F8E93">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33.预付款制度</w:t>
      </w:r>
    </w:p>
    <w:p w14:paraId="188939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本项目落实预付款制度，预付款比例为30%。中标供应商在采购人支付预付款前，必须提供同等金额的无条件即</w:t>
      </w:r>
      <w:r>
        <w:rPr>
          <w:rFonts w:hint="eastAsia" w:ascii="宋体" w:hAnsi="宋体" w:eastAsia="宋体" w:cs="宋体"/>
          <w:color w:val="auto"/>
          <w:sz w:val="24"/>
          <w:szCs w:val="24"/>
          <w:lang w:val="en-US" w:eastAsia="zh-CN"/>
        </w:rPr>
        <w:t>付</w:t>
      </w:r>
      <w:r>
        <w:rPr>
          <w:rFonts w:hint="eastAsia" w:ascii="宋体" w:hAnsi="宋体" w:eastAsia="宋体" w:cs="宋体"/>
          <w:color w:val="auto"/>
          <w:sz w:val="24"/>
          <w:szCs w:val="24"/>
        </w:rPr>
        <w:t>即兑预付款银行保函，保函有效期为签订合同后</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个月，以确保采购人的资金安全。在签订合同时，中标、成交供应商明确书面表示无需预付款或者主动要求降低预付款比例的，采购人可就预付款比例作相应调整。</w:t>
      </w:r>
    </w:p>
    <w:p w14:paraId="11AC081C">
      <w:pPr>
        <w:pStyle w:val="3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000000"/>
          <w:sz w:val="24"/>
          <w:szCs w:val="24"/>
        </w:rPr>
      </w:pPr>
      <w:r>
        <w:rPr>
          <w:rFonts w:hint="eastAsia" w:ascii="宋体" w:hAnsi="宋体" w:eastAsia="宋体" w:cs="宋体"/>
          <w:color w:val="auto"/>
          <w:sz w:val="24"/>
          <w:szCs w:val="24"/>
        </w:rPr>
        <w:t>注：乙方在甲方支付预付款前，必须提供同等金额的预付款银行保函，以确保甲方的资金安全。该保函必须是无条件即付即兑的银行保函，保函有效期为签订合同后</w:t>
      </w: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个月，</w:t>
      </w:r>
      <w:r>
        <w:rPr>
          <w:rFonts w:hint="eastAsia" w:ascii="宋体" w:hAnsi="宋体" w:eastAsia="宋体" w:cs="宋体"/>
          <w:kern w:val="0"/>
          <w:sz w:val="24"/>
          <w:szCs w:val="24"/>
          <w:lang w:val="en-US" w:eastAsia="zh-CN"/>
        </w:rPr>
        <w:t>保函开具行必须为采购人认可的国有商业银行</w:t>
      </w:r>
      <w:r>
        <w:rPr>
          <w:rFonts w:hint="eastAsia" w:ascii="宋体" w:hAnsi="宋体" w:eastAsia="宋体" w:cs="宋体"/>
          <w:kern w:val="0"/>
          <w:sz w:val="24"/>
          <w:szCs w:val="24"/>
        </w:rPr>
        <w:t>，且须完全符合甲方要求</w:t>
      </w:r>
      <w:r>
        <w:rPr>
          <w:rFonts w:hint="eastAsia" w:ascii="宋体" w:hAnsi="宋体" w:eastAsia="宋体" w:cs="宋体"/>
          <w:color w:val="auto"/>
          <w:sz w:val="24"/>
          <w:szCs w:val="24"/>
        </w:rPr>
        <w:t>。如乙方未按上述要求提供银行保函，则视为乙方无条件放弃预付款</w:t>
      </w:r>
      <w:r>
        <w:rPr>
          <w:rFonts w:hint="eastAsia" w:ascii="宋体" w:hAnsi="宋体" w:eastAsia="宋体" w:cs="宋体"/>
          <w:color w:val="000000"/>
          <w:sz w:val="24"/>
          <w:szCs w:val="24"/>
        </w:rPr>
        <w:t>。</w:t>
      </w:r>
    </w:p>
    <w:p w14:paraId="682D2D5D">
      <w:pPr>
        <w:rPr>
          <w:rFonts w:hint="eastAsia" w:ascii="黑体" w:hAnsi="宋体" w:eastAsia="黑体" w:cs="黑体"/>
          <w:color w:val="000000"/>
          <w:sz w:val="48"/>
          <w:szCs w:val="48"/>
        </w:rPr>
      </w:pPr>
    </w:p>
    <w:p w14:paraId="648131A8">
      <w:pPr>
        <w:rPr>
          <w:rFonts w:hint="eastAsia" w:ascii="黑体" w:hAnsi="宋体" w:eastAsia="黑体" w:cs="黑体"/>
          <w:color w:val="000000"/>
          <w:sz w:val="48"/>
          <w:szCs w:val="48"/>
        </w:rPr>
      </w:pPr>
      <w:r>
        <w:rPr>
          <w:rFonts w:hint="eastAsia" w:ascii="黑体" w:hAnsi="宋体" w:eastAsia="黑体" w:cs="黑体"/>
          <w:color w:val="000000"/>
          <w:sz w:val="48"/>
          <w:szCs w:val="48"/>
        </w:rPr>
        <w:br w:type="page"/>
      </w:r>
    </w:p>
    <w:p w14:paraId="0F89FD13">
      <w:pPr>
        <w:spacing w:line="360" w:lineRule="auto"/>
        <w:jc w:val="center"/>
        <w:rPr>
          <w:rFonts w:ascii="宋体" w:hAnsi="宋体" w:cs="宋体"/>
          <w:b/>
          <w:sz w:val="48"/>
          <w:szCs w:val="44"/>
        </w:rPr>
      </w:pPr>
      <w:r>
        <w:rPr>
          <w:rFonts w:hint="eastAsia" w:ascii="黑体" w:hAnsi="宋体" w:eastAsia="黑体" w:cs="黑体"/>
          <w:color w:val="000000"/>
          <w:sz w:val="48"/>
          <w:szCs w:val="48"/>
        </w:rPr>
        <w:t>第三章 </w:t>
      </w:r>
      <w:r>
        <w:rPr>
          <w:rFonts w:hint="eastAsia" w:ascii="宋体" w:hAnsi="宋体" w:cs="宋体"/>
          <w:b/>
          <w:sz w:val="48"/>
          <w:szCs w:val="44"/>
        </w:rPr>
        <w:t>合同条款</w:t>
      </w:r>
    </w:p>
    <w:p w14:paraId="58FCB816">
      <w:pPr>
        <w:rPr>
          <w:rFonts w:hint="eastAsia" w:ascii="宋体" w:hAnsi="宋体" w:eastAsia="宋体" w:cs="宋体"/>
          <w:color w:val="000000"/>
        </w:rPr>
      </w:pPr>
      <w:bookmarkStart w:id="168" w:name="_Toc513029243"/>
      <w:bookmarkStart w:id="169" w:name="_Toc20823315"/>
      <w:bookmarkStart w:id="170" w:name="_Toc16938559"/>
    </w:p>
    <w:bookmarkEnd w:id="168"/>
    <w:bookmarkEnd w:id="169"/>
    <w:bookmarkEnd w:id="170"/>
    <w:p w14:paraId="2327E820">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ascii="宋体" w:hAnsi="宋体" w:eastAsia="宋体"/>
          <w:b w:val="0"/>
          <w:bCs w:val="0"/>
          <w:sz w:val="24"/>
          <w:highlight w:val="none"/>
        </w:rPr>
      </w:pPr>
      <w:bookmarkStart w:id="171" w:name="_Hlt16619369"/>
      <w:bookmarkStart w:id="172" w:name="_Toc120614281"/>
      <w:r>
        <w:rPr>
          <w:rFonts w:hint="eastAsia" w:ascii="宋体" w:hAnsi="宋体" w:eastAsia="宋体" w:cs="宋体"/>
          <w:b w:val="0"/>
          <w:bCs w:val="0"/>
          <w:color w:val="000000"/>
          <w:highlight w:val="none"/>
        </w:rPr>
        <w:t>甲方：（采购人）滨海县机关事务服务中心</w:t>
      </w:r>
    </w:p>
    <w:p w14:paraId="01505785">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highlight w:val="none"/>
        </w:rPr>
        <w:t xml:space="preserve">乙方：（供应商）                       </w:t>
      </w:r>
    </w:p>
    <w:p w14:paraId="73B84BF1">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b w:val="0"/>
          <w:bCs w:val="0"/>
          <w:highlight w:val="none"/>
        </w:rPr>
      </w:pPr>
      <w:r>
        <w:rPr>
          <w:rFonts w:ascii="宋体" w:hAnsi="宋体" w:eastAsia="宋体"/>
          <w:b w:val="0"/>
          <w:bCs w:val="0"/>
          <w:sz w:val="24"/>
          <w:highlight w:val="none"/>
        </w:rPr>
        <w:t>甲、乙双方根据</w:t>
      </w:r>
      <w:r>
        <w:rPr>
          <w:rFonts w:hint="eastAsia" w:ascii="宋体" w:hAnsi="宋体" w:eastAsia="宋体"/>
          <w:b w:val="0"/>
          <w:bCs w:val="0"/>
          <w:sz w:val="24"/>
          <w:highlight w:val="none"/>
          <w:lang w:eastAsia="zh-CN"/>
        </w:rPr>
        <w:t>2027年度滨海县会议服务采购项目</w:t>
      </w:r>
      <w:r>
        <w:rPr>
          <w:rFonts w:ascii="宋体" w:hAnsi="宋体" w:eastAsia="宋体"/>
          <w:b w:val="0"/>
          <w:bCs w:val="0"/>
          <w:sz w:val="24"/>
          <w:highlight w:val="none"/>
        </w:rPr>
        <w:t>公开招标的结果，依据《中华人民共和国民法典》《中华人民共和国政府采购法》及相关法律法规，遵循平等、自愿、公平和诚实信用的原则，经双方协商一致，订立本合同</w:t>
      </w:r>
      <w:r>
        <w:rPr>
          <w:rFonts w:hint="eastAsia" w:ascii="宋体" w:hAnsi="宋体" w:eastAsia="宋体" w:cs="宋体"/>
          <w:b w:val="0"/>
          <w:bCs w:val="0"/>
          <w:color w:val="000000"/>
          <w:highlight w:val="none"/>
        </w:rPr>
        <w:t>。</w:t>
      </w:r>
    </w:p>
    <w:p w14:paraId="0F418851">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宋体" w:hAnsi="宋体" w:eastAsia="宋体" w:cs="宋体"/>
          <w:b/>
          <w:bCs/>
          <w:highlight w:val="none"/>
        </w:rPr>
      </w:pPr>
      <w:r>
        <w:rPr>
          <w:rFonts w:hint="eastAsia" w:ascii="宋体" w:hAnsi="宋体" w:eastAsia="宋体" w:cs="宋体"/>
          <w:b/>
          <w:bCs/>
          <w:color w:val="000000"/>
          <w:highlight w:val="none"/>
        </w:rPr>
        <w:t>一、合同内容</w:t>
      </w:r>
    </w:p>
    <w:p w14:paraId="35199F74">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b w:val="0"/>
          <w:bCs w:val="0"/>
          <w:highlight w:val="none"/>
          <w:lang w:eastAsia="zh-CN"/>
        </w:rPr>
      </w:pPr>
      <w:r>
        <w:rPr>
          <w:rFonts w:hint="eastAsia" w:ascii="宋体" w:hAnsi="宋体" w:eastAsia="宋体" w:cs="宋体"/>
          <w:b w:val="0"/>
          <w:bCs w:val="0"/>
          <w:color w:val="000000"/>
          <w:highlight w:val="none"/>
        </w:rPr>
        <w:t xml:space="preserve">1.1 </w:t>
      </w:r>
      <w:r>
        <w:rPr>
          <w:rFonts w:hint="eastAsia" w:ascii="宋体" w:hAnsi="宋体" w:eastAsia="宋体" w:cs="宋体"/>
          <w:b w:val="0"/>
          <w:bCs w:val="0"/>
          <w:color w:val="000000"/>
          <w:highlight w:val="none"/>
          <w:lang w:val="en-US" w:eastAsia="zh-CN"/>
        </w:rPr>
        <w:t>项目</w:t>
      </w:r>
      <w:r>
        <w:rPr>
          <w:rFonts w:hint="eastAsia" w:ascii="宋体" w:hAnsi="宋体" w:eastAsia="宋体" w:cs="宋体"/>
          <w:b w:val="0"/>
          <w:bCs w:val="0"/>
          <w:color w:val="000000"/>
          <w:highlight w:val="none"/>
        </w:rPr>
        <w:t>名称：</w:t>
      </w:r>
      <w:r>
        <w:rPr>
          <w:rFonts w:hint="eastAsia" w:ascii="宋体" w:hAnsi="宋体" w:eastAsia="宋体"/>
          <w:b w:val="0"/>
          <w:bCs w:val="0"/>
          <w:sz w:val="24"/>
          <w:highlight w:val="none"/>
          <w:lang w:eastAsia="zh-CN"/>
        </w:rPr>
        <w:t>2027年度滨海县会议服务采购项目</w:t>
      </w:r>
    </w:p>
    <w:p w14:paraId="3A561ED0">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b w:val="0"/>
          <w:bCs w:val="0"/>
          <w:highlight w:val="none"/>
        </w:rPr>
      </w:pPr>
      <w:r>
        <w:rPr>
          <w:rFonts w:hint="eastAsia" w:ascii="宋体" w:hAnsi="宋体" w:eastAsia="宋体" w:cs="宋体"/>
          <w:b w:val="0"/>
          <w:bCs w:val="0"/>
          <w:color w:val="000000"/>
          <w:highlight w:val="none"/>
        </w:rPr>
        <w:t xml:space="preserve">1.2 </w:t>
      </w:r>
      <w:r>
        <w:rPr>
          <w:rFonts w:hint="eastAsia" w:ascii="宋体" w:hAnsi="宋体" w:eastAsia="宋体" w:cs="宋体"/>
          <w:b w:val="0"/>
          <w:bCs w:val="0"/>
          <w:color w:val="000000"/>
          <w:highlight w:val="none"/>
          <w:lang w:val="en-US" w:eastAsia="zh-CN"/>
        </w:rPr>
        <w:t>项目编号</w:t>
      </w:r>
      <w:r>
        <w:rPr>
          <w:rFonts w:hint="eastAsia" w:ascii="宋体" w:hAnsi="宋体" w:eastAsia="宋体" w:cs="宋体"/>
          <w:b w:val="0"/>
          <w:bCs w:val="0"/>
          <w:color w:val="000000"/>
          <w:highlight w:val="none"/>
        </w:rPr>
        <w:t>：JSZC-320922-JSJS-G2026-0011</w:t>
      </w:r>
    </w:p>
    <w:p w14:paraId="558E1A02">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1.3 服务内容：中标供应商在自有合法经营场地内为滨海县各机关事业单位提供各类会议及配套服务，包括会议场地提供、会场布置、会议设备保障、会议服务、保洁</w:t>
      </w:r>
      <w:r>
        <w:rPr>
          <w:rFonts w:hint="eastAsia" w:ascii="宋体" w:hAnsi="宋体" w:eastAsia="宋体" w:cs="宋体"/>
          <w:b w:val="0"/>
          <w:bCs w:val="0"/>
          <w:color w:val="000000"/>
          <w:highlight w:val="none"/>
          <w:lang w:eastAsia="zh-CN"/>
        </w:rPr>
        <w:t>、</w:t>
      </w:r>
      <w:r>
        <w:rPr>
          <w:rFonts w:hint="eastAsia" w:ascii="宋体" w:hAnsi="宋体" w:eastAsia="宋体" w:cs="宋体"/>
          <w:b w:val="0"/>
          <w:bCs w:val="0"/>
          <w:color w:val="000000"/>
          <w:highlight w:val="none"/>
          <w:lang w:val="en-US" w:eastAsia="zh-CN"/>
        </w:rPr>
        <w:t>保安</w:t>
      </w:r>
      <w:r>
        <w:rPr>
          <w:rFonts w:hint="eastAsia" w:ascii="宋体" w:hAnsi="宋体" w:eastAsia="宋体" w:cs="宋体"/>
          <w:b w:val="0"/>
          <w:bCs w:val="0"/>
          <w:color w:val="000000"/>
          <w:highlight w:val="none"/>
        </w:rPr>
        <w:t>及其他配套服务等。</w:t>
      </w:r>
    </w:p>
    <w:p w14:paraId="74155564">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b w:val="0"/>
          <w:bCs w:val="0"/>
          <w:highlight w:val="none"/>
          <w:lang w:val="en-US" w:eastAsia="zh-CN"/>
        </w:rPr>
      </w:pPr>
      <w:r>
        <w:rPr>
          <w:rFonts w:hint="eastAsia" w:ascii="宋体" w:hAnsi="宋体" w:eastAsia="宋体" w:cs="宋体"/>
          <w:b w:val="0"/>
          <w:bCs w:val="0"/>
          <w:color w:val="000000"/>
          <w:highlight w:val="none"/>
          <w:lang w:val="en-US" w:eastAsia="zh-CN"/>
        </w:rPr>
        <w:t>1.4</w:t>
      </w:r>
      <w:r>
        <w:rPr>
          <w:rFonts w:hint="eastAsia" w:ascii="宋体" w:hAnsi="宋体" w:eastAsia="宋体" w:cs="宋体"/>
          <w:b w:val="0"/>
          <w:bCs w:val="0"/>
          <w:color w:val="000000"/>
          <w:highlight w:val="none"/>
        </w:rPr>
        <w:t>履行期限：</w:t>
      </w:r>
      <w:r>
        <w:rPr>
          <w:rFonts w:ascii="宋体" w:hAnsi="宋体" w:eastAsia="宋体"/>
          <w:b w:val="0"/>
          <w:bCs w:val="0"/>
          <w:sz w:val="24"/>
          <w:highlight w:val="none"/>
        </w:rPr>
        <w:t>14个月（试用期2个月+服务期12个月），自合同签订之日起计算</w:t>
      </w:r>
      <w:r>
        <w:rPr>
          <w:rFonts w:hint="eastAsia" w:ascii="宋体" w:hAnsi="宋体" w:eastAsia="宋体"/>
          <w:b w:val="0"/>
          <w:bCs w:val="0"/>
          <w:sz w:val="24"/>
          <w:highlight w:val="none"/>
          <w:lang w:eastAsia="zh-CN"/>
        </w:rPr>
        <w:t>。</w:t>
      </w:r>
    </w:p>
    <w:p w14:paraId="34A081F7">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ascii="宋体" w:hAnsi="宋体" w:eastAsia="宋体"/>
          <w:b w:val="0"/>
          <w:bCs w:val="0"/>
          <w:sz w:val="24"/>
          <w:highlight w:val="none"/>
        </w:rPr>
      </w:pPr>
      <w:r>
        <w:rPr>
          <w:rFonts w:hint="eastAsia" w:ascii="宋体" w:hAnsi="宋体" w:eastAsia="宋体" w:cs="宋体"/>
          <w:b w:val="0"/>
          <w:bCs w:val="0"/>
          <w:color w:val="000000"/>
          <w:highlight w:val="none"/>
        </w:rPr>
        <w:t>1.</w:t>
      </w:r>
      <w:r>
        <w:rPr>
          <w:rFonts w:hint="eastAsia" w:ascii="宋体" w:hAnsi="宋体" w:eastAsia="宋体" w:cs="宋体"/>
          <w:b w:val="0"/>
          <w:bCs w:val="0"/>
          <w:color w:val="000000"/>
          <w:highlight w:val="none"/>
          <w:lang w:val="en-US" w:eastAsia="zh-CN"/>
        </w:rPr>
        <w:t>5</w:t>
      </w:r>
      <w:r>
        <w:rPr>
          <w:rFonts w:hint="eastAsia" w:ascii="宋体" w:hAnsi="宋体" w:eastAsia="宋体" w:cs="宋体"/>
          <w:b w:val="0"/>
          <w:bCs w:val="0"/>
          <w:color w:val="000000"/>
          <w:highlight w:val="none"/>
        </w:rPr>
        <w:t>履行地点：</w:t>
      </w:r>
      <w:r>
        <w:rPr>
          <w:rFonts w:ascii="宋体" w:hAnsi="宋体" w:eastAsia="宋体"/>
          <w:b w:val="0"/>
          <w:bCs w:val="0"/>
          <w:sz w:val="24"/>
          <w:highlight w:val="none"/>
        </w:rPr>
        <w:t>中标供应商自有合法经营场地（位于滨海县行政区域内）</w:t>
      </w:r>
    </w:p>
    <w:p w14:paraId="2AE56BED">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b w:val="0"/>
          <w:bCs w:val="0"/>
          <w:sz w:val="24"/>
          <w:highlight w:val="none"/>
          <w:lang w:val="en-US" w:eastAsia="zh-CN"/>
        </w:rPr>
      </w:pPr>
      <w:r>
        <w:rPr>
          <w:rFonts w:hint="eastAsia" w:ascii="宋体" w:hAnsi="宋体" w:eastAsia="宋体"/>
          <w:b w:val="0"/>
          <w:bCs w:val="0"/>
          <w:sz w:val="24"/>
          <w:highlight w:val="none"/>
          <w:lang w:val="en-US" w:eastAsia="zh-CN"/>
        </w:rPr>
        <w:t>1.6人员要求：供应商应配备与接待能力和服务规模相</w:t>
      </w:r>
      <w:r>
        <w:rPr>
          <w:rFonts w:ascii="宋体" w:hAnsi="宋体" w:eastAsia="宋体" w:cs="宋体"/>
          <w:sz w:val="24"/>
          <w:szCs w:val="24"/>
        </w:rPr>
        <w:t>适应</w:t>
      </w:r>
      <w:r>
        <w:rPr>
          <w:rFonts w:hint="eastAsia" w:ascii="宋体" w:hAnsi="宋体" w:eastAsia="宋体"/>
          <w:b w:val="0"/>
          <w:bCs w:val="0"/>
          <w:sz w:val="24"/>
          <w:highlight w:val="none"/>
          <w:lang w:val="en-US" w:eastAsia="zh-CN"/>
        </w:rPr>
        <w:t>的服务人员，包括项目负责人、会议服务人员、接待人员、保洁</w:t>
      </w:r>
      <w:r>
        <w:rPr>
          <w:rFonts w:hint="eastAsia" w:ascii="宋体" w:hAnsi="宋体" w:eastAsia="宋体" w:cs="宋体"/>
          <w:b w:val="0"/>
          <w:bCs w:val="0"/>
          <w:color w:val="000000"/>
          <w:highlight w:val="none"/>
          <w:lang w:eastAsia="zh-CN"/>
        </w:rPr>
        <w:t>、</w:t>
      </w:r>
      <w:r>
        <w:rPr>
          <w:rFonts w:hint="eastAsia" w:ascii="宋体" w:hAnsi="宋体" w:eastAsia="宋体" w:cs="宋体"/>
          <w:b w:val="0"/>
          <w:bCs w:val="0"/>
          <w:color w:val="000000"/>
          <w:highlight w:val="none"/>
          <w:lang w:val="en-US" w:eastAsia="zh-CN"/>
        </w:rPr>
        <w:t>保安</w:t>
      </w:r>
      <w:r>
        <w:rPr>
          <w:rFonts w:hint="eastAsia" w:ascii="宋体" w:hAnsi="宋体" w:eastAsia="宋体"/>
          <w:b w:val="0"/>
          <w:bCs w:val="0"/>
          <w:sz w:val="24"/>
          <w:highlight w:val="none"/>
          <w:lang w:val="en-US" w:eastAsia="zh-CN"/>
        </w:rPr>
        <w:t>、设备运维人员等。</w:t>
      </w:r>
    </w:p>
    <w:p w14:paraId="760EB9B3">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2" w:firstLineChars="200"/>
        <w:jc w:val="both"/>
        <w:textAlignment w:val="auto"/>
        <w:rPr>
          <w:rFonts w:hint="eastAsia" w:ascii="宋体" w:hAnsi="宋体" w:eastAsia="宋体" w:cs="宋体"/>
          <w:highlight w:val="none"/>
        </w:rPr>
      </w:pPr>
      <w:r>
        <w:rPr>
          <w:rFonts w:hint="eastAsia" w:ascii="宋体" w:hAnsi="宋体" w:eastAsia="宋体" w:cs="宋体"/>
          <w:b/>
          <w:color w:val="000000"/>
          <w:highlight w:val="none"/>
        </w:rPr>
        <w:t>二、合同金额</w:t>
      </w:r>
    </w:p>
    <w:p w14:paraId="2CBA82A6">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eastAsia" w:ascii="宋体" w:hAnsi="宋体" w:eastAsia="宋体" w:cs="宋体"/>
          <w:bCs/>
          <w:color w:val="000000"/>
          <w:sz w:val="24"/>
          <w:szCs w:val="24"/>
          <w:highlight w:val="none"/>
          <w:lang w:eastAsia="zh-CN"/>
        </w:rPr>
      </w:pPr>
      <w:r>
        <w:rPr>
          <w:rFonts w:hint="eastAsia" w:asciiTheme="minorEastAsia" w:hAnsiTheme="minorEastAsia" w:eastAsiaTheme="minorEastAsia" w:cstheme="minorEastAsia"/>
          <w:sz w:val="24"/>
          <w:szCs w:val="24"/>
          <w:highlight w:val="none"/>
        </w:rPr>
        <w:t>2.1</w:t>
      </w:r>
      <w:r>
        <w:rPr>
          <w:rFonts w:hint="eastAsia" w:ascii="宋体" w:hAnsi="宋体" w:eastAsia="宋体" w:cs="宋体"/>
          <w:bCs/>
          <w:color w:val="000000"/>
          <w:sz w:val="24"/>
          <w:szCs w:val="24"/>
          <w:highlight w:val="none"/>
        </w:rPr>
        <w:t>本合同金额为（大写）：________</w:t>
      </w:r>
      <w:r>
        <w:rPr>
          <w:rFonts w:hint="eastAsia" w:ascii="宋体" w:hAnsi="宋体" w:eastAsia="宋体" w:cs="宋体"/>
          <w:bCs/>
          <w:color w:val="000000"/>
          <w:sz w:val="24"/>
          <w:szCs w:val="24"/>
          <w:highlight w:val="none"/>
          <w:lang w:val="en-US" w:eastAsia="zh-CN"/>
        </w:rPr>
        <w:t>元</w:t>
      </w:r>
      <w:r>
        <w:rPr>
          <w:rFonts w:hint="eastAsia" w:ascii="宋体" w:hAnsi="宋体" w:eastAsia="宋体" w:cs="宋体"/>
          <w:bCs/>
          <w:color w:val="000000"/>
          <w:sz w:val="24"/>
          <w:szCs w:val="24"/>
          <w:highlight w:val="none"/>
        </w:rPr>
        <w:t>（_______________元）人民币</w:t>
      </w:r>
      <w:r>
        <w:rPr>
          <w:rFonts w:hint="eastAsia" w:ascii="宋体" w:hAnsi="宋体" w:eastAsia="宋体" w:cs="宋体"/>
          <w:bCs/>
          <w:color w:val="000000"/>
          <w:sz w:val="24"/>
          <w:szCs w:val="24"/>
          <w:highlight w:val="none"/>
          <w:lang w:eastAsia="zh-CN"/>
        </w:rPr>
        <w:t>。</w:t>
      </w:r>
    </w:p>
    <w:p w14:paraId="1A096B8C">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2.2本合同价格为固定总价，包含乙方完成本项目全部服务内容所需的一切费用，包括但不限于人员工资、社会保险和公积金、福利费、高温费、体检费、劳保费、行政办公费、会务耗材费、水电费、场地使用费、设备维修维保费用、管理费、合理利润、税费及合同包含的所有风险、责任等各项应有费用。除合同约定外，采购人不再增加任何费用。</w:t>
      </w:r>
    </w:p>
    <w:p w14:paraId="3074818D">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default" w:eastAsia="宋体" w:asciiTheme="minorEastAsia" w:hAnsiTheme="minorEastAsia" w:cstheme="minorEastAsia"/>
          <w:sz w:val="24"/>
          <w:szCs w:val="24"/>
          <w:highlight w:val="none"/>
          <w:lang w:val="en-US" w:eastAsia="zh-CN"/>
        </w:rPr>
      </w:pPr>
      <w:r>
        <w:rPr>
          <w:rFonts w:hint="eastAsia" w:ascii="宋体" w:hAnsi="宋体" w:eastAsia="宋体" w:cs="宋体"/>
          <w:b/>
          <w:color w:val="000000"/>
          <w:sz w:val="24"/>
          <w:szCs w:val="24"/>
          <w:highlight w:val="none"/>
        </w:rPr>
        <w:t>三、</w:t>
      </w:r>
      <w:r>
        <w:rPr>
          <w:rFonts w:hint="eastAsia" w:hAnsi="宋体" w:cs="宋体"/>
          <w:b/>
          <w:color w:val="000000"/>
          <w:sz w:val="24"/>
          <w:szCs w:val="24"/>
          <w:highlight w:val="none"/>
          <w:lang w:val="en-US" w:eastAsia="zh-CN"/>
        </w:rPr>
        <w:t>付款与结算</w:t>
      </w:r>
    </w:p>
    <w:p w14:paraId="3897BAB0">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ascii="宋体" w:hAnsi="宋体" w:eastAsia="宋体" w:cs="Times New Roman"/>
          <w:sz w:val="24"/>
          <w:szCs w:val="22"/>
          <w:highlight w:val="none"/>
          <w:lang w:eastAsia="en-US"/>
        </w:rPr>
      </w:pPr>
      <w:r>
        <w:rPr>
          <w:rFonts w:ascii="宋体" w:hAnsi="宋体" w:eastAsia="宋体" w:cs="Times New Roman"/>
          <w:b w:val="0"/>
          <w:sz w:val="24"/>
          <w:szCs w:val="22"/>
          <w:highlight w:val="none"/>
          <w:lang w:eastAsia="en-US"/>
        </w:rPr>
        <w:t>3.1本合同签订后7日内，甲方向乙方支付合同总价30%作为预付款；乙方须在甲方付款前提供等额、有效期12个月、国有商业银行出具的无条件即</w:t>
      </w:r>
      <w:r>
        <w:rPr>
          <w:rFonts w:hint="eastAsia" w:ascii="宋体" w:hAnsi="宋体" w:eastAsia="宋体" w:cs="Times New Roman"/>
          <w:b w:val="0"/>
          <w:sz w:val="24"/>
          <w:szCs w:val="22"/>
          <w:highlight w:val="none"/>
          <w:lang w:val="en-US" w:eastAsia="zh-CN"/>
        </w:rPr>
        <w:t>付</w:t>
      </w:r>
      <w:r>
        <w:rPr>
          <w:rFonts w:ascii="宋体" w:hAnsi="宋体" w:eastAsia="宋体" w:cs="Times New Roman"/>
          <w:b w:val="0"/>
          <w:sz w:val="24"/>
          <w:szCs w:val="22"/>
          <w:highlight w:val="none"/>
          <w:lang w:eastAsia="en-US"/>
        </w:rPr>
        <w:t>即兑预付款银行保函，否则视为乙方自愿放弃预付款。</w:t>
      </w:r>
    </w:p>
    <w:p w14:paraId="7A948CB6">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ascii="宋体" w:hAnsi="宋体" w:eastAsia="宋体" w:cs="Times New Roman"/>
          <w:sz w:val="24"/>
          <w:szCs w:val="22"/>
          <w:highlight w:val="none"/>
          <w:lang w:eastAsia="en-US"/>
        </w:rPr>
      </w:pPr>
      <w:r>
        <w:rPr>
          <w:rFonts w:ascii="宋体" w:hAnsi="宋体" w:eastAsia="宋体" w:cs="Times New Roman"/>
          <w:b w:val="0"/>
          <w:sz w:val="24"/>
          <w:szCs w:val="22"/>
          <w:highlight w:val="none"/>
          <w:lang w:eastAsia="en-US"/>
        </w:rPr>
        <w:t>3.2剩余款项按</w:t>
      </w:r>
      <w:r>
        <w:rPr>
          <w:rFonts w:hint="eastAsia" w:ascii="宋体" w:hAnsi="宋体" w:eastAsia="宋体" w:cs="Times New Roman"/>
          <w:b w:val="0"/>
          <w:sz w:val="24"/>
          <w:szCs w:val="22"/>
          <w:highlight w:val="none"/>
          <w:lang w:eastAsia="zh-CN"/>
        </w:rPr>
        <w:t>季度</w:t>
      </w:r>
      <w:r>
        <w:rPr>
          <w:rFonts w:ascii="宋体" w:hAnsi="宋体" w:eastAsia="宋体" w:cs="Times New Roman"/>
          <w:b w:val="0"/>
          <w:sz w:val="24"/>
          <w:szCs w:val="22"/>
          <w:highlight w:val="none"/>
          <w:lang w:eastAsia="en-US"/>
        </w:rPr>
        <w:t>支付：每</w:t>
      </w:r>
      <w:r>
        <w:rPr>
          <w:rFonts w:hint="eastAsia" w:ascii="宋体" w:hAnsi="宋体" w:eastAsia="宋体" w:cs="Times New Roman"/>
          <w:b w:val="0"/>
          <w:sz w:val="24"/>
          <w:szCs w:val="22"/>
          <w:highlight w:val="none"/>
          <w:lang w:eastAsia="zh-CN"/>
        </w:rPr>
        <w:t>季度</w:t>
      </w:r>
      <w:r>
        <w:rPr>
          <w:rFonts w:ascii="宋体" w:hAnsi="宋体" w:eastAsia="宋体" w:cs="Times New Roman"/>
          <w:b w:val="0"/>
          <w:sz w:val="24"/>
          <w:szCs w:val="22"/>
          <w:highlight w:val="none"/>
          <w:lang w:eastAsia="en-US"/>
        </w:rPr>
        <w:t>初由乙方提出付款申请并提供有效票据，甲方根据月</w:t>
      </w:r>
      <w:r>
        <w:rPr>
          <w:rFonts w:hint="eastAsia" w:ascii="宋体" w:hAnsi="宋体" w:eastAsia="宋体" w:cs="Times New Roman"/>
          <w:b w:val="0"/>
          <w:sz w:val="24"/>
          <w:szCs w:val="22"/>
          <w:highlight w:val="none"/>
          <w:lang w:eastAsia="zh-CN"/>
        </w:rPr>
        <w:t>度</w:t>
      </w:r>
      <w:r>
        <w:rPr>
          <w:rFonts w:ascii="宋体" w:hAnsi="宋体" w:eastAsia="宋体" w:cs="Times New Roman"/>
          <w:b w:val="0"/>
          <w:sz w:val="24"/>
          <w:szCs w:val="22"/>
          <w:highlight w:val="none"/>
          <w:lang w:eastAsia="en-US"/>
        </w:rPr>
        <w:t>考核情况确认应付服务费用，乙方开具相应数额的增值税发票后，甲方在15个工作日内支付。</w:t>
      </w:r>
    </w:p>
    <w:p w14:paraId="09E8BA9B">
      <w:pPr>
        <w:keepNext w:val="0"/>
        <w:keepLines w:val="0"/>
        <w:pageBreakBefore w:val="0"/>
        <w:widowControl/>
        <w:kinsoku/>
        <w:wordWrap/>
        <w:overflowPunct/>
        <w:topLinePunct w:val="0"/>
        <w:autoSpaceDE/>
        <w:autoSpaceDN/>
        <w:bidi w:val="0"/>
        <w:adjustRightInd/>
        <w:snapToGrid/>
        <w:spacing w:line="500" w:lineRule="exact"/>
        <w:ind w:firstLine="480"/>
        <w:jc w:val="left"/>
        <w:textAlignment w:val="auto"/>
        <w:rPr>
          <w:rFonts w:ascii="宋体" w:hAnsi="宋体" w:eastAsia="宋体" w:cs="Times New Roman"/>
          <w:sz w:val="24"/>
          <w:szCs w:val="22"/>
          <w:highlight w:val="none"/>
          <w:lang w:eastAsia="en-US"/>
        </w:rPr>
      </w:pPr>
      <w:r>
        <w:rPr>
          <w:rFonts w:ascii="宋体" w:hAnsi="宋体" w:eastAsia="宋体" w:cs="Times New Roman"/>
          <w:b w:val="0"/>
          <w:sz w:val="24"/>
          <w:szCs w:val="22"/>
          <w:highlight w:val="none"/>
          <w:lang w:eastAsia="en-US"/>
        </w:rPr>
        <w:t>3.3试用期2个月内，甲方根据乙方履约情况决定是否继续履行合同。试用期内如乙方服务质量达不到合同约定要求，甲方有权单方解除合同，乙方已实际提供服务的费用按实际考核结果结算。</w:t>
      </w:r>
    </w:p>
    <w:p w14:paraId="21FB240F">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四、履约保证金</w:t>
      </w:r>
    </w:p>
    <w:p w14:paraId="410FD1CF">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000000"/>
          <w:kern w:val="2"/>
          <w:sz w:val="24"/>
          <w:szCs w:val="24"/>
          <w:highlight w:val="none"/>
          <w:lang w:val="en-US" w:eastAsia="zh-CN" w:bidi="ar-SA"/>
        </w:rPr>
        <w:t>4.1</w:t>
      </w:r>
      <w:r>
        <w:rPr>
          <w:rFonts w:hint="eastAsia" w:ascii="宋体" w:hAnsi="宋体" w:eastAsia="宋体" w:cs="宋体"/>
          <w:color w:val="auto"/>
          <w:sz w:val="24"/>
          <w:szCs w:val="24"/>
          <w:highlight w:val="none"/>
        </w:rPr>
        <w:t>乙方交纳人民币_________元作为本合同的履约保证金。（</w:t>
      </w:r>
      <w:r>
        <w:rPr>
          <w:rFonts w:hint="eastAsia" w:ascii="宋体" w:hAnsi="宋体" w:eastAsia="宋体" w:cs="宋体"/>
          <w:color w:val="auto"/>
          <w:sz w:val="24"/>
          <w:szCs w:val="24"/>
          <w:highlight w:val="none"/>
          <w:u w:val="single"/>
        </w:rPr>
        <w:t>签订合同前乙方须向甲方缴纳履约保证金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（备注：履约保证金金额为合同金额的</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2AF34E04">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4.2确需收取履约保证金的，履约保证金的缴纳形式：</w:t>
      </w:r>
    </w:p>
    <w:p w14:paraId="01C7498F">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5808202">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4.2.2 如以履约保函（保险）形式缴纳履约保证金，供应商可通过政府采购电子履约保函（保险）平台（www.jsdzbh.com）在线申请履约保函（保险）。</w:t>
      </w:r>
    </w:p>
    <w:p w14:paraId="55376E60">
      <w:pPr>
        <w:keepNext w:val="0"/>
        <w:keepLines w:val="0"/>
        <w:pageBreakBefore w:val="0"/>
        <w:widowControl w:val="0"/>
        <w:kinsoku/>
        <w:wordWrap/>
        <w:overflowPunct/>
        <w:topLinePunct w:val="0"/>
        <w:autoSpaceDE/>
        <w:autoSpaceDN/>
        <w:bidi w:val="0"/>
        <w:adjustRightInd/>
        <w:snapToGrid/>
        <w:spacing w:beforeAutospacing="0" w:afterAutospacing="0" w:line="460" w:lineRule="exact"/>
        <w:ind w:left="0" w:firstLine="480"/>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4.3合同履行结束后，甲方应及时退还交纳的履约保证金。</w:t>
      </w:r>
    </w:p>
    <w:p w14:paraId="089120B3">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履约保证金的退还：</w:t>
      </w:r>
    </w:p>
    <w:p w14:paraId="33D9CDCE">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.1方式：无息退还至</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缴纳履约保证金的账户。如为保函，在到期时自行失效。</w:t>
      </w:r>
    </w:p>
    <w:p w14:paraId="78E758CE">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.2时间：验收合格且采购人收到发票后30日内。</w:t>
      </w:r>
    </w:p>
    <w:p w14:paraId="1196448D">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.3条件：按合同要求全部履约完成并经采购人验收合格，且采购人收到中标人出具的发票。</w:t>
      </w:r>
    </w:p>
    <w:p w14:paraId="0D5E5BAB">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.4不予退还情形：</w:t>
      </w:r>
    </w:p>
    <w:p w14:paraId="20195EAC">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除不可抗力情况外，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出现下列情形之一的，其履约保证金，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将视情节决定不予退还或部分不予退还。</w:t>
      </w:r>
    </w:p>
    <w:p w14:paraId="4353CE79">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（1）中标人无正当理由拒绝签订合同的，或者在签订合同时向采购人提出附加条件或者更改合同实质性内容要求的；</w:t>
      </w:r>
    </w:p>
    <w:p w14:paraId="64EE2CDF">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（2）中标人不履行与采购人订立的合同的；</w:t>
      </w:r>
    </w:p>
    <w:p w14:paraId="79BEECB5">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（3）中标人所供货物或服务不符合招标文件规定要求的；</w:t>
      </w:r>
    </w:p>
    <w:p w14:paraId="2D25AD36">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（4）中标人采取欺骗、弄虚作假方式投标的或与</w:t>
      </w:r>
      <w:r>
        <w:rPr>
          <w:rFonts w:hint="eastAsia" w:ascii="宋体" w:hAnsi="宋体" w:eastAsia="宋体" w:cs="宋体"/>
          <w:color w:val="auto"/>
          <w:sz w:val="24"/>
          <w:szCs w:val="24"/>
          <w:highlight w:val="none"/>
          <w:lang w:eastAsia="zh-CN"/>
        </w:rPr>
        <w:t>其他供应商</w:t>
      </w:r>
      <w:r>
        <w:rPr>
          <w:rFonts w:hint="eastAsia" w:ascii="宋体" w:hAnsi="宋体" w:eastAsia="宋体" w:cs="宋体"/>
          <w:color w:val="auto"/>
          <w:sz w:val="24"/>
          <w:szCs w:val="24"/>
          <w:highlight w:val="none"/>
        </w:rPr>
        <w:t>串通投标的；</w:t>
      </w:r>
    </w:p>
    <w:p w14:paraId="7646C3E1">
      <w:pPr>
        <w:keepNext w:val="0"/>
        <w:keepLines w:val="0"/>
        <w:pageBreakBefore w:val="0"/>
        <w:widowControl w:val="0"/>
        <w:kinsoku/>
        <w:wordWrap/>
        <w:overflowPunct/>
        <w:topLinePunct w:val="0"/>
        <w:autoSpaceDE/>
        <w:autoSpaceDN/>
        <w:bidi w:val="0"/>
        <w:adjustRightInd/>
        <w:snapToGrid/>
        <w:spacing w:line="460" w:lineRule="exact"/>
        <w:ind w:lef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（5）中标人将合同内容转包、违法分包的；</w:t>
      </w:r>
    </w:p>
    <w:p w14:paraId="766A0421">
      <w:pPr>
        <w:keepNext w:val="0"/>
        <w:keepLines w:val="0"/>
        <w:pageBreakBefore w:val="0"/>
        <w:widowControl w:val="0"/>
        <w:tabs>
          <w:tab w:val="left" w:pos="900"/>
        </w:tabs>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highlight w:val="none"/>
          <w:lang w:val="zh-CN"/>
        </w:rPr>
      </w:pPr>
      <w:r>
        <w:rPr>
          <w:rFonts w:hint="eastAsia" w:ascii="宋体" w:hAnsi="宋体" w:eastAsia="宋体" w:cs="宋体"/>
          <w:color w:val="auto"/>
          <w:sz w:val="24"/>
          <w:szCs w:val="24"/>
          <w:highlight w:val="none"/>
        </w:rPr>
        <w:t>（6）中标人故意捏造事实或伪造证明材料，进行虚假恶意投诉或反映的</w:t>
      </w:r>
      <w:r>
        <w:rPr>
          <w:rFonts w:hint="eastAsia" w:ascii="宋体" w:hAnsi="宋体" w:eastAsia="宋体" w:cs="宋体"/>
          <w:color w:val="000000"/>
          <w:kern w:val="2"/>
          <w:sz w:val="24"/>
          <w:szCs w:val="24"/>
          <w:highlight w:val="none"/>
          <w:lang w:val="en-US" w:eastAsia="zh-CN" w:bidi="ar-SA"/>
        </w:rPr>
        <w:t>。</w:t>
      </w:r>
    </w:p>
    <w:p w14:paraId="684EFA02">
      <w:pPr>
        <w:pStyle w:val="206"/>
        <w:keepNext w:val="0"/>
        <w:keepLines w:val="0"/>
        <w:pageBreakBefore w:val="0"/>
        <w:widowControl w:val="0"/>
        <w:kinsoku/>
        <w:wordWrap/>
        <w:overflowPunct/>
        <w:topLinePunct w:val="0"/>
        <w:autoSpaceDE/>
        <w:autoSpaceDN/>
        <w:bidi w:val="0"/>
        <w:adjustRightInd/>
        <w:snapToGrid/>
        <w:spacing w:beforeAutospacing="0" w:afterAutospacing="0" w:line="500" w:lineRule="exact"/>
        <w:ind w:left="426" w:leftChars="203" w:firstLine="12" w:firstLineChars="5"/>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五、双方的权利和义务</w:t>
      </w:r>
    </w:p>
    <w:p w14:paraId="6EFE7E8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5.1甲</w:t>
      </w:r>
      <w:r>
        <w:rPr>
          <w:rFonts w:hint="default" w:asciiTheme="minorEastAsia" w:hAnsiTheme="minorEastAsia" w:eastAsiaTheme="minorEastAsia" w:cstheme="minorEastAsia"/>
          <w:sz w:val="24"/>
          <w:szCs w:val="24"/>
          <w:highlight w:val="none"/>
          <w:lang w:val="en-US" w:eastAsia="zh-CN"/>
        </w:rPr>
        <w:t>方的权利和义务</w:t>
      </w:r>
    </w:p>
    <w:p w14:paraId="41BAE78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5.1.1</w:t>
      </w:r>
      <w:r>
        <w:rPr>
          <w:rFonts w:ascii="宋体" w:hAnsi="宋体" w:eastAsia="宋体"/>
          <w:b w:val="0"/>
          <w:sz w:val="24"/>
          <w:highlight w:val="none"/>
        </w:rPr>
        <w:t>甲方有权对乙方的服务质量进行监督、检查和考核，对不符合合同约定的服务有权要求乙方限期整改</w:t>
      </w:r>
      <w:r>
        <w:rPr>
          <w:rFonts w:hint="default" w:asciiTheme="minorEastAsia" w:hAnsiTheme="minorEastAsia" w:eastAsiaTheme="minorEastAsia" w:cstheme="minorEastAsia"/>
          <w:sz w:val="24"/>
          <w:szCs w:val="24"/>
          <w:highlight w:val="none"/>
          <w:lang w:val="en-US" w:eastAsia="zh-CN"/>
        </w:rPr>
        <w:t>。</w:t>
      </w:r>
    </w:p>
    <w:p w14:paraId="433356A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5.1.2</w:t>
      </w:r>
      <w:r>
        <w:rPr>
          <w:rFonts w:ascii="宋体" w:hAnsi="宋体" w:eastAsia="宋体"/>
          <w:b w:val="0"/>
          <w:sz w:val="24"/>
          <w:highlight w:val="none"/>
        </w:rPr>
        <w:t>甲方有权要求乙方更换不称职的工作人员，乙方应在接到通知后3日内予以更换</w:t>
      </w:r>
      <w:r>
        <w:rPr>
          <w:rFonts w:hint="default" w:asciiTheme="minorEastAsia" w:hAnsiTheme="minorEastAsia" w:eastAsiaTheme="minorEastAsia" w:cstheme="minorEastAsia"/>
          <w:sz w:val="24"/>
          <w:szCs w:val="24"/>
          <w:highlight w:val="none"/>
          <w:lang w:val="en-US" w:eastAsia="zh-CN"/>
        </w:rPr>
        <w:t>。</w:t>
      </w:r>
    </w:p>
    <w:p w14:paraId="4EF842F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5.1.3</w:t>
      </w:r>
      <w:r>
        <w:rPr>
          <w:rFonts w:hint="default" w:asciiTheme="minorEastAsia" w:hAnsiTheme="minorEastAsia" w:eastAsiaTheme="minorEastAsia" w:cstheme="minorEastAsia"/>
          <w:sz w:val="24"/>
          <w:szCs w:val="24"/>
          <w:highlight w:val="none"/>
          <w:lang w:val="en-US" w:eastAsia="zh-CN"/>
        </w:rPr>
        <w:t>甲方应按合同约定及时支付服务费用。</w:t>
      </w:r>
    </w:p>
    <w:p w14:paraId="0F1085B8">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5.1.4</w:t>
      </w:r>
      <w:r>
        <w:rPr>
          <w:rFonts w:hint="default" w:asciiTheme="minorEastAsia" w:hAnsiTheme="minorEastAsia" w:eastAsiaTheme="minorEastAsia" w:cstheme="minorEastAsia"/>
          <w:sz w:val="24"/>
          <w:szCs w:val="24"/>
          <w:highlight w:val="none"/>
          <w:lang w:val="en-US" w:eastAsia="zh-CN"/>
        </w:rPr>
        <w:t>甲方应及时向乙方通报会议安排及相关工作要求。</w:t>
      </w:r>
    </w:p>
    <w:p w14:paraId="27BF826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w:t>
      </w:r>
      <w:r>
        <w:rPr>
          <w:rFonts w:hint="default" w:asciiTheme="minorEastAsia" w:hAnsiTheme="minorEastAsia" w:eastAsiaTheme="minorEastAsia" w:cstheme="minorEastAsia"/>
          <w:sz w:val="24"/>
          <w:szCs w:val="24"/>
          <w:highlight w:val="none"/>
          <w:lang w:val="en-US" w:eastAsia="zh-CN"/>
        </w:rPr>
        <w:t>乙方的权利和义务</w:t>
      </w:r>
    </w:p>
    <w:p w14:paraId="1251EA9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5.2.1</w:t>
      </w:r>
      <w:r>
        <w:rPr>
          <w:rFonts w:ascii="宋体" w:hAnsi="宋体" w:eastAsia="宋体"/>
          <w:b w:val="0"/>
          <w:sz w:val="24"/>
          <w:highlight w:val="none"/>
        </w:rPr>
        <w:t>乙方应严格按照招标文件、投标文件及本合同约定提供会议及配套服务，确保服务质量</w:t>
      </w:r>
      <w:r>
        <w:rPr>
          <w:rFonts w:hint="default" w:asciiTheme="minorEastAsia" w:hAnsiTheme="minorEastAsia" w:eastAsiaTheme="minorEastAsia" w:cstheme="minorEastAsia"/>
          <w:sz w:val="24"/>
          <w:szCs w:val="24"/>
          <w:highlight w:val="none"/>
          <w:lang w:val="en-US" w:eastAsia="zh-CN"/>
        </w:rPr>
        <w:t>。</w:t>
      </w:r>
    </w:p>
    <w:p w14:paraId="53A3F7F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5.2.2</w:t>
      </w:r>
      <w:r>
        <w:rPr>
          <w:rFonts w:ascii="宋体" w:hAnsi="宋体" w:eastAsia="宋体"/>
          <w:b w:val="0"/>
          <w:sz w:val="24"/>
          <w:highlight w:val="none"/>
        </w:rPr>
        <w:t>乙方应加强对服务人员的管理和培训，确保服务人员政治可靠、品行端正、无违法犯罪记录、无传染病及不适合从事公共服务的疾病</w:t>
      </w:r>
      <w:r>
        <w:rPr>
          <w:rFonts w:hint="default" w:asciiTheme="minorEastAsia" w:hAnsiTheme="minorEastAsia" w:eastAsiaTheme="minorEastAsia" w:cstheme="minorEastAsia"/>
          <w:sz w:val="24"/>
          <w:szCs w:val="24"/>
          <w:highlight w:val="none"/>
          <w:lang w:val="en-US" w:eastAsia="zh-CN"/>
        </w:rPr>
        <w:t>。</w:t>
      </w:r>
    </w:p>
    <w:p w14:paraId="2EF90CFD">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5.2.3</w:t>
      </w:r>
      <w:r>
        <w:rPr>
          <w:rFonts w:ascii="宋体" w:hAnsi="宋体" w:eastAsia="宋体"/>
          <w:b w:val="0"/>
          <w:sz w:val="24"/>
          <w:highlight w:val="none"/>
        </w:rPr>
        <w:t>乙方服务人员应严格遵守国家法律法规和行业规范，为参会人员提供优质、高效、规范的服务</w:t>
      </w:r>
      <w:r>
        <w:rPr>
          <w:rFonts w:hint="default" w:asciiTheme="minorEastAsia" w:hAnsiTheme="minorEastAsia" w:eastAsiaTheme="minorEastAsia" w:cstheme="minorEastAsia"/>
          <w:sz w:val="24"/>
          <w:szCs w:val="24"/>
          <w:highlight w:val="none"/>
          <w:lang w:val="en-US" w:eastAsia="zh-CN"/>
        </w:rPr>
        <w:t>。</w:t>
      </w:r>
    </w:p>
    <w:p w14:paraId="4E075C9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5.2.4</w:t>
      </w:r>
      <w:r>
        <w:rPr>
          <w:rFonts w:ascii="宋体" w:hAnsi="宋体" w:eastAsia="宋体"/>
          <w:b w:val="0"/>
          <w:sz w:val="24"/>
          <w:highlight w:val="none"/>
        </w:rPr>
        <w:t>乙方应负责服务人员的劳动保护、安全生产及职业健康，如发生工伤、意外等事故，由乙方承担全部责任和费用</w:t>
      </w:r>
      <w:r>
        <w:rPr>
          <w:rFonts w:hint="default" w:asciiTheme="minorEastAsia" w:hAnsiTheme="minorEastAsia" w:eastAsiaTheme="minorEastAsia" w:cstheme="minorEastAsia"/>
          <w:sz w:val="24"/>
          <w:szCs w:val="24"/>
          <w:highlight w:val="none"/>
          <w:lang w:val="en-US" w:eastAsia="zh-CN"/>
        </w:rPr>
        <w:t>。</w:t>
      </w:r>
    </w:p>
    <w:p w14:paraId="2951637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5.2.5</w:t>
      </w:r>
      <w:r>
        <w:rPr>
          <w:rFonts w:ascii="宋体" w:hAnsi="宋体" w:eastAsia="宋体"/>
          <w:b w:val="0"/>
          <w:sz w:val="24"/>
          <w:highlight w:val="none"/>
        </w:rPr>
        <w:t>乙方不得将合同项下的服务转包或违法分包给第三方</w:t>
      </w:r>
      <w:r>
        <w:rPr>
          <w:rFonts w:hint="default" w:asciiTheme="minorEastAsia" w:hAnsiTheme="minorEastAsia" w:eastAsiaTheme="minorEastAsia" w:cstheme="minorEastAsia"/>
          <w:sz w:val="24"/>
          <w:szCs w:val="24"/>
          <w:highlight w:val="none"/>
          <w:lang w:val="en-US" w:eastAsia="zh-CN"/>
        </w:rPr>
        <w:t>。</w:t>
      </w:r>
    </w:p>
    <w:p w14:paraId="1FDD784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5.2.6</w:t>
      </w:r>
      <w:r>
        <w:rPr>
          <w:rFonts w:ascii="宋体" w:hAnsi="宋体" w:eastAsia="宋体"/>
          <w:b w:val="0"/>
          <w:sz w:val="24"/>
          <w:highlight w:val="none"/>
        </w:rPr>
        <w:t>乙方应建立健全内部管理制度，包括但不限于岗位责任制、服务规范、培训制度、考核制度、应急预案等</w:t>
      </w:r>
      <w:r>
        <w:rPr>
          <w:rFonts w:hint="default" w:asciiTheme="minorEastAsia" w:hAnsiTheme="minorEastAsia" w:eastAsiaTheme="minorEastAsia" w:cstheme="minorEastAsia"/>
          <w:sz w:val="24"/>
          <w:szCs w:val="24"/>
          <w:highlight w:val="none"/>
          <w:lang w:val="en-US" w:eastAsia="zh-CN"/>
        </w:rPr>
        <w:t>。</w:t>
      </w:r>
    </w:p>
    <w:p w14:paraId="2DFCC26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5.2.7</w:t>
      </w:r>
      <w:r>
        <w:rPr>
          <w:rFonts w:ascii="宋体" w:hAnsi="宋体" w:eastAsia="宋体"/>
          <w:b w:val="0"/>
          <w:sz w:val="24"/>
          <w:highlight w:val="none"/>
        </w:rPr>
        <w:t>合同期满或合同解除后，乙方应配合甲方做好后续衔接工作，妥善处理未完结的会议服务事项</w:t>
      </w:r>
      <w:r>
        <w:rPr>
          <w:rFonts w:hint="default" w:asciiTheme="minorEastAsia" w:hAnsiTheme="minorEastAsia" w:eastAsiaTheme="minorEastAsia" w:cstheme="minorEastAsia"/>
          <w:sz w:val="24"/>
          <w:szCs w:val="24"/>
          <w:highlight w:val="none"/>
          <w:lang w:val="en-US" w:eastAsia="zh-CN"/>
        </w:rPr>
        <w:t>。</w:t>
      </w:r>
    </w:p>
    <w:p w14:paraId="4E707414">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highlight w:val="none"/>
        </w:rPr>
      </w:pPr>
      <w:r>
        <w:rPr>
          <w:rFonts w:hint="eastAsia" w:ascii="宋体" w:hAnsi="宋体" w:eastAsia="宋体" w:cs="宋体"/>
          <w:b/>
          <w:color w:val="000000"/>
          <w:sz w:val="24"/>
          <w:szCs w:val="24"/>
          <w:highlight w:val="none"/>
          <w:lang w:val="en-US" w:eastAsia="zh-CN" w:bidi="ar-SA"/>
        </w:rPr>
        <w:t>六、服务质量与考核：</w:t>
      </w:r>
    </w:p>
    <w:p w14:paraId="6EB93F4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6.1甲方按照招标文件第四章规定的考核内容及标准对乙方服务质量进行定期考核，考核结果与服务费用支付挂钩。</w:t>
      </w:r>
    </w:p>
    <w:p w14:paraId="66E27CF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6.2考核分为月度考核和年度考核。月度考核得分低于80分的，甲方有权扣除当月服务费用2万元；连续两个月考核低于80分的，甲方有权单方解除合同。</w:t>
      </w:r>
    </w:p>
    <w:p w14:paraId="7CE45F8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6.3因乙方服务质量问题导致甲方受到上级通报批评或造成不良社会影响的，甲方有权扣除当期服务费用3万元，情节严重的有权单方解除合同。</w:t>
      </w:r>
    </w:p>
    <w:p w14:paraId="23F7747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6.4乙方对考核结果有异议的，可在收到考核结果后3个工作日内向甲方书面提出，甲方应在5个工作日内予以答复。</w:t>
      </w:r>
    </w:p>
    <w:p w14:paraId="18F409C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七、违约责任：</w:t>
      </w:r>
    </w:p>
    <w:p w14:paraId="1F6C7A99">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7.1甲方无正当理由终止乙方开展服务的，按未履行相应价款百分之五承担违约金；甲方无正当理由逾期付款的，按逾期付款总额每日万分之四承担违约金。</w:t>
      </w:r>
    </w:p>
    <w:p w14:paraId="3BE6D20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7.2由于乙方原因导致本合同不能履行或不能继续履行的，乙方按未履行相应价款百分之五承担违约金，如违约金不能弥补甲方经济损失，对于不足部分乙方承担赔偿责任。</w:t>
      </w:r>
    </w:p>
    <w:p w14:paraId="450B2566">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7.3</w:t>
      </w:r>
      <w:r>
        <w:rPr>
          <w:rFonts w:ascii="宋体" w:hAnsi="宋体" w:eastAsia="宋体" w:cs="宋体"/>
          <w:sz w:val="24"/>
          <w:szCs w:val="24"/>
          <w:highlight w:val="none"/>
        </w:rPr>
        <w:t>乙方应当按照投标文件中承诺并经甲方确认的项目服务人员配置方案足额配备驻场服务人员，保障会务服务正常开展。乙方未按约定足额配备服务人员、人员擅自离岗导致人员不到位的，每缺岗1人每日按500元向甲方支付违约金；逾期人员不到位情形持续超过7日的，甲方有权单方解除合同。未经甲方书面同意，乙方不得擅自调换驻场关键岗位人员</w:t>
      </w:r>
      <w:r>
        <w:rPr>
          <w:rFonts w:hint="eastAsia" w:asciiTheme="minorEastAsia" w:hAnsiTheme="minorEastAsia" w:cstheme="minorEastAsia"/>
          <w:sz w:val="24"/>
          <w:szCs w:val="24"/>
          <w:highlight w:val="none"/>
          <w:lang w:val="en-US" w:eastAsia="zh-CN"/>
        </w:rPr>
        <w:t>。</w:t>
      </w:r>
    </w:p>
    <w:p w14:paraId="3324203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7.4乙方服务人员出现违法违纪行为，给甲方造成损失或不良影响的，乙方应承担相应赔偿责任，并立即更换相关人员。</w:t>
      </w:r>
    </w:p>
    <w:p w14:paraId="68656A9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7.5任何一方因不可抗力不能履行合同的，应及时通知对方，并在合理期限内提供证明，根据不可抗力的影响，部分或全部免除责任。</w:t>
      </w:r>
    </w:p>
    <w:p w14:paraId="479D1FAB">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八、争议处理</w:t>
      </w:r>
    </w:p>
    <w:p w14:paraId="37327733">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.1本合同在履行过程中如发生争议，双方协商解决，如协议不成，任何一方均可向滨海县人民法院提起诉讼。</w:t>
      </w:r>
    </w:p>
    <w:p w14:paraId="78F238D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 xml:space="preserve">.2如争议系一方违约造成的，另一方为主张权利所支出的包括律师代理费在内的一切经济损失均由违约一方承担。 </w:t>
      </w:r>
    </w:p>
    <w:p w14:paraId="259D9E45">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Theme="minorEastAsia" w:hAnsiTheme="minorEastAsia" w:eastAsiaTheme="minorEastAsia" w:cstheme="minorEastAsia"/>
          <w:sz w:val="24"/>
          <w:szCs w:val="24"/>
          <w:highlight w:val="none"/>
        </w:rPr>
      </w:pPr>
      <w:r>
        <w:rPr>
          <w:rFonts w:hint="eastAsia" w:ascii="宋体" w:hAnsi="宋体" w:eastAsia="宋体" w:cs="宋体"/>
          <w:b/>
          <w:color w:val="000000"/>
          <w:sz w:val="24"/>
          <w:szCs w:val="24"/>
          <w:highlight w:val="none"/>
          <w:lang w:val="en-US" w:eastAsia="zh-CN" w:bidi="ar-SA"/>
        </w:rPr>
        <w:t>九、合同生效及其它</w:t>
      </w:r>
    </w:p>
    <w:p w14:paraId="6F4E3B1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9.1合同经双方法定代表人或授权委托代表人签字并加盖单位公章后生效。</w:t>
      </w:r>
    </w:p>
    <w:p w14:paraId="3948D3F1">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9.2本合同未尽事宜，遵照《中华人民共和国民法典》有关条文执行。</w:t>
      </w:r>
    </w:p>
    <w:p w14:paraId="13E8E53F">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9.3本项目招标文件、乙方投标文件及招标过程中有关澄清、承诺文件均系本合同组成部分，与本合同具有同等法律效力。</w:t>
      </w:r>
    </w:p>
    <w:p w14:paraId="12D2316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9.4除非得到甲方的书面同意，乙方不得将全部或部分服务分包给他人。乙方擅自转包或分包的，甲方有权单方拒付服务费，并终止合同履行。</w:t>
      </w:r>
    </w:p>
    <w:p w14:paraId="18171617">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highlight w:val="none"/>
          <w:lang w:val="en-US" w:eastAsia="zh-CN"/>
        </w:rPr>
        <w:t>9.5本合同正本一式肆份，具有同等法律效力，甲方、乙方各执贰份。</w:t>
      </w:r>
    </w:p>
    <w:p w14:paraId="279DB503">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6D1E3A12">
      <w:pPr>
        <w:pStyle w:val="32"/>
        <w:spacing w:beforeAutospacing="0" w:afterAutospacing="0" w:line="360" w:lineRule="auto"/>
        <w:ind w:firstLine="480"/>
        <w:jc w:val="both"/>
        <w:rPr>
          <w:rFonts w:hint="eastAsia" w:ascii="宋体" w:hAnsi="宋体" w:eastAsia="宋体" w:cs="宋体"/>
          <w:color w:val="000000"/>
        </w:rPr>
      </w:pPr>
    </w:p>
    <w:p w14:paraId="469C5CCA">
      <w:pPr>
        <w:pStyle w:val="32"/>
        <w:spacing w:beforeAutospacing="0" w:afterAutospacing="0" w:line="360" w:lineRule="auto"/>
        <w:ind w:firstLine="480"/>
        <w:jc w:val="both"/>
        <w:rPr>
          <w:rFonts w:hint="eastAsia" w:ascii="宋体" w:hAnsi="宋体" w:eastAsia="宋体" w:cs="宋体"/>
          <w:color w:val="000000"/>
        </w:rPr>
      </w:pPr>
    </w:p>
    <w:p w14:paraId="3425354A">
      <w:pPr>
        <w:pStyle w:val="32"/>
        <w:spacing w:beforeAutospacing="0" w:afterAutospacing="0" w:line="360" w:lineRule="auto"/>
        <w:ind w:firstLine="720" w:firstLineChars="300"/>
        <w:jc w:val="both"/>
        <w:rPr>
          <w:rFonts w:hint="eastAsia" w:ascii="宋体" w:hAnsi="宋体" w:eastAsia="宋体" w:cs="宋体"/>
          <w:color w:val="000000"/>
        </w:rPr>
      </w:pPr>
      <w:r>
        <w:rPr>
          <w:rFonts w:hint="eastAsia" w:ascii="宋体" w:hAnsi="宋体" w:eastAsia="宋体" w:cs="宋体"/>
          <w:color w:val="000000"/>
        </w:rPr>
        <w:t>甲方：               乙方：</w:t>
      </w:r>
    </w:p>
    <w:p w14:paraId="15A56B9B">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地址：               地址：</w:t>
      </w:r>
    </w:p>
    <w:p w14:paraId="035E0F2A">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法定代表人或授权代表：       法定代表人或授权代表：</w:t>
      </w:r>
    </w:p>
    <w:p w14:paraId="03FA50AC">
      <w:pPr>
        <w:pStyle w:val="32"/>
        <w:spacing w:beforeAutospacing="0" w:afterAutospacing="0" w:line="360" w:lineRule="auto"/>
        <w:ind w:firstLine="787"/>
        <w:jc w:val="both"/>
        <w:rPr>
          <w:rFonts w:hint="eastAsia" w:ascii="宋体" w:hAnsi="宋体" w:eastAsia="宋体" w:cs="宋体"/>
          <w:color w:val="000000"/>
        </w:rPr>
      </w:pPr>
      <w:r>
        <w:rPr>
          <w:rFonts w:hint="eastAsia" w:ascii="宋体" w:hAnsi="宋体" w:eastAsia="宋体" w:cs="宋体"/>
          <w:color w:val="000000"/>
        </w:rPr>
        <w:t xml:space="preserve">联系电话：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联系电话：         </w:t>
      </w:r>
    </w:p>
    <w:p w14:paraId="449442D8">
      <w:pPr>
        <w:pStyle w:val="32"/>
        <w:spacing w:before="120" w:beforeAutospacing="0" w:after="120" w:afterAutospacing="0" w:line="360" w:lineRule="auto"/>
        <w:jc w:val="center"/>
      </w:pPr>
      <w:r>
        <w:rPr>
          <w:rFonts w:hint="eastAsia" w:ascii="宋体" w:hAnsi="宋体" w:eastAsia="宋体" w:cs="宋体"/>
          <w:color w:val="000000"/>
        </w:rPr>
        <w:t>签订日期：     年  月  日</w:t>
      </w:r>
      <w:r>
        <w:rPr>
          <w:rFonts w:hint="eastAsia" w:ascii="宋体" w:hAnsi="宋体" w:eastAsia="宋体" w:cs="宋体"/>
          <w:color w:val="000000"/>
        </w:rPr>
        <w:br w:type="page"/>
      </w:r>
      <w:bookmarkStart w:id="173" w:name="_Toc462564139"/>
      <w:bookmarkEnd w:id="173"/>
      <w:bookmarkStart w:id="174" w:name="_Hlt16619350"/>
      <w:bookmarkEnd w:id="174"/>
      <w:bookmarkStart w:id="175" w:name="_Toc20823346"/>
      <w:bookmarkEnd w:id="175"/>
      <w:bookmarkStart w:id="176" w:name="_Toc16938590"/>
      <w:bookmarkEnd w:id="176"/>
      <w:bookmarkStart w:id="177" w:name="_Toc479757211"/>
      <w:bookmarkEnd w:id="177"/>
      <w:bookmarkStart w:id="178" w:name="_Toc120614244"/>
      <w:bookmarkEnd w:id="178"/>
    </w:p>
    <w:p w14:paraId="06E99272">
      <w:pPr>
        <w:jc w:val="center"/>
      </w:pPr>
      <w:r>
        <w:rPr>
          <w:rFonts w:ascii="黑体" w:hAnsi="黑体" w:eastAsia="黑体"/>
          <w:b/>
          <w:sz w:val="32"/>
        </w:rPr>
        <w:t>第四章  采购需求</w:t>
      </w:r>
    </w:p>
    <w:p w14:paraId="266B1ACB">
      <w:pPr>
        <w:keepNext w:val="0"/>
        <w:keepLines w:val="0"/>
        <w:pageBreakBefore w:val="0"/>
        <w:widowControl w:val="0"/>
        <w:kinsoku/>
        <w:wordWrap/>
        <w:overflowPunct/>
        <w:topLinePunct w:val="0"/>
        <w:autoSpaceDE/>
        <w:autoSpaceDN/>
        <w:bidi w:val="0"/>
        <w:adjustRightInd/>
        <w:snapToGrid/>
        <w:spacing w:before="361" w:beforeLines="10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项目属性:服务类项目。</w:t>
      </w:r>
    </w:p>
    <w:p w14:paraId="56A9DA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采购标的对应的中小企业划分标准所属行业：租赁和商务服务业。</w:t>
      </w:r>
    </w:p>
    <w:p w14:paraId="04E3B9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一、项目概况</w:t>
      </w:r>
    </w:p>
    <w:p w14:paraId="16A840B4">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sz w:val="24"/>
          <w:szCs w:val="24"/>
        </w:rPr>
        <w:t>为规范滨海县机关事业单位会议服务管理，提升会议服务质量和效率，节约行政运行成本，为滨海县各机关单位、事业单位提供各类会议及配套服务。服务内容包括会议场地提供、会场布置、会议设备保障、会议服务、保洁、保安及其他配</w:t>
      </w:r>
      <w:r>
        <w:rPr>
          <w:rFonts w:hint="eastAsia" w:ascii="宋体" w:hAnsi="宋体" w:eastAsia="宋体" w:cs="宋体"/>
          <w:b w:val="0"/>
          <w:bCs w:val="0"/>
          <w:sz w:val="24"/>
          <w:szCs w:val="24"/>
        </w:rPr>
        <w:t>套服务等。</w:t>
      </w:r>
    </w:p>
    <w:p w14:paraId="1327D69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二、会议场地及服务</w:t>
      </w:r>
    </w:p>
    <w:p w14:paraId="391B05F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（一）场地要求</w:t>
      </w:r>
    </w:p>
    <w:p w14:paraId="721DA414">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1．供应商须拥有合法经营的会议服务场地，场地位于滨海县行政区域范围内，产权清晰或具有合法使用权。</w:t>
      </w:r>
    </w:p>
    <w:p w14:paraId="0CAE66C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2．供应商应具备与会议服务规模相适应的会议场地，包含不同规模的封闭独立会议室，隔音效果良好，会议室之间相互不产生干扰，能够同时满足各类会议需求。</w:t>
      </w:r>
    </w:p>
    <w:p w14:paraId="0F6B191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3．具有与接待规模相适应的停车场，车位不少于30个，承诺会议期间提供免费停车服务。</w:t>
      </w:r>
    </w:p>
    <w:p w14:paraId="7D1E611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（二）会议场地及会场服务</w:t>
      </w:r>
    </w:p>
    <w:p w14:paraId="25B1C45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1．根据采购人及各机关事业单位会议需求，提供不同规模的会议室，满足各类会议（包括但不限于全体会议、专题会议、座谈会、培训会、接待会议、视频调度会议等）的场地需求。</w:t>
      </w:r>
    </w:p>
    <w:p w14:paraId="5EB9E3D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2．按照会议规模、性质和主办方要求，及时更换会议室场型（课桌式、剧场式、圆桌式、回字型等），做好会前布置、会中服务和会后整理工作。</w:t>
      </w:r>
    </w:p>
    <w:p w14:paraId="1F0B62E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3．提供会议所需的席卡、会标、签到台、纸笔、茶水等基本会务用品。</w:t>
      </w:r>
    </w:p>
    <w:p w14:paraId="3FE2A1B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4．做好会议签到、引领、座次安排、茶水冲泡及续水等会中服务。</w:t>
      </w:r>
    </w:p>
    <w:p w14:paraId="38EA79B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5．会后及时检查有无会议遗落物品，清点回收会务用品，恢复会议室场型，清洁会议室卫生。</w:t>
      </w:r>
    </w:p>
    <w:p w14:paraId="08F7B41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6．供应商应具备各类会议的会务组织、会场布置、设备保障全流程服务能力，满足会议会前准备、会中服务、会后复原等工作要求。</w:t>
      </w:r>
    </w:p>
    <w:p w14:paraId="51CDEE4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7．具备远程视频会议及点调会保障能力，能够配合采购人完成与上级机关、各镇区街道及各部门之间的视频调度会议、远程培训等会务保障工作。</w:t>
      </w:r>
    </w:p>
    <w:p w14:paraId="49C7A6EF">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（三）接待服务</w:t>
      </w:r>
    </w:p>
    <w:p w14:paraId="31CF7C4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1．设有与会议规模相适应的接待处，由专职接待人员以现场接待方式，提供接待、问询等服务。</w:t>
      </w:r>
    </w:p>
    <w:p w14:paraId="5149EC7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2．会议期间在签到区安排专人负责参会人员的签到、登记、引领等专项工作。</w:t>
      </w:r>
    </w:p>
    <w:p w14:paraId="6180DC1D">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3．工作人员淡妆上岗、着装规范、微笑服务、使用敬语、运用正确得体的引导手势。</w:t>
      </w:r>
    </w:p>
    <w:p w14:paraId="7AEF8F4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4．设有参会人员休息场所。</w:t>
      </w:r>
    </w:p>
    <w:p w14:paraId="2FD86F3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（四）会议室服务</w:t>
      </w:r>
    </w:p>
    <w:p w14:paraId="02BA8DB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1．根据会议安排，提前到岗做好会议室准备工作，包括清洁检查、设备调试、物品摆放等。</w:t>
      </w:r>
    </w:p>
    <w:p w14:paraId="314ABA8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2．会议开始前30分钟完成全部准备工作，确保会议室处于最佳使用状态。</w:t>
      </w:r>
    </w:p>
    <w:p w14:paraId="58E9AD6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3．会中提供茶水冲泡、续水服务，一般会议每30-45分钟续水一次，重要会议根据需求调整。</w:t>
      </w:r>
    </w:p>
    <w:p w14:paraId="4E6C6338">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4．会议期间工作人员在会场外待命，及时响应参会人员需求，处理突发情况。</w:t>
      </w:r>
    </w:p>
    <w:p w14:paraId="3BCB569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5．会议结束后及时清理会场，检查有无遗落物品，恢复会议室场型，关闭设备电源。</w:t>
      </w:r>
    </w:p>
    <w:p w14:paraId="05FBBED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6．填写会议服务记录单，反馈会议服务情况。</w:t>
      </w:r>
    </w:p>
    <w:p w14:paraId="20A51A8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7．会议室设专职服务员，能提供做会标、席卡等服务。</w:t>
      </w:r>
    </w:p>
    <w:p w14:paraId="427F3A9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8．能够提供纸、笔等基本的会议用文具。</w:t>
      </w:r>
    </w:p>
    <w:p w14:paraId="7184554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三、会议设备</w:t>
      </w:r>
    </w:p>
    <w:p w14:paraId="66254D1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（一）设备配置要求</w:t>
      </w:r>
    </w:p>
    <w:p w14:paraId="0BDF21A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1．会议室应配备与会议规模相适应的音响、话筒、显示设备、空调、灯光等基本会议设备，设备完好率</w:t>
      </w:r>
      <w:r>
        <w:rPr>
          <w:rFonts w:hint="eastAsia" w:ascii="宋体" w:hAnsi="宋体" w:eastAsia="宋体" w:cs="宋体"/>
          <w:b w:val="0"/>
          <w:bCs w:val="0"/>
          <w:sz w:val="24"/>
          <w:szCs w:val="24"/>
          <w:lang w:val="en-US" w:eastAsia="zh-CN"/>
        </w:rPr>
        <w:t>100</w:t>
      </w:r>
      <w:r>
        <w:rPr>
          <w:rFonts w:hint="eastAsia" w:ascii="宋体" w:hAnsi="宋体" w:eastAsia="宋体" w:cs="宋体"/>
          <w:b w:val="0"/>
          <w:bCs w:val="0"/>
          <w:sz w:val="24"/>
          <w:szCs w:val="24"/>
        </w:rPr>
        <w:t>%，确保会议期间设备正常运行。</w:t>
      </w:r>
    </w:p>
    <w:p w14:paraId="2821189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2．大型会议室应配备满足大型会议需求的显示系统、音视频系统、灯光系统、网络及电力保障，确保大型会议顺利召开。宜配置P2.5及以上LED大屏、线阵音响、双路市电及应急发电机组等设备。</w:t>
      </w:r>
    </w:p>
    <w:p w14:paraId="177AF96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3．中型会议室应配备与规模相适应的显示、音响、话筒等会议设备，提供手拉手数字会议系统、远程视频会议系统，满足中型会议需求。</w:t>
      </w:r>
    </w:p>
    <w:p w14:paraId="1B842F20">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4．小型会议室应配备与规模相适应的显示、音响、话筒等会议设备，满足小型会议需求；其中至少1间应配备视频会议终端、高清摄像头、全向麦克风，可召开点调会和正常会议。</w:t>
      </w:r>
    </w:p>
    <w:p w14:paraId="5759D26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5．公共区域应配备全覆盖监控设施、应急照明、消防设施等安全设备。</w:t>
      </w:r>
    </w:p>
    <w:p w14:paraId="007BBEC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6．所有会场布线规范，强弱电分离，预留充足音视频接口。</w:t>
      </w:r>
    </w:p>
    <w:p w14:paraId="6075DBD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7．应配备满足远程视频会议及点调会需求的专业设备，包括视频会议终端、高清摄像设备、全向麦克风、显示设备等，支持与上级机关及镇区街道和相关部门的视频互联互通。</w:t>
      </w:r>
    </w:p>
    <w:p w14:paraId="6F54092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（二）会议设备保障</w:t>
      </w:r>
    </w:p>
    <w:p w14:paraId="370EA65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1．会前按会议需求安装调试音响、投影、灯光等设备，规范布线，确保视听效果良好，全面检查设备，排除潜在故障。</w:t>
      </w:r>
    </w:p>
    <w:p w14:paraId="0CC2834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2．会议期间安排技术人员全程值守，实时监控设备运行，15分钟内修复常见故障，复杂问题启用备用设备。</w:t>
      </w:r>
    </w:p>
    <w:p w14:paraId="7D04A95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3．为线上会议或视频会议提供稳定的网络支持，保障带宽，确保线上参会顺畅。</w:t>
      </w:r>
    </w:p>
    <w:p w14:paraId="273C9BB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4．远程视频会议及点调会期间安排技术人员全程值守，保障信号稳定、音视频清晰，出现故障及时处置。</w:t>
      </w:r>
    </w:p>
    <w:p w14:paraId="4CD4F1E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（三）设备运维服务</w:t>
      </w:r>
    </w:p>
    <w:p w14:paraId="17D6E500">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1．建立会议设备台账，会前对所有会议设备进行检查维护，确保会议使用设备完好可用。</w:t>
      </w:r>
    </w:p>
    <w:p w14:paraId="7F901BA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2．会前制定设备故障应急预案，配备必要的备用设备。</w:t>
      </w:r>
    </w:p>
    <w:p w14:paraId="0BA74CD8">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3．会前对远程视频会议及点调会设备进行联调测试，确保与各机关及各部门的互联互通。</w:t>
      </w:r>
    </w:p>
    <w:p w14:paraId="2D339C80">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四、保洁服务</w:t>
      </w:r>
    </w:p>
    <w:p w14:paraId="5E979F6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（一）保洁服务</w:t>
      </w:r>
    </w:p>
    <w:p w14:paraId="7773232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1．供应商负责自有经营场地内的日常保洁工作，包括会议室、公共区域、卫生间等，确保环境干净整洁。</w:t>
      </w:r>
    </w:p>
    <w:p w14:paraId="002701AF">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2．会议前后及时对会议室进行清洁，确保会议室随时处于可用状态。</w:t>
      </w:r>
    </w:p>
    <w:p w14:paraId="7683469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3．对废弃物进行分类分拣，及时清运到指定地点。</w:t>
      </w:r>
    </w:p>
    <w:p w14:paraId="450ADF7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4．定期对公共区域设施进行维护保养，保持良好的使用状态。</w:t>
      </w:r>
    </w:p>
    <w:p w14:paraId="0C845C1F">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5．保洁所需工具、设备、物耗等均由供应商自行承担。</w:t>
      </w:r>
    </w:p>
    <w:p w14:paraId="129655DB">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（二）公共区域保洁</w:t>
      </w:r>
    </w:p>
    <w:p w14:paraId="3C8B737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1．会议期间对公共区域（大厅、走廊、电梯间、卫生间等）定时清洁，保持干净整洁。</w:t>
      </w:r>
    </w:p>
    <w:p w14:paraId="075204A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2．会议期间每1小时对卫生间进行清洁巡查一次，会前会后各全面清洁 1 次，确保无异味、无污渍、洁具光亮，洗手液、卫生纸等用品及时补充。</w:t>
      </w:r>
    </w:p>
    <w:p w14:paraId="3FFCB51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3．会议期间垃圾及时清理、分类投放，垃圾桶定期清洁消毒。</w:t>
      </w:r>
    </w:p>
    <w:p w14:paraId="083F83E4">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4．会议前对公共区域地面、墙面、灯具、空调风口等进行全面清洁维护。</w:t>
      </w:r>
    </w:p>
    <w:p w14:paraId="631750F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5．会议期间做好除虫灭害工作，确保无蚊蝇、蟑螂等虫害。</w:t>
      </w:r>
    </w:p>
    <w:p w14:paraId="62444F48">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五、保安服务</w:t>
      </w:r>
    </w:p>
    <w:p w14:paraId="53AF97D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（一）保安服务</w:t>
      </w:r>
    </w:p>
    <w:p w14:paraId="3B93EF2F">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1．供应商应配备与接待规模和安全要求相适应的保安人员，负责经营场地内的安全保卫、秩序维护和车辆管理工作。</w:t>
      </w:r>
    </w:p>
    <w:p w14:paraId="043B3480">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2．保安人员应持证上岗，熟悉消防安全、应急处置等业务，会议期间及场地开放时段值班值守，确保会议期间及日常经营场地安全。</w:t>
      </w:r>
    </w:p>
    <w:p w14:paraId="599E1F1B">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3．会议期间加强出入口管理和会场周边巡逻，做好参会人员引导和秩序维护，严防无关人员进入会议区域。</w:t>
      </w:r>
    </w:p>
    <w:p w14:paraId="5823B53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4．负责停车场秩序维护和车辆引导，确保车辆停放有序、进出畅通。</w:t>
      </w:r>
    </w:p>
    <w:p w14:paraId="12960161">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5．建立健全安全巡查制度，做好防火、防盗、防破坏等安全防范工作，发现安全隐患及时处置并报告。</w:t>
      </w:r>
    </w:p>
    <w:p w14:paraId="20BC3D6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6．保安人员应着装统一、仪容整洁、文明执勤，严格遵守国家法律法规和采购人的各项规章制度。</w:t>
      </w:r>
    </w:p>
    <w:p w14:paraId="3D69D53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7．保安所需服装、器械、通讯设备等均由供应商自行承担。</w:t>
      </w:r>
    </w:p>
    <w:p w14:paraId="49C8715B">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（二）安保服务</w:t>
      </w:r>
    </w:p>
    <w:p w14:paraId="7DEE1180">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1．保安人员在会议期间值班值守，做好交接班记录。</w:t>
      </w:r>
    </w:p>
    <w:p w14:paraId="6FEEFFC0">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2．会议期间加强出入口管理，对参会人员进行核验和引导，严防无关人员进入会议区域。</w:t>
      </w:r>
    </w:p>
    <w:p w14:paraId="33D4661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3．会议期间对会场及周边定时巡逻检查，做好巡逻记录。</w:t>
      </w:r>
    </w:p>
    <w:p w14:paraId="7DECEE4D">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4．会议期间负责停车场秩序维护和车辆引导，确保车辆停放有序、进出畅通。</w:t>
      </w:r>
    </w:p>
    <w:p w14:paraId="57648E7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5．保安人员熟悉消防设施位置和使用方法，会议期间发生突发事件及时处置并报告。</w:t>
      </w:r>
    </w:p>
    <w:p w14:paraId="3C6138A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6．监控设施24小时运行，录像保存不少于30天。</w:t>
      </w:r>
    </w:p>
    <w:p w14:paraId="1B2FF42F">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六、其他配套服务</w:t>
      </w:r>
    </w:p>
    <w:p w14:paraId="0CAA5B3B">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1．提供与接待能力相适应的停车场，并提供停车引导服务。</w:t>
      </w:r>
    </w:p>
    <w:p w14:paraId="01D5FEC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2．提供商务中心服务，包括打印、复印、传真等。</w:t>
      </w:r>
    </w:p>
    <w:p w14:paraId="0A5683A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3．提供医疗急救点或附近医疗点联系方式。</w:t>
      </w:r>
    </w:p>
    <w:p w14:paraId="100F909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4．完成采购人交办的其他临时性会务服务事项。</w:t>
      </w:r>
    </w:p>
    <w:p w14:paraId="2A723D3B">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bCs/>
          <w:sz w:val="24"/>
          <w:szCs w:val="24"/>
        </w:rPr>
      </w:pPr>
      <w:r>
        <w:rPr>
          <w:rFonts w:hint="eastAsia" w:ascii="宋体" w:hAnsi="宋体" w:eastAsia="宋体" w:cs="宋体"/>
          <w:b/>
          <w:bCs/>
          <w:sz w:val="24"/>
          <w:szCs w:val="24"/>
        </w:rPr>
        <w:t>七、人员要求</w:t>
      </w:r>
    </w:p>
    <w:p w14:paraId="6B5B16B8">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1．供应商应根据项目服务需要，配置足够的驻场服务人员，人员配置应满足项目正常运行要求。</w:t>
      </w:r>
    </w:p>
    <w:p w14:paraId="168E743A">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2．项目负责人应具有会务服务相关管理经验，具备较强的组织协调和应急处置能力。</w:t>
      </w:r>
    </w:p>
    <w:p w14:paraId="297EFD68">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3．会议服务人员应经过专业培训，熟悉会议服务流程和礼仪规范，形象气质良好。</w:t>
      </w:r>
    </w:p>
    <w:p w14:paraId="2C850C1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4．设备运维人员应具备音响、投影、网络、视频会议等设备的操作和维护能力。</w:t>
      </w:r>
    </w:p>
    <w:p w14:paraId="03BA532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5．保安人员应持证上岗，熟悉消防安全和应急处置业务。</w:t>
      </w:r>
    </w:p>
    <w:p w14:paraId="6DA8DC5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6．工作人员应着装统一、仪容整洁、礼貌待人、使用敬语，严格遵守国家法律法规和采购人的各项规章制度。</w:t>
      </w:r>
    </w:p>
    <w:p w14:paraId="74D91EC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7．供应商应建立人员培训制度，定期对员工进行岗位技能、服务礼仪、消防安全、应急处置、保密教育等方面的培训。</w:t>
      </w:r>
    </w:p>
    <w:p w14:paraId="2E8C369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b w:val="0"/>
          <w:bCs w:val="0"/>
          <w:sz w:val="24"/>
          <w:szCs w:val="24"/>
        </w:rPr>
        <w:t>8．供应商应建立人员替补备岗机制，关键岗位人员离职，须在3个工作日内完成同等资质人员补齐，不得出现岗位空缺；人员调换须提前书面报采购人同意。</w:t>
      </w:r>
    </w:p>
    <w:p w14:paraId="54BC915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八</w:t>
      </w:r>
      <w:r>
        <w:rPr>
          <w:rFonts w:hint="eastAsia" w:ascii="宋体" w:hAnsi="宋体" w:eastAsia="宋体" w:cs="宋体"/>
          <w:b/>
          <w:sz w:val="24"/>
          <w:szCs w:val="24"/>
        </w:rPr>
        <w:t>、商务要求</w:t>
      </w:r>
    </w:p>
    <w:p w14:paraId="163690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（一）服务期限：14个月（试用期2个月+服务期12个月），自合同签订之日起计算。</w:t>
      </w:r>
    </w:p>
    <w:p w14:paraId="13ED4FE7">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（二）服务地点：中标供应商自有合法经营场地（位于滨海县行政区域内）。</w:t>
      </w:r>
    </w:p>
    <w:p w14:paraId="1BFC01F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（三）进场准备：合同签订后，供应商应在 5 日内完成服务准备工作，包括现场对接、人员到位、设备调试、制度建立等，确保能够正常承接会议服务。</w:t>
      </w:r>
    </w:p>
    <w:p w14:paraId="484899C2">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（四）</w:t>
      </w:r>
      <w:r>
        <w:rPr>
          <w:rStyle w:val="40"/>
          <w:rFonts w:hint="eastAsia" w:ascii="宋体" w:hAnsi="宋体" w:eastAsia="宋体" w:cs="宋体"/>
          <w:sz w:val="24"/>
          <w:szCs w:val="24"/>
        </w:rPr>
        <w:t>合同期满衔接</w:t>
      </w:r>
      <w:r>
        <w:rPr>
          <w:rFonts w:hint="eastAsia" w:ascii="宋体" w:hAnsi="宋体" w:eastAsia="宋体" w:cs="宋体"/>
          <w:sz w:val="24"/>
          <w:szCs w:val="24"/>
        </w:rPr>
        <w:t>：合同期满后，供应商应配合采购人做好后续衔接工作，妥善处理未完结的会议服务事项。</w:t>
      </w:r>
    </w:p>
    <w:p w14:paraId="3F5BBC9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五</w:t>
      </w:r>
      <w:r>
        <w:rPr>
          <w:rFonts w:hint="eastAsia" w:ascii="宋体" w:hAnsi="宋体" w:eastAsia="宋体" w:cs="宋体"/>
          <w:sz w:val="24"/>
          <w:szCs w:val="24"/>
        </w:rPr>
        <w:t>）会议预约：各机关事业单位通过采购人统一预约或直接向供应商预约会议服务。</w:t>
      </w:r>
    </w:p>
    <w:p w14:paraId="05083E34">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六</w:t>
      </w:r>
      <w:r>
        <w:rPr>
          <w:rFonts w:hint="eastAsia" w:ascii="宋体" w:hAnsi="宋体" w:eastAsia="宋体" w:cs="宋体"/>
          <w:sz w:val="24"/>
          <w:szCs w:val="24"/>
        </w:rPr>
        <w:t>）保密要求：供应商及其工作人员应对会议内容、参会人员信息、会议资料等严格保密，不得泄露、传播或用于其他用途。</w:t>
      </w:r>
    </w:p>
    <w:p w14:paraId="55C19A6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lang w:val="en-US" w:eastAsia="zh-CN"/>
        </w:rPr>
        <w:t>九</w:t>
      </w:r>
      <w:r>
        <w:rPr>
          <w:rFonts w:hint="eastAsia" w:ascii="宋体" w:hAnsi="宋体" w:eastAsia="宋体" w:cs="宋体"/>
          <w:b/>
          <w:sz w:val="24"/>
          <w:szCs w:val="24"/>
        </w:rPr>
        <w:t>、报价构成</w:t>
      </w:r>
    </w:p>
    <w:p w14:paraId="13F54BBF">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highlight w:val="none"/>
        </w:rPr>
      </w:pPr>
      <w:r>
        <w:rPr>
          <w:rFonts w:hint="eastAsia" w:ascii="宋体" w:hAnsi="宋体" w:eastAsia="宋体" w:cs="宋体"/>
          <w:sz w:val="24"/>
          <w:szCs w:val="24"/>
        </w:rPr>
        <w:t>本项目报价为14个月服务期总价，应包括中标人在履约期内完成本项目全部服务内容所需的一切费用，包括但不限于</w:t>
      </w:r>
      <w:r>
        <w:rPr>
          <w:rFonts w:hint="eastAsia" w:ascii="宋体" w:hAnsi="宋体" w:eastAsia="宋体" w:cs="宋体"/>
          <w:sz w:val="24"/>
          <w:szCs w:val="24"/>
          <w:highlight w:val="none"/>
        </w:rPr>
        <w:t>：场地使用费、人员工资（不得低于</w:t>
      </w:r>
      <w:r>
        <w:rPr>
          <w:rFonts w:hint="eastAsia" w:ascii="宋体" w:hAnsi="宋体" w:eastAsia="宋体" w:cs="宋体"/>
          <w:sz w:val="24"/>
          <w:szCs w:val="24"/>
          <w:highlight w:val="none"/>
          <w:lang w:val="en-US" w:eastAsia="zh-CN"/>
        </w:rPr>
        <w:t>滨海县</w:t>
      </w:r>
      <w:r>
        <w:rPr>
          <w:rFonts w:hint="eastAsia" w:ascii="宋体" w:hAnsi="宋体" w:eastAsia="宋体" w:cs="宋体"/>
          <w:sz w:val="24"/>
          <w:szCs w:val="24"/>
          <w:highlight w:val="none"/>
        </w:rPr>
        <w:t>最低工资标准）、社会保险和公积金、福利费、保洁费用、行政办公费、高温费、体检费、劳保费、水电费、设备维修维保费用、管理费、合理利润、税费、政策性文件规定及合同包含的所有风险、责任等各项应有费用。本项目为整体外包，</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报价应综合考虑各类会议场景下的场地、人员、设备及配套服务费用，采购人不再另行支付加班等其他</w:t>
      </w:r>
      <w:r>
        <w:rPr>
          <w:rFonts w:hint="eastAsia" w:ascii="宋体" w:hAnsi="宋体" w:eastAsia="宋体" w:cs="宋体"/>
          <w:sz w:val="24"/>
          <w:szCs w:val="24"/>
          <w:highlight w:val="none"/>
          <w:lang w:eastAsia="zh-CN"/>
        </w:rPr>
        <w:t>任何</w:t>
      </w:r>
      <w:r>
        <w:rPr>
          <w:rFonts w:hint="eastAsia" w:ascii="宋体" w:hAnsi="宋体" w:eastAsia="宋体" w:cs="宋体"/>
          <w:sz w:val="24"/>
          <w:szCs w:val="24"/>
          <w:highlight w:val="none"/>
        </w:rPr>
        <w:t>费用。</w:t>
      </w:r>
    </w:p>
    <w:p w14:paraId="4D23F83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highlight w:val="none"/>
        </w:rPr>
      </w:pPr>
      <w:r>
        <w:rPr>
          <w:rFonts w:hint="eastAsia" w:ascii="宋体" w:hAnsi="宋体" w:eastAsia="宋体" w:cs="宋体"/>
          <w:b/>
          <w:sz w:val="24"/>
          <w:szCs w:val="24"/>
          <w:highlight w:val="none"/>
          <w:lang w:val="en-US" w:eastAsia="zh-CN"/>
        </w:rPr>
        <w:t>十</w:t>
      </w:r>
      <w:r>
        <w:rPr>
          <w:rFonts w:hint="eastAsia" w:ascii="宋体" w:hAnsi="宋体" w:eastAsia="宋体" w:cs="宋体"/>
          <w:b/>
          <w:sz w:val="24"/>
          <w:szCs w:val="24"/>
          <w:highlight w:val="none"/>
        </w:rPr>
        <w:t>、考核内容</w:t>
      </w:r>
    </w:p>
    <w:p w14:paraId="77F0703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（一）考核目的</w:t>
      </w:r>
    </w:p>
    <w:p w14:paraId="79B91B65">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确保供应商提供高质量、标准化的会议及配套服务，满足机关事业单位各类会议需求，提升整体会务服务水平和满意度。</w:t>
      </w:r>
    </w:p>
    <w:p w14:paraId="68E2F52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（二）考核周期</w:t>
      </w:r>
    </w:p>
    <w:p w14:paraId="65B767F0">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月度考核与年度考核相结合，具体考核周期由采购人决定。</w:t>
      </w:r>
    </w:p>
    <w:p w14:paraId="2FDEECC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（三）考核主体</w:t>
      </w:r>
    </w:p>
    <w:p w14:paraId="62385073">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由采购人指定的考核负责人或部门，结合各使用单位反馈意见进行考核。</w:t>
      </w:r>
    </w:p>
    <w:p w14:paraId="605EA39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pPr>
      <w:r>
        <w:rPr>
          <w:rFonts w:hint="eastAsia" w:ascii="宋体" w:hAnsi="宋体" w:eastAsia="宋体" w:cs="宋体"/>
          <w:b/>
          <w:sz w:val="24"/>
          <w:szCs w:val="24"/>
        </w:rPr>
        <w:t>（四）考核内容及评分标准</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23"/>
        <w:gridCol w:w="1075"/>
        <w:gridCol w:w="2430"/>
        <w:gridCol w:w="2866"/>
      </w:tblGrid>
      <w:tr w14:paraId="2B908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03D99AEF">
            <w:pPr>
              <w:jc w:val="center"/>
            </w:pPr>
            <w:r>
              <w:rPr>
                <w:b/>
              </w:rPr>
              <w:t>考核项目</w:t>
            </w:r>
          </w:p>
        </w:tc>
        <w:tc>
          <w:tcPr>
            <w:tcW w:w="1076" w:type="dxa"/>
            <w:vAlign w:val="center"/>
          </w:tcPr>
          <w:p w14:paraId="31F0D111">
            <w:pPr>
              <w:jc w:val="center"/>
            </w:pPr>
            <w:r>
              <w:rPr>
                <w:b/>
              </w:rPr>
              <w:t>权重</w:t>
            </w:r>
          </w:p>
        </w:tc>
        <w:tc>
          <w:tcPr>
            <w:tcW w:w="2433" w:type="dxa"/>
            <w:vAlign w:val="center"/>
          </w:tcPr>
          <w:p w14:paraId="43433B03">
            <w:pPr>
              <w:jc w:val="center"/>
            </w:pPr>
            <w:r>
              <w:rPr>
                <w:b/>
              </w:rPr>
              <w:t>考核内容</w:t>
            </w:r>
          </w:p>
        </w:tc>
        <w:tc>
          <w:tcPr>
            <w:tcW w:w="2869" w:type="dxa"/>
            <w:vAlign w:val="center"/>
          </w:tcPr>
          <w:p w14:paraId="6FDA028D">
            <w:pPr>
              <w:jc w:val="center"/>
            </w:pPr>
            <w:r>
              <w:rPr>
                <w:b/>
              </w:rPr>
              <w:t>评分标准</w:t>
            </w:r>
          </w:p>
        </w:tc>
      </w:tr>
      <w:tr w14:paraId="3969E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730568E8">
            <w:pPr>
              <w:jc w:val="center"/>
            </w:pPr>
            <w:r>
              <w:t>会议场地及设备</w:t>
            </w:r>
          </w:p>
        </w:tc>
        <w:tc>
          <w:tcPr>
            <w:tcW w:w="1076" w:type="dxa"/>
            <w:vAlign w:val="center"/>
          </w:tcPr>
          <w:p w14:paraId="4B93BC61">
            <w:pPr>
              <w:jc w:val="center"/>
            </w:pPr>
            <w:r>
              <w:t>20分</w:t>
            </w:r>
          </w:p>
        </w:tc>
        <w:tc>
          <w:tcPr>
            <w:tcW w:w="2433" w:type="dxa"/>
            <w:vAlign w:val="center"/>
          </w:tcPr>
          <w:p w14:paraId="56529AF8">
            <w:pPr>
              <w:jc w:val="left"/>
            </w:pPr>
            <w:r>
              <w:t>会议室数量及条件、设备完好率、设备调试及时性</w:t>
            </w:r>
          </w:p>
        </w:tc>
        <w:tc>
          <w:tcPr>
            <w:tcW w:w="2869" w:type="dxa"/>
            <w:vAlign w:val="center"/>
          </w:tcPr>
          <w:p w14:paraId="766449D1">
            <w:pPr>
              <w:jc w:val="left"/>
            </w:pPr>
            <w:r>
              <w:t>场地条件达标、设备完好率100%、调试及时得满分；每发现一项问题扣2-5分</w:t>
            </w:r>
          </w:p>
        </w:tc>
      </w:tr>
      <w:tr w14:paraId="2D8E9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57F6D48B">
            <w:pPr>
              <w:jc w:val="center"/>
            </w:pPr>
            <w:r>
              <w:t>会议服务质量</w:t>
            </w:r>
          </w:p>
        </w:tc>
        <w:tc>
          <w:tcPr>
            <w:tcW w:w="1076" w:type="dxa"/>
            <w:vAlign w:val="center"/>
          </w:tcPr>
          <w:p w14:paraId="49EB8809">
            <w:pPr>
              <w:jc w:val="center"/>
            </w:pPr>
            <w:r>
              <w:t>30分</w:t>
            </w:r>
          </w:p>
        </w:tc>
        <w:tc>
          <w:tcPr>
            <w:tcW w:w="2433" w:type="dxa"/>
            <w:vAlign w:val="center"/>
          </w:tcPr>
          <w:p w14:paraId="68C7A6A2">
            <w:pPr>
              <w:jc w:val="left"/>
            </w:pPr>
            <w:r>
              <w:t>会前准备、会中服务、会后整理、服务态度</w:t>
            </w:r>
          </w:p>
        </w:tc>
        <w:tc>
          <w:tcPr>
            <w:tcW w:w="2869" w:type="dxa"/>
            <w:vAlign w:val="center"/>
          </w:tcPr>
          <w:p w14:paraId="6383374B">
            <w:pPr>
              <w:jc w:val="left"/>
            </w:pPr>
            <w:r>
              <w:t>服务规范、态度热情、无投诉得满分；每出现一次服务失误扣3-5分</w:t>
            </w:r>
          </w:p>
        </w:tc>
      </w:tr>
      <w:tr w14:paraId="1B12A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06073922">
            <w:pPr>
              <w:jc w:val="center"/>
            </w:pPr>
            <w:r>
              <w:t>设备保障</w:t>
            </w:r>
          </w:p>
        </w:tc>
        <w:tc>
          <w:tcPr>
            <w:tcW w:w="1076" w:type="dxa"/>
            <w:vAlign w:val="center"/>
          </w:tcPr>
          <w:p w14:paraId="483A9C21">
            <w:pPr>
              <w:jc w:val="center"/>
            </w:pPr>
            <w:r>
              <w:t>10分</w:t>
            </w:r>
          </w:p>
        </w:tc>
        <w:tc>
          <w:tcPr>
            <w:tcW w:w="2433" w:type="dxa"/>
            <w:vAlign w:val="center"/>
          </w:tcPr>
          <w:p w14:paraId="366ED3B6">
            <w:pPr>
              <w:jc w:val="left"/>
            </w:pPr>
            <w:r>
              <w:t>设备完好率、故障响应速度、技术保障能力</w:t>
            </w:r>
          </w:p>
        </w:tc>
        <w:tc>
          <w:tcPr>
            <w:tcW w:w="2869" w:type="dxa"/>
            <w:vAlign w:val="center"/>
          </w:tcPr>
          <w:p w14:paraId="329BC0EE">
            <w:pPr>
              <w:jc w:val="left"/>
            </w:pPr>
            <w:r>
              <w:t>设备完好率100%、故障响应及时得满分；每发现一项问题扣2-3分</w:t>
            </w:r>
          </w:p>
        </w:tc>
      </w:tr>
      <w:tr w14:paraId="00CAAA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3208BDF2">
            <w:pPr>
              <w:jc w:val="center"/>
            </w:pPr>
            <w:r>
              <w:t>保洁服务</w:t>
            </w:r>
          </w:p>
        </w:tc>
        <w:tc>
          <w:tcPr>
            <w:tcW w:w="1076" w:type="dxa"/>
            <w:vAlign w:val="center"/>
          </w:tcPr>
          <w:p w14:paraId="4196E803">
            <w:pPr>
              <w:jc w:val="center"/>
            </w:pPr>
            <w:r>
              <w:t>15分</w:t>
            </w:r>
          </w:p>
        </w:tc>
        <w:tc>
          <w:tcPr>
            <w:tcW w:w="2433" w:type="dxa"/>
            <w:vAlign w:val="center"/>
          </w:tcPr>
          <w:p w14:paraId="5DAE2B05">
            <w:pPr>
              <w:jc w:val="left"/>
            </w:pPr>
            <w:r>
              <w:t>公共区域清洁度、会议室卫生、卫生间卫生、垃圾清运</w:t>
            </w:r>
          </w:p>
        </w:tc>
        <w:tc>
          <w:tcPr>
            <w:tcW w:w="2869" w:type="dxa"/>
            <w:vAlign w:val="center"/>
          </w:tcPr>
          <w:p w14:paraId="22F4541D">
            <w:pPr>
              <w:jc w:val="left"/>
            </w:pPr>
            <w:r>
              <w:t>环境整洁、无卫生死角得满分；每发现一处问题扣1-2分</w:t>
            </w:r>
          </w:p>
        </w:tc>
      </w:tr>
      <w:tr w14:paraId="16458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3A5FC82D">
            <w:pPr>
              <w:jc w:val="center"/>
            </w:pPr>
            <w:r>
              <w:t>保安服务</w:t>
            </w:r>
          </w:p>
        </w:tc>
        <w:tc>
          <w:tcPr>
            <w:tcW w:w="1076" w:type="dxa"/>
            <w:vAlign w:val="center"/>
          </w:tcPr>
          <w:p w14:paraId="53F0B7F7">
            <w:pPr>
              <w:jc w:val="center"/>
            </w:pPr>
            <w:r>
              <w:t>10分</w:t>
            </w:r>
          </w:p>
        </w:tc>
        <w:tc>
          <w:tcPr>
            <w:tcW w:w="2433" w:type="dxa"/>
            <w:vAlign w:val="center"/>
          </w:tcPr>
          <w:p w14:paraId="00A7D7B0">
            <w:pPr>
              <w:jc w:val="left"/>
            </w:pPr>
            <w:r>
              <w:t>安全保卫、秩序维护、车辆管理、值班值守、应急处置</w:t>
            </w:r>
          </w:p>
        </w:tc>
        <w:tc>
          <w:tcPr>
            <w:tcW w:w="2869" w:type="dxa"/>
            <w:vAlign w:val="center"/>
          </w:tcPr>
          <w:p w14:paraId="3D1CD3B1">
            <w:pPr>
              <w:jc w:val="left"/>
            </w:pPr>
            <w:r>
              <w:t>安保到位、秩序良好、无安全事故得满分；每发现一项问题扣1-2分</w:t>
            </w:r>
          </w:p>
        </w:tc>
      </w:tr>
      <w:tr w14:paraId="4EE95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4DCE488F">
            <w:pPr>
              <w:jc w:val="center"/>
            </w:pPr>
            <w:r>
              <w:t>人员管理</w:t>
            </w:r>
          </w:p>
        </w:tc>
        <w:tc>
          <w:tcPr>
            <w:tcW w:w="1076" w:type="dxa"/>
            <w:vAlign w:val="center"/>
          </w:tcPr>
          <w:p w14:paraId="65E432FB">
            <w:pPr>
              <w:jc w:val="center"/>
            </w:pPr>
            <w:r>
              <w:t>5分</w:t>
            </w:r>
          </w:p>
        </w:tc>
        <w:tc>
          <w:tcPr>
            <w:tcW w:w="2433" w:type="dxa"/>
            <w:vAlign w:val="center"/>
          </w:tcPr>
          <w:p w14:paraId="322FDDA3">
            <w:pPr>
              <w:jc w:val="left"/>
            </w:pPr>
            <w:r>
              <w:t>人员到岗率、着装规范、服务礼仪</w:t>
            </w:r>
          </w:p>
        </w:tc>
        <w:tc>
          <w:tcPr>
            <w:tcW w:w="2869" w:type="dxa"/>
            <w:vAlign w:val="center"/>
          </w:tcPr>
          <w:p w14:paraId="1D9F18E8">
            <w:pPr>
              <w:jc w:val="left"/>
            </w:pPr>
            <w:r>
              <w:t>人员充足、着装规范、礼仪得体得满分；每发现一项问题扣1分</w:t>
            </w:r>
          </w:p>
        </w:tc>
      </w:tr>
      <w:tr w14:paraId="089DA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35E23D07">
            <w:pPr>
              <w:jc w:val="center"/>
            </w:pPr>
            <w:r>
              <w:t>应急处置</w:t>
            </w:r>
          </w:p>
        </w:tc>
        <w:tc>
          <w:tcPr>
            <w:tcW w:w="1076" w:type="dxa"/>
            <w:vAlign w:val="center"/>
          </w:tcPr>
          <w:p w14:paraId="0D8571CA">
            <w:pPr>
              <w:jc w:val="center"/>
            </w:pPr>
            <w:r>
              <w:t>5分</w:t>
            </w:r>
          </w:p>
        </w:tc>
        <w:tc>
          <w:tcPr>
            <w:tcW w:w="2433" w:type="dxa"/>
            <w:vAlign w:val="center"/>
          </w:tcPr>
          <w:p w14:paraId="5A576B74">
            <w:pPr>
              <w:jc w:val="left"/>
            </w:pPr>
            <w:r>
              <w:t>突发事件响应速度、处理效果</w:t>
            </w:r>
          </w:p>
        </w:tc>
        <w:tc>
          <w:tcPr>
            <w:tcW w:w="2869" w:type="dxa"/>
            <w:vAlign w:val="center"/>
          </w:tcPr>
          <w:p w14:paraId="01DEC517">
            <w:pPr>
              <w:jc w:val="left"/>
            </w:pPr>
            <w:r>
              <w:t>响应及时、处理得当得满分；响应迟缓或处理不当酌情扣分</w:t>
            </w:r>
          </w:p>
        </w:tc>
      </w:tr>
      <w:tr w14:paraId="3A647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126" w:type="dxa"/>
            <w:vAlign w:val="center"/>
          </w:tcPr>
          <w:p w14:paraId="223D52C4">
            <w:pPr>
              <w:jc w:val="center"/>
            </w:pPr>
            <w:r>
              <w:t>客户满意度</w:t>
            </w:r>
          </w:p>
        </w:tc>
        <w:tc>
          <w:tcPr>
            <w:tcW w:w="1076" w:type="dxa"/>
            <w:vAlign w:val="center"/>
          </w:tcPr>
          <w:p w14:paraId="7DE6ED41">
            <w:pPr>
              <w:jc w:val="center"/>
            </w:pPr>
            <w:r>
              <w:t>5分</w:t>
            </w:r>
          </w:p>
        </w:tc>
        <w:tc>
          <w:tcPr>
            <w:tcW w:w="2433" w:type="dxa"/>
            <w:vAlign w:val="center"/>
          </w:tcPr>
          <w:p w14:paraId="326678C4">
            <w:pPr>
              <w:jc w:val="left"/>
            </w:pPr>
            <w:r>
              <w:t>各使用单位满意度评价</w:t>
            </w:r>
          </w:p>
        </w:tc>
        <w:tc>
          <w:tcPr>
            <w:tcW w:w="2869" w:type="dxa"/>
            <w:vAlign w:val="center"/>
          </w:tcPr>
          <w:p w14:paraId="4CF9BE54">
            <w:pPr>
              <w:jc w:val="left"/>
            </w:pPr>
            <w:r>
              <w:t>满意度90%以上得满分；每降低5%扣1分</w:t>
            </w:r>
          </w:p>
        </w:tc>
      </w:tr>
    </w:tbl>
    <w:p w14:paraId="79E5EE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（五）考核方式</w:t>
      </w:r>
    </w:p>
    <w:p w14:paraId="51F77EA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1.定期考核：按月度进行考核，年度进行综合评定。</w:t>
      </w:r>
    </w:p>
    <w:p w14:paraId="3A4A3A8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2.客户反馈：通过问卷或访谈收集各使用单位意见。</w:t>
      </w:r>
    </w:p>
    <w:p w14:paraId="7CDCF68E">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3.现场检查：采购人不定期对供应商场地进行现场检查。</w:t>
      </w:r>
    </w:p>
    <w:p w14:paraId="5646465C">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4.投诉处理：对各单位投诉事项进行记录和处理。</w:t>
      </w:r>
    </w:p>
    <w:p w14:paraId="41CF5B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b/>
          <w:sz w:val="24"/>
          <w:szCs w:val="24"/>
        </w:rPr>
        <w:t>（六）考核结果运用</w:t>
      </w:r>
    </w:p>
    <w:p w14:paraId="47273919">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1.月度考核得分90分及以上为优秀，80-89分为合格，80分以下为不合格。</w:t>
      </w:r>
    </w:p>
    <w:p w14:paraId="3BB304AD">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2.月度考核不合格的，扣除当月服务费用的</w:t>
      </w:r>
      <w:r>
        <w:rPr>
          <w:rFonts w:hint="eastAsia" w:ascii="宋体" w:hAnsi="宋体" w:eastAsia="宋体" w:cs="宋体"/>
          <w:sz w:val="24"/>
          <w:szCs w:val="24"/>
          <w:lang w:val="en-US" w:eastAsia="zh-CN"/>
        </w:rPr>
        <w:t>2万元</w:t>
      </w:r>
      <w:r>
        <w:rPr>
          <w:rFonts w:hint="eastAsia" w:ascii="宋体" w:hAnsi="宋体" w:eastAsia="宋体" w:cs="宋体"/>
          <w:sz w:val="24"/>
          <w:szCs w:val="24"/>
        </w:rPr>
        <w:t>。</w:t>
      </w:r>
    </w:p>
    <w:p w14:paraId="170657C6">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4"/>
          <w:szCs w:val="24"/>
        </w:rPr>
      </w:pPr>
      <w:r>
        <w:rPr>
          <w:rFonts w:hint="eastAsia" w:ascii="宋体" w:hAnsi="宋体" w:eastAsia="宋体" w:cs="宋体"/>
          <w:sz w:val="24"/>
          <w:szCs w:val="24"/>
        </w:rPr>
        <w:t>3.连续两个月考核不合格的，采购人有权单方解除合同。</w:t>
      </w:r>
    </w:p>
    <w:p w14:paraId="1281EEEE">
      <w:pPr>
        <w:keepNext w:val="0"/>
        <w:keepLines w:val="0"/>
        <w:pageBreakBefore w:val="0"/>
        <w:widowControl w:val="0"/>
        <w:kinsoku/>
        <w:wordWrap/>
        <w:overflowPunct/>
        <w:topLinePunct w:val="0"/>
        <w:autoSpaceDE/>
        <w:autoSpaceDN/>
        <w:bidi w:val="0"/>
        <w:adjustRightInd/>
        <w:snapToGrid/>
        <w:spacing w:line="360" w:lineRule="auto"/>
        <w:ind w:firstLine="560"/>
        <w:textAlignment w:val="auto"/>
      </w:pPr>
      <w:r>
        <w:rPr>
          <w:rFonts w:hint="eastAsia" w:ascii="宋体" w:hAnsi="宋体" w:eastAsia="宋体" w:cs="宋体"/>
          <w:sz w:val="24"/>
          <w:szCs w:val="24"/>
        </w:rPr>
        <w:t>4.年度考核优秀的，在同等条件下优先考虑续签合同。</w:t>
      </w:r>
    </w:p>
    <w:p w14:paraId="5E0EBCF7">
      <w:pPr>
        <w:rPr>
          <w:rFonts w:hint="eastAsia" w:ascii="黑体" w:hAnsi="宋体" w:eastAsia="黑体" w:cs="黑体"/>
          <w:color w:val="000000"/>
          <w:sz w:val="48"/>
          <w:szCs w:val="48"/>
        </w:rPr>
      </w:pPr>
      <w:r>
        <w:rPr>
          <w:rFonts w:hint="eastAsia" w:ascii="黑体" w:hAnsi="宋体" w:eastAsia="黑体" w:cs="黑体"/>
          <w:color w:val="000000"/>
          <w:sz w:val="48"/>
          <w:szCs w:val="48"/>
        </w:rPr>
        <w:br w:type="page"/>
      </w:r>
    </w:p>
    <w:p w14:paraId="1BB0A468">
      <w:pPr>
        <w:pStyle w:val="32"/>
        <w:spacing w:beforeAutospacing="0" w:afterAutospacing="0" w:line="360" w:lineRule="auto"/>
        <w:jc w:val="center"/>
        <w:rPr>
          <w:sz w:val="48"/>
          <w:szCs w:val="48"/>
        </w:rPr>
      </w:pPr>
      <w:r>
        <w:rPr>
          <w:rFonts w:hint="eastAsia" w:ascii="黑体" w:hAnsi="宋体" w:eastAsia="黑体" w:cs="黑体"/>
          <w:color w:val="000000"/>
          <w:sz w:val="48"/>
          <w:szCs w:val="48"/>
        </w:rPr>
        <w:t>第五章 </w:t>
      </w:r>
      <w:r>
        <w:rPr>
          <w:rFonts w:hint="eastAsia" w:ascii="黑体" w:hAnsi="宋体" w:eastAsia="黑体" w:cs="黑体"/>
          <w:b/>
          <w:color w:val="000000"/>
          <w:sz w:val="48"/>
          <w:szCs w:val="48"/>
        </w:rPr>
        <w:t>评标方法与评标标准</w:t>
      </w:r>
    </w:p>
    <w:p w14:paraId="218E3ABE">
      <w:pPr>
        <w:pStyle w:val="32"/>
        <w:spacing w:beforeAutospacing="0" w:afterAutospacing="0" w:line="360" w:lineRule="auto"/>
        <w:jc w:val="both"/>
        <w:rPr>
          <w:rFonts w:hint="eastAsia" w:ascii="宋体" w:hAnsi="宋体" w:eastAsia="宋体" w:cs="宋体"/>
          <w:b/>
          <w:bCs/>
          <w:color w:val="000000"/>
          <w:sz w:val="24"/>
        </w:rPr>
      </w:pPr>
      <w:r>
        <w:t> </w:t>
      </w:r>
      <w:r>
        <w:rPr>
          <w:rFonts w:hint="eastAsia" w:ascii="宋体" w:hAnsi="宋体" w:eastAsia="宋体" w:cs="宋体"/>
          <w:b/>
          <w:bCs/>
          <w:color w:val="000000"/>
          <w:sz w:val="24"/>
        </w:rPr>
        <w:t>一、定标原则</w:t>
      </w:r>
    </w:p>
    <w:p w14:paraId="0293A086">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color w:val="000000"/>
          <w:sz w:val="24"/>
        </w:rPr>
      </w:pPr>
      <w:r>
        <w:rPr>
          <w:rFonts w:hint="eastAsia" w:ascii="宋体" w:hAnsi="宋体" w:eastAsia="宋体" w:cs="宋体"/>
          <w:bCs/>
          <w:color w:val="000000"/>
          <w:sz w:val="24"/>
        </w:rPr>
        <w:t>本项目采用</w:t>
      </w:r>
      <w:r>
        <w:rPr>
          <w:rFonts w:hint="eastAsia" w:ascii="宋体" w:hAnsi="宋体" w:eastAsia="宋体" w:cs="宋体"/>
          <w:bCs/>
          <w:color w:val="000000"/>
          <w:sz w:val="24"/>
          <w:u w:val="single"/>
        </w:rPr>
        <w:t>综合评分</w:t>
      </w:r>
      <w:r>
        <w:rPr>
          <w:rFonts w:hint="eastAsia" w:ascii="宋体" w:hAnsi="宋体" w:eastAsia="宋体" w:cs="宋体"/>
          <w:bCs/>
          <w:color w:val="000000"/>
          <w:sz w:val="24"/>
        </w:rPr>
        <w:t>法，</w:t>
      </w:r>
      <w:r>
        <w:rPr>
          <w:rFonts w:hint="eastAsia" w:ascii="宋体" w:hAnsi="宋体" w:eastAsia="宋体" w:cs="宋体"/>
          <w:color w:val="000000"/>
          <w:sz w:val="24"/>
        </w:rPr>
        <w:t>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z w:val="24"/>
          <w:lang w:eastAsia="zh-CN"/>
        </w:rPr>
        <w:t>供应商</w:t>
      </w:r>
      <w:r>
        <w:rPr>
          <w:rFonts w:hint="eastAsia" w:ascii="宋体" w:hAnsi="宋体" w:eastAsia="宋体" w:cs="宋体"/>
          <w:color w:val="000000"/>
          <w:sz w:val="24"/>
        </w:rPr>
        <w:t>为排名第一的中标候选人，本项目选取1名中标候选人。</w:t>
      </w:r>
    </w:p>
    <w:p w14:paraId="7AF524DA">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41"/>
        <w:textAlignment w:val="auto"/>
        <w:rPr>
          <w:rFonts w:hint="eastAsia" w:ascii="宋体" w:hAnsi="宋体" w:eastAsia="宋体" w:cs="宋体"/>
        </w:rPr>
      </w:pPr>
      <w:r>
        <w:rPr>
          <w:rFonts w:hint="eastAsia" w:ascii="宋体" w:hAnsi="宋体" w:eastAsia="宋体" w:cs="宋体"/>
          <w:b/>
          <w:color w:val="000000"/>
        </w:rPr>
        <w:t>政府采购政策功能落实</w:t>
      </w:r>
    </w:p>
    <w:p w14:paraId="59E95687">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highlight w:val="none"/>
        </w:rPr>
      </w:pPr>
      <w:r>
        <w:rPr>
          <w:rFonts w:hint="eastAsia" w:ascii="宋体" w:hAnsi="宋体" w:eastAsia="宋体" w:cs="宋体"/>
          <w:color w:val="000000"/>
          <w:highlight w:val="none"/>
        </w:rPr>
        <w:t>1、小微型企业价格扣除</w:t>
      </w:r>
    </w:p>
    <w:p w14:paraId="0F59EBDB">
      <w:pPr>
        <w:pStyle w:val="46"/>
        <w:keepNext w:val="0"/>
        <w:keepLines w:val="0"/>
        <w:pageBreakBefore w:val="0"/>
        <w:widowControl w:val="0"/>
        <w:kinsoku/>
        <w:wordWrap/>
        <w:overflowPunct/>
        <w:topLinePunct w:val="0"/>
        <w:autoSpaceDE/>
        <w:autoSpaceDN/>
        <w:bidi w:val="0"/>
        <w:adjustRightInd/>
        <w:snapToGrid/>
        <w:spacing w:before="0" w:after="0" w:line="500" w:lineRule="exact"/>
        <w:ind w:firstLine="360" w:firstLineChars="150"/>
        <w:textAlignment w:val="auto"/>
        <w:rPr>
          <w:rFonts w:hint="eastAsia" w:ascii="宋体" w:hAnsi="宋体" w:eastAsia="宋体" w:cs="宋体"/>
        </w:rPr>
      </w:pPr>
      <w:r>
        <w:rPr>
          <w:rFonts w:hint="eastAsia" w:ascii="宋体" w:hAnsi="宋体" w:eastAsia="宋体" w:cs="宋体"/>
        </w:rPr>
        <w:t>（1）本项目</w:t>
      </w:r>
      <w:r>
        <w:rPr>
          <w:rFonts w:hint="eastAsia" w:ascii="宋体" w:hAnsi="宋体" w:eastAsia="宋体" w:cs="宋体"/>
          <w:lang w:val="en-US" w:eastAsia="zh-CN"/>
        </w:rPr>
        <w:t>非</w:t>
      </w:r>
      <w:r>
        <w:rPr>
          <w:rFonts w:hint="eastAsia" w:ascii="宋体" w:hAnsi="宋体" w:eastAsia="宋体" w:cs="宋体"/>
        </w:rPr>
        <w:t>专门面向中小企业采购，对符合规定的小型和微型企业报价给予20%的扣除价格，用扣除后的价格参与评审。</w:t>
      </w:r>
    </w:p>
    <w:p w14:paraId="27FBD47A">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textAlignment w:val="auto"/>
        <w:rPr>
          <w:rFonts w:hint="eastAsia" w:ascii="宋体" w:hAnsi="宋体" w:eastAsia="宋体" w:cs="宋体"/>
        </w:rPr>
      </w:pPr>
      <w:r>
        <w:rPr>
          <w:rFonts w:hint="eastAsia" w:ascii="宋体" w:hAnsi="宋体" w:eastAsia="宋体" w:cs="宋体"/>
          <w:color w:val="000000"/>
        </w:rPr>
        <w:t>（2）供应商需按照采购文件的要求提供相应的《</w:t>
      </w:r>
      <w:r>
        <w:rPr>
          <w:rFonts w:hint="eastAsia" w:ascii="宋体" w:hAnsi="宋体" w:eastAsia="宋体" w:cs="宋体"/>
        </w:rPr>
        <w:t>中小企业声明函</w:t>
      </w:r>
      <w:r>
        <w:rPr>
          <w:rFonts w:hint="eastAsia" w:ascii="宋体" w:hAnsi="宋体" w:eastAsia="宋体" w:cs="宋体"/>
          <w:color w:val="000000"/>
        </w:rPr>
        <w:t>》。</w:t>
      </w:r>
    </w:p>
    <w:p w14:paraId="39007902">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360"/>
        <w:textAlignment w:val="auto"/>
        <w:rPr>
          <w:rFonts w:hint="eastAsia" w:ascii="宋体" w:hAnsi="宋体" w:eastAsia="宋体" w:cs="宋体"/>
        </w:rPr>
      </w:pPr>
      <w:r>
        <w:rPr>
          <w:rFonts w:hint="eastAsia" w:ascii="宋体" w:hAnsi="宋体" w:eastAsia="宋体" w:cs="宋体"/>
          <w:color w:val="000000"/>
        </w:rPr>
        <w:t>（3）企业标准请参照《关于印发中小企业划型标准规定的通知》（工信部联企业〔2011〕300号）文件规定自行填写。</w:t>
      </w:r>
    </w:p>
    <w:p w14:paraId="4AA2B8E0">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2、残疾人福利单位价格扣除</w:t>
      </w:r>
    </w:p>
    <w:p w14:paraId="350E8B63">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（1）本项目对残疾人福利性单位视同小型、微型企业，给予</w:t>
      </w:r>
      <w:r>
        <w:rPr>
          <w:rFonts w:hint="eastAsia" w:ascii="宋体" w:hAnsi="宋体" w:eastAsia="宋体" w:cs="宋体"/>
          <w:color w:val="000000"/>
          <w:u w:val="single"/>
        </w:rPr>
        <w:t>20%的价格扣除。</w:t>
      </w:r>
    </w:p>
    <w:p w14:paraId="01B0B6EE">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rPr>
      </w:pPr>
      <w:r>
        <w:rPr>
          <w:rFonts w:hint="eastAsia" w:ascii="宋体" w:hAnsi="宋体" w:eastAsia="宋体" w:cs="宋体"/>
          <w:color w:val="000000"/>
        </w:rPr>
        <w:t>（2）残疾人福利单位需按照采购文件的要求提供《残疾人福利性单位声明函》。</w:t>
      </w:r>
    </w:p>
    <w:p w14:paraId="1A81E1F0">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rPr>
      </w:pPr>
      <w:r>
        <w:rPr>
          <w:rFonts w:hint="eastAsia" w:ascii="宋体" w:hAnsi="宋体" w:eastAsia="宋体" w:cs="宋体"/>
          <w:color w:val="000000"/>
        </w:rPr>
        <w:t>（3）残疾人福利单位标准请参照《关于促进残疾人就业政府采购政策的通知》（财库〔2017〕141号）。</w:t>
      </w:r>
    </w:p>
    <w:p w14:paraId="79AF0A37">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3、监狱和戒毒企业价格扣除</w:t>
      </w:r>
    </w:p>
    <w:p w14:paraId="5A2A84FF">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（1）本项目对监狱和戒毒企业（简称监狱企业）视同小型、微型企业，给予</w:t>
      </w:r>
      <w:r>
        <w:rPr>
          <w:rFonts w:hint="eastAsia" w:ascii="宋体" w:hAnsi="宋体" w:eastAsia="宋体" w:cs="宋体"/>
          <w:color w:val="000000"/>
          <w:u w:val="single"/>
        </w:rPr>
        <w:t>20%的价格扣除。</w:t>
      </w:r>
    </w:p>
    <w:p w14:paraId="1E9E244B">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27DCD303">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（3）监狱企业标准请参照《关于政府采购支持监狱企业发展有关问题的通知》（财库〔2014〕68号）。</w:t>
      </w:r>
    </w:p>
    <w:p w14:paraId="2B631B79">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rPr>
      </w:pPr>
      <w:r>
        <w:rPr>
          <w:rFonts w:hint="eastAsia" w:ascii="宋体" w:hAnsi="宋体" w:eastAsia="宋体" w:cs="宋体"/>
          <w:color w:val="000000"/>
        </w:rPr>
        <w:t>4、残疾人福利单位、监狱企业属于小型、微型企业的，不重复享受政策。</w:t>
      </w:r>
    </w:p>
    <w:p w14:paraId="3B264501">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textAlignment w:val="auto"/>
        <w:rPr>
          <w:rFonts w:hint="eastAsia" w:ascii="宋体" w:hAnsi="宋体" w:eastAsia="宋体" w:cs="宋体"/>
          <w:color w:val="000000"/>
        </w:rPr>
      </w:pPr>
      <w:r>
        <w:rPr>
          <w:rFonts w:hint="eastAsia" w:ascii="宋体" w:hAnsi="宋体" w:eastAsia="宋体" w:cs="宋体"/>
          <w:color w:val="00000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u w:val="single"/>
        </w:rPr>
        <w:t>6%</w:t>
      </w:r>
      <w:r>
        <w:rPr>
          <w:rFonts w:hint="eastAsia" w:ascii="宋体" w:hAnsi="宋体" w:eastAsia="宋体" w:cs="宋体"/>
          <w:color w:val="000000"/>
        </w:rPr>
        <w:t>的价格扣除，用扣除后的价格参与评审。</w:t>
      </w:r>
    </w:p>
    <w:p w14:paraId="1C3573CB">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ind w:left="120" w:firstLine="360"/>
        <w:textAlignment w:val="auto"/>
        <w:rPr>
          <w:rFonts w:hint="eastAsia" w:ascii="宋体" w:hAnsi="宋体" w:eastAsia="宋体" w:cs="宋体"/>
          <w:color w:val="000000"/>
          <w:u w:val="single"/>
        </w:rPr>
      </w:pPr>
      <w:r>
        <w:rPr>
          <w:rFonts w:hint="eastAsia" w:ascii="宋体" w:hAnsi="宋体" w:eastAsia="宋体" w:cs="宋体"/>
          <w:color w:val="000000"/>
        </w:rPr>
        <w:t>6、联合体各方均为小型、微型企业（残疾人福利单位、监狱企业）的，联合体享受</w:t>
      </w:r>
      <w:r>
        <w:rPr>
          <w:rFonts w:hint="eastAsia" w:ascii="宋体" w:hAnsi="宋体" w:eastAsia="宋体" w:cs="宋体"/>
          <w:color w:val="000000"/>
          <w:u w:val="single"/>
        </w:rPr>
        <w:t>20%的价格扣除。</w:t>
      </w:r>
    </w:p>
    <w:p w14:paraId="30A072B7">
      <w:pPr>
        <w:keepNext w:val="0"/>
        <w:keepLines w:val="0"/>
        <w:pageBreakBefore w:val="0"/>
        <w:widowControl w:val="0"/>
        <w:kinsoku/>
        <w:wordWrap/>
        <w:overflowPunct/>
        <w:topLinePunct w:val="0"/>
        <w:autoSpaceDE/>
        <w:autoSpaceDN/>
        <w:bidi w:val="0"/>
        <w:adjustRightInd/>
        <w:snapToGrid/>
        <w:spacing w:line="500" w:lineRule="exact"/>
        <w:ind w:firstLine="480"/>
        <w:textAlignment w:val="auto"/>
        <w:rPr>
          <w:rFonts w:hint="eastAsia" w:ascii="宋体" w:hAnsi="宋体" w:eastAsia="宋体" w:cs="宋体"/>
          <w:sz w:val="24"/>
        </w:rPr>
      </w:pPr>
      <w:r>
        <w:rPr>
          <w:rFonts w:hint="eastAsia" w:ascii="宋体" w:hAnsi="宋体" w:eastAsia="宋体" w:cs="宋体"/>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w:t>
      </w:r>
      <w:r>
        <w:rPr>
          <w:rFonts w:hint="eastAsia" w:ascii="宋体" w:hAnsi="宋体" w:eastAsia="宋体" w:cs="宋体"/>
          <w:sz w:val="24"/>
          <w:lang w:val="en-US" w:eastAsia="zh-CN"/>
        </w:rPr>
        <w:t>投标</w:t>
      </w:r>
      <w:r>
        <w:rPr>
          <w:rFonts w:hint="eastAsia" w:ascii="宋体" w:hAnsi="宋体" w:eastAsia="宋体" w:cs="宋体"/>
          <w:sz w:val="24"/>
        </w:rPr>
        <w:t>文件中提供所投产品的相关证书(由国家确定的认证机构出具的、处于有效期之内的节能产品、环境标志产品认证证书)。节能产品、环境标志产品品目清单以递交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sz w:val="24"/>
          <w:lang w:val="en-US" w:eastAsia="zh-CN"/>
        </w:rPr>
        <w:t>投标</w:t>
      </w:r>
      <w:r>
        <w:rPr>
          <w:rFonts w:hint="eastAsia" w:ascii="宋体" w:hAnsi="宋体" w:eastAsia="宋体" w:cs="宋体"/>
          <w:sz w:val="24"/>
        </w:rPr>
        <w:t>文件截止时已正式公布的最近一期信息为准，</w:t>
      </w:r>
      <w:r>
        <w:rPr>
          <w:rFonts w:hint="eastAsia" w:ascii="宋体" w:hAnsi="宋体" w:eastAsia="宋体" w:cs="宋体"/>
          <w:b/>
          <w:i/>
          <w:sz w:val="24"/>
        </w:rPr>
        <w:t>如属政府强制采购产品未提供认证证书的或认证证书提供不全的将视为未实质性响应采购要求</w:t>
      </w:r>
      <w:r>
        <w:rPr>
          <w:rFonts w:hint="eastAsia" w:ascii="宋体" w:hAnsi="宋体" w:eastAsia="宋体" w:cs="宋体"/>
          <w:i/>
          <w:sz w:val="24"/>
        </w:rPr>
        <w:t>。</w:t>
      </w:r>
      <w:r>
        <w:rPr>
          <w:rFonts w:hint="eastAsia" w:ascii="宋体" w:hAnsi="宋体" w:eastAsia="宋体" w:cs="宋体"/>
          <w:sz w:val="24"/>
        </w:rPr>
        <w:t>其他条件相同情况下，应当优先采购节能产品、环境标志产品。</w:t>
      </w:r>
    </w:p>
    <w:p w14:paraId="64EEF4B2">
      <w:pPr>
        <w:pStyle w:val="32"/>
        <w:keepNext w:val="0"/>
        <w:keepLines w:val="0"/>
        <w:pageBreakBefore w:val="0"/>
        <w:widowControl w:val="0"/>
        <w:kinsoku/>
        <w:wordWrap/>
        <w:overflowPunct/>
        <w:topLinePunct w:val="0"/>
        <w:autoSpaceDE/>
        <w:autoSpaceDN/>
        <w:bidi w:val="0"/>
        <w:adjustRightInd/>
        <w:snapToGrid/>
        <w:spacing w:beforeAutospacing="0" w:afterAutospacing="0" w:line="500" w:lineRule="exact"/>
        <w:textAlignment w:val="auto"/>
        <w:rPr>
          <w:rFonts w:hint="eastAsia" w:ascii="宋体" w:hAnsi="宋体" w:eastAsia="宋体" w:cs="宋体"/>
          <w:b/>
          <w:color w:val="000000"/>
        </w:rPr>
      </w:pPr>
      <w:r>
        <w:rPr>
          <w:rFonts w:hint="eastAsia" w:ascii="宋体" w:hAnsi="宋体" w:eastAsia="宋体" w:cs="宋体"/>
          <w:b/>
          <w:color w:val="000000"/>
        </w:rPr>
        <w:t>二、评标方法与评标标准</w:t>
      </w:r>
    </w:p>
    <w:tbl>
      <w:tblPr>
        <w:tblStyle w:val="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1356"/>
        <w:gridCol w:w="890"/>
        <w:gridCol w:w="5690"/>
      </w:tblGrid>
      <w:tr w14:paraId="4510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8" w:type="dxa"/>
            <w:shd w:val="clear" w:color="auto" w:fill="D9E2F3"/>
            <w:vAlign w:val="center"/>
          </w:tcPr>
          <w:p w14:paraId="5F08C473">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val="0"/>
                <w:bCs/>
                <w:sz w:val="21"/>
                <w:szCs w:val="21"/>
                <w:lang w:eastAsia="en-US"/>
              </w:rPr>
            </w:pPr>
            <w:r>
              <w:rPr>
                <w:rFonts w:ascii="宋体" w:hAnsi="宋体" w:eastAsia="宋体" w:cs="Times New Roman"/>
                <w:b w:val="0"/>
                <w:bCs/>
                <w:sz w:val="21"/>
                <w:szCs w:val="21"/>
                <w:lang w:eastAsia="en-US"/>
              </w:rPr>
              <w:t>序号</w:t>
            </w:r>
          </w:p>
        </w:tc>
        <w:tc>
          <w:tcPr>
            <w:tcW w:w="1356" w:type="dxa"/>
            <w:shd w:val="clear" w:color="auto" w:fill="D9E2F3"/>
            <w:vAlign w:val="center"/>
          </w:tcPr>
          <w:p w14:paraId="043919E2">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val="0"/>
                <w:bCs/>
                <w:sz w:val="21"/>
                <w:szCs w:val="21"/>
                <w:lang w:eastAsia="en-US"/>
              </w:rPr>
            </w:pPr>
            <w:r>
              <w:rPr>
                <w:rFonts w:ascii="宋体" w:hAnsi="宋体" w:eastAsia="宋体" w:cs="Times New Roman"/>
                <w:b w:val="0"/>
                <w:bCs/>
                <w:sz w:val="21"/>
                <w:szCs w:val="21"/>
                <w:lang w:eastAsia="en-US"/>
              </w:rPr>
              <w:t>评分项目</w:t>
            </w:r>
          </w:p>
        </w:tc>
        <w:tc>
          <w:tcPr>
            <w:tcW w:w="890" w:type="dxa"/>
            <w:shd w:val="clear" w:color="auto" w:fill="D9E2F3"/>
            <w:vAlign w:val="center"/>
          </w:tcPr>
          <w:p w14:paraId="2C786591">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val="0"/>
                <w:bCs/>
                <w:sz w:val="21"/>
                <w:szCs w:val="21"/>
                <w:lang w:eastAsia="en-US"/>
              </w:rPr>
            </w:pPr>
            <w:r>
              <w:rPr>
                <w:rFonts w:ascii="宋体" w:hAnsi="宋体" w:eastAsia="宋体" w:cs="Times New Roman"/>
                <w:b w:val="0"/>
                <w:bCs/>
                <w:sz w:val="21"/>
                <w:szCs w:val="21"/>
                <w:lang w:eastAsia="en-US"/>
              </w:rPr>
              <w:t>分值</w:t>
            </w:r>
          </w:p>
        </w:tc>
        <w:tc>
          <w:tcPr>
            <w:tcW w:w="5690" w:type="dxa"/>
            <w:shd w:val="clear" w:color="auto" w:fill="D9E2F3"/>
            <w:vAlign w:val="center"/>
          </w:tcPr>
          <w:p w14:paraId="635564ED">
            <w:pPr>
              <w:keepNext w:val="0"/>
              <w:keepLines w:val="0"/>
              <w:pageBreakBefore w:val="0"/>
              <w:widowControl/>
              <w:kinsoku/>
              <w:wordWrap/>
              <w:overflowPunct/>
              <w:topLinePunct w:val="0"/>
              <w:autoSpaceDE/>
              <w:autoSpaceDN/>
              <w:bidi w:val="0"/>
              <w:adjustRightInd/>
              <w:snapToGrid/>
              <w:spacing w:after="0" w:line="360" w:lineRule="exact"/>
              <w:jc w:val="center"/>
              <w:textAlignment w:val="auto"/>
              <w:rPr>
                <w:rFonts w:ascii="宋体" w:hAnsi="宋体" w:eastAsia="宋体" w:cs="Times New Roman"/>
                <w:b w:val="0"/>
                <w:bCs/>
                <w:sz w:val="21"/>
                <w:szCs w:val="21"/>
                <w:lang w:eastAsia="en-US"/>
              </w:rPr>
            </w:pPr>
            <w:r>
              <w:rPr>
                <w:rFonts w:ascii="宋体" w:hAnsi="宋体" w:eastAsia="宋体" w:cs="Times New Roman"/>
                <w:b w:val="0"/>
                <w:bCs/>
                <w:sz w:val="21"/>
                <w:szCs w:val="21"/>
                <w:lang w:eastAsia="en-US"/>
              </w:rPr>
              <w:t>评分标准</w:t>
            </w:r>
          </w:p>
        </w:tc>
      </w:tr>
      <w:tr w14:paraId="5DE9C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8" w:type="dxa"/>
            <w:vAlign w:val="center"/>
          </w:tcPr>
          <w:p w14:paraId="18576570">
            <w:pPr>
              <w:jc w:val="center"/>
              <w:rPr>
                <w:sz w:val="21"/>
                <w:szCs w:val="21"/>
              </w:rPr>
            </w:pPr>
            <w:r>
              <w:rPr>
                <w:sz w:val="21"/>
                <w:szCs w:val="21"/>
              </w:rPr>
              <w:t>1</w:t>
            </w:r>
          </w:p>
        </w:tc>
        <w:tc>
          <w:tcPr>
            <w:tcW w:w="1356" w:type="dxa"/>
            <w:vAlign w:val="center"/>
          </w:tcPr>
          <w:p w14:paraId="6658C2D5">
            <w:pPr>
              <w:jc w:val="center"/>
              <w:rPr>
                <w:sz w:val="21"/>
                <w:szCs w:val="21"/>
              </w:rPr>
            </w:pPr>
            <w:r>
              <w:rPr>
                <w:sz w:val="21"/>
                <w:szCs w:val="21"/>
              </w:rPr>
              <w:t>投标报价</w:t>
            </w:r>
          </w:p>
        </w:tc>
        <w:tc>
          <w:tcPr>
            <w:tcW w:w="890" w:type="dxa"/>
            <w:vAlign w:val="center"/>
          </w:tcPr>
          <w:p w14:paraId="315E5BBF">
            <w:pPr>
              <w:jc w:val="center"/>
              <w:rPr>
                <w:sz w:val="21"/>
                <w:szCs w:val="21"/>
              </w:rPr>
            </w:pPr>
            <w:r>
              <w:rPr>
                <w:sz w:val="21"/>
                <w:szCs w:val="21"/>
              </w:rPr>
              <w:t>20分</w:t>
            </w:r>
          </w:p>
        </w:tc>
        <w:tc>
          <w:tcPr>
            <w:tcW w:w="5690" w:type="dxa"/>
          </w:tcPr>
          <w:p w14:paraId="64F4BABC">
            <w:pPr>
              <w:rPr>
                <w:sz w:val="21"/>
                <w:szCs w:val="21"/>
              </w:rPr>
            </w:pPr>
            <w:r>
              <w:rPr>
                <w:sz w:val="21"/>
                <w:szCs w:val="21"/>
              </w:rPr>
              <w:t>1、评标总价是指通过资格审查、符合性检查且实质性响应招标文件要求，按规定进行价格扣除后的总价。</w:t>
            </w:r>
            <w:r>
              <w:rPr>
                <w:sz w:val="21"/>
                <w:szCs w:val="21"/>
              </w:rPr>
              <w:br w:type="textWrapping"/>
            </w:r>
            <w:r>
              <w:rPr>
                <w:sz w:val="21"/>
                <w:szCs w:val="21"/>
              </w:rPr>
              <w:t>2、评标基准价=评标总价中的最低总价。</w:t>
            </w:r>
            <w:r>
              <w:rPr>
                <w:sz w:val="21"/>
                <w:szCs w:val="21"/>
              </w:rPr>
              <w:br w:type="textWrapping"/>
            </w:r>
            <w:r>
              <w:rPr>
                <w:sz w:val="21"/>
                <w:szCs w:val="21"/>
              </w:rPr>
              <w:t>3、当</w:t>
            </w:r>
            <w:r>
              <w:rPr>
                <w:rFonts w:hint="eastAsia"/>
                <w:sz w:val="21"/>
                <w:szCs w:val="21"/>
                <w:lang w:eastAsia="zh-CN"/>
              </w:rPr>
              <w:t>供应商</w:t>
            </w:r>
            <w:r>
              <w:rPr>
                <w:sz w:val="21"/>
                <w:szCs w:val="21"/>
              </w:rPr>
              <w:t>的评标总价等于评标基准价的得20分，其他</w:t>
            </w:r>
            <w:r>
              <w:rPr>
                <w:rFonts w:hint="eastAsia"/>
                <w:sz w:val="21"/>
                <w:szCs w:val="21"/>
                <w:lang w:eastAsia="zh-CN"/>
              </w:rPr>
              <w:t>供应商</w:t>
            </w:r>
            <w:r>
              <w:rPr>
                <w:sz w:val="21"/>
                <w:szCs w:val="21"/>
              </w:rPr>
              <w:t>的价格部分按照下列公式计算：评标总价得分=（评标基准价/评标总价）×20分（计算结果保留2位小数，第三位四舍五入）。</w:t>
            </w:r>
          </w:p>
        </w:tc>
      </w:tr>
      <w:tr w14:paraId="2B668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8" w:type="dxa"/>
            <w:vAlign w:val="center"/>
          </w:tcPr>
          <w:p w14:paraId="1E42FC6E">
            <w:pPr>
              <w:jc w:val="center"/>
              <w:rPr>
                <w:sz w:val="21"/>
                <w:szCs w:val="21"/>
              </w:rPr>
            </w:pPr>
            <w:r>
              <w:rPr>
                <w:sz w:val="21"/>
                <w:szCs w:val="21"/>
              </w:rPr>
              <w:t>2</w:t>
            </w:r>
          </w:p>
        </w:tc>
        <w:tc>
          <w:tcPr>
            <w:tcW w:w="1356" w:type="dxa"/>
            <w:vAlign w:val="center"/>
          </w:tcPr>
          <w:p w14:paraId="1D4F5C8B">
            <w:pPr>
              <w:jc w:val="center"/>
              <w:rPr>
                <w:sz w:val="21"/>
                <w:szCs w:val="21"/>
              </w:rPr>
            </w:pPr>
            <w:r>
              <w:rPr>
                <w:sz w:val="21"/>
                <w:szCs w:val="21"/>
              </w:rPr>
              <w:t>企业业绩</w:t>
            </w:r>
          </w:p>
        </w:tc>
        <w:tc>
          <w:tcPr>
            <w:tcW w:w="890" w:type="dxa"/>
            <w:vAlign w:val="center"/>
          </w:tcPr>
          <w:p w14:paraId="742823F5">
            <w:pPr>
              <w:jc w:val="center"/>
              <w:rPr>
                <w:sz w:val="21"/>
                <w:szCs w:val="21"/>
              </w:rPr>
            </w:pPr>
            <w:r>
              <w:rPr>
                <w:rFonts w:hint="eastAsia"/>
                <w:sz w:val="21"/>
                <w:szCs w:val="21"/>
                <w:lang w:val="en-US" w:eastAsia="zh-CN"/>
              </w:rPr>
              <w:t>9</w:t>
            </w:r>
            <w:r>
              <w:rPr>
                <w:sz w:val="21"/>
                <w:szCs w:val="21"/>
              </w:rPr>
              <w:t>分</w:t>
            </w:r>
          </w:p>
        </w:tc>
        <w:tc>
          <w:tcPr>
            <w:tcW w:w="5690" w:type="dxa"/>
          </w:tcPr>
          <w:p w14:paraId="40C383CC">
            <w:pPr>
              <w:rPr>
                <w:rFonts w:hint="eastAsia"/>
                <w:sz w:val="21"/>
                <w:szCs w:val="21"/>
                <w:highlight w:val="none"/>
                <w:lang w:val="en-US" w:eastAsia="zh-CN"/>
              </w:rPr>
            </w:pPr>
            <w:r>
              <w:rPr>
                <w:rFonts w:hint="eastAsia"/>
                <w:sz w:val="21"/>
                <w:szCs w:val="21"/>
                <w:lang w:eastAsia="zh-CN"/>
              </w:rPr>
              <w:t>供应商</w:t>
            </w:r>
            <w:r>
              <w:rPr>
                <w:sz w:val="21"/>
                <w:szCs w:val="21"/>
              </w:rPr>
              <w:t>自2023年1月1日（业绩时间以</w:t>
            </w:r>
            <w:r>
              <w:rPr>
                <w:rFonts w:hint="eastAsia"/>
                <w:sz w:val="21"/>
                <w:szCs w:val="21"/>
                <w:highlight w:val="none"/>
                <w:lang w:eastAsia="zh-CN"/>
              </w:rPr>
              <w:t>文件</w:t>
            </w:r>
            <w:r>
              <w:rPr>
                <w:sz w:val="21"/>
                <w:szCs w:val="21"/>
                <w:highlight w:val="none"/>
              </w:rPr>
              <w:t>合同签订时间或发票结账时间为准）以来，承担过党政机关会议</w:t>
            </w:r>
            <w:r>
              <w:rPr>
                <w:rFonts w:hint="eastAsia"/>
                <w:sz w:val="21"/>
                <w:szCs w:val="21"/>
                <w:highlight w:val="none"/>
                <w:lang w:eastAsia="zh-CN"/>
              </w:rPr>
              <w:t>定点</w:t>
            </w:r>
            <w:r>
              <w:rPr>
                <w:sz w:val="21"/>
                <w:szCs w:val="21"/>
                <w:highlight w:val="none"/>
              </w:rPr>
              <w:t>服务</w:t>
            </w:r>
            <w:r>
              <w:rPr>
                <w:rFonts w:hint="eastAsia"/>
                <w:sz w:val="21"/>
                <w:szCs w:val="21"/>
                <w:highlight w:val="none"/>
                <w:lang w:eastAsia="zh-CN"/>
              </w:rPr>
              <w:t>的得</w:t>
            </w:r>
            <w:r>
              <w:rPr>
                <w:rFonts w:hint="eastAsia"/>
                <w:sz w:val="21"/>
                <w:szCs w:val="21"/>
                <w:highlight w:val="none"/>
                <w:lang w:val="en-US" w:eastAsia="zh-CN"/>
              </w:rPr>
              <w:t>5分；为机关事业单位提供</w:t>
            </w:r>
            <w:r>
              <w:rPr>
                <w:sz w:val="21"/>
                <w:szCs w:val="21"/>
                <w:highlight w:val="none"/>
              </w:rPr>
              <w:t>会议服务、政府机关会务接待等类似会务服务项目的，每提供一个得</w:t>
            </w:r>
            <w:r>
              <w:rPr>
                <w:rFonts w:hint="eastAsia"/>
                <w:sz w:val="21"/>
                <w:szCs w:val="21"/>
                <w:highlight w:val="none"/>
                <w:lang w:val="en-US" w:eastAsia="zh-CN"/>
              </w:rPr>
              <w:t>1</w:t>
            </w:r>
            <w:r>
              <w:rPr>
                <w:sz w:val="21"/>
                <w:szCs w:val="21"/>
                <w:highlight w:val="none"/>
              </w:rPr>
              <w:t>分</w:t>
            </w:r>
            <w:r>
              <w:rPr>
                <w:rFonts w:hint="eastAsia"/>
                <w:sz w:val="21"/>
                <w:szCs w:val="21"/>
                <w:highlight w:val="none"/>
                <w:lang w:val="en-US" w:eastAsia="zh-CN"/>
              </w:rPr>
              <w:t>.。</w:t>
            </w:r>
          </w:p>
          <w:p w14:paraId="2CA74DD7">
            <w:pPr>
              <w:rPr>
                <w:sz w:val="21"/>
                <w:szCs w:val="21"/>
                <w:highlight w:val="none"/>
              </w:rPr>
            </w:pPr>
            <w:r>
              <w:rPr>
                <w:sz w:val="21"/>
                <w:szCs w:val="21"/>
                <w:highlight w:val="none"/>
              </w:rPr>
              <w:t>本项最高得9分。</w:t>
            </w:r>
            <w:r>
              <w:rPr>
                <w:sz w:val="21"/>
                <w:szCs w:val="21"/>
                <w:highlight w:val="none"/>
              </w:rPr>
              <w:br w:type="textWrapping"/>
            </w:r>
            <w:r>
              <w:rPr>
                <w:sz w:val="21"/>
                <w:szCs w:val="21"/>
                <w:highlight w:val="none"/>
              </w:rPr>
              <w:t>注：</w:t>
            </w:r>
          </w:p>
          <w:p w14:paraId="02DF0BF6">
            <w:pPr>
              <w:rPr>
                <w:rFonts w:hint="eastAsia"/>
                <w:sz w:val="21"/>
                <w:szCs w:val="21"/>
              </w:rPr>
            </w:pPr>
            <w:r>
              <w:rPr>
                <w:sz w:val="21"/>
                <w:szCs w:val="21"/>
                <w:highlight w:val="none"/>
              </w:rPr>
              <w:t>投标时</w:t>
            </w:r>
            <w:r>
              <w:rPr>
                <w:rFonts w:hint="eastAsia"/>
                <w:sz w:val="21"/>
                <w:szCs w:val="21"/>
                <w:highlight w:val="none"/>
                <w:lang w:val="en-US" w:eastAsia="zh-CN"/>
              </w:rPr>
              <w:t>提供</w:t>
            </w:r>
            <w:r>
              <w:rPr>
                <w:rFonts w:hint="eastAsia"/>
                <w:sz w:val="21"/>
                <w:szCs w:val="21"/>
                <w:highlight w:val="none"/>
              </w:rPr>
              <w:t>业绩证明材料（提供以下任意一种即可</w:t>
            </w:r>
            <w:r>
              <w:rPr>
                <w:rFonts w:hint="eastAsia"/>
                <w:sz w:val="21"/>
                <w:szCs w:val="21"/>
              </w:rPr>
              <w:t>）：</w:t>
            </w:r>
          </w:p>
          <w:p w14:paraId="07010D5C">
            <w:pPr>
              <w:rPr>
                <w:rFonts w:hint="eastAsia"/>
                <w:sz w:val="21"/>
                <w:szCs w:val="21"/>
              </w:rPr>
            </w:pPr>
            <w:r>
              <w:rPr>
                <w:rFonts w:hint="eastAsia"/>
                <w:sz w:val="21"/>
                <w:szCs w:val="21"/>
              </w:rPr>
              <w:t>①合同关键页扫描件（含合同首页、服务内容页、签字盖章页）；</w:t>
            </w:r>
          </w:p>
          <w:p w14:paraId="160F4F3C">
            <w:pPr>
              <w:rPr>
                <w:rFonts w:hint="eastAsia"/>
                <w:sz w:val="21"/>
                <w:szCs w:val="21"/>
                <w:highlight w:val="none"/>
              </w:rPr>
            </w:pPr>
            <w:r>
              <w:rPr>
                <w:rFonts w:hint="eastAsia"/>
                <w:sz w:val="21"/>
                <w:szCs w:val="21"/>
              </w:rPr>
              <w:t>②</w:t>
            </w:r>
            <w:r>
              <w:rPr>
                <w:rFonts w:hint="eastAsia"/>
                <w:sz w:val="21"/>
                <w:szCs w:val="21"/>
                <w:highlight w:val="none"/>
              </w:rPr>
              <w:t xml:space="preserve"> </w:t>
            </w:r>
            <w:r>
              <w:rPr>
                <w:rFonts w:hint="eastAsia"/>
                <w:sz w:val="21"/>
                <w:szCs w:val="21"/>
                <w:highlight w:val="none"/>
                <w:lang w:eastAsia="zh-CN"/>
              </w:rPr>
              <w:t>会议</w:t>
            </w:r>
            <w:r>
              <w:rPr>
                <w:rFonts w:hint="eastAsia"/>
                <w:sz w:val="21"/>
                <w:szCs w:val="21"/>
                <w:highlight w:val="none"/>
              </w:rPr>
              <w:t>定点服务文件扫描件；</w:t>
            </w:r>
          </w:p>
          <w:p w14:paraId="035E70A8">
            <w:pPr>
              <w:rPr>
                <w:rFonts w:hint="eastAsia"/>
                <w:sz w:val="21"/>
                <w:szCs w:val="21"/>
                <w:highlight w:val="none"/>
              </w:rPr>
            </w:pPr>
            <w:r>
              <w:rPr>
                <w:rFonts w:hint="eastAsia"/>
                <w:sz w:val="21"/>
                <w:szCs w:val="21"/>
                <w:highlight w:val="none"/>
              </w:rPr>
              <w:t>③ 发票及结账凭证扫描件</w:t>
            </w:r>
            <w:r>
              <w:rPr>
                <w:sz w:val="21"/>
                <w:szCs w:val="21"/>
                <w:highlight w:val="none"/>
              </w:rPr>
              <w:t>（须能体现服务内容、</w:t>
            </w:r>
            <w:r>
              <w:rPr>
                <w:rFonts w:hint="eastAsia"/>
                <w:sz w:val="21"/>
                <w:szCs w:val="21"/>
                <w:highlight w:val="none"/>
                <w:lang w:eastAsia="zh-CN"/>
              </w:rPr>
              <w:t>被</w:t>
            </w:r>
            <w:r>
              <w:rPr>
                <w:sz w:val="21"/>
                <w:szCs w:val="21"/>
                <w:highlight w:val="none"/>
              </w:rPr>
              <w:t>服务单位）</w:t>
            </w:r>
            <w:r>
              <w:rPr>
                <w:rFonts w:hint="eastAsia"/>
                <w:sz w:val="21"/>
                <w:szCs w:val="21"/>
                <w:highlight w:val="none"/>
              </w:rPr>
              <w:t>。</w:t>
            </w:r>
          </w:p>
          <w:p w14:paraId="0C1173BD">
            <w:pPr>
              <w:rPr>
                <w:sz w:val="21"/>
                <w:szCs w:val="21"/>
              </w:rPr>
            </w:pPr>
            <w:r>
              <w:rPr>
                <w:sz w:val="21"/>
                <w:szCs w:val="21"/>
              </w:rPr>
              <w:t>未提供或提供不全的不得分。</w:t>
            </w:r>
          </w:p>
        </w:tc>
      </w:tr>
      <w:tr w14:paraId="7066C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8" w:type="dxa"/>
            <w:vAlign w:val="center"/>
          </w:tcPr>
          <w:p w14:paraId="7CF513E3">
            <w:pPr>
              <w:jc w:val="center"/>
              <w:rPr>
                <w:sz w:val="21"/>
                <w:szCs w:val="21"/>
              </w:rPr>
            </w:pPr>
            <w:r>
              <w:rPr>
                <w:sz w:val="21"/>
                <w:szCs w:val="21"/>
              </w:rPr>
              <w:t>3</w:t>
            </w:r>
          </w:p>
        </w:tc>
        <w:tc>
          <w:tcPr>
            <w:tcW w:w="1356" w:type="dxa"/>
            <w:vAlign w:val="center"/>
          </w:tcPr>
          <w:p w14:paraId="57AF32A1">
            <w:pPr>
              <w:jc w:val="center"/>
              <w:rPr>
                <w:rFonts w:hint="eastAsia" w:eastAsiaTheme="minorEastAsia"/>
                <w:b w:val="0"/>
                <w:bCs w:val="0"/>
                <w:sz w:val="21"/>
                <w:szCs w:val="21"/>
                <w:lang w:val="en-US" w:eastAsia="zh-CN"/>
              </w:rPr>
            </w:pPr>
            <w:r>
              <w:rPr>
                <w:b w:val="0"/>
                <w:bCs w:val="0"/>
                <w:sz w:val="21"/>
                <w:szCs w:val="21"/>
              </w:rPr>
              <w:t>场地</w:t>
            </w:r>
            <w:r>
              <w:rPr>
                <w:rFonts w:hint="eastAsia"/>
                <w:b w:val="0"/>
                <w:bCs w:val="0"/>
                <w:sz w:val="21"/>
                <w:szCs w:val="21"/>
                <w:lang w:val="en-US" w:eastAsia="zh-CN"/>
              </w:rPr>
              <w:t>配置</w:t>
            </w:r>
          </w:p>
        </w:tc>
        <w:tc>
          <w:tcPr>
            <w:tcW w:w="890" w:type="dxa"/>
            <w:vAlign w:val="center"/>
          </w:tcPr>
          <w:p w14:paraId="72834B25">
            <w:pPr>
              <w:jc w:val="center"/>
              <w:rPr>
                <w:b w:val="0"/>
                <w:bCs w:val="0"/>
                <w:sz w:val="21"/>
                <w:szCs w:val="21"/>
              </w:rPr>
            </w:pPr>
            <w:r>
              <w:rPr>
                <w:rFonts w:hint="eastAsia"/>
                <w:b w:val="0"/>
                <w:bCs w:val="0"/>
                <w:sz w:val="21"/>
                <w:szCs w:val="21"/>
                <w:lang w:val="en-US" w:eastAsia="zh-CN"/>
              </w:rPr>
              <w:t>12</w:t>
            </w:r>
            <w:r>
              <w:rPr>
                <w:b w:val="0"/>
                <w:bCs w:val="0"/>
                <w:sz w:val="21"/>
                <w:szCs w:val="21"/>
              </w:rPr>
              <w:t>分</w:t>
            </w:r>
          </w:p>
        </w:tc>
        <w:tc>
          <w:tcPr>
            <w:tcW w:w="5690" w:type="dxa"/>
          </w:tcPr>
          <w:p w14:paraId="5772B83D">
            <w:pPr>
              <w:numPr>
                <w:ilvl w:val="0"/>
                <w:numId w:val="0"/>
              </w:num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具备</w:t>
            </w:r>
            <w:r>
              <w:rPr>
                <w:rFonts w:hint="eastAsia" w:ascii="宋体" w:hAnsi="宋体" w:eastAsia="宋体" w:cs="宋体"/>
                <w:b w:val="0"/>
                <w:bCs w:val="0"/>
                <w:sz w:val="21"/>
                <w:szCs w:val="21"/>
                <w:lang w:val="en-US" w:eastAsia="zh-CN"/>
              </w:rPr>
              <w:t>可容纳≥10</w:t>
            </w:r>
            <w:r>
              <w:rPr>
                <w:rFonts w:hint="eastAsia" w:ascii="宋体" w:hAnsi="宋体" w:eastAsia="宋体" w:cs="宋体"/>
                <w:b w:val="0"/>
                <w:bCs w:val="0"/>
                <w:sz w:val="21"/>
                <w:szCs w:val="21"/>
              </w:rPr>
              <w:t>00人大型会议室1间的，得</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分</w:t>
            </w:r>
            <w:r>
              <w:rPr>
                <w:rFonts w:hint="eastAsia" w:ascii="宋体" w:hAnsi="宋体" w:eastAsia="宋体" w:cs="宋体"/>
                <w:b w:val="0"/>
                <w:bCs w:val="0"/>
                <w:sz w:val="21"/>
                <w:szCs w:val="21"/>
                <w:lang w:eastAsia="zh-CN"/>
              </w:rPr>
              <w:t>；</w:t>
            </w:r>
          </w:p>
          <w:p w14:paraId="256D4B34">
            <w:pPr>
              <w:numPr>
                <w:ilvl w:val="0"/>
                <w:numId w:val="0"/>
              </w:num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具备</w:t>
            </w:r>
            <w:r>
              <w:rPr>
                <w:rFonts w:hint="eastAsia" w:ascii="宋体" w:hAnsi="宋体" w:eastAsia="宋体" w:cs="宋体"/>
                <w:b w:val="0"/>
                <w:bCs w:val="0"/>
                <w:sz w:val="21"/>
                <w:szCs w:val="21"/>
                <w:lang w:val="en-US" w:eastAsia="zh-CN"/>
              </w:rPr>
              <w:t>可容纳≥</w:t>
            </w:r>
            <w:r>
              <w:rPr>
                <w:rFonts w:hint="eastAsia" w:ascii="宋体" w:hAnsi="宋体" w:eastAsia="宋体" w:cs="宋体"/>
                <w:b w:val="0"/>
                <w:bCs w:val="0"/>
                <w:sz w:val="21"/>
                <w:szCs w:val="21"/>
              </w:rPr>
              <w:t>100</w:t>
            </w:r>
            <w:r>
              <w:rPr>
                <w:rFonts w:hint="eastAsia" w:ascii="宋体" w:hAnsi="宋体" w:eastAsia="宋体" w:cs="宋体"/>
                <w:b w:val="0"/>
                <w:bCs w:val="0"/>
                <w:sz w:val="21"/>
                <w:szCs w:val="21"/>
                <w:lang w:val="en-US" w:eastAsia="zh-CN"/>
              </w:rPr>
              <w:t>人且≤</w:t>
            </w:r>
            <w:r>
              <w:rPr>
                <w:rFonts w:hint="eastAsia" w:ascii="宋体" w:hAnsi="宋体" w:eastAsia="宋体" w:cs="宋体"/>
                <w:b w:val="0"/>
                <w:bCs w:val="0"/>
                <w:sz w:val="21"/>
                <w:szCs w:val="21"/>
              </w:rPr>
              <w:t>300人中型会议室</w:t>
            </w:r>
            <w:r>
              <w:rPr>
                <w:rFonts w:hint="eastAsia" w:ascii="宋体" w:hAnsi="宋体" w:eastAsia="宋体" w:cs="宋体"/>
                <w:b w:val="0"/>
                <w:bCs w:val="0"/>
                <w:sz w:val="21"/>
                <w:szCs w:val="21"/>
                <w:lang w:eastAsia="zh-CN"/>
              </w:rPr>
              <w:t>共计</w:t>
            </w:r>
            <w:r>
              <w:rPr>
                <w:rFonts w:hint="eastAsia" w:ascii="宋体" w:hAnsi="宋体" w:eastAsia="宋体" w:cs="宋体"/>
                <w:b w:val="0"/>
                <w:bCs w:val="0"/>
                <w:sz w:val="21"/>
                <w:szCs w:val="21"/>
              </w:rPr>
              <w:t>3间的，得</w:t>
            </w: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分</w:t>
            </w:r>
            <w:r>
              <w:rPr>
                <w:rFonts w:hint="eastAsia" w:ascii="宋体" w:hAnsi="宋体" w:eastAsia="宋体" w:cs="宋体"/>
                <w:b w:val="0"/>
                <w:bCs w:val="0"/>
                <w:sz w:val="21"/>
                <w:szCs w:val="21"/>
                <w:lang w:eastAsia="zh-CN"/>
              </w:rPr>
              <w:t>，</w:t>
            </w:r>
            <w:r>
              <w:rPr>
                <w:rFonts w:ascii="宋体" w:hAnsi="宋体" w:eastAsia="宋体" w:cs="宋体"/>
                <w:sz w:val="21"/>
                <w:szCs w:val="21"/>
              </w:rPr>
              <w:t>未足额配齐3间的，本项不得分</w:t>
            </w:r>
            <w:r>
              <w:rPr>
                <w:rFonts w:hint="eastAsia" w:ascii="宋体" w:hAnsi="宋体" w:eastAsia="宋体" w:cs="宋体"/>
                <w:b w:val="0"/>
                <w:bCs w:val="0"/>
                <w:sz w:val="21"/>
                <w:szCs w:val="21"/>
                <w:lang w:eastAsia="zh-CN"/>
              </w:rPr>
              <w:t>；</w:t>
            </w:r>
          </w:p>
          <w:p w14:paraId="0EF8F66A">
            <w:p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具备</w:t>
            </w:r>
            <w:r>
              <w:rPr>
                <w:rFonts w:hint="eastAsia" w:ascii="宋体" w:hAnsi="宋体" w:eastAsia="宋体" w:cs="宋体"/>
                <w:b w:val="0"/>
                <w:bCs w:val="0"/>
                <w:sz w:val="21"/>
                <w:szCs w:val="21"/>
                <w:lang w:eastAsia="zh-CN"/>
              </w:rPr>
              <w:t>可容纳＜</w:t>
            </w:r>
            <w:r>
              <w:rPr>
                <w:rFonts w:hint="eastAsia" w:ascii="宋体" w:hAnsi="宋体" w:eastAsia="宋体" w:cs="宋体"/>
                <w:b w:val="0"/>
                <w:bCs w:val="0"/>
                <w:sz w:val="21"/>
                <w:szCs w:val="21"/>
              </w:rPr>
              <w:t>100人小型会议室</w:t>
            </w:r>
            <w:r>
              <w:rPr>
                <w:rFonts w:hint="eastAsia" w:ascii="宋体" w:hAnsi="宋体" w:eastAsia="宋体" w:cs="宋体"/>
                <w:b w:val="0"/>
                <w:bCs w:val="0"/>
                <w:sz w:val="21"/>
                <w:szCs w:val="21"/>
                <w:lang w:eastAsia="zh-CN"/>
              </w:rPr>
              <w:t>共计</w:t>
            </w:r>
            <w:r>
              <w:rPr>
                <w:rFonts w:hint="eastAsia" w:ascii="宋体" w:hAnsi="宋体" w:eastAsia="宋体" w:cs="宋体"/>
                <w:b w:val="0"/>
                <w:bCs w:val="0"/>
                <w:sz w:val="21"/>
                <w:szCs w:val="21"/>
              </w:rPr>
              <w:t>4间的，得</w:t>
            </w: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分</w:t>
            </w:r>
            <w:r>
              <w:rPr>
                <w:rFonts w:hint="eastAsia" w:ascii="宋体" w:hAnsi="宋体" w:eastAsia="宋体" w:cs="宋体"/>
                <w:b w:val="0"/>
                <w:bCs w:val="0"/>
                <w:sz w:val="21"/>
                <w:szCs w:val="21"/>
                <w:lang w:eastAsia="zh-CN"/>
              </w:rPr>
              <w:t>，</w:t>
            </w:r>
            <w:r>
              <w:rPr>
                <w:rFonts w:ascii="宋体" w:hAnsi="宋体" w:eastAsia="宋体" w:cs="宋体"/>
                <w:sz w:val="21"/>
                <w:szCs w:val="21"/>
              </w:rPr>
              <w:t>未足额配齐</w:t>
            </w:r>
            <w:r>
              <w:rPr>
                <w:rFonts w:hint="eastAsia" w:ascii="宋体" w:hAnsi="宋体" w:eastAsia="宋体" w:cs="宋体"/>
                <w:sz w:val="21"/>
                <w:szCs w:val="21"/>
                <w:lang w:val="en-US" w:eastAsia="zh-CN"/>
              </w:rPr>
              <w:t>4</w:t>
            </w:r>
            <w:r>
              <w:rPr>
                <w:rFonts w:ascii="宋体" w:hAnsi="宋体" w:eastAsia="宋体" w:cs="宋体"/>
                <w:sz w:val="21"/>
                <w:szCs w:val="21"/>
              </w:rPr>
              <w:t>间的，本项不得分</w:t>
            </w:r>
            <w:r>
              <w:rPr>
                <w:rFonts w:hint="eastAsia" w:ascii="宋体" w:hAnsi="宋体" w:eastAsia="宋体" w:cs="宋体"/>
                <w:b w:val="0"/>
                <w:bCs w:val="0"/>
                <w:sz w:val="21"/>
                <w:szCs w:val="21"/>
                <w:lang w:eastAsia="zh-CN"/>
              </w:rPr>
              <w:t>。</w:t>
            </w:r>
          </w:p>
          <w:p w14:paraId="7BA26299">
            <w:p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注：</w:t>
            </w:r>
          </w:p>
          <w:p w14:paraId="24CE490B">
            <w:pPr>
              <w:numPr>
                <w:ilvl w:val="0"/>
                <w:numId w:val="0"/>
              </w:numPr>
              <w:ind w:leftChars="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1.</w:t>
            </w:r>
            <w:r>
              <w:rPr>
                <w:rFonts w:ascii="宋体" w:hAnsi="宋体" w:eastAsia="宋体" w:cs="宋体"/>
                <w:b w:val="0"/>
                <w:bCs w:val="0"/>
                <w:sz w:val="21"/>
                <w:szCs w:val="21"/>
              </w:rPr>
              <w:t>会议室容纳人数按</w:t>
            </w:r>
            <w:r>
              <w:rPr>
                <w:rStyle w:val="40"/>
                <w:rFonts w:ascii="宋体" w:hAnsi="宋体" w:eastAsia="宋体" w:cs="宋体"/>
                <w:b w:val="0"/>
                <w:bCs w:val="0"/>
                <w:sz w:val="21"/>
                <w:szCs w:val="21"/>
              </w:rPr>
              <w:t>课桌式摆放</w:t>
            </w:r>
            <w:r>
              <w:rPr>
                <w:rFonts w:ascii="宋体" w:hAnsi="宋体" w:eastAsia="宋体" w:cs="宋体"/>
                <w:b w:val="0"/>
                <w:bCs w:val="0"/>
                <w:sz w:val="21"/>
                <w:szCs w:val="21"/>
              </w:rPr>
              <w:t>核算；同一间会议室不得重复计入不同规模会议室类别</w:t>
            </w:r>
            <w:r>
              <w:rPr>
                <w:rFonts w:hint="eastAsia" w:ascii="宋体" w:hAnsi="宋体" w:eastAsia="宋体" w:cs="宋体"/>
                <w:b w:val="0"/>
                <w:bCs w:val="0"/>
                <w:sz w:val="21"/>
                <w:szCs w:val="21"/>
                <w:lang w:eastAsia="zh-CN"/>
              </w:rPr>
              <w:t>。</w:t>
            </w:r>
          </w:p>
          <w:p w14:paraId="2D82644B">
            <w:pPr>
              <w:numPr>
                <w:ilvl w:val="0"/>
                <w:numId w:val="0"/>
              </w:numPr>
              <w:ind w:leftChars="0"/>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2.</w:t>
            </w:r>
            <w:r>
              <w:rPr>
                <w:rFonts w:ascii="宋体" w:hAnsi="宋体" w:eastAsia="宋体" w:cs="宋体"/>
                <w:b w:val="0"/>
                <w:bCs w:val="0"/>
                <w:sz w:val="21"/>
                <w:szCs w:val="21"/>
              </w:rPr>
              <w:t>投标时须提供以下证明材料，</w:t>
            </w:r>
            <w:r>
              <w:rPr>
                <w:rStyle w:val="40"/>
                <w:rFonts w:ascii="宋体" w:hAnsi="宋体" w:eastAsia="宋体" w:cs="宋体"/>
                <w:b w:val="0"/>
                <w:bCs w:val="0"/>
                <w:sz w:val="21"/>
                <w:szCs w:val="21"/>
              </w:rPr>
              <w:t>材料缺失、无法佐证条件的，对应子项不得分</w:t>
            </w:r>
            <w:r>
              <w:rPr>
                <w:rFonts w:hint="eastAsia" w:ascii="宋体" w:hAnsi="宋体" w:eastAsia="宋体" w:cs="宋体"/>
                <w:b w:val="0"/>
                <w:bCs w:val="0"/>
                <w:sz w:val="21"/>
                <w:szCs w:val="21"/>
                <w:lang w:eastAsia="zh-CN"/>
              </w:rPr>
              <w:t>：</w:t>
            </w:r>
          </w:p>
          <w:p w14:paraId="603A0107">
            <w:p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lang w:eastAsia="zh-CN"/>
              </w:rPr>
              <w:t>场地权属证明：场地的房屋产权证明扫描件，或租赁合同扫描件（</w:t>
            </w:r>
            <w:r>
              <w:rPr>
                <w:rFonts w:ascii="宋体" w:hAnsi="宋体" w:eastAsia="宋体" w:cs="宋体"/>
                <w:sz w:val="21"/>
                <w:szCs w:val="21"/>
              </w:rPr>
              <w:t>合同有效期须覆盖本项目全部履约期限，须同时附出租方的产权证明</w:t>
            </w:r>
            <w:r>
              <w:rPr>
                <w:rFonts w:hint="eastAsia" w:ascii="宋体" w:hAnsi="宋体" w:eastAsia="宋体" w:cs="宋体"/>
                <w:b w:val="0"/>
                <w:bCs w:val="0"/>
                <w:sz w:val="21"/>
                <w:szCs w:val="21"/>
                <w:lang w:eastAsia="zh-CN"/>
              </w:rPr>
              <w:t>），证明供应商对该场地拥有合法使用权；</w:t>
            </w:r>
          </w:p>
          <w:p w14:paraId="30332AF6">
            <w:p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lang w:eastAsia="zh-CN"/>
              </w:rPr>
              <w:t>各会议室基本情况证明：</w:t>
            </w:r>
          </w:p>
          <w:p w14:paraId="417A9AD1">
            <w:p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  场地平面布局图（标注各会议室名称、面积、座位数）；</w:t>
            </w:r>
          </w:p>
          <w:p w14:paraId="17E3B6CD">
            <w:p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 xml:space="preserve">  各会议室内部全景照片（</w:t>
            </w:r>
            <w:r>
              <w:rPr>
                <w:rFonts w:ascii="宋体" w:hAnsi="宋体" w:eastAsia="宋体" w:cs="宋体"/>
                <w:sz w:val="21"/>
                <w:szCs w:val="21"/>
              </w:rPr>
              <w:t>投标截止日前3个月内拍摄</w:t>
            </w:r>
            <w:r>
              <w:rPr>
                <w:rFonts w:hint="eastAsia" w:ascii="宋体" w:hAnsi="宋体" w:eastAsia="宋体" w:cs="宋体"/>
                <w:sz w:val="21"/>
                <w:szCs w:val="21"/>
                <w:lang w:eastAsia="zh-CN"/>
              </w:rPr>
              <w:t>，</w:t>
            </w:r>
            <w:r>
              <w:rPr>
                <w:rFonts w:ascii="宋体" w:hAnsi="宋体" w:eastAsia="宋体" w:cs="宋体"/>
                <w:sz w:val="21"/>
                <w:szCs w:val="21"/>
              </w:rPr>
              <w:t>能够清晰辨识会议室空间大小与布局）</w:t>
            </w:r>
            <w:r>
              <w:rPr>
                <w:rFonts w:hint="eastAsia" w:ascii="宋体" w:hAnsi="宋体" w:eastAsia="宋体" w:cs="宋体"/>
                <w:b w:val="0"/>
                <w:bCs w:val="0"/>
                <w:sz w:val="21"/>
                <w:szCs w:val="21"/>
                <w:lang w:eastAsia="zh-CN"/>
              </w:rPr>
              <w:t>；</w:t>
            </w:r>
          </w:p>
          <w:p w14:paraId="0F3439AD">
            <w:pPr>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lang w:eastAsia="zh-CN"/>
              </w:rPr>
              <w:t>座位数佐证材料：</w:t>
            </w:r>
            <w:r>
              <w:rPr>
                <w:rFonts w:ascii="宋体" w:hAnsi="宋体" w:eastAsia="宋体" w:cs="宋体"/>
                <w:b w:val="0"/>
                <w:bCs w:val="0"/>
                <w:sz w:val="21"/>
                <w:szCs w:val="21"/>
              </w:rPr>
              <w:t>平面图、装修设计图、场地使用说明等材料，可证明会议室容纳人数符合评审要求</w:t>
            </w:r>
            <w:r>
              <w:rPr>
                <w:rFonts w:hint="eastAsia" w:ascii="宋体" w:hAnsi="宋体" w:eastAsia="宋体" w:cs="宋体"/>
                <w:b w:val="0"/>
                <w:bCs w:val="0"/>
                <w:sz w:val="21"/>
                <w:szCs w:val="21"/>
                <w:lang w:eastAsia="zh-CN"/>
              </w:rPr>
              <w:t>。</w:t>
            </w:r>
          </w:p>
        </w:tc>
      </w:tr>
      <w:tr w14:paraId="6FDDD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8" w:type="dxa"/>
            <w:vAlign w:val="center"/>
          </w:tcPr>
          <w:p w14:paraId="0B5F8A4B">
            <w:pPr>
              <w:jc w:val="center"/>
              <w:rPr>
                <w:rFonts w:hint="eastAsia" w:eastAsiaTheme="minorEastAsia"/>
                <w:sz w:val="21"/>
                <w:szCs w:val="21"/>
                <w:lang w:val="en-US" w:eastAsia="zh-CN"/>
              </w:rPr>
            </w:pPr>
            <w:r>
              <w:rPr>
                <w:rFonts w:hint="eastAsia"/>
                <w:sz w:val="21"/>
                <w:szCs w:val="21"/>
                <w:lang w:val="en-US" w:eastAsia="zh-CN"/>
              </w:rPr>
              <w:t>4</w:t>
            </w:r>
          </w:p>
        </w:tc>
        <w:tc>
          <w:tcPr>
            <w:tcW w:w="1356" w:type="dxa"/>
            <w:vAlign w:val="center"/>
          </w:tcPr>
          <w:p w14:paraId="2EAFA2FB">
            <w:pPr>
              <w:jc w:val="center"/>
              <w:rPr>
                <w:rFonts w:hint="default" w:eastAsiaTheme="minorEastAsia"/>
                <w:sz w:val="21"/>
                <w:szCs w:val="21"/>
                <w:lang w:val="en-US" w:eastAsia="zh-CN"/>
              </w:rPr>
            </w:pPr>
            <w:r>
              <w:rPr>
                <w:rFonts w:hint="eastAsia"/>
                <w:sz w:val="21"/>
                <w:szCs w:val="21"/>
                <w:lang w:val="en-US" w:eastAsia="zh-CN"/>
              </w:rPr>
              <w:t>设备配置</w:t>
            </w:r>
          </w:p>
        </w:tc>
        <w:tc>
          <w:tcPr>
            <w:tcW w:w="890" w:type="dxa"/>
            <w:vAlign w:val="center"/>
          </w:tcPr>
          <w:p w14:paraId="501D1D9A">
            <w:pPr>
              <w:jc w:val="center"/>
              <w:rPr>
                <w:rFonts w:hint="default" w:eastAsiaTheme="minorEastAsia"/>
                <w:sz w:val="21"/>
                <w:szCs w:val="21"/>
                <w:lang w:val="en-US" w:eastAsia="zh-CN"/>
              </w:rPr>
            </w:pPr>
            <w:r>
              <w:rPr>
                <w:rFonts w:hint="eastAsia"/>
                <w:sz w:val="21"/>
                <w:szCs w:val="21"/>
                <w:lang w:val="en-US" w:eastAsia="zh-CN"/>
              </w:rPr>
              <w:t>16分</w:t>
            </w:r>
          </w:p>
        </w:tc>
        <w:tc>
          <w:tcPr>
            <w:tcW w:w="5690" w:type="dxa"/>
          </w:tcPr>
          <w:p w14:paraId="135DAB3D">
            <w:pPr>
              <w:numPr>
                <w:ilvl w:val="0"/>
                <w:numId w:val="0"/>
              </w:numPr>
              <w:ind w:leftChars="0"/>
              <w:rPr>
                <w:rFonts w:hint="eastAsia" w:ascii="宋体" w:hAnsi="宋体" w:eastAsia="宋体" w:cs="宋体"/>
                <w:sz w:val="21"/>
                <w:szCs w:val="21"/>
                <w:lang w:eastAsia="zh-CN"/>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10</w:t>
            </w:r>
            <w:r>
              <w:rPr>
                <w:rFonts w:hint="eastAsia" w:ascii="宋体" w:hAnsi="宋体" w:eastAsia="宋体" w:cs="宋体"/>
                <w:sz w:val="21"/>
                <w:szCs w:val="21"/>
                <w:lang w:eastAsia="zh-CN"/>
              </w:rPr>
              <w:t>00人以上大型会议室设备（5分）</w:t>
            </w:r>
          </w:p>
          <w:p w14:paraId="0C5A6507">
            <w:pPr>
              <w:numPr>
                <w:ilvl w:val="0"/>
                <w:numId w:val="0"/>
              </w:numPr>
              <w:ind w:leftChars="0"/>
              <w:rPr>
                <w:rFonts w:hint="eastAsia" w:ascii="宋体" w:hAnsi="宋体" w:eastAsia="宋体" w:cs="宋体"/>
                <w:sz w:val="21"/>
                <w:szCs w:val="21"/>
                <w:highlight w:val="none"/>
                <w:lang w:eastAsia="zh-CN"/>
              </w:rPr>
            </w:pPr>
            <w:r>
              <w:rPr>
                <w:rFonts w:hint="eastAsia" w:ascii="宋体" w:hAnsi="宋体" w:eastAsia="宋体" w:cs="宋体"/>
                <w:sz w:val="21"/>
                <w:szCs w:val="21"/>
                <w:lang w:eastAsia="zh-CN"/>
              </w:rPr>
              <w:t>配置满足大型会场扩声需求的专业音响系统、会议发言系统、LED 显示</w:t>
            </w:r>
            <w:r>
              <w:rPr>
                <w:rFonts w:hint="eastAsia" w:ascii="宋体" w:hAnsi="宋体" w:eastAsia="宋体" w:cs="宋体"/>
                <w:sz w:val="21"/>
                <w:szCs w:val="21"/>
                <w:highlight w:val="none"/>
                <w:lang w:eastAsia="zh-CN"/>
              </w:rPr>
              <w:t>及音视频处理系统、专业灯光系统，设备齐全且满足会议使用需求的，得5分。本小项最高5分。</w:t>
            </w:r>
          </w:p>
          <w:p w14:paraId="5F8BCD4F">
            <w:pPr>
              <w:numPr>
                <w:ilvl w:val="0"/>
                <w:numId w:val="0"/>
              </w:numPr>
              <w:ind w:leftChars="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（2）100-300人中型会议室设备（</w:t>
            </w: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lang w:eastAsia="zh-CN"/>
              </w:rPr>
              <w:t>分）</w:t>
            </w:r>
          </w:p>
          <w:p w14:paraId="1739B877">
            <w:pPr>
              <w:numPr>
                <w:ilvl w:val="0"/>
                <w:numId w:val="0"/>
              </w:numPr>
              <w:ind w:leftChars="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①</w:t>
            </w:r>
            <w:r>
              <w:rPr>
                <w:rFonts w:ascii="宋体" w:hAnsi="宋体" w:eastAsia="宋体" w:cs="宋体"/>
                <w:sz w:val="21"/>
                <w:szCs w:val="21"/>
                <w:highlight w:val="none"/>
              </w:rPr>
              <w:t>3间中型会议室均配置专业音响系统、会议发言系统、显示设备及配套电源保障设备，可满足各类会议使用需求的，得2分；未全部满足的，本小点不得分。本小点最高2分</w:t>
            </w:r>
            <w:r>
              <w:rPr>
                <w:rFonts w:hint="eastAsia" w:ascii="宋体" w:hAnsi="宋体" w:eastAsia="宋体" w:cs="宋体"/>
                <w:sz w:val="21"/>
                <w:szCs w:val="21"/>
                <w:highlight w:val="none"/>
                <w:lang w:eastAsia="zh-CN"/>
              </w:rPr>
              <w:t>。</w:t>
            </w:r>
          </w:p>
          <w:p w14:paraId="121228C7">
            <w:pPr>
              <w:numPr>
                <w:ilvl w:val="0"/>
                <w:numId w:val="0"/>
              </w:numPr>
              <w:ind w:leftChars="0"/>
              <w:rPr>
                <w:rFonts w:hint="eastAsia" w:ascii="宋体" w:hAnsi="宋体" w:eastAsia="宋体" w:cs="宋体"/>
                <w:b/>
                <w:bCs/>
                <w:sz w:val="21"/>
                <w:szCs w:val="21"/>
                <w:highlight w:val="none"/>
                <w:lang w:eastAsia="zh-CN"/>
              </w:rPr>
            </w:pPr>
            <w:r>
              <w:rPr>
                <w:rFonts w:hint="eastAsia" w:ascii="宋体" w:hAnsi="宋体" w:eastAsia="宋体" w:cs="宋体"/>
                <w:sz w:val="21"/>
                <w:szCs w:val="21"/>
                <w:highlight w:val="none"/>
                <w:lang w:eastAsia="zh-CN"/>
              </w:rPr>
              <w:t>②</w:t>
            </w:r>
            <w:r>
              <w:rPr>
                <w:rFonts w:ascii="宋体" w:hAnsi="宋体" w:eastAsia="宋体" w:cs="宋体"/>
                <w:sz w:val="21"/>
                <w:szCs w:val="21"/>
                <w:highlight w:val="none"/>
              </w:rPr>
              <w:t>前述3间中型会议室中，至少2间具备远程视频会议功能（含视频会议终端、摄像机、显示及控制系统等）的，得 4 分；不满足数量要求的，本小点不得分。本小点最高 4 分</w:t>
            </w:r>
            <w:r>
              <w:rPr>
                <w:rFonts w:hint="eastAsia" w:ascii="宋体" w:hAnsi="宋体" w:eastAsia="宋体" w:cs="宋体"/>
                <w:sz w:val="21"/>
                <w:szCs w:val="21"/>
                <w:highlight w:val="none"/>
                <w:lang w:eastAsia="zh-CN"/>
              </w:rPr>
              <w:t>。</w:t>
            </w:r>
          </w:p>
          <w:p w14:paraId="3F93D92C">
            <w:pPr>
              <w:numPr>
                <w:ilvl w:val="0"/>
                <w:numId w:val="0"/>
              </w:numPr>
              <w:ind w:leftChars="0"/>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（3）100人以下小型会议室设备（</w:t>
            </w:r>
            <w:r>
              <w:rPr>
                <w:rFonts w:hint="eastAsia" w:ascii="宋体" w:hAnsi="宋体" w:eastAsia="宋体" w:cs="宋体"/>
                <w:b/>
                <w:bCs/>
                <w:sz w:val="21"/>
                <w:szCs w:val="21"/>
                <w:highlight w:val="none"/>
                <w:lang w:val="en-US" w:eastAsia="zh-CN"/>
              </w:rPr>
              <w:t>5</w:t>
            </w:r>
            <w:r>
              <w:rPr>
                <w:rFonts w:hint="eastAsia" w:ascii="宋体" w:hAnsi="宋体" w:eastAsia="宋体" w:cs="宋体"/>
                <w:b/>
                <w:bCs/>
                <w:sz w:val="21"/>
                <w:szCs w:val="21"/>
                <w:highlight w:val="none"/>
                <w:lang w:eastAsia="zh-CN"/>
              </w:rPr>
              <w:t>分</w:t>
            </w:r>
            <w:r>
              <w:rPr>
                <w:rFonts w:hint="eastAsia" w:ascii="宋体" w:hAnsi="宋体" w:eastAsia="宋体" w:cs="宋体"/>
                <w:sz w:val="21"/>
                <w:szCs w:val="21"/>
                <w:highlight w:val="none"/>
                <w:lang w:eastAsia="zh-CN"/>
              </w:rPr>
              <w:t>）</w:t>
            </w:r>
          </w:p>
          <w:p w14:paraId="7BC13C20">
            <w:pPr>
              <w:numPr>
                <w:ilvl w:val="0"/>
                <w:numId w:val="0"/>
              </w:numPr>
              <w:ind w:leftChars="0"/>
              <w:rPr>
                <w:rFonts w:hint="eastAsia" w:ascii="宋体" w:hAnsi="宋体" w:eastAsia="宋体" w:cs="宋体"/>
                <w:sz w:val="21"/>
                <w:szCs w:val="21"/>
                <w:lang w:eastAsia="zh-CN"/>
              </w:rPr>
            </w:pPr>
            <w:r>
              <w:rPr>
                <w:rFonts w:hint="eastAsia" w:ascii="宋体" w:hAnsi="宋体" w:eastAsia="宋体" w:cs="宋体"/>
                <w:sz w:val="21"/>
                <w:szCs w:val="21"/>
                <w:highlight w:val="none"/>
                <w:lang w:eastAsia="zh-CN"/>
              </w:rPr>
              <w:t>①</w:t>
            </w:r>
            <w:r>
              <w:rPr>
                <w:rFonts w:ascii="宋体" w:hAnsi="宋体" w:eastAsia="宋体" w:cs="宋体"/>
                <w:sz w:val="21"/>
                <w:szCs w:val="21"/>
                <w:highlight w:val="none"/>
              </w:rPr>
              <w:t>4间小型会议室中至少1间配置专业音响系统、</w:t>
            </w:r>
            <w:r>
              <w:rPr>
                <w:rFonts w:ascii="宋体" w:hAnsi="宋体" w:eastAsia="宋体" w:cs="宋体"/>
                <w:sz w:val="21"/>
                <w:szCs w:val="21"/>
              </w:rPr>
              <w:t>会议发言系统、显示设备及配套电源保障设备，可满足各类会议使用需求的，得2分；不满足的，本小点不得分。本小点最高2分</w:t>
            </w:r>
            <w:r>
              <w:rPr>
                <w:rFonts w:hint="eastAsia" w:ascii="宋体" w:hAnsi="宋体" w:eastAsia="宋体" w:cs="宋体"/>
                <w:sz w:val="21"/>
                <w:szCs w:val="21"/>
                <w:lang w:eastAsia="zh-CN"/>
              </w:rPr>
              <w:t>。</w:t>
            </w:r>
          </w:p>
          <w:p w14:paraId="0FF663CD">
            <w:pPr>
              <w:numPr>
                <w:ilvl w:val="0"/>
                <w:numId w:val="0"/>
              </w:numPr>
              <w:ind w:leftChars="0"/>
              <w:rPr>
                <w:rFonts w:hint="eastAsia" w:ascii="宋体" w:hAnsi="宋体" w:eastAsia="宋体" w:cs="宋体"/>
                <w:sz w:val="21"/>
                <w:szCs w:val="21"/>
                <w:highlight w:val="yellow"/>
                <w:lang w:eastAsia="zh-CN"/>
              </w:rPr>
            </w:pPr>
            <w:r>
              <w:rPr>
                <w:rFonts w:hint="eastAsia" w:ascii="宋体" w:hAnsi="宋体" w:eastAsia="宋体" w:cs="宋体"/>
                <w:sz w:val="21"/>
                <w:szCs w:val="21"/>
                <w:lang w:eastAsia="zh-CN"/>
              </w:rPr>
              <w:t>②</w:t>
            </w:r>
            <w:r>
              <w:rPr>
                <w:rFonts w:ascii="宋体" w:hAnsi="宋体" w:eastAsia="宋体" w:cs="宋体"/>
                <w:sz w:val="21"/>
                <w:szCs w:val="21"/>
              </w:rPr>
              <w:t>4间小型会议室中至少1间配置满足点调会使用需求的专业音响系统、会议发言系统、LED 显示及视频处理系统及配套设备的，得 3 分；不满足的，本小点不得分。本小点最高3</w:t>
            </w:r>
            <w:r>
              <w:rPr>
                <w:rFonts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0C53E20A">
            <w:pPr>
              <w:numPr>
                <w:ilvl w:val="0"/>
                <w:numId w:val="0"/>
              </w:numPr>
              <w:ind w:leftChars="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注：投标时须提供以下证明材料，未提供或提供不全的，对应评审项不得分：</w:t>
            </w:r>
          </w:p>
          <w:p w14:paraId="0642FD3E">
            <w:pPr>
              <w:numPr>
                <w:ilvl w:val="0"/>
                <w:numId w:val="0"/>
              </w:numPr>
              <w:ind w:leftChars="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1.各会议室设备清单：列明各会议室配置的音响、发言、显示、视频、灯光等设备名称、数量、品牌型号，对应到每一间会议室；</w:t>
            </w:r>
          </w:p>
          <w:p w14:paraId="100DB72A">
            <w:pPr>
              <w:numPr>
                <w:ilvl w:val="0"/>
                <w:numId w:val="0"/>
              </w:numPr>
              <w:ind w:leftChars="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2.设备现场照片：各会议室内部设备照片（能清晰看到音响、话筒、显示屏、灯光等设备配置情况，可和场地照片结合提供）；</w:t>
            </w:r>
          </w:p>
          <w:p w14:paraId="22EA16BE">
            <w:pPr>
              <w:numPr>
                <w:ilvl w:val="0"/>
                <w:numId w:val="0"/>
              </w:numPr>
              <w:ind w:leftChars="0"/>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3.主要设备权属证明：</w:t>
            </w:r>
            <w:r>
              <w:rPr>
                <w:rFonts w:ascii="宋体" w:hAnsi="宋体" w:eastAsia="宋体" w:cs="宋体"/>
                <w:sz w:val="21"/>
                <w:szCs w:val="21"/>
                <w:highlight w:val="none"/>
              </w:rPr>
              <w:t>自有设备提供采购合同或发票扫描件；租赁设备提供设备租赁协议，证明</w:t>
            </w:r>
            <w:r>
              <w:rPr>
                <w:rFonts w:hint="eastAsia" w:ascii="宋体" w:hAnsi="宋体" w:eastAsia="宋体" w:cs="宋体"/>
                <w:sz w:val="21"/>
                <w:szCs w:val="21"/>
                <w:highlight w:val="none"/>
                <w:lang w:val="en-US" w:eastAsia="zh-CN"/>
              </w:rPr>
              <w:t>投标</w:t>
            </w:r>
            <w:r>
              <w:rPr>
                <w:rFonts w:hint="eastAsia" w:ascii="宋体" w:hAnsi="宋体" w:eastAsia="宋体" w:cs="宋体"/>
                <w:sz w:val="21"/>
                <w:szCs w:val="21"/>
                <w:highlight w:val="none"/>
                <w:lang w:eastAsia="zh-CN"/>
              </w:rPr>
              <w:t>供应商</w:t>
            </w:r>
            <w:r>
              <w:rPr>
                <w:rFonts w:ascii="宋体" w:hAnsi="宋体" w:eastAsia="宋体" w:cs="宋体"/>
                <w:sz w:val="21"/>
                <w:szCs w:val="21"/>
                <w:highlight w:val="none"/>
              </w:rPr>
              <w:t>在项目履约期内拥有设备合法使用权</w:t>
            </w:r>
            <w:r>
              <w:rPr>
                <w:rFonts w:hint="default" w:ascii="宋体" w:hAnsi="宋体" w:eastAsia="宋体" w:cs="宋体"/>
                <w:sz w:val="21"/>
                <w:szCs w:val="21"/>
                <w:highlight w:val="none"/>
                <w:lang w:val="en-US" w:eastAsia="zh-CN"/>
              </w:rPr>
              <w:t>；</w:t>
            </w:r>
          </w:p>
          <w:p w14:paraId="71F66C82">
            <w:pPr>
              <w:numPr>
                <w:ilvl w:val="0"/>
                <w:numId w:val="0"/>
              </w:numPr>
              <w:ind w:leftChars="0"/>
              <w:rPr>
                <w:rFonts w:hint="default" w:ascii="宋体" w:hAnsi="宋体" w:eastAsia="宋体" w:cs="宋体"/>
                <w:sz w:val="21"/>
                <w:szCs w:val="21"/>
                <w:lang w:val="en-US" w:eastAsia="zh-CN"/>
              </w:rPr>
            </w:pPr>
            <w:r>
              <w:rPr>
                <w:rFonts w:hint="default" w:ascii="宋体" w:hAnsi="宋体" w:eastAsia="宋体" w:cs="宋体"/>
                <w:sz w:val="21"/>
                <w:szCs w:val="21"/>
                <w:lang w:val="en-US" w:eastAsia="zh-CN"/>
              </w:rPr>
              <w:t>4.远程视频会议/点调会功能证明：具备远程视频会议或点调会功能的会议室，提供设备现场连接演示照片或相关测试说明</w:t>
            </w:r>
            <w:r>
              <w:rPr>
                <w:rFonts w:hint="eastAsia" w:ascii="宋体" w:hAnsi="宋体" w:eastAsia="宋体" w:cs="宋体"/>
                <w:sz w:val="21"/>
                <w:szCs w:val="21"/>
                <w:lang w:val="en-US" w:eastAsia="zh-CN"/>
              </w:rPr>
              <w:t>。</w:t>
            </w:r>
            <w:r>
              <w:rPr>
                <w:rFonts w:ascii="宋体" w:hAnsi="宋体" w:eastAsia="宋体" w:cs="宋体"/>
                <w:sz w:val="21"/>
                <w:szCs w:val="21"/>
              </w:rPr>
              <w:t>中标后采购人有权现场核验设备功能，如与投标文件承诺不符，按违约处理</w:t>
            </w:r>
          </w:p>
        </w:tc>
      </w:tr>
      <w:tr w14:paraId="0E4A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8" w:type="dxa"/>
            <w:vAlign w:val="center"/>
          </w:tcPr>
          <w:p w14:paraId="4F6A51C8">
            <w:pPr>
              <w:jc w:val="center"/>
              <w:rPr>
                <w:rFonts w:hint="eastAsia" w:eastAsiaTheme="minorEastAsia"/>
                <w:sz w:val="21"/>
                <w:szCs w:val="21"/>
                <w:lang w:eastAsia="zh-CN"/>
              </w:rPr>
            </w:pPr>
            <w:r>
              <w:rPr>
                <w:rFonts w:hint="eastAsia"/>
                <w:sz w:val="21"/>
                <w:szCs w:val="21"/>
                <w:lang w:val="en-US" w:eastAsia="zh-CN"/>
              </w:rPr>
              <w:t>5</w:t>
            </w:r>
          </w:p>
        </w:tc>
        <w:tc>
          <w:tcPr>
            <w:tcW w:w="1356" w:type="dxa"/>
            <w:vAlign w:val="center"/>
          </w:tcPr>
          <w:p w14:paraId="349589EA">
            <w:pPr>
              <w:jc w:val="center"/>
              <w:rPr>
                <w:sz w:val="21"/>
                <w:szCs w:val="21"/>
              </w:rPr>
            </w:pPr>
            <w:r>
              <w:rPr>
                <w:sz w:val="21"/>
                <w:szCs w:val="21"/>
              </w:rPr>
              <w:t>项目负责人及服务团队</w:t>
            </w:r>
          </w:p>
        </w:tc>
        <w:tc>
          <w:tcPr>
            <w:tcW w:w="890" w:type="dxa"/>
            <w:vAlign w:val="center"/>
          </w:tcPr>
          <w:p w14:paraId="0F030801">
            <w:pPr>
              <w:jc w:val="center"/>
              <w:rPr>
                <w:sz w:val="21"/>
                <w:szCs w:val="21"/>
              </w:rPr>
            </w:pPr>
            <w:r>
              <w:rPr>
                <w:sz w:val="21"/>
                <w:szCs w:val="21"/>
              </w:rPr>
              <w:t>8分</w:t>
            </w:r>
          </w:p>
        </w:tc>
        <w:tc>
          <w:tcPr>
            <w:tcW w:w="5690" w:type="dxa"/>
          </w:tcPr>
          <w:p w14:paraId="306085C7">
            <w:pPr>
              <w:rPr>
                <w:rFonts w:hint="eastAsia"/>
                <w:sz w:val="21"/>
                <w:szCs w:val="21"/>
              </w:rPr>
            </w:pPr>
            <w:r>
              <w:rPr>
                <w:rFonts w:hint="eastAsia"/>
                <w:sz w:val="21"/>
                <w:szCs w:val="21"/>
              </w:rPr>
              <w:t>（1）项目负责人（3 分）：</w:t>
            </w:r>
          </w:p>
          <w:p w14:paraId="6B77773E">
            <w:pPr>
              <w:rPr>
                <w:rFonts w:hint="eastAsia"/>
                <w:sz w:val="21"/>
                <w:szCs w:val="21"/>
              </w:rPr>
            </w:pPr>
            <w:r>
              <w:rPr>
                <w:rFonts w:hint="eastAsia"/>
                <w:sz w:val="21"/>
                <w:szCs w:val="21"/>
              </w:rPr>
              <w:t>项目负责人具备本科及以上学历，具有3年以上酒店、会议中心或会务服务相关管理经验，且有同类项目业绩的，得3 分。</w:t>
            </w:r>
          </w:p>
          <w:p w14:paraId="2A148599">
            <w:pPr>
              <w:rPr>
                <w:rFonts w:hint="default" w:eastAsiaTheme="minorEastAsia"/>
                <w:sz w:val="21"/>
                <w:szCs w:val="21"/>
                <w:lang w:val="en-US" w:eastAsia="zh-CN"/>
              </w:rPr>
            </w:pPr>
            <w:r>
              <w:rPr>
                <w:rFonts w:hint="eastAsia"/>
                <w:sz w:val="21"/>
                <w:szCs w:val="21"/>
                <w:lang w:val="en-US" w:eastAsia="zh-CN"/>
              </w:rPr>
              <w:t>注：投标时提供学历证书、劳动合同、近三个月内任意一个月的社保缴纳证明、相关业绩合同。</w:t>
            </w:r>
          </w:p>
          <w:p w14:paraId="6D6B88D3">
            <w:pPr>
              <w:rPr>
                <w:rFonts w:hint="eastAsia"/>
                <w:sz w:val="21"/>
                <w:szCs w:val="21"/>
                <w:highlight w:val="none"/>
              </w:rPr>
            </w:pPr>
            <w:r>
              <w:rPr>
                <w:rFonts w:hint="eastAsia"/>
                <w:sz w:val="21"/>
                <w:szCs w:val="21"/>
                <w:highlight w:val="none"/>
              </w:rPr>
              <w:t>（2）服务团队配置（5 分）：</w:t>
            </w:r>
          </w:p>
          <w:p w14:paraId="315F3C8E">
            <w:pPr>
              <w:rPr>
                <w:rFonts w:hint="eastAsia"/>
                <w:sz w:val="21"/>
                <w:szCs w:val="21"/>
                <w:highlight w:val="none"/>
              </w:rPr>
            </w:pPr>
            <w:r>
              <w:rPr>
                <w:rFonts w:ascii="宋体" w:hAnsi="宋体" w:eastAsia="宋体" w:cs="宋体"/>
                <w:sz w:val="21"/>
                <w:szCs w:val="21"/>
                <w:highlight w:val="none"/>
              </w:rPr>
              <w:t>团队人员配置齐全（含低压电工2名、保安</w:t>
            </w:r>
            <w:r>
              <w:rPr>
                <w:rFonts w:hint="eastAsia" w:ascii="宋体" w:hAnsi="宋体" w:eastAsia="宋体" w:cs="宋体"/>
                <w:sz w:val="21"/>
                <w:szCs w:val="21"/>
                <w:highlight w:val="none"/>
                <w:lang w:val="en-US" w:eastAsia="zh-CN"/>
              </w:rPr>
              <w:t>2</w:t>
            </w:r>
            <w:r>
              <w:rPr>
                <w:rFonts w:ascii="宋体" w:hAnsi="宋体" w:eastAsia="宋体" w:cs="宋体"/>
                <w:sz w:val="21"/>
                <w:szCs w:val="21"/>
                <w:highlight w:val="none"/>
              </w:rPr>
              <w:t>名、会议服务人员</w:t>
            </w:r>
            <w:r>
              <w:rPr>
                <w:rFonts w:hint="eastAsia" w:ascii="宋体" w:hAnsi="宋体" w:eastAsia="宋体" w:cs="宋体"/>
                <w:sz w:val="21"/>
                <w:szCs w:val="21"/>
                <w:highlight w:val="none"/>
                <w:lang w:val="en-US" w:eastAsia="zh-CN"/>
              </w:rPr>
              <w:t>5</w:t>
            </w:r>
            <w:r>
              <w:rPr>
                <w:rFonts w:ascii="宋体" w:hAnsi="宋体" w:eastAsia="宋体" w:cs="宋体"/>
                <w:sz w:val="21"/>
                <w:szCs w:val="21"/>
                <w:highlight w:val="none"/>
              </w:rPr>
              <w:t>名、接待人员</w:t>
            </w:r>
            <w:r>
              <w:rPr>
                <w:rFonts w:hint="eastAsia" w:ascii="宋体" w:hAnsi="宋体" w:eastAsia="宋体" w:cs="宋体"/>
                <w:sz w:val="21"/>
                <w:szCs w:val="21"/>
                <w:highlight w:val="none"/>
                <w:lang w:val="en-US" w:eastAsia="zh-CN"/>
              </w:rPr>
              <w:t>1</w:t>
            </w:r>
            <w:r>
              <w:rPr>
                <w:rFonts w:ascii="宋体" w:hAnsi="宋体" w:eastAsia="宋体" w:cs="宋体"/>
                <w:sz w:val="21"/>
                <w:szCs w:val="21"/>
                <w:highlight w:val="none"/>
              </w:rPr>
              <w:t>名、设备运维人员</w:t>
            </w:r>
            <w:r>
              <w:rPr>
                <w:rFonts w:hint="eastAsia" w:ascii="宋体" w:hAnsi="宋体" w:eastAsia="宋体" w:cs="宋体"/>
                <w:sz w:val="21"/>
                <w:szCs w:val="21"/>
                <w:highlight w:val="none"/>
                <w:lang w:val="en-US" w:eastAsia="zh-CN"/>
              </w:rPr>
              <w:t>1</w:t>
            </w:r>
            <w:r>
              <w:rPr>
                <w:rFonts w:ascii="宋体" w:hAnsi="宋体" w:eastAsia="宋体" w:cs="宋体"/>
                <w:sz w:val="21"/>
                <w:szCs w:val="21"/>
                <w:highlight w:val="none"/>
              </w:rPr>
              <w:t>名、保洁人员2名）的，得5分</w:t>
            </w:r>
            <w:r>
              <w:rPr>
                <w:rFonts w:hint="eastAsia"/>
                <w:sz w:val="21"/>
                <w:szCs w:val="21"/>
                <w:highlight w:val="none"/>
              </w:rPr>
              <w:t>。</w:t>
            </w:r>
          </w:p>
          <w:p w14:paraId="342E641C">
            <w:pPr>
              <w:rPr>
                <w:rFonts w:hint="eastAsia"/>
                <w:sz w:val="21"/>
                <w:szCs w:val="21"/>
              </w:rPr>
            </w:pPr>
            <w:r>
              <w:rPr>
                <w:rFonts w:hint="eastAsia"/>
                <w:sz w:val="21"/>
                <w:szCs w:val="21"/>
              </w:rPr>
              <w:t>注：投标时提供以下证明材料，未提供或提供不全的不得分：</w:t>
            </w:r>
          </w:p>
          <w:p w14:paraId="4E2AF3A3">
            <w:pPr>
              <w:rPr>
                <w:rFonts w:hint="eastAsia"/>
                <w:sz w:val="21"/>
                <w:szCs w:val="21"/>
              </w:rPr>
            </w:pPr>
            <w:r>
              <w:rPr>
                <w:rFonts w:hint="eastAsia"/>
                <w:sz w:val="21"/>
                <w:szCs w:val="21"/>
              </w:rPr>
              <w:t>1. 电工、保安：</w:t>
            </w:r>
            <w:r>
              <w:rPr>
                <w:rFonts w:hint="eastAsia"/>
                <w:sz w:val="21"/>
                <w:szCs w:val="21"/>
                <w:lang w:val="en-US" w:eastAsia="zh-CN"/>
              </w:rPr>
              <w:t>提供</w:t>
            </w:r>
            <w:r>
              <w:rPr>
                <w:rFonts w:hint="eastAsia"/>
                <w:sz w:val="21"/>
                <w:szCs w:val="21"/>
              </w:rPr>
              <w:t>相关岗位资格证书、劳动合同、近三个月内任意一个月的社保缴纳证明；</w:t>
            </w:r>
          </w:p>
          <w:p w14:paraId="2C564FF8">
            <w:pPr>
              <w:rPr>
                <w:rFonts w:hint="eastAsia"/>
                <w:sz w:val="21"/>
                <w:szCs w:val="21"/>
              </w:rPr>
            </w:pPr>
            <w:r>
              <w:rPr>
                <w:rFonts w:hint="eastAsia"/>
                <w:sz w:val="21"/>
                <w:szCs w:val="21"/>
              </w:rPr>
              <w:t>2. 会议服务人员、接待人员、设备运维人员、保洁人员：</w:t>
            </w:r>
            <w:r>
              <w:rPr>
                <w:rFonts w:hint="eastAsia"/>
                <w:sz w:val="21"/>
                <w:szCs w:val="21"/>
                <w:lang w:val="en-US" w:eastAsia="zh-CN"/>
              </w:rPr>
              <w:t>提供</w:t>
            </w:r>
            <w:r>
              <w:rPr>
                <w:rFonts w:hint="eastAsia"/>
                <w:sz w:val="21"/>
                <w:szCs w:val="21"/>
              </w:rPr>
              <w:t>劳动合同、近三个月内任意一个月的社保缴纳证明。</w:t>
            </w:r>
          </w:p>
          <w:p w14:paraId="4D6B53C7">
            <w:pPr>
              <w:rPr>
                <w:sz w:val="21"/>
                <w:szCs w:val="21"/>
              </w:rPr>
            </w:pPr>
            <w:r>
              <w:rPr>
                <w:rFonts w:hint="eastAsia"/>
                <w:sz w:val="21"/>
                <w:szCs w:val="21"/>
              </w:rPr>
              <w:t>同一人具备多种证书的，按最高一项计分，不重复计分。</w:t>
            </w:r>
          </w:p>
        </w:tc>
      </w:tr>
      <w:tr w14:paraId="1FE5B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8" w:type="dxa"/>
            <w:vAlign w:val="center"/>
          </w:tcPr>
          <w:p w14:paraId="7E081B8A">
            <w:pPr>
              <w:jc w:val="center"/>
              <w:rPr>
                <w:rFonts w:hint="eastAsia" w:eastAsiaTheme="minorEastAsia"/>
                <w:sz w:val="21"/>
                <w:szCs w:val="21"/>
                <w:lang w:eastAsia="zh-CN"/>
              </w:rPr>
            </w:pPr>
            <w:r>
              <w:rPr>
                <w:rFonts w:hint="eastAsia"/>
                <w:sz w:val="21"/>
                <w:szCs w:val="21"/>
                <w:lang w:val="en-US" w:eastAsia="zh-CN"/>
              </w:rPr>
              <w:t>6</w:t>
            </w:r>
          </w:p>
        </w:tc>
        <w:tc>
          <w:tcPr>
            <w:tcW w:w="1356" w:type="dxa"/>
            <w:vAlign w:val="center"/>
          </w:tcPr>
          <w:p w14:paraId="051AACF0">
            <w:pPr>
              <w:jc w:val="center"/>
              <w:rPr>
                <w:sz w:val="21"/>
                <w:szCs w:val="21"/>
              </w:rPr>
            </w:pPr>
            <w:r>
              <w:rPr>
                <w:sz w:val="21"/>
                <w:szCs w:val="21"/>
              </w:rPr>
              <w:t>服务方案</w:t>
            </w:r>
          </w:p>
        </w:tc>
        <w:tc>
          <w:tcPr>
            <w:tcW w:w="890" w:type="dxa"/>
            <w:vAlign w:val="center"/>
          </w:tcPr>
          <w:p w14:paraId="0517FFF4">
            <w:pPr>
              <w:jc w:val="center"/>
              <w:rPr>
                <w:sz w:val="21"/>
                <w:szCs w:val="21"/>
              </w:rPr>
            </w:pPr>
            <w:r>
              <w:rPr>
                <w:rFonts w:hint="eastAsia"/>
                <w:sz w:val="21"/>
                <w:szCs w:val="21"/>
                <w:lang w:val="en-US" w:eastAsia="zh-CN"/>
              </w:rPr>
              <w:t>28</w:t>
            </w:r>
            <w:r>
              <w:rPr>
                <w:sz w:val="21"/>
                <w:szCs w:val="21"/>
              </w:rPr>
              <w:t>分</w:t>
            </w:r>
          </w:p>
        </w:tc>
        <w:tc>
          <w:tcPr>
            <w:tcW w:w="5690" w:type="dxa"/>
          </w:tcPr>
          <w:p w14:paraId="562A7009">
            <w:pPr>
              <w:rPr>
                <w:sz w:val="21"/>
                <w:szCs w:val="21"/>
              </w:rPr>
            </w:pPr>
            <w:r>
              <w:rPr>
                <w:sz w:val="21"/>
                <w:szCs w:val="21"/>
              </w:rPr>
              <w:t>根据</w:t>
            </w:r>
            <w:r>
              <w:rPr>
                <w:rFonts w:hint="eastAsia"/>
                <w:sz w:val="21"/>
                <w:szCs w:val="21"/>
                <w:lang w:eastAsia="zh-CN"/>
              </w:rPr>
              <w:t>投标</w:t>
            </w:r>
            <w:r>
              <w:rPr>
                <w:rFonts w:hint="eastAsia"/>
                <w:sz w:val="21"/>
                <w:szCs w:val="21"/>
                <w:lang w:val="en-US" w:eastAsia="zh-CN"/>
              </w:rPr>
              <w:t>供应商</w:t>
            </w:r>
            <w:r>
              <w:rPr>
                <w:sz w:val="21"/>
                <w:szCs w:val="21"/>
              </w:rPr>
              <w:t>针对本项目提供的服务方案进行综合评分：</w:t>
            </w:r>
            <w:r>
              <w:rPr>
                <w:sz w:val="21"/>
                <w:szCs w:val="21"/>
              </w:rPr>
              <w:br w:type="textWrapping"/>
            </w:r>
            <w:r>
              <w:rPr>
                <w:sz w:val="21"/>
                <w:szCs w:val="21"/>
              </w:rPr>
              <w:t>（1）会议场地及会场服务方案（</w:t>
            </w:r>
            <w:r>
              <w:rPr>
                <w:rFonts w:hint="eastAsia"/>
                <w:sz w:val="21"/>
                <w:szCs w:val="21"/>
                <w:lang w:val="en-US" w:eastAsia="zh-CN"/>
              </w:rPr>
              <w:t>6</w:t>
            </w:r>
            <w:r>
              <w:rPr>
                <w:sz w:val="21"/>
                <w:szCs w:val="21"/>
              </w:rPr>
              <w:t>分）：</w:t>
            </w:r>
          </w:p>
          <w:p w14:paraId="367C21F7">
            <w:pPr>
              <w:rPr>
                <w:sz w:val="21"/>
                <w:szCs w:val="21"/>
              </w:rPr>
            </w:pPr>
            <w:r>
              <w:rPr>
                <w:sz w:val="21"/>
                <w:szCs w:val="21"/>
              </w:rPr>
              <w:t>包含会场布置、会议服务、设备保障等全流程，方案内容完整、流程规范、针对性强，</w:t>
            </w:r>
            <w:r>
              <w:rPr>
                <w:rFonts w:ascii="宋体" w:hAnsi="宋体" w:eastAsia="宋体" w:cs="宋体"/>
                <w:sz w:val="21"/>
                <w:szCs w:val="21"/>
              </w:rPr>
              <w:t>完全满足并优于招标文件要求</w:t>
            </w:r>
            <w:r>
              <w:rPr>
                <w:sz w:val="21"/>
                <w:szCs w:val="21"/>
              </w:rPr>
              <w:t>的得</w:t>
            </w:r>
            <w:r>
              <w:rPr>
                <w:rFonts w:hint="eastAsia"/>
                <w:sz w:val="21"/>
                <w:szCs w:val="21"/>
                <w:lang w:val="en-US" w:eastAsia="zh-CN"/>
              </w:rPr>
              <w:t>5-6</w:t>
            </w:r>
            <w:r>
              <w:rPr>
                <w:sz w:val="21"/>
                <w:szCs w:val="21"/>
              </w:rPr>
              <w:t>分；</w:t>
            </w:r>
            <w:r>
              <w:rPr>
                <w:rFonts w:ascii="宋体" w:hAnsi="宋体" w:eastAsia="宋体" w:cs="宋体"/>
                <w:sz w:val="21"/>
                <w:szCs w:val="21"/>
              </w:rPr>
              <w:t>满足招标文件基本要求的</w:t>
            </w:r>
            <w:r>
              <w:rPr>
                <w:sz w:val="21"/>
                <w:szCs w:val="21"/>
              </w:rPr>
              <w:t>得</w:t>
            </w:r>
            <w:r>
              <w:rPr>
                <w:rFonts w:hint="eastAsia"/>
                <w:sz w:val="21"/>
                <w:szCs w:val="21"/>
                <w:lang w:val="en-US" w:eastAsia="zh-CN"/>
              </w:rPr>
              <w:t>3-4</w:t>
            </w:r>
            <w:r>
              <w:rPr>
                <w:sz w:val="21"/>
                <w:szCs w:val="21"/>
              </w:rPr>
              <w:t>分；内容简单的得</w:t>
            </w:r>
            <w:r>
              <w:rPr>
                <w:rFonts w:hint="eastAsia"/>
                <w:sz w:val="21"/>
                <w:szCs w:val="21"/>
                <w:lang w:val="en-US" w:eastAsia="zh-CN"/>
              </w:rPr>
              <w:t>1-2</w:t>
            </w:r>
            <w:r>
              <w:rPr>
                <w:sz w:val="21"/>
                <w:szCs w:val="21"/>
              </w:rPr>
              <w:t>分</w:t>
            </w:r>
            <w:r>
              <w:rPr>
                <w:rFonts w:hint="eastAsia"/>
                <w:sz w:val="21"/>
                <w:szCs w:val="21"/>
                <w:lang w:eastAsia="zh-CN"/>
              </w:rPr>
              <w:t>，</w:t>
            </w:r>
            <w:r>
              <w:rPr>
                <w:rFonts w:hint="eastAsia"/>
                <w:sz w:val="21"/>
                <w:szCs w:val="21"/>
                <w:lang w:val="en-US" w:eastAsia="zh-CN"/>
              </w:rPr>
              <w:t>未提供不得分</w:t>
            </w:r>
            <w:r>
              <w:rPr>
                <w:sz w:val="21"/>
                <w:szCs w:val="21"/>
              </w:rPr>
              <w:t>。</w:t>
            </w:r>
            <w:r>
              <w:rPr>
                <w:sz w:val="21"/>
                <w:szCs w:val="21"/>
              </w:rPr>
              <w:br w:type="textWrapping"/>
            </w:r>
            <w:r>
              <w:rPr>
                <w:sz w:val="21"/>
                <w:szCs w:val="21"/>
              </w:rPr>
              <w:t>（2）保洁服务方案（</w:t>
            </w:r>
            <w:r>
              <w:rPr>
                <w:rFonts w:hint="eastAsia"/>
                <w:sz w:val="21"/>
                <w:szCs w:val="21"/>
                <w:lang w:val="en-US" w:eastAsia="zh-CN"/>
              </w:rPr>
              <w:t>6</w:t>
            </w:r>
            <w:r>
              <w:rPr>
                <w:sz w:val="21"/>
                <w:szCs w:val="21"/>
              </w:rPr>
              <w:t>分）：</w:t>
            </w:r>
          </w:p>
          <w:p w14:paraId="1F17D238">
            <w:pPr>
              <w:rPr>
                <w:sz w:val="21"/>
                <w:szCs w:val="21"/>
              </w:rPr>
            </w:pPr>
            <w:r>
              <w:rPr>
                <w:rFonts w:ascii="宋体" w:hAnsi="宋体" w:eastAsia="宋体" w:cs="宋体"/>
                <w:sz w:val="21"/>
                <w:szCs w:val="21"/>
              </w:rPr>
              <w:t>包含公共区域、会议室、卫生间等保洁范围、频次、作业标准等内容。方案完善、标准明确、可操作性强，完全满足并优于招标文件要求的，得</w:t>
            </w:r>
            <w:r>
              <w:rPr>
                <w:rFonts w:hint="eastAsia" w:ascii="宋体" w:hAnsi="宋体" w:eastAsia="宋体" w:cs="宋体"/>
                <w:sz w:val="21"/>
                <w:szCs w:val="21"/>
                <w:lang w:val="en-US" w:eastAsia="zh-CN"/>
              </w:rPr>
              <w:t>5-6</w:t>
            </w:r>
            <w:r>
              <w:rPr>
                <w:rFonts w:ascii="宋体" w:hAnsi="宋体" w:eastAsia="宋体" w:cs="宋体"/>
                <w:sz w:val="21"/>
                <w:szCs w:val="21"/>
              </w:rPr>
              <w:t xml:space="preserve"> 分；满足招标文件基本要求的，得</w:t>
            </w:r>
            <w:r>
              <w:rPr>
                <w:rFonts w:hint="eastAsia" w:ascii="宋体" w:hAnsi="宋体" w:eastAsia="宋体" w:cs="宋体"/>
                <w:sz w:val="21"/>
                <w:szCs w:val="21"/>
                <w:lang w:val="en-US" w:eastAsia="zh-CN"/>
              </w:rPr>
              <w:t>3-4</w:t>
            </w:r>
            <w:r>
              <w:rPr>
                <w:rFonts w:ascii="宋体" w:hAnsi="宋体" w:eastAsia="宋体" w:cs="宋体"/>
                <w:sz w:val="21"/>
                <w:szCs w:val="21"/>
              </w:rPr>
              <w:t>分；内容简单的，得</w:t>
            </w:r>
            <w:r>
              <w:rPr>
                <w:rFonts w:hint="eastAsia" w:ascii="宋体" w:hAnsi="宋体" w:eastAsia="宋体" w:cs="宋体"/>
                <w:sz w:val="21"/>
                <w:szCs w:val="21"/>
                <w:lang w:val="en-US" w:eastAsia="zh-CN"/>
              </w:rPr>
              <w:t>1-2</w:t>
            </w:r>
            <w:r>
              <w:rPr>
                <w:rFonts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未提供的不得分</w:t>
            </w:r>
            <w:r>
              <w:rPr>
                <w:sz w:val="21"/>
                <w:szCs w:val="21"/>
              </w:rPr>
              <w:t>。</w:t>
            </w:r>
            <w:r>
              <w:rPr>
                <w:sz w:val="21"/>
                <w:szCs w:val="21"/>
              </w:rPr>
              <w:br w:type="textWrapping"/>
            </w:r>
            <w:r>
              <w:rPr>
                <w:sz w:val="21"/>
                <w:szCs w:val="21"/>
              </w:rPr>
              <w:t>（3）保安服务方案（</w:t>
            </w:r>
            <w:r>
              <w:rPr>
                <w:rFonts w:hint="eastAsia"/>
                <w:sz w:val="21"/>
                <w:szCs w:val="21"/>
                <w:lang w:val="en-US" w:eastAsia="zh-CN"/>
              </w:rPr>
              <w:t>6</w:t>
            </w:r>
            <w:r>
              <w:rPr>
                <w:sz w:val="21"/>
                <w:szCs w:val="21"/>
              </w:rPr>
              <w:t>分）：</w:t>
            </w:r>
          </w:p>
          <w:p w14:paraId="0ADE6E52">
            <w:pPr>
              <w:rPr>
                <w:sz w:val="21"/>
                <w:szCs w:val="21"/>
              </w:rPr>
            </w:pPr>
            <w:r>
              <w:rPr>
                <w:rFonts w:ascii="宋体" w:hAnsi="宋体" w:eastAsia="宋体" w:cs="宋体"/>
                <w:sz w:val="21"/>
                <w:szCs w:val="21"/>
              </w:rPr>
              <w:t>包含安保人员配置、岗位设置、值班制度、巡逻检查、应急处置等内容。方案完善、职责清晰、可操作性强，完全满足并优于招标文件要求的，得</w:t>
            </w:r>
            <w:r>
              <w:rPr>
                <w:rFonts w:hint="eastAsia" w:ascii="宋体" w:hAnsi="宋体" w:eastAsia="宋体" w:cs="宋体"/>
                <w:sz w:val="21"/>
                <w:szCs w:val="21"/>
                <w:lang w:val="en-US" w:eastAsia="zh-CN"/>
              </w:rPr>
              <w:t>5-6</w:t>
            </w:r>
            <w:r>
              <w:rPr>
                <w:rFonts w:ascii="宋体" w:hAnsi="宋体" w:eastAsia="宋体" w:cs="宋体"/>
                <w:sz w:val="21"/>
                <w:szCs w:val="21"/>
              </w:rPr>
              <w:t xml:space="preserve"> 分；满足招标文件基本要求的，得</w:t>
            </w:r>
            <w:r>
              <w:rPr>
                <w:rFonts w:hint="eastAsia" w:ascii="宋体" w:hAnsi="宋体" w:eastAsia="宋体" w:cs="宋体"/>
                <w:sz w:val="21"/>
                <w:szCs w:val="21"/>
                <w:lang w:val="en-US" w:eastAsia="zh-CN"/>
              </w:rPr>
              <w:t>3-4</w:t>
            </w:r>
            <w:r>
              <w:rPr>
                <w:rFonts w:ascii="宋体" w:hAnsi="宋体" w:eastAsia="宋体" w:cs="宋体"/>
                <w:sz w:val="21"/>
                <w:szCs w:val="21"/>
              </w:rPr>
              <w:t>分；内容简单的，得</w:t>
            </w:r>
            <w:r>
              <w:rPr>
                <w:rFonts w:hint="eastAsia" w:ascii="宋体" w:hAnsi="宋体" w:eastAsia="宋体" w:cs="宋体"/>
                <w:sz w:val="21"/>
                <w:szCs w:val="21"/>
                <w:lang w:val="en-US" w:eastAsia="zh-CN"/>
              </w:rPr>
              <w:t>1-2</w:t>
            </w:r>
            <w:r>
              <w:rPr>
                <w:rFonts w:ascii="宋体" w:hAnsi="宋体" w:eastAsia="宋体" w:cs="宋体"/>
                <w:sz w:val="21"/>
                <w:szCs w:val="21"/>
              </w:rPr>
              <w:t>分</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未提供的不得分</w:t>
            </w:r>
            <w:r>
              <w:rPr>
                <w:sz w:val="21"/>
                <w:szCs w:val="21"/>
              </w:rPr>
              <w:t>。</w:t>
            </w:r>
            <w:r>
              <w:rPr>
                <w:sz w:val="21"/>
                <w:szCs w:val="21"/>
              </w:rPr>
              <w:br w:type="textWrapping"/>
            </w:r>
            <w:r>
              <w:rPr>
                <w:sz w:val="21"/>
                <w:szCs w:val="21"/>
              </w:rPr>
              <w:t>（4）人员培训与管理方案（</w:t>
            </w:r>
            <w:r>
              <w:rPr>
                <w:rFonts w:hint="eastAsia"/>
                <w:sz w:val="21"/>
                <w:szCs w:val="21"/>
                <w:lang w:val="en-US" w:eastAsia="zh-CN"/>
              </w:rPr>
              <w:t>5</w:t>
            </w:r>
            <w:r>
              <w:rPr>
                <w:sz w:val="21"/>
                <w:szCs w:val="21"/>
              </w:rPr>
              <w:t>分）：</w:t>
            </w:r>
          </w:p>
          <w:p w14:paraId="0774A8D3">
            <w:pPr>
              <w:rPr>
                <w:sz w:val="21"/>
                <w:szCs w:val="21"/>
              </w:rPr>
            </w:pPr>
            <w:r>
              <w:rPr>
                <w:rFonts w:ascii="宋体" w:hAnsi="宋体" w:eastAsia="宋体" w:cs="宋体"/>
                <w:sz w:val="21"/>
                <w:szCs w:val="21"/>
              </w:rPr>
              <w:t>包含培训计划、考核制度、奖惩机制等内容。方案内容完整、体系完善、切实可行，完全满足并优于招标文件要求的得</w:t>
            </w:r>
            <w:r>
              <w:rPr>
                <w:rFonts w:hint="eastAsia" w:ascii="宋体" w:hAnsi="宋体" w:eastAsia="宋体" w:cs="宋体"/>
                <w:sz w:val="21"/>
                <w:szCs w:val="21"/>
                <w:lang w:val="en-US" w:eastAsia="zh-CN"/>
              </w:rPr>
              <w:t>4-5</w:t>
            </w:r>
            <w:r>
              <w:rPr>
                <w:rFonts w:ascii="宋体" w:hAnsi="宋体" w:eastAsia="宋体" w:cs="宋体"/>
                <w:sz w:val="21"/>
                <w:szCs w:val="21"/>
              </w:rPr>
              <w:t>分；满足招标文件基本要求的得</w:t>
            </w:r>
            <w:r>
              <w:rPr>
                <w:rFonts w:hint="eastAsia" w:ascii="宋体" w:hAnsi="宋体" w:eastAsia="宋体" w:cs="宋体"/>
                <w:sz w:val="21"/>
                <w:szCs w:val="21"/>
                <w:lang w:val="en-US" w:eastAsia="zh-CN"/>
              </w:rPr>
              <w:t>2-3</w:t>
            </w:r>
            <w:r>
              <w:rPr>
                <w:rFonts w:ascii="宋体" w:hAnsi="宋体" w:eastAsia="宋体" w:cs="宋体"/>
                <w:sz w:val="21"/>
                <w:szCs w:val="21"/>
              </w:rPr>
              <w:t>分；内容简单的得</w:t>
            </w:r>
            <w:r>
              <w:rPr>
                <w:rFonts w:hint="eastAsia" w:ascii="宋体" w:hAnsi="宋体" w:eastAsia="宋体" w:cs="宋体"/>
                <w:sz w:val="21"/>
                <w:szCs w:val="21"/>
                <w:lang w:val="en-US" w:eastAsia="zh-CN"/>
              </w:rPr>
              <w:t>1</w:t>
            </w:r>
            <w:r>
              <w:rPr>
                <w:rFonts w:ascii="宋体" w:hAnsi="宋体" w:eastAsia="宋体" w:cs="宋体"/>
                <w:sz w:val="21"/>
                <w:szCs w:val="21"/>
              </w:rPr>
              <w:t>分，未提供不得分</w:t>
            </w:r>
            <w:r>
              <w:rPr>
                <w:sz w:val="21"/>
                <w:szCs w:val="21"/>
              </w:rPr>
              <w:t>。</w:t>
            </w:r>
            <w:r>
              <w:rPr>
                <w:sz w:val="21"/>
                <w:szCs w:val="21"/>
              </w:rPr>
              <w:br w:type="textWrapping"/>
            </w:r>
            <w:r>
              <w:rPr>
                <w:sz w:val="21"/>
                <w:szCs w:val="21"/>
              </w:rPr>
              <w:t>（5）突发事件应急预案（</w:t>
            </w:r>
            <w:r>
              <w:rPr>
                <w:rFonts w:hint="eastAsia"/>
                <w:sz w:val="21"/>
                <w:szCs w:val="21"/>
                <w:lang w:val="en-US" w:eastAsia="zh-CN"/>
              </w:rPr>
              <w:t>5</w:t>
            </w:r>
            <w:r>
              <w:rPr>
                <w:sz w:val="21"/>
                <w:szCs w:val="21"/>
              </w:rPr>
              <w:t>分）：</w:t>
            </w:r>
          </w:p>
          <w:p w14:paraId="27E24D5A">
            <w:pPr>
              <w:rPr>
                <w:sz w:val="21"/>
                <w:szCs w:val="21"/>
              </w:rPr>
            </w:pPr>
            <w:r>
              <w:rPr>
                <w:rFonts w:ascii="宋体" w:hAnsi="宋体" w:eastAsia="宋体" w:cs="宋体"/>
                <w:sz w:val="21"/>
                <w:szCs w:val="21"/>
              </w:rPr>
              <w:t>包含设备故障、消防安全、公共卫生、医疗急救等应急预案。方案内容完整、流程清晰、职责明确、可操作性强，完全满足并优于招标文件要求的得</w:t>
            </w:r>
            <w:r>
              <w:rPr>
                <w:rFonts w:hint="eastAsia" w:ascii="宋体" w:hAnsi="宋体" w:eastAsia="宋体" w:cs="宋体"/>
                <w:sz w:val="21"/>
                <w:szCs w:val="21"/>
                <w:lang w:val="en-US" w:eastAsia="zh-CN"/>
              </w:rPr>
              <w:t>4-5</w:t>
            </w:r>
            <w:r>
              <w:rPr>
                <w:rFonts w:ascii="宋体" w:hAnsi="宋体" w:eastAsia="宋体" w:cs="宋体"/>
                <w:sz w:val="21"/>
                <w:szCs w:val="21"/>
              </w:rPr>
              <w:t>分；满足招标文件基本要求的得</w:t>
            </w:r>
            <w:r>
              <w:rPr>
                <w:rFonts w:hint="eastAsia" w:ascii="宋体" w:hAnsi="宋体" w:eastAsia="宋体" w:cs="宋体"/>
                <w:sz w:val="21"/>
                <w:szCs w:val="21"/>
                <w:lang w:val="en-US" w:eastAsia="zh-CN"/>
              </w:rPr>
              <w:t>2-3</w:t>
            </w:r>
            <w:r>
              <w:rPr>
                <w:rFonts w:ascii="宋体" w:hAnsi="宋体" w:eastAsia="宋体" w:cs="宋体"/>
                <w:sz w:val="21"/>
                <w:szCs w:val="21"/>
              </w:rPr>
              <w:t>分；内容简单的得</w:t>
            </w:r>
            <w:r>
              <w:rPr>
                <w:rFonts w:hint="eastAsia" w:ascii="宋体" w:hAnsi="宋体" w:eastAsia="宋体" w:cs="宋体"/>
                <w:sz w:val="21"/>
                <w:szCs w:val="21"/>
                <w:lang w:val="en-US" w:eastAsia="zh-CN"/>
              </w:rPr>
              <w:t>1</w:t>
            </w:r>
            <w:r>
              <w:rPr>
                <w:rFonts w:ascii="宋体" w:hAnsi="宋体" w:eastAsia="宋体" w:cs="宋体"/>
                <w:sz w:val="21"/>
                <w:szCs w:val="21"/>
              </w:rPr>
              <w:t>分，未提供不得分</w:t>
            </w:r>
            <w:r>
              <w:rPr>
                <w:sz w:val="21"/>
                <w:szCs w:val="21"/>
              </w:rPr>
              <w:t>。</w:t>
            </w:r>
          </w:p>
        </w:tc>
      </w:tr>
      <w:tr w14:paraId="1AC84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58" w:type="dxa"/>
            <w:vAlign w:val="center"/>
          </w:tcPr>
          <w:p w14:paraId="59CE8990">
            <w:pPr>
              <w:jc w:val="center"/>
              <w:rPr>
                <w:rFonts w:hint="eastAsia" w:eastAsiaTheme="minorEastAsia"/>
                <w:sz w:val="21"/>
                <w:szCs w:val="21"/>
                <w:lang w:eastAsia="zh-CN"/>
              </w:rPr>
            </w:pPr>
            <w:r>
              <w:rPr>
                <w:rFonts w:hint="eastAsia"/>
                <w:sz w:val="21"/>
                <w:szCs w:val="21"/>
                <w:lang w:val="en-US" w:eastAsia="zh-CN"/>
              </w:rPr>
              <w:t>7</w:t>
            </w:r>
          </w:p>
        </w:tc>
        <w:tc>
          <w:tcPr>
            <w:tcW w:w="1356" w:type="dxa"/>
            <w:vAlign w:val="center"/>
          </w:tcPr>
          <w:p w14:paraId="377DD674">
            <w:pPr>
              <w:jc w:val="center"/>
              <w:rPr>
                <w:sz w:val="21"/>
                <w:szCs w:val="21"/>
              </w:rPr>
            </w:pPr>
            <w:r>
              <w:rPr>
                <w:sz w:val="21"/>
                <w:szCs w:val="21"/>
              </w:rPr>
              <w:t>保障措施</w:t>
            </w:r>
          </w:p>
        </w:tc>
        <w:tc>
          <w:tcPr>
            <w:tcW w:w="890" w:type="dxa"/>
            <w:vAlign w:val="center"/>
          </w:tcPr>
          <w:p w14:paraId="7F5B5EFE">
            <w:pPr>
              <w:jc w:val="center"/>
              <w:rPr>
                <w:sz w:val="21"/>
                <w:szCs w:val="21"/>
              </w:rPr>
            </w:pPr>
            <w:r>
              <w:rPr>
                <w:rFonts w:hint="eastAsia"/>
                <w:sz w:val="21"/>
                <w:szCs w:val="21"/>
                <w:lang w:val="en-US" w:eastAsia="zh-CN"/>
              </w:rPr>
              <w:t>7</w:t>
            </w:r>
            <w:r>
              <w:rPr>
                <w:sz w:val="21"/>
                <w:szCs w:val="21"/>
              </w:rPr>
              <w:t>分</w:t>
            </w:r>
          </w:p>
        </w:tc>
        <w:tc>
          <w:tcPr>
            <w:tcW w:w="5690" w:type="dxa"/>
          </w:tcPr>
          <w:p w14:paraId="644D5090">
            <w:pPr>
              <w:numPr>
                <w:ilvl w:val="0"/>
                <w:numId w:val="1"/>
              </w:numPr>
              <w:rPr>
                <w:sz w:val="21"/>
                <w:szCs w:val="21"/>
              </w:rPr>
            </w:pPr>
            <w:r>
              <w:rPr>
                <w:sz w:val="21"/>
                <w:szCs w:val="21"/>
              </w:rPr>
              <w:t>应急保障措施（</w:t>
            </w:r>
            <w:r>
              <w:rPr>
                <w:rFonts w:hint="eastAsia"/>
                <w:sz w:val="21"/>
                <w:szCs w:val="21"/>
                <w:lang w:val="en-US" w:eastAsia="zh-CN"/>
              </w:rPr>
              <w:t>2</w:t>
            </w:r>
            <w:r>
              <w:rPr>
                <w:sz w:val="21"/>
                <w:szCs w:val="21"/>
              </w:rPr>
              <w:t>分）：针对设备故障、突发停电、网络中断、公共卫生等突发事件的应急保障措施和预案。方案内容完整、措施完善、可操作性强，完全满足并优于招标文件要求的得1.5-2分；有相关内容但不够完善的得1分，未提供不得分。</w:t>
            </w:r>
            <w:r>
              <w:rPr>
                <w:sz w:val="21"/>
                <w:szCs w:val="21"/>
              </w:rPr>
              <w:br w:type="textWrapping"/>
            </w:r>
            <w:r>
              <w:rPr>
                <w:sz w:val="21"/>
                <w:szCs w:val="21"/>
              </w:rPr>
              <w:t>（</w:t>
            </w:r>
            <w:r>
              <w:rPr>
                <w:rFonts w:hint="eastAsia"/>
                <w:sz w:val="21"/>
                <w:szCs w:val="21"/>
                <w:lang w:val="en-US" w:eastAsia="zh-CN"/>
              </w:rPr>
              <w:t>2</w:t>
            </w:r>
            <w:r>
              <w:rPr>
                <w:sz w:val="21"/>
                <w:szCs w:val="21"/>
              </w:rPr>
              <w:t>）其他保障措施（</w:t>
            </w:r>
            <w:r>
              <w:rPr>
                <w:rFonts w:hint="eastAsia"/>
                <w:sz w:val="21"/>
                <w:szCs w:val="21"/>
                <w:lang w:val="en-US" w:eastAsia="zh-CN"/>
              </w:rPr>
              <w:t>2</w:t>
            </w:r>
            <w:r>
              <w:rPr>
                <w:sz w:val="21"/>
                <w:szCs w:val="21"/>
              </w:rPr>
              <w:t>分）：针对会议服务质量、设备运维、安全管理等方面的其他保障措施，措施完善的得</w:t>
            </w:r>
            <w:r>
              <w:rPr>
                <w:rFonts w:hint="eastAsia"/>
                <w:sz w:val="21"/>
                <w:szCs w:val="21"/>
                <w:lang w:val="en-US" w:eastAsia="zh-CN"/>
              </w:rPr>
              <w:t>2</w:t>
            </w:r>
            <w:r>
              <w:rPr>
                <w:sz w:val="21"/>
                <w:szCs w:val="21"/>
              </w:rPr>
              <w:t>分；有相关内容但不够完善的得1分，未提供不得分。</w:t>
            </w:r>
          </w:p>
          <w:p w14:paraId="684A5FAF">
            <w:pPr>
              <w:numPr>
                <w:ilvl w:val="0"/>
                <w:numId w:val="0"/>
              </w:numPr>
              <w:rPr>
                <w:sz w:val="21"/>
                <w:szCs w:val="21"/>
              </w:rPr>
            </w:pPr>
            <w:r>
              <w:rPr>
                <w:sz w:val="21"/>
                <w:szCs w:val="21"/>
              </w:rPr>
              <w:t>（</w:t>
            </w:r>
            <w:r>
              <w:rPr>
                <w:rFonts w:hint="eastAsia"/>
                <w:sz w:val="21"/>
                <w:szCs w:val="21"/>
                <w:lang w:val="en-US" w:eastAsia="zh-CN"/>
              </w:rPr>
              <w:t>3</w:t>
            </w:r>
            <w:r>
              <w:rPr>
                <w:sz w:val="21"/>
                <w:szCs w:val="21"/>
              </w:rPr>
              <w:t>）电力保障（3分）：至少配备1间双线路供电（双路市电接入）及应急电源（应急发电机组或UPS不间断电源）的会议室的得3分；仅配备单路市电及应急电源的得1分；无应急电源的</w:t>
            </w:r>
            <w:r>
              <w:rPr>
                <w:rFonts w:hint="eastAsia"/>
                <w:sz w:val="21"/>
                <w:szCs w:val="21"/>
                <w:lang w:val="en-US" w:eastAsia="zh-CN"/>
              </w:rPr>
              <w:t>不得</w:t>
            </w:r>
            <w:r>
              <w:rPr>
                <w:sz w:val="21"/>
                <w:szCs w:val="21"/>
              </w:rPr>
              <w:t>分。</w:t>
            </w:r>
            <w:r>
              <w:rPr>
                <w:sz w:val="21"/>
                <w:szCs w:val="21"/>
              </w:rPr>
              <w:br w:type="textWrapping"/>
            </w:r>
            <w:r>
              <w:rPr>
                <w:sz w:val="21"/>
                <w:szCs w:val="21"/>
              </w:rPr>
              <w:t>注：电力保障须提供配电系统图、应急电源设备照片等证明材料，未提供的不得分。</w:t>
            </w:r>
          </w:p>
        </w:tc>
      </w:tr>
    </w:tbl>
    <w:p w14:paraId="0018CD7D">
      <w:pPr>
        <w:rPr>
          <w:rFonts w:hint="eastAsia" w:ascii="宋体" w:hAnsi="宋体" w:eastAsia="宋体" w:cs="宋体"/>
          <w:spacing w:val="-7"/>
          <w:sz w:val="21"/>
          <w:szCs w:val="21"/>
          <w:highlight w:val="none"/>
          <w:lang w:val="en-US" w:eastAsia="zh-CN" w:bidi="ar-SA"/>
        </w:rPr>
      </w:pPr>
    </w:p>
    <w:p w14:paraId="38DCA12A">
      <w:pPr>
        <w:rPr>
          <w:rFonts w:hint="eastAsia" w:ascii="宋体" w:hAnsi="宋体" w:eastAsia="宋体" w:cs="宋体"/>
          <w:spacing w:val="-7"/>
          <w:sz w:val="21"/>
          <w:szCs w:val="21"/>
          <w:highlight w:val="none"/>
          <w:lang w:val="en-US" w:eastAsia="zh-CN" w:bidi="ar-SA"/>
        </w:rPr>
      </w:pPr>
    </w:p>
    <w:p w14:paraId="6408AC12">
      <w:pPr>
        <w:rPr>
          <w:rFonts w:hint="eastAsia" w:ascii="黑体" w:hAnsi="宋体" w:eastAsia="黑体" w:cs="黑体"/>
          <w:color w:val="000000"/>
          <w:sz w:val="48"/>
          <w:szCs w:val="48"/>
        </w:rPr>
      </w:pPr>
      <w:r>
        <w:rPr>
          <w:rFonts w:hint="eastAsia" w:ascii="宋体" w:hAnsi="宋体" w:eastAsia="宋体" w:cs="宋体"/>
          <w:spacing w:val="-7"/>
          <w:sz w:val="21"/>
          <w:szCs w:val="21"/>
          <w:highlight w:val="none"/>
          <w:lang w:val="en-US" w:eastAsia="zh-CN" w:bidi="ar-SA"/>
        </w:rPr>
        <w:t>备注：所有材料必须真实有效，一旦发现作假行为，取消中标资格。</w:t>
      </w:r>
      <w:r>
        <w:rPr>
          <w:rFonts w:hint="eastAsia" w:ascii="黑体" w:hAnsi="宋体" w:eastAsia="黑体" w:cs="黑体"/>
          <w:color w:val="000000"/>
          <w:sz w:val="48"/>
          <w:szCs w:val="48"/>
        </w:rPr>
        <w:br w:type="page"/>
      </w:r>
    </w:p>
    <w:p w14:paraId="183AB4D3">
      <w:pPr>
        <w:pStyle w:val="32"/>
        <w:keepNext/>
        <w:spacing w:beforeAutospacing="0" w:afterAutospacing="0" w:line="360" w:lineRule="auto"/>
        <w:jc w:val="center"/>
        <w:rPr>
          <w:rFonts w:eastAsia="黑体"/>
          <w:sz w:val="48"/>
          <w:szCs w:val="48"/>
        </w:rPr>
      </w:pPr>
      <w:r>
        <w:rPr>
          <w:rFonts w:hint="eastAsia" w:ascii="黑体" w:hAnsi="宋体" w:eastAsia="黑体" w:cs="黑体"/>
          <w:color w:val="000000"/>
          <w:sz w:val="48"/>
          <w:szCs w:val="48"/>
        </w:rPr>
        <w:t>第六章 投标文件格式</w:t>
      </w:r>
    </w:p>
    <w:p w14:paraId="057762E0">
      <w:pPr>
        <w:pStyle w:val="32"/>
        <w:spacing w:beforeAutospacing="0" w:afterAutospacing="0" w:line="360" w:lineRule="auto"/>
        <w:jc w:val="center"/>
        <w:rPr>
          <w:rFonts w:hint="eastAsia" w:ascii="宋体" w:hAnsi="宋体" w:eastAsia="宋体" w:cs="宋体"/>
          <w:b/>
          <w:color w:val="000000"/>
          <w:sz w:val="72"/>
          <w:szCs w:val="72"/>
        </w:rPr>
      </w:pPr>
      <w:bookmarkStart w:id="179" w:name="_Hlt26671244"/>
      <w:bookmarkEnd w:id="179"/>
      <w:bookmarkStart w:id="180" w:name="_Hlt26955039"/>
      <w:bookmarkEnd w:id="180"/>
      <w:bookmarkStart w:id="181" w:name="_Toc26554094"/>
      <w:bookmarkEnd w:id="181"/>
      <w:bookmarkStart w:id="182" w:name="_Toc49090576"/>
      <w:bookmarkStart w:id="183" w:name="_Toc120614282"/>
    </w:p>
    <w:p w14:paraId="2E06D7A3">
      <w:pPr>
        <w:pStyle w:val="32"/>
        <w:spacing w:beforeAutospacing="0" w:afterAutospacing="0" w:line="360" w:lineRule="auto"/>
        <w:jc w:val="center"/>
        <w:rPr>
          <w:rFonts w:hint="eastAsia" w:ascii="宋体" w:hAnsi="宋体" w:eastAsia="宋体" w:cs="宋体"/>
          <w:b/>
          <w:color w:val="000000"/>
          <w:sz w:val="72"/>
          <w:szCs w:val="72"/>
        </w:rPr>
      </w:pPr>
    </w:p>
    <w:p w14:paraId="43C6D891">
      <w:pPr>
        <w:pStyle w:val="32"/>
        <w:spacing w:beforeAutospacing="0" w:afterAutospacing="0" w:line="360" w:lineRule="auto"/>
        <w:jc w:val="center"/>
        <w:rPr>
          <w:rFonts w:hint="eastAsia" w:ascii="宋体" w:hAnsi="宋体" w:eastAsia="宋体" w:cs="宋体"/>
          <w:b/>
          <w:color w:val="000000"/>
          <w:sz w:val="72"/>
          <w:szCs w:val="72"/>
        </w:rPr>
      </w:pPr>
    </w:p>
    <w:p w14:paraId="1C753CC3">
      <w:pPr>
        <w:pStyle w:val="32"/>
        <w:spacing w:beforeAutospacing="0" w:afterAutospacing="0" w:line="360" w:lineRule="auto"/>
        <w:jc w:val="center"/>
      </w:pPr>
      <w:r>
        <w:rPr>
          <w:rFonts w:hint="eastAsia" w:ascii="宋体" w:hAnsi="宋体" w:eastAsia="宋体" w:cs="宋体"/>
          <w:b/>
          <w:color w:val="000000"/>
          <w:sz w:val="72"/>
          <w:szCs w:val="72"/>
        </w:rPr>
        <w:t>投 标 文 件</w:t>
      </w:r>
    </w:p>
    <w:p w14:paraId="484FEC1D">
      <w:pPr>
        <w:pStyle w:val="32"/>
        <w:spacing w:beforeAutospacing="0" w:afterAutospacing="0" w:line="360" w:lineRule="auto"/>
        <w:jc w:val="center"/>
      </w:pPr>
      <w:r>
        <w:t> </w:t>
      </w:r>
    </w:p>
    <w:p w14:paraId="12CE440E">
      <w:pPr>
        <w:pStyle w:val="32"/>
        <w:spacing w:beforeAutospacing="0" w:afterAutospacing="0" w:line="360" w:lineRule="auto"/>
        <w:jc w:val="center"/>
      </w:pPr>
      <w:r>
        <w:t> </w:t>
      </w:r>
    </w:p>
    <w:p w14:paraId="0B3AF6C7">
      <w:pPr>
        <w:pStyle w:val="32"/>
        <w:spacing w:beforeAutospacing="0" w:afterAutospacing="0" w:line="360" w:lineRule="auto"/>
        <w:jc w:val="center"/>
      </w:pPr>
      <w:r>
        <w:t> </w:t>
      </w:r>
    </w:p>
    <w:p w14:paraId="72A27E5B">
      <w:pPr>
        <w:pStyle w:val="32"/>
        <w:spacing w:beforeAutospacing="0" w:afterAutospacing="0" w:line="360" w:lineRule="auto"/>
        <w:jc w:val="center"/>
      </w:pPr>
      <w:r>
        <w:t> </w:t>
      </w:r>
    </w:p>
    <w:p w14:paraId="4AE54155">
      <w:pPr>
        <w:pStyle w:val="32"/>
        <w:spacing w:beforeAutospacing="0" w:afterAutospacing="0" w:line="360" w:lineRule="auto"/>
        <w:jc w:val="center"/>
      </w:pPr>
      <w:r>
        <w:t> </w:t>
      </w:r>
    </w:p>
    <w:p w14:paraId="77264526">
      <w:pPr>
        <w:pStyle w:val="32"/>
        <w:spacing w:beforeAutospacing="0" w:afterAutospacing="0" w:line="360" w:lineRule="auto"/>
        <w:ind w:firstLine="1084" w:firstLineChars="300"/>
        <w:jc w:val="both"/>
        <w:rPr>
          <w:rFonts w:hint="eastAsia" w:eastAsia="宋体"/>
          <w:lang w:eastAsia="zh-CN"/>
        </w:rPr>
      </w:pPr>
      <w:r>
        <w:rPr>
          <w:rFonts w:hint="eastAsia" w:ascii="宋体" w:hAnsi="宋体" w:eastAsia="宋体" w:cs="宋体"/>
          <w:b/>
          <w:color w:val="000000"/>
          <w:sz w:val="36"/>
          <w:szCs w:val="36"/>
        </w:rPr>
        <w:t>项目名称：</w:t>
      </w:r>
      <w:r>
        <w:rPr>
          <w:rFonts w:hint="eastAsia" w:ascii="宋体" w:hAnsi="宋体" w:eastAsia="宋体" w:cs="宋体"/>
          <w:b/>
          <w:color w:val="000000"/>
          <w:sz w:val="36"/>
          <w:szCs w:val="36"/>
          <w:u w:val="single"/>
          <w:lang w:eastAsia="zh-CN"/>
        </w:rPr>
        <w:t>2027年度滨海县会议服务采购项目</w:t>
      </w:r>
    </w:p>
    <w:p w14:paraId="35D5BB6B">
      <w:pPr>
        <w:pStyle w:val="32"/>
        <w:spacing w:beforeAutospacing="0" w:afterAutospacing="0" w:line="360" w:lineRule="auto"/>
        <w:ind w:firstLine="1084"/>
        <w:jc w:val="both"/>
        <w:rPr>
          <w:rFonts w:eastAsia="宋体"/>
        </w:rPr>
      </w:pPr>
      <w:r>
        <w:rPr>
          <w:rFonts w:hint="eastAsia" w:ascii="宋体" w:hAnsi="宋体" w:eastAsia="宋体" w:cs="宋体"/>
          <w:b/>
          <w:color w:val="000000"/>
          <w:sz w:val="36"/>
          <w:szCs w:val="36"/>
        </w:rPr>
        <w:t>项目编号：</w:t>
      </w:r>
      <w:r>
        <w:rPr>
          <w:rFonts w:hint="eastAsia" w:ascii="宋体" w:hAnsi="宋体" w:eastAsia="宋体" w:cs="宋体"/>
          <w:b/>
          <w:color w:val="000000"/>
          <w:sz w:val="36"/>
          <w:szCs w:val="36"/>
          <w:u w:val="single"/>
          <w:lang w:eastAsia="zh-CN"/>
        </w:rPr>
        <w:t>JSZC-320922-JSJS-G2026-0011</w:t>
      </w:r>
    </w:p>
    <w:p w14:paraId="276892CE">
      <w:pPr>
        <w:pStyle w:val="32"/>
        <w:spacing w:beforeAutospacing="0" w:afterAutospacing="0" w:line="360" w:lineRule="auto"/>
        <w:jc w:val="both"/>
        <w:rPr>
          <w:rFonts w:eastAsia="宋体"/>
        </w:rPr>
      </w:pPr>
      <w:r>
        <w:rPr>
          <w:rFonts w:hint="eastAsia" w:ascii="宋体" w:hAnsi="宋体" w:eastAsia="宋体" w:cs="宋体"/>
          <w:b/>
          <w:color w:val="000000"/>
          <w:sz w:val="36"/>
          <w:szCs w:val="36"/>
        </w:rPr>
        <w:t>   </w:t>
      </w:r>
      <w:r>
        <w:rPr>
          <w:rFonts w:hint="eastAsia" w:ascii="宋体" w:hAnsi="宋体" w:eastAsia="宋体" w:cs="宋体"/>
          <w:b/>
          <w:color w:val="000000"/>
          <w:sz w:val="36"/>
          <w:szCs w:val="36"/>
          <w:lang w:eastAsia="zh-CN"/>
        </w:rPr>
        <w:t>供应商</w:t>
      </w:r>
      <w:r>
        <w:rPr>
          <w:rFonts w:hint="eastAsia" w:ascii="宋体" w:hAnsi="宋体" w:eastAsia="宋体" w:cs="宋体"/>
          <w:b/>
          <w:color w:val="000000"/>
          <w:sz w:val="36"/>
          <w:szCs w:val="36"/>
        </w:rPr>
        <w:t>名称：</w:t>
      </w:r>
      <w:r>
        <w:rPr>
          <w:rFonts w:hint="eastAsia" w:ascii="宋体" w:hAnsi="宋体" w:eastAsia="宋体" w:cs="宋体"/>
          <w:b/>
          <w:color w:val="000000"/>
          <w:sz w:val="36"/>
          <w:szCs w:val="36"/>
          <w:u w:val="single"/>
        </w:rPr>
        <w:t>（加盖CA电子公章）</w:t>
      </w:r>
    </w:p>
    <w:p w14:paraId="09A78F81">
      <w:pPr>
        <w:pStyle w:val="32"/>
        <w:spacing w:beforeAutospacing="0" w:afterAutospacing="0" w:line="360" w:lineRule="auto"/>
        <w:jc w:val="both"/>
      </w:pPr>
      <w:r>
        <w:rPr>
          <w:rFonts w:hint="eastAsia" w:ascii="宋体" w:hAnsi="宋体" w:eastAsia="宋体" w:cs="宋体"/>
          <w:b/>
          <w:color w:val="000000"/>
          <w:sz w:val="36"/>
          <w:szCs w:val="36"/>
        </w:rPr>
        <w:t>   日   期：</w:t>
      </w:r>
      <w:r>
        <w:rPr>
          <w:rFonts w:hint="eastAsia" w:ascii="宋体" w:hAnsi="宋体" w:eastAsia="宋体" w:cs="宋体"/>
          <w:b/>
          <w:color w:val="000000"/>
          <w:sz w:val="36"/>
          <w:szCs w:val="36"/>
          <w:u w:val="single"/>
        </w:rPr>
        <w:t>      </w:t>
      </w:r>
    </w:p>
    <w:p w14:paraId="7E2AED10">
      <w:pPr>
        <w:pStyle w:val="32"/>
        <w:spacing w:beforeAutospacing="0" w:afterAutospacing="0" w:line="360" w:lineRule="auto"/>
        <w:jc w:val="center"/>
      </w:pPr>
      <w:r>
        <w:t> </w:t>
      </w:r>
    </w:p>
    <w:p w14:paraId="7C766F6A">
      <w:pPr>
        <w:pStyle w:val="32"/>
        <w:spacing w:beforeAutospacing="0" w:afterAutospacing="0" w:line="360" w:lineRule="auto"/>
        <w:jc w:val="both"/>
      </w:pPr>
      <w:r>
        <w:t> </w:t>
      </w:r>
    </w:p>
    <w:p w14:paraId="0988B78D">
      <w:pPr>
        <w:pStyle w:val="32"/>
        <w:spacing w:beforeAutospacing="0" w:afterAutospacing="0" w:line="360" w:lineRule="auto"/>
        <w:jc w:val="center"/>
        <w:rPr>
          <w:rFonts w:hint="eastAsia" w:ascii="宋体" w:hAnsi="宋体" w:eastAsia="宋体" w:cs="宋体"/>
          <w:b/>
          <w:color w:val="000000"/>
          <w:sz w:val="36"/>
          <w:szCs w:val="36"/>
          <w:u w:val="single"/>
        </w:rPr>
      </w:pPr>
    </w:p>
    <w:p w14:paraId="23327CAF">
      <w:pPr>
        <w:spacing w:line="360" w:lineRule="auto"/>
        <w:rPr>
          <w:rFonts w:hint="eastAsia" w:ascii="宋体" w:hAnsi="宋体" w:eastAsia="宋体" w:cs="宋体"/>
          <w:b/>
          <w:color w:val="000000"/>
          <w:sz w:val="36"/>
          <w:szCs w:val="36"/>
          <w:u w:val="single"/>
        </w:rPr>
      </w:pPr>
      <w:r>
        <w:rPr>
          <w:rFonts w:ascii="宋体" w:hAnsi="宋体" w:eastAsia="宋体" w:cs="宋体"/>
          <w:b/>
          <w:color w:val="000000"/>
          <w:sz w:val="36"/>
          <w:szCs w:val="36"/>
          <w:u w:val="single"/>
        </w:rPr>
        <w:br w:type="page" w:clear="all"/>
      </w:r>
    </w:p>
    <w:p w14:paraId="6E32A8B1">
      <w:pPr>
        <w:pStyle w:val="32"/>
        <w:spacing w:beforeAutospacing="0" w:afterAutospacing="0" w:line="360" w:lineRule="auto"/>
        <w:jc w:val="center"/>
      </w:pPr>
      <w:r>
        <w:rPr>
          <w:rFonts w:hint="eastAsia" w:ascii="宋体" w:hAnsi="宋体" w:eastAsia="宋体" w:cs="宋体"/>
          <w:b/>
          <w:color w:val="000000"/>
          <w:sz w:val="32"/>
          <w:szCs w:val="32"/>
        </w:rPr>
        <w:t>投标文件目录</w:t>
      </w:r>
    </w:p>
    <w:p w14:paraId="6F28F536">
      <w:pPr>
        <w:pStyle w:val="32"/>
        <w:spacing w:beforeAutospacing="0" w:afterAutospacing="0" w:line="360" w:lineRule="auto"/>
        <w:jc w:val="center"/>
      </w:pPr>
      <w:r>
        <w:t> </w:t>
      </w:r>
    </w:p>
    <w:p w14:paraId="1FC41A22">
      <w:pPr>
        <w:spacing w:line="520" w:lineRule="exact"/>
        <w:ind w:firstLine="480"/>
        <w:rPr>
          <w:rFonts w:hint="eastAsia" w:ascii="宋体" w:hAnsi="宋体" w:eastAsia="宋体" w:cs="宋体"/>
          <w:i/>
          <w:iCs/>
          <w:color w:val="auto"/>
          <w:sz w:val="24"/>
          <w:szCs w:val="22"/>
          <w:highlight w:val="none"/>
          <w:u w:val="single"/>
          <w:lang w:val="en-US" w:eastAsia="zh-CN"/>
        </w:rPr>
      </w:pPr>
      <w:r>
        <w:rPr>
          <w:rFonts w:hint="eastAsia" w:ascii="宋体" w:hAnsi="宋体" w:eastAsia="宋体" w:cs="宋体"/>
          <w:i/>
          <w:iCs/>
          <w:color w:val="auto"/>
          <w:sz w:val="24"/>
          <w:szCs w:val="22"/>
          <w:highlight w:val="none"/>
          <w:u w:val="single"/>
          <w:lang w:val="en-US" w:eastAsia="zh-CN"/>
        </w:rPr>
        <w:t>一、法人或者其他组织的营业执照等证明文件，自然人的身份证明</w:t>
      </w:r>
    </w:p>
    <w:p w14:paraId="7D28B538">
      <w:pPr>
        <w:spacing w:line="520" w:lineRule="exact"/>
        <w:ind w:firstLine="480"/>
        <w:rPr>
          <w:rFonts w:hint="eastAsia" w:ascii="宋体" w:hAnsi="宋体" w:eastAsia="宋体" w:cs="宋体"/>
          <w:i/>
          <w:iCs/>
          <w:color w:val="auto"/>
          <w:sz w:val="24"/>
          <w:szCs w:val="22"/>
          <w:highlight w:val="none"/>
          <w:u w:val="single"/>
          <w:lang w:val="en-US" w:eastAsia="zh-CN"/>
        </w:rPr>
      </w:pPr>
      <w:r>
        <w:rPr>
          <w:rFonts w:hint="eastAsia" w:ascii="宋体" w:hAnsi="宋体" w:eastAsia="宋体" w:cs="宋体"/>
          <w:i/>
          <w:iCs/>
          <w:color w:val="auto"/>
          <w:sz w:val="24"/>
          <w:szCs w:val="22"/>
          <w:highlight w:val="none"/>
          <w:u w:val="single"/>
          <w:lang w:val="en-US" w:eastAsia="zh-CN"/>
        </w:rPr>
        <w:t>二、上一年度的财务状况报告（至少提供资产负债表、利润表、现金流量表，投标人成立不满一年无需提供）</w:t>
      </w:r>
    </w:p>
    <w:p w14:paraId="0BBEE6DC">
      <w:pPr>
        <w:spacing w:line="520" w:lineRule="exact"/>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rPr>
        <w:t>三、具备履行合同所必需的设备和专业技术能力的书面声明</w:t>
      </w:r>
    </w:p>
    <w:p w14:paraId="105CA49E">
      <w:pPr>
        <w:spacing w:line="520" w:lineRule="exact"/>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73AF50F">
      <w:pPr>
        <w:spacing w:line="520" w:lineRule="exact"/>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rPr>
        <w:t>五、参加政府采购活动前3年内在经营活动中没有重大违法记录的书面声明</w:t>
      </w:r>
    </w:p>
    <w:p w14:paraId="35CF138B">
      <w:pPr>
        <w:spacing w:line="520" w:lineRule="exact"/>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lang w:val="en-US" w:eastAsia="zh-CN"/>
        </w:rPr>
        <w:t>六、</w:t>
      </w:r>
      <w:r>
        <w:rPr>
          <w:rFonts w:hint="eastAsia" w:ascii="宋体" w:hAnsi="宋体" w:eastAsia="宋体" w:cs="宋体"/>
          <w:i/>
          <w:iCs/>
          <w:color w:val="auto"/>
          <w:sz w:val="24"/>
          <w:szCs w:val="22"/>
          <w:highlight w:val="none"/>
          <w:u w:val="single"/>
        </w:rPr>
        <w:t>单位负责人为同一人或者存在直接控股、</w:t>
      </w:r>
      <w:r>
        <w:rPr>
          <w:rFonts w:hint="eastAsia" w:ascii="宋体" w:hAnsi="宋体" w:eastAsia="宋体" w:cs="宋体"/>
          <w:i/>
          <w:iCs/>
          <w:color w:val="auto"/>
          <w:sz w:val="24"/>
          <w:szCs w:val="22"/>
          <w:highlight w:val="none"/>
          <w:u w:val="single"/>
          <w:lang w:val="en-US" w:eastAsia="zh-CN"/>
        </w:rPr>
        <w:t>管理</w:t>
      </w:r>
      <w:r>
        <w:rPr>
          <w:rFonts w:hint="eastAsia" w:ascii="宋体" w:hAnsi="宋体" w:eastAsia="宋体" w:cs="宋体"/>
          <w:i/>
          <w:iCs/>
          <w:color w:val="auto"/>
          <w:sz w:val="24"/>
          <w:szCs w:val="22"/>
          <w:highlight w:val="none"/>
          <w:u w:val="single"/>
        </w:rPr>
        <w:t>关系的不同供应商，不得参加同一合同项下的政府采购活动证明文件</w:t>
      </w:r>
    </w:p>
    <w:p w14:paraId="3038E82D">
      <w:pPr>
        <w:spacing w:line="520" w:lineRule="exact"/>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lang w:val="en-US" w:eastAsia="zh-CN"/>
        </w:rPr>
        <w:t>七</w:t>
      </w:r>
      <w:r>
        <w:rPr>
          <w:rFonts w:hint="eastAsia" w:ascii="宋体" w:hAnsi="宋体" w:eastAsia="宋体" w:cs="宋体"/>
          <w:i/>
          <w:iCs/>
          <w:color w:val="auto"/>
          <w:sz w:val="24"/>
          <w:szCs w:val="22"/>
          <w:highlight w:val="none"/>
          <w:u w:val="single"/>
        </w:rPr>
        <w:t>、特定资格要求的证明文件（如果本项目设置特定资格要求，则需要提供）</w:t>
      </w:r>
    </w:p>
    <w:p w14:paraId="24725F03">
      <w:pPr>
        <w:spacing w:line="520" w:lineRule="exact"/>
        <w:ind w:firstLine="480"/>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lang w:val="en-US" w:eastAsia="zh-CN"/>
        </w:rPr>
        <w:t>八</w:t>
      </w:r>
      <w:r>
        <w:rPr>
          <w:rFonts w:hint="eastAsia" w:ascii="宋体" w:hAnsi="宋体" w:eastAsia="宋体" w:cs="宋体"/>
          <w:i/>
          <w:iCs/>
          <w:color w:val="auto"/>
          <w:sz w:val="24"/>
          <w:szCs w:val="22"/>
          <w:highlight w:val="none"/>
          <w:u w:val="single"/>
        </w:rPr>
        <w:t>、法人授权书</w:t>
      </w:r>
    </w:p>
    <w:p w14:paraId="5DAE9FC1">
      <w:pPr>
        <w:keepNext w:val="0"/>
        <w:keepLines w:val="0"/>
        <w:pageBreakBefore w:val="0"/>
        <w:widowControl w:val="0"/>
        <w:kinsoku/>
        <w:wordWrap/>
        <w:overflowPunct/>
        <w:topLinePunct w:val="0"/>
        <w:autoSpaceDE/>
        <w:autoSpaceDN/>
        <w:bidi w:val="0"/>
        <w:adjustRightInd/>
        <w:snapToGrid/>
        <w:spacing w:line="520" w:lineRule="exact"/>
        <w:ind w:firstLine="482"/>
        <w:textAlignment w:val="auto"/>
        <w:rPr>
          <w:rFonts w:hint="eastAsia" w:ascii="宋体" w:hAnsi="宋体" w:eastAsia="宋体" w:cs="宋体"/>
          <w:i/>
          <w:iCs/>
          <w:color w:val="auto"/>
          <w:sz w:val="24"/>
          <w:szCs w:val="22"/>
          <w:highlight w:val="none"/>
          <w:u w:val="single"/>
        </w:rPr>
      </w:pPr>
      <w:r>
        <w:rPr>
          <w:rFonts w:hint="eastAsia" w:ascii="宋体" w:hAnsi="宋体" w:eastAsia="宋体" w:cs="宋体"/>
          <w:i/>
          <w:iCs/>
          <w:color w:val="auto"/>
          <w:sz w:val="24"/>
          <w:szCs w:val="22"/>
          <w:highlight w:val="none"/>
          <w:u w:val="single"/>
          <w:lang w:val="en-US" w:eastAsia="zh-CN"/>
        </w:rPr>
        <w:t>九</w:t>
      </w:r>
      <w:r>
        <w:rPr>
          <w:rFonts w:hint="eastAsia" w:ascii="宋体" w:hAnsi="宋体" w:eastAsia="宋体" w:cs="宋体"/>
          <w:i/>
          <w:iCs/>
          <w:color w:val="auto"/>
          <w:sz w:val="24"/>
          <w:szCs w:val="22"/>
          <w:highlight w:val="none"/>
          <w:u w:val="single"/>
        </w:rPr>
        <w:t>、投标函</w:t>
      </w:r>
    </w:p>
    <w:p w14:paraId="591B2750">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lang w:val="en-US" w:eastAsia="zh-CN"/>
        </w:rPr>
        <w:t>十</w:t>
      </w:r>
      <w:r>
        <w:rPr>
          <w:rFonts w:hint="eastAsia" w:ascii="宋体" w:hAnsi="宋体" w:eastAsia="宋体" w:cs="宋体"/>
          <w:iCs/>
          <w:color w:val="000000"/>
        </w:rPr>
        <w:t>、</w:t>
      </w:r>
      <w:r>
        <w:rPr>
          <w:rFonts w:hint="eastAsia" w:ascii="宋体" w:hAnsi="宋体" w:eastAsia="宋体" w:cs="宋体"/>
          <w:iCs/>
        </w:rPr>
        <w:t>中小企业声明函</w:t>
      </w:r>
    </w:p>
    <w:p w14:paraId="0FC92EF2">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一</w:t>
      </w:r>
      <w:r>
        <w:rPr>
          <w:rFonts w:hint="eastAsia" w:ascii="宋体" w:hAnsi="宋体" w:eastAsia="宋体" w:cs="宋体"/>
          <w:iCs/>
          <w:color w:val="000000"/>
        </w:rPr>
        <w:t>、残疾人福利性单位声明函</w:t>
      </w:r>
    </w:p>
    <w:p w14:paraId="59BB589F">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二</w:t>
      </w:r>
      <w:r>
        <w:rPr>
          <w:rFonts w:hint="eastAsia" w:ascii="宋体" w:hAnsi="宋体" w:eastAsia="宋体" w:cs="宋体"/>
          <w:iCs/>
          <w:color w:val="000000"/>
        </w:rPr>
        <w:t>、投标分项报价表</w:t>
      </w:r>
    </w:p>
    <w:p w14:paraId="30421204">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三</w:t>
      </w:r>
      <w:r>
        <w:rPr>
          <w:rFonts w:hint="eastAsia" w:ascii="宋体" w:hAnsi="宋体" w:eastAsia="宋体" w:cs="宋体"/>
          <w:iCs/>
          <w:color w:val="000000"/>
        </w:rPr>
        <w:t>、技术要求响应及偏离表</w:t>
      </w:r>
    </w:p>
    <w:p w14:paraId="2C0B0E32">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四</w:t>
      </w:r>
      <w:r>
        <w:rPr>
          <w:rFonts w:hint="eastAsia" w:ascii="宋体" w:hAnsi="宋体" w:eastAsia="宋体" w:cs="宋体"/>
          <w:iCs/>
          <w:color w:val="000000"/>
        </w:rPr>
        <w:t>、商务要求响应及偏离表</w:t>
      </w:r>
    </w:p>
    <w:p w14:paraId="6CCE7019">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五</w:t>
      </w:r>
      <w:r>
        <w:rPr>
          <w:rFonts w:hint="eastAsia" w:ascii="宋体" w:hAnsi="宋体" w:eastAsia="宋体" w:cs="宋体"/>
          <w:iCs/>
          <w:color w:val="000000"/>
        </w:rPr>
        <w:t>、开标一览表</w:t>
      </w:r>
    </w:p>
    <w:p w14:paraId="276004C4">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六</w:t>
      </w:r>
      <w:r>
        <w:rPr>
          <w:rFonts w:hint="eastAsia" w:ascii="宋体" w:hAnsi="宋体" w:eastAsia="宋体" w:cs="宋体"/>
          <w:iCs/>
          <w:color w:val="000000"/>
        </w:rPr>
        <w:t>、</w:t>
      </w:r>
      <w:r>
        <w:rPr>
          <w:rFonts w:ascii="宋体" w:hAnsi="宋体" w:eastAsia="宋体"/>
          <w:sz w:val="24"/>
        </w:rPr>
        <w:t>项目服务团队成员一览表</w:t>
      </w:r>
    </w:p>
    <w:p w14:paraId="0D377FB1">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七</w:t>
      </w:r>
      <w:r>
        <w:rPr>
          <w:rFonts w:hint="eastAsia" w:ascii="宋体" w:hAnsi="宋体" w:eastAsia="宋体" w:cs="宋体"/>
          <w:iCs/>
          <w:color w:val="000000"/>
        </w:rPr>
        <w:t>、服务方案</w:t>
      </w:r>
      <w:bookmarkStart w:id="203" w:name="_GoBack"/>
      <w:r>
        <w:rPr>
          <w:rFonts w:hint="eastAsia" w:ascii="宋体" w:hAnsi="宋体" w:eastAsia="宋体" w:cs="宋体"/>
          <w:iCs/>
          <w:color w:val="000000"/>
          <w:lang w:eastAsia="zh-CN"/>
        </w:rPr>
        <w:t>、</w:t>
      </w:r>
      <w:r>
        <w:rPr>
          <w:rFonts w:hint="eastAsia" w:ascii="宋体" w:hAnsi="宋体" w:eastAsia="宋体" w:cs="宋体"/>
          <w:iCs/>
          <w:color w:val="000000"/>
        </w:rPr>
        <w:t>保障措施</w:t>
      </w:r>
      <w:r>
        <w:rPr>
          <w:rFonts w:hint="eastAsia" w:ascii="宋体" w:hAnsi="宋体" w:eastAsia="宋体" w:cs="宋体"/>
          <w:iCs/>
          <w:color w:val="000000"/>
        </w:rPr>
        <w:t>等</w:t>
      </w:r>
      <w:bookmarkEnd w:id="203"/>
    </w:p>
    <w:p w14:paraId="522BF5BB">
      <w:pPr>
        <w:pStyle w:val="32"/>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jc w:val="both"/>
        <w:textAlignment w:val="auto"/>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八</w:t>
      </w:r>
      <w:r>
        <w:rPr>
          <w:rFonts w:hint="eastAsia" w:ascii="宋体" w:hAnsi="宋体" w:eastAsia="宋体" w:cs="宋体"/>
          <w:iCs/>
          <w:color w:val="000000"/>
        </w:rPr>
        <w:t>、盐城市政府采购事前信用承诺书</w:t>
      </w:r>
    </w:p>
    <w:p w14:paraId="050D5693">
      <w:pPr>
        <w:pStyle w:val="32"/>
        <w:spacing w:beforeAutospacing="0" w:afterAutospacing="0" w:line="360" w:lineRule="auto"/>
        <w:ind w:firstLine="480"/>
        <w:jc w:val="both"/>
        <w:rPr>
          <w:rFonts w:hint="eastAsia" w:ascii="宋体" w:hAnsi="宋体" w:eastAsia="宋体" w:cs="宋体"/>
          <w:iCs/>
          <w:color w:val="000000"/>
        </w:rPr>
      </w:pPr>
    </w:p>
    <w:p w14:paraId="474430C7">
      <w:pPr>
        <w:pStyle w:val="32"/>
        <w:spacing w:beforeAutospacing="0" w:afterAutospacing="0" w:line="360" w:lineRule="auto"/>
        <w:ind w:firstLine="480"/>
        <w:jc w:val="both"/>
        <w:rPr>
          <w:rFonts w:hint="eastAsia" w:ascii="宋体" w:hAnsi="宋体" w:eastAsia="宋体" w:cs="宋体"/>
          <w:color w:val="000000"/>
        </w:rPr>
      </w:pPr>
    </w:p>
    <w:p w14:paraId="5F188DCF">
      <w:pPr>
        <w:pStyle w:val="32"/>
        <w:spacing w:beforeAutospacing="0" w:afterAutospacing="0" w:line="360" w:lineRule="auto"/>
        <w:ind w:firstLine="480"/>
        <w:jc w:val="both"/>
      </w:pPr>
      <w:r>
        <w:t> </w:t>
      </w:r>
    </w:p>
    <w:p w14:paraId="515885D7">
      <w:pPr>
        <w:pStyle w:val="32"/>
        <w:spacing w:beforeAutospacing="0" w:afterAutospacing="0" w:line="360" w:lineRule="auto"/>
        <w:jc w:val="both"/>
      </w:pPr>
      <w:r>
        <w:t> </w:t>
      </w:r>
      <w:r>
        <w:rPr>
          <w:rFonts w:hint="eastAsia" w:ascii="黑体" w:hAnsi="宋体" w:eastAsia="黑体" w:cs="黑体"/>
          <w:i/>
          <w:color w:val="000000"/>
          <w:sz w:val="32"/>
          <w:szCs w:val="32"/>
          <w:u w:val="single"/>
        </w:rPr>
        <w:t>一、法人或者其他组织的营业执照等证明文件，自然人的身份证明</w:t>
      </w:r>
    </w:p>
    <w:p w14:paraId="3135892D">
      <w:pPr>
        <w:pStyle w:val="32"/>
        <w:spacing w:beforeAutospacing="0" w:afterAutospacing="0" w:line="360" w:lineRule="auto"/>
        <w:ind w:firstLine="480"/>
        <w:jc w:val="both"/>
      </w:pPr>
      <w:r>
        <w:t> </w:t>
      </w:r>
    </w:p>
    <w:p w14:paraId="0F8DC9E1">
      <w:pPr>
        <w:pStyle w:val="32"/>
        <w:spacing w:beforeAutospacing="0" w:afterAutospacing="0" w:line="360" w:lineRule="auto"/>
        <w:jc w:val="both"/>
        <w:rPr>
          <w:rFonts w:eastAsia="黑体"/>
        </w:rPr>
      </w:pPr>
      <w:r>
        <w:rPr>
          <w:rFonts w:hint="eastAsia" w:ascii="黑体" w:hAnsi="宋体" w:eastAsia="黑体" w:cs="黑体"/>
          <w:i/>
          <w:color w:val="000000"/>
          <w:sz w:val="32"/>
          <w:szCs w:val="32"/>
          <w:u w:val="single"/>
        </w:rPr>
        <w:t>二、上一年度的财务状况报告</w:t>
      </w:r>
    </w:p>
    <w:p w14:paraId="411E6887">
      <w:pPr>
        <w:tabs>
          <w:tab w:val="left" w:pos="1331"/>
        </w:tabs>
        <w:spacing w:line="360" w:lineRule="auto"/>
        <w:jc w:val="left"/>
        <w:rPr>
          <w:rFonts w:hint="eastAsia" w:ascii="宋体" w:hAnsi="宋体" w:eastAsia="宋体" w:cs="宋体"/>
          <w:iCs/>
          <w:color w:val="000000"/>
          <w:sz w:val="24"/>
        </w:rPr>
      </w:pPr>
      <w:r>
        <w:rPr>
          <w:rFonts w:hint="eastAsia" w:ascii="宋体" w:hAnsi="宋体" w:eastAsia="宋体" w:cs="宋体"/>
          <w:iCs/>
          <w:color w:val="000000"/>
          <w:sz w:val="24"/>
        </w:rPr>
        <w:t>（至少提供资产负债表、利润表、现金流量表，投标人成立不满一年无需提供）</w:t>
      </w:r>
    </w:p>
    <w:p w14:paraId="11A68D88">
      <w:pPr>
        <w:pStyle w:val="32"/>
        <w:spacing w:beforeAutospacing="0" w:afterAutospacing="0" w:line="360" w:lineRule="auto"/>
        <w:jc w:val="both"/>
      </w:pPr>
      <w:r>
        <w:t> </w:t>
      </w:r>
    </w:p>
    <w:p w14:paraId="6406B5A6">
      <w:pPr>
        <w:pStyle w:val="32"/>
        <w:spacing w:beforeAutospacing="0" w:afterAutospacing="0" w:line="360" w:lineRule="auto"/>
        <w:jc w:val="both"/>
      </w:pPr>
      <w:r>
        <w:rPr>
          <w:rFonts w:hint="eastAsia" w:ascii="黑体" w:hAnsi="宋体" w:eastAsia="黑体" w:cs="黑体"/>
          <w:i/>
          <w:color w:val="000000"/>
          <w:sz w:val="32"/>
          <w:szCs w:val="32"/>
          <w:u w:val="single"/>
        </w:rPr>
        <w:t>三、具备履行合同所必需的设备和专业技术能力的书面声明</w:t>
      </w:r>
    </w:p>
    <w:p w14:paraId="3ED7827D">
      <w:pPr>
        <w:pStyle w:val="32"/>
        <w:spacing w:beforeAutospacing="0" w:afterAutospacing="0" w:line="360" w:lineRule="auto"/>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7DF18432">
      <w:pPr>
        <w:pStyle w:val="32"/>
        <w:spacing w:beforeAutospacing="0" w:afterAutospacing="0" w:line="360" w:lineRule="auto"/>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w:t>
      </w:r>
      <w:r>
        <w:rPr>
          <w:rFonts w:hint="eastAsia" w:ascii="宋体" w:hAnsi="宋体" w:eastAsia="宋体" w:cs="宋体"/>
          <w:color w:val="000000"/>
        </w:rPr>
        <w:t>。</w:t>
      </w:r>
    </w:p>
    <w:p w14:paraId="2BE9D10A">
      <w:pPr>
        <w:pStyle w:val="32"/>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w:t>
      </w:r>
      <w:r>
        <w:rPr>
          <w:rFonts w:hint="eastAsia" w:ascii="宋体" w:hAnsi="宋体" w:eastAsia="宋体" w:cs="宋体"/>
          <w:color w:val="000000"/>
        </w:rPr>
        <w:t>。</w:t>
      </w:r>
    </w:p>
    <w:p w14:paraId="6162D261">
      <w:pPr>
        <w:pStyle w:val="32"/>
        <w:spacing w:beforeAutospacing="0" w:afterAutospacing="0" w:line="360" w:lineRule="auto"/>
        <w:jc w:val="both"/>
      </w:pPr>
      <w:r>
        <w:rPr>
          <w:rFonts w:hint="eastAsia" w:ascii="黑体" w:hAnsi="宋体" w:eastAsia="黑体" w:cs="黑体"/>
          <w:i/>
          <w:color w:val="000000"/>
          <w:sz w:val="32"/>
          <w:szCs w:val="32"/>
          <w:u w:val="single"/>
        </w:rPr>
        <w:t>四、依法缴纳税收和社会保障资金的相关材料</w:t>
      </w:r>
    </w:p>
    <w:p w14:paraId="2DB5DBB1">
      <w:pPr>
        <w:pStyle w:val="32"/>
        <w:spacing w:beforeAutospacing="0" w:afterAutospacing="0" w:line="360" w:lineRule="auto"/>
        <w:ind w:firstLine="480"/>
        <w:jc w:val="both"/>
      </w:pPr>
      <w:bookmarkStart w:id="184"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4"/>
    </w:p>
    <w:p w14:paraId="7402473C">
      <w:pPr>
        <w:pStyle w:val="32"/>
        <w:spacing w:beforeAutospacing="0" w:afterAutospacing="0" w:line="360" w:lineRule="auto"/>
        <w:jc w:val="both"/>
      </w:pPr>
      <w:r>
        <w:rPr>
          <w:rFonts w:hint="eastAsia" w:ascii="黑体" w:hAnsi="宋体" w:eastAsia="黑体" w:cs="黑体"/>
          <w:i/>
          <w:color w:val="000000"/>
          <w:sz w:val="32"/>
          <w:szCs w:val="32"/>
          <w:u w:val="single"/>
        </w:rPr>
        <w:t>五、参加政府采购活动前3年内在经营活动中没有重大违法记录的书面声明</w:t>
      </w:r>
    </w:p>
    <w:p w14:paraId="6E96BFA1">
      <w:pPr>
        <w:pStyle w:val="32"/>
        <w:spacing w:beforeAutospacing="0" w:afterAutospacing="0" w:line="360" w:lineRule="auto"/>
        <w:jc w:val="both"/>
      </w:pPr>
      <w:r>
        <w:rPr>
          <w:rFonts w:hint="eastAsia" w:ascii="宋体" w:hAnsi="宋体" w:eastAsia="宋体" w:cs="宋体"/>
          <w:b/>
          <w:color w:val="000000"/>
          <w:sz w:val="44"/>
          <w:szCs w:val="44"/>
        </w:rPr>
        <w:t>       声 明</w:t>
      </w:r>
    </w:p>
    <w:p w14:paraId="65617308">
      <w:pPr>
        <w:pStyle w:val="32"/>
        <w:spacing w:beforeAutospacing="0" w:afterAutospacing="0" w:line="360" w:lineRule="auto"/>
        <w:jc w:val="both"/>
      </w:pPr>
      <w:r>
        <w:rPr>
          <w:rFonts w:hint="eastAsia" w:ascii="宋体" w:hAnsi="宋体" w:eastAsia="宋体" w:cs="宋体"/>
          <w:b/>
          <w:color w:val="000000"/>
        </w:rPr>
        <w:t>   </w:t>
      </w:r>
      <w:r>
        <w:rPr>
          <w:rFonts w:hint="eastAsia" w:ascii="宋体" w:hAnsi="宋体" w:eastAsia="宋体" w:cs="宋体"/>
          <w:color w:val="000000"/>
        </w:rPr>
        <w:t>我单位郑重声明：参加本次政府采购活动前3年内，我单位在经营活动中没有因违法经营受到刑事处罚或者责令停产停业、吊销许可证或者执照、较大数额罚款等行政处罚。</w:t>
      </w:r>
    </w:p>
    <w:p w14:paraId="55A61CB1">
      <w:pPr>
        <w:widowControl w:val="0"/>
        <w:spacing w:beforeAutospacing="0" w:afterAutospacing="0"/>
        <w:jc w:val="both"/>
        <w:rPr>
          <w:rFonts w:hint="eastAsia" w:ascii="黑体" w:hAnsi="宋体" w:eastAsia="黑体" w:cs="黑体"/>
          <w:i/>
          <w:color w:val="000000"/>
          <w:sz w:val="32"/>
          <w:szCs w:val="32"/>
          <w:u w:val="single"/>
          <w:lang w:val="en-US" w:eastAsia="zh-CN" w:bidi="ar-SA"/>
        </w:rPr>
      </w:pPr>
      <w:r>
        <w:rPr>
          <w:rFonts w:hint="eastAsia" w:ascii="黑体" w:hAnsi="宋体" w:eastAsia="黑体" w:cs="黑体"/>
          <w:i/>
          <w:color w:val="000000"/>
          <w:sz w:val="32"/>
          <w:szCs w:val="32"/>
          <w:u w:val="single"/>
          <w:lang w:val="en-US" w:eastAsia="zh-CN" w:bidi="ar-SA"/>
        </w:rPr>
        <w:t>六、单位负责人为同一人或者存在直接控股、管理关系的不同供应商，不得参加同一合同项下的政府采购活动证明文件</w:t>
      </w:r>
    </w:p>
    <w:p w14:paraId="376724B6">
      <w:pPr>
        <w:widowControl w:val="0"/>
        <w:spacing w:beforeAutospacing="0" w:afterAutospacing="0" w:line="0" w:lineRule="atLeast"/>
        <w:ind w:firstLine="168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b/>
          <w:bCs/>
          <w:color w:val="auto"/>
          <w:sz w:val="44"/>
          <w:szCs w:val="44"/>
          <w:highlight w:val="none"/>
          <w:lang w:val="en-US" w:eastAsia="zh-CN" w:bidi="ar-SA"/>
        </w:rPr>
        <w:t>声  明</w:t>
      </w:r>
    </w:p>
    <w:p w14:paraId="16328DF3">
      <w:pPr>
        <w:widowControl w:val="0"/>
        <w:spacing w:beforeAutospacing="0" w:afterAutospacing="0" w:line="0" w:lineRule="atLeast"/>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我单位不存在：单位负责人为同一人或者存在直接控股、管理关系的不同供应商，同时参加同一合同项下的政府采购活动。</w:t>
      </w:r>
    </w:p>
    <w:p w14:paraId="553F569E">
      <w:pPr>
        <w:pStyle w:val="32"/>
        <w:spacing w:beforeAutospacing="0" w:afterAutospacing="0" w:line="360" w:lineRule="auto"/>
        <w:jc w:val="both"/>
        <w:rPr>
          <w:rFonts w:hint="eastAsia" w:ascii="黑体" w:hAnsi="宋体" w:eastAsia="黑体" w:cs="黑体"/>
          <w:i/>
          <w:color w:val="000000"/>
          <w:sz w:val="32"/>
          <w:szCs w:val="32"/>
          <w:u w:val="single"/>
          <w:lang w:val="en-US" w:eastAsia="zh-CN"/>
        </w:rPr>
      </w:pPr>
    </w:p>
    <w:p w14:paraId="1EEB37D9">
      <w:pPr>
        <w:pStyle w:val="32"/>
        <w:spacing w:beforeAutospacing="0" w:afterAutospacing="0" w:line="360" w:lineRule="auto"/>
        <w:jc w:val="both"/>
      </w:pPr>
      <w:r>
        <w:rPr>
          <w:rFonts w:hint="eastAsia" w:ascii="黑体" w:hAnsi="宋体" w:eastAsia="黑体" w:cs="黑体"/>
          <w:i/>
          <w:color w:val="000000"/>
          <w:sz w:val="32"/>
          <w:szCs w:val="32"/>
          <w:u w:val="single"/>
          <w:lang w:val="en-US" w:eastAsia="zh-CN"/>
        </w:rPr>
        <w:t>七</w:t>
      </w:r>
      <w:r>
        <w:rPr>
          <w:rFonts w:hint="eastAsia" w:ascii="黑体" w:hAnsi="宋体" w:eastAsia="黑体" w:cs="黑体"/>
          <w:i/>
          <w:color w:val="000000"/>
          <w:sz w:val="32"/>
          <w:szCs w:val="32"/>
          <w:u w:val="single"/>
        </w:rPr>
        <w:t>、特定资格要求的证明文件</w:t>
      </w:r>
    </w:p>
    <w:p w14:paraId="3B409ED9">
      <w:pPr>
        <w:pStyle w:val="32"/>
        <w:spacing w:beforeAutospacing="0" w:afterAutospacing="0" w:line="360" w:lineRule="auto"/>
        <w:jc w:val="both"/>
      </w:pPr>
      <w:r>
        <w:rPr>
          <w:rFonts w:hint="eastAsia" w:ascii="宋体" w:hAnsi="宋体" w:eastAsia="宋体" w:cs="宋体"/>
          <w:color w:val="000000"/>
        </w:rPr>
        <w:t>   如果本项目申请人的特定资格要求中要求提供的，必须提供。</w:t>
      </w:r>
    </w:p>
    <w:p w14:paraId="59D0AB0A">
      <w:pPr>
        <w:pStyle w:val="32"/>
        <w:spacing w:beforeAutospacing="0" w:afterAutospacing="0" w:line="360" w:lineRule="auto"/>
        <w:jc w:val="both"/>
      </w:pPr>
      <w:r>
        <w:t> </w:t>
      </w:r>
    </w:p>
    <w:p w14:paraId="24DDC400">
      <w:pPr>
        <w:jc w:val="center"/>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br w:type="page"/>
      </w:r>
      <w:r>
        <w:rPr>
          <w:rFonts w:hint="eastAsia" w:ascii="黑体" w:hAnsi="宋体" w:eastAsia="黑体" w:cs="黑体"/>
          <w:i/>
          <w:color w:val="000000"/>
          <w:sz w:val="32"/>
          <w:szCs w:val="32"/>
          <w:u w:val="single"/>
          <w:lang w:val="en-US" w:eastAsia="zh-CN"/>
        </w:rPr>
        <w:t>八</w:t>
      </w:r>
      <w:r>
        <w:rPr>
          <w:rFonts w:hint="eastAsia" w:ascii="黑体" w:hAnsi="宋体" w:eastAsia="黑体" w:cs="黑体"/>
          <w:i/>
          <w:color w:val="000000"/>
          <w:sz w:val="32"/>
          <w:szCs w:val="32"/>
          <w:u w:val="single"/>
        </w:rPr>
        <w:t>、法人授权书</w:t>
      </w:r>
    </w:p>
    <w:p w14:paraId="0E96A26A">
      <w:pPr>
        <w:pStyle w:val="32"/>
        <w:spacing w:beforeAutospacing="0" w:afterAutospacing="0" w:line="360" w:lineRule="auto"/>
        <w:jc w:val="both"/>
        <w:rPr>
          <w:rFonts w:hint="eastAsia" w:ascii="黑体" w:hAnsi="宋体" w:eastAsia="黑体" w:cs="黑体"/>
          <w:i/>
          <w:color w:val="000000"/>
          <w:sz w:val="32"/>
          <w:szCs w:val="32"/>
          <w:u w:val="single"/>
        </w:rPr>
      </w:pPr>
    </w:p>
    <w:p w14:paraId="6E2636F9">
      <w:pPr>
        <w:pStyle w:val="32"/>
        <w:tabs>
          <w:tab w:val="left" w:pos="360"/>
        </w:tabs>
        <w:spacing w:beforeAutospacing="0" w:afterAutospacing="0" w:line="360" w:lineRule="auto"/>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w:t>
      </w:r>
      <w:r>
        <w:rPr>
          <w:rFonts w:ascii="Times New Roman" w:hAnsi="Times New Roman"/>
          <w:color w:val="000000"/>
        </w:rPr>
        <w:t>号项目采购活动的合法代理人，以本单位名义全权处理一切与该项目采购有关的事务。</w:t>
      </w:r>
    </w:p>
    <w:p w14:paraId="20A7C44D">
      <w:pPr>
        <w:pStyle w:val="32"/>
        <w:tabs>
          <w:tab w:val="left" w:pos="360"/>
        </w:tabs>
        <w:spacing w:beforeAutospacing="0" w:afterAutospacing="0" w:line="360" w:lineRule="auto"/>
        <w:ind w:firstLine="480"/>
        <w:jc w:val="both"/>
      </w:pPr>
      <w:r>
        <w:rPr>
          <w:rFonts w:ascii="Times New Roman" w:hAnsi="Times New Roman"/>
          <w:color w:val="000000"/>
        </w:rPr>
        <w:t>本授权书于______年____月____日起生效，特此声明。</w:t>
      </w:r>
    </w:p>
    <w:p w14:paraId="03FD67F7">
      <w:pPr>
        <w:pStyle w:val="32"/>
        <w:tabs>
          <w:tab w:val="left" w:pos="360"/>
        </w:tabs>
        <w:spacing w:beforeAutospacing="0" w:afterAutospacing="0" w:line="360" w:lineRule="auto"/>
      </w:pPr>
      <w:r>
        <w:rPr>
          <w:rFonts w:ascii="Times New Roman" w:hAnsi="Times New Roman"/>
          <w:color w:val="000000"/>
        </w:rPr>
        <w:t>        被授权人身份证号码：</w:t>
      </w:r>
      <w:r>
        <w:rPr>
          <w:rFonts w:ascii="Times New Roman" w:hAnsi="Times New Roman"/>
          <w:color w:val="000000"/>
          <w:u w:val="single"/>
        </w:rPr>
        <w:t>                             </w:t>
      </w:r>
    </w:p>
    <w:p w14:paraId="05E4EA76">
      <w:pPr>
        <w:pStyle w:val="32"/>
        <w:tabs>
          <w:tab w:val="left" w:pos="360"/>
        </w:tabs>
        <w:spacing w:beforeAutospacing="0" w:afterAutospacing="0" w:line="360" w:lineRule="auto"/>
        <w:rPr>
          <w:rFonts w:ascii="Times New Roman" w:hAnsi="Times New Roman"/>
          <w:color w:val="000000"/>
        </w:rPr>
      </w:pPr>
      <w:r>
        <w:rPr>
          <w:rFonts w:ascii="Times New Roman" w:hAnsi="Times New Roman"/>
          <w:color w:val="000000"/>
        </w:rPr>
        <w:t>        被授权人联系电话：</w:t>
      </w:r>
      <w:r>
        <w:rPr>
          <w:rFonts w:ascii="Times New Roman" w:hAnsi="Times New Roman"/>
          <w:color w:val="000000"/>
          <w:u w:val="single"/>
        </w:rPr>
        <w:t>（手机）</w:t>
      </w:r>
      <w:r>
        <w:rPr>
          <w:rFonts w:ascii="Times New Roman" w:hAnsi="Times New Roman"/>
          <w:color w:val="000000"/>
        </w:rPr>
        <w:t>                         </w:t>
      </w:r>
    </w:p>
    <w:p w14:paraId="7E5625F1">
      <w:pPr>
        <w:pStyle w:val="32"/>
        <w:tabs>
          <w:tab w:val="left" w:pos="360"/>
        </w:tabs>
        <w:spacing w:beforeAutospacing="0" w:afterAutospacing="0" w:line="360" w:lineRule="auto"/>
        <w:ind w:firstLine="480"/>
        <w:rPr>
          <w:rFonts w:ascii="Times New Roman" w:hAnsi="Times New Roman"/>
          <w:color w:val="000000"/>
        </w:rPr>
      </w:pPr>
      <w:r>
        <w:rPr>
          <w:rFonts w:ascii="Times New Roman" w:hAnsi="Times New Roman"/>
          <w:color w:val="000000"/>
        </w:rPr>
        <w:t>授权单位名称：</w:t>
      </w:r>
      <w:r>
        <w:rPr>
          <w:rFonts w:ascii="Times New Roman" w:hAnsi="Times New Roman"/>
          <w:color w:val="000000"/>
          <w:u w:val="single"/>
        </w:rPr>
        <w:t>（加盖CA电子公章）</w:t>
      </w:r>
    </w:p>
    <w:p w14:paraId="1FE0FEC2">
      <w:pPr>
        <w:pStyle w:val="32"/>
        <w:tabs>
          <w:tab w:val="left" w:pos="360"/>
        </w:tabs>
        <w:spacing w:beforeAutospacing="0" w:afterAutospacing="0" w:line="360" w:lineRule="auto"/>
        <w:rPr>
          <w:rFonts w:ascii="Times New Roman" w:hAnsi="Times New Roman"/>
          <w:color w:val="000000"/>
        </w:rPr>
      </w:pPr>
      <w:r>
        <w:rPr>
          <w:rFonts w:ascii="Times New Roman" w:hAnsi="Times New Roman"/>
          <w:color w:val="000000"/>
        </w:rPr>
        <w:t>  </w:t>
      </w:r>
      <w:r>
        <w:rPr>
          <w:rFonts w:hint="eastAsia" w:ascii="Times New Roman" w:hAnsi="Times New Roman"/>
          <w:color w:val="000000"/>
        </w:rPr>
        <w:t xml:space="preserve">  </w:t>
      </w:r>
      <w:r>
        <w:rPr>
          <w:rFonts w:ascii="Times New Roman" w:hAnsi="Times New Roman"/>
          <w:color w:val="000000"/>
        </w:rPr>
        <w:t>  单位地址：</w:t>
      </w:r>
      <w:r>
        <w:rPr>
          <w:rFonts w:ascii="Times New Roman" w:hAnsi="Times New Roman"/>
          <w:color w:val="000000"/>
          <w:u w:val="single"/>
        </w:rPr>
        <w:t>                                        </w:t>
      </w:r>
    </w:p>
    <w:p w14:paraId="6803E4AC">
      <w:pPr>
        <w:pStyle w:val="32"/>
        <w:tabs>
          <w:tab w:val="left" w:pos="360"/>
        </w:tabs>
        <w:spacing w:beforeAutospacing="0" w:afterAutospacing="0" w:line="360" w:lineRule="auto"/>
        <w:rPr>
          <w:rFonts w:ascii="Times New Roman" w:hAnsi="Times New Roman"/>
          <w:color w:val="000000"/>
          <w:u w:val="single"/>
        </w:rPr>
      </w:pPr>
      <w:r>
        <w:rPr>
          <w:rFonts w:ascii="Times New Roman" w:hAnsi="Times New Roman"/>
          <w:color w:val="000000"/>
        </w:rPr>
        <w:t>  </w:t>
      </w:r>
      <w:r>
        <w:rPr>
          <w:rFonts w:hint="eastAsia" w:ascii="Times New Roman" w:hAnsi="Times New Roman"/>
          <w:color w:val="000000"/>
        </w:rPr>
        <w:t xml:space="preserve">  </w:t>
      </w:r>
      <w:r>
        <w:rPr>
          <w:rFonts w:ascii="Times New Roman" w:hAnsi="Times New Roman"/>
          <w:color w:val="000000"/>
        </w:rPr>
        <w:t>  日期：</w:t>
      </w:r>
      <w:bookmarkStart w:id="185" w:name="_Hlt26671380"/>
      <w:bookmarkStart w:id="186" w:name="_Hlt26955070"/>
      <w:bookmarkStart w:id="187" w:name="_格式3__银行出具的资信证明"/>
      <w:r>
        <w:rPr>
          <w:rFonts w:ascii="Times New Roman" w:hAnsi="Times New Roman"/>
          <w:color w:val="000000"/>
        </w:rPr>
        <w:t> </w:t>
      </w:r>
      <w:r>
        <w:rPr>
          <w:rFonts w:ascii="Times New Roman" w:hAnsi="Times New Roman"/>
          <w:color w:val="000000"/>
          <w:u w:val="single"/>
        </w:rPr>
        <w:t>                                       </w:t>
      </w:r>
    </w:p>
    <w:p w14:paraId="1DB3DDAD">
      <w:pPr>
        <w:pStyle w:val="32"/>
        <w:spacing w:beforeAutospacing="0" w:afterAutospacing="0" w:line="360" w:lineRule="auto"/>
        <w:ind w:firstLine="420"/>
        <w:jc w:val="both"/>
      </w:pPr>
      <w:r>
        <w:t> </w:t>
      </w:r>
    </w:p>
    <w:p w14:paraId="73E3BD35">
      <w:pPr>
        <w:pStyle w:val="32"/>
        <w:spacing w:beforeAutospacing="0" w:afterAutospacing="0" w:line="360" w:lineRule="auto"/>
        <w:jc w:val="both"/>
      </w:pPr>
      <w:r>
        <w:t> </w:t>
      </w:r>
    </w:p>
    <w:p w14:paraId="4EA90996">
      <w:pPr>
        <w:pStyle w:val="32"/>
        <w:spacing w:beforeAutospacing="0" w:afterAutospacing="0" w:line="360" w:lineRule="auto"/>
        <w:jc w:val="both"/>
      </w:pPr>
      <w:r>
        <w:t> </w:t>
      </w:r>
    </w:p>
    <w:p w14:paraId="54EC4B84">
      <w:pPr>
        <w:pStyle w:val="32"/>
        <w:spacing w:beforeAutospacing="0" w:afterAutospacing="0" w:line="360" w:lineRule="auto"/>
        <w:jc w:val="both"/>
      </w:pPr>
      <w:r>
        <w:rPr>
          <w:rFonts w:hint="eastAsia" w:ascii="宋体" w:hAnsi="宋体" w:eastAsia="宋体" w:cs="宋体"/>
          <w:color w:val="000000"/>
        </w:rPr>
        <w:t>   </w:t>
      </w:r>
    </w:p>
    <w:p w14:paraId="2D09A654">
      <w:pPr>
        <w:pStyle w:val="32"/>
        <w:keepNext/>
        <w:keepLines/>
        <w:spacing w:before="260" w:beforeAutospacing="0" w:after="260" w:afterAutospacing="0" w:line="360" w:lineRule="auto"/>
        <w:ind w:firstLine="3390"/>
        <w:jc w:val="both"/>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w:t>
      </w:r>
      <w:r>
        <w:rPr>
          <w:rFonts w:hint="eastAsia" w:ascii="黑体" w:hAnsi="宋体" w:eastAsia="黑体" w:cs="黑体"/>
          <w:b/>
          <w:color w:val="000000"/>
          <w:sz w:val="32"/>
          <w:szCs w:val="32"/>
          <w:lang w:val="en-US" w:eastAsia="zh-CN"/>
        </w:rPr>
        <w:t>九</w:t>
      </w:r>
      <w:r>
        <w:rPr>
          <w:rFonts w:hint="eastAsia" w:ascii="黑体" w:hAnsi="宋体" w:eastAsia="黑体" w:cs="黑体"/>
          <w:b/>
          <w:color w:val="000000"/>
          <w:sz w:val="32"/>
          <w:szCs w:val="32"/>
        </w:rPr>
        <w:t>、投标函</w:t>
      </w:r>
    </w:p>
    <w:p w14:paraId="540D2CD2">
      <w:pPr>
        <w:pStyle w:val="32"/>
        <w:spacing w:beforeAutospacing="0" w:afterAutospacing="0" w:line="360" w:lineRule="auto"/>
        <w:rPr>
          <w:rFonts w:eastAsia="宋体"/>
          <w:u w:val="single"/>
        </w:rPr>
      </w:pPr>
      <w:r>
        <w:rPr>
          <w:rFonts w:hint="eastAsia" w:ascii="宋体" w:hAnsi="宋体" w:eastAsia="宋体" w:cs="宋体"/>
          <w:color w:val="000000"/>
        </w:rPr>
        <w:t>致：</w:t>
      </w:r>
      <w:r>
        <w:rPr>
          <w:rFonts w:hint="eastAsia" w:ascii="宋体" w:hAnsi="宋体" w:eastAsia="宋体" w:cs="宋体"/>
          <w:color w:val="000000"/>
          <w:u w:val="single"/>
        </w:rPr>
        <w:t xml:space="preserve">          </w:t>
      </w:r>
    </w:p>
    <w:p w14:paraId="3F03387A">
      <w:pPr>
        <w:pStyle w:val="32"/>
        <w:spacing w:beforeAutospacing="0" w:afterAutospacing="0" w:line="360" w:lineRule="auto"/>
        <w:ind w:firstLine="480"/>
      </w:pPr>
      <w:r>
        <w:rPr>
          <w:rFonts w:hint="eastAsia" w:ascii="宋体" w:hAnsi="宋体" w:eastAsia="宋体" w:cs="宋体"/>
          <w:color w:val="000000"/>
        </w:rPr>
        <w:t>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号招标文件，正式授权下述签字人______(姓名)代表我方______________（投标人的名称），全权处理本次项目投标的有关事宜。</w:t>
      </w:r>
    </w:p>
    <w:p w14:paraId="44FF5EDD">
      <w:pPr>
        <w:pStyle w:val="32"/>
        <w:spacing w:beforeAutospacing="0" w:afterAutospacing="0" w:line="360" w:lineRule="auto"/>
        <w:ind w:firstLine="480"/>
      </w:pPr>
      <w:r>
        <w:rPr>
          <w:rFonts w:hint="eastAsia" w:ascii="宋体" w:hAnsi="宋体" w:eastAsia="宋体" w:cs="宋体"/>
          <w:color w:val="000000"/>
        </w:rPr>
        <w:t>据此函，__________签字人兹宣布同意如下：</w:t>
      </w:r>
    </w:p>
    <w:p w14:paraId="2564830F">
      <w:pPr>
        <w:pStyle w:val="32"/>
        <w:spacing w:beforeAutospacing="0" w:afterAutospacing="0" w:line="360" w:lineRule="auto"/>
        <w:ind w:firstLine="480"/>
      </w:pPr>
      <w:r>
        <w:rPr>
          <w:rFonts w:hint="eastAsia" w:ascii="宋体" w:hAnsi="宋体" w:eastAsia="宋体" w:cs="宋体"/>
          <w:color w:val="000000"/>
        </w:rPr>
        <w:t>1.按招标文件规定的各项要求，向采购人提供所需服务（包含与服务相关的货物）。</w:t>
      </w:r>
    </w:p>
    <w:p w14:paraId="138547A9">
      <w:pPr>
        <w:pStyle w:val="32"/>
        <w:spacing w:beforeAutospacing="0" w:afterAutospacing="0" w:line="360" w:lineRule="auto"/>
        <w:ind w:firstLine="480"/>
      </w:pPr>
      <w:r>
        <w:rPr>
          <w:rFonts w:hint="eastAsia" w:ascii="宋体" w:hAnsi="宋体" w:eastAsia="宋体" w:cs="宋体"/>
          <w:color w:val="000000"/>
        </w:rPr>
        <w:t>2.我们完全理解贵方不一定将合同授予最低报价的投标人。</w:t>
      </w:r>
    </w:p>
    <w:p w14:paraId="15AEEE77">
      <w:pPr>
        <w:pStyle w:val="32"/>
        <w:spacing w:beforeAutospacing="0" w:afterAutospacing="0" w:line="360" w:lineRule="auto"/>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0A38DC6C">
      <w:pPr>
        <w:pStyle w:val="32"/>
        <w:spacing w:beforeAutospacing="0" w:afterAutospacing="0" w:line="360" w:lineRule="auto"/>
        <w:ind w:firstLine="480"/>
      </w:pPr>
      <w:r>
        <w:rPr>
          <w:rFonts w:hint="eastAsia" w:ascii="宋体" w:hAnsi="宋体" w:eastAsia="宋体" w:cs="宋体"/>
          <w:color w:val="000000"/>
        </w:rPr>
        <w:t>4.我们同意从规定的开标日期起遵循本投标文件，并在规定的投标有效期期满之前均具有约束力。</w:t>
      </w:r>
    </w:p>
    <w:p w14:paraId="0C22DAA9">
      <w:pPr>
        <w:pStyle w:val="32"/>
        <w:spacing w:beforeAutospacing="0" w:afterAutospacing="0" w:line="360" w:lineRule="auto"/>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3284F057">
      <w:pPr>
        <w:pStyle w:val="32"/>
        <w:spacing w:beforeAutospacing="0" w:afterAutospacing="0" w:line="360" w:lineRule="auto"/>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6.一旦我方中标,我方将根据招标文件的规定，严格履行合同的责任和义务,并保证在招标文件规定的时间完成项目，交付采购人验收、使用。</w:t>
      </w:r>
    </w:p>
    <w:p w14:paraId="51C41081">
      <w:pPr>
        <w:pStyle w:val="32"/>
        <w:spacing w:beforeAutospacing="0" w:afterAutospacing="0" w:line="360" w:lineRule="auto"/>
        <w:ind w:firstLine="480"/>
      </w:pPr>
      <w:r>
        <w:rPr>
          <w:rFonts w:hint="eastAsia" w:ascii="宋体" w:hAnsi="宋体" w:eastAsia="宋体" w:cs="宋体"/>
          <w:color w:val="000000"/>
        </w:rPr>
        <w:t>7.与本投标有关的正式通讯地址为：</w:t>
      </w:r>
    </w:p>
    <w:p w14:paraId="4ED25383">
      <w:pPr>
        <w:pStyle w:val="32"/>
        <w:spacing w:beforeAutospacing="0" w:afterAutospacing="0" w:line="360" w:lineRule="auto"/>
        <w:ind w:left="420" w:firstLine="480"/>
      </w:pPr>
      <w:r>
        <w:rPr>
          <w:rFonts w:hint="eastAsia" w:ascii="宋体" w:hAnsi="宋体" w:eastAsia="宋体" w:cs="宋体"/>
          <w:color w:val="000000"/>
        </w:rPr>
        <w:t>地         址：</w:t>
      </w:r>
    </w:p>
    <w:p w14:paraId="486622A7">
      <w:pPr>
        <w:pStyle w:val="32"/>
        <w:spacing w:beforeAutospacing="0" w:afterAutospacing="0" w:line="360" w:lineRule="auto"/>
        <w:ind w:left="420" w:firstLine="480"/>
      </w:pPr>
      <w:r>
        <w:rPr>
          <w:rFonts w:hint="eastAsia" w:ascii="宋体" w:hAnsi="宋体" w:eastAsia="宋体" w:cs="宋体"/>
          <w:color w:val="000000"/>
        </w:rPr>
        <w:t>邮         编：</w:t>
      </w:r>
    </w:p>
    <w:p w14:paraId="1E3CA393">
      <w:pPr>
        <w:pStyle w:val="32"/>
        <w:spacing w:beforeAutospacing="0" w:afterAutospacing="0" w:line="360" w:lineRule="auto"/>
        <w:ind w:left="420" w:firstLine="480"/>
      </w:pPr>
      <w:r>
        <w:rPr>
          <w:rFonts w:hint="eastAsia" w:ascii="宋体" w:hAnsi="宋体" w:eastAsia="宋体" w:cs="宋体"/>
          <w:color w:val="000000"/>
        </w:rPr>
        <w:t>电         话：</w:t>
      </w:r>
    </w:p>
    <w:p w14:paraId="08B2E0C6">
      <w:pPr>
        <w:pStyle w:val="32"/>
        <w:spacing w:beforeAutospacing="0" w:afterAutospacing="0" w:line="360" w:lineRule="auto"/>
        <w:ind w:left="420" w:firstLine="480"/>
      </w:pPr>
      <w:r>
        <w:rPr>
          <w:rFonts w:hint="eastAsia" w:ascii="宋体" w:hAnsi="宋体" w:eastAsia="宋体" w:cs="宋体"/>
          <w:color w:val="000000"/>
        </w:rPr>
        <w:t>传         真：</w:t>
      </w:r>
    </w:p>
    <w:p w14:paraId="72D797A3">
      <w:pPr>
        <w:pStyle w:val="32"/>
        <w:spacing w:beforeAutospacing="0" w:afterAutospacing="0" w:line="360" w:lineRule="auto"/>
        <w:ind w:left="420" w:firstLine="480"/>
      </w:pPr>
      <w:r>
        <w:rPr>
          <w:rFonts w:hint="eastAsia" w:ascii="宋体" w:hAnsi="宋体" w:eastAsia="宋体" w:cs="宋体"/>
          <w:color w:val="000000"/>
        </w:rPr>
        <w:t>投标人开户行：</w:t>
      </w:r>
    </w:p>
    <w:p w14:paraId="39C08EA2">
      <w:pPr>
        <w:pStyle w:val="32"/>
        <w:spacing w:beforeAutospacing="0" w:afterAutospacing="0" w:line="360" w:lineRule="auto"/>
        <w:ind w:left="420" w:firstLine="480"/>
        <w:rPr>
          <w:rFonts w:eastAsia="宋体"/>
        </w:rPr>
      </w:pPr>
      <w:r>
        <w:rPr>
          <w:rFonts w:hint="eastAsia" w:ascii="宋体" w:hAnsi="宋体" w:eastAsia="宋体" w:cs="宋体"/>
          <w:color w:val="000000"/>
        </w:rPr>
        <w:t>账         号：</w:t>
      </w:r>
    </w:p>
    <w:p w14:paraId="4D440263">
      <w:pPr>
        <w:pStyle w:val="32"/>
        <w:spacing w:beforeAutospacing="0" w:afterAutospacing="0" w:line="360" w:lineRule="auto"/>
        <w:ind w:left="420" w:firstLine="480"/>
      </w:pPr>
      <w:r>
        <w:rPr>
          <w:rFonts w:hint="eastAsia" w:ascii="宋体" w:hAnsi="宋体" w:eastAsia="宋体" w:cs="宋体"/>
          <w:color w:val="000000"/>
        </w:rPr>
        <w:t>日          期：________年____月____日</w:t>
      </w:r>
    </w:p>
    <w:p w14:paraId="0FA65E59">
      <w:pPr>
        <w:pStyle w:val="32"/>
        <w:spacing w:beforeAutospacing="0" w:afterAutospacing="0" w:line="360" w:lineRule="auto"/>
        <w:ind w:firstLine="240"/>
        <w:jc w:val="center"/>
      </w:pPr>
      <w:r>
        <w:t> </w:t>
      </w:r>
    </w:p>
    <w:p w14:paraId="1686F6C2">
      <w:pPr>
        <w:pStyle w:val="32"/>
        <w:spacing w:beforeAutospacing="0" w:afterAutospacing="0" w:line="360" w:lineRule="auto"/>
        <w:ind w:firstLine="240"/>
        <w:jc w:val="center"/>
      </w:pPr>
      <w:r>
        <w:t> </w:t>
      </w:r>
    </w:p>
    <w:p w14:paraId="714B22F7">
      <w:pPr>
        <w:pStyle w:val="32"/>
        <w:spacing w:beforeAutospacing="0" w:afterAutospacing="0" w:line="360" w:lineRule="auto"/>
        <w:ind w:firstLine="240"/>
        <w:jc w:val="center"/>
      </w:pPr>
      <w:r>
        <w:t> </w:t>
      </w:r>
    </w:p>
    <w:p w14:paraId="3D0C4B68">
      <w:pPr>
        <w:rPr>
          <w:rFonts w:hint="eastAsia" w:ascii="黑体" w:hAnsi="宋体" w:eastAsia="黑体" w:cs="黑体"/>
          <w:b/>
          <w:sz w:val="32"/>
          <w:szCs w:val="32"/>
        </w:rPr>
      </w:pPr>
      <w:r>
        <w:rPr>
          <w:rFonts w:hint="eastAsia" w:ascii="黑体" w:hAnsi="宋体" w:eastAsia="黑体" w:cs="黑体"/>
          <w:b/>
          <w:sz w:val="32"/>
          <w:szCs w:val="32"/>
        </w:rPr>
        <w:br w:type="page"/>
      </w:r>
    </w:p>
    <w:p w14:paraId="63C83376">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黑体" w:hAnsi="宋体" w:eastAsia="黑体" w:cs="黑体"/>
          <w:b/>
          <w:sz w:val="32"/>
          <w:szCs w:val="32"/>
          <w:lang w:val="en-US" w:eastAsia="zh-CN"/>
        </w:rPr>
        <w:t>十</w:t>
      </w:r>
      <w:r>
        <w:rPr>
          <w:rFonts w:hint="eastAsia" w:ascii="黑体" w:hAnsi="宋体" w:eastAsia="黑体" w:cs="黑体"/>
          <w:b/>
          <w:sz w:val="32"/>
          <w:szCs w:val="32"/>
        </w:rPr>
        <w:t>、</w:t>
      </w:r>
      <w:r>
        <w:rPr>
          <w:rFonts w:hint="eastAsia" w:ascii="宋体" w:hAnsi="宋体" w:eastAsia="宋体" w:cs="宋体"/>
          <w:b/>
          <w:bCs/>
          <w:color w:val="000000"/>
          <w:sz w:val="24"/>
          <w:szCs w:val="24"/>
        </w:rPr>
        <w:t>中小微企业声明函（服务类项目）</w:t>
      </w:r>
    </w:p>
    <w:p w14:paraId="6D71723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rPr>
          <w:bdr w:val="none" w:color="auto" w:sz="0" w:space="0"/>
        </w:rPr>
        <w:t> </w:t>
      </w:r>
    </w:p>
    <w:p w14:paraId="6FAE97D3">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项目（项目名称）的采购活动，服务全部由符合政策的中小微企业承接。相关企业（含联合体中的中小微企业、签订采购包意向协议的中小微企业）的具体情况如下：</w:t>
      </w:r>
    </w:p>
    <w:p w14:paraId="2F0D1CC2">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1.</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5C49253D">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2.</w:t>
      </w:r>
      <w:r>
        <w:rPr>
          <w:rFonts w:hint="eastAsia" w:ascii="宋体" w:hAnsi="宋体" w:eastAsia="宋体" w:cs="宋体"/>
          <w:color w:val="000000"/>
          <w:sz w:val="24"/>
          <w:szCs w:val="24"/>
          <w:u w:val="single"/>
        </w:rPr>
        <w:t>（标的名称）</w:t>
      </w:r>
      <w:r>
        <w:rPr>
          <w:rFonts w:hint="eastAsia" w:ascii="宋体" w:hAnsi="宋体" w:eastAsia="宋体" w:cs="宋体"/>
          <w:i/>
          <w:iCs/>
          <w:color w:val="000000"/>
          <w:sz w:val="24"/>
          <w:szCs w:val="24"/>
        </w:rPr>
        <w:t>，</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（供应商填写招标文件中明确的所属行业）</w:t>
      </w:r>
      <w:r>
        <w:rPr>
          <w:rFonts w:hint="eastAsia" w:ascii="宋体" w:hAnsi="宋体" w:eastAsia="宋体" w:cs="宋体"/>
          <w:color w:val="000000"/>
          <w:sz w:val="24"/>
          <w:szCs w:val="24"/>
        </w:rPr>
        <w:t>行业；承接企业为</w:t>
      </w:r>
      <w:r>
        <w:rPr>
          <w:rFonts w:hint="eastAsia" w:ascii="宋体" w:hAnsi="宋体" w:eastAsia="宋体" w:cs="宋体"/>
          <w:color w:val="000000"/>
          <w:sz w:val="24"/>
          <w:szCs w:val="24"/>
          <w:u w:val="single"/>
        </w:rPr>
        <w:t>（企业名称）</w:t>
      </w:r>
      <w:r>
        <w:rPr>
          <w:rFonts w:hint="eastAsia" w:ascii="宋体" w:hAnsi="宋体" w:eastAsia="宋体" w:cs="宋体"/>
          <w:color w:val="000000"/>
          <w:sz w:val="24"/>
          <w:szCs w:val="24"/>
        </w:rPr>
        <w:t>，从业人员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万元</w:t>
      </w:r>
      <w:r>
        <w:rPr>
          <w:rFonts w:hint="eastAsia" w:ascii="宋体" w:hAnsi="宋体" w:eastAsia="宋体" w:cs="宋体"/>
          <w:color w:val="000000"/>
          <w:sz w:val="24"/>
          <w:szCs w:val="24"/>
          <w:vertAlign w:val="superscript"/>
        </w:rPr>
        <w:t>1</w:t>
      </w:r>
      <w:r>
        <w:rPr>
          <w:rFonts w:hint="eastAsia" w:ascii="宋体" w:hAnsi="宋体" w:eastAsia="宋体" w:cs="宋体"/>
          <w:color w:val="000000"/>
          <w:sz w:val="24"/>
          <w:szCs w:val="24"/>
        </w:rPr>
        <w:t>，属于</w:t>
      </w:r>
      <w:r>
        <w:rPr>
          <w:rFonts w:hint="eastAsia" w:ascii="宋体" w:hAnsi="宋体" w:eastAsia="宋体" w:cs="宋体"/>
          <w:color w:val="000000"/>
          <w:sz w:val="24"/>
          <w:szCs w:val="24"/>
          <w:u w:val="single"/>
        </w:rPr>
        <w:t>（□中型企业 □小型企业 □微型企业）；</w:t>
      </w:r>
    </w:p>
    <w:p w14:paraId="0D99FE73">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w:t>
      </w:r>
    </w:p>
    <w:p w14:paraId="3AFB4924">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以上企业，不属于大企业的分支机构，不存在控股股东为大企业的情形，也不存在与大企业的负责人为同一人的情形。</w:t>
      </w:r>
    </w:p>
    <w:p w14:paraId="7DCD7A9A">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pPr>
      <w:r>
        <w:rPr>
          <w:rFonts w:hint="eastAsia" w:ascii="宋体" w:hAnsi="宋体" w:eastAsia="宋体" w:cs="宋体"/>
          <w:color w:val="000000"/>
          <w:sz w:val="24"/>
          <w:szCs w:val="24"/>
        </w:rPr>
        <w:t>本企业对上述声明内容的真实性负责。如有虚假，将依法承担相应责任</w:t>
      </w:r>
    </w:p>
    <w:p w14:paraId="18035673">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720"/>
        <w:jc w:val="both"/>
      </w:pPr>
      <w:r>
        <w:t> </w:t>
      </w:r>
    </w:p>
    <w:p w14:paraId="44012403">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rPr>
        <w:t>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企业名称（加盖CA电子公章）：</w:t>
      </w:r>
    </w:p>
    <w:p w14:paraId="78C53DE2">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pPr>
      <w:r>
        <w:rPr>
          <w:rFonts w:hint="eastAsia" w:ascii="宋体" w:hAnsi="宋体" w:eastAsia="宋体" w:cs="宋体"/>
          <w:color w:val="000000"/>
          <w:sz w:val="24"/>
          <w:szCs w:val="24"/>
          <w:shd w:val="clear" w:fill="FFFFFF"/>
        </w:rPr>
        <w:t xml:space="preserve">         日期：___年____月____日 </w:t>
      </w:r>
    </w:p>
    <w:p w14:paraId="559DE3B4">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bdr w:val="none" w:color="auto" w:sz="0" w:space="0"/>
        </w:rPr>
        <w:t> </w:t>
      </w:r>
    </w:p>
    <w:p w14:paraId="31D9C191">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备注：</w:t>
      </w:r>
    </w:p>
    <w:p w14:paraId="2E24EB5F">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1.从业人员、营业收入、资产总额填报上一年度数据，无上一年度数据的新成立企业可不填报。</w:t>
      </w:r>
    </w:p>
    <w:p w14:paraId="126AFE69">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pPr>
      <w:r>
        <w:rPr>
          <w:rFonts w:hint="eastAsia" w:ascii="宋体" w:hAnsi="宋体" w:eastAsia="宋体" w:cs="宋体"/>
          <w:color w:val="000000"/>
          <w:sz w:val="24"/>
          <w:szCs w:val="24"/>
        </w:rPr>
        <w:t>2.专门面向中小微型企业采购的项目，供应商如不提供此声明函，则不能通过资格审查；非专门面向中小微型企业采购的项目，供应商如不提供此声明函，价格将不做相应扣除。</w:t>
      </w:r>
    </w:p>
    <w:p w14:paraId="6133274F">
      <w:pPr>
        <w:pStyle w:val="32"/>
        <w:spacing w:beforeAutospacing="0" w:afterAutospacing="0" w:line="0"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sz w:val="24"/>
          <w:szCs w:val="24"/>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188" w:name="_GoBack"/>
      <w:bookmarkEnd w:id="188"/>
    </w:p>
    <w:p w14:paraId="5A0A279D">
      <w:pPr>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r>
    </w:p>
    <w:p w14:paraId="0D3E2A82">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一</w:t>
      </w:r>
      <w:r>
        <w:rPr>
          <w:rFonts w:hint="eastAsia" w:ascii="黑体" w:hAnsi="宋体" w:eastAsia="黑体" w:cs="黑体"/>
          <w:b/>
          <w:color w:val="000000"/>
          <w:sz w:val="32"/>
          <w:szCs w:val="32"/>
        </w:rPr>
        <w:t>、</w:t>
      </w:r>
      <w:r>
        <w:rPr>
          <w:rFonts w:hint="eastAsia" w:ascii="宋体" w:hAnsi="宋体" w:eastAsia="宋体" w:cs="宋体"/>
          <w:b/>
          <w:bCs/>
          <w:color w:val="000000"/>
          <w:sz w:val="24"/>
          <w:szCs w:val="24"/>
        </w:rPr>
        <w:t>残疾人福利性单位声明函（服务类项目）</w:t>
      </w:r>
    </w:p>
    <w:p w14:paraId="3DE98342">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jc w:val="center"/>
      </w:pPr>
      <w:r>
        <w:rPr>
          <w:bdr w:val="none" w:color="auto" w:sz="0" w:space="0"/>
        </w:rPr>
        <w:t> </w:t>
      </w:r>
    </w:p>
    <w:p w14:paraId="5D2C075D">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采购编号为</w:t>
      </w:r>
      <w:r>
        <w:rPr>
          <w:rFonts w:hint="eastAsia" w:ascii="宋体" w:hAnsi="宋体" w:eastAsia="宋体" w:cs="宋体"/>
          <w:color w:val="000000"/>
          <w:sz w:val="24"/>
          <w:szCs w:val="24"/>
          <w:u w:val="single"/>
        </w:rPr>
        <w:t>（采购编号）</w:t>
      </w:r>
      <w:r>
        <w:rPr>
          <w:rFonts w:hint="eastAsia" w:ascii="宋体" w:hAnsi="宋体" w:eastAsia="宋体" w:cs="宋体"/>
          <w:color w:val="000000"/>
          <w:sz w:val="24"/>
          <w:szCs w:val="24"/>
        </w:rPr>
        <w:t>，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项目（项目名称）采购活动由本单位提供服务。</w:t>
      </w:r>
    </w:p>
    <w:p w14:paraId="65EE3195">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本单位对上述声明的真实性负责。如有虚假，将依法承担相应责任。</w:t>
      </w:r>
    </w:p>
    <w:p w14:paraId="5F4FC11F">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bdr w:val="none" w:color="auto" w:sz="0" w:space="0"/>
        </w:rPr>
        <w:t> </w:t>
      </w:r>
    </w:p>
    <w:p w14:paraId="4933BBAA">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备注：</w:t>
      </w:r>
    </w:p>
    <w:p w14:paraId="454EC267">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1.专门面向中小微型企业采购的项目，供应商为残疾人福利性单位并提供服务的必须提供此声明函，否则将不能通过资格审查。</w:t>
      </w:r>
    </w:p>
    <w:p w14:paraId="77D90A0F">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2.非专门面向中小微型企业采购的项目，供应商如不提供此声明函，价格将不做相应扣除。</w:t>
      </w:r>
    </w:p>
    <w:p w14:paraId="012158B4">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pPr>
      <w:r>
        <w:rPr>
          <w:rFonts w:hint="eastAsia" w:ascii="宋体" w:hAnsi="宋体" w:eastAsia="宋体" w:cs="宋体"/>
          <w:color w:val="000000"/>
          <w:sz w:val="24"/>
          <w:szCs w:val="24"/>
        </w:rPr>
        <w:t>3.中标/成交供应商为残疾人福利性单位的，此声明函将随中标/成交结果同时公告，接受社会监督</w:t>
      </w:r>
    </w:p>
    <w:p w14:paraId="20B3BD9C">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pPr>
      <w:r>
        <w:t> </w:t>
      </w:r>
    </w:p>
    <w:p w14:paraId="6D49F64E">
      <w:pPr>
        <w:pStyle w:val="32"/>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供应商全称（加盖CA电子公章）：</w:t>
      </w:r>
    </w:p>
    <w:p w14:paraId="630A248F">
      <w:pPr>
        <w:pStyle w:val="32"/>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360" w:lineRule="auto"/>
        <w:ind w:right="1560" w:firstLine="480"/>
        <w:jc w:val="center"/>
        <w:textAlignment w:val="auto"/>
        <w:rPr>
          <w:rFonts w:hint="eastAsia" w:ascii="宋体" w:hAnsi="宋体" w:eastAsia="宋体" w:cs="宋体"/>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shd w:val="clear" w:fill="FFFFFF"/>
        </w:rPr>
        <w:t>日期：___年____月____日</w:t>
      </w:r>
    </w:p>
    <w:p w14:paraId="3C5223D2">
      <w:pPr>
        <w:pStyle w:val="32"/>
        <w:spacing w:beforeAutospacing="0" w:afterAutospacing="0" w:line="360" w:lineRule="auto"/>
        <w:jc w:val="center"/>
      </w:pPr>
      <w:r>
        <w:t> </w:t>
      </w:r>
    </w:p>
    <w:p w14:paraId="07447763">
      <w:pPr>
        <w:pStyle w:val="32"/>
        <w:spacing w:beforeAutospacing="0" w:afterAutospacing="0" w:line="360" w:lineRule="auto"/>
        <w:jc w:val="center"/>
      </w:pPr>
      <w:r>
        <w:t> </w:t>
      </w:r>
    </w:p>
    <w:p w14:paraId="367A7721">
      <w:pPr>
        <w:pStyle w:val="32"/>
        <w:spacing w:beforeAutospacing="0" w:afterAutospacing="0" w:line="360" w:lineRule="auto"/>
        <w:jc w:val="center"/>
      </w:pPr>
      <w:r>
        <w:t> </w:t>
      </w:r>
    </w:p>
    <w:p w14:paraId="0CF2AD99">
      <w:pPr>
        <w:pStyle w:val="32"/>
        <w:spacing w:beforeAutospacing="0" w:afterAutospacing="0" w:line="360" w:lineRule="auto"/>
        <w:jc w:val="center"/>
      </w:pPr>
      <w:r>
        <w:t> </w:t>
      </w:r>
    </w:p>
    <w:p w14:paraId="21AA167A">
      <w:pPr>
        <w:pStyle w:val="32"/>
        <w:spacing w:beforeAutospacing="0" w:afterAutospacing="0" w:line="360" w:lineRule="auto"/>
        <w:jc w:val="center"/>
      </w:pPr>
      <w:r>
        <w:t> </w:t>
      </w:r>
    </w:p>
    <w:p w14:paraId="076BD00A">
      <w:pPr>
        <w:pStyle w:val="32"/>
        <w:spacing w:beforeAutospacing="0" w:afterAutospacing="0" w:line="360" w:lineRule="auto"/>
        <w:jc w:val="center"/>
      </w:pPr>
      <w:r>
        <w:t> </w:t>
      </w:r>
    </w:p>
    <w:p w14:paraId="20A77743">
      <w:pPr>
        <w:pStyle w:val="32"/>
        <w:spacing w:beforeAutospacing="0" w:afterAutospacing="0" w:line="360" w:lineRule="auto"/>
        <w:jc w:val="center"/>
      </w:pPr>
      <w:r>
        <w:t> </w:t>
      </w:r>
    </w:p>
    <w:p w14:paraId="50277928">
      <w:pPr>
        <w:pStyle w:val="32"/>
        <w:spacing w:beforeAutospacing="0" w:afterAutospacing="0" w:line="360" w:lineRule="auto"/>
        <w:jc w:val="center"/>
      </w:pPr>
      <w:r>
        <w:t> </w:t>
      </w:r>
    </w:p>
    <w:p w14:paraId="1F0CCA2C">
      <w:pPr>
        <w:pStyle w:val="32"/>
        <w:spacing w:beforeAutospacing="0" w:afterAutospacing="0" w:line="360" w:lineRule="auto"/>
        <w:jc w:val="center"/>
      </w:pPr>
    </w:p>
    <w:p w14:paraId="250BB5EC">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240" w:afterAutospacing="0" w:line="360" w:lineRule="auto"/>
        <w:ind w:left="0" w:right="0"/>
        <w:jc w:val="center"/>
        <w:rPr>
          <w:rFonts w:hint="eastAsia" w:ascii="黑体" w:hAnsi="宋体" w:eastAsia="黑体" w:cs="黑体"/>
          <w:b/>
          <w:color w:val="000000"/>
          <w:sz w:val="32"/>
          <w:szCs w:val="32"/>
        </w:rPr>
      </w:pPr>
    </w:p>
    <w:p w14:paraId="3CE43933">
      <w:pPr>
        <w:spacing w:before="50" w:after="50"/>
        <w:jc w:val="center"/>
        <w:rPr>
          <w:rFonts w:hint="eastAsia" w:ascii="黑体" w:hAnsi="宋体" w:eastAsia="黑体" w:cs="黑体"/>
          <w:b/>
          <w:color w:val="000000"/>
          <w:sz w:val="32"/>
          <w:szCs w:val="32"/>
        </w:rP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二</w:t>
      </w:r>
      <w:r>
        <w:rPr>
          <w:rFonts w:hint="eastAsia" w:ascii="黑体" w:hAnsi="宋体" w:eastAsia="黑体" w:cs="黑体"/>
          <w:b/>
          <w:color w:val="000000"/>
          <w:sz w:val="32"/>
          <w:szCs w:val="32"/>
        </w:rPr>
        <w:t>、投标</w:t>
      </w:r>
      <w:r>
        <w:rPr>
          <w:rFonts w:hint="eastAsia" w:ascii="黑体" w:hAnsi="宋体" w:eastAsia="黑体" w:cs="黑体"/>
          <w:b/>
          <w:color w:val="000000"/>
          <w:sz w:val="32"/>
          <w:szCs w:val="32"/>
          <w:lang w:val="en-US" w:eastAsia="zh-CN"/>
        </w:rPr>
        <w:t>分项</w:t>
      </w:r>
      <w:r>
        <w:rPr>
          <w:rFonts w:hint="eastAsia" w:ascii="黑体" w:hAnsi="宋体" w:eastAsia="黑体" w:cs="黑体"/>
          <w:b/>
          <w:color w:val="000000"/>
          <w:sz w:val="32"/>
          <w:szCs w:val="32"/>
        </w:rPr>
        <w:t>报价表</w:t>
      </w:r>
    </w:p>
    <w:p w14:paraId="05B406AC">
      <w:pPr>
        <w:rPr>
          <w:rFonts w:hint="eastAsia" w:ascii="宋体" w:hAnsi="宋体"/>
          <w:sz w:val="24"/>
          <w:szCs w:val="24"/>
        </w:rPr>
      </w:pPr>
    </w:p>
    <w:p w14:paraId="1305322C">
      <w:pPr>
        <w:rPr>
          <w:rFonts w:ascii="宋体" w:hAnsi="宋体"/>
          <w:sz w:val="24"/>
          <w:szCs w:val="24"/>
        </w:rPr>
      </w:pPr>
      <w:r>
        <w:rPr>
          <w:rFonts w:hint="eastAsia" w:ascii="宋体" w:hAnsi="宋体"/>
          <w:sz w:val="24"/>
          <w:szCs w:val="24"/>
        </w:rPr>
        <w:t>投标人全称（加盖公章）：</w:t>
      </w:r>
    </w:p>
    <w:tbl>
      <w:tblPr>
        <w:tblStyle w:val="37"/>
        <w:tblW w:w="921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0"/>
        <w:gridCol w:w="4127"/>
        <w:gridCol w:w="2387"/>
        <w:gridCol w:w="1766"/>
      </w:tblGrid>
      <w:tr w14:paraId="2CD5C2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930" w:type="dxa"/>
            <w:noWrap w:val="0"/>
            <w:vAlign w:val="center"/>
          </w:tcPr>
          <w:p w14:paraId="484AB421">
            <w:pPr>
              <w:jc w:val="center"/>
            </w:pPr>
            <w:r>
              <w:rPr>
                <w:rFonts w:ascii="宋体" w:hAnsi="宋体" w:eastAsia="宋体"/>
                <w:b/>
                <w:sz w:val="21"/>
              </w:rPr>
              <w:t>序号</w:t>
            </w:r>
          </w:p>
        </w:tc>
        <w:tc>
          <w:tcPr>
            <w:tcW w:w="4127" w:type="dxa"/>
            <w:noWrap w:val="0"/>
            <w:vAlign w:val="center"/>
          </w:tcPr>
          <w:p w14:paraId="54B92F8A">
            <w:pPr>
              <w:jc w:val="center"/>
            </w:pPr>
            <w:r>
              <w:rPr>
                <w:rFonts w:ascii="宋体" w:hAnsi="宋体" w:eastAsia="宋体"/>
                <w:b/>
                <w:sz w:val="21"/>
              </w:rPr>
              <w:t>费用项目</w:t>
            </w:r>
          </w:p>
        </w:tc>
        <w:tc>
          <w:tcPr>
            <w:tcW w:w="2387" w:type="dxa"/>
            <w:noWrap w:val="0"/>
            <w:vAlign w:val="center"/>
          </w:tcPr>
          <w:p w14:paraId="7C10B8B8">
            <w:pPr>
              <w:jc w:val="center"/>
            </w:pPr>
            <w:r>
              <w:rPr>
                <w:rFonts w:ascii="宋体" w:hAnsi="宋体" w:eastAsia="宋体"/>
                <w:b/>
                <w:sz w:val="21"/>
              </w:rPr>
              <w:t>金额（元）</w:t>
            </w:r>
          </w:p>
        </w:tc>
        <w:tc>
          <w:tcPr>
            <w:tcW w:w="1766" w:type="dxa"/>
            <w:noWrap w:val="0"/>
            <w:vAlign w:val="center"/>
          </w:tcPr>
          <w:p w14:paraId="3649C27C">
            <w:pPr>
              <w:jc w:val="center"/>
            </w:pPr>
            <w:r>
              <w:rPr>
                <w:rFonts w:ascii="宋体" w:hAnsi="宋体" w:eastAsia="宋体"/>
                <w:b/>
                <w:sz w:val="21"/>
              </w:rPr>
              <w:t>备注</w:t>
            </w:r>
          </w:p>
        </w:tc>
      </w:tr>
      <w:tr w14:paraId="11344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37766A36">
            <w:pPr>
              <w:jc w:val="center"/>
            </w:pPr>
            <w:r>
              <w:rPr>
                <w:rFonts w:ascii="宋体" w:hAnsi="宋体" w:eastAsia="宋体"/>
                <w:sz w:val="21"/>
              </w:rPr>
              <w:t>1</w:t>
            </w:r>
          </w:p>
        </w:tc>
        <w:tc>
          <w:tcPr>
            <w:tcW w:w="4127" w:type="dxa"/>
            <w:vAlign w:val="center"/>
          </w:tcPr>
          <w:p w14:paraId="5B75C3AC">
            <w:pPr>
              <w:jc w:val="center"/>
              <w:rPr>
                <w:rFonts w:hint="default" w:eastAsia="宋体"/>
                <w:lang w:val="en-US" w:eastAsia="zh-CN"/>
              </w:rPr>
            </w:pPr>
          </w:p>
        </w:tc>
        <w:tc>
          <w:tcPr>
            <w:tcW w:w="2387" w:type="dxa"/>
            <w:vAlign w:val="center"/>
          </w:tcPr>
          <w:p w14:paraId="38C81720">
            <w:pPr>
              <w:jc w:val="center"/>
            </w:pPr>
          </w:p>
        </w:tc>
        <w:tc>
          <w:tcPr>
            <w:tcW w:w="1766" w:type="dxa"/>
            <w:vAlign w:val="center"/>
          </w:tcPr>
          <w:p w14:paraId="3C05962A">
            <w:pPr>
              <w:jc w:val="center"/>
            </w:pPr>
          </w:p>
        </w:tc>
      </w:tr>
      <w:tr w14:paraId="10C6F5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207980CB">
            <w:pPr>
              <w:jc w:val="center"/>
            </w:pPr>
            <w:r>
              <w:rPr>
                <w:rFonts w:ascii="宋体" w:hAnsi="宋体" w:eastAsia="宋体"/>
                <w:sz w:val="21"/>
              </w:rPr>
              <w:t>2</w:t>
            </w:r>
          </w:p>
        </w:tc>
        <w:tc>
          <w:tcPr>
            <w:tcW w:w="4127" w:type="dxa"/>
            <w:vAlign w:val="center"/>
          </w:tcPr>
          <w:p w14:paraId="2503EEA2">
            <w:pPr>
              <w:jc w:val="center"/>
            </w:pPr>
          </w:p>
        </w:tc>
        <w:tc>
          <w:tcPr>
            <w:tcW w:w="2387" w:type="dxa"/>
            <w:vAlign w:val="center"/>
          </w:tcPr>
          <w:p w14:paraId="64D95B30">
            <w:pPr>
              <w:jc w:val="center"/>
            </w:pPr>
          </w:p>
        </w:tc>
        <w:tc>
          <w:tcPr>
            <w:tcW w:w="1766" w:type="dxa"/>
            <w:vAlign w:val="center"/>
          </w:tcPr>
          <w:p w14:paraId="78C410D4">
            <w:pPr>
              <w:jc w:val="center"/>
            </w:pPr>
          </w:p>
        </w:tc>
      </w:tr>
      <w:tr w14:paraId="2ED41A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53351440">
            <w:pPr>
              <w:jc w:val="center"/>
            </w:pPr>
            <w:r>
              <w:rPr>
                <w:rFonts w:ascii="宋体" w:hAnsi="宋体" w:eastAsia="宋体"/>
                <w:sz w:val="21"/>
              </w:rPr>
              <w:t>3</w:t>
            </w:r>
          </w:p>
        </w:tc>
        <w:tc>
          <w:tcPr>
            <w:tcW w:w="4127" w:type="dxa"/>
            <w:vAlign w:val="center"/>
          </w:tcPr>
          <w:p w14:paraId="76BF7498">
            <w:pPr>
              <w:jc w:val="center"/>
            </w:pPr>
          </w:p>
        </w:tc>
        <w:tc>
          <w:tcPr>
            <w:tcW w:w="2387" w:type="dxa"/>
            <w:vAlign w:val="center"/>
          </w:tcPr>
          <w:p w14:paraId="10406131">
            <w:pPr>
              <w:jc w:val="center"/>
            </w:pPr>
          </w:p>
        </w:tc>
        <w:tc>
          <w:tcPr>
            <w:tcW w:w="1766" w:type="dxa"/>
            <w:vAlign w:val="center"/>
          </w:tcPr>
          <w:p w14:paraId="142A3A6E">
            <w:pPr>
              <w:jc w:val="center"/>
            </w:pPr>
          </w:p>
        </w:tc>
      </w:tr>
      <w:tr w14:paraId="4664E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78372110">
            <w:pPr>
              <w:jc w:val="center"/>
            </w:pPr>
            <w:r>
              <w:rPr>
                <w:rFonts w:ascii="宋体" w:hAnsi="宋体" w:eastAsia="宋体"/>
                <w:sz w:val="21"/>
              </w:rPr>
              <w:t>4</w:t>
            </w:r>
          </w:p>
        </w:tc>
        <w:tc>
          <w:tcPr>
            <w:tcW w:w="4127" w:type="dxa"/>
            <w:vAlign w:val="center"/>
          </w:tcPr>
          <w:p w14:paraId="509948D5">
            <w:pPr>
              <w:jc w:val="center"/>
            </w:pPr>
          </w:p>
        </w:tc>
        <w:tc>
          <w:tcPr>
            <w:tcW w:w="2387" w:type="dxa"/>
            <w:vAlign w:val="center"/>
          </w:tcPr>
          <w:p w14:paraId="431695D9">
            <w:pPr>
              <w:jc w:val="center"/>
            </w:pPr>
          </w:p>
        </w:tc>
        <w:tc>
          <w:tcPr>
            <w:tcW w:w="1766" w:type="dxa"/>
            <w:vAlign w:val="center"/>
          </w:tcPr>
          <w:p w14:paraId="33D9314C">
            <w:pPr>
              <w:jc w:val="center"/>
            </w:pPr>
          </w:p>
        </w:tc>
      </w:tr>
      <w:tr w14:paraId="7417A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5EB1F9C2">
            <w:pPr>
              <w:jc w:val="center"/>
            </w:pPr>
            <w:r>
              <w:rPr>
                <w:rFonts w:ascii="宋体" w:hAnsi="宋体" w:eastAsia="宋体"/>
                <w:sz w:val="21"/>
              </w:rPr>
              <w:t>5</w:t>
            </w:r>
          </w:p>
        </w:tc>
        <w:tc>
          <w:tcPr>
            <w:tcW w:w="4127" w:type="dxa"/>
            <w:vAlign w:val="center"/>
          </w:tcPr>
          <w:p w14:paraId="4DC03BBF">
            <w:pPr>
              <w:jc w:val="center"/>
            </w:pPr>
          </w:p>
        </w:tc>
        <w:tc>
          <w:tcPr>
            <w:tcW w:w="2387" w:type="dxa"/>
            <w:vAlign w:val="center"/>
          </w:tcPr>
          <w:p w14:paraId="32A0298F">
            <w:pPr>
              <w:jc w:val="center"/>
            </w:pPr>
          </w:p>
        </w:tc>
        <w:tc>
          <w:tcPr>
            <w:tcW w:w="1766" w:type="dxa"/>
            <w:vAlign w:val="center"/>
          </w:tcPr>
          <w:p w14:paraId="2F77D337">
            <w:pPr>
              <w:jc w:val="center"/>
            </w:pPr>
          </w:p>
        </w:tc>
      </w:tr>
      <w:tr w14:paraId="0EB53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260C2D7A">
            <w:pPr>
              <w:jc w:val="center"/>
            </w:pPr>
            <w:r>
              <w:rPr>
                <w:rFonts w:ascii="宋体" w:hAnsi="宋体" w:eastAsia="宋体"/>
                <w:sz w:val="21"/>
              </w:rPr>
              <w:t>6</w:t>
            </w:r>
          </w:p>
        </w:tc>
        <w:tc>
          <w:tcPr>
            <w:tcW w:w="4127" w:type="dxa"/>
            <w:vAlign w:val="center"/>
          </w:tcPr>
          <w:p w14:paraId="6161F0D9">
            <w:pPr>
              <w:jc w:val="center"/>
            </w:pPr>
          </w:p>
        </w:tc>
        <w:tc>
          <w:tcPr>
            <w:tcW w:w="2387" w:type="dxa"/>
            <w:vAlign w:val="center"/>
          </w:tcPr>
          <w:p w14:paraId="117B9A87">
            <w:pPr>
              <w:jc w:val="center"/>
            </w:pPr>
          </w:p>
        </w:tc>
        <w:tc>
          <w:tcPr>
            <w:tcW w:w="1766" w:type="dxa"/>
            <w:vAlign w:val="center"/>
          </w:tcPr>
          <w:p w14:paraId="01E0203C">
            <w:pPr>
              <w:jc w:val="center"/>
            </w:pPr>
          </w:p>
        </w:tc>
      </w:tr>
      <w:tr w14:paraId="0F4F2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5C665CCC">
            <w:pPr>
              <w:jc w:val="center"/>
            </w:pPr>
            <w:r>
              <w:rPr>
                <w:rFonts w:ascii="宋体" w:hAnsi="宋体" w:eastAsia="宋体"/>
                <w:sz w:val="21"/>
              </w:rPr>
              <w:t>7</w:t>
            </w:r>
          </w:p>
        </w:tc>
        <w:tc>
          <w:tcPr>
            <w:tcW w:w="4127" w:type="dxa"/>
            <w:vAlign w:val="center"/>
          </w:tcPr>
          <w:p w14:paraId="0C5666A5">
            <w:pPr>
              <w:jc w:val="center"/>
              <w:rPr>
                <w:rFonts w:hint="default" w:eastAsiaTheme="minorEastAsia"/>
                <w:lang w:val="en-US" w:eastAsia="zh-CN"/>
              </w:rPr>
            </w:pPr>
          </w:p>
        </w:tc>
        <w:tc>
          <w:tcPr>
            <w:tcW w:w="2387" w:type="dxa"/>
            <w:vAlign w:val="center"/>
          </w:tcPr>
          <w:p w14:paraId="49623055">
            <w:pPr>
              <w:jc w:val="center"/>
            </w:pPr>
          </w:p>
        </w:tc>
        <w:tc>
          <w:tcPr>
            <w:tcW w:w="1766" w:type="dxa"/>
            <w:vAlign w:val="center"/>
          </w:tcPr>
          <w:p w14:paraId="17EF9B2C">
            <w:pPr>
              <w:jc w:val="center"/>
            </w:pPr>
          </w:p>
        </w:tc>
      </w:tr>
      <w:tr w14:paraId="210E2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0A882B90">
            <w:pPr>
              <w:jc w:val="center"/>
            </w:pPr>
            <w:r>
              <w:rPr>
                <w:rFonts w:ascii="宋体" w:hAnsi="宋体" w:eastAsia="宋体"/>
                <w:sz w:val="21"/>
              </w:rPr>
              <w:t>8</w:t>
            </w:r>
          </w:p>
        </w:tc>
        <w:tc>
          <w:tcPr>
            <w:tcW w:w="4127" w:type="dxa"/>
            <w:vAlign w:val="center"/>
          </w:tcPr>
          <w:p w14:paraId="7064F447">
            <w:pPr>
              <w:jc w:val="center"/>
            </w:pPr>
          </w:p>
        </w:tc>
        <w:tc>
          <w:tcPr>
            <w:tcW w:w="2387" w:type="dxa"/>
            <w:vAlign w:val="center"/>
          </w:tcPr>
          <w:p w14:paraId="2AD5FB88">
            <w:pPr>
              <w:jc w:val="center"/>
            </w:pPr>
          </w:p>
        </w:tc>
        <w:tc>
          <w:tcPr>
            <w:tcW w:w="1766" w:type="dxa"/>
            <w:vAlign w:val="center"/>
          </w:tcPr>
          <w:p w14:paraId="79568F82">
            <w:pPr>
              <w:jc w:val="center"/>
            </w:pPr>
          </w:p>
        </w:tc>
      </w:tr>
      <w:tr w14:paraId="0DA27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40B15A5B">
            <w:pPr>
              <w:jc w:val="center"/>
            </w:pPr>
            <w:r>
              <w:rPr>
                <w:rFonts w:ascii="宋体" w:hAnsi="宋体" w:eastAsia="宋体"/>
                <w:sz w:val="21"/>
              </w:rPr>
              <w:t>9</w:t>
            </w:r>
          </w:p>
        </w:tc>
        <w:tc>
          <w:tcPr>
            <w:tcW w:w="4127" w:type="dxa"/>
            <w:vAlign w:val="center"/>
          </w:tcPr>
          <w:p w14:paraId="0390E323">
            <w:pPr>
              <w:jc w:val="center"/>
            </w:pPr>
          </w:p>
        </w:tc>
        <w:tc>
          <w:tcPr>
            <w:tcW w:w="2387" w:type="dxa"/>
            <w:vAlign w:val="center"/>
          </w:tcPr>
          <w:p w14:paraId="7C8EFFD1">
            <w:pPr>
              <w:jc w:val="center"/>
            </w:pPr>
          </w:p>
        </w:tc>
        <w:tc>
          <w:tcPr>
            <w:tcW w:w="1766" w:type="dxa"/>
            <w:vAlign w:val="center"/>
          </w:tcPr>
          <w:p w14:paraId="2CDD4D3C">
            <w:pPr>
              <w:jc w:val="center"/>
            </w:pPr>
          </w:p>
        </w:tc>
      </w:tr>
      <w:tr w14:paraId="54D52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33FBE243">
            <w:pPr>
              <w:jc w:val="center"/>
            </w:pPr>
            <w:r>
              <w:rPr>
                <w:rFonts w:ascii="宋体" w:hAnsi="宋体" w:eastAsia="宋体"/>
                <w:sz w:val="21"/>
              </w:rPr>
              <w:t>10</w:t>
            </w:r>
          </w:p>
        </w:tc>
        <w:tc>
          <w:tcPr>
            <w:tcW w:w="4127" w:type="dxa"/>
            <w:vAlign w:val="center"/>
          </w:tcPr>
          <w:p w14:paraId="1A8C9109">
            <w:pPr>
              <w:jc w:val="center"/>
            </w:pPr>
          </w:p>
        </w:tc>
        <w:tc>
          <w:tcPr>
            <w:tcW w:w="2387" w:type="dxa"/>
            <w:vAlign w:val="center"/>
          </w:tcPr>
          <w:p w14:paraId="6B528F9C">
            <w:pPr>
              <w:jc w:val="center"/>
            </w:pPr>
          </w:p>
        </w:tc>
        <w:tc>
          <w:tcPr>
            <w:tcW w:w="1766" w:type="dxa"/>
            <w:vAlign w:val="center"/>
          </w:tcPr>
          <w:p w14:paraId="31705021">
            <w:pPr>
              <w:jc w:val="center"/>
            </w:pPr>
          </w:p>
        </w:tc>
      </w:tr>
      <w:tr w14:paraId="7ABD8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52E97498">
            <w:pPr>
              <w:jc w:val="center"/>
            </w:pPr>
            <w:r>
              <w:rPr>
                <w:rFonts w:ascii="宋体" w:hAnsi="宋体" w:eastAsia="宋体"/>
                <w:sz w:val="21"/>
              </w:rPr>
              <w:t>11</w:t>
            </w:r>
          </w:p>
        </w:tc>
        <w:tc>
          <w:tcPr>
            <w:tcW w:w="4127" w:type="dxa"/>
            <w:vAlign w:val="center"/>
          </w:tcPr>
          <w:p w14:paraId="0D56D54C">
            <w:pPr>
              <w:jc w:val="center"/>
            </w:pPr>
          </w:p>
        </w:tc>
        <w:tc>
          <w:tcPr>
            <w:tcW w:w="2387" w:type="dxa"/>
            <w:vAlign w:val="center"/>
          </w:tcPr>
          <w:p w14:paraId="4A47E647">
            <w:pPr>
              <w:jc w:val="center"/>
            </w:pPr>
          </w:p>
        </w:tc>
        <w:tc>
          <w:tcPr>
            <w:tcW w:w="1766" w:type="dxa"/>
            <w:vAlign w:val="center"/>
          </w:tcPr>
          <w:p w14:paraId="35028947">
            <w:pPr>
              <w:jc w:val="center"/>
            </w:pPr>
          </w:p>
        </w:tc>
      </w:tr>
      <w:tr w14:paraId="730761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0056B9A4">
            <w:pPr>
              <w:jc w:val="center"/>
            </w:pPr>
            <w:r>
              <w:rPr>
                <w:rFonts w:ascii="宋体" w:hAnsi="宋体" w:eastAsia="宋体"/>
                <w:sz w:val="21"/>
              </w:rPr>
              <w:t>12</w:t>
            </w:r>
          </w:p>
        </w:tc>
        <w:tc>
          <w:tcPr>
            <w:tcW w:w="4127" w:type="dxa"/>
            <w:vAlign w:val="center"/>
          </w:tcPr>
          <w:p w14:paraId="7214B7B5">
            <w:pPr>
              <w:jc w:val="center"/>
            </w:pPr>
          </w:p>
        </w:tc>
        <w:tc>
          <w:tcPr>
            <w:tcW w:w="2387" w:type="dxa"/>
            <w:vAlign w:val="center"/>
          </w:tcPr>
          <w:p w14:paraId="3F85110F">
            <w:pPr>
              <w:jc w:val="center"/>
            </w:pPr>
          </w:p>
        </w:tc>
        <w:tc>
          <w:tcPr>
            <w:tcW w:w="1766" w:type="dxa"/>
            <w:vAlign w:val="center"/>
          </w:tcPr>
          <w:p w14:paraId="4D009FD1">
            <w:pPr>
              <w:jc w:val="center"/>
            </w:pPr>
          </w:p>
        </w:tc>
      </w:tr>
      <w:tr w14:paraId="58381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0A02D9D8">
            <w:pPr>
              <w:jc w:val="center"/>
            </w:pPr>
            <w:r>
              <w:rPr>
                <w:rFonts w:ascii="宋体" w:hAnsi="宋体" w:eastAsia="宋体"/>
                <w:sz w:val="21"/>
              </w:rPr>
              <w:t>13</w:t>
            </w:r>
          </w:p>
        </w:tc>
        <w:tc>
          <w:tcPr>
            <w:tcW w:w="4127" w:type="dxa"/>
            <w:vAlign w:val="center"/>
          </w:tcPr>
          <w:p w14:paraId="7E3EC792">
            <w:pPr>
              <w:jc w:val="center"/>
            </w:pPr>
          </w:p>
        </w:tc>
        <w:tc>
          <w:tcPr>
            <w:tcW w:w="2387" w:type="dxa"/>
            <w:vAlign w:val="center"/>
          </w:tcPr>
          <w:p w14:paraId="2D7B1F7F">
            <w:pPr>
              <w:jc w:val="center"/>
            </w:pPr>
          </w:p>
        </w:tc>
        <w:tc>
          <w:tcPr>
            <w:tcW w:w="1766" w:type="dxa"/>
            <w:vAlign w:val="center"/>
          </w:tcPr>
          <w:p w14:paraId="3DEB1EFB">
            <w:pPr>
              <w:jc w:val="center"/>
            </w:pPr>
          </w:p>
        </w:tc>
      </w:tr>
      <w:tr w14:paraId="5AF09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32F8767B">
            <w:pPr>
              <w:jc w:val="center"/>
            </w:pPr>
            <w:r>
              <w:rPr>
                <w:rFonts w:ascii="宋体" w:hAnsi="宋体" w:eastAsia="宋体"/>
                <w:sz w:val="21"/>
              </w:rPr>
              <w:t>14</w:t>
            </w:r>
          </w:p>
        </w:tc>
        <w:tc>
          <w:tcPr>
            <w:tcW w:w="4127" w:type="dxa"/>
            <w:vAlign w:val="center"/>
          </w:tcPr>
          <w:p w14:paraId="5896F636">
            <w:pPr>
              <w:jc w:val="center"/>
            </w:pPr>
          </w:p>
        </w:tc>
        <w:tc>
          <w:tcPr>
            <w:tcW w:w="2387" w:type="dxa"/>
            <w:vAlign w:val="center"/>
          </w:tcPr>
          <w:p w14:paraId="2CBD5756">
            <w:pPr>
              <w:jc w:val="center"/>
            </w:pPr>
          </w:p>
        </w:tc>
        <w:tc>
          <w:tcPr>
            <w:tcW w:w="1766" w:type="dxa"/>
            <w:vAlign w:val="center"/>
          </w:tcPr>
          <w:p w14:paraId="55C99A87">
            <w:pPr>
              <w:jc w:val="center"/>
            </w:pPr>
          </w:p>
        </w:tc>
      </w:tr>
      <w:tr w14:paraId="0B69C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588AE8E7">
            <w:pPr>
              <w:jc w:val="center"/>
            </w:pPr>
            <w:r>
              <w:rPr>
                <w:rFonts w:ascii="宋体" w:hAnsi="宋体" w:eastAsia="宋体"/>
                <w:sz w:val="21"/>
              </w:rPr>
              <w:t>15</w:t>
            </w:r>
          </w:p>
        </w:tc>
        <w:tc>
          <w:tcPr>
            <w:tcW w:w="4127" w:type="dxa"/>
            <w:vAlign w:val="center"/>
          </w:tcPr>
          <w:p w14:paraId="0046B994">
            <w:pPr>
              <w:jc w:val="center"/>
              <w:rPr>
                <w:rFonts w:hint="default"/>
                <w:lang w:val="en-US"/>
              </w:rPr>
            </w:pPr>
          </w:p>
        </w:tc>
        <w:tc>
          <w:tcPr>
            <w:tcW w:w="2387" w:type="dxa"/>
            <w:vAlign w:val="center"/>
          </w:tcPr>
          <w:p w14:paraId="56712B0A">
            <w:pPr>
              <w:jc w:val="center"/>
              <w:rPr>
                <w:rFonts w:hint="default"/>
                <w:lang w:val="en-US"/>
              </w:rPr>
            </w:pPr>
          </w:p>
        </w:tc>
        <w:tc>
          <w:tcPr>
            <w:tcW w:w="1766" w:type="dxa"/>
            <w:vAlign w:val="center"/>
          </w:tcPr>
          <w:p w14:paraId="2D22A2CC">
            <w:pPr>
              <w:jc w:val="center"/>
              <w:rPr>
                <w:rFonts w:hint="default"/>
                <w:lang w:val="en-US"/>
              </w:rPr>
            </w:pPr>
          </w:p>
        </w:tc>
      </w:tr>
      <w:tr w14:paraId="2CE4D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51E5B004">
            <w:pPr>
              <w:jc w:val="center"/>
            </w:pPr>
            <w:r>
              <w:rPr>
                <w:rFonts w:ascii="宋体" w:hAnsi="宋体" w:eastAsia="宋体"/>
                <w:sz w:val="21"/>
              </w:rPr>
              <w:t>16</w:t>
            </w:r>
          </w:p>
        </w:tc>
        <w:tc>
          <w:tcPr>
            <w:tcW w:w="4127" w:type="dxa"/>
            <w:vAlign w:val="center"/>
          </w:tcPr>
          <w:p w14:paraId="55CE84AC">
            <w:pPr>
              <w:jc w:val="center"/>
            </w:pPr>
          </w:p>
        </w:tc>
        <w:tc>
          <w:tcPr>
            <w:tcW w:w="2387" w:type="dxa"/>
            <w:vAlign w:val="center"/>
          </w:tcPr>
          <w:p w14:paraId="37C74367">
            <w:pPr>
              <w:jc w:val="center"/>
            </w:pPr>
          </w:p>
        </w:tc>
        <w:tc>
          <w:tcPr>
            <w:tcW w:w="1766" w:type="dxa"/>
            <w:vAlign w:val="center"/>
          </w:tcPr>
          <w:p w14:paraId="7E347F69">
            <w:pPr>
              <w:jc w:val="center"/>
            </w:pPr>
          </w:p>
        </w:tc>
      </w:tr>
      <w:tr w14:paraId="3BB74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30" w:type="dxa"/>
            <w:vAlign w:val="center"/>
          </w:tcPr>
          <w:p w14:paraId="5BDF4CB6">
            <w:pPr>
              <w:jc w:val="center"/>
            </w:pPr>
            <w:r>
              <w:rPr>
                <w:rFonts w:ascii="宋体" w:hAnsi="宋体" w:eastAsia="宋体"/>
                <w:sz w:val="21"/>
              </w:rPr>
              <w:t>合计</w:t>
            </w:r>
          </w:p>
        </w:tc>
        <w:tc>
          <w:tcPr>
            <w:tcW w:w="4127" w:type="dxa"/>
            <w:vAlign w:val="center"/>
          </w:tcPr>
          <w:p w14:paraId="7F6A35D0">
            <w:pPr>
              <w:jc w:val="center"/>
            </w:pPr>
          </w:p>
        </w:tc>
        <w:tc>
          <w:tcPr>
            <w:tcW w:w="2387" w:type="dxa"/>
            <w:vAlign w:val="center"/>
          </w:tcPr>
          <w:p w14:paraId="5E86E0FE">
            <w:pPr>
              <w:jc w:val="center"/>
            </w:pPr>
          </w:p>
        </w:tc>
        <w:tc>
          <w:tcPr>
            <w:tcW w:w="1766" w:type="dxa"/>
            <w:vAlign w:val="center"/>
          </w:tcPr>
          <w:p w14:paraId="1C1F7B51">
            <w:pPr>
              <w:jc w:val="center"/>
            </w:pPr>
          </w:p>
        </w:tc>
      </w:tr>
    </w:tbl>
    <w:p w14:paraId="40F0297F">
      <w:pPr>
        <w:rPr>
          <w:rFonts w:ascii="宋体" w:hAnsi="宋体"/>
          <w:sz w:val="24"/>
          <w:szCs w:val="24"/>
        </w:rPr>
      </w:pPr>
    </w:p>
    <w:p w14:paraId="5052F37C">
      <w:pPr>
        <w:rPr>
          <w:rFonts w:ascii="宋体" w:hAnsi="宋体"/>
          <w:b/>
          <w:bCs/>
          <w:sz w:val="24"/>
          <w:szCs w:val="24"/>
        </w:rPr>
      </w:pPr>
    </w:p>
    <w:p w14:paraId="774F118A">
      <w:pPr>
        <w:widowControl/>
        <w:spacing w:after="200" w:line="360" w:lineRule="auto"/>
        <w:ind w:firstLine="480"/>
        <w:jc w:val="left"/>
        <w:rPr>
          <w:rFonts w:ascii="宋体" w:hAnsi="宋体" w:eastAsia="宋体" w:cs="Times New Roman"/>
          <w:sz w:val="24"/>
          <w:szCs w:val="22"/>
          <w:lang w:eastAsia="en-US"/>
        </w:rPr>
      </w:pPr>
      <w:r>
        <w:rPr>
          <w:rFonts w:ascii="宋体" w:hAnsi="宋体" w:eastAsia="宋体" w:cs="Times New Roman"/>
          <w:b w:val="0"/>
          <w:sz w:val="24"/>
          <w:szCs w:val="22"/>
          <w:lang w:eastAsia="en-US"/>
        </w:rPr>
        <w:t>注：1、此表可以根据需要自行增减行数。2、以上报价为14个月服务期总价。3、投标总报价不得超过最高限价700万元，超过的作无效标处理。</w:t>
      </w:r>
    </w:p>
    <w:p w14:paraId="6C8B84E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p>
    <w:p w14:paraId="5F25D675">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pPr>
      <w:r>
        <w:t> </w:t>
      </w:r>
    </w:p>
    <w:p w14:paraId="7856C75A">
      <w:pPr>
        <w:pStyle w:val="32"/>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pPr>
      <w:r>
        <w:t> </w:t>
      </w:r>
    </w:p>
    <w:p w14:paraId="40C2DCB1">
      <w:pPr>
        <w:rPr>
          <w:rFonts w:hint="eastAsia" w:ascii="黑体" w:hAnsi="宋体" w:eastAsia="黑体" w:cs="黑体"/>
          <w:b/>
          <w:color w:val="000000"/>
          <w:sz w:val="32"/>
          <w:szCs w:val="32"/>
        </w:rPr>
      </w:pPr>
      <w:r>
        <w:t> </w:t>
      </w:r>
    </w:p>
    <w:p w14:paraId="58BC2BC7">
      <w:pPr>
        <w:pStyle w:val="32"/>
        <w:spacing w:beforeAutospacing="0" w:afterAutospacing="0" w:line="360" w:lineRule="auto"/>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三</w:t>
      </w:r>
      <w:r>
        <w:rPr>
          <w:rFonts w:hint="eastAsia" w:ascii="黑体" w:hAnsi="宋体" w:eastAsia="黑体" w:cs="黑体"/>
          <w:b/>
          <w:color w:val="000000"/>
          <w:sz w:val="32"/>
          <w:szCs w:val="32"/>
        </w:rPr>
        <w:t>、技术要求响应及偏离表</w:t>
      </w:r>
    </w:p>
    <w:tbl>
      <w:tblPr>
        <w:tblStyle w:val="37"/>
        <w:tblW w:w="8520" w:type="dxa"/>
        <w:tblCellSpacing w:w="0" w:type="dxa"/>
        <w:tblInd w:w="11" w:type="dxa"/>
        <w:tblLayout w:type="fixed"/>
        <w:tblCellMar>
          <w:top w:w="0" w:type="dxa"/>
          <w:left w:w="108" w:type="dxa"/>
          <w:bottom w:w="0" w:type="dxa"/>
          <w:right w:w="108" w:type="dxa"/>
        </w:tblCellMar>
      </w:tblPr>
      <w:tblGrid>
        <w:gridCol w:w="538"/>
        <w:gridCol w:w="3026"/>
        <w:gridCol w:w="2608"/>
        <w:gridCol w:w="1247"/>
        <w:gridCol w:w="1101"/>
      </w:tblGrid>
      <w:tr w14:paraId="6F21B8F5">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6C5F9235">
            <w:pPr>
              <w:pStyle w:val="32"/>
              <w:spacing w:beforeAutospacing="0" w:afterAutospacing="0" w:line="360" w:lineRule="auto"/>
              <w:jc w:val="center"/>
            </w:pPr>
            <w:r>
              <w:rPr>
                <w:rFonts w:hint="eastAsia" w:ascii="宋体" w:hAnsi="宋体" w:eastAsia="宋体" w:cs="宋体"/>
                <w:color w:val="000000"/>
              </w:rPr>
              <w:t>序号</w:t>
            </w:r>
          </w:p>
        </w:tc>
        <w:tc>
          <w:tcPr>
            <w:tcW w:w="3026" w:type="dxa"/>
            <w:tcBorders>
              <w:top w:val="single" w:color="auto" w:sz="4" w:space="0"/>
              <w:left w:val="single" w:color="auto" w:sz="4" w:space="0"/>
              <w:bottom w:val="single" w:color="auto" w:sz="4" w:space="0"/>
              <w:right w:val="single" w:color="auto" w:sz="4" w:space="0"/>
            </w:tcBorders>
            <w:vAlign w:val="center"/>
          </w:tcPr>
          <w:p w14:paraId="1854E6B3">
            <w:pPr>
              <w:pStyle w:val="32"/>
              <w:spacing w:beforeAutospacing="0" w:afterAutospacing="0" w:line="360" w:lineRule="auto"/>
              <w:jc w:val="center"/>
            </w:pPr>
            <w:r>
              <w:rPr>
                <w:rFonts w:hint="eastAsia" w:ascii="宋体" w:hAnsi="宋体" w:eastAsia="宋体" w:cs="宋体"/>
                <w:color w:val="000000"/>
              </w:rPr>
              <w:t>招标文件要求</w:t>
            </w:r>
          </w:p>
        </w:tc>
        <w:tc>
          <w:tcPr>
            <w:tcW w:w="2608" w:type="dxa"/>
            <w:tcBorders>
              <w:top w:val="single" w:color="auto" w:sz="4" w:space="0"/>
              <w:left w:val="single" w:color="auto" w:sz="4" w:space="0"/>
              <w:bottom w:val="single" w:color="auto" w:sz="4" w:space="0"/>
              <w:right w:val="single" w:color="auto" w:sz="4" w:space="0"/>
            </w:tcBorders>
            <w:vAlign w:val="center"/>
          </w:tcPr>
          <w:p w14:paraId="3BFE2BE3">
            <w:pPr>
              <w:pStyle w:val="32"/>
              <w:spacing w:beforeAutospacing="0" w:afterAutospacing="0" w:line="360" w:lineRule="auto"/>
              <w:jc w:val="center"/>
            </w:pPr>
            <w:r>
              <w:rPr>
                <w:rFonts w:hint="eastAsia" w:ascii="宋体" w:hAnsi="宋体" w:eastAsia="宋体" w:cs="宋体"/>
                <w:color w:val="000000"/>
              </w:rPr>
              <w:t>投标响应情况</w:t>
            </w:r>
          </w:p>
        </w:tc>
        <w:tc>
          <w:tcPr>
            <w:tcW w:w="1247" w:type="dxa"/>
            <w:tcBorders>
              <w:top w:val="single" w:color="auto" w:sz="4" w:space="0"/>
              <w:left w:val="single" w:color="auto" w:sz="4" w:space="0"/>
              <w:bottom w:val="single" w:color="auto" w:sz="4" w:space="0"/>
              <w:right w:val="single" w:color="auto" w:sz="4" w:space="0"/>
            </w:tcBorders>
            <w:vAlign w:val="center"/>
          </w:tcPr>
          <w:p w14:paraId="77942CEB">
            <w:pPr>
              <w:pStyle w:val="32"/>
              <w:spacing w:beforeAutospacing="0" w:afterAutospacing="0" w:line="360" w:lineRule="auto"/>
              <w:jc w:val="center"/>
            </w:pPr>
            <w:r>
              <w:rPr>
                <w:rFonts w:hint="eastAsia" w:ascii="宋体" w:hAnsi="宋体" w:eastAsia="宋体" w:cs="宋体"/>
                <w:color w:val="000000"/>
              </w:rPr>
              <w:t>超出、符合或偏离</w:t>
            </w:r>
          </w:p>
        </w:tc>
        <w:tc>
          <w:tcPr>
            <w:tcW w:w="1101" w:type="dxa"/>
            <w:tcBorders>
              <w:top w:val="single" w:color="auto" w:sz="4" w:space="0"/>
              <w:left w:val="single" w:color="auto" w:sz="4" w:space="0"/>
              <w:bottom w:val="single" w:color="auto" w:sz="4" w:space="0"/>
              <w:right w:val="single" w:color="auto" w:sz="4" w:space="0"/>
            </w:tcBorders>
            <w:vAlign w:val="center"/>
          </w:tcPr>
          <w:p w14:paraId="01F9DC99">
            <w:pPr>
              <w:pStyle w:val="32"/>
              <w:spacing w:beforeAutospacing="0" w:afterAutospacing="0" w:line="360" w:lineRule="auto"/>
              <w:jc w:val="center"/>
            </w:pPr>
            <w:r>
              <w:rPr>
                <w:rFonts w:hint="eastAsia" w:ascii="宋体" w:hAnsi="宋体" w:eastAsia="宋体" w:cs="宋体"/>
                <w:color w:val="000000"/>
              </w:rPr>
              <w:t>证明</w:t>
            </w:r>
          </w:p>
          <w:p w14:paraId="22C02D45">
            <w:pPr>
              <w:pStyle w:val="32"/>
              <w:spacing w:beforeAutospacing="0" w:afterAutospacing="0" w:line="360" w:lineRule="auto"/>
              <w:jc w:val="center"/>
            </w:pPr>
            <w:r>
              <w:rPr>
                <w:rFonts w:hint="eastAsia" w:ascii="宋体" w:hAnsi="宋体" w:eastAsia="宋体" w:cs="宋体"/>
                <w:color w:val="000000"/>
              </w:rPr>
              <w:t>材料</w:t>
            </w:r>
          </w:p>
        </w:tc>
      </w:tr>
      <w:tr w14:paraId="7DDA3339">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79D65C53">
            <w:pPr>
              <w:jc w:val="center"/>
            </w:pPr>
            <w:r>
              <w:rPr>
                <w:rFonts w:ascii="宋体" w:hAnsi="宋体" w:eastAsia="宋体"/>
                <w:sz w:val="21"/>
              </w:rPr>
              <w:t>1</w:t>
            </w:r>
          </w:p>
        </w:tc>
        <w:tc>
          <w:tcPr>
            <w:tcW w:w="3026" w:type="dxa"/>
            <w:tcBorders>
              <w:top w:val="single" w:color="auto" w:sz="4" w:space="0"/>
              <w:left w:val="single" w:color="auto" w:sz="4" w:space="0"/>
              <w:bottom w:val="single" w:color="auto" w:sz="4" w:space="0"/>
              <w:right w:val="single" w:color="auto" w:sz="4" w:space="0"/>
            </w:tcBorders>
            <w:vAlign w:val="center"/>
          </w:tcPr>
          <w:p w14:paraId="468376C0">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476F6413">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495B0F5F">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4DB78EA3">
            <w:pPr>
              <w:jc w:val="center"/>
            </w:pPr>
          </w:p>
        </w:tc>
      </w:tr>
      <w:tr w14:paraId="1BBDF2CA">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1F96C37D">
            <w:pPr>
              <w:jc w:val="center"/>
            </w:pPr>
            <w:r>
              <w:rPr>
                <w:rFonts w:ascii="宋体" w:hAnsi="宋体" w:eastAsia="宋体"/>
                <w:sz w:val="21"/>
              </w:rPr>
              <w:t>2</w:t>
            </w:r>
          </w:p>
        </w:tc>
        <w:tc>
          <w:tcPr>
            <w:tcW w:w="3026" w:type="dxa"/>
            <w:tcBorders>
              <w:top w:val="single" w:color="auto" w:sz="4" w:space="0"/>
              <w:left w:val="single" w:color="auto" w:sz="4" w:space="0"/>
              <w:bottom w:val="single" w:color="auto" w:sz="4" w:space="0"/>
              <w:right w:val="single" w:color="auto" w:sz="4" w:space="0"/>
            </w:tcBorders>
            <w:vAlign w:val="center"/>
          </w:tcPr>
          <w:p w14:paraId="5C652CC7">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093933A8">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46BF5F3E">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0CFE5A26">
            <w:pPr>
              <w:jc w:val="center"/>
            </w:pPr>
          </w:p>
        </w:tc>
      </w:tr>
      <w:tr w14:paraId="314136D3">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4696EA50">
            <w:pPr>
              <w:jc w:val="center"/>
            </w:pPr>
            <w:r>
              <w:rPr>
                <w:rFonts w:ascii="宋体" w:hAnsi="宋体" w:eastAsia="宋体"/>
                <w:sz w:val="21"/>
              </w:rPr>
              <w:t>3</w:t>
            </w:r>
          </w:p>
        </w:tc>
        <w:tc>
          <w:tcPr>
            <w:tcW w:w="3026" w:type="dxa"/>
            <w:tcBorders>
              <w:top w:val="single" w:color="auto" w:sz="4" w:space="0"/>
              <w:left w:val="single" w:color="auto" w:sz="4" w:space="0"/>
              <w:bottom w:val="single" w:color="auto" w:sz="4" w:space="0"/>
              <w:right w:val="single" w:color="auto" w:sz="4" w:space="0"/>
            </w:tcBorders>
            <w:vAlign w:val="center"/>
          </w:tcPr>
          <w:p w14:paraId="311CDB09">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409BEB46">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0BEA79F3">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317E2EBF">
            <w:pPr>
              <w:jc w:val="center"/>
            </w:pPr>
          </w:p>
        </w:tc>
      </w:tr>
      <w:tr w14:paraId="31C9967F">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171DAC42">
            <w:pPr>
              <w:jc w:val="center"/>
            </w:pPr>
            <w:r>
              <w:rPr>
                <w:rFonts w:ascii="宋体" w:hAnsi="宋体" w:eastAsia="宋体"/>
                <w:sz w:val="21"/>
              </w:rPr>
              <w:t>4</w:t>
            </w:r>
          </w:p>
        </w:tc>
        <w:tc>
          <w:tcPr>
            <w:tcW w:w="3026" w:type="dxa"/>
            <w:tcBorders>
              <w:top w:val="single" w:color="auto" w:sz="4" w:space="0"/>
              <w:left w:val="single" w:color="auto" w:sz="4" w:space="0"/>
              <w:bottom w:val="single" w:color="auto" w:sz="4" w:space="0"/>
              <w:right w:val="single" w:color="auto" w:sz="4" w:space="0"/>
            </w:tcBorders>
            <w:vAlign w:val="center"/>
          </w:tcPr>
          <w:p w14:paraId="3F321B28">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01B0FD09">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74F1945C">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0B2D51FE">
            <w:pPr>
              <w:jc w:val="center"/>
            </w:pPr>
          </w:p>
        </w:tc>
      </w:tr>
      <w:tr w14:paraId="690AE059">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3D5CD000">
            <w:pPr>
              <w:jc w:val="center"/>
            </w:pPr>
            <w:r>
              <w:rPr>
                <w:rFonts w:ascii="宋体" w:hAnsi="宋体" w:eastAsia="宋体"/>
                <w:sz w:val="21"/>
              </w:rPr>
              <w:t>5</w:t>
            </w:r>
          </w:p>
        </w:tc>
        <w:tc>
          <w:tcPr>
            <w:tcW w:w="3026" w:type="dxa"/>
            <w:tcBorders>
              <w:top w:val="single" w:color="auto" w:sz="4" w:space="0"/>
              <w:left w:val="single" w:color="auto" w:sz="4" w:space="0"/>
              <w:bottom w:val="single" w:color="auto" w:sz="4" w:space="0"/>
              <w:right w:val="single" w:color="auto" w:sz="4" w:space="0"/>
            </w:tcBorders>
            <w:vAlign w:val="center"/>
          </w:tcPr>
          <w:p w14:paraId="73BF206A">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135F90A9">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54643656">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6A1DA092">
            <w:pPr>
              <w:jc w:val="center"/>
            </w:pPr>
          </w:p>
        </w:tc>
      </w:tr>
      <w:tr w14:paraId="1D38AB41">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05E00D33">
            <w:pPr>
              <w:jc w:val="center"/>
            </w:pPr>
            <w:r>
              <w:rPr>
                <w:rFonts w:ascii="宋体" w:hAnsi="宋体" w:eastAsia="宋体"/>
                <w:sz w:val="21"/>
              </w:rPr>
              <w:t>6</w:t>
            </w:r>
          </w:p>
        </w:tc>
        <w:tc>
          <w:tcPr>
            <w:tcW w:w="3026" w:type="dxa"/>
            <w:tcBorders>
              <w:top w:val="single" w:color="auto" w:sz="4" w:space="0"/>
              <w:left w:val="single" w:color="auto" w:sz="4" w:space="0"/>
              <w:bottom w:val="single" w:color="auto" w:sz="4" w:space="0"/>
              <w:right w:val="single" w:color="auto" w:sz="4" w:space="0"/>
            </w:tcBorders>
            <w:vAlign w:val="center"/>
          </w:tcPr>
          <w:p w14:paraId="2C1FC7FD">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1E736FF8">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40BF2322">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6AB129D2">
            <w:pPr>
              <w:jc w:val="center"/>
            </w:pPr>
          </w:p>
        </w:tc>
      </w:tr>
      <w:tr w14:paraId="7206A54C">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1232114C">
            <w:pPr>
              <w:jc w:val="center"/>
            </w:pPr>
            <w:r>
              <w:rPr>
                <w:rFonts w:ascii="宋体" w:hAnsi="宋体" w:eastAsia="宋体"/>
                <w:sz w:val="21"/>
              </w:rPr>
              <w:t>7</w:t>
            </w:r>
          </w:p>
        </w:tc>
        <w:tc>
          <w:tcPr>
            <w:tcW w:w="3026" w:type="dxa"/>
            <w:tcBorders>
              <w:top w:val="single" w:color="auto" w:sz="4" w:space="0"/>
              <w:left w:val="single" w:color="auto" w:sz="4" w:space="0"/>
              <w:bottom w:val="single" w:color="auto" w:sz="4" w:space="0"/>
              <w:right w:val="single" w:color="auto" w:sz="4" w:space="0"/>
            </w:tcBorders>
            <w:vAlign w:val="center"/>
          </w:tcPr>
          <w:p w14:paraId="0554C187">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7F3F0ADD">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56F4873F">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32BE5E5C">
            <w:pPr>
              <w:jc w:val="center"/>
            </w:pPr>
          </w:p>
        </w:tc>
      </w:tr>
      <w:tr w14:paraId="4A20E50D">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0D7851E7">
            <w:pPr>
              <w:jc w:val="center"/>
            </w:pPr>
            <w:r>
              <w:rPr>
                <w:rFonts w:ascii="宋体" w:hAnsi="宋体" w:eastAsia="宋体"/>
                <w:sz w:val="21"/>
              </w:rPr>
              <w:t>8</w:t>
            </w:r>
          </w:p>
        </w:tc>
        <w:tc>
          <w:tcPr>
            <w:tcW w:w="3026" w:type="dxa"/>
            <w:tcBorders>
              <w:top w:val="single" w:color="auto" w:sz="4" w:space="0"/>
              <w:left w:val="single" w:color="auto" w:sz="4" w:space="0"/>
              <w:bottom w:val="single" w:color="auto" w:sz="4" w:space="0"/>
              <w:right w:val="single" w:color="auto" w:sz="4" w:space="0"/>
            </w:tcBorders>
            <w:vAlign w:val="center"/>
          </w:tcPr>
          <w:p w14:paraId="79A98D40">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36C477A9">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516D7634">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53CEA84A">
            <w:pPr>
              <w:jc w:val="center"/>
            </w:pPr>
          </w:p>
        </w:tc>
      </w:tr>
      <w:tr w14:paraId="139C594F">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545477DB">
            <w:pPr>
              <w:jc w:val="center"/>
            </w:pPr>
            <w:r>
              <w:rPr>
                <w:rFonts w:ascii="宋体" w:hAnsi="宋体" w:eastAsia="宋体"/>
                <w:sz w:val="21"/>
              </w:rPr>
              <w:t>9</w:t>
            </w:r>
          </w:p>
        </w:tc>
        <w:tc>
          <w:tcPr>
            <w:tcW w:w="3026" w:type="dxa"/>
            <w:tcBorders>
              <w:top w:val="single" w:color="auto" w:sz="4" w:space="0"/>
              <w:left w:val="single" w:color="auto" w:sz="4" w:space="0"/>
              <w:bottom w:val="single" w:color="auto" w:sz="4" w:space="0"/>
              <w:right w:val="single" w:color="auto" w:sz="4" w:space="0"/>
            </w:tcBorders>
            <w:vAlign w:val="center"/>
          </w:tcPr>
          <w:p w14:paraId="320B76D1">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119A03B9">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2C3329CE">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46049F6D">
            <w:pPr>
              <w:jc w:val="center"/>
            </w:pPr>
          </w:p>
        </w:tc>
      </w:tr>
      <w:tr w14:paraId="2C8C6336">
        <w:tblPrEx>
          <w:tblCellMar>
            <w:top w:w="0" w:type="dxa"/>
            <w:left w:w="108" w:type="dxa"/>
            <w:bottom w:w="0" w:type="dxa"/>
            <w:right w:w="108" w:type="dxa"/>
          </w:tblCellMar>
        </w:tblPrEx>
        <w:trPr>
          <w:trHeight w:val="794" w:hRule="atLeast"/>
          <w:tblCellSpacing w:w="0" w:type="dxa"/>
        </w:trPr>
        <w:tc>
          <w:tcPr>
            <w:tcW w:w="538" w:type="dxa"/>
            <w:tcBorders>
              <w:top w:val="single" w:color="auto" w:sz="4" w:space="0"/>
              <w:left w:val="single" w:color="auto" w:sz="4" w:space="0"/>
              <w:bottom w:val="single" w:color="auto" w:sz="4" w:space="0"/>
              <w:right w:val="single" w:color="auto" w:sz="4" w:space="0"/>
            </w:tcBorders>
            <w:vAlign w:val="center"/>
          </w:tcPr>
          <w:p w14:paraId="1CC297DE">
            <w:pPr>
              <w:jc w:val="center"/>
            </w:pPr>
            <w:r>
              <w:rPr>
                <w:rFonts w:ascii="宋体" w:hAnsi="宋体" w:eastAsia="宋体"/>
                <w:sz w:val="21"/>
              </w:rPr>
              <w:t>10</w:t>
            </w:r>
          </w:p>
        </w:tc>
        <w:tc>
          <w:tcPr>
            <w:tcW w:w="3026" w:type="dxa"/>
            <w:tcBorders>
              <w:top w:val="single" w:color="auto" w:sz="4" w:space="0"/>
              <w:left w:val="single" w:color="auto" w:sz="4" w:space="0"/>
              <w:bottom w:val="single" w:color="auto" w:sz="4" w:space="0"/>
              <w:right w:val="single" w:color="auto" w:sz="4" w:space="0"/>
            </w:tcBorders>
            <w:vAlign w:val="center"/>
          </w:tcPr>
          <w:p w14:paraId="5A855B8A">
            <w:pPr>
              <w:jc w:val="center"/>
            </w:pPr>
          </w:p>
        </w:tc>
        <w:tc>
          <w:tcPr>
            <w:tcW w:w="2608" w:type="dxa"/>
            <w:tcBorders>
              <w:top w:val="single" w:color="auto" w:sz="4" w:space="0"/>
              <w:left w:val="single" w:color="auto" w:sz="4" w:space="0"/>
              <w:bottom w:val="single" w:color="auto" w:sz="4" w:space="0"/>
              <w:right w:val="single" w:color="auto" w:sz="4" w:space="0"/>
            </w:tcBorders>
            <w:vAlign w:val="center"/>
          </w:tcPr>
          <w:p w14:paraId="0C80958C">
            <w:pPr>
              <w:jc w:val="center"/>
            </w:pPr>
          </w:p>
        </w:tc>
        <w:tc>
          <w:tcPr>
            <w:tcW w:w="1247" w:type="dxa"/>
            <w:tcBorders>
              <w:top w:val="single" w:color="auto" w:sz="4" w:space="0"/>
              <w:left w:val="single" w:color="auto" w:sz="4" w:space="0"/>
              <w:bottom w:val="single" w:color="auto" w:sz="4" w:space="0"/>
              <w:right w:val="single" w:color="auto" w:sz="4" w:space="0"/>
            </w:tcBorders>
            <w:vAlign w:val="center"/>
          </w:tcPr>
          <w:p w14:paraId="0AAD19AA">
            <w:pPr>
              <w:jc w:val="center"/>
            </w:pPr>
          </w:p>
        </w:tc>
        <w:tc>
          <w:tcPr>
            <w:tcW w:w="1101" w:type="dxa"/>
            <w:tcBorders>
              <w:top w:val="single" w:color="auto" w:sz="4" w:space="0"/>
              <w:left w:val="single" w:color="auto" w:sz="4" w:space="0"/>
              <w:bottom w:val="single" w:color="auto" w:sz="4" w:space="0"/>
              <w:right w:val="single" w:color="auto" w:sz="4" w:space="0"/>
            </w:tcBorders>
            <w:vAlign w:val="center"/>
          </w:tcPr>
          <w:p w14:paraId="52272903">
            <w:pPr>
              <w:jc w:val="center"/>
            </w:pPr>
          </w:p>
        </w:tc>
      </w:tr>
    </w:tbl>
    <w:p w14:paraId="459697F3">
      <w:pPr>
        <w:pStyle w:val="32"/>
        <w:spacing w:beforeAutospacing="0" w:afterAutospacing="0" w:line="360" w:lineRule="auto"/>
        <w:jc w:val="both"/>
      </w:pPr>
      <w:r>
        <w:rPr>
          <w:rFonts w:hint="eastAsia" w:ascii="宋体" w:hAnsi="宋体" w:eastAsia="宋体" w:cs="宋体"/>
          <w:color w:val="000000"/>
        </w:rPr>
        <w:t>注：行数不够，可自行添加。</w:t>
      </w:r>
    </w:p>
    <w:p w14:paraId="19F79D31">
      <w:pPr>
        <w:pStyle w:val="32"/>
        <w:spacing w:beforeAutospacing="0" w:afterAutospacing="0" w:line="360" w:lineRule="auto"/>
        <w:jc w:val="center"/>
      </w:pPr>
      <w:r>
        <w:t> </w:t>
      </w:r>
    </w:p>
    <w:p w14:paraId="4ACCF87B">
      <w:pPr>
        <w:pStyle w:val="32"/>
        <w:spacing w:beforeAutospacing="0" w:afterAutospacing="0" w:line="360" w:lineRule="auto"/>
        <w:jc w:val="center"/>
      </w:pPr>
      <w:r>
        <w:t> </w:t>
      </w:r>
    </w:p>
    <w:p w14:paraId="29427955">
      <w:pPr>
        <w:pStyle w:val="32"/>
        <w:spacing w:beforeAutospacing="0" w:afterAutospacing="0" w:line="360" w:lineRule="auto"/>
        <w:jc w:val="center"/>
      </w:pPr>
      <w:r>
        <w:t> </w:t>
      </w:r>
    </w:p>
    <w:p w14:paraId="3A750031">
      <w:pPr>
        <w:pStyle w:val="32"/>
        <w:spacing w:beforeAutospacing="0" w:afterAutospacing="0" w:line="360" w:lineRule="auto"/>
        <w:jc w:val="center"/>
      </w:pPr>
      <w:r>
        <w:t> </w:t>
      </w:r>
    </w:p>
    <w:p w14:paraId="7D0D4696">
      <w:pPr>
        <w:pStyle w:val="32"/>
        <w:spacing w:beforeAutospacing="0" w:afterAutospacing="0" w:line="360" w:lineRule="auto"/>
        <w:jc w:val="both"/>
      </w:pPr>
      <w:r>
        <w:t> </w:t>
      </w:r>
    </w:p>
    <w:p w14:paraId="119B8EB7">
      <w:pPr>
        <w:pStyle w:val="32"/>
        <w:spacing w:beforeAutospacing="0" w:afterAutospacing="0" w:line="360" w:lineRule="auto"/>
        <w:jc w:val="both"/>
      </w:pPr>
      <w:r>
        <w:t> </w:t>
      </w:r>
    </w:p>
    <w:p w14:paraId="34EC951D">
      <w:pPr>
        <w:pStyle w:val="32"/>
        <w:spacing w:beforeAutospacing="0" w:afterAutospacing="0" w:line="360" w:lineRule="auto"/>
        <w:jc w:val="both"/>
      </w:pPr>
      <w:r>
        <w:t> </w:t>
      </w:r>
    </w:p>
    <w:p w14:paraId="56AECC79">
      <w:pPr>
        <w:pStyle w:val="32"/>
        <w:spacing w:beforeAutospacing="0" w:afterAutospacing="0" w:line="360" w:lineRule="auto"/>
        <w:jc w:val="center"/>
      </w:pPr>
      <w:bookmarkStart w:id="189" w:name="_Hlt26955054"/>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四</w:t>
      </w:r>
      <w:r>
        <w:rPr>
          <w:rFonts w:hint="eastAsia" w:ascii="黑体" w:hAnsi="宋体" w:eastAsia="黑体" w:cs="黑体"/>
          <w:b/>
          <w:color w:val="000000"/>
          <w:sz w:val="32"/>
          <w:szCs w:val="32"/>
        </w:rPr>
        <w:t>、商务要求响应及偏离表</w:t>
      </w:r>
    </w:p>
    <w:tbl>
      <w:tblPr>
        <w:tblStyle w:val="37"/>
        <w:tblW w:w="8747" w:type="dxa"/>
        <w:tblCellSpacing w:w="0" w:type="dxa"/>
        <w:tblInd w:w="11" w:type="dxa"/>
        <w:tblLayout w:type="fixed"/>
        <w:tblCellMar>
          <w:top w:w="0" w:type="dxa"/>
          <w:left w:w="108" w:type="dxa"/>
          <w:bottom w:w="0" w:type="dxa"/>
          <w:right w:w="108" w:type="dxa"/>
        </w:tblCellMar>
      </w:tblPr>
      <w:tblGrid>
        <w:gridCol w:w="661"/>
        <w:gridCol w:w="3140"/>
        <w:gridCol w:w="2201"/>
        <w:gridCol w:w="1244"/>
        <w:gridCol w:w="1501"/>
      </w:tblGrid>
      <w:tr w14:paraId="5F3FECDB">
        <w:tblPrEx>
          <w:tblCellMar>
            <w:top w:w="0" w:type="dxa"/>
            <w:left w:w="108" w:type="dxa"/>
            <w:bottom w:w="0" w:type="dxa"/>
            <w:right w:w="108" w:type="dxa"/>
          </w:tblCellMar>
        </w:tblPrEx>
        <w:trPr>
          <w:trHeight w:val="794" w:hRule="atLeast"/>
          <w:tblCellSpacing w:w="0" w:type="dxa"/>
        </w:trPr>
        <w:tc>
          <w:tcPr>
            <w:tcW w:w="661" w:type="dxa"/>
            <w:tcBorders>
              <w:top w:val="single" w:color="000000" w:sz="4" w:space="0"/>
              <w:left w:val="single" w:color="000000" w:sz="4" w:space="0"/>
              <w:bottom w:val="single" w:color="000000" w:sz="4" w:space="0"/>
              <w:right w:val="single" w:color="000000" w:sz="4" w:space="0"/>
            </w:tcBorders>
            <w:vAlign w:val="center"/>
          </w:tcPr>
          <w:p w14:paraId="623455ED">
            <w:pPr>
              <w:pStyle w:val="32"/>
              <w:spacing w:beforeAutospacing="0" w:afterAutospacing="0" w:line="360" w:lineRule="auto"/>
              <w:jc w:val="center"/>
            </w:pPr>
            <w:bookmarkStart w:id="190" w:name="_Hlt24879081"/>
            <w:bookmarkStart w:id="191" w:name="_Hlt26955056"/>
            <w:bookmarkStart w:id="192" w:name="_Hlt26955064"/>
            <w:bookmarkStart w:id="193" w:name="_Hlt26782999"/>
            <w:bookmarkStart w:id="194" w:name="_Hlt26580838"/>
            <w:bookmarkStart w:id="195" w:name="_Hlt26671372"/>
            <w:bookmarkStart w:id="196" w:name="_Hlt26609391"/>
            <w:bookmarkStart w:id="197" w:name="_Hlt26671343"/>
            <w:r>
              <w:rPr>
                <w:rFonts w:hint="eastAsia" w:ascii="宋体" w:hAnsi="宋体" w:eastAsia="宋体" w:cs="宋体"/>
                <w:color w:val="000000"/>
              </w:rPr>
              <w:t>序号</w:t>
            </w:r>
            <w:bookmarkEnd w:id="190"/>
            <w:bookmarkEnd w:id="191"/>
            <w:bookmarkEnd w:id="192"/>
            <w:bookmarkEnd w:id="193"/>
            <w:bookmarkEnd w:id="194"/>
            <w:bookmarkEnd w:id="195"/>
            <w:bookmarkEnd w:id="196"/>
            <w:bookmarkEnd w:id="197"/>
          </w:p>
        </w:tc>
        <w:tc>
          <w:tcPr>
            <w:tcW w:w="3140" w:type="dxa"/>
            <w:tcBorders>
              <w:top w:val="single" w:color="000000" w:sz="4" w:space="0"/>
              <w:left w:val="single" w:color="000000" w:sz="4" w:space="0"/>
              <w:bottom w:val="single" w:color="000000" w:sz="4" w:space="0"/>
              <w:right w:val="single" w:color="000000" w:sz="4" w:space="0"/>
            </w:tcBorders>
            <w:vAlign w:val="center"/>
          </w:tcPr>
          <w:p w14:paraId="28DD311C">
            <w:pPr>
              <w:pStyle w:val="32"/>
              <w:spacing w:beforeAutospacing="0" w:afterAutospacing="0" w:line="360" w:lineRule="auto"/>
              <w:jc w:val="center"/>
            </w:pPr>
            <w:r>
              <w:rPr>
                <w:rFonts w:hint="eastAsia" w:ascii="宋体" w:hAnsi="宋体" w:eastAsia="宋体" w:cs="宋体"/>
                <w:color w:val="000000"/>
              </w:rPr>
              <w:t>招标文件要求</w:t>
            </w:r>
          </w:p>
        </w:tc>
        <w:tc>
          <w:tcPr>
            <w:tcW w:w="2201" w:type="dxa"/>
            <w:tcBorders>
              <w:top w:val="single" w:color="000000" w:sz="4" w:space="0"/>
              <w:left w:val="single" w:color="000000" w:sz="4" w:space="0"/>
              <w:bottom w:val="single" w:color="000000" w:sz="4" w:space="0"/>
              <w:right w:val="single" w:color="000000" w:sz="4" w:space="0"/>
            </w:tcBorders>
            <w:vAlign w:val="center"/>
          </w:tcPr>
          <w:p w14:paraId="1EC83463">
            <w:pPr>
              <w:pStyle w:val="32"/>
              <w:spacing w:beforeAutospacing="0" w:afterAutospacing="0" w:line="360" w:lineRule="auto"/>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vAlign w:val="center"/>
          </w:tcPr>
          <w:p w14:paraId="182A69A1">
            <w:pPr>
              <w:pStyle w:val="32"/>
              <w:spacing w:beforeAutospacing="0" w:afterAutospacing="0" w:line="360" w:lineRule="auto"/>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vAlign w:val="center"/>
          </w:tcPr>
          <w:p w14:paraId="55F4E777">
            <w:pPr>
              <w:pStyle w:val="32"/>
              <w:spacing w:beforeAutospacing="0" w:afterAutospacing="0" w:line="360" w:lineRule="auto"/>
              <w:jc w:val="center"/>
            </w:pPr>
            <w:r>
              <w:rPr>
                <w:rFonts w:hint="eastAsia" w:ascii="宋体" w:hAnsi="宋体" w:eastAsia="宋体" w:cs="宋体"/>
                <w:color w:val="000000"/>
              </w:rPr>
              <w:t>证明</w:t>
            </w:r>
          </w:p>
          <w:p w14:paraId="76455576">
            <w:pPr>
              <w:pStyle w:val="32"/>
              <w:spacing w:beforeAutospacing="0" w:afterAutospacing="0" w:line="360" w:lineRule="auto"/>
              <w:jc w:val="center"/>
            </w:pPr>
            <w:r>
              <w:rPr>
                <w:rFonts w:hint="eastAsia" w:ascii="宋体" w:hAnsi="宋体" w:eastAsia="宋体" w:cs="宋体"/>
                <w:color w:val="000000"/>
              </w:rPr>
              <w:t>材料</w:t>
            </w:r>
          </w:p>
        </w:tc>
      </w:tr>
      <w:tr w14:paraId="156998FA">
        <w:tblPrEx>
          <w:tblCellMar>
            <w:top w:w="0" w:type="dxa"/>
            <w:left w:w="108" w:type="dxa"/>
            <w:bottom w:w="0" w:type="dxa"/>
            <w:right w:w="108" w:type="dxa"/>
          </w:tblCellMar>
        </w:tblPrEx>
        <w:trPr>
          <w:trHeight w:val="394" w:hRule="atLeast"/>
          <w:tblCellSpacing w:w="0" w:type="dxa"/>
        </w:trPr>
        <w:tc>
          <w:tcPr>
            <w:tcW w:w="661" w:type="dxa"/>
            <w:tcBorders>
              <w:top w:val="single" w:color="auto" w:sz="4" w:space="0"/>
              <w:left w:val="single" w:color="auto" w:sz="4" w:space="0"/>
              <w:bottom w:val="single" w:color="auto" w:sz="4" w:space="0"/>
              <w:right w:val="single" w:color="auto" w:sz="4" w:space="0"/>
            </w:tcBorders>
            <w:vAlign w:val="center"/>
          </w:tcPr>
          <w:p w14:paraId="4B916F5B">
            <w:pPr>
              <w:jc w:val="both"/>
            </w:pPr>
            <w:r>
              <w:rPr>
                <w:rFonts w:ascii="宋体" w:hAnsi="宋体" w:eastAsia="宋体"/>
                <w:sz w:val="21"/>
              </w:rPr>
              <w:t>1</w:t>
            </w:r>
          </w:p>
        </w:tc>
        <w:tc>
          <w:tcPr>
            <w:tcW w:w="3140" w:type="dxa"/>
            <w:tcBorders>
              <w:top w:val="single" w:color="auto" w:sz="4" w:space="0"/>
              <w:left w:val="single" w:color="auto" w:sz="4" w:space="0"/>
              <w:bottom w:val="single" w:color="auto" w:sz="4" w:space="0"/>
              <w:right w:val="single" w:color="auto" w:sz="4" w:space="0"/>
            </w:tcBorders>
            <w:vAlign w:val="center"/>
          </w:tcPr>
          <w:p w14:paraId="17F95EC7">
            <w:pPr>
              <w:jc w:val="both"/>
            </w:pPr>
            <w:r>
              <w:rPr>
                <w:rFonts w:ascii="宋体" w:hAnsi="宋体" w:eastAsia="宋体"/>
                <w:sz w:val="21"/>
              </w:rPr>
              <w:t>最高限价：700万元</w:t>
            </w:r>
          </w:p>
        </w:tc>
        <w:tc>
          <w:tcPr>
            <w:tcW w:w="2201" w:type="dxa"/>
            <w:tcBorders>
              <w:top w:val="single" w:color="auto" w:sz="4" w:space="0"/>
              <w:left w:val="single" w:color="auto" w:sz="4" w:space="0"/>
              <w:bottom w:val="single" w:color="auto" w:sz="4" w:space="0"/>
              <w:right w:val="single" w:color="auto" w:sz="4" w:space="0"/>
            </w:tcBorders>
          </w:tcPr>
          <w:p w14:paraId="65016D57"/>
        </w:tc>
        <w:tc>
          <w:tcPr>
            <w:tcW w:w="1244" w:type="dxa"/>
            <w:tcBorders>
              <w:top w:val="single" w:color="auto" w:sz="4" w:space="0"/>
              <w:left w:val="single" w:color="auto" w:sz="4" w:space="0"/>
              <w:bottom w:val="single" w:color="auto" w:sz="4" w:space="0"/>
              <w:right w:val="single" w:color="auto" w:sz="4" w:space="0"/>
            </w:tcBorders>
          </w:tcPr>
          <w:p w14:paraId="0C7ECBE3"/>
        </w:tc>
        <w:tc>
          <w:tcPr>
            <w:tcW w:w="1501" w:type="dxa"/>
            <w:tcBorders>
              <w:top w:val="single" w:color="auto" w:sz="4" w:space="0"/>
              <w:left w:val="single" w:color="auto" w:sz="4" w:space="0"/>
              <w:bottom w:val="single" w:color="auto" w:sz="4" w:space="0"/>
              <w:right w:val="single" w:color="auto" w:sz="4" w:space="0"/>
            </w:tcBorders>
          </w:tcPr>
          <w:p w14:paraId="235FCA73"/>
        </w:tc>
      </w:tr>
      <w:tr w14:paraId="0EE37A90">
        <w:tblPrEx>
          <w:tblCellMar>
            <w:top w:w="0" w:type="dxa"/>
            <w:left w:w="108" w:type="dxa"/>
            <w:bottom w:w="0" w:type="dxa"/>
            <w:right w:w="108" w:type="dxa"/>
          </w:tblCellMar>
        </w:tblPrEx>
        <w:trPr>
          <w:trHeight w:val="794" w:hRule="atLeast"/>
          <w:tblCellSpacing w:w="0" w:type="dxa"/>
        </w:trPr>
        <w:tc>
          <w:tcPr>
            <w:tcW w:w="661" w:type="dxa"/>
            <w:tcBorders>
              <w:top w:val="single" w:color="auto" w:sz="4" w:space="0"/>
              <w:left w:val="single" w:color="auto" w:sz="4" w:space="0"/>
              <w:bottom w:val="single" w:color="auto" w:sz="4" w:space="0"/>
              <w:right w:val="single" w:color="auto" w:sz="4" w:space="0"/>
            </w:tcBorders>
            <w:vAlign w:val="center"/>
          </w:tcPr>
          <w:p w14:paraId="264B0769">
            <w:pPr>
              <w:jc w:val="both"/>
            </w:pPr>
            <w:r>
              <w:rPr>
                <w:rFonts w:ascii="宋体" w:hAnsi="宋体" w:eastAsia="宋体"/>
                <w:sz w:val="21"/>
              </w:rPr>
              <w:t>2</w:t>
            </w:r>
          </w:p>
        </w:tc>
        <w:tc>
          <w:tcPr>
            <w:tcW w:w="3140" w:type="dxa"/>
            <w:tcBorders>
              <w:top w:val="single" w:color="auto" w:sz="4" w:space="0"/>
              <w:left w:val="single" w:color="auto" w:sz="4" w:space="0"/>
              <w:bottom w:val="single" w:color="auto" w:sz="4" w:space="0"/>
              <w:right w:val="single" w:color="auto" w:sz="4" w:space="0"/>
            </w:tcBorders>
            <w:vAlign w:val="center"/>
          </w:tcPr>
          <w:p w14:paraId="72DA221A">
            <w:pPr>
              <w:jc w:val="both"/>
            </w:pPr>
            <w:r>
              <w:rPr>
                <w:rFonts w:ascii="宋体" w:hAnsi="宋体" w:eastAsia="宋体"/>
                <w:sz w:val="21"/>
              </w:rPr>
              <w:t>合同履行期限：14个月（试用期2个月+服务期12个月）</w:t>
            </w:r>
          </w:p>
        </w:tc>
        <w:tc>
          <w:tcPr>
            <w:tcW w:w="2201" w:type="dxa"/>
            <w:tcBorders>
              <w:top w:val="single" w:color="auto" w:sz="4" w:space="0"/>
              <w:left w:val="single" w:color="auto" w:sz="4" w:space="0"/>
              <w:bottom w:val="single" w:color="auto" w:sz="4" w:space="0"/>
              <w:right w:val="single" w:color="auto" w:sz="4" w:space="0"/>
            </w:tcBorders>
          </w:tcPr>
          <w:p w14:paraId="7E1BEA8A"/>
        </w:tc>
        <w:tc>
          <w:tcPr>
            <w:tcW w:w="1244" w:type="dxa"/>
            <w:tcBorders>
              <w:top w:val="single" w:color="auto" w:sz="4" w:space="0"/>
              <w:left w:val="single" w:color="auto" w:sz="4" w:space="0"/>
              <w:bottom w:val="single" w:color="auto" w:sz="4" w:space="0"/>
              <w:right w:val="single" w:color="auto" w:sz="4" w:space="0"/>
            </w:tcBorders>
          </w:tcPr>
          <w:p w14:paraId="7972D1E4"/>
        </w:tc>
        <w:tc>
          <w:tcPr>
            <w:tcW w:w="1501" w:type="dxa"/>
            <w:tcBorders>
              <w:top w:val="single" w:color="auto" w:sz="4" w:space="0"/>
              <w:left w:val="single" w:color="auto" w:sz="4" w:space="0"/>
              <w:bottom w:val="single" w:color="auto" w:sz="4" w:space="0"/>
              <w:right w:val="single" w:color="auto" w:sz="4" w:space="0"/>
            </w:tcBorders>
          </w:tcPr>
          <w:p w14:paraId="33B5D1C2"/>
        </w:tc>
      </w:tr>
      <w:tr w14:paraId="6B27B19E">
        <w:tblPrEx>
          <w:tblCellMar>
            <w:top w:w="0" w:type="dxa"/>
            <w:left w:w="108" w:type="dxa"/>
            <w:bottom w:w="0" w:type="dxa"/>
            <w:right w:w="108" w:type="dxa"/>
          </w:tblCellMar>
        </w:tblPrEx>
        <w:trPr>
          <w:trHeight w:val="794" w:hRule="atLeast"/>
          <w:tblCellSpacing w:w="0" w:type="dxa"/>
        </w:trPr>
        <w:tc>
          <w:tcPr>
            <w:tcW w:w="661" w:type="dxa"/>
            <w:tcBorders>
              <w:top w:val="single" w:color="auto" w:sz="4" w:space="0"/>
              <w:left w:val="single" w:color="auto" w:sz="4" w:space="0"/>
              <w:bottom w:val="single" w:color="auto" w:sz="4" w:space="0"/>
              <w:right w:val="single" w:color="auto" w:sz="4" w:space="0"/>
            </w:tcBorders>
            <w:vAlign w:val="center"/>
          </w:tcPr>
          <w:p w14:paraId="1D02316A">
            <w:pPr>
              <w:jc w:val="both"/>
            </w:pPr>
            <w:r>
              <w:rPr>
                <w:rFonts w:ascii="宋体" w:hAnsi="宋体" w:eastAsia="宋体"/>
                <w:sz w:val="21"/>
              </w:rPr>
              <w:t>3</w:t>
            </w:r>
          </w:p>
        </w:tc>
        <w:tc>
          <w:tcPr>
            <w:tcW w:w="3140" w:type="dxa"/>
            <w:tcBorders>
              <w:top w:val="single" w:color="auto" w:sz="4" w:space="0"/>
              <w:left w:val="single" w:color="auto" w:sz="4" w:space="0"/>
              <w:bottom w:val="single" w:color="auto" w:sz="4" w:space="0"/>
              <w:right w:val="single" w:color="auto" w:sz="4" w:space="0"/>
            </w:tcBorders>
            <w:vAlign w:val="center"/>
          </w:tcPr>
          <w:p w14:paraId="27823B8D">
            <w:pPr>
              <w:jc w:val="both"/>
            </w:pPr>
            <w:r>
              <w:rPr>
                <w:rFonts w:ascii="宋体" w:hAnsi="宋体" w:eastAsia="宋体"/>
                <w:sz w:val="21"/>
              </w:rPr>
              <w:t>服务地点：中标</w:t>
            </w:r>
            <w:r>
              <w:rPr>
                <w:rFonts w:hint="eastAsia" w:ascii="宋体" w:hAnsi="宋体" w:eastAsia="宋体"/>
                <w:sz w:val="21"/>
                <w:lang w:val="en-US" w:eastAsia="zh-CN"/>
              </w:rPr>
              <w:t>供应商</w:t>
            </w:r>
            <w:r>
              <w:rPr>
                <w:rFonts w:ascii="宋体" w:hAnsi="宋体" w:eastAsia="宋体"/>
                <w:sz w:val="21"/>
              </w:rPr>
              <w:t>自有合法经营场地（位于滨海县行政区域内）</w:t>
            </w:r>
          </w:p>
        </w:tc>
        <w:tc>
          <w:tcPr>
            <w:tcW w:w="2201" w:type="dxa"/>
            <w:tcBorders>
              <w:top w:val="single" w:color="auto" w:sz="4" w:space="0"/>
              <w:left w:val="single" w:color="auto" w:sz="4" w:space="0"/>
              <w:bottom w:val="single" w:color="auto" w:sz="4" w:space="0"/>
              <w:right w:val="single" w:color="auto" w:sz="4" w:space="0"/>
            </w:tcBorders>
          </w:tcPr>
          <w:p w14:paraId="49C3CFDA"/>
        </w:tc>
        <w:tc>
          <w:tcPr>
            <w:tcW w:w="1244" w:type="dxa"/>
            <w:tcBorders>
              <w:top w:val="single" w:color="auto" w:sz="4" w:space="0"/>
              <w:left w:val="single" w:color="auto" w:sz="4" w:space="0"/>
              <w:bottom w:val="single" w:color="auto" w:sz="4" w:space="0"/>
              <w:right w:val="single" w:color="auto" w:sz="4" w:space="0"/>
            </w:tcBorders>
          </w:tcPr>
          <w:p w14:paraId="78447FB6"/>
        </w:tc>
        <w:tc>
          <w:tcPr>
            <w:tcW w:w="1501" w:type="dxa"/>
            <w:tcBorders>
              <w:top w:val="single" w:color="auto" w:sz="4" w:space="0"/>
              <w:left w:val="single" w:color="auto" w:sz="4" w:space="0"/>
              <w:bottom w:val="single" w:color="auto" w:sz="4" w:space="0"/>
              <w:right w:val="single" w:color="auto" w:sz="4" w:space="0"/>
            </w:tcBorders>
          </w:tcPr>
          <w:p w14:paraId="0F193968"/>
        </w:tc>
      </w:tr>
      <w:tr w14:paraId="169C0370">
        <w:tblPrEx>
          <w:tblCellMar>
            <w:top w:w="0" w:type="dxa"/>
            <w:left w:w="108" w:type="dxa"/>
            <w:bottom w:w="0" w:type="dxa"/>
            <w:right w:w="108" w:type="dxa"/>
          </w:tblCellMar>
        </w:tblPrEx>
        <w:trPr>
          <w:trHeight w:val="794" w:hRule="atLeast"/>
          <w:tblCellSpacing w:w="0" w:type="dxa"/>
        </w:trPr>
        <w:tc>
          <w:tcPr>
            <w:tcW w:w="661" w:type="dxa"/>
            <w:tcBorders>
              <w:top w:val="single" w:color="auto" w:sz="4" w:space="0"/>
              <w:left w:val="single" w:color="auto" w:sz="4" w:space="0"/>
              <w:bottom w:val="single" w:color="auto" w:sz="4" w:space="0"/>
              <w:right w:val="single" w:color="auto" w:sz="4" w:space="0"/>
            </w:tcBorders>
            <w:vAlign w:val="center"/>
          </w:tcPr>
          <w:p w14:paraId="438B1A77">
            <w:pPr>
              <w:jc w:val="both"/>
            </w:pPr>
            <w:r>
              <w:rPr>
                <w:rFonts w:ascii="宋体" w:hAnsi="宋体" w:eastAsia="宋体"/>
                <w:sz w:val="21"/>
              </w:rPr>
              <w:t>4</w:t>
            </w:r>
          </w:p>
        </w:tc>
        <w:tc>
          <w:tcPr>
            <w:tcW w:w="3140" w:type="dxa"/>
            <w:tcBorders>
              <w:top w:val="single" w:color="auto" w:sz="4" w:space="0"/>
              <w:left w:val="single" w:color="auto" w:sz="4" w:space="0"/>
              <w:bottom w:val="single" w:color="auto" w:sz="4" w:space="0"/>
              <w:right w:val="single" w:color="auto" w:sz="4" w:space="0"/>
            </w:tcBorders>
            <w:vAlign w:val="center"/>
          </w:tcPr>
          <w:p w14:paraId="3DC95576">
            <w:pPr>
              <w:jc w:val="both"/>
              <w:rPr>
                <w:rFonts w:ascii="宋体" w:hAnsi="宋体" w:eastAsia="宋体"/>
                <w:sz w:val="21"/>
                <w:lang w:eastAsia="en-US"/>
              </w:rPr>
            </w:pPr>
            <w:r>
              <w:rPr>
                <w:rFonts w:ascii="宋体" w:hAnsi="宋体" w:eastAsia="宋体"/>
                <w:sz w:val="21"/>
              </w:rPr>
              <w:t>付款方式：</w:t>
            </w:r>
            <w:r>
              <w:rPr>
                <w:rFonts w:ascii="宋体" w:hAnsi="宋体" w:eastAsia="宋体"/>
                <w:sz w:val="21"/>
              </w:rPr>
              <w:br w:type="textWrapping"/>
            </w:r>
            <w:r>
              <w:rPr>
                <w:rFonts w:ascii="宋体" w:hAnsi="宋体" w:eastAsia="宋体"/>
                <w:sz w:val="21"/>
                <w:lang w:eastAsia="en-US"/>
              </w:rPr>
              <w:t>1</w:t>
            </w:r>
            <w:r>
              <w:rPr>
                <w:rFonts w:hint="eastAsia" w:ascii="宋体" w:hAnsi="宋体" w:eastAsia="宋体"/>
                <w:sz w:val="21"/>
                <w:lang w:val="en-US" w:eastAsia="zh-CN"/>
              </w:rPr>
              <w:t>.</w:t>
            </w:r>
            <w:r>
              <w:rPr>
                <w:rFonts w:ascii="宋体" w:hAnsi="宋体" w:eastAsia="宋体"/>
                <w:sz w:val="21"/>
                <w:lang w:eastAsia="en-US"/>
              </w:rPr>
              <w:t>本合同签订后7日内，甲方向乙方支付合同总价30%作为预付款；乙方须在甲方付款前提供等额、有效期12个月、国有商业银行出具的无条件即</w:t>
            </w:r>
            <w:r>
              <w:rPr>
                <w:rFonts w:hint="eastAsia" w:ascii="宋体" w:hAnsi="宋体" w:eastAsia="宋体"/>
                <w:sz w:val="21"/>
                <w:lang w:val="en-US" w:eastAsia="zh-CN"/>
              </w:rPr>
              <w:t>付</w:t>
            </w:r>
            <w:r>
              <w:rPr>
                <w:rFonts w:ascii="宋体" w:hAnsi="宋体" w:eastAsia="宋体"/>
                <w:sz w:val="21"/>
                <w:lang w:eastAsia="en-US"/>
              </w:rPr>
              <w:t>即兑预付款银行保函，否则视为乙方自愿放弃预付款。</w:t>
            </w:r>
          </w:p>
          <w:p w14:paraId="0B670811">
            <w:pPr>
              <w:jc w:val="both"/>
              <w:rPr>
                <w:rFonts w:ascii="宋体" w:hAnsi="宋体" w:eastAsia="宋体"/>
                <w:sz w:val="21"/>
                <w:lang w:eastAsia="en-US"/>
              </w:rPr>
            </w:pPr>
            <w:r>
              <w:rPr>
                <w:rFonts w:hint="eastAsia" w:ascii="宋体" w:hAnsi="宋体" w:eastAsia="宋体"/>
                <w:sz w:val="21"/>
                <w:lang w:val="en-US" w:eastAsia="zh-CN"/>
              </w:rPr>
              <w:t>2.</w:t>
            </w:r>
            <w:r>
              <w:rPr>
                <w:rFonts w:ascii="宋体" w:hAnsi="宋体" w:eastAsia="宋体"/>
                <w:sz w:val="21"/>
                <w:lang w:eastAsia="en-US"/>
              </w:rPr>
              <w:t>剩余款项按</w:t>
            </w:r>
            <w:r>
              <w:rPr>
                <w:rFonts w:hint="eastAsia" w:ascii="宋体" w:hAnsi="宋体" w:eastAsia="宋体"/>
                <w:sz w:val="21"/>
                <w:lang w:eastAsia="zh-CN"/>
              </w:rPr>
              <w:t>季度</w:t>
            </w:r>
            <w:r>
              <w:rPr>
                <w:rFonts w:ascii="宋体" w:hAnsi="宋体" w:eastAsia="宋体"/>
                <w:sz w:val="21"/>
                <w:lang w:eastAsia="en-US"/>
              </w:rPr>
              <w:t>支付：每</w:t>
            </w:r>
            <w:r>
              <w:rPr>
                <w:rFonts w:hint="eastAsia" w:ascii="宋体" w:hAnsi="宋体" w:eastAsia="宋体"/>
                <w:sz w:val="21"/>
                <w:lang w:eastAsia="zh-CN"/>
              </w:rPr>
              <w:t>季度</w:t>
            </w:r>
            <w:r>
              <w:rPr>
                <w:rFonts w:ascii="宋体" w:hAnsi="宋体" w:eastAsia="宋体"/>
                <w:sz w:val="21"/>
                <w:lang w:eastAsia="en-US"/>
              </w:rPr>
              <w:t>初由乙方提出付款申请并提供有效票据，甲方根据月</w:t>
            </w:r>
            <w:r>
              <w:rPr>
                <w:rFonts w:hint="eastAsia" w:ascii="宋体" w:hAnsi="宋体" w:eastAsia="宋体"/>
                <w:sz w:val="21"/>
                <w:lang w:eastAsia="zh-CN"/>
              </w:rPr>
              <w:t>度</w:t>
            </w:r>
            <w:r>
              <w:rPr>
                <w:rFonts w:ascii="宋体" w:hAnsi="宋体" w:eastAsia="宋体"/>
                <w:sz w:val="21"/>
                <w:lang w:eastAsia="en-US"/>
              </w:rPr>
              <w:t>考核情况确认应付服务费用，乙方开具相应数额的增值税发票后，甲方在15个工作日内支付。</w:t>
            </w:r>
          </w:p>
          <w:p w14:paraId="76918261">
            <w:pPr>
              <w:jc w:val="both"/>
            </w:pPr>
            <w:r>
              <w:rPr>
                <w:rFonts w:hint="eastAsia" w:ascii="宋体" w:hAnsi="宋体" w:eastAsia="宋体"/>
                <w:sz w:val="21"/>
                <w:lang w:val="en-US" w:eastAsia="zh-CN"/>
              </w:rPr>
              <w:t>3.</w:t>
            </w:r>
            <w:r>
              <w:rPr>
                <w:rFonts w:ascii="宋体" w:hAnsi="宋体" w:eastAsia="宋体"/>
                <w:sz w:val="21"/>
                <w:lang w:eastAsia="en-US"/>
              </w:rPr>
              <w:t>试用期2个月内，甲方根据乙方履约情况决定是否继续履行合同。试用期内如乙方服务质量达不到合同约定要求，甲方有权单方解除合同，乙方已实际提供服务的费用按实际考核结果结算。</w:t>
            </w:r>
          </w:p>
        </w:tc>
        <w:tc>
          <w:tcPr>
            <w:tcW w:w="2201" w:type="dxa"/>
            <w:tcBorders>
              <w:top w:val="single" w:color="auto" w:sz="4" w:space="0"/>
              <w:left w:val="single" w:color="auto" w:sz="4" w:space="0"/>
              <w:bottom w:val="single" w:color="auto" w:sz="4" w:space="0"/>
              <w:right w:val="single" w:color="auto" w:sz="4" w:space="0"/>
            </w:tcBorders>
          </w:tcPr>
          <w:p w14:paraId="1B4995A4"/>
        </w:tc>
        <w:tc>
          <w:tcPr>
            <w:tcW w:w="1244" w:type="dxa"/>
            <w:tcBorders>
              <w:top w:val="single" w:color="auto" w:sz="4" w:space="0"/>
              <w:left w:val="single" w:color="auto" w:sz="4" w:space="0"/>
              <w:bottom w:val="single" w:color="auto" w:sz="4" w:space="0"/>
              <w:right w:val="single" w:color="auto" w:sz="4" w:space="0"/>
            </w:tcBorders>
          </w:tcPr>
          <w:p w14:paraId="382D27E7"/>
        </w:tc>
        <w:tc>
          <w:tcPr>
            <w:tcW w:w="1501" w:type="dxa"/>
            <w:tcBorders>
              <w:top w:val="single" w:color="auto" w:sz="4" w:space="0"/>
              <w:left w:val="single" w:color="auto" w:sz="4" w:space="0"/>
              <w:bottom w:val="single" w:color="auto" w:sz="4" w:space="0"/>
              <w:right w:val="single" w:color="auto" w:sz="4" w:space="0"/>
            </w:tcBorders>
          </w:tcPr>
          <w:p w14:paraId="61EE4166"/>
        </w:tc>
      </w:tr>
      <w:tr w14:paraId="7A403EB6">
        <w:tblPrEx>
          <w:tblCellMar>
            <w:top w:w="0" w:type="dxa"/>
            <w:left w:w="108" w:type="dxa"/>
            <w:bottom w:w="0" w:type="dxa"/>
            <w:right w:w="108" w:type="dxa"/>
          </w:tblCellMar>
        </w:tblPrEx>
        <w:trPr>
          <w:trHeight w:val="444" w:hRule="atLeast"/>
          <w:tblCellSpacing w:w="0" w:type="dxa"/>
        </w:trPr>
        <w:tc>
          <w:tcPr>
            <w:tcW w:w="661" w:type="dxa"/>
            <w:tcBorders>
              <w:top w:val="single" w:color="auto" w:sz="4" w:space="0"/>
              <w:left w:val="single" w:color="auto" w:sz="4" w:space="0"/>
              <w:bottom w:val="single" w:color="auto" w:sz="4" w:space="0"/>
              <w:right w:val="single" w:color="auto" w:sz="4" w:space="0"/>
            </w:tcBorders>
            <w:vAlign w:val="center"/>
          </w:tcPr>
          <w:p w14:paraId="2ADEE9E1">
            <w:pPr>
              <w:jc w:val="both"/>
            </w:pPr>
            <w:r>
              <w:rPr>
                <w:rFonts w:ascii="宋体" w:hAnsi="宋体" w:eastAsia="宋体"/>
                <w:sz w:val="21"/>
              </w:rPr>
              <w:t>5</w:t>
            </w:r>
          </w:p>
        </w:tc>
        <w:tc>
          <w:tcPr>
            <w:tcW w:w="3140" w:type="dxa"/>
            <w:tcBorders>
              <w:top w:val="single" w:color="auto" w:sz="4" w:space="0"/>
              <w:left w:val="single" w:color="auto" w:sz="4" w:space="0"/>
              <w:bottom w:val="single" w:color="auto" w:sz="4" w:space="0"/>
              <w:right w:val="single" w:color="auto" w:sz="4" w:space="0"/>
            </w:tcBorders>
            <w:vAlign w:val="center"/>
          </w:tcPr>
          <w:p w14:paraId="05334AE1">
            <w:pPr>
              <w:jc w:val="both"/>
            </w:pPr>
            <w:r>
              <w:rPr>
                <w:rFonts w:ascii="宋体" w:hAnsi="宋体" w:eastAsia="宋体"/>
                <w:sz w:val="21"/>
              </w:rPr>
              <w:t>投标有效期：90天</w:t>
            </w:r>
          </w:p>
        </w:tc>
        <w:tc>
          <w:tcPr>
            <w:tcW w:w="2201" w:type="dxa"/>
            <w:tcBorders>
              <w:top w:val="single" w:color="auto" w:sz="4" w:space="0"/>
              <w:left w:val="single" w:color="auto" w:sz="4" w:space="0"/>
              <w:bottom w:val="single" w:color="auto" w:sz="4" w:space="0"/>
              <w:right w:val="single" w:color="auto" w:sz="4" w:space="0"/>
            </w:tcBorders>
          </w:tcPr>
          <w:p w14:paraId="7D0F063C"/>
        </w:tc>
        <w:tc>
          <w:tcPr>
            <w:tcW w:w="1244" w:type="dxa"/>
            <w:tcBorders>
              <w:top w:val="single" w:color="auto" w:sz="4" w:space="0"/>
              <w:left w:val="single" w:color="auto" w:sz="4" w:space="0"/>
              <w:bottom w:val="single" w:color="auto" w:sz="4" w:space="0"/>
              <w:right w:val="single" w:color="auto" w:sz="4" w:space="0"/>
            </w:tcBorders>
          </w:tcPr>
          <w:p w14:paraId="12FA21D7"/>
        </w:tc>
        <w:tc>
          <w:tcPr>
            <w:tcW w:w="1501" w:type="dxa"/>
            <w:tcBorders>
              <w:top w:val="single" w:color="auto" w:sz="4" w:space="0"/>
              <w:left w:val="single" w:color="auto" w:sz="4" w:space="0"/>
              <w:bottom w:val="single" w:color="auto" w:sz="4" w:space="0"/>
              <w:right w:val="single" w:color="auto" w:sz="4" w:space="0"/>
            </w:tcBorders>
          </w:tcPr>
          <w:p w14:paraId="6EF2F1A1"/>
        </w:tc>
      </w:tr>
      <w:tr w14:paraId="0C4149C2">
        <w:tblPrEx>
          <w:tblCellMar>
            <w:top w:w="0" w:type="dxa"/>
            <w:left w:w="108" w:type="dxa"/>
            <w:bottom w:w="0" w:type="dxa"/>
            <w:right w:w="108" w:type="dxa"/>
          </w:tblCellMar>
        </w:tblPrEx>
        <w:trPr>
          <w:trHeight w:val="794" w:hRule="atLeast"/>
          <w:tblCellSpacing w:w="0" w:type="dxa"/>
        </w:trPr>
        <w:tc>
          <w:tcPr>
            <w:tcW w:w="661" w:type="dxa"/>
            <w:tcBorders>
              <w:top w:val="single" w:color="auto" w:sz="4" w:space="0"/>
              <w:left w:val="single" w:color="auto" w:sz="4" w:space="0"/>
              <w:bottom w:val="single" w:color="auto" w:sz="4" w:space="0"/>
              <w:right w:val="single" w:color="auto" w:sz="4" w:space="0"/>
            </w:tcBorders>
            <w:vAlign w:val="center"/>
          </w:tcPr>
          <w:p w14:paraId="0054CB5B">
            <w:pPr>
              <w:jc w:val="both"/>
            </w:pPr>
            <w:r>
              <w:rPr>
                <w:rFonts w:ascii="宋体" w:hAnsi="宋体" w:eastAsia="宋体"/>
                <w:sz w:val="21"/>
              </w:rPr>
              <w:t>6</w:t>
            </w:r>
          </w:p>
        </w:tc>
        <w:tc>
          <w:tcPr>
            <w:tcW w:w="3140" w:type="dxa"/>
            <w:tcBorders>
              <w:top w:val="single" w:color="auto" w:sz="4" w:space="0"/>
              <w:left w:val="single" w:color="auto" w:sz="4" w:space="0"/>
              <w:bottom w:val="single" w:color="auto" w:sz="4" w:space="0"/>
              <w:right w:val="single" w:color="auto" w:sz="4" w:space="0"/>
            </w:tcBorders>
            <w:vAlign w:val="center"/>
          </w:tcPr>
          <w:p w14:paraId="0F52C08E">
            <w:pPr>
              <w:jc w:val="both"/>
            </w:pPr>
            <w:r>
              <w:rPr>
                <w:rFonts w:ascii="宋体" w:hAnsi="宋体" w:eastAsia="宋体"/>
                <w:sz w:val="21"/>
                <w:lang w:eastAsia="en-US"/>
              </w:rPr>
              <w:t>进场准备：</w:t>
            </w:r>
            <w:r>
              <w:rPr>
                <w:rFonts w:hint="eastAsia" w:ascii="宋体" w:hAnsi="宋体" w:eastAsia="宋体"/>
                <w:sz w:val="21"/>
                <w:lang w:eastAsia="en-US"/>
              </w:rPr>
              <w:t>合同签订后，供应商应在 5 日内完成服务准备工作，包括现场对接、人员到位、设备调试、制度建立等，确保能够正常承接会议服务。</w:t>
            </w:r>
          </w:p>
        </w:tc>
        <w:tc>
          <w:tcPr>
            <w:tcW w:w="2201" w:type="dxa"/>
            <w:tcBorders>
              <w:top w:val="single" w:color="auto" w:sz="4" w:space="0"/>
              <w:left w:val="single" w:color="auto" w:sz="4" w:space="0"/>
              <w:bottom w:val="single" w:color="auto" w:sz="4" w:space="0"/>
              <w:right w:val="single" w:color="auto" w:sz="4" w:space="0"/>
            </w:tcBorders>
          </w:tcPr>
          <w:p w14:paraId="5D7DBB67"/>
        </w:tc>
        <w:tc>
          <w:tcPr>
            <w:tcW w:w="1244" w:type="dxa"/>
            <w:tcBorders>
              <w:top w:val="single" w:color="auto" w:sz="4" w:space="0"/>
              <w:left w:val="single" w:color="auto" w:sz="4" w:space="0"/>
              <w:bottom w:val="single" w:color="auto" w:sz="4" w:space="0"/>
              <w:right w:val="single" w:color="auto" w:sz="4" w:space="0"/>
            </w:tcBorders>
          </w:tcPr>
          <w:p w14:paraId="71470F8A"/>
        </w:tc>
        <w:tc>
          <w:tcPr>
            <w:tcW w:w="1501" w:type="dxa"/>
            <w:tcBorders>
              <w:top w:val="single" w:color="auto" w:sz="4" w:space="0"/>
              <w:left w:val="single" w:color="auto" w:sz="4" w:space="0"/>
              <w:bottom w:val="single" w:color="auto" w:sz="4" w:space="0"/>
              <w:right w:val="single" w:color="auto" w:sz="4" w:space="0"/>
            </w:tcBorders>
          </w:tcPr>
          <w:p w14:paraId="633229DF"/>
        </w:tc>
      </w:tr>
      <w:tr w14:paraId="256A97C6">
        <w:tblPrEx>
          <w:tblCellMar>
            <w:top w:w="0" w:type="dxa"/>
            <w:left w:w="108" w:type="dxa"/>
            <w:bottom w:w="0" w:type="dxa"/>
            <w:right w:w="108" w:type="dxa"/>
          </w:tblCellMar>
        </w:tblPrEx>
        <w:trPr>
          <w:trHeight w:val="794" w:hRule="atLeast"/>
          <w:tblCellSpacing w:w="0" w:type="dxa"/>
        </w:trPr>
        <w:tc>
          <w:tcPr>
            <w:tcW w:w="661" w:type="dxa"/>
            <w:tcBorders>
              <w:top w:val="single" w:color="auto" w:sz="4" w:space="0"/>
              <w:left w:val="single" w:color="auto" w:sz="4" w:space="0"/>
              <w:bottom w:val="single" w:color="auto" w:sz="4" w:space="0"/>
              <w:right w:val="single" w:color="auto" w:sz="4" w:space="0"/>
            </w:tcBorders>
            <w:vAlign w:val="center"/>
          </w:tcPr>
          <w:p w14:paraId="4CA9740F">
            <w:pPr>
              <w:jc w:val="both"/>
            </w:pPr>
            <w:r>
              <w:rPr>
                <w:rFonts w:ascii="宋体" w:hAnsi="宋体" w:eastAsia="宋体"/>
                <w:sz w:val="21"/>
              </w:rPr>
              <w:t>7</w:t>
            </w:r>
          </w:p>
        </w:tc>
        <w:tc>
          <w:tcPr>
            <w:tcW w:w="3140" w:type="dxa"/>
            <w:tcBorders>
              <w:top w:val="single" w:color="auto" w:sz="4" w:space="0"/>
              <w:left w:val="single" w:color="auto" w:sz="4" w:space="0"/>
              <w:bottom w:val="single" w:color="auto" w:sz="4" w:space="0"/>
              <w:right w:val="single" w:color="auto" w:sz="4" w:space="0"/>
            </w:tcBorders>
            <w:vAlign w:val="center"/>
          </w:tcPr>
          <w:p w14:paraId="163A0BEA">
            <w:pPr>
              <w:jc w:val="both"/>
            </w:pPr>
            <w:r>
              <w:rPr>
                <w:rFonts w:ascii="宋体" w:hAnsi="宋体" w:eastAsia="宋体"/>
                <w:sz w:val="21"/>
              </w:rPr>
              <w:t>履约保证金：合同金额</w:t>
            </w:r>
            <w:r>
              <w:rPr>
                <w:rFonts w:hint="eastAsia" w:ascii="宋体" w:hAnsi="宋体" w:eastAsia="宋体"/>
                <w:sz w:val="21"/>
                <w:highlight w:val="none"/>
                <w:lang w:val="en-US" w:eastAsia="zh-CN"/>
              </w:rPr>
              <w:t>10</w:t>
            </w:r>
            <w:r>
              <w:rPr>
                <w:rFonts w:ascii="宋体" w:hAnsi="宋体" w:eastAsia="宋体"/>
                <w:sz w:val="21"/>
                <w:highlight w:val="none"/>
              </w:rPr>
              <w:t>%</w:t>
            </w:r>
          </w:p>
        </w:tc>
        <w:tc>
          <w:tcPr>
            <w:tcW w:w="2201" w:type="dxa"/>
            <w:tcBorders>
              <w:top w:val="single" w:color="auto" w:sz="4" w:space="0"/>
              <w:left w:val="single" w:color="auto" w:sz="4" w:space="0"/>
              <w:bottom w:val="single" w:color="auto" w:sz="4" w:space="0"/>
              <w:right w:val="single" w:color="auto" w:sz="4" w:space="0"/>
            </w:tcBorders>
          </w:tcPr>
          <w:p w14:paraId="41E83DCA"/>
        </w:tc>
        <w:tc>
          <w:tcPr>
            <w:tcW w:w="1244" w:type="dxa"/>
            <w:tcBorders>
              <w:top w:val="single" w:color="auto" w:sz="4" w:space="0"/>
              <w:left w:val="single" w:color="auto" w:sz="4" w:space="0"/>
              <w:bottom w:val="single" w:color="auto" w:sz="4" w:space="0"/>
              <w:right w:val="single" w:color="auto" w:sz="4" w:space="0"/>
            </w:tcBorders>
          </w:tcPr>
          <w:p w14:paraId="61227ACC"/>
        </w:tc>
        <w:tc>
          <w:tcPr>
            <w:tcW w:w="1501" w:type="dxa"/>
            <w:tcBorders>
              <w:top w:val="single" w:color="auto" w:sz="4" w:space="0"/>
              <w:left w:val="single" w:color="auto" w:sz="4" w:space="0"/>
              <w:bottom w:val="single" w:color="auto" w:sz="4" w:space="0"/>
              <w:right w:val="single" w:color="auto" w:sz="4" w:space="0"/>
            </w:tcBorders>
          </w:tcPr>
          <w:p w14:paraId="23DA377F"/>
        </w:tc>
      </w:tr>
    </w:tbl>
    <w:p w14:paraId="40ECA91C">
      <w:pPr>
        <w:pStyle w:val="32"/>
        <w:spacing w:beforeAutospacing="0" w:afterAutospacing="0" w:line="360" w:lineRule="auto"/>
        <w:jc w:val="both"/>
      </w:pPr>
      <w:r>
        <w:rPr>
          <w:rFonts w:hint="eastAsia" w:ascii="宋体" w:hAnsi="宋体" w:eastAsia="宋体" w:cs="宋体"/>
          <w:color w:val="000000"/>
        </w:rPr>
        <w:t>注：行数不够，可自行添加。</w:t>
      </w:r>
    </w:p>
    <w:p w14:paraId="2E997B72">
      <w:pPr>
        <w:rPr>
          <w:rFonts w:hint="eastAsia" w:ascii="黑体" w:hAnsi="宋体" w:eastAsia="黑体" w:cs="黑体"/>
          <w:b/>
          <w:i/>
          <w:sz w:val="32"/>
          <w:szCs w:val="32"/>
          <w:u w:val="single"/>
        </w:rPr>
      </w:pPr>
      <w:r>
        <w:t> </w:t>
      </w:r>
      <w:bookmarkStart w:id="198" w:name="_Hlt26671374"/>
      <w:bookmarkStart w:id="199" w:name="_Hlt26955066"/>
      <w:bookmarkStart w:id="200" w:name="_Hlt26609389"/>
      <w:bookmarkStart w:id="201" w:name="_格式2__法定代表人授权书"/>
      <w:bookmarkStart w:id="202" w:name="_Toc462564146"/>
    </w:p>
    <w:p w14:paraId="495E47B6">
      <w:pPr>
        <w:rPr>
          <w:rFonts w:hint="eastAsia" w:ascii="黑体" w:hAnsi="宋体" w:eastAsia="黑体" w:cs="黑体"/>
          <w:b/>
          <w:i/>
          <w:sz w:val="32"/>
          <w:szCs w:val="32"/>
          <w:u w:val="single"/>
        </w:rPr>
      </w:pPr>
      <w:r>
        <w:rPr>
          <w:rFonts w:hint="eastAsia" w:ascii="黑体" w:hAnsi="宋体" w:eastAsia="黑体" w:cs="黑体"/>
          <w:b/>
          <w:i/>
          <w:sz w:val="32"/>
          <w:szCs w:val="32"/>
          <w:u w:val="single"/>
        </w:rPr>
        <w:br w:type="page"/>
      </w:r>
    </w:p>
    <w:p w14:paraId="309397F8">
      <w:pPr>
        <w:pStyle w:val="32"/>
        <w:spacing w:beforeAutospacing="0" w:afterAutospacing="0" w:line="360" w:lineRule="auto"/>
        <w:ind w:firstLine="2891"/>
        <w:jc w:val="both"/>
        <w:rPr>
          <w:rFonts w:hint="eastAsia" w:ascii="黑体" w:hAnsi="宋体" w:eastAsia="黑体" w:cs="黑体"/>
          <w:b/>
          <w:i/>
          <w:sz w:val="32"/>
          <w:szCs w:val="32"/>
          <w:u w:val="single"/>
        </w:rPr>
      </w:pPr>
      <w:r>
        <w:rPr>
          <w:rFonts w:hint="eastAsia" w:ascii="黑体" w:hAnsi="宋体" w:eastAsia="黑体" w:cs="黑体"/>
          <w:b/>
          <w:i/>
          <w:sz w:val="32"/>
          <w:szCs w:val="32"/>
          <w:u w:val="single"/>
        </w:rPr>
        <w:t>十</w:t>
      </w:r>
      <w:r>
        <w:rPr>
          <w:rFonts w:hint="eastAsia" w:ascii="黑体" w:hAnsi="宋体" w:eastAsia="黑体" w:cs="黑体"/>
          <w:b/>
          <w:i/>
          <w:sz w:val="32"/>
          <w:szCs w:val="32"/>
          <w:u w:val="single"/>
          <w:lang w:val="en-US" w:eastAsia="zh-CN"/>
        </w:rPr>
        <w:t>五</w:t>
      </w:r>
      <w:r>
        <w:rPr>
          <w:rFonts w:hint="eastAsia" w:ascii="黑体" w:hAnsi="宋体" w:eastAsia="黑体" w:cs="黑体"/>
          <w:b/>
          <w:i/>
          <w:sz w:val="32"/>
          <w:szCs w:val="32"/>
          <w:u w:val="single"/>
        </w:rPr>
        <w:t>、开标一览表</w:t>
      </w:r>
    </w:p>
    <w:p w14:paraId="62A3DD56">
      <w:pPr>
        <w:pStyle w:val="32"/>
        <w:spacing w:beforeAutospacing="0" w:afterAutospacing="0" w:line="360" w:lineRule="auto"/>
        <w:ind w:firstLine="2891"/>
        <w:jc w:val="both"/>
        <w:rPr>
          <w:rFonts w:hint="eastAsia" w:ascii="黑体" w:hAnsi="宋体" w:eastAsia="黑体" w:cs="黑体"/>
          <w:b/>
          <w:i/>
          <w:sz w:val="32"/>
          <w:szCs w:val="32"/>
          <w:u w:val="single"/>
        </w:rPr>
      </w:pPr>
    </w:p>
    <w:p w14:paraId="7FB13D6B">
      <w:pPr>
        <w:pStyle w:val="32"/>
        <w:spacing w:beforeAutospacing="0" w:afterAutospacing="0" w:line="360" w:lineRule="auto"/>
        <w:ind w:firstLine="480"/>
        <w:jc w:val="both"/>
      </w:pPr>
      <w:r>
        <w:rPr>
          <w:rFonts w:hint="eastAsia" w:ascii="宋体" w:hAnsi="宋体" w:eastAsia="宋体" w:cs="宋体"/>
        </w:rPr>
        <w:t>投标人全称（加盖CA电子签章）：</w:t>
      </w:r>
    </w:p>
    <w:p w14:paraId="5F47497F">
      <w:pPr>
        <w:pStyle w:val="32"/>
        <w:spacing w:beforeAutospacing="0" w:afterAutospacing="0" w:line="360" w:lineRule="auto"/>
        <w:ind w:firstLine="480"/>
        <w:jc w:val="both"/>
      </w:pPr>
      <w:r>
        <w:rPr>
          <w:rFonts w:hint="eastAsia" w:ascii="宋体" w:hAnsi="宋体" w:eastAsia="宋体" w:cs="宋体"/>
        </w:rPr>
        <w:t>项目名称：</w:t>
      </w:r>
    </w:p>
    <w:p w14:paraId="3FB194D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项目编号：</w:t>
      </w:r>
    </w:p>
    <w:tbl>
      <w:tblPr>
        <w:tblStyle w:val="37"/>
        <w:tblW w:w="8206" w:type="dxa"/>
        <w:tblCellSpacing w:w="0" w:type="dxa"/>
        <w:tblInd w:w="118" w:type="dxa"/>
        <w:tblLayout w:type="fixed"/>
        <w:tblCellMar>
          <w:top w:w="0" w:type="dxa"/>
          <w:left w:w="108" w:type="dxa"/>
          <w:bottom w:w="0" w:type="dxa"/>
          <w:right w:w="108" w:type="dxa"/>
        </w:tblCellMar>
      </w:tblPr>
      <w:tblGrid>
        <w:gridCol w:w="8206"/>
      </w:tblGrid>
      <w:tr w14:paraId="057243B9">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43C30BD">
            <w:pPr>
              <w:pStyle w:val="32"/>
              <w:spacing w:beforeAutospacing="0" w:afterAutospacing="0" w:line="360" w:lineRule="auto"/>
              <w:jc w:val="center"/>
            </w:pPr>
            <w:r>
              <w:rPr>
                <w:rFonts w:hint="eastAsia" w:ascii="宋体" w:hAnsi="宋体" w:eastAsia="宋体" w:cs="宋体"/>
              </w:rPr>
              <w:t>投标总报价</w:t>
            </w:r>
          </w:p>
        </w:tc>
      </w:tr>
      <w:tr w14:paraId="68CA6009">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FAE6F75">
            <w:pPr>
              <w:pStyle w:val="32"/>
              <w:spacing w:beforeAutospacing="0" w:afterAutospacing="0" w:line="360" w:lineRule="auto"/>
              <w:rPr>
                <w:rFonts w:hint="eastAsia" w:ascii="宋体" w:hAnsi="宋体" w:eastAsia="宋体" w:cs="宋体"/>
              </w:rPr>
            </w:pPr>
            <w:r>
              <w:rPr>
                <w:rFonts w:hint="eastAsia" w:ascii="宋体" w:hAnsi="宋体" w:eastAsia="宋体" w:cs="宋体"/>
              </w:rPr>
              <w:t>大写：</w:t>
            </w:r>
          </w:p>
        </w:tc>
      </w:tr>
      <w:tr w14:paraId="08E3982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318FA45">
            <w:pPr>
              <w:pStyle w:val="32"/>
              <w:spacing w:beforeAutospacing="0" w:afterAutospacing="0" w:line="360" w:lineRule="auto"/>
            </w:pPr>
            <w:r>
              <w:rPr>
                <w:rFonts w:hint="eastAsia" w:ascii="宋体" w:hAnsi="宋体" w:eastAsia="宋体" w:cs="宋体"/>
              </w:rPr>
              <w:t>小写：                       （人民币：元）</w:t>
            </w:r>
          </w:p>
        </w:tc>
      </w:tr>
    </w:tbl>
    <w:p w14:paraId="62BAA234">
      <w:pPr>
        <w:pStyle w:val="32"/>
        <w:spacing w:beforeAutospacing="0" w:afterAutospacing="0" w:line="360" w:lineRule="auto"/>
        <w:jc w:val="both"/>
      </w:pPr>
      <w:r>
        <w:t> </w:t>
      </w:r>
    </w:p>
    <w:p w14:paraId="420214A0">
      <w:pPr>
        <w:pStyle w:val="32"/>
        <w:spacing w:beforeAutospacing="0" w:afterAutospacing="0" w:line="360" w:lineRule="auto"/>
        <w:ind w:firstLine="480"/>
        <w:jc w:val="both"/>
      </w:pPr>
      <w:r>
        <w:rPr>
          <w:rFonts w:hint="eastAsia" w:ascii="宋体" w:hAnsi="宋体" w:eastAsia="宋体" w:cs="宋体"/>
        </w:rPr>
        <w:t>                                             日期： </w:t>
      </w:r>
      <w:r>
        <w:rPr>
          <w:rFonts w:hint="eastAsia" w:ascii="宋体" w:hAnsi="宋体" w:eastAsia="宋体" w:cs="宋体"/>
          <w:u w:val="single"/>
        </w:rPr>
        <w:t>    </w:t>
      </w:r>
      <w:r>
        <w:rPr>
          <w:rFonts w:hint="eastAsia" w:ascii="宋体" w:hAnsi="宋体" w:eastAsia="宋体" w:cs="宋体"/>
        </w:rPr>
        <w:t>年</w:t>
      </w:r>
      <w:r>
        <w:rPr>
          <w:rFonts w:hint="eastAsia" w:ascii="宋体" w:hAnsi="宋体" w:eastAsia="宋体" w:cs="宋体"/>
          <w:u w:val="single"/>
        </w:rPr>
        <w:t>  </w:t>
      </w:r>
      <w:r>
        <w:rPr>
          <w:rFonts w:hint="eastAsia" w:ascii="宋体" w:hAnsi="宋体" w:eastAsia="宋体" w:cs="宋体"/>
        </w:rPr>
        <w:t>月</w:t>
      </w:r>
      <w:r>
        <w:rPr>
          <w:rFonts w:hint="eastAsia" w:ascii="宋体" w:hAnsi="宋体" w:eastAsia="宋体" w:cs="宋体"/>
          <w:u w:val="single"/>
        </w:rPr>
        <w:t>  </w:t>
      </w:r>
      <w:r>
        <w:rPr>
          <w:rFonts w:hint="eastAsia" w:ascii="宋体" w:hAnsi="宋体" w:eastAsia="宋体" w:cs="宋体"/>
        </w:rPr>
        <w:t>日</w:t>
      </w:r>
    </w:p>
    <w:p w14:paraId="1E89D705">
      <w:pPr>
        <w:pStyle w:val="32"/>
        <w:spacing w:beforeAutospacing="0" w:afterAutospacing="0" w:line="360" w:lineRule="auto"/>
        <w:ind w:firstLine="480"/>
        <w:jc w:val="both"/>
      </w:pPr>
      <w:r>
        <w:t> </w:t>
      </w:r>
    </w:p>
    <w:p w14:paraId="3821218A">
      <w:pPr>
        <w:pStyle w:val="32"/>
        <w:spacing w:beforeAutospacing="0" w:afterAutospacing="0" w:line="360" w:lineRule="auto"/>
        <w:jc w:val="both"/>
      </w:pPr>
      <w:r>
        <w:t> </w:t>
      </w:r>
    </w:p>
    <w:p w14:paraId="00CA83FC">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57CC6DF9">
      <w:pPr>
        <w:pStyle w:val="32"/>
        <w:spacing w:beforeAutospacing="0" w:afterAutospacing="0" w:line="360" w:lineRule="auto"/>
        <w:ind w:firstLine="480"/>
        <w:jc w:val="both"/>
        <w:rPr>
          <w:rFonts w:hint="eastAsia" w:ascii="宋体" w:hAnsi="宋体" w:eastAsia="宋体" w:cs="宋体"/>
          <w:color w:val="000000"/>
        </w:rPr>
      </w:pPr>
    </w:p>
    <w:p w14:paraId="58866FAE">
      <w:pPr>
        <w:widowControl/>
        <w:spacing w:before="50" w:after="50" w:line="360" w:lineRule="auto"/>
        <w:jc w:val="center"/>
      </w:pPr>
      <w:r>
        <w:tab/>
      </w:r>
    </w:p>
    <w:p w14:paraId="450EE1F1">
      <w:pPr>
        <w:widowControl/>
        <w:spacing w:before="50" w:after="50" w:line="360" w:lineRule="auto"/>
        <w:jc w:val="center"/>
      </w:pPr>
    </w:p>
    <w:p w14:paraId="730238F6">
      <w:pPr>
        <w:widowControl/>
        <w:spacing w:before="50" w:after="50" w:line="360" w:lineRule="auto"/>
        <w:jc w:val="center"/>
      </w:pPr>
    </w:p>
    <w:p w14:paraId="07CDBE90">
      <w:pPr>
        <w:widowControl/>
        <w:spacing w:before="50" w:after="50" w:line="360" w:lineRule="auto"/>
        <w:jc w:val="center"/>
      </w:pPr>
    </w:p>
    <w:p w14:paraId="6F1AEEEB">
      <w:pPr>
        <w:pStyle w:val="199"/>
        <w:spacing w:line="360" w:lineRule="auto"/>
      </w:pPr>
    </w:p>
    <w:p w14:paraId="12EA49F1">
      <w:pPr>
        <w:pStyle w:val="199"/>
        <w:spacing w:line="360" w:lineRule="auto"/>
      </w:pPr>
    </w:p>
    <w:p w14:paraId="46E228A6">
      <w:pPr>
        <w:pStyle w:val="199"/>
        <w:spacing w:line="360" w:lineRule="auto"/>
      </w:pPr>
    </w:p>
    <w:p w14:paraId="0E743651">
      <w:pPr>
        <w:pStyle w:val="199"/>
        <w:spacing w:line="360" w:lineRule="auto"/>
      </w:pPr>
    </w:p>
    <w:p w14:paraId="70197470">
      <w:pPr>
        <w:widowControl/>
        <w:spacing w:before="50" w:after="50" w:line="360" w:lineRule="auto"/>
        <w:jc w:val="center"/>
      </w:pPr>
    </w:p>
    <w:p w14:paraId="5B9C0578">
      <w:pPr>
        <w:widowControl/>
        <w:spacing w:before="50" w:after="50" w:line="360" w:lineRule="auto"/>
        <w:jc w:val="center"/>
      </w:pPr>
    </w:p>
    <w:p w14:paraId="5E3EC729">
      <w:pPr>
        <w:widowControl/>
        <w:spacing w:before="50" w:after="50" w:line="360" w:lineRule="auto"/>
        <w:jc w:val="center"/>
      </w:pPr>
    </w:p>
    <w:p w14:paraId="1392B754">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48682BCE">
      <w:pPr>
        <w:spacing w:before="50" w:after="5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lang w:val="en-US" w:eastAsia="zh-CN"/>
        </w:rPr>
        <w:t>十六、项目服务团队成员一览表</w:t>
      </w:r>
    </w:p>
    <w:p w14:paraId="12A17A5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bl>
      <w:tblPr>
        <w:tblStyle w:val="38"/>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7"/>
        <w:gridCol w:w="1020"/>
        <w:gridCol w:w="1247"/>
        <w:gridCol w:w="567"/>
        <w:gridCol w:w="680"/>
        <w:gridCol w:w="850"/>
        <w:gridCol w:w="1695"/>
        <w:gridCol w:w="1400"/>
        <w:gridCol w:w="741"/>
      </w:tblGrid>
      <w:tr w14:paraId="3A0AE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shd w:val="clear" w:color="auto" w:fill="D9E2F3"/>
            <w:vAlign w:val="center"/>
          </w:tcPr>
          <w:p w14:paraId="2DAA9EFF">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序号</w:t>
            </w:r>
          </w:p>
        </w:tc>
        <w:tc>
          <w:tcPr>
            <w:tcW w:w="1020" w:type="dxa"/>
            <w:shd w:val="clear" w:color="auto" w:fill="D9E2F3"/>
            <w:vAlign w:val="center"/>
          </w:tcPr>
          <w:p w14:paraId="161BF7D0">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姓名</w:t>
            </w:r>
          </w:p>
        </w:tc>
        <w:tc>
          <w:tcPr>
            <w:tcW w:w="1247" w:type="dxa"/>
            <w:shd w:val="clear" w:color="auto" w:fill="D9E2F3"/>
            <w:vAlign w:val="center"/>
          </w:tcPr>
          <w:p w14:paraId="1B3747D7">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岗位</w:t>
            </w:r>
          </w:p>
        </w:tc>
        <w:tc>
          <w:tcPr>
            <w:tcW w:w="567" w:type="dxa"/>
            <w:shd w:val="clear" w:color="auto" w:fill="D9E2F3"/>
            <w:vAlign w:val="center"/>
          </w:tcPr>
          <w:p w14:paraId="27C84E7A">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年龄</w:t>
            </w:r>
          </w:p>
        </w:tc>
        <w:tc>
          <w:tcPr>
            <w:tcW w:w="680" w:type="dxa"/>
            <w:shd w:val="clear" w:color="auto" w:fill="D9E2F3"/>
            <w:vAlign w:val="center"/>
          </w:tcPr>
          <w:p w14:paraId="677B6A3B">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学历</w:t>
            </w:r>
          </w:p>
        </w:tc>
        <w:tc>
          <w:tcPr>
            <w:tcW w:w="850" w:type="dxa"/>
            <w:shd w:val="clear" w:color="auto" w:fill="D9E2F3"/>
            <w:vAlign w:val="center"/>
          </w:tcPr>
          <w:p w14:paraId="6B4EB3EC">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专业</w:t>
            </w:r>
          </w:p>
        </w:tc>
        <w:tc>
          <w:tcPr>
            <w:tcW w:w="1695" w:type="dxa"/>
            <w:shd w:val="clear" w:color="auto" w:fill="D9E2F3"/>
            <w:vAlign w:val="center"/>
          </w:tcPr>
          <w:p w14:paraId="2E895F61">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职称/资格证书</w:t>
            </w:r>
          </w:p>
        </w:tc>
        <w:tc>
          <w:tcPr>
            <w:tcW w:w="1400" w:type="dxa"/>
            <w:shd w:val="clear" w:color="auto" w:fill="D9E2F3"/>
            <w:vAlign w:val="center"/>
          </w:tcPr>
          <w:p w14:paraId="26119C7C">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从事本行业工作年限</w:t>
            </w:r>
          </w:p>
        </w:tc>
        <w:tc>
          <w:tcPr>
            <w:tcW w:w="741" w:type="dxa"/>
            <w:shd w:val="clear" w:color="auto" w:fill="D9E2F3"/>
            <w:vAlign w:val="center"/>
          </w:tcPr>
          <w:p w14:paraId="5E0BC9B6">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sz w:val="21"/>
                <w:szCs w:val="22"/>
                <w:lang w:eastAsia="en-US"/>
              </w:rPr>
              <w:t>备注</w:t>
            </w:r>
          </w:p>
        </w:tc>
      </w:tr>
      <w:tr w14:paraId="78FCF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4401E4B">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val="0"/>
                <w:sz w:val="21"/>
                <w:szCs w:val="22"/>
                <w:lang w:eastAsia="en-US"/>
              </w:rPr>
              <w:t>1</w:t>
            </w:r>
          </w:p>
        </w:tc>
        <w:tc>
          <w:tcPr>
            <w:tcW w:w="1020" w:type="dxa"/>
            <w:vAlign w:val="center"/>
          </w:tcPr>
          <w:p w14:paraId="33D61F95">
            <w:pPr>
              <w:widowControl/>
              <w:spacing w:after="0" w:line="360" w:lineRule="auto"/>
              <w:jc w:val="left"/>
              <w:rPr>
                <w:rFonts w:ascii="宋体" w:hAnsi="宋体" w:eastAsia="宋体" w:cs="Times New Roman"/>
                <w:sz w:val="24"/>
                <w:szCs w:val="22"/>
                <w:lang w:eastAsia="en-US"/>
              </w:rPr>
            </w:pPr>
          </w:p>
        </w:tc>
        <w:tc>
          <w:tcPr>
            <w:tcW w:w="1247" w:type="dxa"/>
            <w:vAlign w:val="center"/>
          </w:tcPr>
          <w:p w14:paraId="6FF61A25">
            <w:pPr>
              <w:widowControl/>
              <w:spacing w:after="0" w:line="360" w:lineRule="auto"/>
              <w:jc w:val="left"/>
              <w:rPr>
                <w:rFonts w:ascii="宋体" w:hAnsi="宋体" w:eastAsia="宋体" w:cs="Times New Roman"/>
                <w:sz w:val="24"/>
                <w:szCs w:val="22"/>
                <w:lang w:eastAsia="en-US"/>
              </w:rPr>
            </w:pPr>
            <w:r>
              <w:rPr>
                <w:rFonts w:ascii="宋体" w:hAnsi="宋体" w:eastAsia="宋体" w:cs="Times New Roman"/>
                <w:b w:val="0"/>
                <w:sz w:val="21"/>
                <w:szCs w:val="22"/>
                <w:lang w:eastAsia="en-US"/>
              </w:rPr>
              <w:t>项目负责人</w:t>
            </w:r>
          </w:p>
        </w:tc>
        <w:tc>
          <w:tcPr>
            <w:tcW w:w="567" w:type="dxa"/>
            <w:vAlign w:val="center"/>
          </w:tcPr>
          <w:p w14:paraId="5C0BA026">
            <w:pPr>
              <w:widowControl/>
              <w:spacing w:after="0" w:line="360" w:lineRule="auto"/>
              <w:jc w:val="left"/>
              <w:rPr>
                <w:rFonts w:ascii="宋体" w:hAnsi="宋体" w:eastAsia="宋体" w:cs="Times New Roman"/>
                <w:sz w:val="24"/>
                <w:szCs w:val="22"/>
                <w:lang w:eastAsia="en-US"/>
              </w:rPr>
            </w:pPr>
          </w:p>
        </w:tc>
        <w:tc>
          <w:tcPr>
            <w:tcW w:w="680" w:type="dxa"/>
            <w:vAlign w:val="center"/>
          </w:tcPr>
          <w:p w14:paraId="592F71FD">
            <w:pPr>
              <w:widowControl/>
              <w:spacing w:after="0" w:line="360" w:lineRule="auto"/>
              <w:jc w:val="left"/>
              <w:rPr>
                <w:rFonts w:ascii="宋体" w:hAnsi="宋体" w:eastAsia="宋体" w:cs="Times New Roman"/>
                <w:sz w:val="24"/>
                <w:szCs w:val="22"/>
                <w:lang w:eastAsia="en-US"/>
              </w:rPr>
            </w:pPr>
          </w:p>
        </w:tc>
        <w:tc>
          <w:tcPr>
            <w:tcW w:w="850" w:type="dxa"/>
            <w:vAlign w:val="center"/>
          </w:tcPr>
          <w:p w14:paraId="7EF51001">
            <w:pPr>
              <w:widowControl/>
              <w:spacing w:after="0" w:line="360" w:lineRule="auto"/>
              <w:jc w:val="left"/>
              <w:rPr>
                <w:rFonts w:ascii="宋体" w:hAnsi="宋体" w:eastAsia="宋体" w:cs="Times New Roman"/>
                <w:sz w:val="24"/>
                <w:szCs w:val="22"/>
                <w:lang w:eastAsia="en-US"/>
              </w:rPr>
            </w:pPr>
          </w:p>
        </w:tc>
        <w:tc>
          <w:tcPr>
            <w:tcW w:w="1695" w:type="dxa"/>
            <w:vAlign w:val="center"/>
          </w:tcPr>
          <w:p w14:paraId="5D5F5F30">
            <w:pPr>
              <w:widowControl/>
              <w:spacing w:after="0" w:line="360" w:lineRule="auto"/>
              <w:jc w:val="left"/>
              <w:rPr>
                <w:rFonts w:ascii="宋体" w:hAnsi="宋体" w:eastAsia="宋体" w:cs="Times New Roman"/>
                <w:sz w:val="24"/>
                <w:szCs w:val="22"/>
                <w:lang w:eastAsia="en-US"/>
              </w:rPr>
            </w:pPr>
          </w:p>
        </w:tc>
        <w:tc>
          <w:tcPr>
            <w:tcW w:w="1400" w:type="dxa"/>
            <w:vAlign w:val="center"/>
          </w:tcPr>
          <w:p w14:paraId="12869576">
            <w:pPr>
              <w:widowControl/>
              <w:spacing w:after="0" w:line="360" w:lineRule="auto"/>
              <w:jc w:val="left"/>
              <w:rPr>
                <w:rFonts w:ascii="宋体" w:hAnsi="宋体" w:eastAsia="宋体" w:cs="Times New Roman"/>
                <w:sz w:val="24"/>
                <w:szCs w:val="22"/>
                <w:lang w:eastAsia="en-US"/>
              </w:rPr>
            </w:pPr>
          </w:p>
        </w:tc>
        <w:tc>
          <w:tcPr>
            <w:tcW w:w="741" w:type="dxa"/>
            <w:vAlign w:val="center"/>
          </w:tcPr>
          <w:p w14:paraId="3959A3A5">
            <w:pPr>
              <w:widowControl/>
              <w:spacing w:after="0" w:line="360" w:lineRule="auto"/>
              <w:jc w:val="left"/>
              <w:rPr>
                <w:rFonts w:ascii="宋体" w:hAnsi="宋体" w:eastAsia="宋体" w:cs="Times New Roman"/>
                <w:sz w:val="24"/>
                <w:szCs w:val="22"/>
                <w:lang w:eastAsia="en-US"/>
              </w:rPr>
            </w:pPr>
          </w:p>
        </w:tc>
      </w:tr>
      <w:tr w14:paraId="4C930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546A11A4">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val="0"/>
                <w:sz w:val="21"/>
                <w:szCs w:val="22"/>
                <w:lang w:eastAsia="en-US"/>
              </w:rPr>
              <w:t>2</w:t>
            </w:r>
          </w:p>
        </w:tc>
        <w:tc>
          <w:tcPr>
            <w:tcW w:w="1020" w:type="dxa"/>
            <w:vAlign w:val="center"/>
          </w:tcPr>
          <w:p w14:paraId="74EDE6F2">
            <w:pPr>
              <w:widowControl/>
              <w:spacing w:after="0" w:line="360" w:lineRule="auto"/>
              <w:jc w:val="left"/>
              <w:rPr>
                <w:rFonts w:ascii="宋体" w:hAnsi="宋体" w:eastAsia="宋体" w:cs="Times New Roman"/>
                <w:sz w:val="24"/>
                <w:szCs w:val="22"/>
                <w:lang w:eastAsia="en-US"/>
              </w:rPr>
            </w:pPr>
          </w:p>
        </w:tc>
        <w:tc>
          <w:tcPr>
            <w:tcW w:w="1247" w:type="dxa"/>
            <w:vAlign w:val="center"/>
          </w:tcPr>
          <w:p w14:paraId="2946BA26">
            <w:pPr>
              <w:widowControl/>
              <w:spacing w:after="0" w:line="360" w:lineRule="auto"/>
              <w:jc w:val="left"/>
              <w:rPr>
                <w:rFonts w:ascii="宋体" w:hAnsi="宋体" w:eastAsia="宋体" w:cs="Times New Roman"/>
                <w:sz w:val="24"/>
                <w:szCs w:val="22"/>
                <w:lang w:eastAsia="en-US"/>
              </w:rPr>
            </w:pPr>
            <w:r>
              <w:rPr>
                <w:rFonts w:ascii="宋体" w:hAnsi="宋体" w:eastAsia="宋体" w:cs="Times New Roman"/>
                <w:b w:val="0"/>
                <w:sz w:val="21"/>
                <w:szCs w:val="22"/>
                <w:lang w:eastAsia="en-US"/>
              </w:rPr>
              <w:t>会议服务主管</w:t>
            </w:r>
          </w:p>
        </w:tc>
        <w:tc>
          <w:tcPr>
            <w:tcW w:w="567" w:type="dxa"/>
            <w:vAlign w:val="center"/>
          </w:tcPr>
          <w:p w14:paraId="0D6960F6">
            <w:pPr>
              <w:widowControl/>
              <w:spacing w:after="0" w:line="360" w:lineRule="auto"/>
              <w:jc w:val="left"/>
              <w:rPr>
                <w:rFonts w:ascii="宋体" w:hAnsi="宋体" w:eastAsia="宋体" w:cs="Times New Roman"/>
                <w:sz w:val="24"/>
                <w:szCs w:val="22"/>
                <w:lang w:eastAsia="en-US"/>
              </w:rPr>
            </w:pPr>
          </w:p>
        </w:tc>
        <w:tc>
          <w:tcPr>
            <w:tcW w:w="680" w:type="dxa"/>
            <w:vAlign w:val="center"/>
          </w:tcPr>
          <w:p w14:paraId="2AA3CAEC">
            <w:pPr>
              <w:widowControl/>
              <w:spacing w:after="0" w:line="360" w:lineRule="auto"/>
              <w:jc w:val="left"/>
              <w:rPr>
                <w:rFonts w:ascii="宋体" w:hAnsi="宋体" w:eastAsia="宋体" w:cs="Times New Roman"/>
                <w:sz w:val="24"/>
                <w:szCs w:val="22"/>
                <w:lang w:eastAsia="en-US"/>
              </w:rPr>
            </w:pPr>
          </w:p>
        </w:tc>
        <w:tc>
          <w:tcPr>
            <w:tcW w:w="850" w:type="dxa"/>
            <w:vAlign w:val="center"/>
          </w:tcPr>
          <w:p w14:paraId="7FEB4782">
            <w:pPr>
              <w:widowControl/>
              <w:spacing w:after="0" w:line="360" w:lineRule="auto"/>
              <w:jc w:val="left"/>
              <w:rPr>
                <w:rFonts w:ascii="宋体" w:hAnsi="宋体" w:eastAsia="宋体" w:cs="Times New Roman"/>
                <w:sz w:val="24"/>
                <w:szCs w:val="22"/>
                <w:lang w:eastAsia="en-US"/>
              </w:rPr>
            </w:pPr>
          </w:p>
        </w:tc>
        <w:tc>
          <w:tcPr>
            <w:tcW w:w="1695" w:type="dxa"/>
            <w:vAlign w:val="center"/>
          </w:tcPr>
          <w:p w14:paraId="07DBDF33">
            <w:pPr>
              <w:widowControl/>
              <w:spacing w:after="0" w:line="360" w:lineRule="auto"/>
              <w:jc w:val="left"/>
              <w:rPr>
                <w:rFonts w:ascii="宋体" w:hAnsi="宋体" w:eastAsia="宋体" w:cs="Times New Roman"/>
                <w:sz w:val="24"/>
                <w:szCs w:val="22"/>
                <w:lang w:eastAsia="en-US"/>
              </w:rPr>
            </w:pPr>
          </w:p>
        </w:tc>
        <w:tc>
          <w:tcPr>
            <w:tcW w:w="1400" w:type="dxa"/>
            <w:vAlign w:val="center"/>
          </w:tcPr>
          <w:p w14:paraId="1770EE24">
            <w:pPr>
              <w:widowControl/>
              <w:spacing w:after="0" w:line="360" w:lineRule="auto"/>
              <w:jc w:val="left"/>
              <w:rPr>
                <w:rFonts w:ascii="宋体" w:hAnsi="宋体" w:eastAsia="宋体" w:cs="Times New Roman"/>
                <w:sz w:val="24"/>
                <w:szCs w:val="22"/>
                <w:lang w:eastAsia="en-US"/>
              </w:rPr>
            </w:pPr>
          </w:p>
        </w:tc>
        <w:tc>
          <w:tcPr>
            <w:tcW w:w="741" w:type="dxa"/>
            <w:vAlign w:val="center"/>
          </w:tcPr>
          <w:p w14:paraId="7BFEFD83">
            <w:pPr>
              <w:widowControl/>
              <w:spacing w:after="0" w:line="360" w:lineRule="auto"/>
              <w:jc w:val="left"/>
              <w:rPr>
                <w:rFonts w:ascii="宋体" w:hAnsi="宋体" w:eastAsia="宋体" w:cs="Times New Roman"/>
                <w:sz w:val="24"/>
                <w:szCs w:val="22"/>
                <w:lang w:eastAsia="en-US"/>
              </w:rPr>
            </w:pPr>
          </w:p>
        </w:tc>
      </w:tr>
      <w:tr w14:paraId="5365D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6EBDDD4">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val="0"/>
                <w:sz w:val="21"/>
                <w:szCs w:val="22"/>
                <w:lang w:eastAsia="en-US"/>
              </w:rPr>
              <w:t>3</w:t>
            </w:r>
          </w:p>
        </w:tc>
        <w:tc>
          <w:tcPr>
            <w:tcW w:w="1020" w:type="dxa"/>
            <w:vAlign w:val="center"/>
          </w:tcPr>
          <w:p w14:paraId="2AB86424">
            <w:pPr>
              <w:widowControl/>
              <w:spacing w:after="0" w:line="360" w:lineRule="auto"/>
              <w:jc w:val="left"/>
              <w:rPr>
                <w:rFonts w:ascii="宋体" w:hAnsi="宋体" w:eastAsia="宋体" w:cs="Times New Roman"/>
                <w:sz w:val="24"/>
                <w:szCs w:val="22"/>
                <w:lang w:eastAsia="en-US"/>
              </w:rPr>
            </w:pPr>
          </w:p>
        </w:tc>
        <w:tc>
          <w:tcPr>
            <w:tcW w:w="1247" w:type="dxa"/>
            <w:vAlign w:val="center"/>
          </w:tcPr>
          <w:p w14:paraId="1178BB1A">
            <w:pPr>
              <w:widowControl/>
              <w:spacing w:after="0" w:line="360" w:lineRule="auto"/>
              <w:jc w:val="left"/>
              <w:rPr>
                <w:rFonts w:ascii="宋体" w:hAnsi="宋体" w:eastAsia="宋体" w:cs="Times New Roman"/>
                <w:sz w:val="24"/>
                <w:szCs w:val="22"/>
                <w:lang w:eastAsia="en-US"/>
              </w:rPr>
            </w:pPr>
            <w:r>
              <w:rPr>
                <w:rFonts w:ascii="宋体" w:hAnsi="宋体" w:eastAsia="宋体" w:cs="Times New Roman"/>
                <w:b w:val="0"/>
                <w:sz w:val="21"/>
                <w:szCs w:val="22"/>
                <w:lang w:eastAsia="en-US"/>
              </w:rPr>
              <w:t>会议服务人员</w:t>
            </w:r>
          </w:p>
        </w:tc>
        <w:tc>
          <w:tcPr>
            <w:tcW w:w="567" w:type="dxa"/>
            <w:vAlign w:val="center"/>
          </w:tcPr>
          <w:p w14:paraId="1154EC77">
            <w:pPr>
              <w:widowControl/>
              <w:spacing w:after="0" w:line="360" w:lineRule="auto"/>
              <w:jc w:val="left"/>
              <w:rPr>
                <w:rFonts w:ascii="宋体" w:hAnsi="宋体" w:eastAsia="宋体" w:cs="Times New Roman"/>
                <w:sz w:val="24"/>
                <w:szCs w:val="22"/>
                <w:lang w:eastAsia="en-US"/>
              </w:rPr>
            </w:pPr>
          </w:p>
        </w:tc>
        <w:tc>
          <w:tcPr>
            <w:tcW w:w="680" w:type="dxa"/>
            <w:vAlign w:val="center"/>
          </w:tcPr>
          <w:p w14:paraId="4CE4EDBA">
            <w:pPr>
              <w:widowControl/>
              <w:spacing w:after="0" w:line="360" w:lineRule="auto"/>
              <w:jc w:val="left"/>
              <w:rPr>
                <w:rFonts w:ascii="宋体" w:hAnsi="宋体" w:eastAsia="宋体" w:cs="Times New Roman"/>
                <w:sz w:val="24"/>
                <w:szCs w:val="22"/>
                <w:lang w:eastAsia="en-US"/>
              </w:rPr>
            </w:pPr>
          </w:p>
        </w:tc>
        <w:tc>
          <w:tcPr>
            <w:tcW w:w="850" w:type="dxa"/>
            <w:vAlign w:val="center"/>
          </w:tcPr>
          <w:p w14:paraId="6DD53B59">
            <w:pPr>
              <w:widowControl/>
              <w:spacing w:after="0" w:line="360" w:lineRule="auto"/>
              <w:jc w:val="left"/>
              <w:rPr>
                <w:rFonts w:ascii="宋体" w:hAnsi="宋体" w:eastAsia="宋体" w:cs="Times New Roman"/>
                <w:sz w:val="24"/>
                <w:szCs w:val="22"/>
                <w:lang w:eastAsia="en-US"/>
              </w:rPr>
            </w:pPr>
          </w:p>
        </w:tc>
        <w:tc>
          <w:tcPr>
            <w:tcW w:w="1695" w:type="dxa"/>
            <w:vAlign w:val="center"/>
          </w:tcPr>
          <w:p w14:paraId="4650B136">
            <w:pPr>
              <w:widowControl/>
              <w:spacing w:after="0" w:line="360" w:lineRule="auto"/>
              <w:jc w:val="left"/>
              <w:rPr>
                <w:rFonts w:ascii="宋体" w:hAnsi="宋体" w:eastAsia="宋体" w:cs="Times New Roman"/>
                <w:sz w:val="24"/>
                <w:szCs w:val="22"/>
                <w:lang w:eastAsia="en-US"/>
              </w:rPr>
            </w:pPr>
          </w:p>
        </w:tc>
        <w:tc>
          <w:tcPr>
            <w:tcW w:w="1400" w:type="dxa"/>
            <w:vAlign w:val="center"/>
          </w:tcPr>
          <w:p w14:paraId="63CA3DCF">
            <w:pPr>
              <w:widowControl/>
              <w:spacing w:after="0" w:line="360" w:lineRule="auto"/>
              <w:jc w:val="left"/>
              <w:rPr>
                <w:rFonts w:ascii="宋体" w:hAnsi="宋体" w:eastAsia="宋体" w:cs="Times New Roman"/>
                <w:sz w:val="24"/>
                <w:szCs w:val="22"/>
                <w:lang w:eastAsia="en-US"/>
              </w:rPr>
            </w:pPr>
          </w:p>
        </w:tc>
        <w:tc>
          <w:tcPr>
            <w:tcW w:w="741" w:type="dxa"/>
            <w:vAlign w:val="center"/>
          </w:tcPr>
          <w:p w14:paraId="432E63C0">
            <w:pPr>
              <w:widowControl/>
              <w:spacing w:after="0" w:line="360" w:lineRule="auto"/>
              <w:jc w:val="left"/>
              <w:rPr>
                <w:rFonts w:ascii="宋体" w:hAnsi="宋体" w:eastAsia="宋体" w:cs="Times New Roman"/>
                <w:sz w:val="24"/>
                <w:szCs w:val="22"/>
                <w:lang w:eastAsia="en-US"/>
              </w:rPr>
            </w:pPr>
          </w:p>
        </w:tc>
      </w:tr>
      <w:tr w14:paraId="2FFDB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0A36CAAE">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val="0"/>
                <w:sz w:val="21"/>
                <w:szCs w:val="22"/>
                <w:lang w:eastAsia="en-US"/>
              </w:rPr>
              <w:t>4</w:t>
            </w:r>
          </w:p>
        </w:tc>
        <w:tc>
          <w:tcPr>
            <w:tcW w:w="1020" w:type="dxa"/>
            <w:vAlign w:val="center"/>
          </w:tcPr>
          <w:p w14:paraId="3C7CE398">
            <w:pPr>
              <w:widowControl/>
              <w:spacing w:after="0" w:line="360" w:lineRule="auto"/>
              <w:jc w:val="left"/>
              <w:rPr>
                <w:rFonts w:ascii="宋体" w:hAnsi="宋体" w:eastAsia="宋体" w:cs="Times New Roman"/>
                <w:sz w:val="24"/>
                <w:szCs w:val="22"/>
                <w:lang w:eastAsia="en-US"/>
              </w:rPr>
            </w:pPr>
          </w:p>
        </w:tc>
        <w:tc>
          <w:tcPr>
            <w:tcW w:w="1247" w:type="dxa"/>
            <w:vAlign w:val="center"/>
          </w:tcPr>
          <w:p w14:paraId="26F4BD79">
            <w:pPr>
              <w:widowControl/>
              <w:spacing w:after="0" w:line="360" w:lineRule="auto"/>
              <w:jc w:val="left"/>
              <w:rPr>
                <w:rFonts w:ascii="宋体" w:hAnsi="宋体" w:eastAsia="宋体" w:cs="Times New Roman"/>
                <w:sz w:val="24"/>
                <w:szCs w:val="22"/>
                <w:lang w:eastAsia="en-US"/>
              </w:rPr>
            </w:pPr>
            <w:r>
              <w:rPr>
                <w:rFonts w:ascii="宋体" w:hAnsi="宋体" w:eastAsia="宋体" w:cs="Times New Roman"/>
                <w:b w:val="0"/>
                <w:sz w:val="21"/>
                <w:szCs w:val="22"/>
                <w:lang w:eastAsia="en-US"/>
              </w:rPr>
              <w:t>会议服务人员</w:t>
            </w:r>
          </w:p>
        </w:tc>
        <w:tc>
          <w:tcPr>
            <w:tcW w:w="567" w:type="dxa"/>
            <w:vAlign w:val="center"/>
          </w:tcPr>
          <w:p w14:paraId="69F91978">
            <w:pPr>
              <w:widowControl/>
              <w:spacing w:after="0" w:line="360" w:lineRule="auto"/>
              <w:jc w:val="left"/>
              <w:rPr>
                <w:rFonts w:ascii="宋体" w:hAnsi="宋体" w:eastAsia="宋体" w:cs="Times New Roman"/>
                <w:sz w:val="24"/>
                <w:szCs w:val="22"/>
                <w:lang w:eastAsia="en-US"/>
              </w:rPr>
            </w:pPr>
          </w:p>
        </w:tc>
        <w:tc>
          <w:tcPr>
            <w:tcW w:w="680" w:type="dxa"/>
            <w:vAlign w:val="center"/>
          </w:tcPr>
          <w:p w14:paraId="47537964">
            <w:pPr>
              <w:widowControl/>
              <w:spacing w:after="0" w:line="360" w:lineRule="auto"/>
              <w:jc w:val="left"/>
              <w:rPr>
                <w:rFonts w:ascii="宋体" w:hAnsi="宋体" w:eastAsia="宋体" w:cs="Times New Roman"/>
                <w:sz w:val="24"/>
                <w:szCs w:val="22"/>
                <w:lang w:eastAsia="en-US"/>
              </w:rPr>
            </w:pPr>
          </w:p>
        </w:tc>
        <w:tc>
          <w:tcPr>
            <w:tcW w:w="850" w:type="dxa"/>
            <w:vAlign w:val="center"/>
          </w:tcPr>
          <w:p w14:paraId="08CD2D8E">
            <w:pPr>
              <w:widowControl/>
              <w:spacing w:after="0" w:line="360" w:lineRule="auto"/>
              <w:jc w:val="left"/>
              <w:rPr>
                <w:rFonts w:ascii="宋体" w:hAnsi="宋体" w:eastAsia="宋体" w:cs="Times New Roman"/>
                <w:sz w:val="24"/>
                <w:szCs w:val="22"/>
                <w:lang w:eastAsia="en-US"/>
              </w:rPr>
            </w:pPr>
          </w:p>
        </w:tc>
        <w:tc>
          <w:tcPr>
            <w:tcW w:w="1695" w:type="dxa"/>
            <w:vAlign w:val="center"/>
          </w:tcPr>
          <w:p w14:paraId="53EE73B5">
            <w:pPr>
              <w:widowControl/>
              <w:spacing w:after="0" w:line="360" w:lineRule="auto"/>
              <w:jc w:val="left"/>
              <w:rPr>
                <w:rFonts w:ascii="宋体" w:hAnsi="宋体" w:eastAsia="宋体" w:cs="Times New Roman"/>
                <w:sz w:val="24"/>
                <w:szCs w:val="22"/>
                <w:lang w:eastAsia="en-US"/>
              </w:rPr>
            </w:pPr>
          </w:p>
        </w:tc>
        <w:tc>
          <w:tcPr>
            <w:tcW w:w="1400" w:type="dxa"/>
            <w:vAlign w:val="center"/>
          </w:tcPr>
          <w:p w14:paraId="0772B96D">
            <w:pPr>
              <w:widowControl/>
              <w:spacing w:after="0" w:line="360" w:lineRule="auto"/>
              <w:jc w:val="left"/>
              <w:rPr>
                <w:rFonts w:ascii="宋体" w:hAnsi="宋体" w:eastAsia="宋体" w:cs="Times New Roman"/>
                <w:sz w:val="24"/>
                <w:szCs w:val="22"/>
                <w:lang w:eastAsia="en-US"/>
              </w:rPr>
            </w:pPr>
          </w:p>
        </w:tc>
        <w:tc>
          <w:tcPr>
            <w:tcW w:w="741" w:type="dxa"/>
            <w:vAlign w:val="center"/>
          </w:tcPr>
          <w:p w14:paraId="691F368B">
            <w:pPr>
              <w:widowControl/>
              <w:spacing w:after="0" w:line="360" w:lineRule="auto"/>
              <w:jc w:val="left"/>
              <w:rPr>
                <w:rFonts w:ascii="宋体" w:hAnsi="宋体" w:eastAsia="宋体" w:cs="Times New Roman"/>
                <w:sz w:val="24"/>
                <w:szCs w:val="22"/>
                <w:lang w:eastAsia="en-US"/>
              </w:rPr>
            </w:pPr>
          </w:p>
        </w:tc>
      </w:tr>
      <w:tr w14:paraId="684F2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71C358B7">
            <w:pPr>
              <w:widowControl/>
              <w:spacing w:after="0" w:line="360" w:lineRule="auto"/>
              <w:jc w:val="center"/>
              <w:rPr>
                <w:rFonts w:ascii="宋体" w:hAnsi="宋体" w:eastAsia="宋体" w:cs="Times New Roman"/>
                <w:sz w:val="24"/>
                <w:szCs w:val="22"/>
                <w:lang w:eastAsia="en-US"/>
              </w:rPr>
            </w:pPr>
            <w:r>
              <w:rPr>
                <w:rFonts w:ascii="宋体" w:hAnsi="宋体" w:eastAsia="宋体" w:cs="Times New Roman"/>
                <w:b w:val="0"/>
                <w:sz w:val="21"/>
                <w:szCs w:val="22"/>
                <w:lang w:eastAsia="en-US"/>
              </w:rPr>
              <w:t>5</w:t>
            </w:r>
          </w:p>
        </w:tc>
        <w:tc>
          <w:tcPr>
            <w:tcW w:w="1020" w:type="dxa"/>
            <w:vAlign w:val="center"/>
          </w:tcPr>
          <w:p w14:paraId="5338D52C">
            <w:pPr>
              <w:widowControl/>
              <w:spacing w:after="0" w:line="360" w:lineRule="auto"/>
              <w:jc w:val="left"/>
              <w:rPr>
                <w:rFonts w:ascii="宋体" w:hAnsi="宋体" w:eastAsia="宋体" w:cs="Times New Roman"/>
                <w:sz w:val="24"/>
                <w:szCs w:val="22"/>
                <w:lang w:eastAsia="en-US"/>
              </w:rPr>
            </w:pPr>
          </w:p>
        </w:tc>
        <w:tc>
          <w:tcPr>
            <w:tcW w:w="1247" w:type="dxa"/>
            <w:vAlign w:val="center"/>
          </w:tcPr>
          <w:p w14:paraId="640CFE60">
            <w:pPr>
              <w:widowControl/>
              <w:spacing w:after="0" w:line="360" w:lineRule="auto"/>
              <w:jc w:val="left"/>
              <w:rPr>
                <w:rFonts w:ascii="宋体" w:hAnsi="宋体" w:eastAsia="宋体" w:cs="Times New Roman"/>
                <w:sz w:val="24"/>
                <w:szCs w:val="22"/>
                <w:lang w:eastAsia="en-US"/>
              </w:rPr>
            </w:pPr>
            <w:r>
              <w:rPr>
                <w:rFonts w:ascii="宋体" w:hAnsi="宋体" w:eastAsia="宋体" w:cs="Times New Roman"/>
                <w:b w:val="0"/>
                <w:sz w:val="21"/>
                <w:szCs w:val="22"/>
                <w:highlight w:val="none"/>
                <w:lang w:eastAsia="en-US"/>
              </w:rPr>
              <w:t>接待人员</w:t>
            </w:r>
          </w:p>
        </w:tc>
        <w:tc>
          <w:tcPr>
            <w:tcW w:w="567" w:type="dxa"/>
            <w:vAlign w:val="center"/>
          </w:tcPr>
          <w:p w14:paraId="38B3D0C7">
            <w:pPr>
              <w:widowControl/>
              <w:spacing w:after="0" w:line="360" w:lineRule="auto"/>
              <w:jc w:val="left"/>
              <w:rPr>
                <w:rFonts w:ascii="宋体" w:hAnsi="宋体" w:eastAsia="宋体" w:cs="Times New Roman"/>
                <w:sz w:val="24"/>
                <w:szCs w:val="22"/>
                <w:lang w:eastAsia="en-US"/>
              </w:rPr>
            </w:pPr>
          </w:p>
        </w:tc>
        <w:tc>
          <w:tcPr>
            <w:tcW w:w="680" w:type="dxa"/>
            <w:vAlign w:val="center"/>
          </w:tcPr>
          <w:p w14:paraId="10AEF03F">
            <w:pPr>
              <w:widowControl/>
              <w:spacing w:after="0" w:line="360" w:lineRule="auto"/>
              <w:jc w:val="left"/>
              <w:rPr>
                <w:rFonts w:ascii="宋体" w:hAnsi="宋体" w:eastAsia="宋体" w:cs="Times New Roman"/>
                <w:sz w:val="24"/>
                <w:szCs w:val="22"/>
                <w:lang w:eastAsia="en-US"/>
              </w:rPr>
            </w:pPr>
          </w:p>
        </w:tc>
        <w:tc>
          <w:tcPr>
            <w:tcW w:w="850" w:type="dxa"/>
            <w:vAlign w:val="center"/>
          </w:tcPr>
          <w:p w14:paraId="77AD7EDE">
            <w:pPr>
              <w:widowControl/>
              <w:spacing w:after="0" w:line="360" w:lineRule="auto"/>
              <w:jc w:val="left"/>
              <w:rPr>
                <w:rFonts w:ascii="宋体" w:hAnsi="宋体" w:eastAsia="宋体" w:cs="Times New Roman"/>
                <w:sz w:val="24"/>
                <w:szCs w:val="22"/>
                <w:lang w:eastAsia="en-US"/>
              </w:rPr>
            </w:pPr>
          </w:p>
        </w:tc>
        <w:tc>
          <w:tcPr>
            <w:tcW w:w="1695" w:type="dxa"/>
            <w:vAlign w:val="center"/>
          </w:tcPr>
          <w:p w14:paraId="54B8280F">
            <w:pPr>
              <w:widowControl/>
              <w:spacing w:after="0" w:line="360" w:lineRule="auto"/>
              <w:jc w:val="left"/>
              <w:rPr>
                <w:rFonts w:ascii="宋体" w:hAnsi="宋体" w:eastAsia="宋体" w:cs="Times New Roman"/>
                <w:sz w:val="24"/>
                <w:szCs w:val="22"/>
                <w:lang w:eastAsia="en-US"/>
              </w:rPr>
            </w:pPr>
          </w:p>
        </w:tc>
        <w:tc>
          <w:tcPr>
            <w:tcW w:w="1400" w:type="dxa"/>
            <w:vAlign w:val="center"/>
          </w:tcPr>
          <w:p w14:paraId="05F21680">
            <w:pPr>
              <w:widowControl/>
              <w:spacing w:after="0" w:line="360" w:lineRule="auto"/>
              <w:jc w:val="left"/>
              <w:rPr>
                <w:rFonts w:ascii="宋体" w:hAnsi="宋体" w:eastAsia="宋体" w:cs="Times New Roman"/>
                <w:sz w:val="24"/>
                <w:szCs w:val="22"/>
                <w:lang w:eastAsia="en-US"/>
              </w:rPr>
            </w:pPr>
          </w:p>
        </w:tc>
        <w:tc>
          <w:tcPr>
            <w:tcW w:w="741" w:type="dxa"/>
            <w:vAlign w:val="center"/>
          </w:tcPr>
          <w:p w14:paraId="445B4E12">
            <w:pPr>
              <w:widowControl/>
              <w:spacing w:after="0" w:line="360" w:lineRule="auto"/>
              <w:jc w:val="left"/>
              <w:rPr>
                <w:rFonts w:ascii="宋体" w:hAnsi="宋体" w:eastAsia="宋体" w:cs="Times New Roman"/>
                <w:sz w:val="24"/>
                <w:szCs w:val="22"/>
                <w:lang w:eastAsia="en-US"/>
              </w:rPr>
            </w:pPr>
          </w:p>
        </w:tc>
      </w:tr>
      <w:tr w14:paraId="49120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15C577ED">
            <w:pPr>
              <w:widowControl/>
              <w:spacing w:after="0" w:line="360" w:lineRule="auto"/>
              <w:jc w:val="center"/>
              <w:rPr>
                <w:rFonts w:hint="eastAsia" w:ascii="宋体" w:hAnsi="宋体" w:eastAsia="宋体" w:cs="Times New Roman"/>
                <w:sz w:val="24"/>
                <w:szCs w:val="22"/>
                <w:lang w:eastAsia="zh-CN"/>
              </w:rPr>
            </w:pPr>
            <w:r>
              <w:rPr>
                <w:rFonts w:hint="eastAsia" w:ascii="宋体" w:hAnsi="宋体" w:eastAsia="宋体" w:cs="Times New Roman"/>
                <w:b w:val="0"/>
                <w:sz w:val="21"/>
                <w:szCs w:val="22"/>
                <w:lang w:val="en-US" w:eastAsia="zh-CN"/>
              </w:rPr>
              <w:t>6</w:t>
            </w:r>
          </w:p>
        </w:tc>
        <w:tc>
          <w:tcPr>
            <w:tcW w:w="1020" w:type="dxa"/>
            <w:vAlign w:val="center"/>
          </w:tcPr>
          <w:p w14:paraId="3FFD8C22">
            <w:pPr>
              <w:widowControl/>
              <w:spacing w:after="0" w:line="360" w:lineRule="auto"/>
              <w:jc w:val="left"/>
              <w:rPr>
                <w:rFonts w:ascii="宋体" w:hAnsi="宋体" w:eastAsia="宋体" w:cs="Times New Roman"/>
                <w:sz w:val="24"/>
                <w:szCs w:val="22"/>
                <w:lang w:eastAsia="en-US"/>
              </w:rPr>
            </w:pPr>
          </w:p>
        </w:tc>
        <w:tc>
          <w:tcPr>
            <w:tcW w:w="1247" w:type="dxa"/>
            <w:vAlign w:val="center"/>
          </w:tcPr>
          <w:p w14:paraId="12187B4A">
            <w:pPr>
              <w:widowControl/>
              <w:spacing w:after="0" w:line="360" w:lineRule="auto"/>
              <w:jc w:val="left"/>
              <w:rPr>
                <w:rFonts w:ascii="宋体" w:hAnsi="宋体" w:eastAsia="宋体" w:cs="Times New Roman"/>
                <w:sz w:val="24"/>
                <w:szCs w:val="22"/>
                <w:lang w:eastAsia="en-US"/>
              </w:rPr>
            </w:pPr>
            <w:r>
              <w:rPr>
                <w:rFonts w:ascii="宋体" w:hAnsi="宋体" w:eastAsia="宋体" w:cs="Times New Roman"/>
                <w:b w:val="0"/>
                <w:sz w:val="21"/>
                <w:szCs w:val="22"/>
                <w:lang w:eastAsia="en-US"/>
              </w:rPr>
              <w:t>保洁人员</w:t>
            </w:r>
          </w:p>
        </w:tc>
        <w:tc>
          <w:tcPr>
            <w:tcW w:w="567" w:type="dxa"/>
            <w:vAlign w:val="center"/>
          </w:tcPr>
          <w:p w14:paraId="6931CA22">
            <w:pPr>
              <w:widowControl/>
              <w:spacing w:after="0" w:line="360" w:lineRule="auto"/>
              <w:jc w:val="left"/>
              <w:rPr>
                <w:rFonts w:ascii="宋体" w:hAnsi="宋体" w:eastAsia="宋体" w:cs="Times New Roman"/>
                <w:sz w:val="24"/>
                <w:szCs w:val="22"/>
                <w:lang w:eastAsia="en-US"/>
              </w:rPr>
            </w:pPr>
          </w:p>
        </w:tc>
        <w:tc>
          <w:tcPr>
            <w:tcW w:w="680" w:type="dxa"/>
            <w:vAlign w:val="center"/>
          </w:tcPr>
          <w:p w14:paraId="0E90A067">
            <w:pPr>
              <w:widowControl/>
              <w:spacing w:after="0" w:line="360" w:lineRule="auto"/>
              <w:jc w:val="left"/>
              <w:rPr>
                <w:rFonts w:ascii="宋体" w:hAnsi="宋体" w:eastAsia="宋体" w:cs="Times New Roman"/>
                <w:sz w:val="24"/>
                <w:szCs w:val="22"/>
                <w:lang w:eastAsia="en-US"/>
              </w:rPr>
            </w:pPr>
          </w:p>
        </w:tc>
        <w:tc>
          <w:tcPr>
            <w:tcW w:w="850" w:type="dxa"/>
            <w:vAlign w:val="center"/>
          </w:tcPr>
          <w:p w14:paraId="587969C5">
            <w:pPr>
              <w:widowControl/>
              <w:spacing w:after="0" w:line="360" w:lineRule="auto"/>
              <w:jc w:val="left"/>
              <w:rPr>
                <w:rFonts w:ascii="宋体" w:hAnsi="宋体" w:eastAsia="宋体" w:cs="Times New Roman"/>
                <w:sz w:val="24"/>
                <w:szCs w:val="22"/>
                <w:lang w:eastAsia="en-US"/>
              </w:rPr>
            </w:pPr>
          </w:p>
        </w:tc>
        <w:tc>
          <w:tcPr>
            <w:tcW w:w="1695" w:type="dxa"/>
            <w:vAlign w:val="center"/>
          </w:tcPr>
          <w:p w14:paraId="6D83504B">
            <w:pPr>
              <w:widowControl/>
              <w:spacing w:after="0" w:line="360" w:lineRule="auto"/>
              <w:jc w:val="left"/>
              <w:rPr>
                <w:rFonts w:ascii="宋体" w:hAnsi="宋体" w:eastAsia="宋体" w:cs="Times New Roman"/>
                <w:sz w:val="24"/>
                <w:szCs w:val="22"/>
                <w:lang w:eastAsia="en-US"/>
              </w:rPr>
            </w:pPr>
          </w:p>
        </w:tc>
        <w:tc>
          <w:tcPr>
            <w:tcW w:w="1400" w:type="dxa"/>
            <w:vAlign w:val="center"/>
          </w:tcPr>
          <w:p w14:paraId="13F6507F">
            <w:pPr>
              <w:widowControl/>
              <w:spacing w:after="0" w:line="360" w:lineRule="auto"/>
              <w:jc w:val="left"/>
              <w:rPr>
                <w:rFonts w:ascii="宋体" w:hAnsi="宋体" w:eastAsia="宋体" w:cs="Times New Roman"/>
                <w:sz w:val="24"/>
                <w:szCs w:val="22"/>
                <w:lang w:eastAsia="en-US"/>
              </w:rPr>
            </w:pPr>
          </w:p>
        </w:tc>
        <w:tc>
          <w:tcPr>
            <w:tcW w:w="741" w:type="dxa"/>
            <w:vAlign w:val="center"/>
          </w:tcPr>
          <w:p w14:paraId="54175F11">
            <w:pPr>
              <w:widowControl/>
              <w:spacing w:after="0" w:line="360" w:lineRule="auto"/>
              <w:jc w:val="left"/>
              <w:rPr>
                <w:rFonts w:ascii="宋体" w:hAnsi="宋体" w:eastAsia="宋体" w:cs="Times New Roman"/>
                <w:sz w:val="24"/>
                <w:szCs w:val="22"/>
                <w:lang w:eastAsia="en-US"/>
              </w:rPr>
            </w:pPr>
          </w:p>
        </w:tc>
      </w:tr>
      <w:tr w14:paraId="54A50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2BF8A671">
            <w:pPr>
              <w:widowControl/>
              <w:spacing w:after="0" w:line="360" w:lineRule="auto"/>
              <w:jc w:val="center"/>
              <w:rPr>
                <w:rFonts w:hint="default" w:ascii="宋体" w:hAnsi="宋体" w:eastAsia="宋体" w:cs="Times New Roman"/>
                <w:b w:val="0"/>
                <w:sz w:val="21"/>
                <w:szCs w:val="22"/>
                <w:lang w:val="en-US" w:eastAsia="zh-CN"/>
              </w:rPr>
            </w:pPr>
            <w:r>
              <w:rPr>
                <w:rFonts w:hint="eastAsia" w:ascii="宋体" w:hAnsi="宋体" w:eastAsia="宋体" w:cs="Times New Roman"/>
                <w:b w:val="0"/>
                <w:sz w:val="21"/>
                <w:szCs w:val="22"/>
                <w:lang w:val="en-US" w:eastAsia="zh-CN"/>
              </w:rPr>
              <w:t>7</w:t>
            </w:r>
          </w:p>
        </w:tc>
        <w:tc>
          <w:tcPr>
            <w:tcW w:w="1020" w:type="dxa"/>
            <w:vAlign w:val="center"/>
          </w:tcPr>
          <w:p w14:paraId="2F9284F9">
            <w:pPr>
              <w:widowControl/>
              <w:spacing w:after="0" w:line="360" w:lineRule="auto"/>
              <w:jc w:val="left"/>
              <w:rPr>
                <w:rFonts w:ascii="宋体" w:hAnsi="宋体" w:eastAsia="宋体" w:cs="Times New Roman"/>
                <w:sz w:val="24"/>
                <w:szCs w:val="22"/>
                <w:lang w:eastAsia="en-US"/>
              </w:rPr>
            </w:pPr>
          </w:p>
        </w:tc>
        <w:tc>
          <w:tcPr>
            <w:tcW w:w="1247" w:type="dxa"/>
            <w:vAlign w:val="center"/>
          </w:tcPr>
          <w:p w14:paraId="1EF718B1">
            <w:pPr>
              <w:widowControl/>
              <w:spacing w:after="0" w:line="360" w:lineRule="auto"/>
              <w:jc w:val="left"/>
              <w:rPr>
                <w:rFonts w:hint="default" w:ascii="宋体" w:hAnsi="宋体" w:eastAsia="宋体" w:cs="Times New Roman"/>
                <w:b w:val="0"/>
                <w:sz w:val="21"/>
                <w:szCs w:val="22"/>
                <w:lang w:val="en-US" w:eastAsia="zh-CN"/>
              </w:rPr>
            </w:pPr>
            <w:r>
              <w:rPr>
                <w:rFonts w:hint="eastAsia" w:ascii="宋体" w:hAnsi="宋体" w:eastAsia="宋体" w:cs="Times New Roman"/>
                <w:b w:val="0"/>
                <w:sz w:val="21"/>
                <w:szCs w:val="22"/>
                <w:lang w:val="en-US" w:eastAsia="zh-CN"/>
              </w:rPr>
              <w:t>保安人员</w:t>
            </w:r>
          </w:p>
        </w:tc>
        <w:tc>
          <w:tcPr>
            <w:tcW w:w="567" w:type="dxa"/>
            <w:vAlign w:val="center"/>
          </w:tcPr>
          <w:p w14:paraId="24F0F306">
            <w:pPr>
              <w:widowControl/>
              <w:spacing w:after="0" w:line="360" w:lineRule="auto"/>
              <w:jc w:val="left"/>
              <w:rPr>
                <w:rFonts w:ascii="宋体" w:hAnsi="宋体" w:eastAsia="宋体" w:cs="Times New Roman"/>
                <w:sz w:val="24"/>
                <w:szCs w:val="22"/>
                <w:lang w:eastAsia="en-US"/>
              </w:rPr>
            </w:pPr>
          </w:p>
        </w:tc>
        <w:tc>
          <w:tcPr>
            <w:tcW w:w="680" w:type="dxa"/>
            <w:vAlign w:val="center"/>
          </w:tcPr>
          <w:p w14:paraId="7EDB6330">
            <w:pPr>
              <w:widowControl/>
              <w:spacing w:after="0" w:line="360" w:lineRule="auto"/>
              <w:jc w:val="left"/>
              <w:rPr>
                <w:rFonts w:ascii="宋体" w:hAnsi="宋体" w:eastAsia="宋体" w:cs="Times New Roman"/>
                <w:sz w:val="24"/>
                <w:szCs w:val="22"/>
                <w:lang w:eastAsia="en-US"/>
              </w:rPr>
            </w:pPr>
          </w:p>
        </w:tc>
        <w:tc>
          <w:tcPr>
            <w:tcW w:w="850" w:type="dxa"/>
            <w:vAlign w:val="center"/>
          </w:tcPr>
          <w:p w14:paraId="421B2AA4">
            <w:pPr>
              <w:widowControl/>
              <w:spacing w:after="0" w:line="360" w:lineRule="auto"/>
              <w:jc w:val="left"/>
              <w:rPr>
                <w:rFonts w:ascii="宋体" w:hAnsi="宋体" w:eastAsia="宋体" w:cs="Times New Roman"/>
                <w:sz w:val="24"/>
                <w:szCs w:val="22"/>
                <w:lang w:eastAsia="en-US"/>
              </w:rPr>
            </w:pPr>
          </w:p>
        </w:tc>
        <w:tc>
          <w:tcPr>
            <w:tcW w:w="1695" w:type="dxa"/>
            <w:vAlign w:val="center"/>
          </w:tcPr>
          <w:p w14:paraId="198CE1A5">
            <w:pPr>
              <w:widowControl/>
              <w:spacing w:after="0" w:line="360" w:lineRule="auto"/>
              <w:jc w:val="left"/>
              <w:rPr>
                <w:rFonts w:ascii="宋体" w:hAnsi="宋体" w:eastAsia="宋体" w:cs="Times New Roman"/>
                <w:sz w:val="24"/>
                <w:szCs w:val="22"/>
                <w:lang w:eastAsia="en-US"/>
              </w:rPr>
            </w:pPr>
          </w:p>
        </w:tc>
        <w:tc>
          <w:tcPr>
            <w:tcW w:w="1400" w:type="dxa"/>
            <w:vAlign w:val="center"/>
          </w:tcPr>
          <w:p w14:paraId="0C021EB3">
            <w:pPr>
              <w:widowControl/>
              <w:spacing w:after="0" w:line="360" w:lineRule="auto"/>
              <w:jc w:val="left"/>
              <w:rPr>
                <w:rFonts w:ascii="宋体" w:hAnsi="宋体" w:eastAsia="宋体" w:cs="Times New Roman"/>
                <w:sz w:val="24"/>
                <w:szCs w:val="22"/>
                <w:lang w:eastAsia="en-US"/>
              </w:rPr>
            </w:pPr>
          </w:p>
        </w:tc>
        <w:tc>
          <w:tcPr>
            <w:tcW w:w="741" w:type="dxa"/>
            <w:vAlign w:val="center"/>
          </w:tcPr>
          <w:p w14:paraId="1DDC2343">
            <w:pPr>
              <w:widowControl/>
              <w:spacing w:after="0" w:line="360" w:lineRule="auto"/>
              <w:jc w:val="left"/>
              <w:rPr>
                <w:rFonts w:ascii="宋体" w:hAnsi="宋体" w:eastAsia="宋体" w:cs="Times New Roman"/>
                <w:sz w:val="24"/>
                <w:szCs w:val="22"/>
                <w:lang w:eastAsia="en-US"/>
              </w:rPr>
            </w:pPr>
          </w:p>
        </w:tc>
      </w:tr>
      <w:tr w14:paraId="75B7C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4DF1DE4">
            <w:pPr>
              <w:widowControl/>
              <w:spacing w:after="0" w:line="360" w:lineRule="auto"/>
              <w:jc w:val="center"/>
              <w:rPr>
                <w:rFonts w:hint="default" w:ascii="宋体" w:hAnsi="宋体" w:eastAsia="宋体" w:cs="Times New Roman"/>
                <w:sz w:val="24"/>
                <w:szCs w:val="22"/>
                <w:lang w:val="en-US" w:eastAsia="zh-CN"/>
              </w:rPr>
            </w:pPr>
            <w:r>
              <w:rPr>
                <w:rFonts w:hint="eastAsia" w:ascii="宋体" w:hAnsi="宋体" w:eastAsia="宋体" w:cs="Times New Roman"/>
                <w:sz w:val="24"/>
                <w:szCs w:val="22"/>
                <w:lang w:val="en-US" w:eastAsia="zh-CN"/>
              </w:rPr>
              <w:t>8</w:t>
            </w:r>
          </w:p>
        </w:tc>
        <w:tc>
          <w:tcPr>
            <w:tcW w:w="1020" w:type="dxa"/>
            <w:vAlign w:val="center"/>
          </w:tcPr>
          <w:p w14:paraId="1893FEC9">
            <w:pPr>
              <w:widowControl/>
              <w:spacing w:after="0" w:line="360" w:lineRule="auto"/>
              <w:jc w:val="left"/>
              <w:rPr>
                <w:rFonts w:ascii="宋体" w:hAnsi="宋体" w:eastAsia="宋体" w:cs="Times New Roman"/>
                <w:sz w:val="24"/>
                <w:szCs w:val="22"/>
                <w:lang w:eastAsia="en-US"/>
              </w:rPr>
            </w:pPr>
          </w:p>
        </w:tc>
        <w:tc>
          <w:tcPr>
            <w:tcW w:w="1247" w:type="dxa"/>
            <w:vAlign w:val="center"/>
          </w:tcPr>
          <w:p w14:paraId="7E5F57DA">
            <w:pPr>
              <w:widowControl/>
              <w:spacing w:after="0" w:line="360" w:lineRule="auto"/>
              <w:jc w:val="left"/>
              <w:rPr>
                <w:rFonts w:ascii="宋体" w:hAnsi="宋体" w:eastAsia="宋体" w:cs="Times New Roman"/>
                <w:sz w:val="24"/>
                <w:szCs w:val="22"/>
                <w:lang w:eastAsia="en-US"/>
              </w:rPr>
            </w:pPr>
            <w:r>
              <w:rPr>
                <w:rFonts w:ascii="宋体" w:hAnsi="宋体" w:eastAsia="宋体" w:cs="Times New Roman"/>
                <w:b w:val="0"/>
                <w:sz w:val="21"/>
                <w:szCs w:val="22"/>
                <w:lang w:eastAsia="en-US"/>
              </w:rPr>
              <w:t>设备运维人员</w:t>
            </w:r>
          </w:p>
        </w:tc>
        <w:tc>
          <w:tcPr>
            <w:tcW w:w="567" w:type="dxa"/>
            <w:vAlign w:val="center"/>
          </w:tcPr>
          <w:p w14:paraId="56876BD6">
            <w:pPr>
              <w:widowControl/>
              <w:spacing w:after="0" w:line="360" w:lineRule="auto"/>
              <w:jc w:val="left"/>
              <w:rPr>
                <w:rFonts w:ascii="宋体" w:hAnsi="宋体" w:eastAsia="宋体" w:cs="Times New Roman"/>
                <w:sz w:val="24"/>
                <w:szCs w:val="22"/>
                <w:lang w:eastAsia="en-US"/>
              </w:rPr>
            </w:pPr>
          </w:p>
        </w:tc>
        <w:tc>
          <w:tcPr>
            <w:tcW w:w="680" w:type="dxa"/>
            <w:vAlign w:val="center"/>
          </w:tcPr>
          <w:p w14:paraId="29701997">
            <w:pPr>
              <w:widowControl/>
              <w:spacing w:after="0" w:line="360" w:lineRule="auto"/>
              <w:jc w:val="left"/>
              <w:rPr>
                <w:rFonts w:ascii="宋体" w:hAnsi="宋体" w:eastAsia="宋体" w:cs="Times New Roman"/>
                <w:sz w:val="24"/>
                <w:szCs w:val="22"/>
                <w:lang w:eastAsia="en-US"/>
              </w:rPr>
            </w:pPr>
          </w:p>
        </w:tc>
        <w:tc>
          <w:tcPr>
            <w:tcW w:w="850" w:type="dxa"/>
            <w:vAlign w:val="center"/>
          </w:tcPr>
          <w:p w14:paraId="5FBC5C97">
            <w:pPr>
              <w:widowControl/>
              <w:spacing w:after="0" w:line="360" w:lineRule="auto"/>
              <w:jc w:val="left"/>
              <w:rPr>
                <w:rFonts w:ascii="宋体" w:hAnsi="宋体" w:eastAsia="宋体" w:cs="Times New Roman"/>
                <w:sz w:val="24"/>
                <w:szCs w:val="22"/>
                <w:lang w:eastAsia="en-US"/>
              </w:rPr>
            </w:pPr>
          </w:p>
        </w:tc>
        <w:tc>
          <w:tcPr>
            <w:tcW w:w="1695" w:type="dxa"/>
            <w:vAlign w:val="center"/>
          </w:tcPr>
          <w:p w14:paraId="535070FF">
            <w:pPr>
              <w:widowControl/>
              <w:spacing w:after="0" w:line="360" w:lineRule="auto"/>
              <w:jc w:val="left"/>
              <w:rPr>
                <w:rFonts w:ascii="宋体" w:hAnsi="宋体" w:eastAsia="宋体" w:cs="Times New Roman"/>
                <w:sz w:val="24"/>
                <w:szCs w:val="22"/>
                <w:lang w:eastAsia="en-US"/>
              </w:rPr>
            </w:pPr>
          </w:p>
        </w:tc>
        <w:tc>
          <w:tcPr>
            <w:tcW w:w="1400" w:type="dxa"/>
            <w:vAlign w:val="center"/>
          </w:tcPr>
          <w:p w14:paraId="4B929AD0">
            <w:pPr>
              <w:widowControl/>
              <w:spacing w:after="0" w:line="360" w:lineRule="auto"/>
              <w:jc w:val="left"/>
              <w:rPr>
                <w:rFonts w:ascii="宋体" w:hAnsi="宋体" w:eastAsia="宋体" w:cs="Times New Roman"/>
                <w:sz w:val="24"/>
                <w:szCs w:val="22"/>
                <w:lang w:eastAsia="en-US"/>
              </w:rPr>
            </w:pPr>
          </w:p>
        </w:tc>
        <w:tc>
          <w:tcPr>
            <w:tcW w:w="741" w:type="dxa"/>
            <w:vAlign w:val="center"/>
          </w:tcPr>
          <w:p w14:paraId="05F3C74A">
            <w:pPr>
              <w:widowControl/>
              <w:spacing w:after="0" w:line="360" w:lineRule="auto"/>
              <w:jc w:val="left"/>
              <w:rPr>
                <w:rFonts w:ascii="宋体" w:hAnsi="宋体" w:eastAsia="宋体" w:cs="Times New Roman"/>
                <w:sz w:val="24"/>
                <w:szCs w:val="22"/>
                <w:lang w:eastAsia="en-US"/>
              </w:rPr>
            </w:pPr>
          </w:p>
        </w:tc>
      </w:tr>
      <w:tr w14:paraId="20F8B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36A2B39E">
            <w:pPr>
              <w:widowControl/>
              <w:spacing w:after="0" w:line="360" w:lineRule="auto"/>
              <w:jc w:val="center"/>
              <w:rPr>
                <w:rFonts w:ascii="宋体" w:hAnsi="宋体" w:eastAsia="宋体" w:cs="Times New Roman"/>
                <w:sz w:val="24"/>
                <w:szCs w:val="22"/>
                <w:lang w:eastAsia="en-US"/>
              </w:rPr>
            </w:pPr>
          </w:p>
        </w:tc>
        <w:tc>
          <w:tcPr>
            <w:tcW w:w="1020" w:type="dxa"/>
            <w:vAlign w:val="center"/>
          </w:tcPr>
          <w:p w14:paraId="769D1416">
            <w:pPr>
              <w:widowControl/>
              <w:spacing w:after="0" w:line="360" w:lineRule="auto"/>
              <w:jc w:val="left"/>
              <w:rPr>
                <w:rFonts w:ascii="宋体" w:hAnsi="宋体" w:eastAsia="宋体" w:cs="Times New Roman"/>
                <w:sz w:val="24"/>
                <w:szCs w:val="22"/>
                <w:lang w:eastAsia="en-US"/>
              </w:rPr>
            </w:pPr>
          </w:p>
        </w:tc>
        <w:tc>
          <w:tcPr>
            <w:tcW w:w="1247" w:type="dxa"/>
            <w:vAlign w:val="center"/>
          </w:tcPr>
          <w:p w14:paraId="09E331CC">
            <w:pPr>
              <w:widowControl/>
              <w:spacing w:after="0" w:line="360" w:lineRule="auto"/>
              <w:jc w:val="left"/>
              <w:rPr>
                <w:rFonts w:ascii="宋体" w:hAnsi="宋体" w:eastAsia="宋体" w:cs="Times New Roman"/>
                <w:sz w:val="24"/>
                <w:szCs w:val="22"/>
                <w:lang w:eastAsia="en-US"/>
              </w:rPr>
            </w:pPr>
            <w:r>
              <w:rPr>
                <w:rFonts w:hint="eastAsia" w:ascii="宋体" w:hAnsi="宋体" w:eastAsia="宋体" w:cs="宋体"/>
                <w:b/>
                <w:bCs/>
                <w:color w:val="auto"/>
                <w:sz w:val="24"/>
                <w:szCs w:val="24"/>
                <w:highlight w:val="none"/>
                <w:lang w:val="en-US" w:eastAsia="zh-CN"/>
              </w:rPr>
              <w:t>……</w:t>
            </w:r>
          </w:p>
        </w:tc>
        <w:tc>
          <w:tcPr>
            <w:tcW w:w="567" w:type="dxa"/>
            <w:vAlign w:val="center"/>
          </w:tcPr>
          <w:p w14:paraId="35EC55D4">
            <w:pPr>
              <w:widowControl/>
              <w:spacing w:after="0" w:line="360" w:lineRule="auto"/>
              <w:jc w:val="left"/>
              <w:rPr>
                <w:rFonts w:ascii="宋体" w:hAnsi="宋体" w:eastAsia="宋体" w:cs="Times New Roman"/>
                <w:sz w:val="24"/>
                <w:szCs w:val="22"/>
                <w:lang w:eastAsia="en-US"/>
              </w:rPr>
            </w:pPr>
          </w:p>
        </w:tc>
        <w:tc>
          <w:tcPr>
            <w:tcW w:w="680" w:type="dxa"/>
            <w:vAlign w:val="center"/>
          </w:tcPr>
          <w:p w14:paraId="2BC35965">
            <w:pPr>
              <w:widowControl/>
              <w:spacing w:after="0" w:line="360" w:lineRule="auto"/>
              <w:jc w:val="left"/>
              <w:rPr>
                <w:rFonts w:ascii="宋体" w:hAnsi="宋体" w:eastAsia="宋体" w:cs="Times New Roman"/>
                <w:sz w:val="24"/>
                <w:szCs w:val="22"/>
                <w:lang w:eastAsia="en-US"/>
              </w:rPr>
            </w:pPr>
          </w:p>
        </w:tc>
        <w:tc>
          <w:tcPr>
            <w:tcW w:w="850" w:type="dxa"/>
            <w:vAlign w:val="center"/>
          </w:tcPr>
          <w:p w14:paraId="799E1F2D">
            <w:pPr>
              <w:widowControl/>
              <w:spacing w:after="0" w:line="360" w:lineRule="auto"/>
              <w:jc w:val="left"/>
              <w:rPr>
                <w:rFonts w:ascii="宋体" w:hAnsi="宋体" w:eastAsia="宋体" w:cs="Times New Roman"/>
                <w:sz w:val="24"/>
                <w:szCs w:val="22"/>
                <w:lang w:eastAsia="en-US"/>
              </w:rPr>
            </w:pPr>
          </w:p>
        </w:tc>
        <w:tc>
          <w:tcPr>
            <w:tcW w:w="1695" w:type="dxa"/>
            <w:vAlign w:val="center"/>
          </w:tcPr>
          <w:p w14:paraId="28BFFF85">
            <w:pPr>
              <w:widowControl/>
              <w:spacing w:after="0" w:line="360" w:lineRule="auto"/>
              <w:jc w:val="left"/>
              <w:rPr>
                <w:rFonts w:ascii="宋体" w:hAnsi="宋体" w:eastAsia="宋体" w:cs="Times New Roman"/>
                <w:sz w:val="24"/>
                <w:szCs w:val="22"/>
                <w:lang w:eastAsia="en-US"/>
              </w:rPr>
            </w:pPr>
          </w:p>
        </w:tc>
        <w:tc>
          <w:tcPr>
            <w:tcW w:w="1400" w:type="dxa"/>
            <w:vAlign w:val="center"/>
          </w:tcPr>
          <w:p w14:paraId="5BB02708">
            <w:pPr>
              <w:widowControl/>
              <w:spacing w:after="0" w:line="360" w:lineRule="auto"/>
              <w:jc w:val="left"/>
              <w:rPr>
                <w:rFonts w:ascii="宋体" w:hAnsi="宋体" w:eastAsia="宋体" w:cs="Times New Roman"/>
                <w:sz w:val="24"/>
                <w:szCs w:val="22"/>
                <w:lang w:eastAsia="en-US"/>
              </w:rPr>
            </w:pPr>
          </w:p>
        </w:tc>
        <w:tc>
          <w:tcPr>
            <w:tcW w:w="741" w:type="dxa"/>
            <w:vAlign w:val="center"/>
          </w:tcPr>
          <w:p w14:paraId="16B329C4">
            <w:pPr>
              <w:widowControl/>
              <w:spacing w:after="0" w:line="360" w:lineRule="auto"/>
              <w:jc w:val="left"/>
              <w:rPr>
                <w:rFonts w:ascii="宋体" w:hAnsi="宋体" w:eastAsia="宋体" w:cs="Times New Roman"/>
                <w:sz w:val="24"/>
                <w:szCs w:val="22"/>
                <w:lang w:eastAsia="en-US"/>
              </w:rPr>
            </w:pPr>
          </w:p>
        </w:tc>
      </w:tr>
      <w:tr w14:paraId="0286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7" w:type="dxa"/>
            <w:vAlign w:val="center"/>
          </w:tcPr>
          <w:p w14:paraId="69020B56">
            <w:pPr>
              <w:widowControl/>
              <w:spacing w:after="0" w:line="360" w:lineRule="auto"/>
              <w:jc w:val="center"/>
              <w:rPr>
                <w:rFonts w:ascii="宋体" w:hAnsi="宋体" w:eastAsia="宋体" w:cs="Times New Roman"/>
                <w:sz w:val="24"/>
                <w:szCs w:val="22"/>
                <w:lang w:eastAsia="en-US"/>
              </w:rPr>
            </w:pPr>
          </w:p>
        </w:tc>
        <w:tc>
          <w:tcPr>
            <w:tcW w:w="1020" w:type="dxa"/>
            <w:vAlign w:val="center"/>
          </w:tcPr>
          <w:p w14:paraId="7D9C4F66">
            <w:pPr>
              <w:widowControl/>
              <w:spacing w:after="0" w:line="360" w:lineRule="auto"/>
              <w:jc w:val="left"/>
              <w:rPr>
                <w:rFonts w:ascii="宋体" w:hAnsi="宋体" w:eastAsia="宋体" w:cs="Times New Roman"/>
                <w:sz w:val="24"/>
                <w:szCs w:val="22"/>
                <w:lang w:eastAsia="en-US"/>
              </w:rPr>
            </w:pPr>
          </w:p>
        </w:tc>
        <w:tc>
          <w:tcPr>
            <w:tcW w:w="1247" w:type="dxa"/>
            <w:vAlign w:val="center"/>
          </w:tcPr>
          <w:p w14:paraId="68007E54">
            <w:pPr>
              <w:widowControl/>
              <w:spacing w:after="0" w:line="360" w:lineRule="auto"/>
              <w:jc w:val="left"/>
              <w:rPr>
                <w:rFonts w:ascii="宋体" w:hAnsi="宋体" w:eastAsia="宋体" w:cs="Times New Roman"/>
                <w:sz w:val="24"/>
                <w:szCs w:val="22"/>
                <w:lang w:eastAsia="en-US"/>
              </w:rPr>
            </w:pPr>
          </w:p>
        </w:tc>
        <w:tc>
          <w:tcPr>
            <w:tcW w:w="567" w:type="dxa"/>
            <w:vAlign w:val="center"/>
          </w:tcPr>
          <w:p w14:paraId="33D8A3F0">
            <w:pPr>
              <w:widowControl/>
              <w:spacing w:after="0" w:line="360" w:lineRule="auto"/>
              <w:jc w:val="left"/>
              <w:rPr>
                <w:rFonts w:ascii="宋体" w:hAnsi="宋体" w:eastAsia="宋体" w:cs="Times New Roman"/>
                <w:sz w:val="24"/>
                <w:szCs w:val="22"/>
                <w:lang w:eastAsia="en-US"/>
              </w:rPr>
            </w:pPr>
          </w:p>
        </w:tc>
        <w:tc>
          <w:tcPr>
            <w:tcW w:w="680" w:type="dxa"/>
            <w:vAlign w:val="center"/>
          </w:tcPr>
          <w:p w14:paraId="24A8742B">
            <w:pPr>
              <w:widowControl/>
              <w:spacing w:after="0" w:line="360" w:lineRule="auto"/>
              <w:jc w:val="left"/>
              <w:rPr>
                <w:rFonts w:ascii="宋体" w:hAnsi="宋体" w:eastAsia="宋体" w:cs="Times New Roman"/>
                <w:sz w:val="24"/>
                <w:szCs w:val="22"/>
                <w:lang w:eastAsia="en-US"/>
              </w:rPr>
            </w:pPr>
          </w:p>
        </w:tc>
        <w:tc>
          <w:tcPr>
            <w:tcW w:w="850" w:type="dxa"/>
            <w:vAlign w:val="center"/>
          </w:tcPr>
          <w:p w14:paraId="56132C40">
            <w:pPr>
              <w:widowControl/>
              <w:spacing w:after="0" w:line="360" w:lineRule="auto"/>
              <w:jc w:val="left"/>
              <w:rPr>
                <w:rFonts w:ascii="宋体" w:hAnsi="宋体" w:eastAsia="宋体" w:cs="Times New Roman"/>
                <w:sz w:val="24"/>
                <w:szCs w:val="22"/>
                <w:lang w:eastAsia="en-US"/>
              </w:rPr>
            </w:pPr>
          </w:p>
        </w:tc>
        <w:tc>
          <w:tcPr>
            <w:tcW w:w="1695" w:type="dxa"/>
            <w:vAlign w:val="center"/>
          </w:tcPr>
          <w:p w14:paraId="6AA383DB">
            <w:pPr>
              <w:widowControl/>
              <w:spacing w:after="0" w:line="360" w:lineRule="auto"/>
              <w:jc w:val="left"/>
              <w:rPr>
                <w:rFonts w:ascii="宋体" w:hAnsi="宋体" w:eastAsia="宋体" w:cs="Times New Roman"/>
                <w:sz w:val="24"/>
                <w:szCs w:val="22"/>
                <w:lang w:eastAsia="en-US"/>
              </w:rPr>
            </w:pPr>
          </w:p>
        </w:tc>
        <w:tc>
          <w:tcPr>
            <w:tcW w:w="1400" w:type="dxa"/>
            <w:vAlign w:val="center"/>
          </w:tcPr>
          <w:p w14:paraId="47087F6B">
            <w:pPr>
              <w:widowControl/>
              <w:spacing w:after="0" w:line="360" w:lineRule="auto"/>
              <w:jc w:val="left"/>
              <w:rPr>
                <w:rFonts w:ascii="宋体" w:hAnsi="宋体" w:eastAsia="宋体" w:cs="Times New Roman"/>
                <w:sz w:val="24"/>
                <w:szCs w:val="22"/>
                <w:lang w:eastAsia="en-US"/>
              </w:rPr>
            </w:pPr>
          </w:p>
        </w:tc>
        <w:tc>
          <w:tcPr>
            <w:tcW w:w="741" w:type="dxa"/>
            <w:vAlign w:val="center"/>
          </w:tcPr>
          <w:p w14:paraId="12FE48D4">
            <w:pPr>
              <w:widowControl/>
              <w:spacing w:after="0" w:line="360" w:lineRule="auto"/>
              <w:jc w:val="left"/>
              <w:rPr>
                <w:rFonts w:ascii="宋体" w:hAnsi="宋体" w:eastAsia="宋体" w:cs="Times New Roman"/>
                <w:sz w:val="24"/>
                <w:szCs w:val="22"/>
                <w:lang w:eastAsia="en-US"/>
              </w:rPr>
            </w:pPr>
          </w:p>
        </w:tc>
      </w:tr>
    </w:tbl>
    <w:p w14:paraId="11242485">
      <w:pPr>
        <w:rPr>
          <w:rFonts w:hint="eastAsia" w:ascii="宋体" w:hAnsi="宋体" w:eastAsia="宋体" w:cs="宋体"/>
          <w:color w:val="auto"/>
          <w:sz w:val="24"/>
          <w:szCs w:val="24"/>
          <w:highlight w:val="none"/>
        </w:rPr>
      </w:pPr>
    </w:p>
    <w:p w14:paraId="374C4CCE">
      <w:pPr>
        <w:spacing w:before="50" w:after="50"/>
        <w:rPr>
          <w:rFonts w:ascii="宋体" w:hAnsi="宋体" w:eastAsia="宋体"/>
          <w:b w:val="0"/>
          <w:sz w:val="24"/>
        </w:rPr>
      </w:pPr>
      <w:r>
        <w:rPr>
          <w:rFonts w:ascii="宋体" w:hAnsi="宋体" w:eastAsia="宋体"/>
          <w:b/>
          <w:sz w:val="24"/>
        </w:rPr>
        <w:t>注：1、投标人应根据实际拟投入人员情况填写，行数不够可自行增加。2、项目负责人及关键岗位人员须附身份证、学历证书、资格证书、劳动合同及近三个月社保缴纳证明扫描件。</w:t>
      </w:r>
    </w:p>
    <w:p w14:paraId="1BF9E98D">
      <w:pPr>
        <w:spacing w:before="50" w:after="50"/>
        <w:rPr>
          <w:rFonts w:ascii="宋体" w:hAnsi="宋体" w:eastAsia="宋体"/>
          <w:b w:val="0"/>
          <w:sz w:val="24"/>
        </w:rPr>
      </w:pPr>
    </w:p>
    <w:p w14:paraId="739CA5F1">
      <w:pPr>
        <w:spacing w:before="50" w:after="50"/>
        <w:rPr>
          <w:rFonts w:hint="eastAsia" w:ascii="宋体" w:hAnsi="宋体" w:eastAsia="宋体"/>
          <w:b w:val="0"/>
          <w:sz w:val="24"/>
        </w:rPr>
      </w:pPr>
    </w:p>
    <w:p w14:paraId="0DB8202A">
      <w:pPr>
        <w:spacing w:before="50" w:after="50"/>
        <w:ind w:firstLine="120"/>
        <w:jc w:val="right"/>
        <w:rPr>
          <w:rFonts w:hint="eastAsia" w:ascii="宋体" w:hAnsi="宋体" w:eastAsia="宋体" w:cs="宋体"/>
          <w:color w:val="auto"/>
          <w:spacing w:val="20"/>
          <w:sz w:val="24"/>
          <w:szCs w:val="22"/>
          <w:highlight w:val="none"/>
          <w:u w:val="single"/>
        </w:rPr>
      </w:pPr>
      <w:r>
        <w:rPr>
          <w:rFonts w:hint="eastAsia" w:ascii="宋体" w:hAnsi="宋体" w:eastAsia="宋体" w:cs="宋体"/>
          <w:color w:val="auto"/>
          <w:sz w:val="24"/>
          <w:szCs w:val="22"/>
          <w:highlight w:val="none"/>
        </w:rPr>
        <w:t xml:space="preserve">               法定代表人或委托</w:t>
      </w:r>
      <w:r>
        <w:rPr>
          <w:rFonts w:hint="eastAsia" w:ascii="宋体" w:hAnsi="宋体" w:eastAsia="宋体" w:cs="宋体"/>
          <w:color w:val="auto"/>
          <w:sz w:val="24"/>
          <w:szCs w:val="22"/>
          <w:highlight w:val="none"/>
          <w:lang w:eastAsia="zh-CN"/>
        </w:rPr>
        <w:t>代理</w:t>
      </w:r>
      <w:r>
        <w:rPr>
          <w:rFonts w:hint="eastAsia" w:ascii="宋体" w:hAnsi="宋体" w:eastAsia="宋体" w:cs="宋体"/>
          <w:color w:val="auto"/>
          <w:sz w:val="24"/>
          <w:szCs w:val="22"/>
          <w:highlight w:val="none"/>
        </w:rPr>
        <w:t>人</w:t>
      </w:r>
      <w:r>
        <w:rPr>
          <w:rFonts w:hint="eastAsia" w:ascii="宋体" w:hAnsi="宋体" w:eastAsia="宋体" w:cs="宋体"/>
          <w:color w:val="auto"/>
          <w:spacing w:val="20"/>
          <w:sz w:val="24"/>
          <w:szCs w:val="22"/>
          <w:highlight w:val="none"/>
        </w:rPr>
        <w:t>：</w:t>
      </w:r>
      <w:r>
        <w:rPr>
          <w:rFonts w:hint="eastAsia" w:ascii="宋体" w:hAnsi="宋体" w:eastAsia="宋体" w:cs="宋体"/>
          <w:color w:val="auto"/>
          <w:sz w:val="24"/>
          <w:szCs w:val="22"/>
          <w:highlight w:val="none"/>
          <w:u w:val="single"/>
        </w:rPr>
        <w:t>（签字或盖章）</w:t>
      </w:r>
    </w:p>
    <w:p w14:paraId="73BF3D7B">
      <w:pPr>
        <w:spacing w:before="50" w:after="50"/>
        <w:ind w:firstLine="5040"/>
        <w:rPr>
          <w:rFonts w:hint="eastAsia" w:ascii="宋体" w:hAnsi="宋体" w:eastAsia="宋体" w:cs="宋体"/>
          <w:color w:val="auto"/>
          <w:spacing w:val="20"/>
          <w:sz w:val="24"/>
          <w:szCs w:val="22"/>
          <w:highlight w:val="none"/>
        </w:rPr>
      </w:pPr>
      <w:r>
        <w:rPr>
          <w:rFonts w:hint="eastAsia" w:ascii="宋体" w:hAnsi="宋体" w:eastAsia="宋体" w:cs="宋体"/>
          <w:color w:val="auto"/>
          <w:spacing w:val="20"/>
          <w:sz w:val="24"/>
          <w:szCs w:val="22"/>
          <w:highlight w:val="none"/>
        </w:rPr>
        <w:t>投标人：</w:t>
      </w:r>
      <w:r>
        <w:rPr>
          <w:rFonts w:hint="eastAsia" w:ascii="宋体" w:hAnsi="宋体" w:eastAsia="宋体" w:cs="宋体"/>
          <w:color w:val="auto"/>
          <w:spacing w:val="20"/>
          <w:sz w:val="24"/>
          <w:szCs w:val="22"/>
          <w:highlight w:val="none"/>
          <w:u w:val="single"/>
        </w:rPr>
        <w:t>（</w:t>
      </w:r>
      <w:r>
        <w:rPr>
          <w:rFonts w:hint="eastAsia" w:ascii="宋体" w:hAnsi="宋体" w:eastAsia="宋体" w:cs="宋体"/>
          <w:color w:val="auto"/>
          <w:sz w:val="24"/>
          <w:szCs w:val="22"/>
          <w:highlight w:val="none"/>
          <w:u w:val="single"/>
        </w:rPr>
        <w:t>加盖CA电子签章</w:t>
      </w:r>
      <w:r>
        <w:rPr>
          <w:rFonts w:hint="eastAsia" w:ascii="宋体" w:hAnsi="宋体" w:eastAsia="宋体" w:cs="宋体"/>
          <w:color w:val="auto"/>
          <w:spacing w:val="20"/>
          <w:sz w:val="24"/>
          <w:szCs w:val="22"/>
          <w:highlight w:val="none"/>
          <w:u w:val="single"/>
        </w:rPr>
        <w:t>）</w:t>
      </w:r>
    </w:p>
    <w:p w14:paraId="5B4B8073">
      <w:pPr>
        <w:spacing w:before="50" w:after="50"/>
        <w:ind w:firstLine="5040"/>
        <w:rPr>
          <w:rFonts w:hint="eastAsia" w:ascii="宋体" w:hAnsi="宋体" w:eastAsia="宋体" w:cs="宋体"/>
          <w:color w:val="auto"/>
          <w:sz w:val="32"/>
          <w:szCs w:val="32"/>
          <w:highlight w:val="none"/>
        </w:rPr>
      </w:pPr>
      <w:r>
        <w:rPr>
          <w:rFonts w:hint="eastAsia" w:ascii="宋体" w:hAnsi="宋体" w:eastAsia="宋体" w:cs="宋体"/>
          <w:color w:val="auto"/>
          <w:spacing w:val="20"/>
          <w:sz w:val="24"/>
          <w:szCs w:val="22"/>
          <w:highlight w:val="none"/>
        </w:rPr>
        <w:t>日</w:t>
      </w:r>
      <w:r>
        <w:rPr>
          <w:rFonts w:hint="eastAsia" w:ascii="宋体" w:hAnsi="宋体" w:eastAsia="宋体" w:cs="宋体"/>
          <w:color w:val="auto"/>
          <w:spacing w:val="20"/>
          <w:sz w:val="24"/>
          <w:szCs w:val="22"/>
          <w:highlight w:val="none"/>
          <w:lang w:val="en-US" w:eastAsia="zh-CN"/>
        </w:rPr>
        <w:t xml:space="preserve">  </w:t>
      </w:r>
      <w:r>
        <w:rPr>
          <w:rFonts w:hint="eastAsia" w:ascii="宋体" w:hAnsi="宋体" w:eastAsia="宋体" w:cs="宋体"/>
          <w:color w:val="auto"/>
          <w:spacing w:val="20"/>
          <w:sz w:val="24"/>
          <w:szCs w:val="22"/>
          <w:highlight w:val="none"/>
        </w:rPr>
        <w:t>期：</w:t>
      </w:r>
    </w:p>
    <w:p w14:paraId="65090700">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7E0E122E">
      <w:pPr>
        <w:widowControl/>
        <w:spacing w:before="50" w:after="50" w:line="360" w:lineRule="auto"/>
        <w:jc w:val="center"/>
        <w:rPr>
          <w:rFonts w:hint="eastAsia" w:ascii="宋体" w:hAnsi="宋体" w:eastAsia="宋体" w:cs="宋体"/>
          <w:b/>
          <w:bCs/>
          <w:color w:val="000000"/>
          <w:sz w:val="32"/>
          <w:szCs w:val="32"/>
          <w:highlight w:val="yellow"/>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七</w:t>
      </w:r>
      <w:r>
        <w:rPr>
          <w:rFonts w:hint="eastAsia" w:ascii="宋体" w:hAnsi="宋体" w:eastAsia="宋体" w:cs="宋体"/>
          <w:b/>
          <w:bCs/>
          <w:color w:val="000000"/>
          <w:sz w:val="32"/>
          <w:szCs w:val="32"/>
        </w:rPr>
        <w:t>、服务方案</w:t>
      </w:r>
      <w:r>
        <w:rPr>
          <w:rFonts w:hint="eastAsia" w:ascii="宋体" w:hAnsi="宋体" w:eastAsia="宋体" w:cs="宋体"/>
          <w:b/>
          <w:bCs/>
          <w:color w:val="000000"/>
          <w:sz w:val="32"/>
          <w:szCs w:val="32"/>
          <w:lang w:eastAsia="zh-CN"/>
        </w:rPr>
        <w:t>、</w:t>
      </w:r>
      <w:r>
        <w:rPr>
          <w:rFonts w:hint="eastAsia" w:ascii="宋体" w:hAnsi="宋体" w:eastAsia="宋体" w:cs="宋体"/>
          <w:b/>
          <w:bCs/>
          <w:color w:val="000000"/>
          <w:sz w:val="32"/>
          <w:szCs w:val="32"/>
        </w:rPr>
        <w:t>保障措施等</w:t>
      </w:r>
    </w:p>
    <w:p w14:paraId="4B34242C">
      <w:pPr>
        <w:pStyle w:val="32"/>
        <w:tabs>
          <w:tab w:val="left" w:pos="2160"/>
        </w:tabs>
        <w:spacing w:beforeAutospacing="0" w:afterAutospacing="0" w:line="360" w:lineRule="auto"/>
        <w:jc w:val="both"/>
      </w:pPr>
    </w:p>
    <w:p w14:paraId="5954E941">
      <w:pPr>
        <w:widowControl/>
        <w:spacing w:line="360" w:lineRule="auto"/>
        <w:ind w:firstLine="1600"/>
        <w:rPr>
          <w:rFonts w:hint="eastAsia" w:ascii="宋体" w:hAnsi="宋体" w:eastAsia="宋体" w:cs="宋体"/>
          <w:color w:val="000000"/>
          <w:sz w:val="32"/>
          <w:szCs w:val="32"/>
        </w:rPr>
      </w:pPr>
    </w:p>
    <w:p w14:paraId="3B781427">
      <w:pPr>
        <w:widowControl/>
        <w:spacing w:line="360" w:lineRule="auto"/>
        <w:ind w:firstLine="1600"/>
        <w:rPr>
          <w:rFonts w:hint="eastAsia" w:ascii="宋体" w:hAnsi="宋体" w:eastAsia="宋体" w:cs="宋体"/>
          <w:color w:val="000000"/>
          <w:sz w:val="32"/>
          <w:szCs w:val="32"/>
        </w:rPr>
      </w:pPr>
    </w:p>
    <w:p w14:paraId="7B13F0D5">
      <w:pPr>
        <w:widowControl/>
        <w:spacing w:line="360" w:lineRule="auto"/>
        <w:ind w:firstLine="1600"/>
        <w:rPr>
          <w:rFonts w:hint="eastAsia" w:ascii="宋体" w:hAnsi="宋体" w:eastAsia="宋体" w:cs="宋体"/>
          <w:color w:val="000000"/>
          <w:sz w:val="32"/>
          <w:szCs w:val="32"/>
        </w:rPr>
      </w:pPr>
    </w:p>
    <w:p w14:paraId="65BEDE9B">
      <w:pPr>
        <w:widowControl/>
        <w:spacing w:line="360" w:lineRule="auto"/>
        <w:ind w:firstLine="1600"/>
        <w:rPr>
          <w:rFonts w:hint="eastAsia" w:ascii="宋体" w:hAnsi="宋体" w:eastAsia="宋体" w:cs="宋体"/>
          <w:color w:val="000000"/>
          <w:sz w:val="32"/>
          <w:szCs w:val="32"/>
        </w:rPr>
      </w:pPr>
    </w:p>
    <w:p w14:paraId="4F8361F9">
      <w:pPr>
        <w:widowControl/>
        <w:spacing w:line="360" w:lineRule="auto"/>
        <w:ind w:firstLine="1600"/>
        <w:rPr>
          <w:rFonts w:hint="eastAsia" w:ascii="宋体" w:hAnsi="宋体" w:eastAsia="宋体" w:cs="宋体"/>
          <w:color w:val="000000"/>
          <w:sz w:val="32"/>
          <w:szCs w:val="32"/>
        </w:rPr>
      </w:pPr>
    </w:p>
    <w:p w14:paraId="7B7399D5">
      <w:pPr>
        <w:widowControl/>
        <w:spacing w:line="360" w:lineRule="auto"/>
        <w:ind w:firstLine="1600"/>
        <w:rPr>
          <w:rFonts w:hint="eastAsia" w:ascii="宋体" w:hAnsi="宋体" w:eastAsia="宋体" w:cs="宋体"/>
          <w:color w:val="000000"/>
          <w:sz w:val="32"/>
          <w:szCs w:val="32"/>
        </w:rPr>
      </w:pPr>
    </w:p>
    <w:p w14:paraId="4E96B26E">
      <w:pPr>
        <w:widowControl/>
        <w:spacing w:line="360" w:lineRule="auto"/>
        <w:ind w:firstLine="1600"/>
        <w:rPr>
          <w:rFonts w:hint="eastAsia" w:ascii="宋体" w:hAnsi="宋体" w:eastAsia="宋体" w:cs="宋体"/>
          <w:color w:val="000000"/>
          <w:sz w:val="32"/>
          <w:szCs w:val="32"/>
        </w:rPr>
      </w:pPr>
    </w:p>
    <w:p w14:paraId="53A779C2">
      <w:pPr>
        <w:widowControl/>
        <w:spacing w:line="360" w:lineRule="auto"/>
        <w:ind w:firstLine="1600"/>
        <w:rPr>
          <w:rFonts w:hint="eastAsia" w:ascii="宋体" w:hAnsi="宋体" w:eastAsia="宋体" w:cs="宋体"/>
          <w:color w:val="000000"/>
          <w:sz w:val="32"/>
          <w:szCs w:val="32"/>
        </w:rPr>
      </w:pPr>
    </w:p>
    <w:p w14:paraId="798747B9">
      <w:pPr>
        <w:widowControl/>
        <w:spacing w:line="360" w:lineRule="auto"/>
        <w:ind w:firstLine="1600"/>
        <w:rPr>
          <w:rFonts w:hint="eastAsia" w:ascii="宋体" w:hAnsi="宋体" w:eastAsia="宋体" w:cs="宋体"/>
          <w:color w:val="000000"/>
          <w:sz w:val="32"/>
          <w:szCs w:val="32"/>
        </w:rPr>
      </w:pPr>
    </w:p>
    <w:p w14:paraId="557E3ED7">
      <w:pPr>
        <w:widowControl/>
        <w:spacing w:line="360" w:lineRule="auto"/>
        <w:ind w:firstLine="1600"/>
        <w:rPr>
          <w:rFonts w:hint="eastAsia" w:ascii="宋体" w:hAnsi="宋体" w:eastAsia="宋体" w:cs="宋体"/>
          <w:color w:val="000000"/>
          <w:sz w:val="32"/>
          <w:szCs w:val="32"/>
        </w:rPr>
      </w:pPr>
    </w:p>
    <w:p w14:paraId="24F46582">
      <w:pPr>
        <w:widowControl/>
        <w:spacing w:line="360" w:lineRule="auto"/>
        <w:ind w:firstLine="1600"/>
        <w:rPr>
          <w:rFonts w:hint="eastAsia" w:ascii="宋体" w:hAnsi="宋体" w:eastAsia="宋体" w:cs="宋体"/>
          <w:color w:val="000000"/>
          <w:sz w:val="32"/>
          <w:szCs w:val="32"/>
        </w:rPr>
      </w:pPr>
    </w:p>
    <w:p w14:paraId="5E836B95">
      <w:pPr>
        <w:widowControl/>
        <w:spacing w:line="360" w:lineRule="auto"/>
        <w:ind w:firstLine="1600"/>
        <w:rPr>
          <w:rFonts w:hint="eastAsia" w:ascii="宋体" w:hAnsi="宋体" w:eastAsia="宋体" w:cs="宋体"/>
          <w:color w:val="000000"/>
          <w:sz w:val="32"/>
          <w:szCs w:val="32"/>
        </w:rPr>
      </w:pPr>
    </w:p>
    <w:p w14:paraId="3DF61990">
      <w:pPr>
        <w:widowControl/>
        <w:spacing w:line="360" w:lineRule="auto"/>
        <w:ind w:firstLine="1600"/>
        <w:rPr>
          <w:rFonts w:hint="eastAsia" w:ascii="宋体" w:hAnsi="宋体" w:eastAsia="宋体" w:cs="宋体"/>
          <w:color w:val="000000"/>
          <w:sz w:val="32"/>
          <w:szCs w:val="32"/>
        </w:rPr>
      </w:pPr>
    </w:p>
    <w:p w14:paraId="0B5566FB">
      <w:pPr>
        <w:widowControl/>
        <w:spacing w:line="360" w:lineRule="auto"/>
        <w:ind w:firstLine="1600"/>
        <w:rPr>
          <w:rFonts w:hint="eastAsia" w:ascii="宋体" w:hAnsi="宋体" w:eastAsia="宋体" w:cs="宋体"/>
          <w:color w:val="000000"/>
          <w:sz w:val="32"/>
          <w:szCs w:val="32"/>
        </w:rPr>
      </w:pPr>
    </w:p>
    <w:p w14:paraId="0A76CC59">
      <w:pPr>
        <w:widowControl/>
        <w:spacing w:line="360" w:lineRule="auto"/>
        <w:ind w:firstLine="1600"/>
        <w:rPr>
          <w:rFonts w:hint="eastAsia" w:ascii="宋体" w:hAnsi="宋体" w:eastAsia="宋体" w:cs="宋体"/>
          <w:color w:val="000000"/>
          <w:sz w:val="32"/>
          <w:szCs w:val="32"/>
        </w:rPr>
      </w:pPr>
    </w:p>
    <w:p w14:paraId="55E1B9BE">
      <w:pPr>
        <w:widowControl/>
        <w:spacing w:line="360" w:lineRule="auto"/>
        <w:ind w:firstLine="1600"/>
        <w:rPr>
          <w:rFonts w:hint="eastAsia" w:ascii="宋体" w:hAnsi="宋体" w:eastAsia="宋体" w:cs="宋体"/>
          <w:color w:val="000000"/>
          <w:sz w:val="32"/>
          <w:szCs w:val="32"/>
        </w:rPr>
      </w:pPr>
    </w:p>
    <w:p w14:paraId="473D4B5A">
      <w:pPr>
        <w:widowControl/>
        <w:spacing w:line="360" w:lineRule="auto"/>
        <w:ind w:firstLine="1600"/>
        <w:rPr>
          <w:rFonts w:hint="eastAsia" w:ascii="宋体" w:hAnsi="宋体" w:eastAsia="宋体" w:cs="宋体"/>
          <w:color w:val="000000"/>
          <w:sz w:val="32"/>
          <w:szCs w:val="32"/>
        </w:rPr>
      </w:pPr>
    </w:p>
    <w:p w14:paraId="41595E80">
      <w:pPr>
        <w:widowControl/>
        <w:spacing w:line="360" w:lineRule="auto"/>
        <w:ind w:firstLine="1600"/>
        <w:rPr>
          <w:rFonts w:hint="eastAsia" w:ascii="宋体" w:hAnsi="宋体" w:eastAsia="宋体" w:cs="宋体"/>
          <w:color w:val="000000"/>
          <w:sz w:val="32"/>
          <w:szCs w:val="32"/>
        </w:rPr>
      </w:pPr>
    </w:p>
    <w:p w14:paraId="6DCC4049">
      <w:pPr>
        <w:widowControl/>
        <w:spacing w:line="360" w:lineRule="auto"/>
        <w:ind w:firstLine="1600"/>
        <w:rPr>
          <w:rFonts w:hint="eastAsia" w:ascii="宋体" w:hAnsi="宋体" w:eastAsia="宋体" w:cs="宋体"/>
          <w:color w:val="000000"/>
          <w:sz w:val="32"/>
          <w:szCs w:val="32"/>
        </w:rPr>
      </w:pPr>
    </w:p>
    <w:p w14:paraId="7AC31F14">
      <w:pPr>
        <w:rPr>
          <w:rFonts w:hint="eastAsia" w:ascii="宋体" w:hAnsi="宋体" w:eastAsia="宋体" w:cs="宋体"/>
          <w:b/>
          <w:bCs/>
          <w:color w:val="000000"/>
          <w:sz w:val="32"/>
          <w:szCs w:val="32"/>
        </w:rPr>
      </w:pPr>
      <w:r>
        <w:rPr>
          <w:rFonts w:hint="eastAsia" w:ascii="宋体" w:hAnsi="宋体" w:eastAsia="宋体" w:cs="宋体"/>
          <w:b/>
          <w:bCs/>
          <w:color w:val="000000"/>
          <w:sz w:val="32"/>
          <w:szCs w:val="32"/>
        </w:rPr>
        <w:br w:type="page"/>
      </w:r>
    </w:p>
    <w:p w14:paraId="3E1C9D7C">
      <w:pPr>
        <w:widowControl/>
        <w:spacing w:line="360" w:lineRule="auto"/>
        <w:ind w:firstLine="1600"/>
        <w:rPr>
          <w:rFonts w:hint="eastAsia" w:ascii="宋体" w:hAnsi="宋体" w:eastAsia="宋体" w:cs="宋体"/>
          <w:b/>
          <w:bCs/>
          <w:sz w:val="24"/>
        </w:rPr>
      </w:pPr>
      <w:r>
        <w:rPr>
          <w:rFonts w:hint="eastAsia" w:ascii="宋体" w:hAnsi="宋体" w:eastAsia="宋体" w:cs="宋体"/>
          <w:b/>
          <w:bCs/>
          <w:color w:val="000000"/>
          <w:sz w:val="32"/>
          <w:szCs w:val="32"/>
        </w:rPr>
        <w:t>十</w:t>
      </w:r>
      <w:r>
        <w:rPr>
          <w:rFonts w:hint="eastAsia" w:ascii="宋体" w:hAnsi="宋体" w:eastAsia="宋体" w:cs="宋体"/>
          <w:b/>
          <w:bCs/>
          <w:color w:val="000000"/>
          <w:sz w:val="32"/>
          <w:szCs w:val="32"/>
          <w:lang w:val="en-US" w:eastAsia="zh-CN"/>
        </w:rPr>
        <w:t>八</w:t>
      </w:r>
      <w:r>
        <w:rPr>
          <w:rFonts w:hint="eastAsia" w:ascii="宋体" w:hAnsi="宋体" w:eastAsia="宋体" w:cs="宋体"/>
          <w:b/>
          <w:bCs/>
          <w:color w:val="000000"/>
          <w:sz w:val="32"/>
          <w:szCs w:val="32"/>
        </w:rPr>
        <w:t>、盐城市政府采购事前信用承诺书</w:t>
      </w:r>
    </w:p>
    <w:p w14:paraId="1C59E262">
      <w:pPr>
        <w:widowControl/>
        <w:spacing w:line="360" w:lineRule="auto"/>
        <w:ind w:firstLine="640"/>
        <w:jc w:val="left"/>
        <w:rPr>
          <w:rFonts w:hint="eastAsia" w:ascii="宋体" w:hAnsi="宋体" w:eastAsia="宋体" w:cs="宋体"/>
          <w:sz w:val="24"/>
        </w:rPr>
      </w:pPr>
      <w:r>
        <w:rPr>
          <w:rFonts w:hint="eastAsia" w:ascii="宋体" w:hAnsi="宋体" w:eastAsia="宋体" w:cs="宋体"/>
          <w:color w:val="000000"/>
          <w:sz w:val="32"/>
          <w:szCs w:val="32"/>
        </w:rPr>
        <w:t> </w:t>
      </w: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26D2F734">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79B790EC">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C727EF1">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（三）严格依照国家和省、市关于政府采购的法律、法规、规章、规范性文件，参加政府采购投标活动；积极履行社会责任，促进廉政建设；</w:t>
      </w:r>
    </w:p>
    <w:p w14:paraId="10A2EABB">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（四）严格遵守即时信息公示规定，及时维护和更新盐城市政府采购网中与本单位相关的信息；</w:t>
      </w:r>
    </w:p>
    <w:p w14:paraId="35A0050F">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w:t>
      </w:r>
      <w:r>
        <w:rPr>
          <w:rFonts w:hint="eastAsia" w:ascii="宋体" w:hAnsi="宋体" w:eastAsia="宋体" w:cs="宋体"/>
          <w:color w:val="000000"/>
          <w:sz w:val="24"/>
          <w:lang w:eastAsia="zh-CN"/>
        </w:rPr>
        <w:t>投标人</w:t>
      </w:r>
      <w:r>
        <w:rPr>
          <w:rFonts w:hint="eastAsia" w:ascii="宋体" w:hAnsi="宋体" w:eastAsia="宋体" w:cs="宋体"/>
          <w:color w:val="000000"/>
          <w:sz w:val="24"/>
        </w:rPr>
        <w:t>不存在直接控股或管理关系，不参与围标串标、弄虚作假、骗取中标、干扰评标、违约毁约等行为；</w:t>
      </w:r>
    </w:p>
    <w:p w14:paraId="03B75E97">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64F73CB3">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73853C5">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33C8020D">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法定代表人签名：</w:t>
      </w:r>
    </w:p>
    <w:p w14:paraId="0A93E94E">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单位名称（盖章）：</w:t>
      </w:r>
    </w:p>
    <w:p w14:paraId="67F26757">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年  月  日</w:t>
      </w:r>
    </w:p>
    <w:bookmarkEnd w:id="31"/>
    <w:bookmarkEnd w:id="62"/>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1"/>
    <w:bookmarkEnd w:id="172"/>
    <w:bookmarkEnd w:id="182"/>
    <w:bookmarkEnd w:id="183"/>
    <w:bookmarkEnd w:id="185"/>
    <w:bookmarkEnd w:id="186"/>
    <w:bookmarkEnd w:id="187"/>
    <w:bookmarkEnd w:id="189"/>
    <w:bookmarkEnd w:id="198"/>
    <w:bookmarkEnd w:id="199"/>
    <w:bookmarkEnd w:id="200"/>
    <w:bookmarkEnd w:id="201"/>
    <w:bookmarkEnd w:id="202"/>
    <w:p w14:paraId="3762A4C7">
      <w:pPr>
        <w:pStyle w:val="32"/>
        <w:spacing w:beforeAutospacing="0" w:afterAutospacing="0" w:line="360" w:lineRule="auto"/>
        <w:jc w:val="center"/>
      </w:pPr>
    </w:p>
    <w:p w14:paraId="641182B6">
      <w:pPr>
        <w:spacing w:line="360" w:lineRule="auto"/>
      </w:pPr>
    </w:p>
    <w:p w14:paraId="7C5E26DC">
      <w:pPr>
        <w:pStyle w:val="32"/>
        <w:spacing w:beforeAutospacing="0" w:afterAutospacing="0" w:line="360" w:lineRule="auto"/>
        <w:jc w:val="center"/>
        <w:rPr>
          <w:rFonts w:hint="eastAsia" w:ascii="宋体" w:hAnsi="宋体" w:eastAsia="宋体" w:cs="宋体"/>
          <w:b/>
          <w:color w:val="000000"/>
          <w:sz w:val="32"/>
          <w:szCs w:val="32"/>
        </w:rPr>
      </w:pPr>
    </w:p>
    <w:p w14:paraId="6CCCDA76">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735AB3F0">
      <w:pPr>
        <w:pStyle w:val="32"/>
        <w:spacing w:beforeAutospacing="0" w:afterAutospacing="0"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52BF0BD7">
      <w:pPr>
        <w:pStyle w:val="32"/>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303A5996">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p>
    <w:p w14:paraId="47DF1846">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1B555BF">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33B6370C">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6F684DEA">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p>
    <w:p w14:paraId="02EA924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71351CC">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543337E">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5E7E8D4E">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p>
    <w:p w14:paraId="0D0952D9">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6463FB0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w:t>
      </w:r>
    </w:p>
    <w:p w14:paraId="08E2C2F1">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w:t>
      </w:r>
    </w:p>
    <w:p w14:paraId="6284D71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79DBB58E">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w:t>
      </w:r>
    </w:p>
    <w:p w14:paraId="6DD895CD">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29DF23A5">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6CF787DD">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w:t>
      </w:r>
    </w:p>
    <w:p w14:paraId="35CD3928">
      <w:pPr>
        <w:pStyle w:val="32"/>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w:t>
      </w:r>
    </w:p>
    <w:p w14:paraId="5B0E4A4F">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w:t>
      </w:r>
    </w:p>
    <w:p w14:paraId="07D3ADD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0D963EA2">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59FCBA98">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4CDB78B2">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w:t>
      </w:r>
    </w:p>
    <w:p w14:paraId="1E4FD44F">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签字(签章)：  公章：  日期：   </w:t>
      </w:r>
    </w:p>
    <w:p w14:paraId="685190CD">
      <w:pPr>
        <w:pStyle w:val="32"/>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质疑函制作说明：</w:t>
      </w:r>
    </w:p>
    <w:p w14:paraId="2677BA7A">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3AF1B2A4">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E68BE33">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3A313CD8">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57F26CB8">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686A9B09">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C56DF47">
      <w:pPr>
        <w:pStyle w:val="32"/>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 </w:t>
      </w:r>
    </w:p>
    <w:p w14:paraId="2CBB53B3">
      <w:pPr>
        <w:spacing w:line="360" w:lineRule="auto"/>
      </w:pPr>
    </w:p>
    <w:sectPr>
      <w:headerReference r:id="rId3" w:type="default"/>
      <w:footerReference r:id="rId4" w:type="default"/>
      <w:pgSz w:w="11906" w:h="16838"/>
      <w:pgMar w:top="1440" w:right="1701" w:bottom="1440" w:left="1701" w:header="851" w:footer="992" w:gutter="0"/>
      <w:pgNumType w:fmt="decimal"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A37EE">
    <w:pPr>
      <w:pStyle w:val="2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00036C">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D00036C">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619038">
    <w:pPr>
      <w:pStyle w:val="23"/>
      <w:jc w:val="both"/>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6A645"/>
    <w:multiLevelType w:val="singleLevel"/>
    <w:tmpl w:val="A896A64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E2YjQ0ZjFiZTdhNTliMzZlNjM2ODFhYzEyZjVkM2MifQ=="/>
  </w:docVars>
  <w:rsids>
    <w:rsidRoot w:val="00CC2C35"/>
    <w:rsid w:val="00007606"/>
    <w:rsid w:val="000E767C"/>
    <w:rsid w:val="001669D4"/>
    <w:rsid w:val="00291674"/>
    <w:rsid w:val="00357B2F"/>
    <w:rsid w:val="00556288"/>
    <w:rsid w:val="005D21B5"/>
    <w:rsid w:val="00641E35"/>
    <w:rsid w:val="006B2806"/>
    <w:rsid w:val="00760F3B"/>
    <w:rsid w:val="007C2458"/>
    <w:rsid w:val="00BE79C3"/>
    <w:rsid w:val="00CC2C35"/>
    <w:rsid w:val="00DB20F7"/>
    <w:rsid w:val="00F33E34"/>
    <w:rsid w:val="011B10BF"/>
    <w:rsid w:val="0126090F"/>
    <w:rsid w:val="01431A4A"/>
    <w:rsid w:val="016043AA"/>
    <w:rsid w:val="01830099"/>
    <w:rsid w:val="018A58CB"/>
    <w:rsid w:val="01B841E6"/>
    <w:rsid w:val="01CA7EC6"/>
    <w:rsid w:val="024535A0"/>
    <w:rsid w:val="026B55AD"/>
    <w:rsid w:val="027248B6"/>
    <w:rsid w:val="02D432A2"/>
    <w:rsid w:val="02E80AFB"/>
    <w:rsid w:val="035D3297"/>
    <w:rsid w:val="03630182"/>
    <w:rsid w:val="038901FE"/>
    <w:rsid w:val="04583A5F"/>
    <w:rsid w:val="046A40DD"/>
    <w:rsid w:val="0482488F"/>
    <w:rsid w:val="04913D5B"/>
    <w:rsid w:val="058953BC"/>
    <w:rsid w:val="058C7E64"/>
    <w:rsid w:val="05B80C59"/>
    <w:rsid w:val="05C25634"/>
    <w:rsid w:val="05EF3F4F"/>
    <w:rsid w:val="05F566DD"/>
    <w:rsid w:val="060372DF"/>
    <w:rsid w:val="06297C5B"/>
    <w:rsid w:val="06441ACF"/>
    <w:rsid w:val="06587D46"/>
    <w:rsid w:val="066B2D2B"/>
    <w:rsid w:val="067B3DEF"/>
    <w:rsid w:val="069D7E4F"/>
    <w:rsid w:val="06B50CF4"/>
    <w:rsid w:val="070B6B66"/>
    <w:rsid w:val="07524795"/>
    <w:rsid w:val="076369A2"/>
    <w:rsid w:val="07A70F85"/>
    <w:rsid w:val="07E267DD"/>
    <w:rsid w:val="082A3964"/>
    <w:rsid w:val="08CC6344"/>
    <w:rsid w:val="08FD4BD5"/>
    <w:rsid w:val="09594845"/>
    <w:rsid w:val="09857133"/>
    <w:rsid w:val="098B3F8E"/>
    <w:rsid w:val="0A4D1DDA"/>
    <w:rsid w:val="0A9316AB"/>
    <w:rsid w:val="0AB1211B"/>
    <w:rsid w:val="0AC82308"/>
    <w:rsid w:val="0BE654B8"/>
    <w:rsid w:val="0BF975DB"/>
    <w:rsid w:val="0C25691C"/>
    <w:rsid w:val="0C7E427E"/>
    <w:rsid w:val="0C815BBA"/>
    <w:rsid w:val="0C915D60"/>
    <w:rsid w:val="0CD914B5"/>
    <w:rsid w:val="0CE75980"/>
    <w:rsid w:val="0D4D0A3C"/>
    <w:rsid w:val="0D53406E"/>
    <w:rsid w:val="0D5D7035"/>
    <w:rsid w:val="0D690A8B"/>
    <w:rsid w:val="0DAB2E51"/>
    <w:rsid w:val="0DC80A8D"/>
    <w:rsid w:val="0DDE735B"/>
    <w:rsid w:val="0DF540CC"/>
    <w:rsid w:val="0E0A51F9"/>
    <w:rsid w:val="0E183955"/>
    <w:rsid w:val="0E5E1C72"/>
    <w:rsid w:val="0E737408"/>
    <w:rsid w:val="0EAB29B5"/>
    <w:rsid w:val="0ED34C3B"/>
    <w:rsid w:val="0F0071CD"/>
    <w:rsid w:val="0FA7589A"/>
    <w:rsid w:val="10057A40"/>
    <w:rsid w:val="1068327B"/>
    <w:rsid w:val="10B21E22"/>
    <w:rsid w:val="10EC17B7"/>
    <w:rsid w:val="111A1C5B"/>
    <w:rsid w:val="117F087D"/>
    <w:rsid w:val="11904838"/>
    <w:rsid w:val="12445622"/>
    <w:rsid w:val="12B46304"/>
    <w:rsid w:val="131E2317"/>
    <w:rsid w:val="133B6A25"/>
    <w:rsid w:val="13510EA9"/>
    <w:rsid w:val="13517FF7"/>
    <w:rsid w:val="1386256E"/>
    <w:rsid w:val="13B32A60"/>
    <w:rsid w:val="13EB21F9"/>
    <w:rsid w:val="144D6211"/>
    <w:rsid w:val="144E09DA"/>
    <w:rsid w:val="14505C9B"/>
    <w:rsid w:val="14643175"/>
    <w:rsid w:val="14863CD0"/>
    <w:rsid w:val="14A14FAE"/>
    <w:rsid w:val="150572EB"/>
    <w:rsid w:val="150A2B53"/>
    <w:rsid w:val="15334E50"/>
    <w:rsid w:val="153B58C2"/>
    <w:rsid w:val="153E27FD"/>
    <w:rsid w:val="15581B10"/>
    <w:rsid w:val="15E72E94"/>
    <w:rsid w:val="15F630D7"/>
    <w:rsid w:val="162A609B"/>
    <w:rsid w:val="1653052A"/>
    <w:rsid w:val="16730A62"/>
    <w:rsid w:val="168340A5"/>
    <w:rsid w:val="16BA2357"/>
    <w:rsid w:val="16C84A74"/>
    <w:rsid w:val="16F2564D"/>
    <w:rsid w:val="176E1A5A"/>
    <w:rsid w:val="17F83137"/>
    <w:rsid w:val="17FB2C27"/>
    <w:rsid w:val="18057602"/>
    <w:rsid w:val="188E780C"/>
    <w:rsid w:val="189764CC"/>
    <w:rsid w:val="18BF1EA7"/>
    <w:rsid w:val="192D6FEE"/>
    <w:rsid w:val="19575C3B"/>
    <w:rsid w:val="1991678D"/>
    <w:rsid w:val="1A18186E"/>
    <w:rsid w:val="1A3B37AF"/>
    <w:rsid w:val="1A9C63B8"/>
    <w:rsid w:val="1AD5775F"/>
    <w:rsid w:val="1B9678A0"/>
    <w:rsid w:val="1B9F7CA6"/>
    <w:rsid w:val="1BC31CAE"/>
    <w:rsid w:val="1BCD7B4C"/>
    <w:rsid w:val="1BF10053"/>
    <w:rsid w:val="1C47468D"/>
    <w:rsid w:val="1C68731A"/>
    <w:rsid w:val="1C6E2DC5"/>
    <w:rsid w:val="1CA0446B"/>
    <w:rsid w:val="1D033CE9"/>
    <w:rsid w:val="1DB45D52"/>
    <w:rsid w:val="1DCD471E"/>
    <w:rsid w:val="1DE300FF"/>
    <w:rsid w:val="1DF26568"/>
    <w:rsid w:val="1E3A68C3"/>
    <w:rsid w:val="1E652BA8"/>
    <w:rsid w:val="1E960FB4"/>
    <w:rsid w:val="1EFF124F"/>
    <w:rsid w:val="1F010B23"/>
    <w:rsid w:val="1F0B7BF4"/>
    <w:rsid w:val="1F2B3DF2"/>
    <w:rsid w:val="1F707A57"/>
    <w:rsid w:val="1F903C55"/>
    <w:rsid w:val="1FC85D4A"/>
    <w:rsid w:val="1FD40DF5"/>
    <w:rsid w:val="20330491"/>
    <w:rsid w:val="2049095D"/>
    <w:rsid w:val="20564E9E"/>
    <w:rsid w:val="20621A95"/>
    <w:rsid w:val="20C004F1"/>
    <w:rsid w:val="20E83906"/>
    <w:rsid w:val="20F070A1"/>
    <w:rsid w:val="21072C86"/>
    <w:rsid w:val="21197C6C"/>
    <w:rsid w:val="21415B4F"/>
    <w:rsid w:val="22277688"/>
    <w:rsid w:val="23553EC2"/>
    <w:rsid w:val="236C49D9"/>
    <w:rsid w:val="238C6E29"/>
    <w:rsid w:val="23B343B6"/>
    <w:rsid w:val="243C084F"/>
    <w:rsid w:val="246A2671"/>
    <w:rsid w:val="25186BC6"/>
    <w:rsid w:val="2564005E"/>
    <w:rsid w:val="257227BA"/>
    <w:rsid w:val="25B763DF"/>
    <w:rsid w:val="26123616"/>
    <w:rsid w:val="26457F7D"/>
    <w:rsid w:val="26544202"/>
    <w:rsid w:val="26B22BD1"/>
    <w:rsid w:val="26C754DB"/>
    <w:rsid w:val="26DA0BAA"/>
    <w:rsid w:val="27312FD9"/>
    <w:rsid w:val="275639D6"/>
    <w:rsid w:val="27826579"/>
    <w:rsid w:val="27AF3EEC"/>
    <w:rsid w:val="28732366"/>
    <w:rsid w:val="28812CD5"/>
    <w:rsid w:val="28CD6B22"/>
    <w:rsid w:val="290870F3"/>
    <w:rsid w:val="29776EC8"/>
    <w:rsid w:val="29AB625B"/>
    <w:rsid w:val="2A8E6314"/>
    <w:rsid w:val="2A9B5EE2"/>
    <w:rsid w:val="2AA703F4"/>
    <w:rsid w:val="2AC86E42"/>
    <w:rsid w:val="2ACF5F79"/>
    <w:rsid w:val="2B177920"/>
    <w:rsid w:val="2B204A27"/>
    <w:rsid w:val="2B457FE9"/>
    <w:rsid w:val="2BC058C2"/>
    <w:rsid w:val="2BC95655"/>
    <w:rsid w:val="2C090FCE"/>
    <w:rsid w:val="2C22032B"/>
    <w:rsid w:val="2C714E0E"/>
    <w:rsid w:val="2CB25F04"/>
    <w:rsid w:val="2D0143E4"/>
    <w:rsid w:val="2D173C07"/>
    <w:rsid w:val="2D1E4F96"/>
    <w:rsid w:val="2D887E05"/>
    <w:rsid w:val="2DA21723"/>
    <w:rsid w:val="2DD72801"/>
    <w:rsid w:val="2E1533CC"/>
    <w:rsid w:val="2EB4563F"/>
    <w:rsid w:val="2EDD174B"/>
    <w:rsid w:val="2EF316AB"/>
    <w:rsid w:val="2F1A3A04"/>
    <w:rsid w:val="2F601EDA"/>
    <w:rsid w:val="2F9439DC"/>
    <w:rsid w:val="2FD44032"/>
    <w:rsid w:val="3015101D"/>
    <w:rsid w:val="30AB4D93"/>
    <w:rsid w:val="30C934A5"/>
    <w:rsid w:val="3129606A"/>
    <w:rsid w:val="31634510"/>
    <w:rsid w:val="31644F41"/>
    <w:rsid w:val="31D81AFE"/>
    <w:rsid w:val="32D103B5"/>
    <w:rsid w:val="334119DE"/>
    <w:rsid w:val="334B0167"/>
    <w:rsid w:val="33A06705"/>
    <w:rsid w:val="346B7482"/>
    <w:rsid w:val="347457E8"/>
    <w:rsid w:val="34AA599D"/>
    <w:rsid w:val="34B00BC9"/>
    <w:rsid w:val="34BB131C"/>
    <w:rsid w:val="352C17A9"/>
    <w:rsid w:val="357C3B45"/>
    <w:rsid w:val="35AD5267"/>
    <w:rsid w:val="35B1030A"/>
    <w:rsid w:val="35BA15D4"/>
    <w:rsid w:val="35D22DC1"/>
    <w:rsid w:val="35F04FF6"/>
    <w:rsid w:val="35F3763F"/>
    <w:rsid w:val="36103C3B"/>
    <w:rsid w:val="36115C43"/>
    <w:rsid w:val="365E45C3"/>
    <w:rsid w:val="36657792"/>
    <w:rsid w:val="36914A2B"/>
    <w:rsid w:val="369462C9"/>
    <w:rsid w:val="36A77D38"/>
    <w:rsid w:val="36EA2248"/>
    <w:rsid w:val="37164F30"/>
    <w:rsid w:val="371668E8"/>
    <w:rsid w:val="37427AD3"/>
    <w:rsid w:val="37441A9D"/>
    <w:rsid w:val="375717D0"/>
    <w:rsid w:val="37704640"/>
    <w:rsid w:val="382316B2"/>
    <w:rsid w:val="38767A34"/>
    <w:rsid w:val="38936518"/>
    <w:rsid w:val="389F04CF"/>
    <w:rsid w:val="38B04F1C"/>
    <w:rsid w:val="392E47B3"/>
    <w:rsid w:val="399A3BF6"/>
    <w:rsid w:val="39CE7121"/>
    <w:rsid w:val="3A500759"/>
    <w:rsid w:val="3A7B57D6"/>
    <w:rsid w:val="3AAA254E"/>
    <w:rsid w:val="3AC25EC7"/>
    <w:rsid w:val="3ADE5D64"/>
    <w:rsid w:val="3B0A473E"/>
    <w:rsid w:val="3B5879B5"/>
    <w:rsid w:val="3B842468"/>
    <w:rsid w:val="3BF4503E"/>
    <w:rsid w:val="3D0E5AAA"/>
    <w:rsid w:val="3D270047"/>
    <w:rsid w:val="3D3B56F0"/>
    <w:rsid w:val="3D5D11C3"/>
    <w:rsid w:val="3DB904E6"/>
    <w:rsid w:val="3DE47B36"/>
    <w:rsid w:val="3DEC6CCC"/>
    <w:rsid w:val="3E0C2BE9"/>
    <w:rsid w:val="3E2A2240"/>
    <w:rsid w:val="3E6D7B2B"/>
    <w:rsid w:val="3E9B6018"/>
    <w:rsid w:val="3F375E5C"/>
    <w:rsid w:val="3F817470"/>
    <w:rsid w:val="3F9966FE"/>
    <w:rsid w:val="401F09B1"/>
    <w:rsid w:val="40CF23D7"/>
    <w:rsid w:val="4129534F"/>
    <w:rsid w:val="413D4DC3"/>
    <w:rsid w:val="415823E6"/>
    <w:rsid w:val="41764F49"/>
    <w:rsid w:val="41823F86"/>
    <w:rsid w:val="41BE41FA"/>
    <w:rsid w:val="420571E4"/>
    <w:rsid w:val="42117620"/>
    <w:rsid w:val="42600899"/>
    <w:rsid w:val="42725805"/>
    <w:rsid w:val="42892A5A"/>
    <w:rsid w:val="42925DB2"/>
    <w:rsid w:val="43302ED5"/>
    <w:rsid w:val="437F3B4A"/>
    <w:rsid w:val="442D06D8"/>
    <w:rsid w:val="44486501"/>
    <w:rsid w:val="44D53D34"/>
    <w:rsid w:val="44FC5765"/>
    <w:rsid w:val="45433668"/>
    <w:rsid w:val="45967968"/>
    <w:rsid w:val="45D479D7"/>
    <w:rsid w:val="460B0665"/>
    <w:rsid w:val="46584C1D"/>
    <w:rsid w:val="46667A16"/>
    <w:rsid w:val="46893028"/>
    <w:rsid w:val="468E4AE3"/>
    <w:rsid w:val="469D58C1"/>
    <w:rsid w:val="469F45FA"/>
    <w:rsid w:val="46B81B60"/>
    <w:rsid w:val="46E41355"/>
    <w:rsid w:val="46EB1D82"/>
    <w:rsid w:val="47150D60"/>
    <w:rsid w:val="47226FD9"/>
    <w:rsid w:val="47264D1B"/>
    <w:rsid w:val="474F4272"/>
    <w:rsid w:val="47573126"/>
    <w:rsid w:val="47637D1D"/>
    <w:rsid w:val="476D7312"/>
    <w:rsid w:val="477A1C19"/>
    <w:rsid w:val="4783216D"/>
    <w:rsid w:val="47884A29"/>
    <w:rsid w:val="478B1022"/>
    <w:rsid w:val="47941C85"/>
    <w:rsid w:val="479B1265"/>
    <w:rsid w:val="482E1898"/>
    <w:rsid w:val="48DF1625"/>
    <w:rsid w:val="48EC583F"/>
    <w:rsid w:val="48EC789E"/>
    <w:rsid w:val="49A07007"/>
    <w:rsid w:val="4A404346"/>
    <w:rsid w:val="4A471159"/>
    <w:rsid w:val="4A62155C"/>
    <w:rsid w:val="4A802994"/>
    <w:rsid w:val="4B7034CB"/>
    <w:rsid w:val="4B895879"/>
    <w:rsid w:val="4BC66AD5"/>
    <w:rsid w:val="4C03387D"/>
    <w:rsid w:val="4C2E535E"/>
    <w:rsid w:val="4C3677AE"/>
    <w:rsid w:val="4C58667F"/>
    <w:rsid w:val="4C653BF0"/>
    <w:rsid w:val="4C8E586B"/>
    <w:rsid w:val="4CAC7A71"/>
    <w:rsid w:val="4CBD0F20"/>
    <w:rsid w:val="4D001311"/>
    <w:rsid w:val="4D07739D"/>
    <w:rsid w:val="4DE54DBF"/>
    <w:rsid w:val="4E863E43"/>
    <w:rsid w:val="4EBD41B7"/>
    <w:rsid w:val="4EDB463D"/>
    <w:rsid w:val="4F135B85"/>
    <w:rsid w:val="4F244236"/>
    <w:rsid w:val="4FAC7D88"/>
    <w:rsid w:val="4FE74530"/>
    <w:rsid w:val="50811214"/>
    <w:rsid w:val="508362F4"/>
    <w:rsid w:val="50AD025B"/>
    <w:rsid w:val="50B16FB4"/>
    <w:rsid w:val="512D51CE"/>
    <w:rsid w:val="51AE428B"/>
    <w:rsid w:val="51B84B67"/>
    <w:rsid w:val="51E25CE3"/>
    <w:rsid w:val="5224454D"/>
    <w:rsid w:val="523F4EE3"/>
    <w:rsid w:val="52CD6993"/>
    <w:rsid w:val="53566988"/>
    <w:rsid w:val="53770D30"/>
    <w:rsid w:val="53AE1F10"/>
    <w:rsid w:val="53C41B44"/>
    <w:rsid w:val="53CB2C0B"/>
    <w:rsid w:val="53FA5565"/>
    <w:rsid w:val="5429409D"/>
    <w:rsid w:val="54A054A5"/>
    <w:rsid w:val="54A656ED"/>
    <w:rsid w:val="54B6040D"/>
    <w:rsid w:val="55097261"/>
    <w:rsid w:val="550A5C7C"/>
    <w:rsid w:val="55121765"/>
    <w:rsid w:val="553F058D"/>
    <w:rsid w:val="55B93BA0"/>
    <w:rsid w:val="563A0284"/>
    <w:rsid w:val="56683896"/>
    <w:rsid w:val="56CB31E9"/>
    <w:rsid w:val="56D4209E"/>
    <w:rsid w:val="572E6363"/>
    <w:rsid w:val="574134AB"/>
    <w:rsid w:val="574B5977"/>
    <w:rsid w:val="57825F9E"/>
    <w:rsid w:val="57ED5E45"/>
    <w:rsid w:val="581125D0"/>
    <w:rsid w:val="58550FBC"/>
    <w:rsid w:val="58613E05"/>
    <w:rsid w:val="58BC728D"/>
    <w:rsid w:val="58D470E9"/>
    <w:rsid w:val="594C6863"/>
    <w:rsid w:val="597C6A1D"/>
    <w:rsid w:val="5991071A"/>
    <w:rsid w:val="59BF45F4"/>
    <w:rsid w:val="59CD1026"/>
    <w:rsid w:val="5A0013FC"/>
    <w:rsid w:val="5A0709DC"/>
    <w:rsid w:val="5A366BCB"/>
    <w:rsid w:val="5A5F6122"/>
    <w:rsid w:val="5A6776CD"/>
    <w:rsid w:val="5AA02B75"/>
    <w:rsid w:val="5ABA77FD"/>
    <w:rsid w:val="5AE34E84"/>
    <w:rsid w:val="5AEE74A6"/>
    <w:rsid w:val="5AF45824"/>
    <w:rsid w:val="5B0B62AA"/>
    <w:rsid w:val="5B7842AB"/>
    <w:rsid w:val="5C5123E2"/>
    <w:rsid w:val="5C534020"/>
    <w:rsid w:val="5C6F4BC0"/>
    <w:rsid w:val="5CA802EC"/>
    <w:rsid w:val="5CEE7C31"/>
    <w:rsid w:val="5CF52AD3"/>
    <w:rsid w:val="5D170F36"/>
    <w:rsid w:val="5D8D744A"/>
    <w:rsid w:val="5E086AD1"/>
    <w:rsid w:val="5EA71DA2"/>
    <w:rsid w:val="5EE17A4E"/>
    <w:rsid w:val="5F2931A3"/>
    <w:rsid w:val="5F2D54EE"/>
    <w:rsid w:val="5F546B22"/>
    <w:rsid w:val="5FCD7FD2"/>
    <w:rsid w:val="5FD749AD"/>
    <w:rsid w:val="5FEA0B84"/>
    <w:rsid w:val="5FEE499C"/>
    <w:rsid w:val="60196D73"/>
    <w:rsid w:val="604B5CCC"/>
    <w:rsid w:val="609B59DA"/>
    <w:rsid w:val="60D3786A"/>
    <w:rsid w:val="61255CCB"/>
    <w:rsid w:val="613100ED"/>
    <w:rsid w:val="61475B62"/>
    <w:rsid w:val="61A66D2D"/>
    <w:rsid w:val="61F23D20"/>
    <w:rsid w:val="622163B3"/>
    <w:rsid w:val="627E0EBB"/>
    <w:rsid w:val="629C5290"/>
    <w:rsid w:val="62A212A2"/>
    <w:rsid w:val="62CA048E"/>
    <w:rsid w:val="62D13935"/>
    <w:rsid w:val="62F67840"/>
    <w:rsid w:val="633E0E95"/>
    <w:rsid w:val="637D586B"/>
    <w:rsid w:val="63C60FC0"/>
    <w:rsid w:val="643A64A4"/>
    <w:rsid w:val="644F5459"/>
    <w:rsid w:val="64656A2B"/>
    <w:rsid w:val="65357589"/>
    <w:rsid w:val="6579008A"/>
    <w:rsid w:val="658B4B67"/>
    <w:rsid w:val="65DE49A1"/>
    <w:rsid w:val="65FE36F1"/>
    <w:rsid w:val="66EC3434"/>
    <w:rsid w:val="671D183F"/>
    <w:rsid w:val="673270DD"/>
    <w:rsid w:val="67464389"/>
    <w:rsid w:val="679D3286"/>
    <w:rsid w:val="67A83750"/>
    <w:rsid w:val="67BF525C"/>
    <w:rsid w:val="67C65A33"/>
    <w:rsid w:val="684C08A9"/>
    <w:rsid w:val="688633F5"/>
    <w:rsid w:val="68AA0EB0"/>
    <w:rsid w:val="68B31743"/>
    <w:rsid w:val="68DE4FFE"/>
    <w:rsid w:val="69051461"/>
    <w:rsid w:val="69224EEB"/>
    <w:rsid w:val="693D7F76"/>
    <w:rsid w:val="69F10D61"/>
    <w:rsid w:val="6A3273AF"/>
    <w:rsid w:val="6A484E25"/>
    <w:rsid w:val="6A681023"/>
    <w:rsid w:val="6A687275"/>
    <w:rsid w:val="6AF61B39"/>
    <w:rsid w:val="6AF748A0"/>
    <w:rsid w:val="6B9064A9"/>
    <w:rsid w:val="6BF40694"/>
    <w:rsid w:val="6BF707F1"/>
    <w:rsid w:val="6C0C59DE"/>
    <w:rsid w:val="6C316210"/>
    <w:rsid w:val="6C525011"/>
    <w:rsid w:val="6CD00478"/>
    <w:rsid w:val="6D236796"/>
    <w:rsid w:val="6D2F5E28"/>
    <w:rsid w:val="6D5B4E6F"/>
    <w:rsid w:val="6DC26C9C"/>
    <w:rsid w:val="6DC951C3"/>
    <w:rsid w:val="6DCA4D3F"/>
    <w:rsid w:val="6DD16EDF"/>
    <w:rsid w:val="6DDD5127"/>
    <w:rsid w:val="6E0077C5"/>
    <w:rsid w:val="6EF903D6"/>
    <w:rsid w:val="6EFA76E5"/>
    <w:rsid w:val="6F0E7CBF"/>
    <w:rsid w:val="6F307C36"/>
    <w:rsid w:val="6F345978"/>
    <w:rsid w:val="6F3E2352"/>
    <w:rsid w:val="6F6D4CC4"/>
    <w:rsid w:val="6FAF11DF"/>
    <w:rsid w:val="6FB940CF"/>
    <w:rsid w:val="6FD40F09"/>
    <w:rsid w:val="6FEF5D43"/>
    <w:rsid w:val="702552C0"/>
    <w:rsid w:val="704419A9"/>
    <w:rsid w:val="70A64653"/>
    <w:rsid w:val="70B813CD"/>
    <w:rsid w:val="70D04E26"/>
    <w:rsid w:val="70E92897"/>
    <w:rsid w:val="70FC58B5"/>
    <w:rsid w:val="710663A6"/>
    <w:rsid w:val="7128150C"/>
    <w:rsid w:val="7130216F"/>
    <w:rsid w:val="71704C61"/>
    <w:rsid w:val="720930EC"/>
    <w:rsid w:val="72207E30"/>
    <w:rsid w:val="729F57FE"/>
    <w:rsid w:val="73102258"/>
    <w:rsid w:val="731C5898"/>
    <w:rsid w:val="735A629E"/>
    <w:rsid w:val="73B307DA"/>
    <w:rsid w:val="73DC65DE"/>
    <w:rsid w:val="73E87175"/>
    <w:rsid w:val="73F00D17"/>
    <w:rsid w:val="740022CC"/>
    <w:rsid w:val="743D4A05"/>
    <w:rsid w:val="744D0192"/>
    <w:rsid w:val="74CE4179"/>
    <w:rsid w:val="74DF1EE2"/>
    <w:rsid w:val="74E92D60"/>
    <w:rsid w:val="74ED36E5"/>
    <w:rsid w:val="751A116C"/>
    <w:rsid w:val="75295853"/>
    <w:rsid w:val="753829DC"/>
    <w:rsid w:val="75490C73"/>
    <w:rsid w:val="755C6E9D"/>
    <w:rsid w:val="75E1612D"/>
    <w:rsid w:val="75ED5C4A"/>
    <w:rsid w:val="76053BCA"/>
    <w:rsid w:val="76244559"/>
    <w:rsid w:val="763C29ED"/>
    <w:rsid w:val="76564426"/>
    <w:rsid w:val="76AF2641"/>
    <w:rsid w:val="76F51B47"/>
    <w:rsid w:val="77040325"/>
    <w:rsid w:val="771A18F7"/>
    <w:rsid w:val="77292444"/>
    <w:rsid w:val="773724A9"/>
    <w:rsid w:val="77766529"/>
    <w:rsid w:val="77811DF6"/>
    <w:rsid w:val="77AB69F3"/>
    <w:rsid w:val="77AE1BAC"/>
    <w:rsid w:val="78014865"/>
    <w:rsid w:val="7819395D"/>
    <w:rsid w:val="78366DE4"/>
    <w:rsid w:val="784B788E"/>
    <w:rsid w:val="78516A1A"/>
    <w:rsid w:val="785E3A65"/>
    <w:rsid w:val="78695FE6"/>
    <w:rsid w:val="78696102"/>
    <w:rsid w:val="78745037"/>
    <w:rsid w:val="78811502"/>
    <w:rsid w:val="78B47B29"/>
    <w:rsid w:val="78D733F5"/>
    <w:rsid w:val="79386064"/>
    <w:rsid w:val="793B5B55"/>
    <w:rsid w:val="79E24222"/>
    <w:rsid w:val="79E41D48"/>
    <w:rsid w:val="7A5A200A"/>
    <w:rsid w:val="7A8C3844"/>
    <w:rsid w:val="7AC3387D"/>
    <w:rsid w:val="7B02692A"/>
    <w:rsid w:val="7B784E3E"/>
    <w:rsid w:val="7B8075AC"/>
    <w:rsid w:val="7BCA64C6"/>
    <w:rsid w:val="7BCE0F02"/>
    <w:rsid w:val="7BF546E1"/>
    <w:rsid w:val="7C2F5C5D"/>
    <w:rsid w:val="7C986576"/>
    <w:rsid w:val="7C9B7287"/>
    <w:rsid w:val="7CA731EE"/>
    <w:rsid w:val="7CD6759C"/>
    <w:rsid w:val="7CEF2EDE"/>
    <w:rsid w:val="7CF130FA"/>
    <w:rsid w:val="7D0B583E"/>
    <w:rsid w:val="7D197F5B"/>
    <w:rsid w:val="7D473464"/>
    <w:rsid w:val="7D586CD5"/>
    <w:rsid w:val="7DB54128"/>
    <w:rsid w:val="7DD01630"/>
    <w:rsid w:val="7DFD31F4"/>
    <w:rsid w:val="7E0D3F64"/>
    <w:rsid w:val="7E2C14D8"/>
    <w:rsid w:val="7E5D031B"/>
    <w:rsid w:val="7E6873EC"/>
    <w:rsid w:val="7ED0091E"/>
    <w:rsid w:val="7F5D6825"/>
    <w:rsid w:val="7FCC4808"/>
    <w:rsid w:val="7FFD5912"/>
    <w:rsid w:val="BBBF58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4"/>
      <w:lang w:val="en-US" w:eastAsia="zh-CN" w:bidi="ar-SA"/>
    </w:rPr>
  </w:style>
  <w:style w:type="paragraph" w:styleId="2">
    <w:name w:val="heading 1"/>
    <w:basedOn w:val="1"/>
    <w:next w:val="1"/>
    <w:link w:val="5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link w:val="5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9"/>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annotation text"/>
    <w:basedOn w:val="1"/>
    <w:link w:val="202"/>
    <w:qFormat/>
    <w:uiPriority w:val="0"/>
    <w:pPr>
      <w:jc w:val="left"/>
    </w:pPr>
  </w:style>
  <w:style w:type="paragraph" w:styleId="14">
    <w:name w:val="Body Text"/>
    <w:basedOn w:val="1"/>
    <w:semiHidden/>
    <w:qFormat/>
    <w:uiPriority w:val="0"/>
    <w:rPr>
      <w:rFonts w:ascii="仿宋" w:hAnsi="仿宋" w:eastAsia="仿宋" w:cs="仿宋"/>
      <w:sz w:val="31"/>
      <w:szCs w:val="31"/>
      <w:lang w:eastAsia="en-US"/>
    </w:rPr>
  </w:style>
  <w:style w:type="paragraph" w:styleId="15">
    <w:name w:val="Body Text Indent"/>
    <w:basedOn w:val="1"/>
    <w:next w:val="16"/>
    <w:qFormat/>
    <w:uiPriority w:val="99"/>
    <w:pPr>
      <w:ind w:firstLine="645"/>
    </w:pPr>
    <w:rPr>
      <w:rFonts w:ascii="楷体_GB2312" w:eastAsia="楷体_GB2312"/>
      <w:sz w:val="32"/>
      <w:szCs w:val="32"/>
    </w:rPr>
  </w:style>
  <w:style w:type="paragraph" w:styleId="16">
    <w:name w:val="envelope return"/>
    <w:basedOn w:val="1"/>
    <w:unhideWhenUsed/>
    <w:qFormat/>
    <w:uiPriority w:val="99"/>
    <w:rPr>
      <w:rFonts w:ascii="Arial" w:hAnsi="Arial"/>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Body Text Indent 2"/>
    <w:basedOn w:val="1"/>
    <w:qFormat/>
    <w:uiPriority w:val="0"/>
    <w:rPr>
      <w:rFonts w:ascii="Arial" w:hAnsi="Arial" w:eastAsia="仿宋_GB2312"/>
      <w:b/>
    </w:rPr>
  </w:style>
  <w:style w:type="paragraph" w:styleId="21">
    <w:name w:val="endnote text"/>
    <w:basedOn w:val="1"/>
    <w:link w:val="197"/>
    <w:semiHidden/>
    <w:unhideWhenUsed/>
    <w:qFormat/>
    <w:uiPriority w:val="99"/>
    <w:rPr>
      <w:sz w:val="20"/>
    </w:rPr>
  </w:style>
  <w:style w:type="paragraph" w:styleId="22">
    <w:name w:val="footer"/>
    <w:basedOn w:val="1"/>
    <w:link w:val="201"/>
    <w:qFormat/>
    <w:uiPriority w:val="0"/>
    <w:pPr>
      <w:tabs>
        <w:tab w:val="center" w:pos="4153"/>
        <w:tab w:val="right" w:pos="8306"/>
      </w:tabs>
      <w:jc w:val="left"/>
    </w:pPr>
    <w:rPr>
      <w:sz w:val="18"/>
      <w:szCs w:val="18"/>
    </w:rPr>
  </w:style>
  <w:style w:type="paragraph" w:styleId="23">
    <w:name w:val="header"/>
    <w:basedOn w:val="1"/>
    <w:link w:val="200"/>
    <w:qFormat/>
    <w:uiPriority w:val="0"/>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63"/>
    <w:qFormat/>
    <w:uiPriority w:val="11"/>
    <w:pPr>
      <w:spacing w:before="200" w:after="200"/>
    </w:pPr>
    <w:rPr>
      <w:sz w:val="24"/>
    </w:rPr>
  </w:style>
  <w:style w:type="paragraph" w:styleId="27">
    <w:name w:val="footnote text"/>
    <w:basedOn w:val="1"/>
    <w:link w:val="196"/>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62"/>
    <w:qFormat/>
    <w:uiPriority w:val="10"/>
    <w:pPr>
      <w:spacing w:before="300" w:after="200"/>
      <w:contextualSpacing/>
    </w:pPr>
    <w:rPr>
      <w:sz w:val="48"/>
      <w:szCs w:val="48"/>
    </w:rPr>
  </w:style>
  <w:style w:type="paragraph" w:styleId="34">
    <w:name w:val="annotation subject"/>
    <w:basedOn w:val="13"/>
    <w:next w:val="13"/>
    <w:link w:val="203"/>
    <w:qFormat/>
    <w:uiPriority w:val="0"/>
    <w:rPr>
      <w:b/>
      <w:bCs/>
    </w:rPr>
  </w:style>
  <w:style w:type="paragraph" w:styleId="35">
    <w:name w:val="Body Text First Indent"/>
    <w:basedOn w:val="1"/>
    <w:qFormat/>
    <w:uiPriority w:val="0"/>
    <w:pPr>
      <w:spacing w:line="360" w:lineRule="auto"/>
      <w:ind w:firstLine="200" w:firstLineChars="200"/>
    </w:pPr>
    <w:rPr>
      <w:rFonts w:ascii="仿宋_GB2312" w:eastAsia="仿宋_GB2312"/>
      <w:sz w:val="30"/>
      <w:szCs w:val="30"/>
    </w:rPr>
  </w:style>
  <w:style w:type="paragraph" w:styleId="36">
    <w:name w:val="Body Text First Indent 2"/>
    <w:basedOn w:val="15"/>
    <w:next w:val="1"/>
    <w:qFormat/>
    <w:uiPriority w:val="0"/>
    <w:pPr>
      <w:ind w:firstLine="420" w:firstLineChars="200"/>
    </w:p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basedOn w:val="39"/>
    <w:qFormat/>
    <w:uiPriority w:val="0"/>
    <w:rPr>
      <w:b/>
    </w:rPr>
  </w:style>
  <w:style w:type="character" w:styleId="41">
    <w:name w:val="endnote reference"/>
    <w:basedOn w:val="39"/>
    <w:semiHidden/>
    <w:unhideWhenUsed/>
    <w:qFormat/>
    <w:uiPriority w:val="99"/>
    <w:rPr>
      <w:vertAlign w:val="superscript"/>
    </w:rPr>
  </w:style>
  <w:style w:type="character" w:styleId="42">
    <w:name w:val="Emphasis"/>
    <w:qFormat/>
    <w:uiPriority w:val="0"/>
    <w:rPr>
      <w:i/>
    </w:rPr>
  </w:style>
  <w:style w:type="character" w:styleId="43">
    <w:name w:val="Hyperlink"/>
    <w:unhideWhenUsed/>
    <w:qFormat/>
    <w:uiPriority w:val="99"/>
    <w:rPr>
      <w:color w:val="0563C1" w:themeColor="hyperlink"/>
      <w:u w:val="single"/>
      <w14:textFill>
        <w14:solidFill>
          <w14:schemeClr w14:val="hlink"/>
        </w14:solidFill>
      </w14:textFill>
    </w:rPr>
  </w:style>
  <w:style w:type="character" w:styleId="44">
    <w:name w:val="annotation reference"/>
    <w:basedOn w:val="39"/>
    <w:qFormat/>
    <w:uiPriority w:val="0"/>
    <w:rPr>
      <w:sz w:val="21"/>
      <w:szCs w:val="21"/>
    </w:rPr>
  </w:style>
  <w:style w:type="character" w:styleId="45">
    <w:name w:val="footnote reference"/>
    <w:basedOn w:val="39"/>
    <w:unhideWhenUsed/>
    <w:qFormat/>
    <w:uiPriority w:val="99"/>
    <w:rPr>
      <w:vertAlign w:val="superscript"/>
    </w:rPr>
  </w:style>
  <w:style w:type="paragraph" w:customStyle="1" w:styleId="46">
    <w:name w:val="普通正文"/>
    <w:basedOn w:val="1"/>
    <w:qFormat/>
    <w:uiPriority w:val="0"/>
    <w:pPr>
      <w:spacing w:before="120" w:after="120" w:line="360" w:lineRule="auto"/>
      <w:ind w:firstLine="480"/>
      <w:jc w:val="left"/>
    </w:pPr>
    <w:rPr>
      <w:rFonts w:ascii="Arial" w:hAnsi="Arial" w:eastAsia="等线" w:cs="Arial"/>
      <w:sz w:val="24"/>
    </w:rPr>
  </w:style>
  <w:style w:type="paragraph" w:customStyle="1" w:styleId="47">
    <w:name w:val="首行缩进"/>
    <w:basedOn w:val="1"/>
    <w:qFormat/>
    <w:uiPriority w:val="0"/>
    <w:pPr>
      <w:autoSpaceDE w:val="0"/>
      <w:autoSpaceDN w:val="0"/>
      <w:adjustRightInd w:val="0"/>
      <w:ind w:firstLine="720"/>
      <w:jc w:val="left"/>
    </w:pPr>
    <w:rPr>
      <w:rFonts w:ascii="宋体" w:hAnsi="宋体"/>
      <w:kern w:val="0"/>
      <w:sz w:val="24"/>
    </w:rPr>
  </w:style>
  <w:style w:type="paragraph" w:customStyle="1" w:styleId="48">
    <w:name w:val="正文文本缩进11"/>
    <w:basedOn w:val="1"/>
    <w:next w:val="49"/>
    <w:unhideWhenUsed/>
    <w:qFormat/>
    <w:uiPriority w:val="0"/>
    <w:pPr>
      <w:spacing w:after="120"/>
      <w:ind w:left="420"/>
    </w:pPr>
  </w:style>
  <w:style w:type="paragraph" w:customStyle="1" w:styleId="49">
    <w:name w:val="正文首行缩进 21"/>
    <w:basedOn w:val="50"/>
    <w:next w:val="1"/>
    <w:qFormat/>
    <w:uiPriority w:val="0"/>
    <w:pPr>
      <w:ind w:firstLine="420"/>
    </w:pPr>
  </w:style>
  <w:style w:type="paragraph" w:customStyle="1" w:styleId="50">
    <w:name w:val="正文文本缩进1"/>
    <w:basedOn w:val="1"/>
    <w:qFormat/>
    <w:uiPriority w:val="0"/>
    <w:pPr>
      <w:spacing w:after="120"/>
      <w:ind w:left="420"/>
    </w:pPr>
  </w:style>
  <w:style w:type="character" w:customStyle="1" w:styleId="51">
    <w:name w:val="标题 1 字符"/>
    <w:basedOn w:val="39"/>
    <w:link w:val="2"/>
    <w:qFormat/>
    <w:uiPriority w:val="9"/>
    <w:rPr>
      <w:rFonts w:ascii="Arial" w:hAnsi="Arial" w:eastAsia="Arial" w:cs="Arial"/>
      <w:sz w:val="40"/>
      <w:szCs w:val="40"/>
    </w:rPr>
  </w:style>
  <w:style w:type="character" w:customStyle="1" w:styleId="52">
    <w:name w:val="Heading 2 Char"/>
    <w:basedOn w:val="39"/>
    <w:qFormat/>
    <w:uiPriority w:val="9"/>
    <w:rPr>
      <w:rFonts w:ascii="Arial" w:hAnsi="Arial" w:eastAsia="Arial" w:cs="Arial"/>
      <w:sz w:val="34"/>
    </w:rPr>
  </w:style>
  <w:style w:type="character" w:customStyle="1" w:styleId="53">
    <w:name w:val="标题 3 字符"/>
    <w:basedOn w:val="39"/>
    <w:link w:val="4"/>
    <w:qFormat/>
    <w:uiPriority w:val="9"/>
    <w:rPr>
      <w:rFonts w:ascii="Arial" w:hAnsi="Arial" w:eastAsia="Arial" w:cs="Arial"/>
      <w:sz w:val="30"/>
      <w:szCs w:val="30"/>
    </w:rPr>
  </w:style>
  <w:style w:type="character" w:customStyle="1" w:styleId="54">
    <w:name w:val="标题 4 字符"/>
    <w:basedOn w:val="39"/>
    <w:link w:val="5"/>
    <w:qFormat/>
    <w:uiPriority w:val="9"/>
    <w:rPr>
      <w:rFonts w:ascii="Arial" w:hAnsi="Arial" w:eastAsia="Arial" w:cs="Arial"/>
      <w:b/>
      <w:bCs/>
      <w:sz w:val="26"/>
      <w:szCs w:val="26"/>
    </w:rPr>
  </w:style>
  <w:style w:type="character" w:customStyle="1" w:styleId="55">
    <w:name w:val="标题 5 字符"/>
    <w:basedOn w:val="39"/>
    <w:link w:val="6"/>
    <w:qFormat/>
    <w:uiPriority w:val="9"/>
    <w:rPr>
      <w:rFonts w:ascii="Arial" w:hAnsi="Arial" w:eastAsia="Arial" w:cs="Arial"/>
      <w:b/>
      <w:bCs/>
      <w:sz w:val="24"/>
      <w:szCs w:val="24"/>
    </w:rPr>
  </w:style>
  <w:style w:type="character" w:customStyle="1" w:styleId="56">
    <w:name w:val="标题 6 字符"/>
    <w:basedOn w:val="39"/>
    <w:link w:val="7"/>
    <w:qFormat/>
    <w:uiPriority w:val="9"/>
    <w:rPr>
      <w:rFonts w:ascii="Arial" w:hAnsi="Arial" w:eastAsia="Arial" w:cs="Arial"/>
      <w:b/>
      <w:bCs/>
      <w:sz w:val="22"/>
      <w:szCs w:val="22"/>
    </w:rPr>
  </w:style>
  <w:style w:type="character" w:customStyle="1" w:styleId="57">
    <w:name w:val="标题 7 字符"/>
    <w:basedOn w:val="39"/>
    <w:link w:val="8"/>
    <w:qFormat/>
    <w:uiPriority w:val="9"/>
    <w:rPr>
      <w:rFonts w:ascii="Arial" w:hAnsi="Arial" w:eastAsia="Arial" w:cs="Arial"/>
      <w:b/>
      <w:bCs/>
      <w:i/>
      <w:iCs/>
      <w:sz w:val="22"/>
      <w:szCs w:val="22"/>
    </w:rPr>
  </w:style>
  <w:style w:type="character" w:customStyle="1" w:styleId="58">
    <w:name w:val="标题 8 字符"/>
    <w:basedOn w:val="39"/>
    <w:link w:val="9"/>
    <w:qFormat/>
    <w:uiPriority w:val="9"/>
    <w:rPr>
      <w:rFonts w:ascii="Arial" w:hAnsi="Arial" w:eastAsia="Arial" w:cs="Arial"/>
      <w:i/>
      <w:iCs/>
      <w:sz w:val="22"/>
      <w:szCs w:val="22"/>
    </w:rPr>
  </w:style>
  <w:style w:type="character" w:customStyle="1" w:styleId="59">
    <w:name w:val="标题 9 字符"/>
    <w:basedOn w:val="39"/>
    <w:link w:val="10"/>
    <w:qFormat/>
    <w:uiPriority w:val="9"/>
    <w:rPr>
      <w:rFonts w:ascii="Arial" w:hAnsi="Arial" w:eastAsia="Arial" w:cs="Arial"/>
      <w:i/>
      <w:iCs/>
      <w:sz w:val="21"/>
      <w:szCs w:val="21"/>
    </w:rPr>
  </w:style>
  <w:style w:type="paragraph" w:styleId="60">
    <w:name w:val="List Paragraph"/>
    <w:basedOn w:val="1"/>
    <w:qFormat/>
    <w:uiPriority w:val="34"/>
    <w:pPr>
      <w:ind w:left="720"/>
      <w:contextualSpacing/>
    </w:pPr>
  </w:style>
  <w:style w:type="paragraph" w:styleId="61">
    <w:name w:val="No Spacing"/>
    <w:qFormat/>
    <w:uiPriority w:val="1"/>
    <w:rPr>
      <w:rFonts w:ascii="Times New Roman" w:hAnsi="Times New Roman" w:eastAsia="宋体" w:cs="Times New Roman"/>
      <w:lang w:val="en-US" w:eastAsia="zh-CN" w:bidi="ar-SA"/>
    </w:rPr>
  </w:style>
  <w:style w:type="character" w:customStyle="1" w:styleId="62">
    <w:name w:val="标题 字符"/>
    <w:basedOn w:val="39"/>
    <w:link w:val="33"/>
    <w:qFormat/>
    <w:uiPriority w:val="10"/>
    <w:rPr>
      <w:sz w:val="48"/>
      <w:szCs w:val="48"/>
    </w:rPr>
  </w:style>
  <w:style w:type="character" w:customStyle="1" w:styleId="63">
    <w:name w:val="副标题 字符"/>
    <w:basedOn w:val="39"/>
    <w:link w:val="26"/>
    <w:qFormat/>
    <w:uiPriority w:val="11"/>
    <w:rPr>
      <w:sz w:val="24"/>
      <w:szCs w:val="24"/>
    </w:rPr>
  </w:style>
  <w:style w:type="paragraph" w:styleId="64">
    <w:name w:val="Quote"/>
    <w:basedOn w:val="1"/>
    <w:next w:val="1"/>
    <w:link w:val="65"/>
    <w:qFormat/>
    <w:uiPriority w:val="29"/>
    <w:pPr>
      <w:ind w:left="720" w:right="720"/>
    </w:pPr>
    <w:rPr>
      <w:i/>
    </w:rPr>
  </w:style>
  <w:style w:type="character" w:customStyle="1" w:styleId="65">
    <w:name w:val="引用 字符"/>
    <w:link w:val="64"/>
    <w:qFormat/>
    <w:uiPriority w:val="29"/>
    <w:rPr>
      <w:i/>
    </w:rPr>
  </w:style>
  <w:style w:type="paragraph" w:styleId="66">
    <w:name w:val="Intense Quote"/>
    <w:basedOn w:val="1"/>
    <w:next w:val="1"/>
    <w:link w:val="6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7">
    <w:name w:val="明显引用 字符"/>
    <w:link w:val="66"/>
    <w:qFormat/>
    <w:uiPriority w:val="30"/>
    <w:rPr>
      <w:i/>
    </w:rPr>
  </w:style>
  <w:style w:type="character" w:customStyle="1" w:styleId="68">
    <w:name w:val="Header Char"/>
    <w:basedOn w:val="39"/>
    <w:qFormat/>
    <w:uiPriority w:val="99"/>
  </w:style>
  <w:style w:type="character" w:customStyle="1" w:styleId="69">
    <w:name w:val="Footer Char"/>
    <w:basedOn w:val="39"/>
    <w:qFormat/>
    <w:uiPriority w:val="99"/>
  </w:style>
  <w:style w:type="character" w:customStyle="1" w:styleId="70">
    <w:name w:val="Caption Char"/>
    <w:qFormat/>
    <w:uiPriority w:val="99"/>
  </w:style>
  <w:style w:type="table" w:customStyle="1" w:styleId="71">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2">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3">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4">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8">
    <w:name w:val="Grid Table 1 Light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9">
    <w:name w:val="Grid Table 1 Light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0">
    <w:name w:val="Grid Table 1 Light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1">
    <w:name w:val="Grid Table 1 Light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2">
    <w:name w:val="Grid Table 1 Light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3">
    <w:name w:val="Grid Table 1 Light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4">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2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6">
    <w:name w:val="Grid Table 2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7">
    <w:name w:val="Grid Table 2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8">
    <w:name w:val="Grid Table 2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9">
    <w:name w:val="Grid Table 2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0">
    <w:name w:val="Grid Table 2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1">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3 - Accent 1"/>
    <w:basedOn w:val="37"/>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3 - Accent 2"/>
    <w:basedOn w:val="37"/>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3 - Accent 3"/>
    <w:basedOn w:val="37"/>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3 - Accent 4"/>
    <w:basedOn w:val="37"/>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3 - Accent 5"/>
    <w:basedOn w:val="37"/>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3 - Accent 6"/>
    <w:basedOn w:val="37"/>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4 - Accent 1"/>
    <w:basedOn w:val="37"/>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0">
    <w:name w:val="Grid Table 4 - Accent 2"/>
    <w:basedOn w:val="37"/>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4 - Accent 3"/>
    <w:basedOn w:val="37"/>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4 - Accent 4"/>
    <w:basedOn w:val="37"/>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4 - Accent 5"/>
    <w:basedOn w:val="37"/>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4 - Accent 6"/>
    <w:basedOn w:val="37"/>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6">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7">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8">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9">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0">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1">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2">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6 Colorful - Accent 1"/>
    <w:basedOn w:val="37"/>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4">
    <w:name w:val="Grid Table 6 Colorful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5">
    <w:name w:val="Grid Table 6 Colorful - Accent 3"/>
    <w:basedOn w:val="37"/>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6">
    <w:name w:val="Grid Table 6 Colorful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7">
    <w:name w:val="Grid Table 6 Colorful - Accent 5"/>
    <w:basedOn w:val="37"/>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8">
    <w:name w:val="Grid Table 6 Colorful - Accent 6"/>
    <w:basedOn w:val="37"/>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9">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7 Colorful - Accent 1"/>
    <w:basedOn w:val="37"/>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7 Colorful - Accent 2"/>
    <w:basedOn w:val="37"/>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7 Colorful - Accent 3"/>
    <w:basedOn w:val="37"/>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3">
    <w:name w:val="Grid Table 7 Colorful - Accent 4"/>
    <w:basedOn w:val="37"/>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7 Colorful - Accent 5"/>
    <w:basedOn w:val="37"/>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7 Colorful - Accent 6"/>
    <w:basedOn w:val="37"/>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6">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7">
    <w:name w:val="List Table 1 Light - Accent 1"/>
    <w:basedOn w:val="37"/>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8">
    <w:name w:val="List Table 1 Light - Accent 2"/>
    <w:basedOn w:val="37"/>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9">
    <w:name w:val="List Table 1 Light - Accent 3"/>
    <w:basedOn w:val="37"/>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0">
    <w:name w:val="List Table 1 Light - Accent 4"/>
    <w:basedOn w:val="37"/>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1">
    <w:name w:val="List Table 1 Light - Accent 5"/>
    <w:basedOn w:val="37"/>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2">
    <w:name w:val="List Table 1 Light - Accent 6"/>
    <w:basedOn w:val="37"/>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3">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2 - Accent 1"/>
    <w:basedOn w:val="37"/>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5">
    <w:name w:val="List Table 2 - Accent 2"/>
    <w:basedOn w:val="37"/>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6">
    <w:name w:val="List Table 2 - Accent 3"/>
    <w:basedOn w:val="37"/>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7">
    <w:name w:val="List Table 2 - Accent 4"/>
    <w:basedOn w:val="37"/>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8">
    <w:name w:val="List Table 2 - Accent 5"/>
    <w:basedOn w:val="37"/>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9">
    <w:name w:val="List Table 2 - Accent 6"/>
    <w:basedOn w:val="37"/>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0">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1">
    <w:name w:val="List Table 3 - Accent 1"/>
    <w:basedOn w:val="37"/>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2">
    <w:name w:val="List Table 3 - Accent 2"/>
    <w:basedOn w:val="37"/>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3">
    <w:name w:val="List Table 3 - Accent 3"/>
    <w:basedOn w:val="37"/>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4">
    <w:name w:val="List Table 3 - Accent 4"/>
    <w:basedOn w:val="37"/>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5">
    <w:name w:val="List Table 3 - Accent 5"/>
    <w:basedOn w:val="37"/>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6">
    <w:name w:val="List Table 3 - Accent 6"/>
    <w:basedOn w:val="37"/>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7">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4 - Accent 1"/>
    <w:basedOn w:val="37"/>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9">
    <w:name w:val="List Table 4 - Accent 2"/>
    <w:basedOn w:val="37"/>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0">
    <w:name w:val="List Table 4 - Accent 3"/>
    <w:basedOn w:val="37"/>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1">
    <w:name w:val="List Table 4 - Accent 4"/>
    <w:basedOn w:val="37"/>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2">
    <w:name w:val="List Table 4 - Accent 5"/>
    <w:basedOn w:val="37"/>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3">
    <w:name w:val="List Table 4 - Accent 6"/>
    <w:basedOn w:val="37"/>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4">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5">
    <w:name w:val="List Table 5 Dark - Accent 1"/>
    <w:basedOn w:val="37"/>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6">
    <w:name w:val="List Table 5 Dark - Accent 2"/>
    <w:basedOn w:val="37"/>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7">
    <w:name w:val="List Table 5 Dark - Accent 3"/>
    <w:basedOn w:val="37"/>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8">
    <w:name w:val="List Table 5 Dark - Accent 4"/>
    <w:basedOn w:val="37"/>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9">
    <w:name w:val="List Table 5 Dark - Accent 5"/>
    <w:basedOn w:val="37"/>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0">
    <w:name w:val="List Table 5 Dark - Accent 6"/>
    <w:basedOn w:val="37"/>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1">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2">
    <w:name w:val="List Table 6 Colorful - Accent 1"/>
    <w:basedOn w:val="37"/>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3">
    <w:name w:val="List Table 6 Colorful - Accent 2"/>
    <w:basedOn w:val="37"/>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4">
    <w:name w:val="List Table 6 Colorful - Accent 3"/>
    <w:basedOn w:val="37"/>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5">
    <w:name w:val="List Table 6 Colorful - Accent 4"/>
    <w:basedOn w:val="37"/>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6">
    <w:name w:val="List Table 6 Colorful - Accent 5"/>
    <w:basedOn w:val="37"/>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7">
    <w:name w:val="List Table 6 Colorful - Accent 6"/>
    <w:basedOn w:val="37"/>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8">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9">
    <w:name w:val="List Table 7 Colorful - Accent 1"/>
    <w:basedOn w:val="37"/>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7 Colorful - Accent 2"/>
    <w:basedOn w:val="37"/>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7 Colorful - Accent 3"/>
    <w:basedOn w:val="37"/>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7 Colorful - Accent 4"/>
    <w:basedOn w:val="37"/>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7 Colorful - Accent 5"/>
    <w:basedOn w:val="37"/>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7 Colorful - Accent 6"/>
    <w:basedOn w:val="37"/>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Lined - Accent 1"/>
    <w:basedOn w:val="37"/>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7">
    <w:name w:val="Lined - Accent 2"/>
    <w:basedOn w:val="37"/>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8">
    <w:name w:val="Lined - Accent 3"/>
    <w:basedOn w:val="37"/>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9">
    <w:name w:val="Lined - Accent 4"/>
    <w:basedOn w:val="37"/>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0">
    <w:name w:val="Lined - Accent 5"/>
    <w:basedOn w:val="37"/>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1">
    <w:name w:val="Lined - Accent 6"/>
    <w:basedOn w:val="37"/>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2">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Bordered &amp; Lined - Accent 1"/>
    <w:basedOn w:val="37"/>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Bordered &amp; Lined - Accent 2"/>
    <w:basedOn w:val="37"/>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Bordered &amp; Lined - Accent 3"/>
    <w:basedOn w:val="37"/>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Bordered &amp; Lined - Accent 4"/>
    <w:basedOn w:val="37"/>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Bordered &amp; Lined - Accent 5"/>
    <w:basedOn w:val="37"/>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Bordered &amp; Lined - Accent 6"/>
    <w:basedOn w:val="37"/>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0">
    <w:name w:val="Bordered - Accent 1"/>
    <w:basedOn w:val="37"/>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1">
    <w:name w:val="Bordered - Accent 2"/>
    <w:basedOn w:val="37"/>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2">
    <w:name w:val="Bordered - Accent 3"/>
    <w:basedOn w:val="37"/>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3">
    <w:name w:val="Bordered - Accent 4"/>
    <w:basedOn w:val="37"/>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4">
    <w:name w:val="Bordered - Accent 5"/>
    <w:basedOn w:val="37"/>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5">
    <w:name w:val="Bordered - Accent 6"/>
    <w:basedOn w:val="37"/>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6">
    <w:name w:val="脚注文本 字符"/>
    <w:link w:val="27"/>
    <w:qFormat/>
    <w:uiPriority w:val="99"/>
    <w:rPr>
      <w:sz w:val="18"/>
    </w:rPr>
  </w:style>
  <w:style w:type="character" w:customStyle="1" w:styleId="197">
    <w:name w:val="尾注文本 字符"/>
    <w:link w:val="21"/>
    <w:qFormat/>
    <w:uiPriority w:val="99"/>
    <w:rPr>
      <w:sz w:val="20"/>
    </w:rPr>
  </w:style>
  <w:style w:type="paragraph" w:customStyle="1" w:styleId="198">
    <w:name w:val="TOC 标题1"/>
    <w:unhideWhenUsed/>
    <w:qFormat/>
    <w:uiPriority w:val="39"/>
    <w:rPr>
      <w:rFonts w:ascii="Times New Roman" w:hAnsi="Times New Roman" w:eastAsia="宋体" w:cs="Times New Roman"/>
      <w:lang w:val="en-US" w:eastAsia="zh-CN" w:bidi="ar-SA"/>
    </w:rPr>
  </w:style>
  <w:style w:type="paragraph" w:customStyle="1" w:styleId="199">
    <w:name w:val="Default"/>
    <w:basedOn w:val="1"/>
    <w:semiHidden/>
    <w:qFormat/>
    <w:uiPriority w:val="0"/>
    <w:pPr>
      <w:jc w:val="left"/>
    </w:pPr>
    <w:rPr>
      <w:rFonts w:ascii="宋体" w:hAnsi="Calibri" w:cs="宋体"/>
      <w:color w:val="000000"/>
      <w:sz w:val="24"/>
    </w:rPr>
  </w:style>
  <w:style w:type="character" w:customStyle="1" w:styleId="200">
    <w:name w:val="页眉 字符"/>
    <w:basedOn w:val="39"/>
    <w:link w:val="23"/>
    <w:qFormat/>
    <w:uiPriority w:val="0"/>
    <w:rPr>
      <w:rFonts w:asciiTheme="minorHAnsi" w:hAnsiTheme="minorHAnsi" w:eastAsiaTheme="minorEastAsia" w:cstheme="minorBidi"/>
      <w:sz w:val="18"/>
      <w:szCs w:val="18"/>
    </w:rPr>
  </w:style>
  <w:style w:type="character" w:customStyle="1" w:styleId="201">
    <w:name w:val="页脚 字符"/>
    <w:basedOn w:val="39"/>
    <w:link w:val="22"/>
    <w:qFormat/>
    <w:uiPriority w:val="0"/>
    <w:rPr>
      <w:rFonts w:asciiTheme="minorHAnsi" w:hAnsiTheme="minorHAnsi" w:eastAsiaTheme="minorEastAsia" w:cstheme="minorBidi"/>
      <w:sz w:val="18"/>
      <w:szCs w:val="18"/>
    </w:rPr>
  </w:style>
  <w:style w:type="character" w:customStyle="1" w:styleId="202">
    <w:name w:val="批注文字 字符"/>
    <w:basedOn w:val="39"/>
    <w:link w:val="13"/>
    <w:qFormat/>
    <w:uiPriority w:val="0"/>
    <w:rPr>
      <w:rFonts w:asciiTheme="minorHAnsi" w:hAnsiTheme="minorHAnsi" w:eastAsiaTheme="minorEastAsia" w:cstheme="minorBidi"/>
      <w:sz w:val="21"/>
      <w:szCs w:val="24"/>
    </w:rPr>
  </w:style>
  <w:style w:type="character" w:customStyle="1" w:styleId="203">
    <w:name w:val="批注主题 字符"/>
    <w:basedOn w:val="202"/>
    <w:link w:val="34"/>
    <w:qFormat/>
    <w:uiPriority w:val="0"/>
    <w:rPr>
      <w:rFonts w:asciiTheme="minorHAnsi" w:hAnsiTheme="minorHAnsi" w:eastAsiaTheme="minorEastAsia" w:cstheme="minorBidi"/>
      <w:b/>
      <w:bCs/>
      <w:sz w:val="21"/>
      <w:szCs w:val="24"/>
    </w:rPr>
  </w:style>
  <w:style w:type="character" w:customStyle="1" w:styleId="204">
    <w:name w:val="font41"/>
    <w:basedOn w:val="39"/>
    <w:qFormat/>
    <w:uiPriority w:val="0"/>
    <w:rPr>
      <w:rFonts w:hint="eastAsia" w:ascii="宋体" w:hAnsi="宋体" w:eastAsia="宋体" w:cs="宋体"/>
      <w:color w:val="FF0000"/>
      <w:sz w:val="24"/>
      <w:szCs w:val="24"/>
      <w:u w:val="none"/>
    </w:rPr>
  </w:style>
  <w:style w:type="paragraph" w:customStyle="1" w:styleId="205">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06">
    <w:name w:val="纯文本1"/>
    <w:autoRedefine/>
    <w:qFormat/>
    <w:uiPriority w:val="0"/>
    <w:pPr>
      <w:widowControl w:val="0"/>
      <w:jc w:val="both"/>
    </w:pPr>
    <w:rPr>
      <w:rFonts w:ascii="宋体" w:hAnsi="Courier New" w:eastAsia="宋体" w:cs="Times New Roman"/>
      <w:sz w:val="21"/>
      <w:szCs w:val="21"/>
      <w:lang w:val="en-US" w:eastAsia="zh-CN" w:bidi="ar-SA"/>
    </w:rPr>
  </w:style>
  <w:style w:type="paragraph" w:customStyle="1" w:styleId="207">
    <w:name w:val="正文首行缩进1"/>
    <w:basedOn w:val="1"/>
    <w:qFormat/>
    <w:uiPriority w:val="0"/>
    <w:pPr>
      <w:spacing w:line="360" w:lineRule="auto"/>
      <w:ind w:firstLine="200"/>
    </w:pPr>
    <w:rPr>
      <w:rFonts w:ascii="仿宋_GB2312" w:eastAsia="仿宋_GB2312"/>
      <w:sz w:val="30"/>
      <w:szCs w:val="30"/>
    </w:rPr>
  </w:style>
  <w:style w:type="paragraph" w:customStyle="1" w:styleId="208">
    <w:name w:val="标题 11"/>
    <w:next w:val="1"/>
    <w:autoRedefine/>
    <w:qFormat/>
    <w:uiPriority w:val="0"/>
    <w:pPr>
      <w:keepNext/>
      <w:widowControl w:val="0"/>
      <w:jc w:val="center"/>
      <w:outlineLvl w:val="0"/>
    </w:pPr>
    <w:rPr>
      <w:rFonts w:ascii="楷体_GB2312" w:hAnsi="Times New Roman" w:eastAsia="楷体_GB2312" w:cs="Times New Roman"/>
      <w:sz w:val="28"/>
      <w:szCs w:val="28"/>
      <w:lang w:val="en-US" w:eastAsia="zh-CN" w:bidi="ar-SA"/>
    </w:rPr>
  </w:style>
  <w:style w:type="paragraph" w:customStyle="1" w:styleId="209">
    <w:name w:val="Table Text"/>
    <w:basedOn w:val="1"/>
    <w:semiHidden/>
    <w:qFormat/>
    <w:uiPriority w:val="0"/>
    <w:rPr>
      <w:rFonts w:ascii="宋体" w:hAnsi="宋体" w:eastAsia="宋体" w:cs="宋体"/>
      <w:sz w:val="27"/>
      <w:szCs w:val="27"/>
    </w:rPr>
  </w:style>
  <w:style w:type="table" w:customStyle="1" w:styleId="210">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3d7c1077-edf4-427a-8444-0a02aa1c0352</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5312617D</paraID>
      <start xmlns="http://schemas.wps.cn/vas-ai-hub/contract-review">63</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d7dfe995-f548-4b6b-9c34-3f9a49eaf0b3</errorID>
      <errorWord xmlns="http://schemas.wps.cn/vas-ai-hub/contract-review">提供</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，提供</item>
      </candidateList>
      <explain xmlns="http://schemas.wps.cn/vas-ai-hub/contract-review"/>
      <paraID xmlns="http://schemas.wps.cn/vas-ai-hub/contract-review">5312617D</paraID>
      <start xmlns="http://schemas.wps.cn/vas-ai-hub/contract-review">86</start>
      <end xmlns="http://schemas.wps.cn/vas-ai-hub/contract-review">88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fbbeb7fe-96dc-4bb5-84b8-60f159501d86</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
      </candidateList>
      <explain xmlns="http://schemas.wps.cn/vas-ai-hub/contract-review"/>
      <paraID xmlns="http://schemas.wps.cn/vas-ai-hub/contract-review">5312617D</paraID>
      <start xmlns="http://schemas.wps.cn/vas-ai-hub/contract-review">92</start>
      <end xmlns="http://schemas.wps.cn/vas-ai-hub/contract-review">93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d2ad3f60-13ea-4efe-bc7b-e3288c6c10dc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4FEBCE15</paraID>
      <start xmlns="http://schemas.wps.cn/vas-ai-hub/contract-review">32</start>
      <end xmlns="http://schemas.wps.cn/vas-ai-hub/contract-review">33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fb854dde-ddf3-41ba-810e-f70a375e2ec2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4FEBCE15</paraID>
      <start xmlns="http://schemas.wps.cn/vas-ai-hub/contract-review">39</start>
      <end xmlns="http://schemas.wps.cn/vas-ai-hub/contract-review">40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c43967af-75df-4f60-bf05-ba17cfafbb19</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93E042C</paraID>
      <start xmlns="http://schemas.wps.cn/vas-ai-hub/contract-review">115</start>
      <end xmlns="http://schemas.wps.cn/vas-ai-hub/contract-review">116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84cca5a2-89ba-43d2-be58-910629971ff3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 93E042C</paraID>
      <start xmlns="http://schemas.wps.cn/vas-ai-hub/contract-review">126</start>
      <end xmlns="http://schemas.wps.cn/vas-ai-hub/contract-review">127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9fb27f8c-38a0-423f-a154-2f17f31297dc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93E042C</paraID>
      <start xmlns="http://schemas.wps.cn/vas-ai-hub/contract-review">154</start>
      <end xmlns="http://schemas.wps.cn/vas-ai-hub/contract-review">155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38579939-b5c4-49a2-a575-271bd187a396</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14</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1a88139e-03ca-4938-8232-6c2e1adcca45</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26</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ebb0d883-9d55-4cfd-8502-6414f385a9ba</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35</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9d25ba15-66f5-4ea9-9e0c-ea29a7f991e6</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41</start>
      <end xmlns="http://schemas.wps.cn/vas-ai-hub/contract-review">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703dd009-298a-4844-9154-547edafddc2d</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54</start>
      <end xmlns="http://schemas.wps.cn/vas-ai-hub/contract-review">56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11bd71c9-274a-4b87-ac8d-0fe247399eed</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62</start>
      <end xmlns="http://schemas.wps.cn/vas-ai-hub/contract-review">64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02b66e35-bc89-4805-9cb4-4fc2d957a3ba</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69</start>
      <end xmlns="http://schemas.wps.cn/vas-ai-hub/contract-review">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c667509d-b3ad-4a68-a226-8850ccb5beb5</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92</start>
      <end xmlns="http://schemas.wps.cn/vas-ai-hub/contract-review">94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c02a13a0-0b57-42be-b75f-eee1b1d8db59</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100</start>
      <end xmlns="http://schemas.wps.cn/vas-ai-hub/contract-review">102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79f7697a-4a2f-4010-96e0-562ffba793bd</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120</start>
      <end xmlns="http://schemas.wps.cn/vas-ai-hub/contract-review">122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c6ed68bd-f378-4fcd-99da-7fca7424090e</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32A21B87</paraID>
      <start xmlns="http://schemas.wps.cn/vas-ai-hub/contract-review">170</start>
      <end xmlns="http://schemas.wps.cn/vas-ai-hub/contract-review">171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d4012bb2-7bbc-4bcb-ad76-8f3a59d71023</errorID>
      <errorWord xmlns="http://schemas.wps.cn/vas-ai-hub/contract-review">-</errorWord>
      <group xmlns="http://schemas.wps.cn/vas-ai-hub/contract-review">L1_AI</group>
      <groupName xmlns="http://schemas.wps.cn/vas-ai-hub/contract-review">深度校对</groupName>
      <ability xmlns="http://schemas.wps.cn/vas-ai-hub/contract-review">L2_AI_Punc</ability>
      <abilityName xmlns="http://schemas.wps.cn/vas-ai-hub/contract-review">标点纠错</abilityName>
      <candidateList xmlns="http://schemas.wps.cn/vas-ai-hub/contract-review">
        <item xmlns="http://schemas.wps.cn/vas-ai-hub/contract-review">——</item>
      </candidateList>
      <explain xmlns="http://schemas.wps.cn/vas-ai-hub/contract-review"/>
      <paraID xmlns="http://schemas.wps.cn/vas-ai-hub/contract-review">26A03879</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cb47ac3b-32ea-4513-9914-8f2bb414d0be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
      <paraID xmlns="http://schemas.wps.cn/vas-ai-hub/contract-review">5B5DA349</paraID>
      <start xmlns="http://schemas.wps.cn/vas-ai-hub/contract-review">12</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71699515-30a9-42be-84da-86e0dba6bb7c</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1C2DD3CB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5fd7b19c-9963-4b5f-a54d-796b5533f556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49FFF37E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0d77cec4-88d0-4a02-b483-9aa54e4f7209</errorID>
      <errorWord xmlns="http://schemas.wps.cn/vas-ai-hub/contract-review">供应商的</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供应商</item>
      </candidateList>
      <explain xmlns="http://schemas.wps.cn/vas-ai-hub/contract-review"/>
      <paraID xmlns="http://schemas.wps.cn/vas-ai-hub/contract-review">3537E6FB</paraID>
      <start xmlns="http://schemas.wps.cn/vas-ai-hub/contract-review">10</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15968910-87f5-4326-8132-abd373c37027</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32C5C416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e9617c75-fe70-4b86-9f27-5d7208490f38</errorID>
      <errorWord xmlns="http://schemas.wps.cn/vas-ai-hub/contract-review">的法律法规</errorWord>
      <group xmlns="http://schemas.wps.cn/vas-ai-hub/contract-review">L1_AI</group>
      <groupName xmlns="http://schemas.wps.cn/vas-ai-hub/contract-review">深度校对</groupName>
      <ability xmlns="http://schemas.wps.cn/vas-ai-hub/contract-review">L2_AI_Word</ability>
      <abilityName xmlns="http://schemas.wps.cn/vas-ai-hub/contract-review">字词纠错</abilityName>
      <candidateList xmlns="http://schemas.wps.cn/vas-ai-hub/contract-review">
        <item xmlns="http://schemas.wps.cn/vas-ai-hub/contract-review">法律法规的</item>
      </candidateList>
      <explain xmlns="http://schemas.wps.cn/vas-ai-hub/contract-review"/>
      <paraID xmlns="http://schemas.wps.cn/vas-ai-hub/contract-review">475D6AAF</paraID>
      <start xmlns="http://schemas.wps.cn/vas-ai-hub/contract-review">25</start>
      <end xmlns="http://schemas.wps.cn/vas-ai-hub/contract-review">30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cf9e7eb6-1077-4c18-bed4-b9e96e229c21</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2410A24E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325268b3-f792-438a-8bfb-1a89a49be4f6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2005B19D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af525a66-3b2f-4c9f-879e-a76671451c0d</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319F1510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2deb5178-8278-4f6c-94be-f749b85f8f9f</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1FBCE683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394c4d5e-9edf-4214-b802-c00b1cd7c1f2</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64D93D1A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28376d91-6cf0-49dd-8977-59b49cfc7389</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79F7581C</paraID>
      <start xmlns="http://schemas.wps.cn/vas-ai-hub/contract-review">9</start>
      <end xmlns="http://schemas.wps.cn/vas-ai-hub/contract-review">10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d9662547-6121-4d16-a5c4-63a9a7bc4cf9</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3958D525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e67ba316-888a-45c5-ba98-b4f307b20d8a</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5A005DB0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7e9664be-d8be-4c97-be8d-d4f3a6e76ccb</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58AAE2F3</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6ec43ba5-08e6-4182-888a-31dc99efc60e</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7BCF26D9</paraID>
      <start xmlns="http://schemas.wps.cn/vas-ai-hub/contract-review">12</start>
      <end xmlns="http://schemas.wps.cn/vas-ai-hub/contract-review">17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d8f9d8c7-e08b-4a6f-90e4-aeabbdd1c4a5</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7C62A904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ae74e843-4e28-44cc-a984-cdee8d916917</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477B83B3</paraID>
      <start xmlns="http://schemas.wps.cn/vas-ai-hub/contract-review">73</start>
      <end xmlns="http://schemas.wps.cn/vas-ai-hub/contract-review">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76ac657f-d022-4193-9f3c-513ff613f981</errorID>
      <errorWord xmlns="http://schemas.wps.cn/vas-ai-hub/contract-review">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害保</item>
      </candidateList>
      <explain xmlns="http://schemas.wps.cn/vas-ai-hub/contract-review"/>
      <paraID xmlns="http://schemas.wps.cn/vas-ai-hub/contract-review">477B83B3</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2c7ae443-2b41-4e01-bdc3-abbdb25bf6e3</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477B83B3</paraID>
      <start xmlns="http://schemas.wps.cn/vas-ai-hub/contract-review">171</start>
      <end xmlns="http://schemas.wps.cn/vas-ai-hub/contract-review">174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2a8b0fba-9746-4bd8-992e-654d50bc24b6</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3E71C8AC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6c99e5cf-a281-4a80-859e-de17676a7785</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3BCCF779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8b0051d3-c27f-4be4-a295-09e5f9819750</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53CB0256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53f5f14d-a646-4d8f-be3d-dcfcda432789</errorID>
      <errorWord xmlns="http://schemas.wps.cn/vas-ai-hub/contract-review">16、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A08692B</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076203a3-ef9f-4ec1-88d6-c80c9798e2c9</errorID>
      <errorWord xmlns="http://schemas.wps.cn/vas-ai-hub/contract-review">17、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4C633EA9</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f2951131-33bc-4396-a456-ba6275fdaa3f</errorID>
      <errorWord xmlns="http://schemas.wps.cn/vas-ai-hub/contract-review">18、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4F21A69A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f1a5e828-b345-4d29-aef8-f4300dce63cd</errorID>
      <errorWord xmlns="http://schemas.wps.cn/vas-ai-hub/contract-review">19、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3AECB744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ac2b1d26-50de-442c-8212-af0e30d91ab3</errorID>
      <errorWord xmlns="http://schemas.wps.cn/vas-ai-hub/contract-review">20、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6520AEC0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18f572ac-a39d-4721-89e5-2441974be1cb</errorID>
      <errorWord xmlns="http://schemas.wps.cn/vas-ai-hub/contract-review">21、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2C4C772A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c1c0441b-6d3f-4c6b-b7a0-ead48b5a8ce1</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24D42C9F</paraID>
      <start xmlns="http://schemas.wps.cn/vas-ai-hub/contract-review">13</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c79e1f23-1655-4446-80ec-138f21897aff</errorID>
      <errorWord xmlns="http://schemas.wps.cn/vas-ai-hub/contract-review">22、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388DE53A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ce33df10-f28e-453e-80f5-6e1985e24f75</errorID>
      <errorWord xmlns="http://schemas.wps.cn/vas-ai-hub/contract-review">23、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28C925DA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46e576ef-339e-443f-985f-e81e29ea34d8</errorID>
      <errorWord xmlns="http://schemas.wps.cn/vas-ai-hub/contract-review">24、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54153DDE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06360d41-b663-45d1-bea8-d948a5d17e11</errorID>
      <errorWord xmlns="http://schemas.wps.cn/vas-ai-hub/contract-review">25、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6E30B691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4b46ad2e-3a6c-4809-a8c5-e115bbdd396b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6A4B8600</paraID>
      <start xmlns="http://schemas.wps.cn/vas-ai-hub/contract-review">74</start>
      <end xmlns="http://schemas.wps.cn/vas-ai-hub/contract-review">75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1fe1c201-9262-4070-b8ff-04b56dcd95d9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45C5179D</paraID>
      <start xmlns="http://schemas.wps.cn/vas-ai-hub/contract-review">54</start>
      <end xmlns="http://schemas.wps.cn/vas-ai-hub/contract-review">55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297736e1-6117-446a-ad1d-a71bbc74fd75</errorID>
      <errorWord xmlns="http://schemas.wps.cn/vas-ai-hub/contract-review">不</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不符</item>
      </candidateList>
      <explain xmlns="http://schemas.wps.cn/vas-ai-hub/contract-review"/>
      <paraID xmlns="http://schemas.wps.cn/vas-ai-hub/contract-review">377D1C32</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fd951909-b2bb-47cb-8abb-bca005b38bd0</errorID>
      <errorWord xmlns="http://schemas.wps.cn/vas-ai-hub/contract-review">26、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25F3BE20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76fccb2c-e2d3-414c-9abd-a7109e37d3f0</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29D404A</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8fab980a-f854-4a3d-aae5-e2ccf5ea9197</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191012DE</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2d952669-c905-4b02-9350-45d7ed9114bc</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8E26264</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ef1ba691-059a-464a-8383-742a2de2a159</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742E7BA7</paraID>
      <start xmlns="http://schemas.wps.cn/vas-ai-hub/contract-review">9</start>
      <end xmlns="http://schemas.wps.cn/vas-ai-hub/contract-review">14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72ef223e-495e-4b37-a26e-625563f98998</errorID>
      <errorWord xmlns="http://schemas.wps.cn/vas-ai-hub/contract-review">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属于</item>
      </candidateList>
      <explain xmlns="http://schemas.wps.cn/vas-ai-hub/contract-review"/>
      <paraID xmlns="http://schemas.wps.cn/vas-ai-hub/contract-review">742E7BA7</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c1214740-10ca-4557-8629-9ba7f6897f3b</errorID>
      <errorWord xmlns="http://schemas.wps.cn/vas-ai-hub/contract-review">系统系统故障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系统故障</item>
      </candidateList>
      <explain xmlns="http://schemas.wps.cn/vas-ai-hub/contract-review"/>
      <paraID xmlns="http://schemas.wps.cn/vas-ai-hub/contract-review">233CF4F2</paraID>
      <start xmlns="http://schemas.wps.cn/vas-ai-hub/contract-review">10</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e406a842-3136-44dd-a693-1f7220cfad23</errorID>
      <errorWord xmlns="http://schemas.wps.cn/vas-ai-hub/contract-review">27、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609C833C</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d75bd042-1a24-4ce9-973c-2636fc7b6c0f</errorID>
      <errorWord xmlns="http://schemas.wps.cn/vas-ai-hub/contract-review">28、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1FA357F7</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50a4b82d-e6fd-45f0-a20e-6129b5738b78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5A822BFE</paraID>
      <start xmlns="http://schemas.wps.cn/vas-ai-hub/contract-review">23</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5b7bc194-101f-4544-8076-d5130fc81006</errorID>
      <errorWord xmlns="http://schemas.wps.cn/vas-ai-hub/contract-review">29、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3A91BDE</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83245bc1-1636-43c8-8034-6d173e85ec2f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3BFBC942</paraID>
      <start xmlns="http://schemas.wps.cn/vas-ai-hub/contract-review">49</start>
      <end xmlns="http://schemas.wps.cn/vas-ai-hub/contract-review">50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662491ed-cc5b-4031-b2ee-21c515b971fd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3BFBC942</paraID>
      <start xmlns="http://schemas.wps.cn/vas-ai-hub/contract-review">122</start>
      <end xmlns="http://schemas.wps.cn/vas-ai-hub/contract-review">123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18bb0909-b6af-414c-b0df-17a64929fddc</errorID>
      <errorWord xmlns="http://schemas.wps.cn/vas-ai-hub/contract-review">31、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77BCD65A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b89bb5f1-a6e4-4333-ae86-fcbfff2469b1</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7831DEFD</paraID>
      <start xmlns="http://schemas.wps.cn/vas-ai-hub/contract-review">22</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7152184b-a8a8-452d-ad6d-b7594ad60159</errorID>
      <errorWord xmlns="http://schemas.wps.cn/vas-ai-hub/contract-review">&gt;的通知》</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〉的通知》</item>
      </candidateList>
      <explain xmlns="http://schemas.wps.cn/vas-ai-hub/contract-review"/>
      <paraID xmlns="http://schemas.wps.cn/vas-ai-hub/contract-review">7831DEFD</paraID>
      <start xmlns="http://schemas.wps.cn/vas-ai-hub/contract-review">46</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a937e568-521a-4627-9e72-21f22d8b30fc</errorID>
      <errorWord xmlns="http://schemas.wps.cn/vas-ai-hub/contract-review">系统中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系统</item>
      </candidateList>
      <explain xmlns="http://schemas.wps.cn/vas-ai-hub/contract-review">❶〈名〉同类事物按一定的关系组成的整体：～化｜组织～｜灌溉～。❷〈形〉有条理的；有系统的：～学习｜～研究｜资料不够。</explain>
      <paraID xmlns="http://schemas.wps.cn/vas-ai-hub/contract-review">7831DEFD</paraID>
      <start xmlns="http://schemas.wps.cn/vas-ai-hub/contract-review">165</start>
      <end xmlns="http://schemas.wps.cn/vas-ai-hub/contract-review">168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e2473039-e5e6-4cd1-be77-972d48e78f9e</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4C9CBD8E</paraID>
      <start xmlns="http://schemas.wps.cn/vas-ai-hub/contract-review">150</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a2fb3943-4127-4383-92f1-486250a80c5c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56196F77</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f547e44d-8983-4b86-b43a-f198b43ed139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56196F77</paraID>
      <start xmlns="http://schemas.wps.cn/vas-ai-hub/contract-review">162</start>
      <end xmlns="http://schemas.wps.cn/vas-ai-hub/contract-review">163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25bd9b9e-43c2-49ce-b746-af8c7b98f88f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3C828DB7</paraID>
      <start xmlns="http://schemas.wps.cn/vas-ai-hub/contract-review">33</start>
      <end xmlns="http://schemas.wps.cn/vas-ai-hub/contract-review">34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8031bf2d-6a65-4608-97b0-f2cbe0dad3e4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3C828DB7</paraID>
      <start xmlns="http://schemas.wps.cn/vas-ai-hub/contract-review">50</start>
      <end xmlns="http://schemas.wps.cn/vas-ai-hub/contract-review">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40c19bff-396b-4e11-b2a1-7d7511149dc7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3C828DB7</paraID>
      <start xmlns="http://schemas.wps.cn/vas-ai-hub/contract-review">69</start>
      <end xmlns="http://schemas.wps.cn/vas-ai-hub/contract-review">70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0bc8e18f-5edd-4a7b-8bce-2678dbccf457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3C828DB7</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eb04faf9-66f2-40e2-a420-52968b043dc1</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722A8D32</paraID>
      <start xmlns="http://schemas.wps.cn/vas-ai-hub/contract-review">5</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307128fd-ce7e-41de-8afc-5eca7c1161de</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725270E3</paraID>
      <start xmlns="http://schemas.wps.cn/vas-ai-hub/contract-review">140</start>
      <end xmlns="http://schemas.wps.cn/vas-ai-hub/contract-review">143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15724865-4d59-4874-b1cb-18bc41635558</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293A7E43</paraID>
      <start xmlns="http://schemas.wps.cn/vas-ai-hub/contract-review">22</start>
      <end xmlns="http://schemas.wps.cn/vas-ai-hub/contract-review">24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84d4b7a0-27b5-45c0-951c-0d1b61382f19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18156E4C</paraID>
      <start xmlns="http://schemas.wps.cn/vas-ai-hub/contract-review">72</start>
      <end xmlns="http://schemas.wps.cn/vas-ai-hub/contract-review">73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5a05b300-9895-4375-a39a-a797073e2c8e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18156E4C</paraID>
      <start xmlns="http://schemas.wps.cn/vas-ai-hub/contract-review">75</start>
      <end xmlns="http://schemas.wps.cn/vas-ai-hub/contract-review">76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8e13a746-a289-4ed8-a8dd-ef949314344e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18156E4C</paraID>
      <start xmlns="http://schemas.wps.cn/vas-ai-hub/contract-review">78</start>
      <end xmlns="http://schemas.wps.cn/vas-ai-hub/contract-review">79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70fe8be5-f2b5-43e7-a835-4ea7b13db481</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18156E4C</paraID>
      <start xmlns="http://schemas.wps.cn/vas-ai-hub/contract-review">86</start>
      <end xmlns="http://schemas.wps.cn/vas-ai-hub/contract-review">87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54b24bdc-523d-4153-bbee-4484566bc09f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18156E4C</paraID>
      <start xmlns="http://schemas.wps.cn/vas-ai-hub/contract-review">100</start>
      <end xmlns="http://schemas.wps.cn/vas-ai-hub/contract-review">101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bb06d916-55b6-4ef1-a533-b8da960c0cd0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18156E4C</paraID>
      <start xmlns="http://schemas.wps.cn/vas-ai-hub/contract-review">106</start>
      <end xmlns="http://schemas.wps.cn/vas-ai-hub/contract-review">107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d7331eeb-349a-408a-9f7e-e9d1d590f215</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41EC3EB9</paraID>
      <start xmlns="http://schemas.wps.cn/vas-ai-hub/contract-review">38</start>
      <end xmlns="http://schemas.wps.cn/vas-ai-hub/contract-review">39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d959f31e-ce43-43f7-917a-0d8057185d83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41EC3EB9</paraID>
      <start xmlns="http://schemas.wps.cn/vas-ai-hub/contract-review">79</start>
      <end xmlns="http://schemas.wps.cn/vas-ai-hub/contract-review">80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fc2fc502-55c6-4060-837b-3d6c251079b8</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41EC3EB9</paraID>
      <start xmlns="http://schemas.wps.cn/vas-ai-hub/contract-review">89</start>
      <end xmlns="http://schemas.wps.cn/vas-ai-hub/contract-review">90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43055e8e-4d42-4aad-a51e-713d8d54e902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41EC3EB9</paraID>
      <start xmlns="http://schemas.wps.cn/vas-ai-hub/contract-review">108</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89fec77b-1699-4d8a-914c-4851c25a785b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43FAAADC</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74f6d4e1-b589-44c1-927f-ac68f8d5ee1e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43FAAADC</paraID>
      <start xmlns="http://schemas.wps.cn/vas-ai-hub/contract-review">124</start>
      <end xmlns="http://schemas.wps.cn/vas-ai-hub/contract-review">125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6e689178-dbf5-4199-8f19-baa9857a54b4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88C9F2</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011d6687-f21e-44f1-94c7-ed1112bcc635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 B680B96</paraID>
      <start xmlns="http://schemas.wps.cn/vas-ai-hub/contract-review">25</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1985fb60-13d6-4248-be69-a02f2f71990a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 B680B96</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de25d887-9cc6-4113-b871-526007380e32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73CCA7D3</paraID>
      <start xmlns="http://schemas.wps.cn/vas-ai-hub/contract-review">4</start>
      <end xmlns="http://schemas.wps.cn/vas-ai-hub/contract-review">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43571a11-cc5c-41f7-b275-b4be69869724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1B606092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de9bfd21-ea27-4649-b468-9074a3a2f860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1B606092</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fb1c4a2d-1d38-4376-9e8f-48c87108bb69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1B606092</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5d3b80b6-739e-42b1-955c-db85b3cca668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69CC6AE1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bb3175d8-385d-41df-9ebf-c6f1873d1afc</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20812346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63c6297c-a2e5-41b5-a8ce-d71a1f53e3f8</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3517FE1A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60233fe8-140d-4fbf-9876-060fc671e53a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3517FE1A</paraID>
      <start xmlns="http://schemas.wps.cn/vas-ai-hub/contract-review">7</start>
      <end xmlns="http://schemas.wps.cn/vas-ai-hub/contract-review">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342b71dc-f39b-4790-a443-dd2ccf0b55d3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3517FE1A</paraID>
      <start xmlns="http://schemas.wps.cn/vas-ai-hub/contract-review">10</start>
      <end xmlns="http://schemas.wps.cn/vas-ai-hub/contract-review">11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5bb012ec-da60-400c-b3d8-50309642c1c2</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6D7F217C</paraID>
      <start xmlns="http://schemas.wps.cn/vas-ai-hub/contract-review">18</start>
      <end xmlns="http://schemas.wps.cn/vas-ai-hub/contract-review">19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995f2aa7-b7cf-41f9-a010-1c741d3a5350</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6D7F217C</paraID>
      <start xmlns="http://schemas.wps.cn/vas-ai-hub/contract-review">30</start>
      <end xmlns="http://schemas.wps.cn/vas-ai-hub/contract-review">31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736a12af-34ce-4e3d-87eb-9f9b4bb3fed6</errorID>
      <errorWord xmlns="http://schemas.wps.cn/vas-ai-hub/contract-review">财产的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财产</item>
      </candidateList>
      <explain xmlns="http://schemas.wps.cn/vas-ai-hub/contract-review"/>
      <paraID xmlns="http://schemas.wps.cn/vas-ai-hub/contract-review">67F779E9</paraID>
      <start xmlns="http://schemas.wps.cn/vas-ai-hub/contract-review">96</start>
      <end xmlns="http://schemas.wps.cn/vas-ai-hub/contract-review">99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7907dc53-f543-4702-940a-55942daaa989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67F779E9</paraID>
      <start xmlns="http://schemas.wps.cn/vas-ai-hub/contract-review">107</start>
      <end xmlns="http://schemas.wps.cn/vas-ai-hub/contract-review">108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715bb73c-b2a4-4c75-84b3-b5fdcbbd2e6b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67F779E9</paraID>
      <start xmlns="http://schemas.wps.cn/vas-ai-hub/contract-review">111</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e7a3e03a-aba3-4d36-a7f5-e07938556781</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94A2109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83a56cc6-63d0-43e2-b2c9-65f94e797575</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40D8979</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bc51f762-c390-4f4d-b34a-5c897ee7fcd1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1FEF33CD</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36a8ad79-ffb8-4e48-863e-0717d405d79a</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3528F0DF</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e4fac8c3-310c-45bb-aec1-ddef3f96e578</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44D2A408</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6b8ab7c4-d05e-4a2d-b76c-300a23228e63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B9F85EE</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2ffc3402-522c-4d13-8538-bea9bccb8ca1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39B6698A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b85a7005-b499-4aff-8653-15a777afab25</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3AED1881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545b88fe-63d3-4c09-9b6b-06d84947c51b</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64905686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e3040ca1-5a41-4bf5-b0f7-ec6e808145f7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430D4275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11df2a3b-b2b4-43d6-b658-378112d80eab</errorID>
      <errorWord xmlns="http://schemas.wps.cn/vas-ai-hub/contract-review">制订</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制定</item>
      </candidateList>
      <explain xmlns="http://schemas.wps.cn/vas-ai-hub/contract-review">〈动〉定出（法律、规程、政策等）：～宪法｜～学会章程。</explain>
      <paraID xmlns="http://schemas.wps.cn/vas-ai-hub/contract-review">430D4275</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6bd72f99-77a2-44dd-9f1a-682b1da9341f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46E96C36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536910d5-02d0-487b-acf0-aa00d79b380f</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428D30B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10269de8-c8b6-4435-a796-6c394255ef03</errorID>
      <errorWord xmlns="http://schemas.wps.cn/vas-ai-hub/contract-review">劳动法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中华人民共和国劳动法</item>
      </candidateList>
      <explain xmlns="http://schemas.wps.cn/vas-ai-hub/contract-review">当前法律法规名称使用简称，请注意是否应当使用全称。</explain>
      <paraID xmlns="http://schemas.wps.cn/vas-ai-hub/contract-review"> 428D30B</paraID>
      <start xmlns="http://schemas.wps.cn/vas-ai-hub/contract-review">9</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1ef9e570-8f2d-4672-89b9-dc451127055f</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6F732057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c0bcabf9-2996-4b81-a7af-6a7b2c89a167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5F90A24A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57ad0ac7-0a1a-4b37-95db-5ca625a36911</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313A30D2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f0aa1db0-9ed6-43d5-b5f1-38d9745c3fcb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64451EF5</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1bd3bfc0-d443-4fd0-adfa-80199ed9530a</errorID>
      <errorWord xmlns="http://schemas.wps.cn/vas-ai-hub/contract-review">认可的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认可</item>
      </candidateList>
      <explain xmlns="http://schemas.wps.cn/vas-ai-hub/contract-review"/>
      <paraID xmlns="http://schemas.wps.cn/vas-ai-hub/contract-review">64451EF5</paraID>
      <start xmlns="http://schemas.wps.cn/vas-ai-hub/contract-review">46</start>
      <end xmlns="http://schemas.wps.cn/vas-ai-hub/contract-review">49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7067e0bf-ade9-4d73-9ca7-5ce79c851072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4E567A3B</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73a1fc6c-499b-44e0-8574-8b61f79c6be1</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5A7BBFB3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f564dadb-dafc-47ac-9463-bc0deff15b92</errorID>
      <errorWord xmlns="http://schemas.wps.cn/vas-ai-hub/contract-review">9、</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9.</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30CADAD7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763a55b9-5738-433a-97ea-35675a55a139</errorID>
      <errorWord xmlns="http://schemas.wps.cn/vas-ai-hub/contract-review">10、</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10.</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46902B71</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343e251e-d0c7-48ad-b6c0-6dfb2d0e0f20</errorID>
      <errorWord xmlns="http://schemas.wps.cn/vas-ai-hub/contract-review">11、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4957B8E0</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0dfb591a-a0f0-470b-a96c-f1ab626a74b8</errorID>
      <errorWord xmlns="http://schemas.wps.cn/vas-ai-hub/contract-review">12、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58774274</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03adf71d-ed30-4e65-8ca3-8be3e7637d4a</errorID>
      <errorWord xmlns="http://schemas.wps.cn/vas-ai-hub/contract-review">13、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8EB686A</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b26bdf51-ceef-4be4-b6c8-f78e996cabd5</errorID>
      <errorWord xmlns="http://schemas.wps.cn/vas-ai-hub/contract-review">具备有</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具备</item>
      </candidateList>
      <explain xmlns="http://schemas.wps.cn/vas-ai-hub/contract-review"/>
      <paraID xmlns="http://schemas.wps.cn/vas-ai-hub/contract-review"> 8EB686A</paraID>
      <start xmlns="http://schemas.wps.cn/vas-ai-hub/contract-review">32</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9662f356-385a-4616-b8d6-6375f53a95b9</errorID>
      <errorWord xmlns="http://schemas.wps.cn/vas-ai-hub/contract-review">14、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5B45B8D5</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2a77220f-4475-4b27-9bc1-b755c3855d5a</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item>
      </candidateList>
      <explain xmlns="http://schemas.wps.cn/vas-ai-hub/contract-review"/>
      <paraID xmlns="http://schemas.wps.cn/vas-ai-hub/contract-review">5B45B8D5</paraID>
      <start xmlns="http://schemas.wps.cn/vas-ai-hub/contract-review">27</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5837179e-75c0-4885-b931-6e406d0cf034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5B45B8D5</paraID>
      <start xmlns="http://schemas.wps.cn/vas-ai-hub/contract-review">45</start>
      <end xmlns="http://schemas.wps.cn/vas-ai-hub/contract-review">46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2da60cc7-1c35-427c-8e36-111774e481cf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5B45B8D5</paraID>
      <start xmlns="http://schemas.wps.cn/vas-ai-hub/contract-review">61</start>
      <end xmlns="http://schemas.wps.cn/vas-ai-hub/contract-review">62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636cda2c-0fe7-49e4-92f2-7633e8a7b656</errorID>
      <errorWord xmlns="http://schemas.wps.cn/vas-ai-hub/contract-review">15、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29F993B6</paraID>
      <start xmlns="http://schemas.wps.cn/vas-ai-hub/contract-review">0</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13a8569b-c870-42d3-8834-e28fa163696d</errorID>
      <errorWord xmlns="http://schemas.wps.cn/vas-ai-hub/contract-review">劳动法</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中华人民共和国劳动法</item>
      </candidateList>
      <explain xmlns="http://schemas.wps.cn/vas-ai-hub/contract-review">当前法律法规名称使用简称，请注意是否应当使用全称。</explain>
      <paraID xmlns="http://schemas.wps.cn/vas-ai-hub/contract-review">29F993B6</paraID>
      <start xmlns="http://schemas.wps.cn/vas-ai-hub/contract-review">106</start>
      <end xmlns="http://schemas.wps.cn/vas-ai-hub/contract-review">109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9402785a-a354-48e6-8977-a1707f9e45e5</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item xmlns="http://schemas.wps.cn/vas-ai-hub/contract-review">》《</item>
      </candidateList>
      <explain xmlns="http://schemas.wps.cn/vas-ai-hub/contract-review">根据国标GB/T 15834-2011《标点符号用法》中的4.5.3.5节，标有引号的并列成分之间、标有书名号的并列成分之间通常不用顿号。如“《红楼梦》《三国演义》《西游记》《水浒传》，是我国长篇小说的四大名著”。</explain>
      <paraID xmlns="http://schemas.wps.cn/vas-ai-hub/contract-review">29F993B6</paraID>
      <start xmlns="http://schemas.wps.cn/vas-ai-hub/contract-review">109</start>
      <end xmlns="http://schemas.wps.cn/vas-ai-hub/contract-review">112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9cd06a0b-072d-4d53-bbf5-1dc10b409836</errorID>
      <errorWord xmlns="http://schemas.wps.cn/vas-ai-hub/contract-review">江苏省劳动管理条例</errorWord>
      <group xmlns="http://schemas.wps.cn/vas-ai-hub/contract-review">L1_Knowledge</group>
      <groupName xmlns="http://schemas.wps.cn/vas-ai-hub/contract-review">知识性问题</groupName>
      <ability xmlns="http://schemas.wps.cn/vas-ai-hub/contract-review">L2_Knowledge</ability>
      <abilityName xmlns="http://schemas.wps.cn/vas-ai-hub/contract-review">其他知识</abilityName>
      <candidateList xmlns="http://schemas.wps.cn/vas-ai-hub/contract-review">
        <item xmlns="http://schemas.wps.cn/vas-ai-hub/contract-review">江苏省燃气管理条例</item>
      </candidateList>
      <explain xmlns="http://schemas.wps.cn/vas-ai-hub/contract-review">当前法律法规未收录或尚未生效，注意核查是否正确。</explain>
      <paraID xmlns="http://schemas.wps.cn/vas-ai-hub/contract-review">29F993B6</paraID>
      <start xmlns="http://schemas.wps.cn/vas-ai-hub/contract-review">112</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82e9b68b-cacf-4008-9e7c-88c3c4f7bf84</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20E729E2</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f5989202-9dbe-4a44-81e9-e5eae43ba7f3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123A9836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45902a3c-3561-46dc-bc97-86ab95c09754</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4DB8360</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38adc342-e4d6-4308-a743-d846dbb14d06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734F155E</paraID>
      <start xmlns="http://schemas.wps.cn/vas-ai-hub/contract-review">36</start>
      <end xmlns="http://schemas.wps.cn/vas-ai-hub/contract-review">37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8de06193-0311-476c-bbbd-f1f7fb7fcc46</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734F155E</paraID>
      <start xmlns="http://schemas.wps.cn/vas-ai-hub/contract-review">46</start>
      <end xmlns="http://schemas.wps.cn/vas-ai-hub/contract-review">47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ea309c48-3cc3-4043-b27d-cc31d1b032d7</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70D78B33</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e63f9e1a-3c05-488f-876e-c9e2168d8b89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18A8531</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cf3d0091-d094-42d1-b092-d24de86b4bbc</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18A8531</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672a4964-1208-409a-b325-860ae2d92860</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2E3EB1FA</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e452e0a3-0b56-4a32-9d82-0499f8efc692</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547A6AC6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b0b82303-3500-4542-a742-52413ed61c47</errorID>
      <errorWord xmlns="http://schemas.wps.cn/vas-ai-hub/contract-review">8、</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8.</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795098B7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bf0c67b4-3a29-4ab1-ac28-b4efe90d787e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795098B7</paraID>
      <start xmlns="http://schemas.wps.cn/vas-ai-hub/contract-review">120</start>
      <end xmlns="http://schemas.wps.cn/vas-ai-hub/contract-review">121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2fa6898d-da90-4747-af4d-b2bbc75f146b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795098B7</paraID>
      <start xmlns="http://schemas.wps.cn/vas-ai-hub/contract-review">158</start>
      <end xmlns="http://schemas.wps.cn/vas-ai-hub/contract-review">159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d56a2bf3-d6ba-4546-98fd-582b146aa628</errorID>
      <errorWord xmlns="http://schemas.wps.cn/vas-ai-hub/contract-review">投标人的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投标人</item>
      </candidateList>
      <explain xmlns="http://schemas.wps.cn/vas-ai-hub/contract-review"/>
      <paraID xmlns="http://schemas.wps.cn/vas-ai-hub/contract-review">74C24D2F</paraID>
      <start xmlns="http://schemas.wps.cn/vas-ai-hub/contract-review">19</start>
      <end xmlns="http://schemas.wps.cn/vas-ai-hub/contract-review">23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8d411c4d-852a-4e41-8dd8-c305b7cf5053</errorID>
      <errorWord xmlns="http://schemas.wps.cn/vas-ai-hub/contract-review">体系认证体系认证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体系认证</item>
      </candidateList>
      <explain xmlns="http://schemas.wps.cn/vas-ai-hub/contract-review"/>
      <paraID xmlns="http://schemas.wps.cn/vas-ai-hub/contract-review">798998C9</paraID>
      <start xmlns="http://schemas.wps.cn/vas-ai-hub/contract-review">14</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2d6a7fc4-916b-4397-b2cd-25e95fa84db5</errorID>
      <errorWord xmlns="http://schemas.wps.cn/vas-ai-hub/contract-review">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围内</item>
      </candidateList>
      <explain xmlns="http://schemas.wps.cn/vas-ai-hub/contract-review"/>
      <paraID xmlns="http://schemas.wps.cn/vas-ai-hub/contract-review">798998C9</paraID>
      <start xmlns="http://schemas.wps.cn/vas-ai-hub/contract-review">60</start>
      <end xmlns="http://schemas.wps.cn/vas-ai-hub/contract-review">61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f27d1779-6752-4d0d-a1f4-f5e8a3638213</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1733AF03</paraID>
      <start xmlns="http://schemas.wps.cn/vas-ai-hub/contract-review">40</start>
      <end xmlns="http://schemas.wps.cn/vas-ai-hub/contract-review">41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9b4896ad-c7f6-4e55-8297-7a6a2e90d920</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1733AF03</paraID>
      <start xmlns="http://schemas.wps.cn/vas-ai-hub/contract-review">43</start>
      <end xmlns="http://schemas.wps.cn/vas-ai-hub/contract-review">44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3aa74416-1917-41db-a9e3-82794cf76a0b</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41DECC36</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d5b1c061-5d75-431f-89fa-0d54a8fa800c</errorID>
      <errorWord xmlns="http://schemas.wps.cn/vas-ai-hub/contract-review">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节有</item>
      </candidateList>
      <explain xmlns="http://schemas.wps.cn/vas-ai-hub/contract-review"/>
      <paraID xmlns="http://schemas.wps.cn/vas-ai-hub/contract-review">77485E1F</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acc7a618-bcf4-4a33-b6bd-7cf110fd2664</errorID>
      <errorWord xmlns="http://schemas.wps.cn/vas-ai-hub/contract-review">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有待</item>
      </candidateList>
      <explain xmlns="http://schemas.wps.cn/vas-ai-hub/contract-review"/>
      <paraID xmlns="http://schemas.wps.cn/vas-ai-hub/contract-review">77485E1F</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fb3362ff-45cb-4ccb-83cb-63032cbf6184</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7DE0C700</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6c7eed62-a147-42e6-bd23-7795fd7eea3b</errorID>
      <errorWord xmlns="http://schemas.wps.cn/vas-ai-hub/contract-review">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节有</item>
      </candidateList>
      <explain xmlns="http://schemas.wps.cn/vas-ai-hub/contract-review"/>
      <paraID xmlns="http://schemas.wps.cn/vas-ai-hub/contract-review">1037493A</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e5894adc-eee8-4786-8467-b3a4c3c5f64f</errorID>
      <errorWord xmlns="http://schemas.wps.cn/vas-ai-hub/contract-review">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有待</item>
      </candidateList>
      <explain xmlns="http://schemas.wps.cn/vas-ai-hub/contract-review"/>
      <paraID xmlns="http://schemas.wps.cn/vas-ai-hub/contract-review">1037493A</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f1f768ea-60f9-4b5a-9b01-ebdc1f1ccd8d</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 1787D8B</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b44412d7-da08-4cf0-864b-26737512aee1</errorID>
      <errorWord xmlns="http://schemas.wps.cn/vas-ai-hub/contract-review">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节有</item>
      </candidateList>
      <explain xmlns="http://schemas.wps.cn/vas-ai-hub/contract-review"/>
      <paraID xmlns="http://schemas.wps.cn/vas-ai-hub/contract-review">2412942E</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19c49940-575d-43e3-b6e5-dc51e288d3a3</errorID>
      <errorWord xmlns="http://schemas.wps.cn/vas-ai-hub/contract-review">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有待</item>
      </candidateList>
      <explain xmlns="http://schemas.wps.cn/vas-ai-hub/contract-review"/>
      <paraID xmlns="http://schemas.wps.cn/vas-ai-hub/contract-review">2412942E</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873cf46b-d4c8-47f0-a533-7d370d6756a2</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1138EA05</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8fd43e1e-4c02-4b5b-b82c-f6eec21aca09</errorID>
      <errorWord xmlns="http://schemas.wps.cn/vas-ai-hub/contract-review">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节有</item>
      </candidateList>
      <explain xmlns="http://schemas.wps.cn/vas-ai-hub/contract-review"/>
      <paraID xmlns="http://schemas.wps.cn/vas-ai-hub/contract-review">437A2989</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c429e926-41b0-4a06-983b-f477ded2087f</errorID>
      <errorWord xmlns="http://schemas.wps.cn/vas-ai-hub/contract-review">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有待</item>
      </candidateList>
      <explain xmlns="http://schemas.wps.cn/vas-ai-hub/contract-review"/>
      <paraID xmlns="http://schemas.wps.cn/vas-ai-hub/contract-review">437A2989</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6468aa0d-f624-45a6-8fd1-a142e3d77b6e</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22C690C4</paraID>
      <start xmlns="http://schemas.wps.cn/vas-ai-hub/contract-review">2</start>
      <end xmlns="http://schemas.wps.cn/vas-ai-hub/contract-review">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75be4bae-f2b5-45bb-ade7-2fb3062295b6</errorID>
      <errorWord xmlns="http://schemas.wps.cn/vas-ai-hub/contract-review">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节有</item>
      </candidateList>
      <explain xmlns="http://schemas.wps.cn/vas-ai-hub/contract-review"/>
      <paraID xmlns="http://schemas.wps.cn/vas-ai-hub/contract-review">2A296F80</paraID>
      <start xmlns="http://schemas.wps.cn/vas-ai-hub/contract-review">11</start>
      <end xmlns="http://schemas.wps.cn/vas-ai-hub/contract-review">12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f1c398e5-93eb-4580-acd4-dbb1ded07a41</errorID>
      <errorWord xmlns="http://schemas.wps.cn/vas-ai-hub/contract-review">待</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有待</item>
      </candidateList>
      <explain xmlns="http://schemas.wps.cn/vas-ai-hub/contract-review"/>
      <paraID xmlns="http://schemas.wps.cn/vas-ai-hub/contract-review">2A296F80</paraID>
      <start xmlns="http://schemas.wps.cn/vas-ai-hub/contract-review">12</start>
      <end xmlns="http://schemas.wps.cn/vas-ai-hub/contract-review">13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e74e3587-11cb-415e-beb2-d6bbe5ad53ba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2DE50441</paraID>
      <start xmlns="http://schemas.wps.cn/vas-ai-hub/contract-review">41</start>
      <end xmlns="http://schemas.wps.cn/vas-ai-hub/contract-review">42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82b05a1a-2674-4781-908c-46567dfd4747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2DE50441</paraID>
      <start xmlns="http://schemas.wps.cn/vas-ai-hub/contract-review">44</start>
      <end xmlns="http://schemas.wps.cn/vas-ai-hub/contract-review">45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f23af931-88be-4e8f-99f7-5587626e2349</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1F9BB1C3</paraID>
      <start xmlns="http://schemas.wps.cn/vas-ai-hub/contract-review">8</start>
      <end xmlns="http://schemas.wps.cn/vas-ai-hub/contract-review">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081d098a-d703-4488-b3d8-737d96eafab3</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1F9BB1C3</paraID>
      <start xmlns="http://schemas.wps.cn/vas-ai-hub/contract-review">34</start>
      <end xmlns="http://schemas.wps.cn/vas-ai-hub/contract-review">35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b251b8ec-156c-41be-b2b2-0f051986d065</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1F9BB1C3</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2ba617cb-a3ff-494d-a814-1a59dbd2a350</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29CEDC66</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7f628dc6-1172-4095-b2bf-0fd539573563</errorID>
      <errorWord xmlns="http://schemas.wps.cn/vas-ai-hub/contract-review">涉及到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涉及</item>
      </candidateList>
      <explain xmlns="http://schemas.wps.cn/vas-ai-hub/contract-review">〈动〉牵涉到；关联到：案子～好几个人｜这个问题～面很广。</explain>
      <paraID xmlns="http://schemas.wps.cn/vas-ai-hub/contract-review">5C892FED</paraID>
      <start xmlns="http://schemas.wps.cn/vas-ai-hub/contract-review">150</start>
      <end xmlns="http://schemas.wps.cn/vas-ai-hub/contract-review">153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e385f3ea-e0a2-490d-b709-5056648cee23</errorID>
      <errorWord xmlns="http://schemas.wps.cn/vas-ai-hub/contract-review">法律、法规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法律法规</item>
      </candidateList>
      <explain xmlns="http://schemas.wps.cn/vas-ai-hub/contract-review"/>
      <paraID xmlns="http://schemas.wps.cn/vas-ai-hub/contract-review">65024D90</paraID>
      <start xmlns="http://schemas.wps.cn/vas-ai-hub/contract-review">23</start>
      <end xmlns="http://schemas.wps.cn/vas-ai-hub/contract-review">28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ae884d51-db3f-48bb-ab5e-2fb83a29a400</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17E8A388</paraID>
      <start xmlns="http://schemas.wps.cn/vas-ai-hub/contract-review">26</start>
      <end xmlns="http://schemas.wps.cn/vas-ai-hub/contract-review">27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79a64802-aaf2-4a49-888d-d3132dedf16e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E62018D</paraID>
      <start xmlns="http://schemas.wps.cn/vas-ai-hub/contract-review">2</start>
      <end xmlns="http://schemas.wps.cn/vas-ai-hub/contract-review">3</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62d34c94-9655-4aca-a8fa-e129fc7ae937</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E62018D</paraID>
      <start xmlns="http://schemas.wps.cn/vas-ai-hub/contract-review">5</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DD1FC07-C223-47B6-B3CD-7BCC0EC5DB73}">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54</Pages>
  <Words>23470</Words>
  <Characters>24850</Characters>
  <Lines>1072</Lines>
  <Paragraphs>910</Paragraphs>
  <TotalTime>0</TotalTime>
  <ScaleCrop>false</ScaleCrop>
  <LinksUpToDate>false</LinksUpToDate>
  <CharactersWithSpaces>25115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2026-03-10T15:03:00Z</dcterms:created>
  <dc:creator>正式环境陈艳测试账号</dc:creator>
  <cp:lastModifiedBy>随心 随性</cp:lastModifiedBy>
  <cp:lastPrinted>2026-07-28T15:56:00Z</cp:lastPrinted>
  <dcterms:modified xsi:type="dcterms:W3CDTF">2026-10-14T06:05:29Z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072B072A87AE043EADA9AC6AE78D2941_43</vt:lpwstr>
  </property>
  <property fmtid="{D5CDD505-2E9C-101B-9397-08002B2CF9AE}" pid="4" name="KSOTemplateDocerSaveRecord">
    <vt:lpwstr>eyJoZGlkIjoiYzAxYzk1YmFlODA0YmNjN2I1MDFkZDdmMjhlYmNmNzciLCJ1c2VySWQiOiI5MjQ4NDE4MjkifQ==</vt:lpwstr>
  </property>
</Properties>
</file>