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807"/>
        <w:jc w:val="center"/>
        <w:spacing w:before="120" w:beforeAutospacing="0" w:after="120" w:afterAutospacing="0" w:line="360" w:lineRule="auto"/>
        <w:rPr>
          <w:rFonts w:hint="eastAsia" w:ascii="宋体" w:hAnsi="宋体" w:eastAsia="宋体" w:cs="宋体"/>
          <w:b/>
          <w:sz w:val="84"/>
          <w:szCs w:val="84"/>
        </w:rPr>
      </w:pPr>
      <w:r>
        <w:rPr>
          <w:rFonts w:hint="eastAsia" w:ascii="宋体" w:hAnsi="宋体" w:eastAsia="宋体" w:cs="宋体"/>
          <w:b/>
          <w:sz w:val="84"/>
          <w:szCs w:val="84"/>
        </w:rPr>
      </w:r>
      <w:r/>
    </w:p>
    <w:p>
      <w:pPr>
        <w:pStyle w:val="807"/>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sz w:val="84"/>
          <w:szCs w:val="84"/>
        </w:rPr>
        <w:t xml:space="preserve">招 标 文 件</w:t>
      </w:r>
      <w:r/>
    </w:p>
    <w:p>
      <w:pPr>
        <w:pStyle w:val="807"/>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07"/>
        <w:spacing w:before="120" w:beforeAutospacing="0" w:after="120" w:afterAutospacing="0" w:line="360" w:lineRule="auto"/>
        <w:rPr>
          <w:rFonts w:hint="eastAsia" w:ascii="宋体" w:hAnsi="宋体" w:eastAsia="宋体" w:cs="宋体"/>
        </w:rPr>
      </w:pPr>
      <w:r>
        <w:rPr>
          <w:rFonts w:hint="eastAsia" w:ascii="宋体" w:hAnsi="宋体" w:eastAsia="宋体" w:cs="宋体"/>
          <w:b/>
          <w:sz w:val="32"/>
          <w:szCs w:val="32"/>
        </w:rPr>
        <w:t xml:space="preserve">          项目名称：滨海县城市照明2026年度购电项目</w:t>
      </w:r>
      <w:r/>
    </w:p>
    <w:p>
      <w:pPr>
        <w:pStyle w:val="807"/>
        <w:jc w:val="both"/>
        <w:spacing w:beforeAutospacing="0" w:afterAutospacing="0"/>
        <w:rPr>
          <w:rFonts w:hint="eastAsia" w:ascii="宋体" w:hAnsi="宋体" w:eastAsia="宋体" w:cs="宋体"/>
        </w:rPr>
      </w:pPr>
      <w:r>
        <w:rPr>
          <w:rFonts w:hint="eastAsia" w:ascii="宋体" w:hAnsi="宋体" w:eastAsia="宋体" w:cs="宋体"/>
          <w:b/>
          <w:sz w:val="32"/>
          <w:szCs w:val="32"/>
        </w:rPr>
        <w:t xml:space="preserve">          项目编号：</w:t>
      </w:r>
      <w:r>
        <w:rPr>
          <w:rFonts w:hint="eastAsia" w:ascii="宋体" w:hAnsi="宋体" w:eastAsia="宋体" w:cs="宋体"/>
          <w:b/>
          <w:sz w:val="32"/>
          <w:szCs w:val="32"/>
        </w:rPr>
        <w:t xml:space="preserve">JSZC-320922-ZQYC-G2026-0023</w:t>
      </w:r>
      <w:r>
        <w:rPr>
          <w:rFonts w:hint="eastAsia" w:ascii="宋体" w:hAnsi="宋体" w:eastAsia="宋体" w:cs="宋体"/>
          <w:b/>
          <w:sz w:val="32"/>
          <w:szCs w:val="32"/>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r>
      <w:r/>
    </w:p>
    <w:p>
      <w:pPr>
        <w:pStyle w:val="807"/>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采购单位：</w:t>
      </w:r>
      <w:r>
        <w:rPr>
          <w:rFonts w:hint="eastAsia" w:ascii="宋体" w:hAnsi="宋体" w:eastAsia="宋体" w:cs="宋体"/>
          <w:b/>
          <w:sz w:val="32"/>
          <w:szCs w:val="32"/>
          <w:u w:val="single"/>
        </w:rPr>
        <w:t xml:space="preserve">滨海县城市管理局</w:t>
      </w:r>
      <w:r/>
    </w:p>
    <w:p>
      <w:pPr>
        <w:pStyle w:val="807"/>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代理机构：</w:t>
      </w:r>
      <w:r>
        <w:rPr>
          <w:rFonts w:hint="eastAsia" w:ascii="宋体" w:hAnsi="宋体" w:eastAsia="宋体" w:cs="宋体"/>
          <w:b/>
          <w:sz w:val="32"/>
          <w:szCs w:val="32"/>
          <w:u w:val="single"/>
        </w:rPr>
        <w:t xml:space="preserve">盐城市智强项目管理有限公司</w:t>
      </w:r>
      <w:r/>
    </w:p>
    <w:p>
      <w:pPr>
        <w:pStyle w:val="807"/>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sz w:val="32"/>
          <w:szCs w:val="32"/>
        </w:rPr>
        <w:t xml:space="preserve">2026年9月</w:t>
      </w:r>
      <w:r/>
    </w:p>
    <w:p>
      <w:pPr>
        <w:pStyle w:val="807"/>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807"/>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 </w:t>
      </w:r>
      <w:bookmarkStart w:id="0" w:name="_Toc479757206"/>
      <w:r/>
      <w:bookmarkStart w:id="1" w:name="_Toc20823272"/>
      <w:r/>
      <w:bookmarkStart w:id="2" w:name="_Toc16938516"/>
      <w:r/>
      <w:bookmarkStart w:id="3" w:name="_Toc120614210"/>
      <w:r/>
      <w:bookmarkStart w:id="4" w:name="_Toc513029200"/>
      <w:r/>
      <w:bookmarkStart w:id="5" w:name="_Toc523127445"/>
      <w:r>
        <w:rPr>
          <w:rFonts w:hint="eastAsia" w:ascii="宋体" w:hAnsi="宋体" w:eastAsia="宋体" w:cs="宋体"/>
          <w:sz w:val="21"/>
          <w:szCs w:val="21"/>
        </w:rPr>
        <w:t xml:space="preserve"> </w:t>
      </w:r>
      <w:r/>
    </w:p>
    <w:p>
      <w:pPr>
        <w:pStyle w:val="807"/>
        <w:jc w:val="center"/>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r>
      <w:r/>
    </w:p>
    <w:p>
      <w:pPr>
        <w:pStyle w:val="807"/>
        <w:jc w:val="center"/>
        <w:spacing w:beforeAutospacing="0" w:afterAutospacing="0" w:line="480" w:lineRule="auto"/>
        <w:rPr>
          <w:rFonts w:hint="eastAsia" w:ascii="宋体" w:hAnsi="宋体" w:eastAsia="宋体" w:cs="宋体"/>
        </w:rPr>
      </w:pPr>
      <w:r>
        <w:rPr>
          <w:rFonts w:hint="eastAsia" w:ascii="宋体" w:hAnsi="宋体" w:eastAsia="宋体" w:cs="宋体"/>
          <w:b/>
          <w:sz w:val="44"/>
          <w:szCs w:val="44"/>
        </w:rPr>
        <w:t xml:space="preserve">总  目  录</w:t>
      </w:r>
      <w:bookmarkEnd w:id="0"/>
      <w:r/>
      <w:bookmarkEnd w:id="1"/>
      <w:r/>
      <w:bookmarkEnd w:id="2"/>
      <w:r/>
      <w:bookmarkEnd w:id="3"/>
      <w:r/>
      <w:bookmarkEnd w:id="4"/>
      <w:r/>
      <w:bookmarkEnd w:id="5"/>
      <w:r/>
      <w:r/>
    </w:p>
    <w:p>
      <w:pPr>
        <w:pStyle w:val="807"/>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07"/>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1、招标公告…………………………………… 3 </w:t>
      </w:r>
      <w:r/>
    </w:p>
    <w:p>
      <w:pPr>
        <w:pStyle w:val="807"/>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2、投标人须知………………………………… 6  </w:t>
      </w:r>
      <w:r/>
    </w:p>
    <w:p>
      <w:pPr>
        <w:pStyle w:val="807"/>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3、合同文本……………………………………16</w:t>
      </w:r>
      <w:r/>
    </w:p>
    <w:p>
      <w:pPr>
        <w:pStyle w:val="807"/>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4、采购需求……………………………………27</w:t>
      </w:r>
      <w:r/>
    </w:p>
    <w:p>
      <w:pPr>
        <w:pStyle w:val="807"/>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5、评标方法与评标标准………………………29</w:t>
      </w:r>
      <w:r/>
    </w:p>
    <w:p>
      <w:pPr>
        <w:pStyle w:val="807"/>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6、投标文件格式………………………………31</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第一章 招标公告</w:t>
      </w:r>
      <w:r/>
    </w:p>
    <w:p>
      <w:pPr>
        <w:pStyle w:val="807"/>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07"/>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滨海县城市照明2026年度购电项目</w:t>
      </w:r>
      <w:r>
        <w:rPr>
          <w:rFonts w:hint="eastAsia" w:ascii="宋体" w:hAnsi="宋体" w:eastAsia="宋体" w:cs="宋体"/>
        </w:rPr>
        <w:t xml:space="preserve">招标的潜在投标人可在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 </w:t>
      </w:r>
      <w:r>
        <w:rPr>
          <w:rFonts w:hint="eastAsia" w:ascii="宋体" w:hAnsi="宋体" w:eastAsia="宋体" w:cs="宋体"/>
        </w:rPr>
        <w:t xml:space="preserve">，并于</w:t>
      </w:r>
      <w:r>
        <w:rPr>
          <w:rFonts w:hint="eastAsia" w:ascii="宋体" w:hAnsi="宋体" w:eastAsia="宋体" w:cs="宋体"/>
          <w:u w:val="single"/>
        </w:rPr>
        <w:t xml:space="preserve">2026年</w:t>
      </w:r>
      <w:r>
        <w:rPr>
          <w:rFonts w:hint="eastAsia" w:ascii="宋体" w:hAnsi="宋体" w:eastAsia="宋体" w:cs="宋体"/>
          <w:u w:val="single"/>
        </w:rPr>
        <w:t xml:space="preserve">10</w:t>
      </w:r>
      <w:r>
        <w:rPr>
          <w:rFonts w:hint="eastAsia" w:ascii="宋体" w:hAnsi="宋体" w:eastAsia="宋体" w:cs="宋体"/>
          <w:u w:val="single"/>
        </w:rPr>
        <w:t xml:space="preserve">月</w:t>
      </w:r>
      <w:r>
        <w:rPr>
          <w:rFonts w:hint="eastAsia" w:ascii="宋体" w:hAnsi="宋体" w:eastAsia="宋体" w:cs="宋体"/>
          <w:u w:val="single"/>
        </w:rPr>
        <w:t xml:space="preserve">12</w:t>
      </w:r>
      <w:r>
        <w:rPr>
          <w:rFonts w:hint="eastAsia" w:ascii="宋体" w:hAnsi="宋体" w:eastAsia="宋体" w:cs="宋体"/>
          <w:u w:val="single"/>
        </w:rPr>
        <w:t xml:space="preserve">日15时00分00秒（</w:t>
      </w:r>
      <w:r>
        <w:rPr>
          <w:rFonts w:hint="eastAsia" w:ascii="宋体" w:hAnsi="宋体" w:eastAsia="宋体" w:cs="宋体"/>
        </w:rPr>
        <w:t xml:space="preserve">北京时间）前递交投标文件。</w:t>
      </w:r>
      <w:r/>
    </w:p>
    <w:p>
      <w:pPr>
        <w:pStyle w:val="807"/>
        <w:ind w:firstLine="498"/>
        <w:jc w:val="both"/>
        <w:keepLines/>
        <w:keepNext/>
        <w:spacing w:before="145" w:beforeAutospacing="0" w:after="145" w:afterAutospacing="0" w:line="360" w:lineRule="auto"/>
        <w:rPr>
          <w:rFonts w:hint="eastAsia" w:ascii="宋体" w:hAnsi="宋体" w:eastAsia="宋体" w:cs="宋体"/>
        </w:rPr>
      </w:pPr>
      <w:r/>
      <w:bookmarkStart w:id="6" w:name="_Toc28359002"/>
      <w:r/>
      <w:bookmarkStart w:id="7" w:name="_Toc35393621"/>
      <w:r/>
      <w:bookmarkStart w:id="8" w:name="_Toc28359079"/>
      <w:r/>
      <w:bookmarkStart w:id="9" w:name="_Toc35393790"/>
      <w:r/>
      <w:bookmarkStart w:id="10" w:name="_Hlk24379207"/>
      <w:r/>
      <w:bookmarkStart w:id="11" w:name="_Toc38985263"/>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807"/>
        <w:ind w:firstLine="480"/>
        <w:jc w:val="both"/>
        <w:spacing w:beforeAutospacing="0" w:afterAutospacing="0"/>
        <w:rPr>
          <w:rFonts w:hint="eastAsia" w:ascii="宋体" w:hAnsi="宋体" w:eastAsia="宋体" w:cs="宋体"/>
        </w:rPr>
      </w:pPr>
      <w:r>
        <w:rPr>
          <w:rFonts w:ascii="宋体" w:hAnsi="宋体" w:eastAsia="宋体" w:cs="宋体"/>
        </w:rPr>
        <w:t xml:space="preserve">1.项目编号：</w:t>
      </w:r>
      <w:r>
        <w:rPr>
          <w:rFonts w:ascii="宋体" w:hAnsi="宋体" w:eastAsia="宋体" w:cs="宋体"/>
        </w:rPr>
        <w:t xml:space="preserve">JSZC-320922-ZQYC-G2026-0023</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2.项目名称：滨海县城市照明2026年度购电项目</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4.预算金额：9120000元</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5.最高限价：</w:t>
      </w:r>
      <w:r>
        <w:rPr>
          <w:rFonts w:hint="eastAsia" w:ascii="宋体" w:hAnsi="宋体" w:eastAsia="宋体" w:cs="宋体"/>
          <w:b/>
        </w:rPr>
        <w:t xml:space="preserve">现阶段，P固定的上下浮动幅度不超过我省燃煤基准价的20%。本项目采用"固定价格+市场联动价格"零售套餐报价，投标人须在开标一览表中填报固定价格P固定（元/千瓦时）和浮动价格ΔP（元/千瓦时），均精确到小数点后</w:t>
      </w:r>
      <w:r>
        <w:rPr>
          <w:rFonts w:hint="eastAsia" w:ascii="宋体" w:hAnsi="宋体" w:eastAsia="宋体" w:cs="宋体"/>
          <w:b/>
        </w:rPr>
        <w:t xml:space="preserve">两</w:t>
      </w:r>
      <w:r>
        <w:rPr>
          <w:rFonts w:hint="eastAsia" w:ascii="宋体" w:hAnsi="宋体" w:eastAsia="宋体" w:cs="宋体"/>
          <w:b/>
        </w:rPr>
        <w:t xml:space="preserve">位。</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简介）：滨海县城市照明2026年度购电项目为一个包件，具体包含为采购人提供交易周期内优惠电价，年度约1200万千瓦时10千伏以上高压电的生产经营所需全部用电的购售电代理交易。中标人需按国家有关法规、规定和技术规范，提供全周期电力交易服务和用电增值服等，详细内容见本招标文件第四章。</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7.合同履行期限：合同签订之日起一年。</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8.本项目</w:t>
      </w:r>
      <w:r>
        <w:rPr>
          <w:rFonts w:hint="eastAsia" w:ascii="宋体" w:hAnsi="宋体" w:eastAsia="宋体" w:cs="宋体"/>
          <w:u w:val="single"/>
        </w:rPr>
        <w:t xml:space="preserve">不接受</w:t>
      </w:r>
      <w:r>
        <w:rPr>
          <w:rFonts w:hint="eastAsia" w:ascii="宋体" w:hAnsi="宋体" w:eastAsia="宋体" w:cs="宋体"/>
        </w:rPr>
        <w:t xml:space="preserve">联合体参与招标。</w:t>
      </w:r>
      <w:r/>
    </w:p>
    <w:p>
      <w:pPr>
        <w:pStyle w:val="807"/>
        <w:ind w:firstLine="498"/>
        <w:jc w:val="both"/>
        <w:keepLines/>
        <w:keepNext/>
        <w:spacing w:before="145" w:beforeAutospacing="0" w:after="145" w:afterAutospacing="0" w:line="360" w:lineRule="auto"/>
        <w:rPr>
          <w:rFonts w:hint="eastAsia" w:ascii="宋体" w:hAnsi="宋体" w:eastAsia="宋体" w:cs="宋体"/>
        </w:rPr>
      </w:pPr>
      <w:r/>
      <w:bookmarkStart w:id="12" w:name="_Toc35393791"/>
      <w:r/>
      <w:bookmarkStart w:id="13" w:name="_Toc38985264"/>
      <w:r/>
      <w:bookmarkStart w:id="14" w:name="_Toc28359003"/>
      <w:r/>
      <w:bookmarkStart w:id="15" w:name="_Toc35393622"/>
      <w:r/>
      <w:bookmarkStart w:id="16" w:name="_Toc28359080"/>
      <w:r>
        <w:rPr>
          <w:rFonts w:hint="eastAsia" w:ascii="宋体" w:hAnsi="宋体" w:eastAsia="宋体" w:cs="宋体"/>
          <w:b/>
        </w:rPr>
        <w:t xml:space="preserve">二、申请人的资格要求：</w:t>
      </w:r>
      <w:bookmarkEnd w:id="12"/>
      <w:r/>
      <w:bookmarkEnd w:id="13"/>
      <w:r/>
      <w:bookmarkEnd w:id="14"/>
      <w:r/>
      <w:bookmarkEnd w:id="15"/>
      <w:r/>
      <w:bookmarkEnd w:id="16"/>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07"/>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807"/>
        <w:ind w:firstLine="480"/>
        <w:jc w:val="both"/>
        <w:spacing w:beforeAutospacing="0" w:afterAutospacing="0"/>
        <w:rPr>
          <w:rFonts w:hint="eastAsia" w:ascii="宋体" w:hAnsi="宋体" w:eastAsia="宋体" w:cs="宋体"/>
        </w:rPr>
      </w:pPr>
      <w:r>
        <w:rPr>
          <w:rFonts w:hint="eastAsia" w:ascii="宋体" w:hAnsi="宋体" w:eastAsia="宋体" w:cs="宋体"/>
        </w:rPr>
        <w:t xml:space="preserve">2.落实政府采购政策需满足的资格要求：本项目为服务类采购项目，采购标的所属行业为工业。根据《工业和信息化部、国家统计局、国家发展和改革委员会、财政部关于印发中小企业划型标准规定的通知》(工信部联企业〔2011〕300号)规定的划分标准填写。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w:t>
      </w:r>
      <w:r>
        <w:rPr>
          <w:rFonts w:hint="eastAsia" w:ascii="宋体" w:hAnsi="宋体" w:eastAsia="宋体" w:cs="宋体"/>
        </w:rPr>
        <w:t xml:space="preserve">不重复享受政策。</w:t>
      </w:r>
      <w:r/>
    </w:p>
    <w:p>
      <w:pPr>
        <w:pStyle w:val="807"/>
        <w:ind w:firstLine="560"/>
        <w:jc w:val="both"/>
        <w:spacing w:beforeAutospacing="0" w:afterAutospacing="0"/>
        <w:shd w:val="clear" w:color="auto" w:fill="ffffff"/>
        <w:widowControl/>
        <w:rPr>
          <w:rFonts w:hint="eastAsia" w:ascii="宋体" w:hAnsi="宋体" w:eastAsia="宋体" w:cs="宋体"/>
          <w:shd w:val="clear" w:color="auto" w:fill="ffffff"/>
        </w:rPr>
      </w:pPr>
      <w:r>
        <w:rPr>
          <w:rFonts w:ascii="宋体" w:hAnsi="宋体" w:eastAsia="宋体" w:cs="宋体"/>
        </w:rPr>
        <w:t xml:space="preserve">3.本项目的特定资格要求：</w:t>
      </w:r>
      <w:r>
        <w:rPr>
          <w:rFonts w:hint="eastAsia" w:ascii="宋体" w:hAnsi="宋体" w:eastAsia="宋体" w:cs="宋体"/>
        </w:rPr>
        <w:t xml:space="preserve">投标人须具有售电资质且在电力交易中心注册公示并缴纳过履约保证金的售电公司（提供交易中心注册成功入市公告、履约保函有效证明材料、必须具备在江苏省电力市场交易能力）。</w:t>
      </w:r>
      <w:r/>
    </w:p>
    <w:p>
      <w:pPr>
        <w:pStyle w:val="807"/>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ind w:firstLine="480"/>
        <w:jc w:val="left"/>
        <w:widowControl/>
        <w:rPr>
          <w:rFonts w:hint="eastAsia" w:ascii="宋体" w:hAnsi="宋体" w:eastAsia="宋体" w:cs="宋体"/>
          <w:sz w:val="24"/>
        </w:rPr>
      </w:pPr>
      <w:r/>
      <w:bookmarkStart w:id="17" w:name="_Toc35393793"/>
      <w:r/>
      <w:bookmarkStart w:id="18" w:name="_Toc38985266"/>
      <w:r/>
      <w:bookmarkStart w:id="19" w:name="_Toc28359082"/>
      <w:r/>
      <w:bookmarkStart w:id="20" w:name="_Toc28359005"/>
      <w:r/>
      <w:bookmarkStart w:id="21" w:name="_Toc35393624"/>
      <w:r>
        <w:rPr>
          <w:rFonts w:hint="eastAsia" w:ascii="宋体" w:hAnsi="宋体" w:eastAsia="宋体" w:cs="宋体"/>
          <w:sz w:val="24"/>
        </w:rPr>
        <w:t xml:space="preserve">1.时间：自招标文件公告发布之日起5个工作日。</w:t>
      </w:r>
      <w:bookmarkEnd w:id="17"/>
      <w:r/>
      <w:bookmarkEnd w:id="18"/>
      <w:r/>
      <w:bookmarkEnd w:id="19"/>
      <w:r/>
      <w:bookmarkEnd w:id="20"/>
      <w:r/>
      <w:bookmarkEnd w:id="21"/>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4.售价：0元</w:t>
      </w:r>
      <w:r/>
    </w:p>
    <w:p>
      <w:pPr>
        <w:pStyle w:val="807"/>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1.时间：</w:t>
      </w:r>
      <w:r>
        <w:rPr>
          <w:rFonts w:hint="eastAsia" w:ascii="宋体" w:hAnsi="宋体" w:eastAsia="宋体" w:cs="宋体"/>
          <w:sz w:val="24"/>
          <w:u w:val="single"/>
        </w:rPr>
        <w:t xml:space="preserve">2026年</w:t>
      </w:r>
      <w:r>
        <w:rPr>
          <w:rFonts w:hint="eastAsia" w:ascii="宋体" w:hAnsi="宋体" w:eastAsia="宋体" w:cs="宋体"/>
          <w:sz w:val="24"/>
          <w:u w:val="single"/>
        </w:rPr>
        <w:t xml:space="preserve">10</w:t>
      </w:r>
      <w:r>
        <w:rPr>
          <w:rFonts w:hint="eastAsia" w:ascii="宋体" w:hAnsi="宋体" w:eastAsia="宋体" w:cs="宋体"/>
          <w:sz w:val="24"/>
          <w:u w:val="single"/>
        </w:rPr>
        <w:t xml:space="preserve">月</w:t>
      </w:r>
      <w:r>
        <w:rPr>
          <w:rFonts w:hint="eastAsia" w:ascii="宋体" w:hAnsi="宋体" w:eastAsia="宋体" w:cs="宋体"/>
          <w:sz w:val="24"/>
          <w:u w:val="single"/>
        </w:rPr>
        <w:t xml:space="preserve">12</w:t>
      </w:r>
      <w:r>
        <w:rPr>
          <w:rFonts w:hint="eastAsia" w:ascii="宋体" w:hAnsi="宋体" w:eastAsia="宋体" w:cs="宋体"/>
          <w:sz w:val="24"/>
          <w:u w:val="single"/>
        </w:rPr>
        <w:t xml:space="preserve">日15时00分00秒（</w:t>
      </w:r>
      <w:r>
        <w:rPr>
          <w:rFonts w:hint="eastAsia" w:ascii="宋体" w:hAnsi="宋体" w:eastAsia="宋体" w:cs="宋体"/>
          <w:sz w:val="24"/>
        </w:rPr>
        <w:t xml:space="preserve">北京时间）。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2.地点：苏采云“不见面”开标大厅 。</w:t>
      </w:r>
      <w:r/>
    </w:p>
    <w:p>
      <w:pPr>
        <w:pStyle w:val="807"/>
        <w:ind w:firstLine="498"/>
        <w:jc w:val="both"/>
        <w:keepLines/>
        <w:keepNext/>
        <w:spacing w:before="145" w:beforeAutospacing="0" w:after="145" w:afterAutospacing="0" w:line="360" w:lineRule="auto"/>
        <w:rPr>
          <w:rFonts w:hint="eastAsia" w:ascii="宋体" w:hAnsi="宋体" w:eastAsia="宋体" w:cs="宋体"/>
        </w:rPr>
      </w:pPr>
      <w:r/>
      <w:bookmarkStart w:id="22" w:name="_Toc28359084"/>
      <w:r/>
      <w:bookmarkStart w:id="23" w:name="_Toc35393625"/>
      <w:r/>
      <w:bookmarkStart w:id="24" w:name="_Toc28359007"/>
      <w:r/>
      <w:bookmarkStart w:id="25" w:name="_Toc35393794"/>
      <w:r/>
      <w:bookmarkStart w:id="26" w:name="_Toc38985267"/>
      <w:r>
        <w:rPr>
          <w:rFonts w:hint="eastAsia" w:ascii="宋体" w:hAnsi="宋体" w:eastAsia="宋体" w:cs="宋体"/>
          <w:b/>
        </w:rPr>
        <w:t xml:space="preserve">五、公告期限</w:t>
      </w:r>
      <w:bookmarkEnd w:id="22"/>
      <w:r/>
      <w:bookmarkEnd w:id="23"/>
      <w:r/>
      <w:bookmarkEnd w:id="24"/>
      <w:r/>
      <w:bookmarkEnd w:id="25"/>
      <w:r/>
      <w:bookmarkEnd w:id="26"/>
      <w:r/>
      <w:r/>
    </w:p>
    <w:p>
      <w:pPr>
        <w:pStyle w:val="807"/>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27" w:name="_Toc38985268"/>
      <w:r/>
      <w:bookmarkStart w:id="28" w:name="_Toc35393626"/>
      <w:r/>
      <w:bookmarkStart w:id="29" w:name="_Toc35393795"/>
      <w:r>
        <w:rPr>
          <w:rFonts w:hint="eastAsia" w:ascii="宋体" w:hAnsi="宋体" w:eastAsia="宋体" w:cs="宋体"/>
          <w:shd w:val="clear" w:color="auto" w:fill="ffffff"/>
        </w:rPr>
        <w:t xml:space="preserve">自本公告发布之日起5个工作日。</w:t>
      </w:r>
      <w:bookmarkEnd w:id="27"/>
      <w:r/>
      <w:bookmarkEnd w:id="28"/>
      <w:r/>
      <w:bookmarkEnd w:id="29"/>
      <w:r/>
      <w:r/>
    </w:p>
    <w:p>
      <w:pPr>
        <w:pStyle w:val="807"/>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807"/>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0"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领取CA和办理电子签章（</w:t>
      </w:r>
      <w:r>
        <w:rPr>
          <w:rFonts w:hint="eastAsia" w:ascii="宋体" w:hAnsi="宋体" w:eastAsia="宋体" w:cs="宋体"/>
          <w:sz w:val="24"/>
        </w:rPr>
        <w:t xml:space="preserve">请至盐城市府西路1号盐城市公共资源交易中心四楼大厅10号，11号窗口办理</w:t>
      </w:r>
      <w:r>
        <w:rPr>
          <w:rFonts w:hint="eastAsia" w:ascii="宋体" w:hAnsi="宋体" w:eastAsia="宋体" w:cs="宋体"/>
          <w:sz w:val="24"/>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3.有关本次招标的事项若存在变动或修改，敬请及时关注采购人在“中国政府采购网”“江苏政府采购网”“盐城市政府采购网”发布的更正公告。</w:t>
      </w:r>
      <w:r/>
    </w:p>
    <w:p>
      <w:pPr>
        <w:pStyle w:val="807"/>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778"/>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0"/>
      <w:r/>
      <w:r/>
    </w:p>
    <w:p>
      <w:pPr>
        <w:pStyle w:val="807"/>
        <w:ind w:firstLine="560"/>
        <w:jc w:val="both"/>
        <w:spacing w:beforeAutospacing="0" w:afterAutospacing="0"/>
        <w:shd w:val="clear" w:color="auto" w:fill="ffffff"/>
        <w:widowControl/>
        <w:rPr>
          <w:rFonts w:hint="eastAsia" w:ascii="宋体" w:hAnsi="宋体" w:eastAsia="宋体" w:cs="宋体"/>
        </w:rPr>
      </w:pPr>
      <w:r/>
      <w:bookmarkStart w:id="31" w:name="_Toc28359009"/>
      <w:r>
        <w:rPr>
          <w:rFonts w:hint="eastAsia" w:ascii="宋体" w:hAnsi="宋体" w:eastAsia="宋体" w:cs="宋体"/>
        </w:rPr>
        <w:t xml:space="preserve">1.采购人信息</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名    称：滨海县城市管理局</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地    址：港城路广电网络信息技术大楼19楼 </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 系 人：吕先生         孙先生              </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联系方式：15195170908  13485207750         </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2.采购代理机构信息</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名    称：盐城市智强项目管理有限公司</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地    址：滨海县政务服务中心二楼G区2202室</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 系 人：高先生                     </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联系方式：15950201008                   </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3.项目联系方式</w:t>
      </w:r>
      <w:r/>
    </w:p>
    <w:p>
      <w:pPr>
        <w:pStyle w:val="80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项目联系人：孙先生</w:t>
      </w:r>
      <w:r/>
    </w:p>
    <w:p>
      <w:pPr>
        <w:pStyle w:val="807"/>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rPr>
        <w:t xml:space="preserve">电  话：13485207750</w:t>
      </w:r>
      <w:r/>
    </w:p>
    <w:p>
      <w:pPr>
        <w:rPr>
          <w:rFonts w:hint="eastAsia" w:ascii="宋体" w:hAnsi="宋体" w:eastAsia="宋体" w:cs="宋体"/>
          <w:sz w:val="24"/>
        </w:rPr>
      </w:pPr>
      <w:r>
        <w:rPr>
          <w:rFonts w:hint="eastAsia" w:ascii="宋体" w:hAnsi="宋体" w:eastAsia="宋体" w:cs="宋体"/>
          <w:sz w:val="24"/>
        </w:rPr>
        <w:t xml:space="preserve"> </w:t>
      </w:r>
      <w:r/>
    </w:p>
    <w:p>
      <w:pPr>
        <w:pStyle w:val="807"/>
        <w:ind w:right="840"/>
        <w:jc w:val="both"/>
        <w:spacing w:beforeAutospacing="0" w:afterAutospacing="0"/>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 </w:t>
      </w:r>
      <w:r/>
    </w:p>
    <w:p>
      <w:pPr>
        <w:pStyle w:val="807"/>
        <w:ind w:firstLine="2429"/>
        <w:jc w:val="both"/>
        <w:keepLines/>
        <w:keepNext/>
        <w:spacing w:before="260" w:beforeAutospacing="0" w:after="260" w:afterAutospacing="0" w:line="415" w:lineRule="auto"/>
        <w:rPr>
          <w:rFonts w:hint="eastAsia" w:ascii="宋体" w:hAnsi="宋体" w:eastAsia="宋体" w:cs="宋体"/>
        </w:rPr>
      </w:pPr>
      <w:r/>
      <w:bookmarkStart w:id="32" w:name="_Toc120614211"/>
      <w:r>
        <w:rPr>
          <w:rFonts w:hint="eastAsia" w:ascii="宋体" w:hAnsi="宋体" w:eastAsia="宋体" w:cs="宋体"/>
          <w:b/>
          <w:sz w:val="44"/>
          <w:szCs w:val="44"/>
        </w:rPr>
        <w:t xml:space="preserve">第二章  </w:t>
      </w:r>
      <w:bookmarkStart w:id="33" w:name="_Toc513029202"/>
      <w:r/>
      <w:bookmarkStart w:id="34" w:name="_Toc120614213"/>
      <w:r/>
      <w:bookmarkStart w:id="35" w:name="_Toc16938518"/>
      <w:r/>
      <w:bookmarkStart w:id="36" w:name="_Toc20823274"/>
      <w:r/>
      <w:bookmarkEnd w:id="32"/>
      <w:r>
        <w:rPr>
          <w:rFonts w:hint="eastAsia" w:ascii="宋体" w:hAnsi="宋体" w:eastAsia="宋体" w:cs="宋体"/>
          <w:b/>
          <w:sz w:val="44"/>
          <w:szCs w:val="44"/>
        </w:rPr>
        <w:t xml:space="preserve">投标人须知</w:t>
      </w:r>
      <w:bookmarkEnd w:id="33"/>
      <w:r/>
      <w:bookmarkEnd w:id="34"/>
      <w:r/>
      <w:bookmarkEnd w:id="35"/>
      <w:r/>
      <w:bookmarkEnd w:id="36"/>
      <w:r/>
      <w:r/>
    </w:p>
    <w:p>
      <w:pPr>
        <w:ind w:firstLine="498"/>
        <w:keepLines/>
        <w:keepNext/>
        <w:spacing w:before="145" w:after="145" w:line="360" w:lineRule="auto"/>
        <w:rPr>
          <w:rFonts w:hint="eastAsia" w:ascii="宋体" w:hAnsi="宋体" w:eastAsia="宋体" w:cs="宋体"/>
          <w:sz w:val="24"/>
        </w:rPr>
      </w:pPr>
      <w:r/>
      <w:bookmarkStart w:id="37" w:name="_Toc120614215"/>
      <w:r/>
      <w:bookmarkStart w:id="38" w:name="_Toc16938525"/>
      <w:r/>
      <w:bookmarkStart w:id="39" w:name="_Toc20823281"/>
      <w:r/>
      <w:bookmarkStart w:id="40" w:name="_Toc513029209"/>
      <w:r/>
      <w:bookmarkStart w:id="41" w:name="_Hlt16619475"/>
      <w:r>
        <w:rPr>
          <w:rFonts w:hint="eastAsia" w:ascii="宋体" w:hAnsi="宋体" w:eastAsia="宋体" w:cs="宋体"/>
          <w:b/>
          <w:sz w:val="24"/>
        </w:rPr>
        <w:t xml:space="preserve">一、总则</w:t>
      </w:r>
      <w:r/>
    </w:p>
    <w:p>
      <w:pPr>
        <w:ind w:firstLine="420"/>
        <w:keepLines/>
        <w:keepNext/>
        <w:rPr>
          <w:rFonts w:hint="eastAsia" w:ascii="宋体" w:hAnsi="宋体" w:eastAsia="宋体" w:cs="宋体"/>
          <w:sz w:val="24"/>
        </w:rPr>
      </w:pPr>
      <w:r/>
      <w:bookmarkStart w:id="42" w:name="_Toc20823276"/>
      <w:r/>
      <w:bookmarkStart w:id="43" w:name="_Toc513029204"/>
      <w:r/>
      <w:bookmarkStart w:id="44" w:name="_Toc458694821"/>
      <w:r/>
      <w:bookmarkStart w:id="45" w:name="_Toc16938520"/>
      <w:r>
        <w:rPr>
          <w:rFonts w:hint="eastAsia" w:ascii="宋体" w:hAnsi="宋体" w:eastAsia="宋体" w:cs="宋体"/>
          <w:sz w:val="24"/>
        </w:rPr>
        <w:t xml:space="preserve">1</w:t>
      </w:r>
      <w:bookmarkEnd w:id="42"/>
      <w:r>
        <w:rPr>
          <w:rFonts w:hint="eastAsia" w:ascii="宋体" w:hAnsi="宋体" w:eastAsia="宋体" w:cs="宋体"/>
          <w:sz w:val="24"/>
        </w:rPr>
        <w:t xml:space="preserve">、招标方式</w:t>
      </w:r>
      <w:bookmarkEnd w:id="43"/>
      <w:r/>
      <w:bookmarkEnd w:id="44"/>
      <w:r/>
      <w:bookmarkEnd w:id="45"/>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ind w:firstLine="420"/>
        <w:keepLines/>
        <w:keepNext/>
        <w:rPr>
          <w:rFonts w:hint="eastAsia" w:ascii="宋体" w:hAnsi="宋体" w:eastAsia="宋体" w:cs="宋体"/>
          <w:sz w:val="24"/>
        </w:rPr>
      </w:pPr>
      <w:r/>
      <w:bookmarkStart w:id="46" w:name="_Toc16938521"/>
      <w:r/>
      <w:bookmarkStart w:id="47" w:name="_Toc20823277"/>
      <w:r/>
      <w:bookmarkStart w:id="48" w:name="_Toc513029205"/>
      <w:r>
        <w:rPr>
          <w:rFonts w:hint="eastAsia" w:ascii="宋体" w:hAnsi="宋体" w:eastAsia="宋体" w:cs="宋体"/>
          <w:sz w:val="24"/>
        </w:rPr>
        <w:t xml:space="preserve">2、合格的投标人</w:t>
      </w:r>
      <w:bookmarkEnd w:id="46"/>
      <w:r/>
      <w:bookmarkEnd w:id="47"/>
      <w:r/>
      <w:bookmarkEnd w:id="48"/>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2.1满足招标公告中供应商的资格要求的规定。</w:t>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2.2 满足本文件实质性要求和条件的规定。</w:t>
      </w:r>
      <w:r/>
    </w:p>
    <w:p>
      <w:pPr>
        <w:ind w:firstLine="420"/>
        <w:spacing w:line="400" w:lineRule="exact"/>
        <w:rPr>
          <w:rFonts w:hint="eastAsia" w:ascii="宋体" w:hAnsi="宋体" w:eastAsia="宋体" w:cs="宋体"/>
          <w:sz w:val="24"/>
          <w:szCs w:val="21"/>
        </w:rPr>
      </w:pPr>
      <w:r/>
      <w:bookmarkStart w:id="49" w:name="_Toc16938522"/>
      <w:r/>
      <w:bookmarkStart w:id="50" w:name="_Toc20823278"/>
      <w:r/>
      <w:bookmarkStart w:id="51" w:name="_Toc513029206"/>
      <w:r>
        <w:rPr>
          <w:rFonts w:hint="eastAsia" w:ascii="宋体" w:hAnsi="宋体" w:eastAsia="宋体" w:cs="宋体"/>
          <w:sz w:val="24"/>
          <w:szCs w:val="21"/>
        </w:rPr>
        <w:t xml:space="preserve">3、适用法律</w:t>
      </w:r>
      <w:bookmarkEnd w:id="49"/>
      <w:r/>
      <w:bookmarkEnd w:id="50"/>
      <w:r/>
      <w:bookmarkEnd w:id="51"/>
      <w:r>
        <w:rPr>
          <w:rFonts w:hint="eastAsia" w:ascii="宋体" w:hAnsi="宋体" w:eastAsia="宋体" w:cs="宋体"/>
          <w:sz w:val="24"/>
          <w:szCs w:val="21"/>
        </w:rPr>
        <w:t xml:space="preserve">和标准</w:t>
      </w:r>
      <w:r/>
    </w:p>
    <w:p>
      <w:pPr>
        <w:ind w:firstLine="420"/>
        <w:spacing w:line="0" w:lineRule="atLeast"/>
        <w:rPr>
          <w:rFonts w:hint="eastAsia"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ind w:firstLine="420"/>
        <w:spacing w:line="400" w:lineRule="exact"/>
        <w:rPr>
          <w:rFonts w:hint="eastAsia" w:ascii="宋体" w:hAnsi="宋体" w:eastAsia="宋体" w:cs="宋体"/>
          <w:sz w:val="24"/>
        </w:rPr>
      </w:pPr>
      <w:r>
        <w:rPr>
          <w:rFonts w:hint="eastAsia" w:ascii="宋体" w:hAnsi="宋体" w:eastAsia="宋体" w:cs="宋体"/>
          <w:sz w:val="24"/>
          <w:szCs w:val="21"/>
        </w:rPr>
        <w:t xml:space="preserve">3.2 在本项目政府采购活动过程中，如果所执行的标准有更新的，按照最新标准执行。</w:t>
      </w:r>
      <w:r/>
    </w:p>
    <w:p>
      <w:pPr>
        <w:ind w:firstLine="480"/>
        <w:keepLines/>
        <w:keepNext/>
        <w:rPr>
          <w:rFonts w:hint="eastAsia" w:ascii="宋体" w:hAnsi="宋体" w:eastAsia="宋体" w:cs="宋体"/>
          <w:sz w:val="24"/>
        </w:rPr>
      </w:pPr>
      <w:r/>
      <w:bookmarkStart w:id="52" w:name="_Toc20823279"/>
      <w:r/>
      <w:bookmarkStart w:id="53" w:name="_Toc462564067"/>
      <w:r/>
      <w:bookmarkStart w:id="54" w:name="_Toc16938523"/>
      <w:r/>
      <w:bookmarkStart w:id="55" w:name="_Toc513029207"/>
      <w:r>
        <w:rPr>
          <w:rFonts w:hint="eastAsia" w:ascii="宋体" w:hAnsi="宋体" w:eastAsia="宋体" w:cs="宋体"/>
          <w:sz w:val="24"/>
        </w:rPr>
        <w:t xml:space="preserve">4、投标费用</w:t>
      </w:r>
      <w:bookmarkEnd w:id="52"/>
      <w:r/>
      <w:bookmarkEnd w:id="53"/>
      <w:r/>
      <w:bookmarkEnd w:id="54"/>
      <w:r/>
      <w:bookmarkEnd w:id="55"/>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4.1 投标人应自行承担所有与参加投标有关的费用，无论投标过程中的做法和结果如何，招标人和招标代理机构在任何情况下均无义务和责任承担这些费用。</w:t>
      </w:r>
      <w:r/>
    </w:p>
    <w:p>
      <w:pPr>
        <w:ind w:firstLine="602"/>
        <w:keepLines/>
        <w:keepNext/>
        <w:spacing w:line="0" w:lineRule="atLeast"/>
        <w:rPr>
          <w:rFonts w:hint="eastAsia" w:ascii="宋体" w:hAnsi="宋体" w:eastAsia="宋体" w:cs="宋体"/>
          <w:sz w:val="24"/>
        </w:rPr>
      </w:pPr>
      <w:r>
        <w:rPr>
          <w:rFonts w:hint="eastAsia" w:ascii="宋体" w:hAnsi="宋体" w:eastAsia="宋体" w:cs="宋体"/>
          <w:sz w:val="24"/>
        </w:rPr>
        <w:t xml:space="preserve">4.2本次项目招标人和招标代理机构不收取标书工本费。</w:t>
      </w:r>
      <w:r/>
    </w:p>
    <w:p>
      <w:pPr>
        <w:ind w:firstLine="602"/>
        <w:keepLines/>
        <w:keepNext/>
        <w:spacing w:line="0" w:lineRule="atLeast"/>
        <w:rPr>
          <w:rFonts w:hint="eastAsia" w:ascii="宋体" w:hAnsi="宋体" w:eastAsia="宋体" w:cs="宋体"/>
          <w:sz w:val="24"/>
        </w:rPr>
      </w:pPr>
      <w:r>
        <w:rPr>
          <w:rFonts w:hint="eastAsia" w:ascii="宋体" w:hAnsi="宋体" w:eastAsia="宋体" w:cs="宋体"/>
          <w:sz w:val="24"/>
        </w:rPr>
        <w:t xml:space="preserve">4.3本项目招标代理服务费按《江苏省政府采购代理服务收费指导意见》苏政采协[2024]20号文件的20%执行，打折后招标人约定由中标人在领取中标通知书前向招标代理机构一次性代为支付服务费，投标人须将此费用纳入投标报价中，招标人不另行支付。</w:t>
      </w:r>
      <w:r/>
    </w:p>
    <w:p>
      <w:pPr>
        <w:ind w:firstLine="482"/>
        <w:keepLines/>
        <w:keepNext/>
        <w:spacing w:line="0" w:lineRule="atLeast"/>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招标文件的约束力</w:t>
      </w:r>
      <w:r/>
    </w:p>
    <w:p>
      <w:pPr>
        <w:ind w:firstLine="480"/>
        <w:spacing w:line="0" w:lineRule="atLeast"/>
        <w:rPr>
          <w:rFonts w:hint="eastAsia"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pStyle w:val="807"/>
        <w:ind w:firstLine="321"/>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二、招标文件</w:t>
      </w:r>
      <w:bookmarkEnd w:id="37"/>
      <w:r/>
      <w:bookmarkEnd w:id="38"/>
      <w:r/>
      <w:bookmarkEnd w:id="39"/>
      <w:r/>
      <w:bookmarkEnd w:id="40"/>
      <w:r/>
      <w:r/>
    </w:p>
    <w:p>
      <w:pPr>
        <w:pStyle w:val="807"/>
        <w:ind w:firstLine="420"/>
        <w:jc w:val="both"/>
        <w:keepLines/>
        <w:keepNext/>
        <w:spacing w:beforeAutospacing="0" w:afterAutospacing="0"/>
        <w:rPr>
          <w:rFonts w:hint="eastAsia" w:ascii="宋体" w:hAnsi="宋体" w:eastAsia="宋体" w:cs="宋体"/>
        </w:rPr>
      </w:pPr>
      <w:r/>
      <w:bookmarkStart w:id="56" w:name="_Toc513029210"/>
      <w:r/>
      <w:bookmarkStart w:id="57" w:name="_Toc16938526"/>
      <w:r/>
      <w:bookmarkStart w:id="58" w:name="_Toc20823282"/>
      <w:r>
        <w:rPr>
          <w:rFonts w:hint="eastAsia" w:ascii="宋体" w:hAnsi="宋体" w:eastAsia="宋体" w:cs="宋体"/>
        </w:rPr>
        <w:t xml:space="preserve">6、招标文件构成</w:t>
      </w:r>
      <w:bookmarkEnd w:id="56"/>
      <w:r/>
      <w:bookmarkEnd w:id="57"/>
      <w:r/>
      <w:bookmarkEnd w:id="58"/>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80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80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80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80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807"/>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80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请仔细检查招标文件是否齐全，如有缺漏请立即与招标人和招标代理机构联系解决。</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7"/>
        <w:ind w:firstLine="560"/>
        <w:jc w:val="both"/>
        <w:keepLines/>
        <w:keepNext/>
        <w:spacing w:beforeAutospacing="0" w:afterAutospacing="0"/>
        <w:rPr>
          <w:rFonts w:hint="eastAsia" w:ascii="宋体" w:hAnsi="宋体" w:eastAsia="宋体" w:cs="宋体"/>
        </w:rPr>
      </w:pPr>
      <w:r/>
      <w:bookmarkStart w:id="59" w:name="_Toc20823283"/>
      <w:r/>
      <w:bookmarkStart w:id="60" w:name="_Toc16938527"/>
      <w:r/>
      <w:bookmarkStart w:id="61" w:name="_Toc513029211"/>
      <w:r/>
      <w:bookmarkStart w:id="62" w:name="_Toc462564070"/>
      <w:r>
        <w:rPr>
          <w:rFonts w:hint="eastAsia" w:ascii="宋体" w:hAnsi="宋体" w:eastAsia="宋体" w:cs="宋体"/>
        </w:rPr>
        <w:t xml:space="preserve">7、招标文件的澄清</w:t>
      </w:r>
      <w:bookmarkEnd w:id="59"/>
      <w:r/>
      <w:bookmarkEnd w:id="60"/>
      <w:r/>
      <w:bookmarkEnd w:id="61"/>
      <w:r/>
      <w:bookmarkEnd w:id="62"/>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前按招标公告中的通讯地址，以书面形式通知招标人和招标代理机构。</w:t>
      </w:r>
      <w:r/>
    </w:p>
    <w:p>
      <w:pPr>
        <w:pStyle w:val="807"/>
        <w:ind w:firstLine="560"/>
        <w:jc w:val="both"/>
        <w:keepLines/>
        <w:keepNext/>
        <w:spacing w:beforeAutospacing="0" w:afterAutospacing="0"/>
        <w:rPr>
          <w:rFonts w:hint="eastAsia" w:ascii="宋体" w:hAnsi="宋体" w:eastAsia="宋体" w:cs="宋体"/>
        </w:rPr>
      </w:pPr>
      <w:r/>
      <w:bookmarkStart w:id="63" w:name="_Toc513029212"/>
      <w:r/>
      <w:bookmarkStart w:id="64" w:name="_Toc462564071"/>
      <w:r/>
      <w:bookmarkStart w:id="65" w:name="_Toc16938528"/>
      <w:r/>
      <w:bookmarkStart w:id="66" w:name="_Toc20823284"/>
      <w:r>
        <w:rPr>
          <w:rFonts w:hint="eastAsia" w:ascii="宋体" w:hAnsi="宋体" w:eastAsia="宋体" w:cs="宋体"/>
        </w:rPr>
        <w:t xml:space="preserve">8、招标文件的修改</w:t>
      </w:r>
      <w:bookmarkEnd w:id="63"/>
      <w:r/>
      <w:bookmarkEnd w:id="64"/>
      <w:r/>
      <w:bookmarkEnd w:id="65"/>
      <w:r/>
      <w:bookmarkEnd w:id="66"/>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8.1在投标截止时间前，招标人和招标代理机构可以对招标文件进行修改。</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8.2招标人和招标代理机构有权按照法定的要求推迟投标截止日期和开标日期。</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w:t>
      </w:r>
      <w:r>
        <w:rPr>
          <w:rFonts w:hint="eastAsia" w:ascii="宋体" w:hAnsi="宋体" w:eastAsia="宋体" w:cs="宋体"/>
        </w:rPr>
        <w:t xml:space="preserve">补充文件将作为招标文件的组成部分，并对投标人具有约束力。</w:t>
      </w:r>
      <w:r/>
    </w:p>
    <w:p>
      <w:pPr>
        <w:pStyle w:val="807"/>
        <w:ind w:firstLine="482"/>
        <w:jc w:val="both"/>
        <w:keepLines/>
        <w:keepNext/>
        <w:spacing w:before="145" w:beforeAutospacing="0" w:after="145" w:afterAutospacing="0" w:line="360" w:lineRule="auto"/>
        <w:rPr>
          <w:rFonts w:hint="eastAsia" w:ascii="宋体" w:hAnsi="宋体" w:eastAsia="宋体" w:cs="宋体"/>
        </w:rPr>
      </w:pPr>
      <w:r/>
      <w:bookmarkStart w:id="67" w:name="_Toc513029213"/>
      <w:r/>
      <w:bookmarkStart w:id="68" w:name="_Toc120614216"/>
      <w:r/>
      <w:bookmarkStart w:id="69" w:name="_Toc20823285"/>
      <w:r/>
      <w:bookmarkStart w:id="70" w:name="_Toc462564072"/>
      <w:r/>
      <w:bookmarkStart w:id="71" w:name="_Toc16938529"/>
      <w:r>
        <w:rPr>
          <w:rFonts w:hint="eastAsia" w:ascii="宋体" w:hAnsi="宋体" w:eastAsia="宋体" w:cs="宋体"/>
          <w:b/>
        </w:rPr>
        <w:t xml:space="preserve">三、投标文件的编制</w:t>
      </w:r>
      <w:bookmarkEnd w:id="67"/>
      <w:r/>
      <w:bookmarkEnd w:id="68"/>
      <w:r/>
      <w:bookmarkEnd w:id="69"/>
      <w:r/>
      <w:bookmarkEnd w:id="70"/>
      <w:r/>
      <w:bookmarkEnd w:id="71"/>
      <w:r/>
      <w:r/>
    </w:p>
    <w:p>
      <w:pPr>
        <w:pStyle w:val="807"/>
        <w:ind w:firstLine="560"/>
        <w:jc w:val="both"/>
        <w:keepLines/>
        <w:keepNext/>
        <w:spacing w:beforeAutospacing="0" w:afterAutospacing="0"/>
        <w:rPr>
          <w:rFonts w:hint="eastAsia" w:ascii="宋体" w:hAnsi="宋体" w:eastAsia="宋体" w:cs="宋体"/>
        </w:rPr>
      </w:pPr>
      <w:r/>
      <w:bookmarkStart w:id="72" w:name="_Toc462564073"/>
      <w:r/>
      <w:bookmarkStart w:id="73" w:name="_Toc20823286"/>
      <w:r/>
      <w:bookmarkStart w:id="74" w:name="_Toc16938530"/>
      <w:r/>
      <w:bookmarkStart w:id="75" w:name="_Toc513029214"/>
      <w:r>
        <w:rPr>
          <w:rFonts w:hint="eastAsia" w:ascii="宋体" w:hAnsi="宋体" w:eastAsia="宋体" w:cs="宋体"/>
        </w:rPr>
        <w:t xml:space="preserve">9、投标文件的语言及度量衡单位</w:t>
      </w:r>
      <w:bookmarkEnd w:id="72"/>
      <w:r/>
      <w:bookmarkEnd w:id="73"/>
      <w:r/>
      <w:bookmarkEnd w:id="74"/>
      <w:r/>
      <w:bookmarkEnd w:id="75"/>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9.1投标人提交的投标文件以及投标人与招标人和招标代理机构就有关投标的所有来往通知、函件和文件均应使用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807"/>
        <w:ind w:firstLine="420"/>
        <w:jc w:val="both"/>
        <w:keepLines/>
        <w:keepNext/>
        <w:spacing w:beforeAutospacing="0" w:afterAutospacing="0"/>
        <w:rPr>
          <w:rFonts w:hint="eastAsia" w:ascii="宋体" w:hAnsi="宋体" w:eastAsia="宋体" w:cs="宋体"/>
        </w:rPr>
      </w:pPr>
      <w:r/>
      <w:bookmarkStart w:id="76" w:name="_Toc20823287"/>
      <w:r/>
      <w:bookmarkStart w:id="77" w:name="_Toc513029215"/>
      <w:r/>
      <w:bookmarkStart w:id="78" w:name="_Toc16938531"/>
      <w:r/>
      <w:bookmarkStart w:id="79" w:name="_Toc462564074"/>
      <w:r>
        <w:rPr>
          <w:rFonts w:hint="eastAsia" w:ascii="宋体" w:hAnsi="宋体" w:eastAsia="宋体" w:cs="宋体"/>
        </w:rPr>
        <w:t xml:space="preserve">10、投标文件构成</w:t>
      </w:r>
      <w:bookmarkEnd w:id="76"/>
      <w:r/>
      <w:bookmarkEnd w:id="77"/>
      <w:r/>
      <w:bookmarkEnd w:id="78"/>
      <w:r/>
      <w:bookmarkEnd w:id="79"/>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807"/>
        <w:ind w:firstLine="420"/>
        <w:jc w:val="both"/>
        <w:keepLines/>
        <w:keepNext/>
        <w:spacing w:beforeAutospacing="0" w:afterAutospacing="0"/>
        <w:rPr>
          <w:rFonts w:hint="eastAsia" w:ascii="宋体" w:hAnsi="宋体" w:eastAsia="宋体" w:cs="宋体"/>
        </w:rPr>
      </w:pPr>
      <w:r/>
      <w:bookmarkStart w:id="80" w:name="_Toc49090507"/>
      <w:r/>
      <w:bookmarkStart w:id="81" w:name="_Toc14577354"/>
      <w:r/>
      <w:bookmarkStart w:id="82" w:name="_Toc513029219"/>
      <w:r/>
      <w:bookmarkStart w:id="83" w:name="_Toc513029216"/>
      <w:r/>
      <w:bookmarkStart w:id="84" w:name="_Toc49090509"/>
      <w:r/>
      <w:bookmarkStart w:id="85" w:name="_Toc14577357"/>
      <w:r/>
      <w:bookmarkStart w:id="86" w:name="_Hlt26670360"/>
      <w:r/>
      <w:bookmarkStart w:id="87" w:name="_Hlt26954838"/>
      <w:r/>
      <w:bookmarkStart w:id="88" w:name="_Hlt26668975"/>
      <w:r>
        <w:rPr>
          <w:rFonts w:hint="eastAsia" w:ascii="宋体" w:hAnsi="宋体" w:eastAsia="宋体" w:cs="宋体"/>
        </w:rPr>
        <w:t xml:space="preserve">11、证明投标人及投标标的符合招标文件规定的文件</w:t>
      </w:r>
      <w:bookmarkEnd w:id="80"/>
      <w:r/>
      <w:bookmarkEnd w:id="81"/>
      <w:r/>
      <w:bookmarkEnd w:id="82"/>
      <w:r/>
      <w:bookmarkEnd w:id="83"/>
      <w:r/>
      <w:bookmarkEnd w:id="84"/>
      <w:r/>
      <w:bookmarkEnd w:id="85"/>
      <w:r/>
      <w:r/>
    </w:p>
    <w:p>
      <w:pPr>
        <w:pStyle w:val="807"/>
        <w:jc w:val="both"/>
        <w:spacing w:beforeAutospacing="0" w:afterAutospacing="0" w:line="0" w:lineRule="atLeast"/>
        <w:rPr>
          <w:rFonts w:hint="eastAsia" w:ascii="宋体" w:hAnsi="宋体" w:eastAsia="宋体" w:cs="宋体"/>
        </w:rPr>
      </w:pPr>
      <w:r/>
      <w:bookmarkStart w:id="89" w:name="_Toc14577355"/>
      <w:r/>
      <w:bookmarkStart w:id="90" w:name="_Toc49090508"/>
      <w:r>
        <w:rPr>
          <w:rFonts w:hint="eastAsia" w:ascii="宋体" w:hAnsi="宋体" w:eastAsia="宋体" w:cs="宋体"/>
        </w:rPr>
        <w:t xml:space="preserve">  11.1投标人应按照法律、法规、规章和规范性文件以及招标文件要求提交证明文件，证明其及投标标的符合招标文件规定。</w:t>
      </w:r>
      <w:bookmarkEnd w:id="89"/>
      <w:r/>
      <w:bookmarkEnd w:id="90"/>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0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w:t>
      </w:r>
      <w:bookmarkStart w:id="91" w:name="_Hlt26670373"/>
      <w:r>
        <w:rPr>
          <w:rFonts w:hint="eastAsia" w:ascii="宋体" w:hAnsi="宋体" w:eastAsia="宋体" w:cs="宋体"/>
        </w:rPr>
        <w:t xml:space="preserve">表</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12.1投</w:t>
      </w:r>
      <w:bookmarkStart w:id="92" w:name="_Hlt26954840"/>
      <w:r>
        <w:rPr>
          <w:rFonts w:hint="eastAsia" w:ascii="宋体" w:hAnsi="宋体" w:eastAsia="宋体" w:cs="宋体"/>
        </w:rPr>
        <w:t xml:space="preserve">标人应按照招标文件规定格式填报投标分项报价表</w:t>
      </w:r>
      <w:bookmarkStart w:id="93" w:name="_Hlt26670399"/>
      <w:r>
        <w:rPr>
          <w:rFonts w:hint="eastAsia" w:ascii="宋体" w:hAnsi="宋体" w:eastAsia="宋体" w:cs="宋体"/>
        </w:rPr>
        <w:t xml:space="preserve">。</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07"/>
        <w:ind w:firstLine="420"/>
        <w:jc w:val="both"/>
        <w:keepLines/>
        <w:keepNext/>
        <w:spacing w:beforeAutospacing="0" w:afterAutospacing="0"/>
        <w:rPr>
          <w:rFonts w:hint="eastAsia" w:ascii="宋体" w:hAnsi="宋体" w:eastAsia="宋体" w:cs="宋体"/>
        </w:rPr>
      </w:pPr>
      <w:r/>
      <w:bookmarkStart w:id="94" w:name="_Hlt26668983"/>
      <w:r/>
      <w:bookmarkStart w:id="95" w:name="_Hlt26954731"/>
      <w:r/>
      <w:bookmarkStart w:id="96" w:name="_Hlt26954842"/>
      <w:r/>
      <w:bookmarkStart w:id="97" w:name="_Hlt26954844"/>
      <w:r/>
      <w:bookmarkStart w:id="98" w:name="_Hlt26670486"/>
      <w:r/>
      <w:bookmarkStart w:id="99" w:name="_Hlt26670403"/>
      <w:r/>
      <w:bookmarkStart w:id="100" w:name="_Hlt26954848"/>
      <w:r/>
      <w:bookmarkStart w:id="101" w:name="_Hlt26954846"/>
      <w:r/>
      <w:bookmarkStart w:id="102" w:name="_Hlt26670425"/>
      <w:r/>
      <w:bookmarkStart w:id="103" w:name="_Hlt26670482"/>
      <w:r>
        <w:rPr>
          <w:rFonts w:hint="eastAsia" w:ascii="宋体" w:hAnsi="宋体" w:eastAsia="宋体" w:cs="宋体"/>
        </w:rPr>
        <w:t xml:space="preserve">13、技术要求响应及偏离表、商务要求响应及偏离表</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807"/>
        <w:ind w:firstLine="480"/>
        <w:jc w:val="both"/>
        <w:spacing w:beforeAutospacing="0" w:afterAutospacing="0" w:line="0" w:lineRule="atLeas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807"/>
        <w:ind w:firstLine="420"/>
        <w:jc w:val="both"/>
        <w:keepLines/>
        <w:keepNext/>
        <w:spacing w:beforeAutospacing="0" w:afterAutospacing="0"/>
        <w:rPr>
          <w:rFonts w:hint="eastAsia" w:ascii="宋体" w:hAnsi="宋体" w:eastAsia="宋体" w:cs="宋体"/>
        </w:rPr>
      </w:pPr>
      <w:r/>
      <w:bookmarkStart w:id="104" w:name="_Toc49090510"/>
      <w:r/>
      <w:bookmarkStart w:id="105" w:name="_Toc14577359"/>
      <w:r>
        <w:rPr>
          <w:rFonts w:hint="eastAsia" w:ascii="宋体" w:hAnsi="宋体" w:eastAsia="宋体" w:cs="宋体"/>
        </w:rPr>
        <w:t xml:space="preserve">14、投标函和开标一览表</w:t>
      </w:r>
      <w:bookmarkEnd w:id="104"/>
      <w:r/>
      <w:bookmarkEnd w:id="105"/>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807"/>
        <w:ind w:firstLine="420"/>
        <w:jc w:val="both"/>
        <w:keepLines/>
        <w:keepNext/>
        <w:spacing w:beforeAutospacing="0" w:afterAutospacing="0"/>
        <w:rPr>
          <w:rFonts w:hint="eastAsia" w:ascii="宋体" w:hAnsi="宋体" w:eastAsia="宋体" w:cs="宋体"/>
        </w:rPr>
      </w:pPr>
      <w:r/>
      <w:bookmarkStart w:id="106" w:name="_Toc14577360"/>
      <w:r/>
      <w:bookmarkStart w:id="107" w:name="_Toc49090511"/>
      <w:r/>
      <w:bookmarkStart w:id="108" w:name="_Hlt26954850"/>
      <w:r/>
      <w:bookmarkStart w:id="109" w:name="_Hlt26670489"/>
      <w:r/>
      <w:bookmarkStart w:id="110" w:name="_Hlt26954734"/>
      <w:r>
        <w:rPr>
          <w:rFonts w:hint="eastAsia" w:ascii="宋体" w:hAnsi="宋体" w:eastAsia="宋体" w:cs="宋体"/>
        </w:rPr>
        <w:t xml:space="preserve">15、投标有效期</w:t>
      </w:r>
      <w:bookmarkEnd w:id="106"/>
      <w:r/>
      <w:bookmarkEnd w:id="107"/>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15.1投标有效期为招标人或招标代理机构规定的开标之日后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0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16、投标有效期的延长</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pStyle w:val="807"/>
        <w:ind w:firstLine="482"/>
        <w:jc w:val="both"/>
        <w:keepLines/>
        <w:keepNext/>
        <w:spacing w:before="145" w:beforeAutospacing="0" w:after="145" w:afterAutospacing="0" w:line="360" w:lineRule="auto"/>
        <w:rPr>
          <w:rFonts w:hint="eastAsia" w:ascii="宋体" w:hAnsi="宋体" w:eastAsia="宋体" w:cs="宋体"/>
        </w:rPr>
      </w:pPr>
      <w:r/>
      <w:bookmarkStart w:id="111" w:name="_Toc16938540"/>
      <w:r/>
      <w:bookmarkStart w:id="112" w:name="_Toc120614217"/>
      <w:r/>
      <w:bookmarkStart w:id="113" w:name="_Toc513029224"/>
      <w:r/>
      <w:bookmarkStart w:id="114" w:name="_Toc20823296"/>
      <w:r/>
      <w:bookmarkStart w:id="115" w:name="_Hlt26954739"/>
      <w:r/>
      <w:bookmarkStart w:id="116" w:name="_Hlt26954852"/>
      <w:r>
        <w:rPr>
          <w:rFonts w:hint="eastAsia" w:ascii="宋体" w:hAnsi="宋体" w:eastAsia="宋体" w:cs="宋体"/>
          <w:b/>
        </w:rPr>
        <w:t xml:space="preserve">四、投标文件的递交</w:t>
      </w:r>
      <w:bookmarkEnd w:id="111"/>
      <w:r/>
      <w:bookmarkEnd w:id="112"/>
      <w:r/>
      <w:bookmarkEnd w:id="113"/>
      <w:r/>
      <w:bookmarkEnd w:id="114"/>
      <w:r/>
      <w:r/>
    </w:p>
    <w:p>
      <w:pPr>
        <w:pStyle w:val="807"/>
        <w:ind w:firstLine="560"/>
        <w:jc w:val="both"/>
        <w:keepLines/>
        <w:keepNext/>
        <w:spacing w:beforeAutospacing="0" w:afterAutospacing="0"/>
        <w:rPr>
          <w:rFonts w:hint="eastAsia" w:ascii="宋体" w:hAnsi="宋体" w:eastAsia="宋体" w:cs="宋体"/>
        </w:rPr>
      </w:pPr>
      <w:r/>
      <w:bookmarkStart w:id="117" w:name="_Toc462564084"/>
      <w:r/>
      <w:bookmarkStart w:id="118" w:name="_Toc513029225"/>
      <w:r/>
      <w:bookmarkStart w:id="119" w:name="_Toc16938541"/>
      <w:r/>
      <w:bookmarkStart w:id="120" w:name="_Toc20823297"/>
      <w:r>
        <w:rPr>
          <w:rFonts w:hint="eastAsia" w:ascii="宋体" w:hAnsi="宋体" w:eastAsia="宋体" w:cs="宋体"/>
        </w:rPr>
        <w:t xml:space="preserve">17、投标文件</w:t>
      </w:r>
      <w:bookmarkEnd w:id="117"/>
      <w:r/>
      <w:bookmarkEnd w:id="118"/>
      <w:r/>
      <w:bookmarkEnd w:id="119"/>
      <w:r/>
      <w:bookmarkEnd w:id="120"/>
      <w:r>
        <w:rPr>
          <w:rFonts w:hint="eastAsia" w:ascii="宋体" w:hAnsi="宋体" w:eastAsia="宋体" w:cs="宋体"/>
        </w:rPr>
        <w:t xml:space="preserve">的递交</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 电子投标文件的递交</w:t>
      </w:r>
      <w:r/>
    </w:p>
    <w:p>
      <w:pPr>
        <w:pStyle w:val="807"/>
        <w:ind w:left="525"/>
        <w:jc w:val="both"/>
        <w:spacing w:beforeAutospacing="0" w:afterAutospacing="0"/>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1" w:name="_Toc20823298"/>
      <w:r/>
      <w:bookmarkStart w:id="122" w:name="_Toc16938542"/>
      <w:r/>
      <w:bookmarkStart w:id="123" w:name="_Toc513029226"/>
      <w:r/>
      <w:bookmarkEnd w:id="121"/>
      <w:r/>
      <w:bookmarkEnd w:id="122"/>
      <w:r/>
      <w:r/>
    </w:p>
    <w:p>
      <w:pPr>
        <w:pStyle w:val="807"/>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18、投标截止时间</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18.2招标人或招标代理机构可以按照规定，通过修改招标文件酌情延长投标截止时间，在此情况下，投标人的所有权利和义务以及投标人受制的截止时间均应以延长后新的截止时间为准。</w:t>
      </w:r>
      <w:r/>
    </w:p>
    <w:p>
      <w:pPr>
        <w:pStyle w:val="807"/>
        <w:ind w:firstLine="420"/>
        <w:jc w:val="both"/>
        <w:keepLines/>
        <w:keepNext/>
        <w:spacing w:beforeAutospacing="0" w:afterAutospacing="0"/>
        <w:rPr>
          <w:rFonts w:hint="eastAsia" w:ascii="宋体" w:hAnsi="宋体" w:eastAsia="宋体" w:cs="宋体"/>
        </w:rPr>
      </w:pPr>
      <w:r/>
      <w:bookmarkStart w:id="124" w:name="_Toc16938543"/>
      <w:r/>
      <w:bookmarkStart w:id="125" w:name="_Toc513029227"/>
      <w:r/>
      <w:bookmarkStart w:id="126" w:name="_Toc20823299"/>
      <w:r>
        <w:rPr>
          <w:rFonts w:hint="eastAsia" w:ascii="宋体" w:hAnsi="宋体" w:eastAsia="宋体" w:cs="宋体"/>
        </w:rPr>
        <w:t xml:space="preserve">19、投标文件</w:t>
      </w:r>
      <w:bookmarkEnd w:id="124"/>
      <w:r/>
      <w:bookmarkEnd w:id="125"/>
      <w:r/>
      <w:bookmarkEnd w:id="126"/>
      <w:r>
        <w:rPr>
          <w:rFonts w:hint="eastAsia" w:ascii="宋体" w:hAnsi="宋体" w:eastAsia="宋体" w:cs="宋体"/>
        </w:rPr>
        <w:t xml:space="preserve">的拒收</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19.1招标人或招标代理机构拒绝接收在其规定的投标截止时间后上传的任何投标文件。</w:t>
      </w:r>
      <w:r/>
    </w:p>
    <w:p>
      <w:pPr>
        <w:pStyle w:val="807"/>
        <w:ind w:firstLine="420"/>
        <w:jc w:val="both"/>
        <w:keepLines/>
        <w:keepNext/>
        <w:spacing w:beforeAutospacing="0" w:afterAutospacing="0"/>
        <w:rPr>
          <w:rFonts w:hint="eastAsia" w:ascii="宋体" w:hAnsi="宋体" w:eastAsia="宋体" w:cs="宋体"/>
        </w:rPr>
      </w:pPr>
      <w:r/>
      <w:bookmarkStart w:id="127" w:name="_Toc20823300"/>
      <w:r/>
      <w:bookmarkStart w:id="128" w:name="_Toc513029228"/>
      <w:r/>
      <w:bookmarkStart w:id="129" w:name="_Toc16938544"/>
      <w:r>
        <w:rPr>
          <w:rFonts w:hint="eastAsia" w:ascii="宋体" w:hAnsi="宋体" w:eastAsia="宋体" w:cs="宋体"/>
        </w:rPr>
        <w:t xml:space="preserve">20、投标文件的撤回和修改</w:t>
      </w:r>
      <w:bookmarkEnd w:id="127"/>
      <w:r/>
      <w:bookmarkEnd w:id="128"/>
      <w:r/>
      <w:bookmarkEnd w:id="129"/>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20.1投标文件的撤回</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20.1.1电子投标文件的撤回</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 投标文件的修改</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807"/>
        <w:ind w:firstLine="482"/>
        <w:jc w:val="both"/>
        <w:keepLines/>
        <w:keepNext/>
        <w:spacing w:before="145" w:beforeAutospacing="0" w:after="145" w:afterAutospacing="0" w:line="360" w:lineRule="auto"/>
        <w:rPr>
          <w:rFonts w:hint="eastAsia" w:ascii="宋体" w:hAnsi="宋体" w:eastAsia="宋体" w:cs="宋体"/>
        </w:rPr>
      </w:pPr>
      <w:r/>
      <w:bookmarkStart w:id="130" w:name="_Toc20823301"/>
      <w:r/>
      <w:bookmarkStart w:id="131" w:name="_Toc513029229"/>
      <w:r/>
      <w:bookmarkStart w:id="132" w:name="_Toc120614218"/>
      <w:r/>
      <w:bookmarkStart w:id="133" w:name="_Toc16938545"/>
      <w:r>
        <w:rPr>
          <w:rFonts w:hint="eastAsia" w:ascii="宋体" w:hAnsi="宋体" w:eastAsia="宋体" w:cs="宋体"/>
          <w:b/>
        </w:rPr>
        <w:t xml:space="preserve">五、开标与评标</w:t>
      </w:r>
      <w:bookmarkEnd w:id="130"/>
      <w:r/>
      <w:bookmarkEnd w:id="131"/>
      <w:r/>
      <w:bookmarkEnd w:id="132"/>
      <w:r/>
      <w:bookmarkEnd w:id="133"/>
      <w:r/>
      <w:r/>
    </w:p>
    <w:p>
      <w:pPr>
        <w:pStyle w:val="807"/>
        <w:ind w:firstLine="420"/>
        <w:jc w:val="both"/>
        <w:keepLines/>
        <w:keepNext/>
        <w:spacing w:beforeAutospacing="0" w:afterAutospacing="0"/>
        <w:rPr>
          <w:rFonts w:hint="eastAsia" w:ascii="宋体" w:hAnsi="宋体" w:eastAsia="宋体" w:cs="宋体"/>
        </w:rPr>
      </w:pPr>
      <w:r/>
      <w:bookmarkStart w:id="134" w:name="_Toc20823302"/>
      <w:r/>
      <w:bookmarkStart w:id="135" w:name="_Toc513029230"/>
      <w:r/>
      <w:bookmarkStart w:id="136" w:name="_Toc16938546"/>
      <w:r>
        <w:rPr>
          <w:rFonts w:hint="eastAsia" w:ascii="宋体" w:hAnsi="宋体" w:eastAsia="宋体" w:cs="宋体"/>
        </w:rPr>
        <w:t xml:space="preserve">21、开标</w:t>
      </w:r>
      <w:bookmarkEnd w:id="134"/>
      <w:r/>
      <w:bookmarkEnd w:id="135"/>
      <w:r/>
      <w:bookmarkEnd w:id="136"/>
      <w:r/>
      <w:r/>
    </w:p>
    <w:p>
      <w:pPr>
        <w:pStyle w:val="807"/>
        <w:ind w:firstLine="360"/>
        <w:jc w:val="both"/>
        <w:spacing w:beforeAutospacing="0" w:afterAutospacing="0"/>
        <w:rPr>
          <w:rFonts w:hint="eastAsia" w:ascii="宋体" w:hAnsi="宋体" w:eastAsia="宋体" w:cs="宋体"/>
        </w:rPr>
      </w:pPr>
      <w:r>
        <w:rPr>
          <w:rFonts w:hint="eastAsia" w:ascii="宋体" w:hAnsi="宋体" w:eastAsia="宋体" w:cs="宋体"/>
        </w:rPr>
        <w:t xml:space="preserve">21.1招标人或招标代理机构将在招标公告中规定的时间和地点组织公开开标。投标人应当按照《操作手册》规定，参加开标活动和在苏采云系统规定的时间内对投标文件进行解密。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21.2开标仪式由招标人或招标代理机构组织。苏采云系统将自动对项目进行开标，并宣布各投标人名称和投标价格。</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07"/>
        <w:ind w:firstLine="420"/>
        <w:jc w:val="both"/>
        <w:keepLines/>
        <w:keepNext/>
        <w:spacing w:beforeAutospacing="0" w:afterAutospacing="0"/>
        <w:rPr>
          <w:rFonts w:hint="eastAsia" w:ascii="宋体" w:hAnsi="宋体" w:eastAsia="宋体" w:cs="宋体"/>
        </w:rPr>
      </w:pPr>
      <w:r/>
      <w:bookmarkStart w:id="137" w:name="_Toc20823303"/>
      <w:r/>
      <w:bookmarkStart w:id="138" w:name="_Toc513029231"/>
      <w:r/>
      <w:bookmarkStart w:id="139" w:name="_Toc16938547"/>
      <w:r>
        <w:rPr>
          <w:rFonts w:hint="eastAsia" w:ascii="宋体" w:hAnsi="宋体" w:eastAsia="宋体" w:cs="宋体"/>
        </w:rPr>
        <w:t xml:space="preserve">22、评标委员会</w:t>
      </w:r>
      <w:bookmarkEnd w:id="137"/>
      <w:r/>
      <w:bookmarkEnd w:id="138"/>
      <w:r/>
      <w:bookmarkEnd w:id="139"/>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22.1开标后，招标人或招标代理机构将立即组织评标委员会（以下简称评委会）进行评标。</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22.2评委会由采购人代表和有关技术、经济等方面的专家组成，且人员构成符合政府采购有关规定。</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22.3评委会独立工作，负责评审所有投标文件并确定中标候选人。</w:t>
      </w:r>
      <w:r/>
    </w:p>
    <w:p>
      <w:pPr>
        <w:pStyle w:val="80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23、评标过程的保密与公正</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23.1凡是与审查、澄清、评价和比较投标的有关资料以及授标建议等，采购人、评委、代理机构均不得向投标人或与评标无关的其他人员透露。</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23.3招标人或招标代理机构和评标委员会不向未中标的投标人解释未中标原因，也不</w:t>
      </w:r>
      <w:r>
        <w:rPr>
          <w:rFonts w:hint="eastAsia" w:ascii="宋体" w:hAnsi="宋体" w:eastAsia="宋体" w:cs="宋体"/>
        </w:rPr>
        <w:t xml:space="preserve">公布评标过程中的相关细节。</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07"/>
        <w:ind w:firstLine="420"/>
        <w:jc w:val="both"/>
        <w:keepLines/>
        <w:keepNext/>
        <w:spacing w:beforeAutospacing="0" w:afterAutospacing="0"/>
        <w:rPr>
          <w:rFonts w:hint="eastAsia" w:ascii="宋体" w:hAnsi="宋体" w:eastAsia="宋体" w:cs="宋体"/>
        </w:rPr>
      </w:pPr>
      <w:r/>
      <w:bookmarkStart w:id="140" w:name="_Toc513029232"/>
      <w:r/>
      <w:bookmarkStart w:id="141" w:name="_Toc20823304"/>
      <w:r/>
      <w:bookmarkStart w:id="142" w:name="_Toc16938548"/>
      <w:r>
        <w:rPr>
          <w:rFonts w:hint="eastAsia" w:ascii="宋体" w:hAnsi="宋体" w:eastAsia="宋体" w:cs="宋体"/>
        </w:rPr>
        <w:t xml:space="preserve">24、投标文件的澄清</w:t>
      </w:r>
      <w:bookmarkEnd w:id="140"/>
      <w:r/>
      <w:bookmarkEnd w:id="141"/>
      <w:r/>
      <w:bookmarkEnd w:id="142"/>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24.3接到评委会澄清、说明和补正要求的投标人如未按规定作出澄清、说明和补正，其风险由投标人自行承担。</w:t>
      </w:r>
      <w:r/>
    </w:p>
    <w:p>
      <w:pPr>
        <w:pStyle w:val="807"/>
        <w:ind w:firstLine="420"/>
        <w:jc w:val="both"/>
        <w:keepLines/>
        <w:keepNext/>
        <w:spacing w:beforeAutospacing="0" w:afterAutospacing="0"/>
        <w:rPr>
          <w:rFonts w:hint="eastAsia" w:ascii="宋体" w:hAnsi="宋体" w:eastAsia="宋体" w:cs="宋体"/>
        </w:rPr>
      </w:pPr>
      <w:r/>
      <w:bookmarkStart w:id="143" w:name="_Toc513029233"/>
      <w:r/>
      <w:bookmarkStart w:id="144" w:name="_Toc20823305"/>
      <w:r/>
      <w:bookmarkStart w:id="145" w:name="_Toc16938549"/>
      <w:r>
        <w:rPr>
          <w:rFonts w:hint="eastAsia" w:ascii="宋体" w:hAnsi="宋体" w:eastAsia="宋体" w:cs="宋体"/>
        </w:rPr>
        <w:t xml:space="preserve">25、对投标文件的初审</w:t>
      </w:r>
      <w:bookmarkEnd w:id="143"/>
      <w:r/>
      <w:bookmarkEnd w:id="144"/>
      <w:r/>
      <w:bookmarkEnd w:id="145"/>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25.1.3未通过资格审查或符合性审查的投标人，招标人或招标代理机构将在苏采云系统中告知未通过资格审查或符合性审查的原因，评标结束后，招标人或招标代理机构将不再告知未通过资格审查和符合性审查的原因。</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人或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07"/>
        <w:ind w:firstLine="420"/>
        <w:jc w:val="both"/>
        <w:spacing w:beforeAutospacing="0" w:afterAutospacing="0" w:line="0" w:lineRule="atLeast"/>
        <w:rPr>
          <w:rFonts w:hint="eastAsia" w:ascii="宋体" w:hAnsi="宋体" w:eastAsia="宋体" w:cs="宋体"/>
        </w:rPr>
      </w:pPr>
      <w:r/>
      <w:bookmarkStart w:id="146" w:name="_Toc20823306"/>
      <w:r/>
      <w:bookmarkStart w:id="147" w:name="_Toc513029234"/>
      <w:r/>
      <w:bookmarkStart w:id="148" w:name="_Toc16938550"/>
      <w:r>
        <w:rPr>
          <w:rFonts w:hint="eastAsia" w:ascii="宋体" w:hAnsi="宋体" w:eastAsia="宋体" w:cs="宋体"/>
        </w:rPr>
        <w:t xml:space="preserve">25.6投标人在开、评标全过程中应保持通信畅通，及时登录苏采云系统查阅、答复相关信息，并安排专人与招标人或招标代理机构及评标委员会联系。</w:t>
      </w:r>
      <w:bookmarkEnd w:id="146"/>
      <w:r/>
      <w:bookmarkEnd w:id="147"/>
      <w:r/>
      <w:bookmarkEnd w:id="148"/>
      <w:r/>
      <w:r/>
    </w:p>
    <w:p>
      <w:pPr>
        <w:pStyle w:val="80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26、无效投标条款和废标条款</w:t>
      </w:r>
      <w:r/>
    </w:p>
    <w:p>
      <w:pPr>
        <w:pStyle w:val="807"/>
        <w:ind w:left="479"/>
        <w:jc w:val="both"/>
        <w:spacing w:beforeAutospacing="0" w:afterAutospacing="0" w:line="0" w:lineRule="atLeast"/>
        <w:rPr>
          <w:rFonts w:hint="eastAsia" w:ascii="宋体" w:hAnsi="宋体" w:eastAsia="宋体" w:cs="宋体"/>
        </w:rPr>
      </w:pPr>
      <w:r/>
      <w:bookmarkStart w:id="149" w:name="_Toc513029235"/>
      <w:r/>
      <w:bookmarkStart w:id="150" w:name="_Toc16938551"/>
      <w:r/>
      <w:bookmarkStart w:id="151" w:name="_Toc20823307"/>
      <w:r>
        <w:rPr>
          <w:rFonts w:hint="eastAsia" w:ascii="宋体" w:hAnsi="宋体" w:eastAsia="宋体" w:cs="宋体"/>
        </w:rPr>
        <w:t xml:space="preserve">26.1无效投标条款</w:t>
      </w:r>
      <w:bookmarkEnd w:id="149"/>
      <w:r/>
      <w:bookmarkEnd w:id="150"/>
      <w:r/>
      <w:bookmarkEnd w:id="151"/>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26.1.6未通过符合性审查的。</w:t>
      </w:r>
      <w:r/>
    </w:p>
    <w:p>
      <w:pPr>
        <w:pStyle w:val="80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rPr>
        <w:t xml:space="preserve">1.投标（响应）报价低于全部通过符合性审查供应商投标（响应）报价平均值65%的，即投标（响应）报价&lt;全部通过符合性审查供应商投标（响应）报价平均值×65%；</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rPr>
        <w:t xml:space="preserve">2.投标（响应）报价低于通过符合性审查的次低报价供应商投标（响应）报价65%的，即投标（响应）报价&lt;通过符合性审查的次低报价供应商投标（响应）报价×65%；</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rPr>
        <w:t xml:space="preserve">3.评审委员会基于专业判断，认为供应商报价过低，有可能影响产品质量或者不能诚信履约的其他情形。</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rPr>
        <w:t xml:space="preserve">相关法律法规对供应商报价有规定的，从其规定。</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7"/>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rPr>
        <w:t xml:space="preserve">异常低价投标（响应）审查的启动原因、审查意见和审查结果应当在评审报告中记录，</w:t>
      </w:r>
      <w:r>
        <w:rPr>
          <w:rFonts w:hint="eastAsia" w:ascii="宋体" w:hAnsi="宋体" w:eastAsia="宋体" w:cs="宋体"/>
          <w:b/>
        </w:rPr>
        <w:t xml:space="preserve">并随供应商提供的相关书面说明及证明材料，以及评审委员会有关互联网浏览、查询历史一并归档。</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26.2废标条款</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26.2.3因重大变故，采购任务取消的。</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807"/>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807"/>
        <w:ind w:firstLine="482"/>
        <w:jc w:val="both"/>
        <w:keepLines/>
        <w:keepNext/>
        <w:spacing w:before="145" w:beforeAutospacing="0" w:after="145" w:afterAutospacing="0" w:line="360" w:lineRule="auto"/>
        <w:rPr>
          <w:rFonts w:hint="eastAsia" w:ascii="宋体" w:hAnsi="宋体" w:eastAsia="宋体" w:cs="宋体"/>
        </w:rPr>
      </w:pPr>
      <w:r/>
      <w:bookmarkStart w:id="152" w:name="_Toc120614219"/>
      <w:r>
        <w:rPr>
          <w:rFonts w:hint="eastAsia" w:ascii="宋体" w:hAnsi="宋体" w:eastAsia="宋体" w:cs="宋体"/>
          <w:b/>
        </w:rPr>
        <w:t xml:space="preserve">六、定标</w:t>
      </w:r>
      <w:bookmarkEnd w:id="152"/>
      <w:r/>
      <w:r/>
    </w:p>
    <w:p>
      <w:pPr>
        <w:pStyle w:val="807"/>
        <w:ind w:firstLine="600"/>
        <w:jc w:val="both"/>
        <w:keepLines/>
        <w:keepNext/>
        <w:spacing w:beforeAutospacing="0" w:afterAutospacing="0"/>
        <w:rPr>
          <w:rFonts w:hint="eastAsia" w:ascii="宋体" w:hAnsi="宋体" w:eastAsia="宋体" w:cs="宋体"/>
        </w:rPr>
      </w:pPr>
      <w:r/>
      <w:bookmarkStart w:id="153" w:name="_Toc16938554"/>
      <w:r/>
      <w:bookmarkStart w:id="154" w:name="_Toc513029238"/>
      <w:r/>
      <w:bookmarkStart w:id="155" w:name="_Toc20823310"/>
      <w:r>
        <w:rPr>
          <w:rFonts w:hint="eastAsia" w:ascii="宋体" w:hAnsi="宋体" w:eastAsia="宋体" w:cs="宋体"/>
        </w:rPr>
        <w:t xml:space="preserve">27、确定中标单位</w:t>
      </w:r>
      <w:bookmarkEnd w:id="153"/>
      <w:r/>
      <w:bookmarkEnd w:id="154"/>
      <w:r/>
      <w:bookmarkEnd w:id="155"/>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27.3招标人或招标代理机构将在“中国政府采购网”“江苏政府采购网”“盐城市政府采购网”发布中标公告，公告期限为1个工作日。</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27.4.1提供虚假材料谋取中标的。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27.4.2向招标人或招标代理机构行贿或者提供其他不正当利益的。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807"/>
        <w:ind w:firstLine="480"/>
        <w:jc w:val="both"/>
        <w:spacing w:beforeAutospacing="0" w:afterAutospacing="0" w:line="0" w:lineRule="atLeast"/>
        <w:rPr>
          <w:rFonts w:hint="eastAsia" w:ascii="宋体" w:hAnsi="宋体" w:eastAsia="宋体" w:cs="宋体"/>
        </w:rPr>
      </w:pPr>
      <w:r/>
      <w:bookmarkStart w:id="156" w:name="_Toc200451960"/>
      <w:r>
        <w:rPr>
          <w:rFonts w:hint="eastAsia" w:ascii="宋体" w:hAnsi="宋体" w:eastAsia="宋体" w:cs="宋体"/>
        </w:rPr>
        <w:t xml:space="preserve">27.5 有下列情形之一的，视为投标人串通投标，投标无效：</w:t>
      </w:r>
      <w:bookmarkEnd w:id="156"/>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807"/>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28、质疑处理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招标人或招标代理机构提出质疑。上述应知其权益受到损害之日，是指：</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供应商应当在法定质疑期内一次性提出针对同一采购程序环节的质疑。供应商如在法定期限内对同一采购程序环节提出多次质疑的，招标人或招标代理机构将只对供应商第一次质疑作出答复。</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w:t>
      </w:r>
      <w:r>
        <w:rPr>
          <w:rFonts w:hint="eastAsia" w:ascii="宋体" w:hAnsi="宋体" w:eastAsia="宋体" w:cs="宋体"/>
        </w:rPr>
        <w:t xml:space="preserve">各方均须按要求签字、盖章、加盖公章。</w:t>
      </w:r>
      <w:r/>
    </w:p>
    <w:p>
      <w:pPr>
        <w:pStyle w:val="807"/>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人或招标代理机构提出，由招标人或招标代理机构负责答复。</w:t>
      </w:r>
      <w:r/>
    </w:p>
    <w:p>
      <w:pPr>
        <w:ind w:firstLine="480"/>
        <w:jc w:val="left"/>
        <w:tabs>
          <w:tab w:val="left" w:pos="1331" w:leader="none"/>
        </w:tabs>
        <w:rPr>
          <w:rFonts w:hint="eastAsia" w:ascii="宋体" w:hAnsi="宋体" w:eastAsia="宋体" w:cs="宋体"/>
          <w:sz w:val="24"/>
        </w:rPr>
      </w:pPr>
      <w:r>
        <w:rPr>
          <w:rFonts w:hint="eastAsia" w:ascii="宋体" w:hAnsi="宋体" w:eastAsia="宋体" w:cs="宋体"/>
          <w:sz w:val="24"/>
        </w:rPr>
        <w:t xml:space="preserve">招标人或招标代理机构只接收以纸质原件形式送达的质疑,招标人或招标代理机构不接受未填写快递运单的快件。质疑接收部门为盐城市智强项目管理有限公司业务受理处，联系地址：滨海县行政服务中心二楼G区2202室，联系电话：15950201008，联系人，高先生。</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 以下情形的质疑不予受理</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28.5.2超出政府采购法定期限的质疑。</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807"/>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07"/>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29、中标通知书</w:t>
      </w:r>
      <w:r/>
    </w:p>
    <w:p>
      <w:pPr>
        <w:pStyle w:val="80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l中标结果确定后，招标人或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0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807"/>
        <w:jc w:val="both"/>
        <w:keepLines/>
        <w:keepNext/>
        <w:spacing w:before="145" w:beforeAutospacing="0" w:after="145" w:afterAutospacing="0" w:line="360" w:lineRule="auto"/>
        <w:rPr>
          <w:rFonts w:hint="eastAsia" w:ascii="宋体" w:hAnsi="宋体" w:eastAsia="宋体" w:cs="宋体"/>
        </w:rPr>
      </w:pPr>
      <w:r/>
      <w:bookmarkStart w:id="157" w:name="_Toc120614220"/>
      <w:r/>
      <w:bookmarkStart w:id="158" w:name="_Toc20823308"/>
      <w:r/>
      <w:bookmarkStart w:id="159" w:name="_Toc513029236"/>
      <w:r/>
      <w:bookmarkStart w:id="160" w:name="_Toc16938552"/>
      <w:r>
        <w:rPr>
          <w:rFonts w:hint="eastAsia" w:ascii="宋体" w:hAnsi="宋体" w:eastAsia="宋体" w:cs="宋体"/>
          <w:b/>
        </w:rPr>
        <w:t xml:space="preserve">七、授予合同</w:t>
      </w:r>
      <w:bookmarkEnd w:id="157"/>
      <w:r/>
      <w:bookmarkEnd w:id="158"/>
      <w:r/>
      <w:bookmarkEnd w:id="159"/>
      <w:r/>
      <w:bookmarkEnd w:id="160"/>
      <w:r/>
      <w:r/>
    </w:p>
    <w:p>
      <w:pPr>
        <w:pStyle w:val="807"/>
        <w:ind w:firstLine="600"/>
        <w:jc w:val="both"/>
        <w:keepLines/>
        <w:keepNext/>
        <w:spacing w:beforeAutospacing="0" w:afterAutospacing="0"/>
        <w:rPr>
          <w:rFonts w:hint="eastAsia" w:ascii="宋体" w:hAnsi="宋体" w:eastAsia="宋体" w:cs="宋体"/>
        </w:rPr>
      </w:pPr>
      <w:r/>
      <w:bookmarkStart w:id="161" w:name="_Toc20823309"/>
      <w:r/>
      <w:bookmarkStart w:id="162" w:name="_Toc16938553"/>
      <w:r/>
      <w:bookmarkStart w:id="163" w:name="_Toc513029237"/>
      <w:r>
        <w:rPr>
          <w:rFonts w:hint="eastAsia" w:ascii="宋体" w:hAnsi="宋体" w:eastAsia="宋体" w:cs="宋体"/>
        </w:rPr>
        <w:t xml:space="preserve">30.签订合同</w:t>
      </w:r>
      <w:bookmarkEnd w:id="161"/>
      <w:r/>
      <w:bookmarkEnd w:id="162"/>
      <w:r/>
      <w:bookmarkEnd w:id="163"/>
      <w:r/>
      <w:r/>
    </w:p>
    <w:p>
      <w:pPr>
        <w:pStyle w:val="80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80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80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0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807"/>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31、服务（包含与服务相关的货物）的追加</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07"/>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32.政府采购政策功能落实</w:t>
      </w:r>
      <w:r/>
    </w:p>
    <w:p>
      <w:pPr>
        <w:pStyle w:val="807"/>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32.1政府采购线上合同信用融资政策</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32.3.1中小企业定义：</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w:t>
      </w:r>
      <w:r>
        <w:rPr>
          <w:rFonts w:hint="eastAsia" w:ascii="宋体" w:hAnsi="宋体" w:eastAsia="宋体" w:cs="宋体"/>
        </w:rPr>
        <w:t xml:space="preserve">其他残疾人福利性单位制造的货物（不包括使用非残疾人福利性单位注册商标的货物）；</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807"/>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32.4政府采购节能产品、环境标志产品</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32.4.1严格执行政府采购关于支持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32.5绿色包装</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 </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sz w:val="24"/>
        </w:rPr>
      </w:pPr>
      <w:r>
        <w:rPr>
          <w:rFonts w:hint="eastAsia" w:ascii="宋体" w:hAnsi="宋体" w:eastAsia="宋体" w:cs="宋体"/>
          <w:b/>
          <w:bCs/>
          <w:sz w:val="24"/>
        </w:rPr>
        <w:t xml:space="preserve">32.8实施本国产品标准及相关政策</w:t>
      </w:r>
      <w:r/>
    </w:p>
    <w:p>
      <w:pPr>
        <w:ind w:firstLine="482"/>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w:t>
      </w:r>
      <w:r>
        <w:rPr>
          <w:rFonts w:hint="eastAsia" w:ascii="宋体" w:hAnsi="宋体" w:eastAsia="宋体" w:cs="宋体"/>
          <w:b/>
          <w:bCs/>
          <w:sz w:val="24"/>
        </w:rPr>
        <w:t xml:space="preserve">号医疗器械注册证的，属于在中国境内生产的产品；其他产品，根据实际情况判断是否在中国境内生产。</w:t>
      </w:r>
      <w:r/>
    </w:p>
    <w:p>
      <w:pPr>
        <w:ind w:firstLine="482"/>
        <w:rPr>
          <w:rFonts w:hint="eastAsia"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确需收取履约保证金的，履约保证金的缴纳形式：</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 预付款制度</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本项目落实预付款制度，预付款比例为___%（原则上不低于合同金额的30%）。在签订合同时，中标、成交供应商明确书面表示无需预付款或者主动要求降低预付款比例的，采购人可就预付款比例作相应调整。</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ind w:firstLine="2640"/>
        <w:jc w:val="both"/>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r>
      <w:r/>
    </w:p>
    <w:p>
      <w:pPr>
        <w:ind w:left="2348"/>
        <w:spacing w:line="404" w:lineRule="exact"/>
        <w:tabs>
          <w:tab w:val="left" w:pos="3948" w:leader="none"/>
          <w:tab w:val="left" w:pos="8503" w:leader="none"/>
        </w:tabs>
        <w:rPr>
          <w:rFonts w:hint="eastAsia" w:ascii="宋体" w:hAnsi="宋体" w:eastAsia="宋体" w:cs="宋体"/>
          <w:sz w:val="28"/>
          <w:szCs w:val="28"/>
          <w:u w:val="single"/>
        </w:rPr>
      </w:pPr>
      <w:r>
        <w:rPr>
          <w:rFonts w:hint="eastAsia" w:ascii="宋体" w:hAnsi="宋体" w:eastAsia="宋体" w:cs="宋体"/>
          <w:sz w:val="28"/>
          <w:szCs w:val="28"/>
          <w:u w:val="single"/>
        </w:rPr>
      </w:r>
      <w:r/>
    </w:p>
    <w:p>
      <w:pPr>
        <w:ind w:left="2348"/>
        <w:spacing w:line="404" w:lineRule="exact"/>
        <w:tabs>
          <w:tab w:val="left" w:pos="3948" w:leader="none"/>
          <w:tab w:val="left" w:pos="8503" w:leader="none"/>
        </w:tabs>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7"/>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t xml:space="preserve">第三章  合同条款</w:t>
      </w:r>
      <w:r/>
    </w:p>
    <w:p>
      <w:pPr>
        <w:ind w:left="2348"/>
        <w:spacing w:line="404" w:lineRule="exact"/>
        <w:tabs>
          <w:tab w:val="left" w:pos="3948" w:leader="none"/>
          <w:tab w:val="left" w:pos="8503" w:leader="none"/>
        </w:tabs>
        <w:rPr>
          <w:rFonts w:hint="eastAsia" w:ascii="宋体" w:hAnsi="宋体" w:eastAsia="宋体" w:cs="宋体"/>
          <w:sz w:val="28"/>
          <w:szCs w:val="20"/>
          <w:u w:val="single"/>
        </w:rPr>
      </w:pPr>
      <w:r>
        <w:rPr>
          <w:rFonts w:hint="eastAsia" w:ascii="宋体" w:hAnsi="宋体" w:eastAsia="宋体" w:cs="宋体"/>
          <w:sz w:val="28"/>
          <w:szCs w:val="20"/>
          <w:u w:val="single"/>
        </w:rPr>
      </w:r>
      <w:r/>
    </w:p>
    <w:p>
      <w:pPr>
        <w:ind w:left="2348"/>
        <w:spacing w:line="404" w:lineRule="exact"/>
        <w:tabs>
          <w:tab w:val="left" w:pos="3948" w:leader="none"/>
          <w:tab w:val="left" w:pos="8503" w:leader="none"/>
        </w:tabs>
        <w:rPr>
          <w:rFonts w:hint="eastAsia" w:ascii="宋体" w:hAnsi="宋体" w:eastAsia="宋体" w:cs="宋体"/>
          <w:sz w:val="28"/>
          <w:szCs w:val="20"/>
          <w:u w:val="single"/>
        </w:rPr>
      </w:pPr>
      <w:r>
        <w:rPr>
          <w:rFonts w:hint="eastAsia" w:ascii="宋体" w:hAnsi="宋体" w:eastAsia="宋体" w:cs="宋体"/>
          <w:sz w:val="28"/>
          <w:szCs w:val="20"/>
          <w:u w:val="single"/>
        </w:rPr>
      </w:r>
      <w:r/>
    </w:p>
    <w:p>
      <w:pPr>
        <w:ind w:left="2348"/>
        <w:spacing w:line="404" w:lineRule="exact"/>
        <w:tabs>
          <w:tab w:val="left" w:pos="3948" w:leader="none"/>
          <w:tab w:val="left" w:pos="8503" w:leader="none"/>
        </w:tabs>
        <w:rPr>
          <w:rFonts w:hint="eastAsia" w:ascii="宋体" w:hAnsi="宋体" w:eastAsia="宋体" w:cs="宋体"/>
          <w:sz w:val="28"/>
          <w:szCs w:val="20"/>
          <w:u w:val="single"/>
        </w:rPr>
      </w:pPr>
      <w:r>
        <w:rPr>
          <w:rFonts w:hint="eastAsia" w:ascii="宋体" w:hAnsi="宋体" w:eastAsia="宋体" w:cs="宋体"/>
          <w:sz w:val="28"/>
          <w:szCs w:val="20"/>
          <w:u w:val="single"/>
        </w:rPr>
      </w:r>
      <w:r/>
    </w:p>
    <w:p>
      <w:pPr>
        <w:ind w:left="2348"/>
        <w:spacing w:line="404" w:lineRule="exact"/>
        <w:tabs>
          <w:tab w:val="left" w:pos="3948" w:leader="none"/>
          <w:tab w:val="left" w:pos="8503" w:leader="none"/>
        </w:tabs>
        <w:rPr>
          <w:rFonts w:hint="eastAsia" w:ascii="宋体" w:hAnsi="宋体" w:eastAsia="宋体" w:cs="宋体"/>
          <w:sz w:val="28"/>
          <w:szCs w:val="20"/>
        </w:rPr>
      </w:pPr>
      <w:r>
        <w:rPr>
          <w:rFonts w:hint="eastAsia" w:ascii="宋体" w:hAnsi="宋体" w:eastAsia="宋体" w:cs="宋体"/>
          <w:sz w:val="28"/>
          <w:szCs w:val="20"/>
          <w:u w:val="single"/>
        </w:rPr>
        <w:tab/>
      </w:r>
      <w:r>
        <w:rPr>
          <w:rFonts w:hint="eastAsia" w:ascii="宋体" w:hAnsi="宋体" w:eastAsia="宋体" w:cs="宋体"/>
          <w:sz w:val="28"/>
          <w:szCs w:val="20"/>
        </w:rPr>
        <w:t xml:space="preserve">售电公司服务热线：</w:t>
      </w:r>
      <w:r>
        <w:rPr>
          <w:rFonts w:hint="eastAsia" w:ascii="宋体" w:hAnsi="宋体" w:eastAsia="宋体" w:cs="宋体"/>
          <w:sz w:val="28"/>
          <w:szCs w:val="20"/>
          <w:u w:val="single"/>
        </w:rPr>
        <w:t xml:space="preserve"> </w:t>
      </w:r>
      <w:r>
        <w:rPr>
          <w:rFonts w:hint="eastAsia" w:ascii="宋体" w:hAnsi="宋体" w:eastAsia="宋体" w:cs="宋体"/>
          <w:sz w:val="28"/>
          <w:szCs w:val="20"/>
          <w:u w:val="single"/>
        </w:rPr>
        <w:tab/>
      </w:r>
      <w:r/>
    </w:p>
    <w:p>
      <w:pPr>
        <w:ind w:right="1862"/>
        <w:spacing w:before="200" w:line="355" w:lineRule="auto"/>
        <w:rPr>
          <w:rFonts w:hint="eastAsia" w:ascii="宋体" w:hAnsi="宋体" w:eastAsia="宋体" w:cs="宋体"/>
          <w:sz w:val="28"/>
          <w:szCs w:val="20"/>
        </w:rPr>
      </w:pPr>
      <w:r>
        <w:rPr>
          <w:rFonts w:hint="eastAsia" w:ascii="宋体" w:hAnsi="宋体" w:eastAsia="宋体" w:cs="宋体"/>
          <w:spacing w:val="2"/>
          <w:sz w:val="28"/>
          <w:szCs w:val="20"/>
        </w:rPr>
        <w:t xml:space="preserve">甲</w:t>
      </w:r>
      <w:r>
        <w:rPr>
          <w:rFonts w:hint="eastAsia" w:ascii="宋体" w:hAnsi="宋体" w:eastAsia="宋体" w:cs="宋体"/>
          <w:spacing w:val="-1"/>
          <w:sz w:val="28"/>
          <w:szCs w:val="20"/>
        </w:rPr>
        <w:t xml:space="preserve">方</w:t>
      </w:r>
      <w:r>
        <w:rPr>
          <w:rFonts w:hint="eastAsia" w:ascii="宋体" w:hAnsi="宋体" w:eastAsia="宋体" w:cs="宋体"/>
          <w:sz w:val="28"/>
          <w:szCs w:val="20"/>
        </w:rPr>
        <w:t xml:space="preserve">合</w:t>
      </w:r>
      <w:r>
        <w:rPr>
          <w:rFonts w:hint="eastAsia" w:ascii="宋体" w:hAnsi="宋体" w:eastAsia="宋体" w:cs="宋体"/>
          <w:spacing w:val="2"/>
          <w:sz w:val="28"/>
          <w:szCs w:val="20"/>
        </w:rPr>
        <w:t xml:space="preserve">同</w:t>
      </w:r>
      <w:r>
        <w:rPr>
          <w:rFonts w:hint="eastAsia" w:ascii="宋体" w:hAnsi="宋体" w:eastAsia="宋体" w:cs="宋体"/>
          <w:sz w:val="28"/>
          <w:szCs w:val="20"/>
        </w:rPr>
        <w:t xml:space="preserve">编号：</w:t>
      </w:r>
      <w:r/>
    </w:p>
    <w:p>
      <w:pPr>
        <w:ind w:right="1862"/>
        <w:spacing w:before="200" w:line="355" w:lineRule="auto"/>
        <w:rPr>
          <w:rFonts w:hint="eastAsia" w:ascii="宋体" w:hAnsi="宋体" w:eastAsia="宋体" w:cs="宋体"/>
          <w:sz w:val="28"/>
          <w:szCs w:val="20"/>
        </w:rPr>
      </w:pPr>
      <w:r>
        <w:rPr>
          <w:rFonts w:hint="eastAsia" w:ascii="宋体" w:hAnsi="宋体" w:eastAsia="宋体" w:cs="宋体"/>
          <w:spacing w:val="2"/>
          <w:sz w:val="28"/>
          <w:szCs w:val="20"/>
        </w:rPr>
        <w:t xml:space="preserve">乙</w:t>
      </w:r>
      <w:r>
        <w:rPr>
          <w:rFonts w:hint="eastAsia" w:ascii="宋体" w:hAnsi="宋体" w:eastAsia="宋体" w:cs="宋体"/>
          <w:spacing w:val="-1"/>
          <w:sz w:val="28"/>
          <w:szCs w:val="20"/>
        </w:rPr>
        <w:t xml:space="preserve">方</w:t>
      </w:r>
      <w:r>
        <w:rPr>
          <w:rFonts w:hint="eastAsia" w:ascii="宋体" w:hAnsi="宋体" w:eastAsia="宋体" w:cs="宋体"/>
          <w:sz w:val="28"/>
          <w:szCs w:val="20"/>
        </w:rPr>
        <w:t xml:space="preserve">合</w:t>
      </w:r>
      <w:r>
        <w:rPr>
          <w:rFonts w:hint="eastAsia" w:ascii="宋体" w:hAnsi="宋体" w:eastAsia="宋体" w:cs="宋体"/>
          <w:spacing w:val="2"/>
          <w:sz w:val="28"/>
          <w:szCs w:val="20"/>
        </w:rPr>
        <w:t xml:space="preserve">同</w:t>
      </w:r>
      <w:r>
        <w:rPr>
          <w:rFonts w:hint="eastAsia" w:ascii="宋体" w:hAnsi="宋体" w:eastAsia="宋体" w:cs="宋体"/>
          <w:sz w:val="28"/>
          <w:szCs w:val="20"/>
        </w:rPr>
        <w:t xml:space="preserve">编号：</w:t>
      </w:r>
      <w:r/>
    </w:p>
    <w:p>
      <w:pPr>
        <w:spacing w:before="1"/>
        <w:rPr>
          <w:rFonts w:hint="eastAsia" w:ascii="宋体" w:hAnsi="宋体" w:eastAsia="宋体" w:cs="宋体"/>
          <w:sz w:val="45"/>
          <w:szCs w:val="45"/>
        </w:rPr>
      </w:pPr>
      <w:r>
        <w:rPr>
          <w:rFonts w:hint="eastAsia" w:ascii="宋体" w:hAnsi="宋体" w:eastAsia="宋体" w:cs="宋体"/>
          <w:sz w:val="45"/>
          <w:szCs w:val="45"/>
        </w:rPr>
      </w:r>
      <w:r/>
    </w:p>
    <w:p>
      <w:pPr>
        <w:ind w:right="129"/>
        <w:jc w:val="center"/>
        <w:spacing w:line="696" w:lineRule="exact"/>
        <w:rPr>
          <w:rFonts w:hint="eastAsia" w:ascii="宋体" w:hAnsi="宋体" w:eastAsia="宋体" w:cs="宋体"/>
          <w:spacing w:val="74"/>
          <w:sz w:val="36"/>
          <w:szCs w:val="36"/>
        </w:rPr>
      </w:pPr>
      <w:r>
        <w:rPr>
          <w:rFonts w:hint="eastAsia" w:ascii="宋体" w:hAnsi="宋体" w:eastAsia="宋体" w:cs="宋体"/>
          <w:spacing w:val="74"/>
          <w:sz w:val="36"/>
          <w:szCs w:val="36"/>
        </w:rPr>
        <w:t xml:space="preserve">售电公司与电力用户购售电合同</w:t>
      </w:r>
      <w:r/>
    </w:p>
    <w:p>
      <w:pPr>
        <w:ind w:right="125"/>
        <w:jc w:val="center"/>
        <w:spacing w:line="696" w:lineRule="exact"/>
        <w:rPr>
          <w:rFonts w:hint="eastAsia" w:ascii="宋体" w:hAnsi="宋体" w:eastAsia="宋体" w:cs="宋体"/>
          <w:spacing w:val="64"/>
          <w:sz w:val="36"/>
          <w:szCs w:val="36"/>
        </w:rPr>
      </w:pPr>
      <w:r>
        <w:rPr>
          <w:rFonts w:hint="eastAsia" w:ascii="宋体" w:hAnsi="宋体" w:eastAsia="宋体" w:cs="宋体"/>
          <w:sz w:val="36"/>
          <w:szCs w:val="36"/>
        </w:rPr>
        <w:t xml:space="preserve">（ </w:t>
      </w:r>
      <w:r>
        <w:rPr>
          <w:rFonts w:hint="eastAsia" w:ascii="宋体" w:hAnsi="宋体" w:eastAsia="宋体" w:cs="宋体"/>
          <w:spacing w:val="64"/>
          <w:sz w:val="36"/>
          <w:szCs w:val="36"/>
        </w:rPr>
        <w:t xml:space="preserve">示范文本）</w:t>
      </w:r>
      <w:r/>
    </w:p>
    <w:p>
      <w:pPr>
        <w:ind w:right="58"/>
        <w:jc w:val="center"/>
        <w:spacing w:before="282"/>
        <w:rPr>
          <w:rFonts w:hint="eastAsia" w:ascii="宋体" w:hAnsi="宋体" w:eastAsia="宋体" w:cs="宋体"/>
          <w:sz w:val="36"/>
          <w:szCs w:val="36"/>
        </w:rPr>
      </w:pPr>
      <w:r>
        <w:rPr>
          <w:rFonts w:hint="eastAsia" w:ascii="宋体" w:hAnsi="宋体" w:eastAsia="宋体" w:cs="宋体"/>
          <w:sz w:val="36"/>
          <w:szCs w:val="36"/>
        </w:rPr>
        <w:t xml:space="preserve">（2021</w:t>
      </w:r>
      <w:r>
        <w:rPr>
          <w:rFonts w:hint="eastAsia" w:ascii="宋体" w:hAnsi="宋体" w:eastAsia="宋体" w:cs="宋体"/>
          <w:spacing w:val="-83"/>
          <w:sz w:val="36"/>
          <w:szCs w:val="36"/>
        </w:rPr>
        <w:t xml:space="preserve"> </w:t>
      </w:r>
      <w:r>
        <w:rPr>
          <w:rFonts w:hint="eastAsia" w:ascii="宋体" w:hAnsi="宋体" w:eastAsia="宋体" w:cs="宋体"/>
          <w:sz w:val="36"/>
          <w:szCs w:val="36"/>
        </w:rPr>
        <w:t xml:space="preserve">年修订版）</w:t>
      </w:r>
      <w:r/>
    </w:p>
    <w:p>
      <w:pPr>
        <w:rPr>
          <w:rFonts w:hint="eastAsia" w:ascii="宋体" w:hAnsi="宋体" w:eastAsia="宋体" w:cs="宋体"/>
          <w:sz w:val="28"/>
          <w:szCs w:val="20"/>
        </w:rPr>
      </w:pPr>
      <w:r>
        <w:rPr>
          <w:rFonts w:hint="eastAsia" w:ascii="宋体" w:hAnsi="宋体" w:eastAsia="宋体" w:cs="宋体"/>
          <w:sz w:val="28"/>
          <w:szCs w:val="2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spacing w:before="3"/>
        <w:rPr>
          <w:rFonts w:hint="eastAsia" w:ascii="宋体" w:hAnsi="宋体" w:eastAsia="宋体" w:cs="宋体"/>
          <w:sz w:val="30"/>
          <w:szCs w:val="30"/>
        </w:rPr>
      </w:pPr>
      <w:r>
        <w:rPr>
          <w:rFonts w:hint="eastAsia" w:ascii="宋体" w:hAnsi="宋体" w:eastAsia="宋体" w:cs="宋体"/>
          <w:sz w:val="30"/>
          <w:szCs w:val="30"/>
        </w:rPr>
      </w:r>
      <w:r/>
    </w:p>
    <w:p>
      <w:pPr>
        <w:ind w:right="188"/>
        <w:jc w:val="center"/>
        <w:tabs>
          <w:tab w:val="left" w:pos="5233" w:leader="none"/>
        </w:tabs>
        <w:rPr>
          <w:rFonts w:hint="eastAsia" w:ascii="宋体" w:hAnsi="宋体" w:eastAsia="宋体" w:cs="宋体"/>
          <w:b/>
          <w:bCs/>
          <w:sz w:val="30"/>
          <w:szCs w:val="30"/>
        </w:rPr>
      </w:pPr>
      <w:r>
        <w:rPr>
          <w:rFonts w:hint="eastAsia" w:ascii="宋体" w:hAnsi="宋体" w:eastAsia="宋体" w:cs="宋体"/>
          <w:b/>
          <w:bCs/>
          <w:sz w:val="30"/>
          <w:szCs w:val="30"/>
        </w:rPr>
        <w:t xml:space="preserve">甲方:</w:t>
      </w:r>
      <w:r>
        <w:rPr>
          <w:rFonts w:hint="eastAsia" w:ascii="宋体" w:hAnsi="宋体" w:eastAsia="宋体" w:cs="宋体"/>
          <w:b/>
          <w:bCs/>
          <w:sz w:val="30"/>
          <w:szCs w:val="30"/>
          <w:u w:val="single"/>
        </w:rPr>
        <w:t xml:space="preserve"> </w:t>
      </w:r>
      <w:r>
        <w:rPr>
          <w:rFonts w:hint="eastAsia" w:ascii="宋体" w:hAnsi="宋体" w:eastAsia="宋体" w:cs="宋体"/>
          <w:b/>
          <w:bCs/>
          <w:sz w:val="30"/>
          <w:szCs w:val="30"/>
          <w:u w:val="single"/>
        </w:rPr>
        <w:tab/>
      </w:r>
      <w:r/>
    </w:p>
    <w:p>
      <w:pPr>
        <w:rPr>
          <w:rFonts w:hint="eastAsia" w:ascii="宋体" w:hAnsi="宋体" w:eastAsia="宋体" w:cs="宋体"/>
          <w:b/>
          <w:bCs/>
          <w:sz w:val="30"/>
          <w:szCs w:val="30"/>
        </w:rPr>
      </w:pPr>
      <w:r>
        <w:rPr>
          <w:rFonts w:hint="eastAsia" w:ascii="宋体" w:hAnsi="宋体" w:eastAsia="宋体" w:cs="宋体"/>
          <w:b/>
          <w:bCs/>
          <w:sz w:val="30"/>
          <w:szCs w:val="30"/>
        </w:rPr>
      </w:r>
      <w:r/>
    </w:p>
    <w:p>
      <w:pPr>
        <w:rPr>
          <w:rFonts w:hint="eastAsia" w:ascii="宋体" w:hAnsi="宋体" w:eastAsia="宋体" w:cs="宋体"/>
          <w:b/>
          <w:bCs/>
          <w:sz w:val="30"/>
          <w:szCs w:val="30"/>
        </w:rPr>
      </w:pPr>
      <w:r>
        <w:rPr>
          <w:rFonts w:hint="eastAsia" w:ascii="宋体" w:hAnsi="宋体" w:eastAsia="宋体" w:cs="宋体"/>
          <w:b/>
          <w:bCs/>
          <w:sz w:val="30"/>
          <w:szCs w:val="30"/>
        </w:rPr>
      </w:r>
      <w:r/>
    </w:p>
    <w:p>
      <w:pPr>
        <w:spacing w:before="6"/>
        <w:rPr>
          <w:rFonts w:hint="eastAsia" w:ascii="宋体" w:hAnsi="宋体" w:eastAsia="宋体" w:cs="宋体"/>
          <w:b/>
          <w:bCs/>
          <w:sz w:val="30"/>
          <w:szCs w:val="30"/>
        </w:rPr>
      </w:pPr>
      <w:r>
        <w:rPr>
          <w:rFonts w:hint="eastAsia" w:ascii="宋体" w:hAnsi="宋体" w:eastAsia="宋体" w:cs="宋体"/>
          <w:b/>
          <w:bCs/>
          <w:sz w:val="30"/>
          <w:szCs w:val="30"/>
        </w:rPr>
      </w:r>
      <w:r/>
    </w:p>
    <w:p>
      <w:pPr>
        <w:ind w:left="1592" w:firstLine="531"/>
        <w:spacing w:line="460" w:lineRule="exact"/>
        <w:tabs>
          <w:tab w:val="left" w:pos="7185" w:leader="none"/>
        </w:tabs>
        <w:rPr>
          <w:rFonts w:hint="eastAsia" w:ascii="宋体" w:hAnsi="宋体" w:eastAsia="宋体" w:cs="宋体"/>
          <w:b/>
          <w:bCs/>
          <w:sz w:val="30"/>
          <w:szCs w:val="30"/>
        </w:rPr>
      </w:pPr>
      <w:r>
        <w:rPr>
          <w:rFonts w:hint="eastAsia" w:ascii="宋体" w:hAnsi="宋体" w:eastAsia="宋体" w:cs="宋体"/>
          <w:b/>
          <w:bCs/>
          <w:sz w:val="30"/>
          <w:szCs w:val="30"/>
        </w:rPr>
        <w:t xml:space="preserve">乙方:</w:t>
      </w:r>
      <w:r>
        <w:rPr>
          <w:rFonts w:hint="eastAsia" w:ascii="宋体" w:hAnsi="宋体" w:eastAsia="宋体" w:cs="宋体"/>
          <w:b/>
          <w:bCs/>
          <w:sz w:val="30"/>
          <w:szCs w:val="30"/>
          <w:u w:val="single"/>
        </w:rPr>
        <w:t xml:space="preserve"> </w:t>
      </w:r>
      <w:r>
        <w:rPr>
          <w:rFonts w:hint="eastAsia" w:ascii="宋体" w:hAnsi="宋体" w:eastAsia="宋体" w:cs="宋体"/>
          <w:b/>
          <w:bCs/>
          <w:sz w:val="30"/>
          <w:szCs w:val="30"/>
          <w:u w:val="single"/>
        </w:rPr>
        <w:tab/>
      </w:r>
      <w:r/>
    </w:p>
    <w:p>
      <w:pPr>
        <w:rPr>
          <w:rFonts w:hint="eastAsia" w:ascii="宋体" w:hAnsi="宋体" w:eastAsia="宋体" w:cs="宋体"/>
          <w:b/>
          <w:bCs/>
          <w:sz w:val="30"/>
          <w:szCs w:val="30"/>
        </w:rPr>
      </w:pPr>
      <w:r>
        <w:rPr>
          <w:rFonts w:hint="eastAsia" w:ascii="宋体" w:hAnsi="宋体" w:eastAsia="宋体" w:cs="宋体"/>
          <w:b/>
          <w:bCs/>
          <w:sz w:val="30"/>
          <w:szCs w:val="30"/>
        </w:rPr>
      </w:r>
      <w:r/>
    </w:p>
    <w:p>
      <w:pPr>
        <w:rPr>
          <w:rFonts w:hint="eastAsia" w:ascii="宋体" w:hAnsi="宋体" w:eastAsia="宋体" w:cs="宋体"/>
          <w:b/>
          <w:bCs/>
          <w:sz w:val="30"/>
          <w:szCs w:val="30"/>
        </w:rPr>
      </w:pPr>
      <w:r>
        <w:rPr>
          <w:rFonts w:hint="eastAsia" w:ascii="宋体" w:hAnsi="宋体" w:eastAsia="宋体" w:cs="宋体"/>
          <w:b/>
          <w:bCs/>
          <w:sz w:val="30"/>
          <w:szCs w:val="30"/>
        </w:rPr>
      </w:r>
      <w:r/>
    </w:p>
    <w:p>
      <w:pPr>
        <w:spacing w:before="5"/>
        <w:rPr>
          <w:rFonts w:hint="eastAsia" w:ascii="宋体" w:hAnsi="宋体" w:eastAsia="宋体" w:cs="宋体"/>
          <w:b/>
          <w:bCs/>
          <w:sz w:val="30"/>
          <w:szCs w:val="30"/>
        </w:rPr>
      </w:pPr>
      <w:r>
        <w:rPr>
          <w:rFonts w:hint="eastAsia" w:ascii="宋体" w:hAnsi="宋体" w:eastAsia="宋体" w:cs="宋体"/>
          <w:b/>
          <w:bCs/>
          <w:sz w:val="30"/>
          <w:szCs w:val="30"/>
        </w:rPr>
      </w:r>
      <w:r/>
    </w:p>
    <w:p>
      <w:pPr>
        <w:jc w:val="center"/>
        <w:spacing w:line="541" w:lineRule="exact"/>
        <w:rPr>
          <w:rFonts w:hint="eastAsia" w:ascii="宋体" w:hAnsi="宋体" w:eastAsia="宋体" w:cs="宋体"/>
          <w:sz w:val="30"/>
          <w:szCs w:val="30"/>
        </w:rPr>
      </w:pPr>
      <w:r>
        <w:rPr>
          <w:rFonts w:hint="eastAsia" w:ascii="宋体" w:hAnsi="宋体" w:eastAsia="宋体" w:cs="宋体"/>
          <w:sz w:val="30"/>
          <w:szCs w:val="30"/>
        </w:rPr>
        <w:t xml:space="preserve">国家能源局江苏监管办公室监制</w:t>
      </w:r>
      <w:r/>
    </w:p>
    <w:p>
      <w:pPr>
        <w:ind w:left="381" w:firstLine="2700"/>
        <w:spacing w:line="697" w:lineRule="exact"/>
        <w:tabs>
          <w:tab w:val="left" w:pos="1260" w:leader="none"/>
          <w:tab w:val="left" w:pos="2141" w:leader="none"/>
        </w:tabs>
        <w:rPr>
          <w:rFonts w:hint="eastAsia" w:ascii="宋体" w:hAnsi="宋体" w:eastAsia="宋体" w:cs="宋体"/>
          <w:sz w:val="30"/>
          <w:szCs w:val="30"/>
        </w:rPr>
      </w:pPr>
      <w:r>
        <w:rPr>
          <w:rFonts w:hint="eastAsia" w:ascii="宋体" w:hAnsi="宋体" w:eastAsia="宋体" w:cs="宋体"/>
          <w:sz w:val="30"/>
          <w:szCs w:val="30"/>
        </w:rPr>
        <w:t xml:space="preserve">签订日期：</w:t>
      </w:r>
      <w:r>
        <w:rPr>
          <w:rFonts w:hint="eastAsia" w:ascii="宋体" w:hAnsi="宋体" w:eastAsia="宋体" w:cs="宋体"/>
          <w:sz w:val="30"/>
          <w:szCs w:val="30"/>
          <w:u w:val="single"/>
        </w:rPr>
        <w:t xml:space="preserve">   年</w:t>
      </w:r>
      <w:r>
        <w:rPr>
          <w:rFonts w:hint="eastAsia" w:ascii="宋体" w:hAnsi="宋体" w:eastAsia="宋体" w:cs="宋体"/>
          <w:sz w:val="30"/>
          <w:szCs w:val="30"/>
          <w:u w:val="single"/>
        </w:rPr>
        <w:tab/>
        <w:t xml:space="preserve">  月</w:t>
      </w:r>
      <w:r>
        <w:rPr>
          <w:rFonts w:hint="eastAsia" w:ascii="宋体" w:hAnsi="宋体" w:eastAsia="宋体" w:cs="宋体"/>
          <w:sz w:val="30"/>
          <w:szCs w:val="30"/>
          <w:u w:val="single"/>
        </w:rPr>
        <w:tab/>
        <w:t xml:space="preserve">日</w:t>
      </w:r>
      <w:r/>
    </w:p>
    <w:p>
      <w:pPr>
        <w:ind w:left="381"/>
        <w:jc w:val="center"/>
        <w:spacing w:line="697" w:lineRule="exact"/>
        <w:tabs>
          <w:tab w:val="left" w:pos="1260" w:leader="none"/>
          <w:tab w:val="left" w:pos="2141" w:leader="none"/>
        </w:tabs>
        <w:rPr>
          <w:rFonts w:hint="eastAsia" w:ascii="宋体" w:hAnsi="宋体" w:eastAsia="宋体" w:cs="宋体"/>
          <w:sz w:val="44"/>
          <w:szCs w:val="44"/>
        </w:rPr>
        <w:sectPr>
          <w:footerReference w:type="default" r:id="rId9"/>
          <w:footerReference w:type="first" r:id="rId10"/>
          <w:footnotePr/>
          <w:endnotePr/>
          <w:type w:val="nextPage"/>
          <w:pgSz w:w="11910" w:h="16840" w:orient="portrait"/>
          <w:pgMar w:top="1134" w:right="1134" w:bottom="1134" w:left="1259" w:header="720" w:footer="720" w:gutter="0"/>
          <w:pgNumType w:start="1"/>
          <w:cols w:num="1" w:sep="0" w:space="720" w:equalWidth="1"/>
          <w:docGrid w:linePitch="360"/>
          <w:titlePg/>
        </w:sectPr>
      </w:pPr>
      <w:r>
        <w:rPr>
          <w:rFonts w:hint="eastAsia" w:ascii="宋体" w:hAnsi="宋体" w:eastAsia="宋体" w:cs="宋体"/>
          <w:sz w:val="44"/>
          <w:szCs w:val="44"/>
        </w:rPr>
      </w:r>
      <w:r/>
    </w:p>
    <w:p>
      <w:pPr>
        <w:rPr>
          <w:rFonts w:hint="eastAsia" w:ascii="宋体" w:hAnsi="宋体" w:eastAsia="宋体" w:cs="宋体"/>
          <w:sz w:val="20"/>
          <w:szCs w:val="20"/>
        </w:rPr>
      </w:pPr>
      <w:r>
        <w:rPr>
          <w:rFonts w:hint="eastAsia" w:ascii="宋体" w:hAnsi="宋体" w:eastAsia="宋体" w:cs="宋体"/>
          <w:sz w:val="20"/>
          <w:szCs w:val="20"/>
        </w:rPr>
      </w:r>
      <w:r/>
    </w:p>
    <w:p>
      <w:pPr>
        <w:spacing w:before="5"/>
        <w:rPr>
          <w:rFonts w:hint="eastAsia" w:ascii="宋体" w:hAnsi="宋体" w:eastAsia="宋体" w:cs="宋体"/>
          <w:sz w:val="11"/>
          <w:szCs w:val="11"/>
        </w:rPr>
      </w:pPr>
      <w:r>
        <w:rPr>
          <w:rFonts w:hint="eastAsia" w:ascii="宋体" w:hAnsi="宋体" w:eastAsia="宋体" w:cs="宋体"/>
          <w:sz w:val="11"/>
          <w:szCs w:val="11"/>
        </w:rPr>
      </w:r>
      <w:r/>
    </w:p>
    <w:p>
      <w:pPr>
        <w:ind w:right="138"/>
        <w:jc w:val="center"/>
        <w:spacing w:line="460" w:lineRule="exact"/>
        <w:tabs>
          <w:tab w:val="left" w:pos="719" w:leader="none"/>
          <w:tab w:val="left" w:pos="1440" w:leader="none"/>
          <w:tab w:val="left" w:pos="2160" w:leader="none"/>
        </w:tabs>
        <w:rPr>
          <w:rFonts w:hint="eastAsia" w:ascii="宋体" w:hAnsi="宋体" w:eastAsia="宋体" w:cs="宋体"/>
          <w:sz w:val="36"/>
          <w:szCs w:val="36"/>
        </w:rPr>
      </w:pPr>
      <w:r>
        <w:rPr>
          <w:rFonts w:hint="eastAsia" w:ascii="宋体" w:hAnsi="宋体" w:eastAsia="宋体" w:cs="宋体"/>
          <w:sz w:val="36"/>
          <w:szCs w:val="36"/>
        </w:rPr>
        <w:t xml:space="preserve">使</w:t>
      </w:r>
      <w:r>
        <w:rPr>
          <w:rFonts w:hint="eastAsia" w:ascii="宋体" w:hAnsi="宋体" w:eastAsia="宋体" w:cs="宋体"/>
          <w:sz w:val="36"/>
          <w:szCs w:val="36"/>
        </w:rPr>
        <w:tab/>
        <w:t xml:space="preserve">用</w:t>
      </w:r>
      <w:r>
        <w:rPr>
          <w:rFonts w:hint="eastAsia" w:ascii="宋体" w:hAnsi="宋体" w:eastAsia="宋体" w:cs="宋体"/>
          <w:sz w:val="36"/>
          <w:szCs w:val="36"/>
        </w:rPr>
        <w:tab/>
        <w:t xml:space="preserve">说</w:t>
      </w:r>
      <w:r>
        <w:rPr>
          <w:rFonts w:hint="eastAsia" w:ascii="宋体" w:hAnsi="宋体" w:eastAsia="宋体" w:cs="宋体"/>
          <w:sz w:val="36"/>
          <w:szCs w:val="36"/>
        </w:rPr>
        <w:tab/>
        <w:t xml:space="preserve">明</w:t>
      </w:r>
      <w:r/>
    </w:p>
    <w:p>
      <w:pPr>
        <w:rPr>
          <w:rFonts w:hint="eastAsia" w:ascii="宋体" w:hAnsi="宋体" w:eastAsia="宋体" w:cs="宋体"/>
          <w:sz w:val="36"/>
          <w:szCs w:val="36"/>
        </w:rPr>
      </w:pPr>
      <w:r>
        <w:rPr>
          <w:rFonts w:hint="eastAsia" w:ascii="宋体" w:hAnsi="宋体" w:eastAsia="宋体" w:cs="宋体"/>
          <w:sz w:val="36"/>
          <w:szCs w:val="36"/>
        </w:rPr>
      </w:r>
      <w:r/>
    </w:p>
    <w:p>
      <w:pPr>
        <w:spacing w:before="5"/>
        <w:rPr>
          <w:rFonts w:hint="eastAsia" w:ascii="宋体" w:hAnsi="宋体" w:eastAsia="宋体" w:cs="宋体"/>
          <w:sz w:val="26"/>
          <w:szCs w:val="26"/>
        </w:rPr>
      </w:pPr>
      <w:r>
        <w:rPr>
          <w:rFonts w:hint="eastAsia" w:ascii="宋体" w:hAnsi="宋体" w:eastAsia="宋体" w:cs="宋体"/>
          <w:sz w:val="26"/>
          <w:szCs w:val="26"/>
        </w:rPr>
      </w:r>
      <w:r/>
    </w:p>
    <w:p>
      <w:pPr>
        <w:ind w:right="258" w:firstLine="640"/>
        <w:spacing w:line="355" w:lineRule="auto"/>
        <w:rPr>
          <w:rFonts w:hint="eastAsia" w:ascii="宋体" w:hAnsi="宋体" w:eastAsia="宋体" w:cs="宋体"/>
          <w:sz w:val="28"/>
          <w:szCs w:val="20"/>
        </w:rPr>
      </w:pPr>
      <w:r>
        <w:rPr>
          <w:rFonts w:hint="eastAsia" w:ascii="宋体" w:hAnsi="宋体" w:eastAsia="宋体" w:cs="宋体"/>
          <w:spacing w:val="2"/>
          <w:sz w:val="28"/>
          <w:szCs w:val="20"/>
        </w:rPr>
        <w:t xml:space="preserve">一</w:t>
      </w:r>
      <w:r>
        <w:rPr>
          <w:rFonts w:hint="eastAsia" w:ascii="宋体" w:hAnsi="宋体" w:eastAsia="宋体" w:cs="宋体"/>
          <w:spacing w:val="-15"/>
          <w:sz w:val="28"/>
          <w:szCs w:val="20"/>
        </w:rPr>
        <w:t xml:space="preserve">、</w:t>
      </w:r>
      <w:r>
        <w:rPr>
          <w:rFonts w:hint="eastAsia" w:ascii="宋体" w:hAnsi="宋体" w:eastAsia="宋体" w:cs="宋体"/>
          <w:spacing w:val="2"/>
          <w:sz w:val="28"/>
          <w:szCs w:val="20"/>
        </w:rPr>
        <w:t xml:space="preserve">本</w:t>
      </w:r>
      <w:r>
        <w:rPr>
          <w:rFonts w:hint="eastAsia" w:ascii="宋体" w:hAnsi="宋体" w:eastAsia="宋体" w:cs="宋体"/>
          <w:sz w:val="28"/>
          <w:szCs w:val="20"/>
        </w:rPr>
        <w:t xml:space="preserve">合同</w:t>
      </w:r>
      <w:r>
        <w:rPr>
          <w:rFonts w:hint="eastAsia" w:ascii="宋体" w:hAnsi="宋体" w:eastAsia="宋体" w:cs="宋体"/>
          <w:spacing w:val="2"/>
          <w:sz w:val="28"/>
          <w:szCs w:val="20"/>
        </w:rPr>
        <w:t xml:space="preserve">适</w:t>
      </w:r>
      <w:r>
        <w:rPr>
          <w:rFonts w:hint="eastAsia" w:ascii="宋体" w:hAnsi="宋体" w:eastAsia="宋体" w:cs="宋体"/>
          <w:sz w:val="28"/>
          <w:szCs w:val="20"/>
        </w:rPr>
        <w:t xml:space="preserve">用</w:t>
      </w:r>
      <w:r>
        <w:rPr>
          <w:rFonts w:hint="eastAsia" w:ascii="宋体" w:hAnsi="宋体" w:eastAsia="宋体" w:cs="宋体"/>
          <w:spacing w:val="2"/>
          <w:sz w:val="28"/>
          <w:szCs w:val="20"/>
        </w:rPr>
        <w:t xml:space="preserve">于</w:t>
      </w:r>
      <w:r>
        <w:rPr>
          <w:rFonts w:hint="eastAsia" w:ascii="宋体" w:hAnsi="宋体" w:eastAsia="宋体" w:cs="宋体"/>
          <w:sz w:val="28"/>
          <w:szCs w:val="20"/>
        </w:rPr>
        <w:t xml:space="preserve">符合</w:t>
      </w:r>
      <w:r>
        <w:rPr>
          <w:rFonts w:hint="eastAsia" w:ascii="宋体" w:hAnsi="宋体" w:eastAsia="宋体" w:cs="宋体"/>
          <w:spacing w:val="2"/>
          <w:sz w:val="28"/>
          <w:szCs w:val="20"/>
        </w:rPr>
        <w:t xml:space="preserve">江</w:t>
      </w:r>
      <w:r>
        <w:rPr>
          <w:rFonts w:hint="eastAsia" w:ascii="宋体" w:hAnsi="宋体" w:eastAsia="宋体" w:cs="宋体"/>
          <w:sz w:val="28"/>
          <w:szCs w:val="20"/>
        </w:rPr>
        <w:t xml:space="preserve">苏省售</w:t>
      </w:r>
      <w:r>
        <w:rPr>
          <w:rFonts w:hint="eastAsia" w:ascii="宋体" w:hAnsi="宋体" w:eastAsia="宋体" w:cs="宋体"/>
          <w:spacing w:val="2"/>
          <w:sz w:val="28"/>
          <w:szCs w:val="20"/>
        </w:rPr>
        <w:t xml:space="preserve">电</w:t>
      </w:r>
      <w:r>
        <w:rPr>
          <w:rFonts w:hint="eastAsia" w:ascii="宋体" w:hAnsi="宋体" w:eastAsia="宋体" w:cs="宋体"/>
          <w:sz w:val="28"/>
          <w:szCs w:val="20"/>
        </w:rPr>
        <w:t xml:space="preserve">侧改</w:t>
      </w:r>
      <w:r>
        <w:rPr>
          <w:rFonts w:hint="eastAsia" w:ascii="宋体" w:hAnsi="宋体" w:eastAsia="宋体" w:cs="宋体"/>
          <w:spacing w:val="2"/>
          <w:sz w:val="28"/>
          <w:szCs w:val="20"/>
        </w:rPr>
        <w:t xml:space="preserve">革</w:t>
      </w:r>
      <w:r>
        <w:rPr>
          <w:rFonts w:hint="eastAsia" w:ascii="宋体" w:hAnsi="宋体" w:eastAsia="宋体" w:cs="宋体"/>
          <w:sz w:val="28"/>
          <w:szCs w:val="20"/>
        </w:rPr>
        <w:t xml:space="preserve">试点准</w:t>
      </w:r>
      <w:r>
        <w:rPr>
          <w:rFonts w:hint="eastAsia" w:ascii="宋体" w:hAnsi="宋体" w:eastAsia="宋体" w:cs="宋体"/>
          <w:spacing w:val="2"/>
          <w:sz w:val="28"/>
          <w:szCs w:val="20"/>
        </w:rPr>
        <w:t xml:space="preserve">入</w:t>
      </w:r>
      <w:r>
        <w:rPr>
          <w:rFonts w:hint="eastAsia" w:ascii="宋体" w:hAnsi="宋体" w:eastAsia="宋体" w:cs="宋体"/>
          <w:sz w:val="28"/>
          <w:szCs w:val="20"/>
        </w:rPr>
        <w:t xml:space="preserve">要求</w:t>
      </w:r>
      <w:r>
        <w:rPr>
          <w:rFonts w:hint="eastAsia" w:ascii="宋体" w:hAnsi="宋体" w:eastAsia="宋体" w:cs="宋体"/>
          <w:spacing w:val="2"/>
          <w:sz w:val="28"/>
          <w:szCs w:val="20"/>
        </w:rPr>
        <w:t xml:space="preserve">的</w:t>
      </w:r>
      <w:r>
        <w:rPr>
          <w:rFonts w:hint="eastAsia" w:ascii="宋体" w:hAnsi="宋体" w:eastAsia="宋体" w:cs="宋体"/>
          <w:sz w:val="28"/>
          <w:szCs w:val="20"/>
        </w:rPr>
        <w:t xml:space="preserve">电力</w:t>
      </w:r>
      <w:r>
        <w:rPr>
          <w:rFonts w:hint="eastAsia" w:ascii="宋体" w:hAnsi="宋体" w:eastAsia="宋体" w:cs="宋体"/>
          <w:spacing w:val="2"/>
          <w:sz w:val="28"/>
          <w:szCs w:val="20"/>
        </w:rPr>
        <w:t xml:space="preserve">用</w:t>
      </w:r>
      <w:r>
        <w:rPr>
          <w:rFonts w:hint="eastAsia" w:ascii="宋体" w:hAnsi="宋体" w:eastAsia="宋体" w:cs="宋体"/>
          <w:sz w:val="28"/>
          <w:szCs w:val="20"/>
        </w:rPr>
        <w:t xml:space="preserve">户和售</w:t>
      </w:r>
      <w:r>
        <w:rPr>
          <w:rFonts w:hint="eastAsia" w:ascii="宋体" w:hAnsi="宋体" w:eastAsia="宋体" w:cs="宋体"/>
          <w:spacing w:val="2"/>
          <w:sz w:val="28"/>
          <w:szCs w:val="20"/>
        </w:rPr>
        <w:t xml:space="preserve">电</w:t>
      </w:r>
      <w:r>
        <w:rPr>
          <w:rFonts w:hint="eastAsia" w:ascii="宋体" w:hAnsi="宋体" w:eastAsia="宋体" w:cs="宋体"/>
          <w:sz w:val="28"/>
          <w:szCs w:val="20"/>
        </w:rPr>
        <w:t xml:space="preserve">公司</w:t>
      </w:r>
      <w:r>
        <w:rPr>
          <w:rFonts w:hint="eastAsia" w:ascii="宋体" w:hAnsi="宋体" w:eastAsia="宋体" w:cs="宋体"/>
          <w:spacing w:val="2"/>
          <w:sz w:val="28"/>
          <w:szCs w:val="20"/>
        </w:rPr>
        <w:t xml:space="preserve">之</w:t>
      </w:r>
      <w:r>
        <w:rPr>
          <w:rFonts w:hint="eastAsia" w:ascii="宋体" w:hAnsi="宋体" w:eastAsia="宋体" w:cs="宋体"/>
          <w:sz w:val="28"/>
          <w:szCs w:val="20"/>
        </w:rPr>
        <w:t xml:space="preserve">间签订</w:t>
      </w:r>
      <w:r>
        <w:rPr>
          <w:rFonts w:hint="eastAsia" w:ascii="宋体" w:hAnsi="宋体" w:eastAsia="宋体" w:cs="宋体"/>
          <w:spacing w:val="4"/>
          <w:sz w:val="28"/>
          <w:szCs w:val="20"/>
        </w:rPr>
        <w:t xml:space="preserve">的</w:t>
      </w:r>
      <w:r>
        <w:rPr>
          <w:rFonts w:hint="eastAsia" w:ascii="宋体" w:hAnsi="宋体" w:eastAsia="宋体" w:cs="宋体"/>
          <w:sz w:val="28"/>
          <w:szCs w:val="20"/>
        </w:rPr>
        <w:t xml:space="preserve">电</w:t>
      </w:r>
      <w:r>
        <w:rPr>
          <w:rFonts w:hint="eastAsia" w:ascii="宋体" w:hAnsi="宋体" w:eastAsia="宋体" w:cs="宋体"/>
          <w:spacing w:val="-5"/>
          <w:sz w:val="28"/>
          <w:szCs w:val="20"/>
        </w:rPr>
        <w:t xml:space="preserve">能</w:t>
      </w:r>
      <w:r>
        <w:rPr>
          <w:rFonts w:hint="eastAsia" w:ascii="宋体" w:hAnsi="宋体" w:eastAsia="宋体" w:cs="宋体"/>
          <w:spacing w:val="2"/>
          <w:sz w:val="28"/>
          <w:szCs w:val="20"/>
        </w:rPr>
        <w:t xml:space="preserve">（</w:t>
      </w:r>
      <w:r>
        <w:rPr>
          <w:rFonts w:hint="eastAsia" w:ascii="宋体" w:hAnsi="宋体" w:eastAsia="宋体" w:cs="宋体"/>
          <w:sz w:val="28"/>
          <w:szCs w:val="20"/>
        </w:rPr>
        <w:t xml:space="preserve">含电力</w:t>
      </w:r>
      <w:r>
        <w:rPr>
          <w:rFonts w:hint="eastAsia" w:ascii="宋体" w:hAnsi="宋体" w:eastAsia="宋体" w:cs="宋体"/>
          <w:spacing w:val="-3"/>
          <w:sz w:val="28"/>
          <w:szCs w:val="20"/>
        </w:rPr>
        <w:t xml:space="preserve">、</w:t>
      </w:r>
      <w:r>
        <w:rPr>
          <w:rFonts w:hint="eastAsia" w:ascii="宋体" w:hAnsi="宋体" w:eastAsia="宋体" w:cs="宋体"/>
          <w:sz w:val="28"/>
          <w:szCs w:val="20"/>
        </w:rPr>
        <w:t xml:space="preserve">电量</w:t>
      </w:r>
      <w:r>
        <w:rPr>
          <w:rFonts w:hint="eastAsia" w:ascii="宋体" w:hAnsi="宋体" w:eastAsia="宋体" w:cs="宋体"/>
          <w:spacing w:val="-2"/>
          <w:sz w:val="28"/>
          <w:szCs w:val="20"/>
        </w:rPr>
        <w:t xml:space="preserve">）</w:t>
      </w:r>
      <w:r>
        <w:rPr>
          <w:rFonts w:hint="eastAsia" w:ascii="宋体" w:hAnsi="宋体" w:eastAsia="宋体" w:cs="宋体"/>
          <w:sz w:val="28"/>
          <w:szCs w:val="20"/>
        </w:rPr>
        <w:t xml:space="preserve">交</w:t>
      </w:r>
      <w:r>
        <w:rPr>
          <w:rFonts w:hint="eastAsia" w:ascii="宋体" w:hAnsi="宋体" w:eastAsia="宋体" w:cs="宋体"/>
          <w:spacing w:val="2"/>
          <w:sz w:val="28"/>
          <w:szCs w:val="20"/>
        </w:rPr>
        <w:t xml:space="preserve">易</w:t>
      </w:r>
      <w:r>
        <w:rPr>
          <w:rFonts w:hint="eastAsia" w:ascii="宋体" w:hAnsi="宋体" w:eastAsia="宋体" w:cs="宋体"/>
          <w:sz w:val="28"/>
          <w:szCs w:val="20"/>
        </w:rPr>
        <w:t xml:space="preserve">合同。</w:t>
      </w:r>
      <w:r/>
    </w:p>
    <w:p>
      <w:pPr>
        <w:ind w:right="258" w:firstLine="640"/>
        <w:spacing w:line="355" w:lineRule="auto"/>
        <w:rPr>
          <w:rFonts w:hint="eastAsia" w:ascii="宋体" w:hAnsi="宋体" w:eastAsia="宋体" w:cs="宋体"/>
          <w:spacing w:val="2"/>
          <w:sz w:val="28"/>
          <w:szCs w:val="20"/>
        </w:rPr>
      </w:pPr>
      <w:r>
        <w:rPr>
          <w:rFonts w:hint="eastAsia" w:ascii="宋体" w:hAnsi="宋体" w:eastAsia="宋体" w:cs="宋体"/>
          <w:spacing w:val="2"/>
          <w:sz w:val="28"/>
          <w:szCs w:val="20"/>
        </w:rPr>
        <w:t xml:space="preserve">二、如无特别说明，本合同所有电力市场专业名词均与《江苏省电力中长期交易规则》的规定一致。</w:t>
      </w:r>
      <w:r/>
    </w:p>
    <w:p>
      <w:pPr>
        <w:ind w:right="258" w:firstLine="640"/>
        <w:spacing w:line="355" w:lineRule="auto"/>
        <w:rPr>
          <w:rFonts w:hint="eastAsia" w:ascii="宋体" w:hAnsi="宋体" w:eastAsia="宋体" w:cs="宋体"/>
          <w:spacing w:val="2"/>
          <w:sz w:val="28"/>
          <w:szCs w:val="20"/>
        </w:rPr>
      </w:pPr>
      <w:r>
        <w:rPr>
          <w:rFonts w:hint="eastAsia" w:ascii="宋体" w:hAnsi="宋体" w:eastAsia="宋体" w:cs="宋体"/>
          <w:spacing w:val="2"/>
          <w:sz w:val="28"/>
          <w:szCs w:val="20"/>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ind w:right="258" w:firstLine="640"/>
        <w:spacing w:line="355" w:lineRule="auto"/>
        <w:rPr>
          <w:rFonts w:hint="eastAsia" w:ascii="宋体" w:hAnsi="宋体" w:eastAsia="宋体" w:cs="宋体"/>
          <w:spacing w:val="2"/>
          <w:sz w:val="28"/>
          <w:szCs w:val="20"/>
        </w:rPr>
      </w:pPr>
      <w:r>
        <w:rPr>
          <w:rFonts w:hint="eastAsia" w:ascii="宋体" w:hAnsi="宋体" w:eastAsia="宋体" w:cs="宋体"/>
          <w:spacing w:val="2"/>
          <w:sz w:val="28"/>
          <w:szCs w:val="20"/>
        </w:rPr>
        <w:t xml:space="preserve">四、如法律、法规发生变化或者政府部门出台新的规定、规则，本合同内容应相应修改或补充。合同各方应遵从其规定。</w:t>
      </w:r>
      <w:r/>
    </w:p>
    <w:p>
      <w:pPr>
        <w:ind w:right="258" w:firstLine="640"/>
        <w:spacing w:line="355" w:lineRule="auto"/>
        <w:rPr>
          <w:rFonts w:hint="eastAsia" w:ascii="宋体" w:hAnsi="宋体" w:eastAsia="宋体" w:cs="宋体"/>
          <w:spacing w:val="2"/>
          <w:sz w:val="28"/>
          <w:szCs w:val="20"/>
        </w:rPr>
        <w:sectPr>
          <w:footerReference w:type="default" r:id="rId11"/>
          <w:footnotePr/>
          <w:endnotePr/>
          <w:type w:val="nextPage"/>
          <w:pgSz w:w="11910" w:h="16840" w:orient="portrait"/>
          <w:pgMar w:top="1580" w:right="1540" w:bottom="1160" w:left="1680" w:header="737" w:footer="737" w:gutter="0"/>
          <w:cols w:num="1" w:sep="0" w:space="720" w:equalWidth="1"/>
          <w:docGrid w:linePitch="360"/>
        </w:sectPr>
      </w:pPr>
      <w:r>
        <w:rPr>
          <w:rFonts w:hint="eastAsia" w:ascii="宋体" w:hAnsi="宋体" w:eastAsia="宋体" w:cs="宋体"/>
          <w:spacing w:val="2"/>
          <w:sz w:val="28"/>
          <w:szCs w:val="20"/>
        </w:rPr>
      </w:r>
      <w:r/>
    </w:p>
    <w:p>
      <w:pPr>
        <w:jc w:val="left"/>
        <w:spacing w:line="512" w:lineRule="exact"/>
        <w:tabs>
          <w:tab w:val="left" w:pos="883" w:leader="none"/>
        </w:tabs>
        <w:rPr>
          <w:rFonts w:hint="eastAsia" w:ascii="宋体" w:hAnsi="宋体" w:eastAsia="宋体" w:cs="宋体"/>
          <w:b/>
          <w:bCs/>
          <w:sz w:val="44"/>
          <w:szCs w:val="44"/>
        </w:rPr>
      </w:pPr>
      <w:r>
        <w:rPr>
          <w:rFonts w:hint="eastAsia" w:ascii="宋体" w:hAnsi="宋体" w:eastAsia="宋体" w:cs="宋体"/>
          <w:b/>
          <w:bCs/>
          <w:sz w:val="44"/>
          <w:szCs w:val="44"/>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售电公司与电力用户购售电合同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售电公司与电力用户购售电合同（以下简称本合同）由下列双方签署：</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1、购电方（电力用户，以下简称甲方）：</w:t>
      </w:r>
      <w:r>
        <w:rPr>
          <w:rFonts w:hint="eastAsia" w:ascii="宋体" w:hAnsi="宋体" w:eastAsia="宋体" w:cs="宋体"/>
          <w:sz w:val="24"/>
          <w:u w:val="single"/>
        </w:rPr>
        <w:t xml:space="preserve">___________________</w:t>
      </w:r>
      <w:r>
        <w:rPr>
          <w:rFonts w:hint="eastAsia" w:ascii="宋体" w:hAnsi="宋体" w:eastAsia="宋体" w:cs="宋体"/>
          <w:sz w:val="24"/>
        </w:rPr>
        <w:t xml:space="preserve">，系一家具有</w:t>
      </w:r>
      <w:r>
        <w:rPr>
          <w:rFonts w:hint="eastAsia" w:ascii="宋体" w:hAnsi="宋体" w:eastAsia="宋体" w:cs="宋体"/>
          <w:sz w:val="24"/>
          <w:u w:val="single"/>
        </w:rPr>
        <w:t xml:space="preserve">法人资格/经法人单位授权</w:t>
      </w:r>
      <w:r>
        <w:rPr>
          <w:rFonts w:hint="eastAsia" w:ascii="宋体" w:hAnsi="宋体" w:eastAsia="宋体" w:cs="宋体"/>
          <w:sz w:val="24"/>
        </w:rPr>
        <w:t xml:space="preserve">的用电企业，统一社会信用代码：</w:t>
      </w:r>
      <w:r>
        <w:rPr>
          <w:rFonts w:hint="eastAsia" w:ascii="宋体" w:hAnsi="宋体" w:eastAsia="宋体" w:cs="宋体"/>
          <w:sz w:val="24"/>
          <w:u w:val="single"/>
        </w:rPr>
        <w:t xml:space="preserve">______________</w:t>
      </w:r>
      <w:r>
        <w:rPr>
          <w:rFonts w:hint="eastAsia" w:ascii="宋体" w:hAnsi="宋体" w:eastAsia="宋体" w:cs="宋体"/>
          <w:sz w:val="24"/>
        </w:rPr>
        <w:t xml:space="preserve">，住所：</w:t>
      </w:r>
      <w:r>
        <w:rPr>
          <w:rFonts w:hint="eastAsia" w:ascii="宋体" w:hAnsi="宋体" w:eastAsia="宋体" w:cs="宋体"/>
          <w:sz w:val="24"/>
          <w:u w:val="single"/>
        </w:rPr>
        <w:t xml:space="preserve">______________</w:t>
      </w:r>
      <w:r>
        <w:rPr>
          <w:rFonts w:hint="eastAsia" w:ascii="宋体" w:hAnsi="宋体" w:eastAsia="宋体" w:cs="宋体"/>
          <w:sz w:val="24"/>
        </w:rPr>
        <w:t xml:space="preserve">，法定代表人/授权代理人：</w:t>
      </w:r>
      <w:r>
        <w:rPr>
          <w:rFonts w:hint="eastAsia" w:ascii="宋体" w:hAnsi="宋体" w:eastAsia="宋体" w:cs="宋体"/>
          <w:sz w:val="24"/>
          <w:u w:val="single"/>
        </w:rPr>
        <w:t xml:space="preserve">______________</w:t>
      </w:r>
      <w:r>
        <w:rPr>
          <w:rFonts w:hint="eastAsia" w:ascii="宋体" w:hAnsi="宋体" w:eastAsia="宋体" w:cs="宋体"/>
          <w:sz w:val="24"/>
        </w:rPr>
        <w:t xml:space="preserve">。甲方开户银行及账号：开户名称：</w:t>
      </w:r>
      <w:r>
        <w:rPr>
          <w:rFonts w:hint="eastAsia" w:ascii="宋体" w:hAnsi="宋体" w:eastAsia="宋体" w:cs="宋体"/>
          <w:sz w:val="24"/>
          <w:u w:val="single"/>
        </w:rPr>
        <w:t xml:space="preserve">______________</w:t>
      </w:r>
      <w:r>
        <w:rPr>
          <w:rFonts w:hint="eastAsia" w:ascii="宋体" w:hAnsi="宋体" w:eastAsia="宋体" w:cs="宋体"/>
          <w:sz w:val="24"/>
        </w:rPr>
        <w:t xml:space="preserve">开户银行：</w:t>
      </w:r>
      <w:r>
        <w:rPr>
          <w:rFonts w:hint="eastAsia" w:ascii="宋体" w:hAnsi="宋体" w:eastAsia="宋体" w:cs="宋体"/>
          <w:sz w:val="24"/>
          <w:u w:val="single"/>
        </w:rPr>
        <w:t xml:space="preserve">______________</w:t>
      </w:r>
      <w:r>
        <w:rPr>
          <w:rFonts w:hint="eastAsia" w:ascii="宋体" w:hAnsi="宋体" w:eastAsia="宋体" w:cs="宋体"/>
          <w:sz w:val="24"/>
        </w:rPr>
        <w:t xml:space="preserve">账号：</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甲方合同联系人（必填）：</w:t>
      </w:r>
      <w:r>
        <w:rPr>
          <w:rFonts w:hint="eastAsia" w:ascii="宋体" w:hAnsi="宋体" w:eastAsia="宋体" w:cs="宋体"/>
          <w:sz w:val="24"/>
          <w:u w:val="single"/>
        </w:rPr>
        <w:t xml:space="preserve">______________</w:t>
      </w:r>
      <w:r>
        <w:rPr>
          <w:rFonts w:hint="eastAsia" w:ascii="宋体" w:hAnsi="宋体" w:eastAsia="宋体" w:cs="宋体"/>
          <w:sz w:val="24"/>
        </w:rPr>
        <w:t xml:space="preserve">，联系电话（必填）：</w:t>
      </w:r>
      <w:r>
        <w:rPr>
          <w:rFonts w:hint="eastAsia" w:ascii="宋体" w:hAnsi="宋体" w:eastAsia="宋体" w:cs="宋体"/>
          <w:sz w:val="24"/>
          <w:u w:val="single"/>
        </w:rPr>
        <w:t xml:space="preserve">______________</w:t>
      </w:r>
      <w:r>
        <w:rPr>
          <w:rFonts w:hint="eastAsia" w:ascii="宋体" w:hAnsi="宋体" w:eastAsia="宋体" w:cs="宋体"/>
          <w:sz w:val="24"/>
        </w:rPr>
        <w:t xml:space="preserve">，联系邮箱：</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甲方用电地址：</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对应户号：</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（如用电地址有多个，可以自行扩展补充或作为附表列出）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2、售电方（售电公司，以下简称乙方）：</w:t>
      </w:r>
      <w:r>
        <w:rPr>
          <w:rFonts w:hint="eastAsia" w:ascii="宋体" w:hAnsi="宋体" w:eastAsia="宋体" w:cs="宋体"/>
          <w:sz w:val="24"/>
          <w:u w:val="single"/>
        </w:rPr>
        <w:t xml:space="preserve">______________</w:t>
      </w:r>
      <w:r>
        <w:rPr>
          <w:rFonts w:hint="eastAsia" w:ascii="宋体" w:hAnsi="宋体" w:eastAsia="宋体" w:cs="宋体"/>
          <w:sz w:val="24"/>
        </w:rPr>
        <w:t xml:space="preserve">，系一家具有法人资格的售电公司，企业所在地为</w:t>
      </w:r>
      <w:r>
        <w:rPr>
          <w:rFonts w:hint="eastAsia" w:ascii="宋体" w:hAnsi="宋体" w:eastAsia="宋体" w:cs="宋体"/>
          <w:sz w:val="24"/>
          <w:u w:val="single"/>
        </w:rPr>
        <w:t xml:space="preserve">______________</w:t>
      </w:r>
      <w:r>
        <w:rPr>
          <w:rFonts w:hint="eastAsia" w:ascii="宋体" w:hAnsi="宋体" w:eastAsia="宋体" w:cs="宋体"/>
          <w:sz w:val="24"/>
        </w:rPr>
        <w:t xml:space="preserve">，在</w:t>
      </w:r>
      <w:r>
        <w:rPr>
          <w:rFonts w:hint="eastAsia" w:ascii="宋体" w:hAnsi="宋体" w:eastAsia="宋体" w:cs="宋体"/>
          <w:sz w:val="24"/>
          <w:u w:val="single"/>
        </w:rPr>
        <w:t xml:space="preserve">______________</w:t>
      </w:r>
      <w:r>
        <w:rPr>
          <w:rFonts w:hint="eastAsia" w:ascii="宋体" w:hAnsi="宋体" w:eastAsia="宋体" w:cs="宋体"/>
          <w:sz w:val="24"/>
        </w:rPr>
        <w:t xml:space="preserve">办理工商登记注册，统一社会信用代码：</w:t>
      </w:r>
      <w:r>
        <w:rPr>
          <w:rFonts w:hint="eastAsia" w:ascii="宋体" w:hAnsi="宋体" w:eastAsia="宋体" w:cs="宋体"/>
          <w:sz w:val="24"/>
          <w:u w:val="single"/>
        </w:rPr>
        <w:t xml:space="preserve">______________</w:t>
      </w:r>
      <w:r>
        <w:rPr>
          <w:rFonts w:hint="eastAsia" w:ascii="宋体" w:hAnsi="宋体" w:eastAsia="宋体" w:cs="宋体"/>
          <w:sz w:val="24"/>
        </w:rPr>
        <w:t xml:space="preserve">，住所：</w:t>
      </w:r>
      <w:r>
        <w:rPr>
          <w:rFonts w:hint="eastAsia" w:ascii="宋体" w:hAnsi="宋体" w:eastAsia="宋体" w:cs="宋体"/>
          <w:sz w:val="24"/>
          <w:u w:val="single"/>
        </w:rPr>
        <w:t xml:space="preserve">______________</w:t>
      </w:r>
      <w:r>
        <w:rPr>
          <w:rFonts w:hint="eastAsia" w:ascii="宋体" w:hAnsi="宋体" w:eastAsia="宋体" w:cs="宋体"/>
          <w:sz w:val="24"/>
        </w:rPr>
        <w:t xml:space="preserve">，法定代表人/授权代理人：</w:t>
      </w:r>
      <w:r>
        <w:rPr>
          <w:rFonts w:hint="eastAsia" w:ascii="宋体" w:hAnsi="宋体" w:eastAsia="宋体" w:cs="宋体"/>
          <w:sz w:val="24"/>
          <w:u w:val="single"/>
        </w:rPr>
        <w:t xml:space="preserve">______________</w:t>
      </w:r>
      <w:r>
        <w:rPr>
          <w:rFonts w:hint="eastAsia" w:ascii="宋体" w:hAnsi="宋体" w:eastAsia="宋体" w:cs="宋体"/>
          <w:sz w:val="24"/>
        </w:rPr>
        <w:t xml:space="preserve">。乙方开户银行及账号：开户名称：</w:t>
      </w:r>
      <w:r>
        <w:rPr>
          <w:rFonts w:hint="eastAsia" w:ascii="宋体" w:hAnsi="宋体" w:eastAsia="宋体" w:cs="宋体"/>
          <w:sz w:val="24"/>
          <w:u w:val="single"/>
        </w:rPr>
        <w:t xml:space="preserve">______________</w:t>
      </w:r>
      <w:r>
        <w:rPr>
          <w:rFonts w:hint="eastAsia" w:ascii="宋体" w:hAnsi="宋体" w:eastAsia="宋体" w:cs="宋体"/>
          <w:sz w:val="24"/>
        </w:rPr>
        <w:t xml:space="preserve">开户银行：</w:t>
      </w:r>
      <w:r>
        <w:rPr>
          <w:rFonts w:hint="eastAsia" w:ascii="宋体" w:hAnsi="宋体" w:eastAsia="宋体" w:cs="宋体"/>
          <w:sz w:val="24"/>
          <w:u w:val="single"/>
        </w:rPr>
        <w:t xml:space="preserve">______________</w:t>
      </w:r>
      <w:r>
        <w:rPr>
          <w:rFonts w:hint="eastAsia" w:ascii="宋体" w:hAnsi="宋体" w:eastAsia="宋体" w:cs="宋体"/>
          <w:sz w:val="24"/>
        </w:rPr>
        <w:t xml:space="preserve">　账号：</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乙方合同联系人（必填）：</w:t>
      </w:r>
      <w:r>
        <w:rPr>
          <w:rFonts w:hint="eastAsia" w:ascii="宋体" w:hAnsi="宋体" w:eastAsia="宋体" w:cs="宋体"/>
          <w:sz w:val="24"/>
          <w:u w:val="single"/>
        </w:rPr>
        <w:t xml:space="preserve">______________</w:t>
      </w:r>
      <w:r>
        <w:rPr>
          <w:rFonts w:hint="eastAsia" w:ascii="宋体" w:hAnsi="宋体" w:eastAsia="宋体" w:cs="宋体"/>
          <w:sz w:val="24"/>
        </w:rPr>
        <w:t xml:space="preserve">，联系电话（必填）：</w:t>
      </w:r>
      <w:r>
        <w:rPr>
          <w:rFonts w:hint="eastAsia" w:ascii="宋体" w:hAnsi="宋体" w:eastAsia="宋体" w:cs="宋体"/>
          <w:sz w:val="24"/>
          <w:u w:val="single"/>
        </w:rPr>
        <w:t xml:space="preserve">______________</w:t>
      </w:r>
      <w:r>
        <w:rPr>
          <w:rFonts w:hint="eastAsia" w:ascii="宋体" w:hAnsi="宋体" w:eastAsia="宋体" w:cs="宋体"/>
          <w:sz w:val="24"/>
        </w:rPr>
        <w:t xml:space="preserve">，联系邮箱：</w:t>
      </w:r>
      <w:r>
        <w:rPr>
          <w:rFonts w:hint="eastAsia" w:ascii="宋体" w:hAnsi="宋体" w:eastAsia="宋体" w:cs="宋体"/>
          <w:sz w:val="24"/>
          <w:u w:val="single"/>
        </w:rPr>
        <w:t xml:space="preserve">______________</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鉴于：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1、甲方已和所在地电网企业（含增量配网企业，下同）签订正式供用电合同（非临时用电协议），甲方所有的供电（含供电安全、用电容量、抄表计量等）和资金缴费事宜均由所在地电网企业承担。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2、乙方符合国家发展改革委、</w:t>
      </w:r>
      <w:hyperlink r:id="rId13" w:tooltip="https://www.pkulaw.com/chl/f1aad16db682e9babdfb.html" w:history="1">
        <w:r>
          <w:rPr>
            <w:rFonts w:hint="eastAsia" w:ascii="宋体" w:hAnsi="宋体" w:eastAsia="宋体" w:cs="宋体"/>
            <w:sz w:val="24"/>
          </w:rPr>
          <w:t xml:space="preserve">国家能源局《售电公司准入与退出管理办法</w:t>
        </w:r>
      </w:hyperlink>
      <w:r>
        <w:rPr>
          <w:rFonts w:hint="eastAsia" w:ascii="宋体" w:hAnsi="宋体" w:eastAsia="宋体" w:cs="宋体"/>
          <w:sz w:val="24"/>
        </w:rPr>
        <w:t xml:space="preserve">》准入条件，在江苏电力交易中心有限公司（以下简称：交易中心）完成公示、承诺、注册、备案程序，具备参加电力市场的购售电资格。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3、甲、乙双方通过交易中心及电网企业的输配电网络完成电能购售电交易，双方根据国家有关法律、法规，依据江苏省政府相关部门电力体制改革政策文</w:t>
      </w:r>
      <w:r>
        <w:rPr>
          <w:rFonts w:hint="eastAsia" w:ascii="宋体" w:hAnsi="宋体" w:eastAsia="宋体" w:cs="宋体"/>
          <w:sz w:val="24"/>
        </w:rPr>
        <w:t xml:space="preserve">件，本着平等、自愿、公平和诚信的原则，经协商一致，签订本合同。</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定义和解释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1.1定义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1.1.1合约电量：是指本合同项下约定的交易电量。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1.1.2结算周期：是指交易中心在一定时间内对市场成员按照各类交易合同对实际用电进行电费结算的时间周期。目前为按照公历计算的自然月。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1.1.3结算电量：是指电力交易中心依据电力市场交易规则，结合电力用户的实际抄表电量，为本合同实际执行出具的结算电量数值。包括实际用电量和超出合同约定偏差范围的偏差电量。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1.1.4直接交易基准价：指当期江苏省燃煤机组上网基准价与超低排放电价之和。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1.1.5市场化成交电价：指售电公司与电力用户确定的市场化电量交易价格，不含输配电价、辅助服务费用和政府性基金及附加。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1.1.6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1.2.1本合同中的标题仅为阅读方便，不应被视为本合同的组成部分，亦不应以任何方式影响对本合同的解释。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1.2.2本合同附件与正文具有同等的法律效力。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1.2.3本合同对任何一方的合法承继者或受让人具有约束力。但当事人另有约定的除外。遇有本款约定的情形时，相关义务人应当依法履行必要的通知义务及完备的法律手续。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1.2.4除上下文另有要求外，本合同所指的日、月、年均为公历北京时间的日、月、年，货币计价单位均为人民币（含税）。</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第二章　双方陈述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甲、乙双方任何一方在此向对方陈述如下：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2.1本方为一家依法设立并合法存续的企业，有权签署并有能力履行本合同。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2.2本方签署和履行本合同所需的一切手续（包括办理必要的政府批准、取得营业执照等）均已办妥并合法有效。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2.3在签署本合同时，任何法院、仲裁机构、行政机关或能源监管机构均未做出过任何足以对本方履行本合同产生重大不利影响的判决、裁定、裁决或具体行政行为。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2.4本方为签署本合同所需的内部授权程序均已完成，签署本合同的是本方法定代表人或授权代理人，并且本合同生效后即对双方具有法律约束力。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2.5本方签署的合同内容符合国家有关市场化交易的法律、法规以及政策等。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2.6如国家法律、法规发生变化或者政府有关部门、能源监管机构出台有关规定、规则，合同双方同意按照法律、法规、规定和规则予以调整和修改。</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第三章　双方的权利和义务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3.1甲方的权利包括：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3.1.1公平参加江苏电力市场。提交、核对、完善、注销在江苏电力交易平台上注册的甲方基础资料信息；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3.1.2获得江苏电力市场所有向社会公开以及行业内公开的信息；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3.1.3获得乙方与本合同相关的各类交易中标情况；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3.1.4未经甲方授权，甲方自身的用电信息以及与本合同相关信息（含电价约定），乙方不得向第三方提供（交易中心及法定监管机构除外）。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3.2甲方的义务包括：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3.2.1甲方的用电计划和主要设备检修计划，应向乙方如实提供并及时更新；配合乙方的用电计划预测和调整工作；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3.2.2向乙方提供用电关口计量的历史信息；遵守电力市场信息发布管理规定，不得将乙方与本合同有关的交易信息向第三方提供，也不得将电力市场行业内信息向社会公开；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3.2.3及时向乙方通报甲方的用电增减容、企业关停或搬迁、厂房转租以及用电户号的并户、销户、改名、过户等可能影响电力市场交易的情况；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3.2.4及时向电网公司缴纳电费（含市场化交易可能产生的偏差费用）；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3.2.5甲方如参加分布式发电市场化交易，则应将分布式发电市场化交易的全年和分月电量通报乙方。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3.2.6发生紧急情况时，按照相关规定执行。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3.3乙方的权利包括：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3.3.1要求甲方提供履行本合同义务相关的信息、资料及查阅关口计量历史数据。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3.3.2查阅甲方实际的电费核查联、结算单（与市场化相关部分）。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3.3.3有权要求甲方及时通报该企业的用电增减容、企业关停或搬迁、厂房转租以及用电户号的并户、销户、改名、过户等可能影响电力市场交易的情况；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3.4乙方的义务包括：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3.4.1按照国家有关法规、规定和技术规范，为甲方提供电力交易和参与江苏电力辅助服务市场相关服务，参与电力市场交易并按规定结算。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3.4.2按照国家规定，作为可再生能源电力的消纳责任主体，承担可再生能源电力的消纳责任。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3.4.3按照电力市场信息发布管理规定，向甲方、交易中心提供真实准确的有关电力直接交易的相关信息及资料；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3.4.4根据国家有关法规支付电力交易相关费用；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3.4.5协助甲方申请办理电力交易有关手续；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3.4.6按照相关规则、规定向交易中心提交银行履约保函，担保合同的履约。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3.4.7发生紧急情况时，按照相关规定执行。</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第四章  合同周期、交易电量（力）、电价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4.1双方约定：甲方自</w:t>
      </w:r>
      <w:r>
        <w:rPr>
          <w:rFonts w:hint="eastAsia" w:ascii="宋体" w:hAnsi="宋体" w:eastAsia="宋体" w:cs="宋体"/>
          <w:sz w:val="24"/>
          <w:u w:val="single"/>
        </w:rPr>
        <w:t xml:space="preserve">__2026_</w:t>
      </w:r>
      <w:r>
        <w:rPr>
          <w:rFonts w:hint="eastAsia" w:ascii="宋体" w:hAnsi="宋体" w:eastAsia="宋体" w:cs="宋体"/>
          <w:sz w:val="24"/>
        </w:rPr>
        <w:t xml:space="preserve">年</w:t>
      </w:r>
      <w:r>
        <w:rPr>
          <w:rFonts w:hint="eastAsia" w:ascii="宋体" w:hAnsi="宋体" w:eastAsia="宋体" w:cs="宋体"/>
          <w:sz w:val="24"/>
          <w:u w:val="single"/>
        </w:rPr>
        <w:t xml:space="preserve">___</w:t>
      </w:r>
      <w:r>
        <w:rPr>
          <w:rFonts w:hint="eastAsia" w:ascii="宋体" w:hAnsi="宋体" w:eastAsia="宋体" w:cs="宋体"/>
          <w:sz w:val="24"/>
        </w:rPr>
        <w:t xml:space="preserve">月</w:t>
      </w:r>
      <w:r>
        <w:rPr>
          <w:rFonts w:hint="eastAsia" w:ascii="宋体" w:hAnsi="宋体" w:eastAsia="宋体" w:cs="宋体"/>
          <w:sz w:val="24"/>
          <w:u w:val="single"/>
        </w:rPr>
        <w:t xml:space="preserve">__ _</w:t>
      </w:r>
      <w:r>
        <w:rPr>
          <w:rFonts w:hint="eastAsia" w:ascii="宋体" w:hAnsi="宋体" w:eastAsia="宋体" w:cs="宋体"/>
          <w:sz w:val="24"/>
        </w:rPr>
        <w:t xml:space="preserve">日至</w:t>
      </w:r>
      <w:r>
        <w:rPr>
          <w:rFonts w:hint="eastAsia" w:ascii="宋体" w:hAnsi="宋体" w:eastAsia="宋体" w:cs="宋体"/>
          <w:sz w:val="24"/>
          <w:u w:val="single"/>
        </w:rPr>
        <w:t xml:space="preserve">_2027_</w:t>
      </w:r>
      <w:r>
        <w:rPr>
          <w:rFonts w:hint="eastAsia" w:ascii="宋体" w:hAnsi="宋体" w:eastAsia="宋体" w:cs="宋体"/>
          <w:sz w:val="24"/>
        </w:rPr>
        <w:t xml:space="preserve">年</w:t>
      </w:r>
      <w:r>
        <w:rPr>
          <w:rFonts w:hint="eastAsia" w:ascii="宋体" w:hAnsi="宋体" w:eastAsia="宋体" w:cs="宋体"/>
          <w:sz w:val="24"/>
          <w:u w:val="single"/>
        </w:rPr>
        <w:t xml:space="preserve">_ _</w:t>
      </w:r>
      <w:r>
        <w:rPr>
          <w:rFonts w:hint="eastAsia" w:ascii="宋体" w:hAnsi="宋体" w:eastAsia="宋体" w:cs="宋体"/>
          <w:sz w:val="24"/>
        </w:rPr>
        <w:t xml:space="preserve">月</w:t>
      </w:r>
      <w:r>
        <w:rPr>
          <w:rFonts w:hint="eastAsia" w:ascii="宋体" w:hAnsi="宋体" w:eastAsia="宋体" w:cs="宋体"/>
          <w:sz w:val="24"/>
          <w:u w:val="single"/>
        </w:rPr>
        <w:t xml:space="preserve">_ _</w:t>
      </w:r>
      <w:r>
        <w:rPr>
          <w:rFonts w:hint="eastAsia" w:ascii="宋体" w:hAnsi="宋体" w:eastAsia="宋体" w:cs="宋体"/>
          <w:sz w:val="24"/>
        </w:rPr>
        <w:t xml:space="preserve">日的全部市场化可交易用电电量（不含分布式发电市场化交易电量，下同）预估约</w:t>
      </w:r>
      <w:r>
        <w:rPr>
          <w:rFonts w:hint="eastAsia" w:ascii="宋体" w:hAnsi="宋体" w:eastAsia="宋体" w:cs="宋体"/>
          <w:sz w:val="24"/>
          <w:u w:val="single"/>
        </w:rPr>
        <w:t xml:space="preserve"> 1200 </w:t>
      </w:r>
      <w:r>
        <w:rPr>
          <w:rFonts w:hint="eastAsia" w:ascii="宋体" w:hAnsi="宋体" w:eastAsia="宋体" w:cs="宋体"/>
          <w:sz w:val="24"/>
        </w:rPr>
        <w:t xml:space="preserve">万千瓦时，向乙方购买（</w:t>
      </w:r>
      <w:r>
        <w:rPr>
          <w:rFonts w:hint="eastAsia" w:ascii="宋体" w:hAnsi="宋体" w:eastAsia="宋体" w:cs="宋体"/>
          <w:b/>
          <w:sz w:val="24"/>
        </w:rPr>
        <w:t xml:space="preserve">必填</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 交易电价方案按照甲方当前的用电户号约定。如在合同执行周期内，甲方新增用电户号，则甲方需与乙方参照本合同签订增补合同，并报交易中心。如在合同执行周期内，甲方在本合同内的户号不再使用或不再归属甲方，则合同中关于此户号的约定自动作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4.3</w:t>
      </w:r>
      <w:r>
        <w:rPr>
          <w:rFonts w:hint="eastAsia" w:ascii="宋体" w:hAnsi="宋体" w:eastAsia="宋体" w:cs="宋体"/>
          <w:b/>
          <w:sz w:val="24"/>
        </w:rPr>
        <w:t xml:space="preserve">甲方的结算电价=市场化成交电价+输配电价格+辅助服务费用+政府性基金及附加。</w:t>
      </w:r>
      <w:r>
        <w:rPr>
          <w:rFonts w:hint="eastAsia" w:ascii="宋体" w:hAnsi="宋体" w:eastAsia="宋体" w:cs="宋体"/>
          <w:sz w:val="24"/>
        </w:rPr>
        <w:t xml:space="preserve">其中输配电价格、政府性基金及附加根据江苏省发展和改革委员会价格部门的发文确定，辅助服务费用根据江苏电力辅助服务市场相关交易规则由全体市场化用户承担。</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4.4交易电量的电价约定方案：</w:t>
      </w:r>
      <w:r/>
    </w:p>
    <w:p>
      <w:pPr>
        <w:ind w:firstLine="480"/>
        <w:spacing w:line="360" w:lineRule="auto"/>
        <w:rPr>
          <w:rFonts w:hint="eastAsia" w:ascii="宋体" w:hAnsi="宋体" w:eastAsia="宋体" w:cs="宋体"/>
          <w:sz w:val="24"/>
        </w:rPr>
      </w:pPr>
      <w:r>
        <w:rPr>
          <w:rFonts w:hint="eastAsia" w:ascii="宋体" w:hAnsi="宋体" w:eastAsia="宋体" w:cs="宋体"/>
          <w:b/>
          <w:sz w:val="24"/>
        </w:rPr>
        <w:t xml:space="preserve">甲方市场化成交电价按"固定价格+市场联动价格"零售套餐结算：P=min[K固定×P固定+K联动×P联动，(1+K浮动)×P购电均价]，其中K固定=50%、K联动=50%；较电网企业代理购电价格的优惠收益100%归甲方（滨海县路灯亮化所）所有，直接在向电网经营企业缴交用电费用中扣减，电费按月实际用电量结算。</w:t>
      </w:r>
      <w:r/>
    </w:p>
    <w:p>
      <w:pPr>
        <w:ind w:firstLine="480"/>
        <w:spacing w:line="360" w:lineRule="auto"/>
        <w:rPr>
          <w:rFonts w:hint="eastAsia" w:ascii="宋体" w:hAnsi="宋体" w:eastAsia="宋体" w:cs="宋体"/>
          <w:sz w:val="24"/>
        </w:rPr>
      </w:pPr>
      <w:r>
        <w:rPr>
          <w:rFonts w:hint="eastAsia" w:ascii="宋体" w:hAnsi="宋体" w:eastAsia="宋体" w:cs="宋体"/>
          <w:b/>
          <w:sz w:val="24"/>
        </w:rPr>
        <w:t xml:space="preserve">1.价格机制：市场联动价格P联动=0.90×P中长期+0.10×P实时+ΔP，其中P中长期为批发市场中长期交易加权出清均价，P实时为现货实时市场统一结算点算术均价，ΔP为中标人填报的浮动价格；当月结算电价取套餐电价与(1+K浮动)×P购电均价（所有售电公司当月批发市场结算加权均价）的较小值。</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2.</w:t>
      </w:r>
      <w:r>
        <w:rPr>
          <w:rFonts w:hint="eastAsia" w:ascii="宋体" w:hAnsi="宋体" w:eastAsia="宋体" w:cs="宋体"/>
          <w:b/>
          <w:sz w:val="24"/>
        </w:rPr>
        <w:t xml:space="preserve">是/否参与绿电</w:t>
      </w:r>
      <w:r>
        <w:rPr>
          <w:rFonts w:hint="eastAsia" w:ascii="宋体" w:hAnsi="宋体" w:eastAsia="宋体" w:cs="宋体"/>
          <w:sz w:val="24"/>
        </w:rPr>
        <w:t xml:space="preserve">，绿电价格按照</w:t>
      </w:r>
      <w:r>
        <w:rPr>
          <w:rFonts w:hint="eastAsia" w:ascii="宋体" w:hAnsi="宋体" w:eastAsia="宋体" w:cs="宋体"/>
          <w:sz w:val="24"/>
          <w:u w:val="single"/>
        </w:rPr>
        <w:t xml:space="preserve">/</w:t>
      </w:r>
      <w:r>
        <w:rPr>
          <w:rFonts w:hint="eastAsia" w:ascii="宋体" w:hAnsi="宋体" w:eastAsia="宋体" w:cs="宋体"/>
          <w:sz w:val="24"/>
        </w:rPr>
        <w:t xml:space="preserve">(单位:元/千瓦时)方式结算。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4.5电量及偏差约定：</w:t>
      </w:r>
      <w:r/>
    </w:p>
    <w:p>
      <w:pPr>
        <w:ind w:firstLine="420"/>
        <w:spacing w:line="360" w:lineRule="auto"/>
        <w:rPr>
          <w:rFonts w:hint="eastAsia" w:ascii="宋体" w:hAnsi="宋体" w:eastAsia="宋体" w:cs="宋体"/>
          <w:spacing w:val="-6"/>
          <w:sz w:val="22"/>
          <w:szCs w:val="22"/>
        </w:rPr>
      </w:pPr>
      <w:r>
        <w:rPr>
          <w:rFonts w:hint="eastAsia" w:ascii="宋体" w:hAnsi="宋体" w:eastAsia="宋体" w:cs="宋体"/>
          <w:sz w:val="24"/>
        </w:rPr>
        <w:t xml:space="preserve">甲方在本合同周期内各户号的电量总和，暂按照以下分月预估电量（甲方用电分月计划表），合计电量为</w:t>
      </w:r>
      <w:r>
        <w:rPr>
          <w:rFonts w:hint="eastAsia" w:ascii="宋体" w:hAnsi="宋体" w:eastAsia="宋体" w:cs="宋体"/>
          <w:sz w:val="24"/>
          <w:u w:val="single"/>
        </w:rPr>
        <w:t xml:space="preserve">       </w:t>
      </w:r>
      <w:r>
        <w:rPr>
          <w:rFonts w:hint="eastAsia" w:ascii="宋体" w:hAnsi="宋体" w:eastAsia="宋体" w:cs="宋体"/>
          <w:sz w:val="24"/>
        </w:rPr>
        <w:t xml:space="preserve">万千瓦时。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840"/>
        <w:gridCol w:w="4081"/>
      </w:tblGrid>
      <w:tr>
        <w:trPr>
          <w:cantSplit/>
          <w:jc w:val="center"/>
          <w:trHeight w:val="646"/>
          <w:tblHeader/>
        </w:trPr>
        <w:tc>
          <w:tcPr>
            <w:tcW w:w="2840"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时间</w:t>
            </w:r>
            <w:r/>
          </w:p>
        </w:tc>
        <w:tc>
          <w:tcPr>
            <w:tcW w:w="4081" w:type="dxa"/>
            <w:vAlign w:val="center"/>
            <w:textDirection w:val="lrTb"/>
            <w:noWrap w:val="false"/>
          </w:tcPr>
          <w:p>
            <w:pPr>
              <w:ind w:right="979"/>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分月计划（万千瓦时）</w:t>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jc w:val="center"/>
          <w:trHeight w:val="646"/>
        </w:trPr>
        <w:tc>
          <w:tcPr>
            <w:tcW w:w="2840" w:type="dxa"/>
            <w:vAlign w:val="center"/>
            <w:textDirection w:val="lrTb"/>
            <w:noWrap w:val="false"/>
          </w:tcPr>
          <w:p>
            <w:pPr>
              <w:ind w:left="10"/>
              <w:jc w:val="center"/>
              <w:spacing w:line="360" w:lineRule="auto"/>
              <w:tabs>
                <w:tab w:val="left" w:pos="651" w:leader="none"/>
                <w:tab w:val="left" w:pos="1251" w:leader="none"/>
              </w:tabs>
              <w:rPr>
                <w:rFonts w:hint="eastAsia" w:ascii="宋体" w:hAnsi="宋体" w:eastAsia="宋体" w:cs="宋体"/>
                <w:sz w:val="22"/>
                <w:szCs w:val="22"/>
              </w:rPr>
            </w:pPr>
            <w:r>
              <w:rPr>
                <w:rFonts w:hint="eastAsia" w:ascii="宋体" w:hAnsi="宋体" w:eastAsia="宋体" w:cs="宋体"/>
                <w:sz w:val="22"/>
                <w:szCs w:val="22"/>
              </w:rPr>
              <w:t xml:space="preserve">月</w:t>
            </w:r>
            <w:r/>
          </w:p>
        </w:tc>
        <w:tc>
          <w:tcPr>
            <w:tcW w:w="4081" w:type="dxa"/>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分月合同电量按照政府相关规则、规定分时段约定，具体分解方式由交易双方按照电网典型负荷曲线、各自用电负荷特性及其他方式自行约定，交易各时段电量以附件方式明确。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双方约定：甲方的分月电量计划，可以在执行月开始日的15天前，通知乙方无条件修改；在执行月开始日之前的15天以内，双方协商修改分月计划。</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双方同时约定，对执行月实际电量与分月电量产生的偏差，甲方的实际电量与分月计划电量相比较，在正负偏差</w:t>
      </w:r>
      <w:r>
        <w:rPr>
          <w:rFonts w:hint="eastAsia" w:ascii="宋体" w:hAnsi="宋体" w:eastAsia="宋体" w:cs="宋体"/>
          <w:sz w:val="24"/>
          <w:u w:val="single"/>
        </w:rPr>
        <w:t xml:space="preserve">   </w:t>
      </w:r>
      <w:r>
        <w:rPr>
          <w:rFonts w:hint="eastAsia" w:ascii="宋体" w:hAnsi="宋体" w:eastAsia="宋体" w:cs="宋体"/>
          <w:sz w:val="24"/>
        </w:rPr>
        <w:t xml:space="preserve">%以内的电量，全部执行本合同4.4条约定的价格；超出正偏差</w:t>
      </w:r>
      <w:r>
        <w:rPr>
          <w:rFonts w:hint="eastAsia" w:ascii="宋体" w:hAnsi="宋体" w:eastAsia="宋体" w:cs="宋体"/>
          <w:sz w:val="24"/>
          <w:u w:val="single"/>
        </w:rPr>
        <w:t xml:space="preserve">    </w:t>
      </w:r>
      <w:r>
        <w:rPr>
          <w:rFonts w:hint="eastAsia" w:ascii="宋体" w:hAnsi="宋体" w:eastAsia="宋体" w:cs="宋体"/>
          <w:sz w:val="24"/>
        </w:rPr>
        <w:t xml:space="preserve">%以外部分，按照价格结算；超出负偏差</w:t>
      </w:r>
      <w:r>
        <w:rPr>
          <w:rFonts w:hint="eastAsia" w:ascii="宋体" w:hAnsi="宋体" w:eastAsia="宋体" w:cs="宋体"/>
          <w:sz w:val="24"/>
          <w:u w:val="single"/>
        </w:rPr>
        <w:t xml:space="preserve">     </w:t>
      </w:r>
      <w:r>
        <w:rPr>
          <w:rFonts w:hint="eastAsia" w:ascii="宋体" w:hAnsi="宋体" w:eastAsia="宋体" w:cs="宋体"/>
          <w:sz w:val="24"/>
        </w:rPr>
        <w:t xml:space="preserve">%以外部分，需要按照</w:t>
      </w:r>
      <w:r>
        <w:rPr>
          <w:rFonts w:hint="eastAsia" w:ascii="宋体" w:hAnsi="宋体" w:eastAsia="宋体" w:cs="宋体"/>
          <w:sz w:val="24"/>
          <w:u w:val="single"/>
        </w:rPr>
        <w:t xml:space="preserve">   </w:t>
      </w:r>
      <w:r>
        <w:rPr>
          <w:rFonts w:hint="eastAsia" w:ascii="宋体" w:hAnsi="宋体" w:eastAsia="宋体" w:cs="宋体"/>
          <w:sz w:val="24"/>
        </w:rPr>
        <w:t xml:space="preserve">价格补偿乙方。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4.6电力曲线约定：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双方约定：在现货市场环境下，</w:t>
      </w:r>
      <w:r>
        <w:rPr>
          <w:rFonts w:hint="eastAsia" w:ascii="宋体" w:hAnsi="宋体" w:eastAsia="宋体" w:cs="宋体"/>
          <w:sz w:val="24"/>
          <w:u w:val="single"/>
        </w:rPr>
        <w:t xml:space="preserve"> 不执行 </w:t>
      </w:r>
      <w:r>
        <w:rPr>
          <w:rFonts w:hint="eastAsia" w:ascii="宋体" w:hAnsi="宋体" w:eastAsia="宋体" w:cs="宋体"/>
          <w:sz w:val="24"/>
        </w:rPr>
        <w:t xml:space="preserve">双方约定的标准用电曲线。若执行，甲方需提供标准用电曲线，并可以在执行开始日的天前，通知乙方无条件修改。双方同时约定，对执行月实际用电曲线与标准曲线产生的偏差，在正负偏差</w:t>
      </w:r>
      <w:r>
        <w:rPr>
          <w:rFonts w:hint="eastAsia" w:ascii="宋体" w:hAnsi="宋体" w:eastAsia="宋体" w:cs="宋体"/>
          <w:sz w:val="24"/>
          <w:u w:val="single"/>
        </w:rPr>
        <w:t xml:space="preserve">___/___</w:t>
      </w:r>
      <w:r>
        <w:rPr>
          <w:rFonts w:hint="eastAsia" w:ascii="宋体" w:hAnsi="宋体" w:eastAsia="宋体" w:cs="宋体"/>
          <w:sz w:val="24"/>
        </w:rPr>
        <w:t xml:space="preserve">%以内的电量，全部执行本合同4.4条约定的价格；超出正偏差</w:t>
      </w:r>
      <w:r>
        <w:rPr>
          <w:rFonts w:hint="eastAsia" w:ascii="宋体" w:hAnsi="宋体" w:eastAsia="宋体" w:cs="宋体"/>
          <w:sz w:val="24"/>
          <w:u w:val="single"/>
        </w:rPr>
        <w:t xml:space="preserve">   /   </w:t>
      </w:r>
      <w:r>
        <w:rPr>
          <w:rFonts w:hint="eastAsia" w:ascii="宋体" w:hAnsi="宋体" w:eastAsia="宋体" w:cs="宋体"/>
          <w:sz w:val="24"/>
        </w:rPr>
        <w:t xml:space="preserve">%以外部分，按照</w:t>
      </w:r>
      <w:r>
        <w:rPr>
          <w:rFonts w:hint="eastAsia" w:ascii="宋体" w:hAnsi="宋体" w:eastAsia="宋体" w:cs="宋体"/>
          <w:sz w:val="24"/>
          <w:u w:val="single"/>
        </w:rPr>
        <w:t xml:space="preserve">/</w:t>
      </w:r>
      <w:r>
        <w:rPr>
          <w:rFonts w:hint="eastAsia" w:ascii="宋体" w:hAnsi="宋体" w:eastAsia="宋体" w:cs="宋体"/>
          <w:sz w:val="24"/>
        </w:rPr>
        <w:t xml:space="preserve">(单位:元/千瓦时)价格结算；超出负偏差</w:t>
      </w:r>
      <w:r>
        <w:rPr>
          <w:rFonts w:hint="eastAsia" w:ascii="宋体" w:hAnsi="宋体" w:eastAsia="宋体" w:cs="宋体"/>
          <w:sz w:val="24"/>
          <w:u w:val="single"/>
        </w:rPr>
        <w:t xml:space="preserve">   /   </w:t>
      </w:r>
      <w:r>
        <w:rPr>
          <w:rFonts w:hint="eastAsia" w:ascii="宋体" w:hAnsi="宋体" w:eastAsia="宋体" w:cs="宋体"/>
          <w:sz w:val="24"/>
        </w:rPr>
        <w:t xml:space="preserve">%以外部分，需要按照</w:t>
      </w:r>
      <w:r>
        <w:rPr>
          <w:rFonts w:hint="eastAsia" w:ascii="宋体" w:hAnsi="宋体" w:eastAsia="宋体" w:cs="宋体"/>
          <w:sz w:val="24"/>
          <w:u w:val="single"/>
        </w:rPr>
        <w:t xml:space="preserve">/</w:t>
      </w:r>
      <w:r>
        <w:rPr>
          <w:rFonts w:hint="eastAsia" w:ascii="宋体" w:hAnsi="宋体" w:eastAsia="宋体" w:cs="宋体"/>
          <w:sz w:val="24"/>
        </w:rPr>
        <w:t xml:space="preserve">(单位:元/千瓦时)价格补偿乙方。</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第五章　计量、结算和支付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5.1甲方的计量点按照甲方与供电企业签订的供用电合同执行，不再另行约定电力交易计量点。</w:t>
      </w:r>
      <w:r/>
    </w:p>
    <w:p>
      <w:pPr>
        <w:spacing w:line="360" w:lineRule="auto"/>
        <w:rPr>
          <w:rFonts w:hint="eastAsia" w:ascii="宋体" w:hAnsi="宋体" w:eastAsia="宋体" w:cs="宋体"/>
          <w:sz w:val="24"/>
        </w:rPr>
      </w:pPr>
      <w:r>
        <w:rPr>
          <w:rFonts w:hint="eastAsia" w:ascii="宋体" w:hAnsi="宋体" w:eastAsia="宋体" w:cs="宋体"/>
          <w:sz w:val="24"/>
        </w:rPr>
        <w:t xml:space="preserve">　　5.2甲方的电费支付，保持现有向电网企业缴费的方式不变，其中甲方的电价优惠，可以直接在向电网企业缴交的用电电费中扣减。乙方的电费收取方式按照电力市场交易规则执行。双方无代缴、代扣和担保义务。</w:t>
      </w:r>
      <w:r/>
    </w:p>
    <w:p>
      <w:pPr>
        <w:spacing w:line="360" w:lineRule="auto"/>
        <w:rPr>
          <w:rFonts w:hint="eastAsia" w:ascii="宋体" w:hAnsi="宋体" w:eastAsia="宋体" w:cs="宋体"/>
          <w:sz w:val="24"/>
        </w:rPr>
      </w:pPr>
      <w:r>
        <w:rPr>
          <w:rFonts w:hint="eastAsia" w:ascii="宋体" w:hAnsi="宋体" w:eastAsia="宋体" w:cs="宋体"/>
          <w:sz w:val="24"/>
        </w:rPr>
        <w:t xml:space="preserve">　　5.3双方约定：在每个结算周期内，由乙方代为向交易中心申报本合同涉及的电量、电价，并核对结算相关数据；双方同时约定，均以电网企业发布的电费发票及其电费核查联作为合同执行的参照标准。甲方应在收到电费发票及其核查联后的十个工作日内，向乙方、交易中心分别提出申诉意见，逾期视为无意见。</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5.4其他补充约定：</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u w:val="single"/>
        </w:rPr>
      </w:pPr>
      <w:r>
        <w:rPr>
          <w:rFonts w:hint="eastAsia" w:ascii="宋体" w:hAnsi="宋体" w:eastAsia="宋体" w:cs="宋体"/>
          <w:sz w:val="24"/>
          <w:u w:val="single"/>
        </w:rPr>
        <w:t xml:space="preserve">具体以实际使用电量为准。</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第六章　合同变更、解除与违约赔偿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6.1本合同的任何修改、补充或变更必须以书面的形式进行（分月计划调整除外），双方盖章后方为有效。分月计划的调整，双方约定可以由本合同指定联系人，通过短信、邮箱或者微信等网络方式发送和确认完成，但双方均须做好记录，并可以随时调取查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6.2本合同到期，选择方式1处理：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方式1:自动解除，任何一方提前未经对方同意解除合同视为违约；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方式2:按自然月滚动续约，发生以下两种情形的将取消滚动续约：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(1)合同双方在协商一致情况下主动取消；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(2)合同甲方完成下一个合同周期零售交易。</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6.3如因乙方责任，没有及时完成本合同在交易中心的备案或其他相关执行手续，导致本合同无法执行，双方约定：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（1）若在合同约定的实际开始执行前30日前书面通知甲方，提出解约，乙方一次性赔偿甲方</w:t>
      </w:r>
      <w:r>
        <w:rPr>
          <w:rFonts w:hint="eastAsia" w:ascii="宋体" w:hAnsi="宋体" w:eastAsia="宋体" w:cs="宋体"/>
          <w:sz w:val="24"/>
          <w:u w:val="single"/>
        </w:rPr>
        <w:t xml:space="preserve">/</w:t>
      </w:r>
      <w:r>
        <w:rPr>
          <w:rFonts w:hint="eastAsia" w:ascii="宋体" w:hAnsi="宋体" w:eastAsia="宋体" w:cs="宋体"/>
          <w:sz w:val="24"/>
        </w:rPr>
        <w:t xml:space="preserve">万元的签约损失；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（2）其他情况，乙方一次性赔偿甲方</w:t>
      </w:r>
      <w:r>
        <w:rPr>
          <w:rFonts w:hint="eastAsia" w:ascii="宋体" w:hAnsi="宋体" w:eastAsia="宋体" w:cs="宋体"/>
          <w:sz w:val="24"/>
          <w:u w:val="single"/>
        </w:rPr>
        <w:t xml:space="preserve">/</w:t>
      </w:r>
      <w:r>
        <w:rPr>
          <w:rFonts w:hint="eastAsia" w:ascii="宋体" w:hAnsi="宋体" w:eastAsia="宋体" w:cs="宋体"/>
          <w:sz w:val="24"/>
        </w:rPr>
        <w:t xml:space="preserve">万元的损失。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6.4如在合同周期内，乙方未按照本合同约定给甲方进行结算，需按照合同约定结算电费和实际结算电费的差额部分的</w:t>
      </w:r>
      <w:r>
        <w:rPr>
          <w:rFonts w:hint="eastAsia" w:ascii="宋体" w:hAnsi="宋体" w:eastAsia="宋体" w:cs="宋体"/>
          <w:sz w:val="24"/>
          <w:u w:val="single"/>
        </w:rPr>
        <w:t xml:space="preserve">/</w:t>
      </w:r>
      <w:r>
        <w:rPr>
          <w:rFonts w:hint="eastAsia" w:ascii="宋体" w:hAnsi="宋体" w:eastAsia="宋体" w:cs="宋体"/>
          <w:sz w:val="24"/>
        </w:rPr>
        <w:t xml:space="preserve">倍赔偿甲方。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6.5如甲方在合同周期内，未经乙方书面同意，与其他售电公司签订购售电合同、不配合在交易中心办理备案及其他相关手续、转为批发市场用户等行为导致本合同无法执行，双方约定，按照以下条款，甲方应</w:t>
      </w:r>
      <w:r>
        <w:rPr>
          <w:rFonts w:hint="eastAsia" w:ascii="宋体" w:hAnsi="宋体" w:eastAsia="宋体" w:cs="宋体"/>
          <w:sz w:val="24"/>
          <w:u w:val="single"/>
        </w:rPr>
        <w:t xml:space="preserve">/</w:t>
      </w:r>
      <w:r>
        <w:rPr>
          <w:rFonts w:hint="eastAsia" w:ascii="宋体" w:hAnsi="宋体" w:eastAsia="宋体" w:cs="宋体"/>
          <w:sz w:val="24"/>
        </w:rPr>
        <w:t xml:space="preserve">赔偿乙方：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（1）在合同约定的实际开始执行前30日前提出解约，一次性赔偿乙方</w:t>
      </w:r>
      <w:r>
        <w:rPr>
          <w:rFonts w:hint="eastAsia" w:ascii="宋体" w:hAnsi="宋体" w:eastAsia="宋体" w:cs="宋体"/>
          <w:sz w:val="24"/>
          <w:u w:val="single"/>
        </w:rPr>
        <w:t xml:space="preserve">/</w:t>
      </w:r>
      <w:r>
        <w:rPr>
          <w:rFonts w:hint="eastAsia" w:ascii="宋体" w:hAnsi="宋体" w:eastAsia="宋体" w:cs="宋体"/>
          <w:sz w:val="24"/>
        </w:rPr>
        <w:t xml:space="preserve">万元的签约损失；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（2）在合同约定的实际开始执行前30日内提出解约，一次性赔偿乙方</w:t>
      </w:r>
      <w:r>
        <w:rPr>
          <w:rFonts w:hint="eastAsia" w:ascii="宋体" w:hAnsi="宋体" w:eastAsia="宋体" w:cs="宋体"/>
          <w:sz w:val="24"/>
          <w:u w:val="single"/>
        </w:rPr>
        <w:t xml:space="preserve">/</w:t>
      </w:r>
      <w:r>
        <w:rPr>
          <w:rFonts w:hint="eastAsia" w:ascii="宋体" w:hAnsi="宋体" w:eastAsia="宋体" w:cs="宋体"/>
          <w:sz w:val="24"/>
        </w:rPr>
        <w:t xml:space="preserve">万元的签约损失；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（3）在合同执行过程中，甲方要求解约，按照未履约月份，向乙方按照每个月</w:t>
      </w:r>
      <w:r>
        <w:rPr>
          <w:rFonts w:hint="eastAsia" w:ascii="宋体" w:hAnsi="宋体" w:eastAsia="宋体" w:cs="宋体"/>
          <w:sz w:val="24"/>
          <w:u w:val="single"/>
        </w:rPr>
        <w:t xml:space="preserve">/</w:t>
      </w:r>
      <w:r>
        <w:rPr>
          <w:rFonts w:hint="eastAsia" w:ascii="宋体" w:hAnsi="宋体" w:eastAsia="宋体" w:cs="宋体"/>
          <w:sz w:val="24"/>
        </w:rPr>
        <w:t xml:space="preserve">万元的签约损失赔偿。</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第七章　保密及争议解决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7.1保密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甲、乙双方均应保证其从另一方取得的所有无法自公开渠道获得的资料和文件（包括财务、技术等内容）予以保密。未经该资料和文件的原提供方同意，不得向任何第三方透露该资料和文件的全部或任何部分，但按照法律、法规规定可做出披露的情况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本合同中有关解除、争议解决和保密的条款在本合同解除后仍然有效。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7.2凡因执行本合同所发生的与本合同有关的一切争议，双方应协商解决；协商不成，按以下第（</w:t>
      </w:r>
      <w:r>
        <w:rPr>
          <w:rFonts w:hint="eastAsia" w:ascii="宋体" w:hAnsi="宋体" w:eastAsia="宋体" w:cs="宋体"/>
          <w:sz w:val="24"/>
          <w:u w:val="single"/>
        </w:rPr>
        <w:t xml:space="preserve"> 2 </w:t>
      </w:r>
      <w:r>
        <w:rPr>
          <w:rFonts w:hint="eastAsia" w:ascii="宋体" w:hAnsi="宋体" w:eastAsia="宋体" w:cs="宋体"/>
          <w:sz w:val="24"/>
        </w:rPr>
        <w:t xml:space="preserve">）种方式处理：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（1）双方同意提请仲裁委员会，请求按照其仲裁规则进行仲裁。仲裁裁决是终局的，对双方均具有法律约束力。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（2）任何一方依法提请人民法院通过诉讼程序解决。</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第八章　合同生效和期限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8.1本合同的订立、效力、解释、履行和争议的解决均适用中华人民共和国法律。双方未尽事宜，均服从中华人民共和国法律和江苏电力市场交易规则。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8.2本合同经双方法定代表人（或授权代理人）签字并盖章后生效。合同生效后，关于办理本合同在交易中心的备案及其他相关执行手续，双方选择以下约定</w:t>
      </w:r>
      <w:r>
        <w:rPr>
          <w:rFonts w:hint="eastAsia" w:ascii="宋体" w:hAnsi="宋体" w:eastAsia="宋体" w:cs="宋体"/>
          <w:sz w:val="24"/>
          <w:u w:val="single"/>
        </w:rPr>
        <w:t xml:space="preserve">  2  </w:t>
      </w:r>
      <w:r>
        <w:rPr>
          <w:rFonts w:hint="eastAsia" w:ascii="宋体" w:hAnsi="宋体" w:eastAsia="宋体" w:cs="宋体"/>
          <w:sz w:val="24"/>
        </w:rPr>
        <w:t xml:space="preserve">（单选）：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（1）甲方与乙方共同办理本合同在交易中心的备案及其他相关执行手续，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（2）由</w:t>
      </w:r>
      <w:r>
        <w:rPr>
          <w:rFonts w:hint="eastAsia" w:ascii="宋体" w:hAnsi="宋体" w:eastAsia="宋体" w:cs="宋体"/>
          <w:sz w:val="24"/>
          <w:u w:val="single"/>
        </w:rPr>
        <w:t xml:space="preserve">  乙 </w:t>
      </w:r>
      <w:r>
        <w:rPr>
          <w:rFonts w:hint="eastAsia" w:ascii="宋体" w:hAnsi="宋体" w:eastAsia="宋体" w:cs="宋体"/>
          <w:sz w:val="24"/>
        </w:rPr>
        <w:t xml:space="preserve">方代为办理本合同在交易中心的备案和相关执行手续。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本合同及其附件构成双方就本合同标的达成的全部内容，取代所有双方在此之前就本合同标的所签订的协议和合同。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8.3任何一方未通过书面形式声明放弃其在本合同项下的任何权利，则不</w:t>
      </w:r>
      <w:r>
        <w:rPr>
          <w:rFonts w:hint="eastAsia" w:ascii="宋体" w:hAnsi="宋体" w:eastAsia="宋体" w:cs="宋体"/>
          <w:sz w:val="24"/>
        </w:rPr>
        <w:t xml:space="preserve">应被视为其弃权。任何一方未行使其在本合同项下的任何权利，均不应被视为对任何上述权利的放弃或对今后任何上述权利的放弃。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8.4本合同有效期：自签订之日起至4.1条款约定的合同交易最后日期。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8.5本合同一式</w:t>
      </w:r>
      <w:r>
        <w:rPr>
          <w:rFonts w:hint="eastAsia" w:ascii="宋体" w:hAnsi="宋体" w:eastAsia="宋体" w:cs="宋体"/>
          <w:sz w:val="24"/>
          <w:u w:val="single"/>
        </w:rPr>
        <w:t xml:space="preserve">2</w:t>
      </w:r>
      <w:r>
        <w:rPr>
          <w:rFonts w:hint="eastAsia" w:ascii="宋体" w:hAnsi="宋体" w:eastAsia="宋体" w:cs="宋体"/>
          <w:sz w:val="24"/>
        </w:rPr>
        <w:t xml:space="preserve">份，甲方、乙方各执</w:t>
      </w:r>
      <w:r>
        <w:rPr>
          <w:rFonts w:hint="eastAsia" w:ascii="宋体" w:hAnsi="宋体" w:eastAsia="宋体" w:cs="宋体"/>
          <w:sz w:val="24"/>
          <w:u w:val="single"/>
        </w:rPr>
        <w:t xml:space="preserve">1</w:t>
      </w:r>
      <w:r>
        <w:rPr>
          <w:rFonts w:hint="eastAsia" w:ascii="宋体" w:hAnsi="宋体" w:eastAsia="宋体" w:cs="宋体"/>
          <w:sz w:val="24"/>
        </w:rPr>
        <w:t xml:space="preserve">份，副本若干份，分送有关机构。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甲方（盖章）：</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法定代表人/授权代理人： </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签订日期：______年______月______日</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乙方（盖章）：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法定代表人/授权代理人：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签订日期：______年______月______日</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签订地点：</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附件1：甲方户号详情列表</w:t>
      </w:r>
      <w:r/>
    </w:p>
    <w:tbl>
      <w:tblPr>
        <w:tblStyle w:val="809"/>
        <w:tblpPr w:horzAnchor="page" w:tblpX="1791" w:vertAnchor="text" w:tblpY="46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21"/>
        <w:gridCol w:w="6701"/>
      </w:tblGrid>
      <w:tr>
        <w:trPr/>
        <w:tc>
          <w:tcPr>
            <w:tcW w:w="1821"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户号</w:t>
            </w:r>
            <w:r/>
          </w:p>
        </w:tc>
        <w:tc>
          <w:tcPr>
            <w:tcW w:w="6701"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用电地址</w:t>
            </w:r>
            <w:r/>
          </w:p>
        </w:tc>
      </w:tr>
      <w:tr>
        <w:trPr/>
        <w:tc>
          <w:tcPr>
            <w:tcW w:w="1821"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w:t>
            </w:r>
            <w:r/>
          </w:p>
        </w:tc>
        <w:tc>
          <w:tcPr>
            <w:tcW w:w="6701"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w:t>
            </w:r>
            <w:r/>
          </w:p>
        </w:tc>
      </w:tr>
    </w:tbl>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rPr>
      </w:r>
      <w:r>
        <w:rPr>
          <w:rFonts w:hint="eastAsia" w:ascii="宋体" w:hAnsi="宋体" w:eastAsia="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807"/>
        <w:jc w:val="center"/>
        <w:spacing w:before="120" w:beforeAutospacing="0" w:after="120" w:afterAutospacing="0" w:line="500" w:lineRule="exact"/>
        <w:rPr>
          <w:rFonts w:hint="eastAsia" w:ascii="宋体" w:hAnsi="宋体" w:eastAsia="宋体" w:cs="宋体"/>
        </w:rPr>
      </w:pPr>
      <w:r>
        <w:rPr>
          <w:rFonts w:hint="eastAsia" w:ascii="宋体" w:hAnsi="宋体" w:eastAsia="宋体" w:cs="宋体"/>
          <w:sz w:val="44"/>
          <w:szCs w:val="44"/>
        </w:rPr>
        <w:t xml:space="preserve"> 第四章 采购需求</w:t>
      </w:r>
      <w:r/>
    </w:p>
    <w:p>
      <w:pPr>
        <w:pStyle w:val="807"/>
        <w:ind w:firstLine="480"/>
        <w:jc w:val="both"/>
        <w:spacing w:beforeAutospacing="0" w:afterAutospacing="0" w:line="0" w:lineRule="atLeast"/>
        <w:rPr>
          <w:rFonts w:hint="eastAsia" w:ascii="宋体" w:hAnsi="宋体" w:eastAsia="宋体" w:cs="宋体"/>
        </w:rPr>
      </w:pPr>
      <w:r/>
      <w:bookmarkStart w:id="164" w:name="_Toc26554093"/>
      <w:r/>
      <w:bookmarkStart w:id="165" w:name="_Toc49090575"/>
      <w:r>
        <w:rPr>
          <w:rFonts w:hint="eastAsia" w:ascii="宋体" w:hAnsi="宋体" w:eastAsia="宋体" w:cs="宋体"/>
        </w:rPr>
        <w:t xml:space="preserve">项目属性:服务类项目。 </w:t>
      </w:r>
      <w:bookmarkEnd w:id="164"/>
      <w:r/>
      <w:bookmarkEnd w:id="165"/>
      <w:r/>
      <w:r/>
    </w:p>
    <w:p>
      <w:pPr>
        <w:ind w:firstLine="480"/>
        <w:spacing w:line="360" w:lineRule="auto"/>
        <w:rPr>
          <w:rFonts w:hint="eastAsia" w:ascii="宋体" w:hAnsi="宋体" w:eastAsia="宋体" w:cs="宋体"/>
          <w:sz w:val="24"/>
        </w:rPr>
      </w:pPr>
      <w:r/>
      <w:bookmarkStart w:id="166" w:name="_Toc120614281"/>
      <w:r>
        <w:rPr>
          <w:rFonts w:hint="eastAsia" w:ascii="宋体" w:hAnsi="宋体" w:eastAsia="宋体" w:cs="宋体"/>
          <w:sz w:val="24"/>
        </w:rPr>
        <w:t xml:space="preserve">一、项目概述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滨海县城市照明2026年度购电项目为一个包件，具体包含为采购人提供交易周期内优惠电价，年度约1200万</w:t>
      </w:r>
      <w:r>
        <w:rPr>
          <w:rFonts w:hint="eastAsia" w:ascii="Segoe UI" w:hAnsi="Segoe UI" w:eastAsia="Segoe UI" w:cs="Segoe UI"/>
          <w:sz w:val="24"/>
          <w:shd w:val="clear" w:color="auto" w:fill="ffffff"/>
        </w:rPr>
        <w:t xml:space="preserve">千瓦时10千伏以上高压电</w:t>
      </w:r>
      <w:r>
        <w:rPr>
          <w:rFonts w:hint="eastAsia" w:ascii="宋体" w:hAnsi="宋体" w:eastAsia="宋体" w:cs="宋体"/>
          <w:sz w:val="24"/>
        </w:rPr>
        <w:t xml:space="preserve">的生产经营所需全部用电的购售电代理交易。中标人需按国家有关法规、规定和技术规范，提供全周期电力交易服务和用电增值服等。供应商应根据采购文件所提出的业务内容要求，提供最优的购售电项目方案。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二、服务清单与业务要求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（一）服务清单</w:t>
      </w:r>
      <w:r/>
    </w:p>
    <w:tbl>
      <w:tblPr>
        <w:tblW w:w="7850"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20"/>
        <w:gridCol w:w="4257"/>
        <w:gridCol w:w="1559"/>
        <w:gridCol w:w="1307"/>
        <w:gridCol w:w="7"/>
      </w:tblGrid>
      <w:tr>
        <w:trPr>
          <w:gridAfter w:val="1"/>
          <w:trHeight w:val="407"/>
        </w:trPr>
        <w:tc>
          <w:tcPr>
            <w:tcW w:w="720"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4257"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tcW w:w="1559"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单位</w:t>
            </w:r>
            <w:r/>
          </w:p>
        </w:tc>
        <w:tc>
          <w:tcPr>
            <w:tcW w:w="1307"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数量</w:t>
            </w:r>
            <w:r/>
          </w:p>
        </w:tc>
      </w:tr>
      <w:tr>
        <w:trPr>
          <w:gridAfter w:val="1"/>
          <w:trHeight w:val="409"/>
        </w:trPr>
        <w:tc>
          <w:tcPr>
            <w:tcW w:w="720"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1</w:t>
            </w:r>
            <w:r/>
          </w:p>
        </w:tc>
        <w:tc>
          <w:tcPr>
            <w:tcW w:w="4257"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滨海县城市照明2026年度购电项目</w:t>
            </w:r>
            <w:r/>
          </w:p>
        </w:tc>
        <w:tc>
          <w:tcPr>
            <w:tcW w:w="1559" w:type="dxa"/>
            <w:textDirection w:val="lrTb"/>
            <w:noWrap w:val="false"/>
          </w:tcPr>
          <w:p>
            <w:pPr>
              <w:jc w:val="center"/>
              <w:spacing w:before="169" w:line="360" w:lineRule="auto"/>
              <w:rPr>
                <w:rFonts w:hint="eastAsia" w:ascii="宋体" w:hAnsi="宋体" w:eastAsia="宋体" w:cs="宋体"/>
                <w:sz w:val="24"/>
              </w:rPr>
            </w:pPr>
            <w:r>
              <w:rPr>
                <w:rFonts w:ascii="Segoe UI" w:hAnsi="Segoe UI" w:eastAsia="Segoe UI" w:cs="Segoe UI"/>
                <w:sz w:val="24"/>
                <w:shd w:val="clear" w:color="auto" w:fill="ffffff"/>
              </w:rPr>
              <w:t xml:space="preserve">千瓦时</w:t>
            </w:r>
            <w:r/>
          </w:p>
        </w:tc>
        <w:tc>
          <w:tcPr>
            <w:tcW w:w="1307" w:type="dxa"/>
            <w:textDirection w:val="lrTb"/>
            <w:noWrap w:val="false"/>
          </w:tcPr>
          <w:p>
            <w:pPr>
              <w:jc w:val="center"/>
              <w:spacing w:before="169" w:line="360" w:lineRule="auto"/>
              <w:rPr>
                <w:rFonts w:hint="eastAsia" w:ascii="宋体" w:hAnsi="宋体" w:eastAsia="宋体" w:cs="宋体"/>
                <w:sz w:val="24"/>
              </w:rPr>
            </w:pPr>
            <w:r>
              <w:rPr>
                <w:rFonts w:hint="eastAsia" w:ascii="宋体" w:hAnsi="宋体" w:eastAsia="宋体" w:cs="宋体"/>
                <w:sz w:val="24"/>
              </w:rPr>
              <w:t xml:space="preserve">约1200万</w:t>
            </w:r>
            <w:r/>
          </w:p>
        </w:tc>
      </w:tr>
      <w:tr>
        <w:trPr>
          <w:trHeight w:val="407"/>
        </w:trPr>
        <w:tc>
          <w:tcPr>
            <w:gridSpan w:val="5"/>
            <w:tcW w:w="720" w:type="dxa"/>
            <w:textDirection w:val="lrTb"/>
            <w:noWrap w:val="false"/>
          </w:tcPr>
          <w:p>
            <w:pPr>
              <w:jc w:val="left"/>
              <w:spacing w:before="169" w:line="360" w:lineRule="auto"/>
              <w:rPr>
                <w:rFonts w:hint="eastAsia" w:ascii="宋体" w:hAnsi="宋体" w:eastAsia="宋体" w:cs="宋体"/>
                <w:sz w:val="24"/>
              </w:rPr>
            </w:pPr>
            <w:r>
              <w:rPr>
                <w:rFonts w:hint="eastAsia" w:ascii="宋体" w:hAnsi="宋体" w:eastAsia="宋体" w:cs="宋体"/>
                <w:sz w:val="24"/>
              </w:rPr>
              <w:t xml:space="preserve">以上电量为参考电量，最终电量数据以实际发生额为准。</w:t>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（二）项目范围及要求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1、为采购人提供交易周期内优惠电价，生产经营所需全部用电的购售电代理交易。供应商应按国家有关法规、规定和技术规范，提供全周期电力交易服务和用电增值服务。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2、交易周期（合同履行期限）：2026年 月 日至2026年 月 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3、服务内容：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3.4.1按照国家有关法规、规定和技术规范，为甲方提供电力交易和参与江苏电力辅助服务市场相关服务，参与电力市场交易并按规定结算。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3.4.2按照国家规定，作为可再生能源电力的消纳责任主体，承担可再生能源电力的消纳责任。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3.4.3按照电力市场信息发布管理规定，向甲方、交易中心提供真实准确的有关电力直接交易的相关信息及资料；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3.4.4根据国家有关法规支付电力交易相关费用；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3.4.5协助甲方申请办理电力交易有关手续；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3.4.6按照相关规则、规定向交易中心提交银行履约保函，担保合同的履约。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3.4.7发生紧急情况时，按照相关规定执行。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4、交易模式：</w:t>
      </w:r>
      <w:r/>
    </w:p>
    <w:p>
      <w:pPr>
        <w:ind w:firstLine="480"/>
        <w:spacing w:line="360" w:lineRule="auto"/>
        <w:rPr>
          <w:rFonts w:hint="eastAsia" w:ascii="宋体" w:hAnsi="宋体" w:eastAsia="宋体" w:cs="宋体"/>
          <w:sz w:val="24"/>
        </w:rPr>
      </w:pPr>
      <w:r>
        <w:rPr>
          <w:rFonts w:hint="eastAsia" w:ascii="宋体" w:hAnsi="宋体" w:eastAsia="宋体" w:cs="宋体"/>
          <w:b/>
          <w:sz w:val="24"/>
        </w:rPr>
        <w:t xml:space="preserve">4.1供应商在成交后，与采购人签订购售电合同，采用"固定价格+市场联动价格"零售套餐：固定价格部分电量占比50%，按中标固定价格P固定结算；市场联动价格部分电量占比50%（其中批发市场中长期交易占45%、现货实时市场占5%），按P联动=0.90×P中长期+0.10×P实时+ΔP结算；P固定与ΔP按中标结果确定，年度执行过程中不予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4.2中标人代采购人参与全年的双边协商和集中竞价等电力市场交易，采购人将提供必要的配合。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4.3中标人必须承担电量偏差引起的一切费用风险。</w:t>
      </w:r>
      <w:r/>
    </w:p>
    <w:p>
      <w:pPr>
        <w:ind w:firstLine="480"/>
        <w:spacing w:line="360" w:lineRule="auto"/>
        <w:rPr>
          <w:rFonts w:hint="eastAsia" w:ascii="宋体" w:hAnsi="宋体" w:eastAsia="宋体" w:cs="宋体"/>
          <w:sz w:val="24"/>
        </w:rPr>
      </w:pPr>
      <w:r>
        <w:rPr>
          <w:rFonts w:hint="eastAsia" w:ascii="宋体" w:hAnsi="宋体" w:eastAsia="宋体" w:cs="宋体"/>
          <w:b/>
          <w:sz w:val="24"/>
        </w:rPr>
        <w:t xml:space="preserve">4.4市场联动基准以江苏电力交易中心发布的批发市场中长期交易加权出清均价、现货实时市场统一结算点算术均价以及所有售电公司当月批发市场结算加权均价为准。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5、电能计量：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5.1电力交易涉及的电量计量点、电能计量装置要求、电能计量装置校验要求和计量装置异常处理办法等，需在合同约定中执行。</w:t>
      </w:r>
      <w:r/>
    </w:p>
    <w:p>
      <w:pPr>
        <w:ind w:firstLine="480"/>
        <w:spacing w:line="360" w:lineRule="auto"/>
        <w:rPr>
          <w:rFonts w:hint="eastAsia" w:ascii="宋体" w:hAnsi="宋体" w:eastAsia="宋体" w:cs="宋体"/>
          <w:sz w:val="44"/>
          <w:szCs w:val="44"/>
        </w:rPr>
      </w:pPr>
      <w:r>
        <w:rPr>
          <w:rFonts w:hint="eastAsia" w:ascii="宋体" w:hAnsi="宋体" w:eastAsia="宋体" w:cs="宋体"/>
          <w:sz w:val="24"/>
        </w:rPr>
        <w:t xml:space="preserve">5.2电力交易结算电量以采购人计量点关口表计量的电量为结算依据。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三、采购标的对应的中小企业划分标准所属行业一览表</w:t>
      </w:r>
      <w:r/>
    </w:p>
    <w:tbl>
      <w:tblPr>
        <w:tblW w:w="7969" w:type="dxa"/>
        <w:jc w:val="center"/>
        <w:tblCellSpacing w:w="0" w:type="dxa"/>
        <w:tblLayout w:type="fixed"/>
        <w:tblLook w:val="04A0" w:firstRow="1" w:lastRow="0" w:firstColumn="1" w:lastColumn="0" w:noHBand="0" w:noVBand="1"/>
      </w:tblPr>
      <w:tblGrid>
        <w:gridCol w:w="794"/>
        <w:gridCol w:w="3543"/>
        <w:gridCol w:w="363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滨海县城市照明2026年度购电项目</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rPr>
                <w:rFonts w:hint="eastAsia" w:ascii="宋体" w:hAnsi="宋体" w:eastAsia="宋体" w:cs="宋体"/>
                <w:sz w:val="24"/>
              </w:rPr>
            </w:pPr>
            <w:r>
              <w:rPr>
                <w:rStyle w:val="810"/>
                <w:rFonts w:ascii="Segoe UI" w:hAnsi="Segoe UI" w:eastAsia="Segoe UI" w:cs="Segoe UI"/>
                <w:b w:val="0"/>
                <w:sz w:val="24"/>
                <w:shd w:val="clear" w:color="auto" w:fill="ffffff"/>
              </w:rPr>
              <w:t xml:space="preserve">其他未列明行业"</w:t>
            </w:r>
            <w:r>
              <w:rPr>
                <w:rFonts w:ascii="Segoe UI" w:hAnsi="Segoe UI" w:eastAsia="Segoe UI" w:cs="Segoe UI"/>
                <w:sz w:val="24"/>
                <w:shd w:val="clear" w:color="auto" w:fill="ffffff"/>
              </w:rPr>
              <w:t xml:space="preserve">或</w:t>
            </w:r>
            <w:r>
              <w:rPr>
                <w:rStyle w:val="810"/>
                <w:rFonts w:ascii="Segoe UI" w:hAnsi="Segoe UI" w:eastAsia="Segoe UI" w:cs="Segoe UI"/>
                <w:b w:val="0"/>
                <w:sz w:val="24"/>
                <w:shd w:val="clear" w:color="auto" w:fill="ffffff"/>
              </w:rPr>
              <w:t xml:space="preserve">"租赁和商务服务业</w:t>
            </w:r>
            <w:r/>
          </w:p>
        </w:tc>
      </w:tr>
    </w:tbl>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center"/>
        <w:keepNext/>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第五章  </w:t>
      </w:r>
      <w:r>
        <w:rPr>
          <w:rFonts w:hint="eastAsia" w:ascii="宋体" w:hAnsi="宋体" w:eastAsia="宋体" w:cs="宋体"/>
          <w:b/>
          <w:sz w:val="44"/>
          <w:szCs w:val="44"/>
        </w:rPr>
        <w:t xml:space="preserve">评标方法与评标标准</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422"/>
        <w:spacing w:line="360" w:lineRule="auto"/>
        <w:rPr>
          <w:rFonts w:hint="eastAsia" w:ascii="宋体" w:hAnsi="宋体" w:eastAsia="宋体" w:cs="宋体"/>
          <w:b/>
          <w:bCs/>
          <w:sz w:val="24"/>
        </w:rPr>
      </w:pPr>
      <w:r/>
      <w:bookmarkStart w:id="167" w:name="_Hlk149904248"/>
      <w:r>
        <w:rPr>
          <w:rFonts w:hint="eastAsia" w:ascii="宋体" w:hAnsi="宋体" w:eastAsia="宋体" w:cs="宋体"/>
          <w:b/>
          <w:bCs/>
          <w:sz w:val="24"/>
        </w:rPr>
        <w:t xml:space="preserve">一、定标原则</w:t>
      </w:r>
      <w:r/>
    </w:p>
    <w:p>
      <w:pPr>
        <w:ind w:firstLine="482"/>
        <w:spacing w:line="360" w:lineRule="auto"/>
        <w:rPr>
          <w:rFonts w:hint="eastAsia" w:ascii="宋体" w:hAnsi="宋体" w:eastAsia="宋体" w:cs="宋体"/>
          <w:b/>
          <w:bCs/>
          <w:sz w:val="24"/>
        </w:rPr>
      </w:pPr>
      <w:r>
        <w:rPr>
          <w:rFonts w:hint="eastAsia" w:ascii="宋体" w:hAnsi="宋体" w:eastAsia="宋体" w:cs="宋体"/>
          <w:b/>
          <w:sz w:val="24"/>
        </w:rPr>
        <w:t xml:space="preserve">本次评审采用最低评标价法：是指在投标文件能够满足招标文件全部实质性要求的投标人中，按评标价格由低到高排序，评标价格最低的为第一中标候选人，采购人确认为中标单位。评标价格=0.50×P固定+0.50×ΔP，其中P固定、ΔP以开标一览表填报为准。如两家或两家以上投标单位的评标价格相同且都为最低，则由采购人代表现场对上述单位进行随机抽签，抽到的投标人即确定为中标单位。</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二、报价说明</w:t>
      </w:r>
      <w:r/>
    </w:p>
    <w:p>
      <w:pPr>
        <w:ind w:firstLine="482"/>
        <w:spacing w:line="360" w:lineRule="auto"/>
        <w:rPr>
          <w:rFonts w:hint="eastAsia" w:ascii="宋体" w:hAnsi="宋体" w:eastAsia="宋体" w:cs="宋体"/>
          <w:b/>
          <w:bCs/>
          <w:sz w:val="24"/>
        </w:rPr>
      </w:pPr>
      <w:r>
        <w:rPr>
          <w:rFonts w:hint="eastAsia" w:ascii="宋体" w:hAnsi="宋体" w:eastAsia="宋体" w:cs="宋体"/>
          <w:b/>
          <w:sz w:val="24"/>
        </w:rPr>
        <w:t xml:space="preserve">报价说明：本项目采用"固定价格+市场联动价格"零售套餐报价。投标人须在开标一览表中填报固定价格P固定（元/千瓦时）和浮动价格ΔP（元/千瓦时），均精确到小数点后</w:t>
      </w:r>
      <w:r>
        <w:rPr>
          <w:rFonts w:hint="eastAsia" w:ascii="宋体" w:hAnsi="宋体" w:eastAsia="宋体" w:cs="宋体"/>
          <w:b/>
          <w:sz w:val="24"/>
        </w:rPr>
        <w:t xml:space="preserve">二</w:t>
      </w:r>
      <w:r>
        <w:rPr>
          <w:rFonts w:hint="eastAsia" w:ascii="宋体" w:hAnsi="宋体" w:eastAsia="宋体" w:cs="宋体"/>
          <w:b/>
          <w:sz w:val="24"/>
        </w:rPr>
        <w:t xml:space="preserve">位；</w:t>
      </w:r>
      <w:r/>
    </w:p>
    <w:p>
      <w:pPr>
        <w:ind w:firstLine="482"/>
        <w:spacing w:line="360" w:lineRule="auto"/>
        <w:rPr>
          <w:rFonts w:hint="eastAsia" w:ascii="宋体" w:hAnsi="宋体" w:eastAsia="宋体" w:cs="宋体"/>
          <w:b/>
          <w:bCs/>
          <w:sz w:val="24"/>
        </w:rPr>
      </w:pPr>
      <w:r>
        <w:rPr>
          <w:rFonts w:hint="eastAsia" w:ascii="宋体" w:hAnsi="宋体" w:eastAsia="宋体" w:cs="宋体"/>
          <w:b/>
          <w:sz w:val="24"/>
        </w:rPr>
        <w:t xml:space="preserve">市场化成交电价结算：按照"固定价格+市场联动价格"零售套餐结算，即P=min[0.50×P固定+0.50×(0.90×P中长期+0.10×P实时+ΔP)，（1+K浮动）×P购电均价]，其中P中长期为批发市场中长期交易加权出清均价，P实时为现货实时市场统一结算点算术均价，P购电均价为所有售电公司当月批发市场结算加权均价；优惠收益100%归滨海县路灯亮化所所有，并直接在向电网经营企业缴交用电费用中扣减。</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三、政府采购政策功能落实</w:t>
      </w:r>
      <w:bookmarkEnd w:id="16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1、小微型企业价格扣除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（1）本项目不专门面向中小企业采购，对符合规定的小型和微型企业报价给予20%的扣除价格，用扣除后的价格参与评审。</w:t>
      </w:r>
      <w:r>
        <w:rPr>
          <w:rFonts w:hint="eastAsia" w:ascii="宋体" w:hAnsi="宋体" w:eastAsia="宋体" w:cs="宋体"/>
          <w:b/>
          <w:sz w:val="24"/>
        </w:rPr>
        <w:t xml:space="preserve">注：上述价格扣除针对本章规定的评标价格（0.50×P固定+0.50×ΔP）执行，即小微企业评标价格=（0.50×P固定+0.50×ΔP）×（1-20%），下同。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（2）供应商需按照采购文件的要求提供相应的《小微企业声明函》。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2、残疾人福利单位价格扣除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（1）本项目不专门面向中小企业采购，对符合规定的小型和微型企业报价给予20%的扣除价格，用扣除后的价格参与评审。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3、监狱和戒毒企业价格扣除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（1）本项目对监狱和戒毒企业（简称监狱企业）视同小型、微型企业，给予20%的价格扣除。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6、联合体各方均为小型、微型企业（残疾人福利单位、监狱企业）的，联合体享受20%的价格扣除。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四、评标标准</w:t>
      </w:r>
      <w:r/>
    </w:p>
    <w:p>
      <w:pPr>
        <w:ind w:firstLine="482"/>
        <w:spacing w:line="360" w:lineRule="auto"/>
        <w:rPr>
          <w:rFonts w:hint="eastAsia" w:ascii="宋体" w:hAnsi="宋体" w:eastAsia="宋体" w:cs="Times New Roman"/>
          <w:sz w:val="24"/>
        </w:rPr>
      </w:pPr>
      <w:r>
        <w:rPr>
          <w:rFonts w:hint="eastAsia" w:ascii="宋体" w:hAnsi="宋体" w:eastAsia="宋体" w:cs="宋体"/>
          <w:b/>
          <w:sz w:val="24"/>
        </w:rPr>
        <w:t xml:space="preserve">本次评审采用最低评标价法：是指在投标文件能够满足招标文件全部实质性要求的投标人中，按评标价格由低到高排序，评标价格最低的为第一中标候选人，采购人确认为中标单位。评标价格=0.50×P固定+0.50×ΔP，其中P固定、ΔP以开标一览表填报为准。如两家或两家以上投标单位的评标价格相同且都为最低，则由采购人代表现场对上述单位进行随机抽签，抽到的投标人即确定为中标单位。</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t xml:space="preserve">第六章  投标文件格式</w:t>
      </w:r>
      <w:r/>
    </w:p>
    <w:p>
      <w:pPr>
        <w:pStyle w:val="807"/>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r>
      <w:r/>
    </w:p>
    <w:p>
      <w:pPr>
        <w:pStyle w:val="807"/>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r>
      <w:r/>
    </w:p>
    <w:p>
      <w:pPr>
        <w:pStyle w:val="807"/>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 </w:t>
      </w:r>
      <w:r/>
    </w:p>
    <w:p>
      <w:pPr>
        <w:pStyle w:val="807"/>
        <w:jc w:val="center"/>
        <w:spacing w:beforeAutospacing="0" w:afterAutospacing="0"/>
        <w:rPr>
          <w:rFonts w:hint="eastAsia" w:ascii="宋体" w:hAnsi="宋体" w:eastAsia="宋体" w:cs="宋体"/>
        </w:rPr>
      </w:pPr>
      <w:r/>
      <w:bookmarkStart w:id="168" w:name="_Hlt26955039"/>
      <w:r/>
      <w:bookmarkStart w:id="169" w:name="_Hlt26671244"/>
      <w:r/>
      <w:bookmarkStart w:id="170" w:name="_Toc26554094"/>
      <w:r/>
      <w:bookmarkStart w:id="171" w:name="_Toc49090576"/>
      <w:r/>
      <w:bookmarkStart w:id="172" w:name="_Toc120614282"/>
      <w:r>
        <w:rPr>
          <w:rFonts w:hint="eastAsia" w:ascii="宋体" w:hAnsi="宋体" w:eastAsia="宋体" w:cs="宋体"/>
          <w:b/>
          <w:sz w:val="72"/>
          <w:szCs w:val="72"/>
        </w:rPr>
        <w:t xml:space="preserve">投  标  文  件</w:t>
      </w:r>
      <w:bookmarkEnd w:id="168"/>
      <w:r/>
      <w:bookmarkEnd w:id="169"/>
      <w:r/>
      <w:bookmarkEnd w:id="170"/>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rPr>
          <w:rFonts w:hint="eastAsia" w:ascii="宋体" w:hAnsi="宋体" w:eastAsia="宋体" w:cs="宋体"/>
        </w:rPr>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b/>
          <w:sz w:val="36"/>
          <w:szCs w:val="36"/>
          <w:u w:val="single"/>
        </w:rPr>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807"/>
        <w:jc w:val="both"/>
        <w:spacing w:beforeAutospacing="0" w:afterAutospacing="0"/>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both"/>
        <w:spacing w:beforeAutospacing="0" w:afterAutospacing="0"/>
        <w:rPr>
          <w:rFonts w:hint="eastAsia" w:ascii="宋体" w:hAnsi="宋体" w:eastAsia="宋体" w:cs="宋体"/>
          <w:b/>
          <w:sz w:val="36"/>
          <w:szCs w:val="36"/>
          <w:u w:val="single"/>
        </w:rPr>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807"/>
        <w:jc w:val="both"/>
        <w:spacing w:beforeAutospacing="0" w:afterAutospacing="0"/>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both"/>
        <w:spacing w:beforeAutospacing="0" w:afterAutospacing="0"/>
        <w:rPr>
          <w:rFonts w:hint="eastAsia" w:ascii="宋体" w:hAnsi="宋体" w:eastAsia="宋体" w:cs="宋体"/>
          <w:b/>
          <w:sz w:val="36"/>
          <w:szCs w:val="36"/>
          <w:u w:val="single"/>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07"/>
        <w:jc w:val="both"/>
        <w:spacing w:beforeAutospacing="0" w:afterAutospacing="0"/>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807"/>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jc w:val="center"/>
        <w:rPr>
          <w:rFonts w:hint="eastAsia" w:ascii="宋体" w:hAnsi="宋体" w:eastAsia="宋体" w:cs="宋体"/>
        </w:rPr>
      </w:pPr>
      <w:r>
        <w:rPr>
          <w:rFonts w:hint="eastAsia" w:ascii="宋体" w:hAnsi="宋体" w:eastAsia="宋体" w:cs="宋体"/>
          <w:b/>
          <w:sz w:val="36"/>
          <w:szCs w:val="36"/>
          <w:u w:val="single"/>
        </w:rPr>
        <w:br w:type="page" w:clear="all"/>
      </w:r>
      <w:r>
        <w:rPr>
          <w:rFonts w:hint="eastAsia" w:ascii="宋体" w:hAnsi="宋体" w:eastAsia="宋体" w:cs="宋体"/>
          <w:b/>
          <w:sz w:val="32"/>
          <w:szCs w:val="32"/>
        </w:rPr>
        <w:t xml:space="preserve">投标文件目录</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left="480"/>
        <w:jc w:val="both"/>
        <w:spacing w:beforeAutospacing="0" w:afterAutospacing="0"/>
        <w:rPr>
          <w:rFonts w:hint="eastAsia" w:ascii="宋体" w:hAnsi="宋体" w:eastAsia="宋体" w:cs="宋体"/>
          <w:iCs/>
        </w:rPr>
      </w:pPr>
      <w:r>
        <w:rPr>
          <w:rFonts w:hint="eastAsia" w:ascii="宋体" w:hAnsi="宋体" w:eastAsia="宋体" w:cs="宋体"/>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sz w:val="24"/>
        </w:rPr>
        <w:t xml:space="preserve">二、上一年度的财务状况报告（至少提供资产负债表、利润表、现金流量表，</w:t>
      </w:r>
      <w:r/>
    </w:p>
    <w:p>
      <w:pPr>
        <w:pStyle w:val="807"/>
        <w:ind w:left="480"/>
        <w:jc w:val="both"/>
        <w:spacing w:beforeAutospacing="0" w:afterAutospacing="0"/>
        <w:rPr>
          <w:rFonts w:hint="eastAsia" w:ascii="宋体" w:hAnsi="宋体" w:eastAsia="宋体" w:cs="宋体"/>
          <w:iCs/>
        </w:rPr>
      </w:pPr>
      <w:r>
        <w:rPr>
          <w:rFonts w:hint="eastAsia" w:ascii="宋体" w:hAnsi="宋体" w:eastAsia="宋体" w:cs="宋体"/>
        </w:rPr>
        <w:t xml:space="preserve">投标人成立不满一年无需提供）</w:t>
      </w:r>
      <w:r/>
    </w:p>
    <w:p>
      <w:pPr>
        <w:pStyle w:val="807"/>
        <w:ind w:left="480"/>
        <w:jc w:val="both"/>
        <w:spacing w:beforeAutospacing="0" w:afterAutospacing="0"/>
        <w:rPr>
          <w:rFonts w:hint="eastAsia" w:ascii="宋体" w:hAnsi="宋体" w:eastAsia="宋体" w:cs="宋体"/>
          <w:iCs/>
        </w:rPr>
      </w:pPr>
      <w:r>
        <w:rPr>
          <w:rFonts w:hint="eastAsia" w:ascii="宋体" w:hAnsi="宋体" w:eastAsia="宋体" w:cs="宋体"/>
        </w:rPr>
        <w:t xml:space="preserve">三、具备履行合同所必需的设备和专业技术能力的书面声明</w:t>
      </w:r>
      <w:r/>
    </w:p>
    <w:p>
      <w:pPr>
        <w:pStyle w:val="807"/>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7"/>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807"/>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六、特定资格要求的证明文件（如果本项目设置特定资格要求，则需要提供）</w:t>
      </w:r>
      <w:r/>
    </w:p>
    <w:p>
      <w:pPr>
        <w:pStyle w:val="807"/>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七、法人授权书</w:t>
      </w:r>
      <w:r/>
    </w:p>
    <w:p>
      <w:pPr>
        <w:pStyle w:val="807"/>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八、投标函</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九、中小企业声明函</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十、残疾人福利性单位声明函</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 关于符合本国产品标准的声明函</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十二、联合体协议</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十三、技术要求响应及偏离表</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十四、商务要求响应及偏离表</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十五、开标一览表</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十六、技术方案、服务承诺、培训承诺等</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十七、服务承诺书</w:t>
      </w:r>
      <w:r/>
    </w:p>
    <w:p>
      <w:pPr>
        <w:pStyle w:val="807"/>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一、法人或者其他组织的营业执照等证明文件，自然人的身份证明</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二、上一年度的财务状况报告</w:t>
      </w:r>
      <w:r/>
    </w:p>
    <w:p>
      <w:pPr>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三、具备履行合同所必需的设备和专业技术能力的书面声明</w:t>
      </w:r>
      <w:r/>
    </w:p>
    <w:p>
      <w:pPr>
        <w:pStyle w:val="807"/>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07"/>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07"/>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四、依法缴纳税收和社会保障资金的相关材料</w:t>
      </w:r>
      <w:r/>
    </w:p>
    <w:p>
      <w:pPr>
        <w:pStyle w:val="807"/>
        <w:ind w:firstLine="480"/>
        <w:jc w:val="both"/>
        <w:spacing w:beforeAutospacing="0" w:afterAutospacing="0"/>
        <w:rPr>
          <w:rFonts w:hint="eastAsia" w:ascii="宋体" w:hAnsi="宋体" w:eastAsia="宋体" w:cs="宋体"/>
        </w:rPr>
      </w:pPr>
      <w:r/>
      <w:bookmarkStart w:id="173"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173"/>
      <w:r/>
      <w:r/>
    </w:p>
    <w:p>
      <w:pPr>
        <w:pStyle w:val="807"/>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五、参加政府采购活动前 3 年内在经营活动中没有重大违法记录的书面声明</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b/>
          <w:sz w:val="44"/>
          <w:szCs w:val="44"/>
        </w:rPr>
        <w:t xml:space="preserve">       声  明</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六、特定资格要求的证明文件</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如果本项目申请人的特定资格要求中要求提供的，必须提供。</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07"/>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07"/>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p>
    <w:p>
      <w:pPr>
        <w:pStyle w:val="807"/>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p>
    <w:p>
      <w:pPr>
        <w:pStyle w:val="807"/>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p>
    <w:p>
      <w:pPr>
        <w:pStyle w:val="807"/>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p>
    <w:p>
      <w:pPr>
        <w:pStyle w:val="807"/>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p>
    <w:p>
      <w:pPr>
        <w:pStyle w:val="807"/>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bCs/>
          <w:i/>
          <w:sz w:val="32"/>
          <w:szCs w:val="32"/>
          <w:u w:val="single"/>
        </w:rPr>
      </w:r>
      <w:r/>
    </w:p>
    <w:p>
      <w:pPr>
        <w:pStyle w:val="807"/>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07"/>
        <w:jc w:val="center"/>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七、法人授权书</w:t>
      </w:r>
      <w:r/>
    </w:p>
    <w:p>
      <w:pPr>
        <w:pStyle w:val="807"/>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本授权书声明：____________（投标人名称）授权________________（被授权人的姓名）为我方就JSZC-</w:t>
      </w:r>
      <w:r>
        <w:rPr>
          <w:rFonts w:hint="eastAsia" w:ascii="宋体" w:hAnsi="宋体" w:eastAsia="宋体" w:cs="宋体"/>
          <w:u w:val="single"/>
        </w:rPr>
        <w:t xml:space="preserve">        </w:t>
      </w:r>
      <w:r>
        <w:rPr>
          <w:rFonts w:hint="eastAsia" w:ascii="宋体" w:hAnsi="宋体" w:eastAsia="宋体" w:cs="宋体"/>
        </w:rPr>
        <w:t xml:space="preserve">号项目采购活动的合法代理人，以本单位名义全权处理一切与该项目采购有关的事务。</w:t>
      </w:r>
      <w:r/>
    </w:p>
    <w:p>
      <w:pPr>
        <w:pStyle w:val="807"/>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本授权书于______年____月____日起生效，特此声明。</w:t>
      </w:r>
      <w:r/>
    </w:p>
    <w:p>
      <w:pPr>
        <w:pStyle w:val="807"/>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被授权人身份证号码：</w:t>
      </w:r>
      <w:r>
        <w:rPr>
          <w:rFonts w:hint="eastAsia" w:ascii="宋体" w:hAnsi="宋体" w:eastAsia="宋体" w:cs="宋体"/>
          <w:u w:val="single"/>
        </w:rPr>
        <w:t xml:space="preserve">        </w:t>
      </w:r>
      <w:r/>
    </w:p>
    <w:p>
      <w:pPr>
        <w:pStyle w:val="807"/>
        <w:jc w:val="both"/>
        <w:spacing w:beforeAutospacing="0" w:afterAutospacing="0"/>
        <w:tabs>
          <w:tab w:val="left" w:pos="360" w:leader="none"/>
        </w:tabs>
        <w:rPr>
          <w:rFonts w:hint="eastAsia" w:ascii="宋体" w:hAnsi="宋体" w:eastAsia="宋体" w:cs="宋体"/>
          <w:u w:val="single"/>
        </w:rPr>
      </w:pPr>
      <w:r>
        <w:rPr>
          <w:rFonts w:hint="eastAsia" w:ascii="宋体" w:hAnsi="宋体" w:eastAsia="宋体" w:cs="宋体"/>
        </w:rPr>
        <w:t xml:space="preserve">  被授权人联系电话：（手机）</w:t>
      </w:r>
      <w:r>
        <w:rPr>
          <w:rFonts w:hint="eastAsia" w:ascii="宋体" w:hAnsi="宋体" w:eastAsia="宋体" w:cs="宋体"/>
          <w:u w:val="single"/>
        </w:rPr>
        <w:t xml:space="preserve">            </w:t>
      </w:r>
      <w:r/>
    </w:p>
    <w:p>
      <w:pPr>
        <w:pStyle w:val="807"/>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授权单位名称：</w:t>
      </w:r>
      <w:r>
        <w:rPr>
          <w:rFonts w:hint="eastAsia" w:ascii="宋体" w:hAnsi="宋体" w:eastAsia="宋体" w:cs="宋体"/>
          <w:u w:val="single"/>
        </w:rPr>
        <w:t xml:space="preserve">（加盖CA电子公章）</w:t>
      </w:r>
      <w:r/>
    </w:p>
    <w:p>
      <w:pPr>
        <w:pStyle w:val="807"/>
        <w:ind w:firstLine="480"/>
        <w:jc w:val="both"/>
        <w:spacing w:beforeAutospacing="0" w:afterAutospacing="0"/>
        <w:tabs>
          <w:tab w:val="left" w:pos="360" w:leader="none"/>
        </w:tabs>
        <w:rPr>
          <w:rFonts w:hint="eastAsia" w:ascii="宋体" w:hAnsi="宋体" w:eastAsia="宋体" w:cs="宋体"/>
          <w:u w:val="single"/>
        </w:rPr>
      </w:pPr>
      <w:r>
        <w:rPr>
          <w:rFonts w:hint="eastAsia" w:ascii="宋体" w:hAnsi="宋体" w:eastAsia="宋体" w:cs="宋体"/>
        </w:rPr>
        <w:t xml:space="preserve">单位地址：</w:t>
      </w:r>
      <w:r>
        <w:rPr>
          <w:rFonts w:hint="eastAsia" w:ascii="宋体" w:hAnsi="宋体" w:eastAsia="宋体" w:cs="宋体"/>
          <w:u w:val="single"/>
        </w:rPr>
        <w:t xml:space="preserve">                         </w:t>
      </w:r>
      <w:r/>
    </w:p>
    <w:p>
      <w:pPr>
        <w:pStyle w:val="807"/>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日期：</w:t>
      </w:r>
      <w:bookmarkStart w:id="174" w:name="_Hlt26955070"/>
      <w:r/>
      <w:bookmarkStart w:id="175" w:name="_Hlt26671380"/>
      <w:r/>
      <w:bookmarkStart w:id="176" w:name="_格式3__银行出具的资信证明"/>
      <w:r>
        <w:rPr>
          <w:rFonts w:hint="eastAsia" w:ascii="宋体" w:hAnsi="宋体" w:eastAsia="宋体" w:cs="宋体"/>
          <w:u w:val="single"/>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3390"/>
        <w:jc w:val="both"/>
        <w:keepLines/>
        <w:keepNext/>
        <w:spacing w:before="260" w:beforeAutospacing="0" w:after="260" w:afterAutospacing="0" w:line="415" w:lineRule="auto"/>
        <w:rPr>
          <w:rFonts w:hint="eastAsia" w:ascii="宋体" w:hAnsi="宋体" w:eastAsia="宋体" w:cs="宋体"/>
          <w:b/>
          <w:sz w:val="32"/>
          <w:szCs w:val="32"/>
        </w:rPr>
      </w:pPr>
      <w:r>
        <w:rPr>
          <w:rFonts w:hint="eastAsia" w:ascii="宋体" w:hAnsi="宋体" w:eastAsia="宋体" w:cs="宋体"/>
          <w:b/>
        </w:rPr>
        <w:br w:type="page" w:clear="all"/>
      </w:r>
      <w:r>
        <w:rPr>
          <w:rFonts w:hint="eastAsia" w:ascii="宋体" w:hAnsi="宋体" w:eastAsia="宋体" w:cs="宋体"/>
          <w:b/>
        </w:rPr>
        <w:t xml:space="preserve"> </w:t>
      </w:r>
      <w:r>
        <w:rPr>
          <w:rFonts w:hint="eastAsia" w:ascii="宋体" w:hAnsi="宋体" w:eastAsia="宋体" w:cs="宋体"/>
          <w:b/>
          <w:sz w:val="32"/>
          <w:szCs w:val="32"/>
        </w:rPr>
        <w:t xml:space="preserve">八、投标函</w:t>
      </w:r>
      <w:r/>
    </w:p>
    <w:p>
      <w:pPr>
        <w:pStyle w:val="807"/>
        <w:spacing w:beforeAutospacing="0" w:afterAutospacing="0" w:line="0" w:lineRule="atLeast"/>
        <w:rPr>
          <w:rFonts w:hint="eastAsia" w:ascii="宋体" w:hAnsi="宋体" w:eastAsia="宋体" w:cs="宋体"/>
        </w:rPr>
      </w:pPr>
      <w:r>
        <w:rPr>
          <w:rFonts w:hint="eastAsia" w:ascii="宋体" w:hAnsi="宋体" w:eastAsia="宋体" w:cs="宋体"/>
        </w:rPr>
        <w:t xml:space="preserve">致：滨海县城市管理局</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根据贵方的JSZC-320000-***号招标文件，正式授权下述签字人______(姓名)代表我方______________（投标人的名称），全权处理本次项目投标的有关事宜。</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据此函，__________签字人兹宣布同意如下：</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1.按招标文件规定的各项要求，向买方提供所需服务（包含与服务相关的货物）。</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2.我们完全理解贵方不一定将合同授予最低报价的投标人。</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4.我们同意从规定的开标日期起遵循本投标文件，并在规定的投标有效期期满之前均具有约束力。</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07"/>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7.与本投标有关的正式通讯地址为：</w:t>
      </w:r>
      <w:r/>
    </w:p>
    <w:p>
      <w:pPr>
        <w:pStyle w:val="807"/>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地          址：</w:t>
      </w:r>
      <w:r/>
    </w:p>
    <w:p>
      <w:pPr>
        <w:pStyle w:val="807"/>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邮          编：</w:t>
      </w:r>
      <w:r/>
    </w:p>
    <w:p>
      <w:pPr>
        <w:pStyle w:val="807"/>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电          话：</w:t>
      </w:r>
      <w:r/>
    </w:p>
    <w:p>
      <w:pPr>
        <w:pStyle w:val="807"/>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传          真：</w:t>
      </w:r>
      <w:r/>
    </w:p>
    <w:p>
      <w:pPr>
        <w:pStyle w:val="807"/>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投标人开户行：</w:t>
      </w:r>
      <w:r/>
    </w:p>
    <w:p>
      <w:pPr>
        <w:pStyle w:val="807"/>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账          号： </w:t>
      </w:r>
      <w:r/>
    </w:p>
    <w:p>
      <w:pPr>
        <w:pStyle w:val="807"/>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日           期：________年____月____日</w:t>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九、中小企业声明函（服务）（分包号：**）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号）的规定，本公司（联合体）参加滨海县城市管理局组织的</w:t>
      </w:r>
      <w:r>
        <w:rPr>
          <w:rFonts w:hint="eastAsia" w:ascii="宋体" w:hAnsi="宋体" w:eastAsia="宋体" w:cs="宋体"/>
          <w:i/>
          <w:iCs/>
          <w:sz w:val="24"/>
          <w:u w:val="single"/>
        </w:rPr>
        <w:t xml:space="preserve">（单位名称）</w:t>
      </w:r>
      <w:r>
        <w:rPr>
          <w:rFonts w:hint="eastAsia" w:ascii="宋体" w:hAnsi="宋体" w:eastAsia="宋体" w:cs="宋体"/>
          <w:sz w:val="24"/>
          <w:szCs w:val="20"/>
        </w:rPr>
        <w:t xml:space="preserve">，</w:t>
      </w:r>
      <w:r>
        <w:rPr>
          <w:rFonts w:hint="eastAsia" w:ascii="宋体" w:hAnsi="宋体" w:eastAsia="宋体" w:cs="宋体"/>
          <w:sz w:val="24"/>
        </w:rPr>
        <w:t xml:space="preserve">采购编号为</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i/>
          <w:iCs/>
          <w:sz w:val="24"/>
          <w:u w:val="single"/>
        </w:rPr>
        <w:t xml:space="preserve">（项目名称）</w:t>
      </w:r>
      <w:r>
        <w:rPr>
          <w:rFonts w:hint="eastAsia" w:ascii="宋体" w:hAnsi="宋体" w:eastAsia="宋体" w:cs="宋体"/>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numPr>
          <w:ilvl w:val="0"/>
          <w:numId w:val="1"/>
        </w:numPr>
        <w:ind w:firstLine="480"/>
        <w:spacing w:line="50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807"/>
        <w:ind w:right="7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t xml:space="preserve">企业名称（加盖CA电子公章）：</w:t>
      </w:r>
      <w:r/>
    </w:p>
    <w:p>
      <w:pPr>
        <w:pStyle w:val="807"/>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日  期：</w:t>
      </w:r>
      <w:r/>
    </w:p>
    <w:p>
      <w:pPr>
        <w:pStyle w:val="807"/>
        <w:ind w:firstLine="24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备注1：从业人员、营业收入、资产总额填报上一年度数据，无上一年度数据的新成立企业可不填报。</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 十、残疾人福利性单位声明函（分包号：**）</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备注：1、供应商如不提供此声明函，价格将不做相应扣除（如项目全面面向中小企业，则资格审查不通过）。</w:t>
      </w:r>
      <w:r/>
    </w:p>
    <w:p>
      <w:pPr>
        <w:pStyle w:val="80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2、中标人为残疾人福利单位的，此声明函将随中标结果同时公告，接受社会监督</w:t>
      </w:r>
      <w:r/>
    </w:p>
    <w:p>
      <w:pPr>
        <w:pStyle w:val="807"/>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ind w:right="1560" w:firstLine="624"/>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sz w:val="30"/>
          <w:szCs w:val="30"/>
        </w:rPr>
        <w:t xml:space="preserve">             </w:t>
      </w:r>
      <w:r>
        <w:rPr>
          <w:rFonts w:hint="eastAsia" w:ascii="宋体" w:hAnsi="宋体" w:eastAsia="宋体" w:cs="宋体"/>
        </w:rPr>
        <w:t xml:space="preserve">   供应商全称（加盖CA电子公章）：</w:t>
      </w:r>
      <w:r/>
    </w:p>
    <w:p>
      <w:pPr>
        <w:pStyle w:val="807"/>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rPr>
        <w:t xml:space="preserve">        日  期：</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rPr>
          <w:rFonts w:hint="eastAsia" w:ascii="宋体" w:hAnsi="宋体" w:eastAsia="宋体" w:cs="宋体"/>
          <w:b/>
          <w:bCs/>
          <w:sz w:val="32"/>
          <w:szCs w:val="32"/>
        </w:rPr>
        <w:t xml:space="preserve">十一、 关于符合本国产品标准的声明函（采购包号：**）</w:t>
      </w:r>
      <w:r/>
    </w:p>
    <w:p>
      <w:pPr>
        <w:pStyle w:val="807"/>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ind w:firstLine="420"/>
        <w:jc w:val="both"/>
        <w:spacing w:beforeAutospacing="0" w:afterAutospacing="0"/>
        <w:rPr>
          <w:rFonts w:hint="eastAsia" w:ascii="宋体" w:hAnsi="宋体" w:eastAsia="宋体" w:cs="宋体"/>
          <w:b/>
          <w:bCs/>
        </w:rPr>
      </w:pPr>
      <w:r>
        <w:rPr>
          <w:rFonts w:hint="eastAsia"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firstLine="420"/>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1.</w:t>
      </w:r>
      <w:r>
        <w:rPr>
          <w:rFonts w:hint="eastAsia" w:ascii="宋体" w:hAnsi="宋体" w:eastAsia="宋体" w:cs="宋体"/>
          <w:b/>
          <w:bCs/>
          <w:u w:val="single"/>
          <w:shd w:val="clear" w:color="auto" w:fill="ffffff"/>
        </w:rPr>
        <w:t xml:space="preserve">（产品名称1）</w:t>
      </w:r>
      <w:r>
        <w:rPr>
          <w:rFonts w:hint="eastAsia" w:ascii="宋体" w:hAnsi="宋体" w:eastAsia="宋体" w:cs="宋体"/>
          <w:b/>
          <w:bCs/>
          <w:shd w:val="clear" w:color="auto" w:fill="ffffff"/>
          <w:vertAlign w:val="superscript"/>
        </w:rPr>
        <w:t xml:space="preserve">1</w:t>
      </w:r>
      <w:r>
        <w:rPr>
          <w:rFonts w:hint="eastAsia" w:ascii="宋体" w:hAnsi="宋体" w:eastAsia="宋体" w:cs="宋体"/>
          <w:b/>
          <w:bCs/>
          <w:shd w:val="clear" w:color="auto" w:fill="ffffff"/>
        </w:rPr>
        <w:t xml:space="preserve">，生产厂为</w:t>
      </w:r>
      <w:r>
        <w:rPr>
          <w:rFonts w:hint="eastAsia" w:ascii="宋体" w:hAnsi="宋体" w:eastAsia="宋体" w:cs="宋体"/>
          <w:b/>
          <w:bCs/>
          <w:u w:val="single"/>
          <w:shd w:val="clear" w:color="auto" w:fill="ffffff"/>
        </w:rPr>
        <w:t xml:space="preserve">（厂名）</w:t>
      </w:r>
      <w:r>
        <w:rPr>
          <w:rFonts w:hint="eastAsia" w:ascii="宋体" w:hAnsi="宋体" w:eastAsia="宋体" w:cs="宋体"/>
          <w:b/>
          <w:bCs/>
          <w:shd w:val="clear" w:color="auto" w:fill="ffffff"/>
          <w:vertAlign w:val="superscript"/>
        </w:rPr>
        <w:t xml:space="preserve">2</w:t>
      </w:r>
      <w:r>
        <w:rPr>
          <w:rFonts w:hint="eastAsia" w:ascii="宋体" w:hAnsi="宋体" w:eastAsia="宋体" w:cs="宋体"/>
          <w:b/>
          <w:bCs/>
          <w:shd w:val="clear" w:color="auto" w:fill="ffffff"/>
        </w:rPr>
        <w:t xml:space="preserve">，厂址为</w:t>
      </w:r>
      <w:r>
        <w:rPr>
          <w:rFonts w:hint="eastAsia" w:ascii="宋体" w:hAnsi="宋体" w:eastAsia="宋体" w:cs="宋体"/>
          <w:b/>
          <w:bCs/>
          <w:u w:val="single"/>
          <w:shd w:val="clear" w:color="auto" w:fill="ffffff"/>
        </w:rPr>
        <w:t xml:space="preserve">（生产厂址）</w:t>
      </w:r>
      <w:r>
        <w:rPr>
          <w:rFonts w:hint="eastAsia" w:ascii="宋体" w:hAnsi="宋体" w:eastAsia="宋体" w:cs="宋体"/>
          <w:b/>
          <w:bCs/>
          <w:shd w:val="clear" w:color="auto" w:fill="ffffff"/>
        </w:rPr>
        <w:t xml:space="preserve">在中国境内完成。</w:t>
      </w:r>
      <w:r/>
    </w:p>
    <w:p>
      <w:pPr>
        <w:pStyle w:val="807"/>
        <w:ind w:firstLine="420"/>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w:t>
      </w:r>
      <w:r/>
    </w:p>
    <w:p>
      <w:pPr>
        <w:pStyle w:val="807"/>
        <w:ind w:firstLine="420"/>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本公司（单位）对上述声明内容的真实性负责。如有虚假，愿承担相应法律责任。</w:t>
      </w:r>
      <w:r/>
    </w:p>
    <w:p>
      <w:pPr>
        <w:pStyle w:val="807"/>
        <w:jc w:val="both"/>
        <w:spacing w:before="30" w:beforeAutospacing="0" w:after="30" w:afterAutospacing="0"/>
        <w:rPr>
          <w:rFonts w:hint="eastAsia" w:ascii="宋体" w:hAnsi="宋体" w:eastAsia="宋体" w:cs="宋体"/>
          <w:b/>
          <w:bCs/>
        </w:rPr>
      </w:pPr>
      <w:r>
        <w:rPr>
          <w:rFonts w:hint="eastAsia" w:ascii="宋体" w:hAnsi="宋体" w:eastAsia="宋体" w:cs="宋体"/>
          <w:b/>
          <w:bCs/>
        </w:rPr>
        <w:t xml:space="preserve"> </w:t>
      </w:r>
      <w:r/>
    </w:p>
    <w:p>
      <w:pPr>
        <w:pStyle w:val="807"/>
        <w:ind w:right="480" w:firstLine="3720"/>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公司（单位）名称（盖章）：　</w:t>
      </w:r>
      <w:r/>
    </w:p>
    <w:p>
      <w:pPr>
        <w:pStyle w:val="807"/>
        <w:jc w:val="center"/>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               日期：　   年　  月　  日         </w:t>
      </w:r>
      <w:r/>
    </w:p>
    <w:p>
      <w:pPr>
        <w:pStyle w:val="807"/>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__________________</w:t>
      </w:r>
      <w:r/>
    </w:p>
    <w:p>
      <w:pPr>
        <w:pStyle w:val="807"/>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1.产品如有型号，请在“产品名称”栏一并填写。</w:t>
      </w:r>
      <w:r/>
    </w:p>
    <w:p>
      <w:pPr>
        <w:pStyle w:val="807"/>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2.生产厂名与厂址应与生产厂营业执照载明的相关信息保持一致。</w:t>
      </w:r>
      <w:r/>
    </w:p>
    <w:p>
      <w:pPr>
        <w:pStyle w:val="807"/>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3.该产品的中国境内生产的组件成本占比相关要求实施前，“规定比例”栏可不填，下同。</w:t>
      </w:r>
      <w:r/>
    </w:p>
    <w:p>
      <w:pPr>
        <w:pStyle w:val="807"/>
        <w:jc w:val="both"/>
        <w:spacing w:before="30" w:beforeAutospacing="0" w:after="30" w:afterAutospacing="0"/>
        <w:rPr>
          <w:rFonts w:hint="eastAsia" w:ascii="宋体" w:hAnsi="宋体" w:eastAsia="宋体" w:cs="宋体"/>
          <w:b/>
          <w:bCs/>
        </w:rPr>
      </w:pPr>
      <w:r>
        <w:rPr>
          <w:rFonts w:hint="eastAsia" w:ascii="宋体" w:hAnsi="宋体" w:eastAsia="宋体" w:cs="宋体"/>
          <w:b/>
          <w:bCs/>
          <w:shd w:val="clear" w:color="auto" w:fill="ffffff"/>
        </w:rPr>
        <w:t xml:space="preserve">4.该产品的关键组件要求实施前，“关键组件”栏可不填，下同。</w:t>
      </w:r>
      <w:r/>
    </w:p>
    <w:p>
      <w:pPr>
        <w:pStyle w:val="807"/>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t xml:space="preserve">5.该产品的关键工序要求实施前，“关键工序”栏可不填，下同。</w:t>
      </w:r>
      <w:r/>
    </w:p>
    <w:p>
      <w:pPr>
        <w:pStyle w:val="807"/>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t xml:space="preserve">6.用横线划除的地方无需填写。</w:t>
      </w:r>
      <w:r/>
    </w:p>
    <w:p>
      <w:pPr>
        <w:pStyle w:val="807"/>
        <w:jc w:val="both"/>
        <w:spacing w:before="30" w:beforeAutospacing="0" w:after="30" w:afterAutospacing="0"/>
        <w:rPr>
          <w:rFonts w:hint="eastAsia" w:ascii="宋体" w:hAnsi="宋体" w:eastAsia="宋体" w:cs="宋体"/>
          <w:b/>
          <w:bCs/>
        </w:rPr>
      </w:pPr>
      <w:r>
        <w:rPr>
          <w:rFonts w:hint="eastAsia" w:ascii="宋体" w:hAnsi="宋体" w:eastAsia="宋体" w:cs="宋体"/>
          <w:b/>
          <w:bCs/>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07"/>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jc w:val="center"/>
        <w:rPr>
          <w:rFonts w:hint="eastAsia" w:ascii="宋体" w:hAnsi="宋体" w:eastAsia="宋体" w:cs="宋体"/>
          <w:b/>
          <w:bCs/>
          <w:sz w:val="24"/>
        </w:rPr>
      </w:pPr>
      <w:r>
        <w:rPr>
          <w:rFonts w:hint="eastAsia" w:ascii="宋体" w:hAnsi="宋体" w:eastAsia="宋体" w:cs="宋体"/>
          <w:b/>
          <w:bCs/>
          <w:sz w:val="24"/>
        </w:rPr>
      </w:r>
      <w:r/>
    </w:p>
    <w:p>
      <w:pPr>
        <w:spacing w:line="241" w:lineRule="auto"/>
        <w:rPr>
          <w:rFonts w:hint="eastAsia" w:ascii="宋体" w:hAnsi="宋体" w:eastAsia="宋体" w:cs="宋体"/>
          <w:b/>
          <w:bCs/>
        </w:rPr>
      </w:pPr>
      <w:r>
        <w:rPr>
          <w:rFonts w:hint="eastAsia" w:ascii="宋体" w:hAnsi="宋体" w:eastAsia="宋体" w:cs="宋体"/>
          <w:b/>
          <w:bCs/>
        </w:rPr>
      </w:r>
      <w:r/>
    </w:p>
    <w:p>
      <w:pPr>
        <w:spacing w:line="241" w:lineRule="auto"/>
        <w:rPr>
          <w:rFonts w:hint="eastAsia" w:ascii="宋体" w:hAnsi="宋体" w:eastAsia="宋体" w:cs="宋体"/>
          <w:b/>
          <w:bCs/>
        </w:rPr>
      </w:pPr>
      <w:r>
        <w:rPr>
          <w:rFonts w:hint="eastAsia" w:ascii="宋体" w:hAnsi="宋体" w:eastAsia="宋体" w:cs="宋体"/>
          <w:b/>
          <w:bCs/>
        </w:rPr>
      </w:r>
      <w:r/>
    </w:p>
    <w:p>
      <w:pPr>
        <w:pStyle w:val="807"/>
        <w:jc w:val="center"/>
        <w:spacing w:beforeAutospacing="0" w:afterAutospacing="0" w:line="0" w:lineRule="atLeast"/>
        <w:rPr>
          <w:rFonts w:hint="eastAsia" w:ascii="宋体" w:hAnsi="宋体" w:eastAsia="宋体" w:cs="宋体"/>
          <w:b/>
          <w:bCs/>
        </w:rPr>
      </w:pPr>
      <w:r>
        <w:rPr>
          <w:rFonts w:hint="eastAsia" w:ascii="宋体" w:hAnsi="宋体" w:eastAsia="宋体" w:cs="宋体"/>
          <w:b/>
          <w:bCs/>
        </w:rPr>
      </w:r>
      <w:r/>
    </w:p>
    <w:p>
      <w:pPr>
        <w:pStyle w:val="807"/>
        <w:jc w:val="center"/>
        <w:spacing w:beforeAutospacing="0" w:afterAutospacing="0" w:line="0" w:lineRule="atLeast"/>
        <w:rPr>
          <w:rFonts w:hint="eastAsia" w:ascii="宋体" w:hAnsi="宋体" w:eastAsia="宋体" w:cs="宋体"/>
          <w:b/>
          <w:bCs/>
        </w:rPr>
      </w:pPr>
      <w:r>
        <w:rPr>
          <w:rFonts w:hint="eastAsia" w:ascii="宋体" w:hAnsi="宋体" w:eastAsia="宋体" w:cs="宋体"/>
          <w:b/>
          <w:bCs/>
        </w:rPr>
      </w:r>
      <w:r/>
    </w:p>
    <w:p>
      <w:pPr>
        <w:pStyle w:val="807"/>
        <w:jc w:val="center"/>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 </w:t>
      </w:r>
      <w:r/>
    </w:p>
    <w:p>
      <w:pPr>
        <w:pStyle w:val="807"/>
        <w:jc w:val="center"/>
        <w:spacing w:beforeAutospacing="0" w:afterAutospacing="0" w:line="0" w:lineRule="atLeast"/>
        <w:rPr>
          <w:rFonts w:hint="eastAsia" w:ascii="宋体" w:hAnsi="宋体" w:eastAsia="宋体" w:cs="宋体"/>
          <w:b/>
          <w:bCs/>
        </w:rPr>
      </w:pPr>
      <w:r>
        <w:rPr>
          <w:rFonts w:hint="eastAsia" w:ascii="宋体" w:hAnsi="宋体" w:eastAsia="宋体" w:cs="宋体"/>
          <w:b/>
          <w:bCs/>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r>
      <w:r/>
    </w:p>
    <w:p>
      <w:pPr>
        <w:pStyle w:val="807"/>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十二、联合体协议（参考格式）（分包号：**）</w:t>
      </w:r>
      <w:r/>
    </w:p>
    <w:p>
      <w:pPr>
        <w:pStyle w:val="807"/>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本项目不接受联合体投标。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ind w:firstLine="964"/>
        <w:jc w:val="both"/>
        <w:spacing w:beforeAutospacing="0" w:afterAutospacing="0"/>
        <w:rPr>
          <w:rFonts w:hint="eastAsia" w:ascii="宋体" w:hAnsi="宋体" w:eastAsia="宋体" w:cs="宋体"/>
        </w:rPr>
      </w:pPr>
      <w:r>
        <w:rPr>
          <w:rFonts w:hint="eastAsia" w:ascii="宋体" w:hAnsi="宋体" w:eastAsia="宋体" w:cs="宋体"/>
          <w:b/>
          <w:sz w:val="32"/>
          <w:szCs w:val="32"/>
        </w:rPr>
        <w:t xml:space="preserve">十三、技术要求响应及偏离表（分包号：**）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bookmarkStart w:id="177" w:name="_Hlt26955054"/>
      <w:r>
        <w:rPr>
          <w:rFonts w:hint="eastAsia" w:ascii="宋体" w:hAnsi="宋体" w:eastAsia="宋体" w:cs="宋体"/>
          <w:b/>
          <w:sz w:val="32"/>
          <w:szCs w:val="32"/>
        </w:rPr>
        <w:t xml:space="preserve">十四、商务要求响应及偏离表（分包号：**）</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bookmarkStart w:id="178" w:name="_Hlt26671372"/>
            <w:r/>
            <w:bookmarkStart w:id="179" w:name="_Hlt24879081"/>
            <w:r/>
            <w:bookmarkStart w:id="180" w:name="_Hlt26782999"/>
            <w:r/>
            <w:bookmarkStart w:id="181" w:name="_Hlt26671343"/>
            <w:r/>
            <w:bookmarkStart w:id="182" w:name="_Hlt26609391"/>
            <w:r/>
            <w:bookmarkStart w:id="183" w:name="_Hlt26580838"/>
            <w:r/>
            <w:bookmarkStart w:id="184" w:name="_Hlt26955056"/>
            <w:r/>
            <w:bookmarkStart w:id="185" w:name="_Hlt26955064"/>
            <w:r>
              <w:rPr>
                <w:rFonts w:hint="eastAsia" w:ascii="宋体" w:hAnsi="宋体" w:eastAsia="宋体" w:cs="宋体"/>
              </w:rPr>
              <w:t xml:space="preserve">序号</w:t>
            </w:r>
            <w:bookmarkEnd w:id="178"/>
            <w:r/>
            <w:bookmarkEnd w:id="179"/>
            <w:r/>
            <w:bookmarkEnd w:id="180"/>
            <w:r/>
            <w:bookmarkEnd w:id="181"/>
            <w:r/>
            <w:bookmarkEnd w:id="182"/>
            <w:r/>
            <w:bookmarkEnd w:id="183"/>
            <w:r/>
            <w:bookmarkEnd w:id="184"/>
            <w:r/>
            <w:bookmarkEnd w:id="18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807"/>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hint="eastAsia" w:ascii="宋体" w:hAnsi="宋体" w:eastAsia="宋体" w:cs="宋体"/>
        </w:rPr>
      </w:pPr>
      <w:r/>
      <w:bookmarkStart w:id="186" w:name="_Hlt26609389"/>
      <w:r/>
      <w:bookmarkStart w:id="187" w:name="_Hlt26955066"/>
      <w:r/>
      <w:bookmarkStart w:id="188" w:name="_Toc462564146"/>
      <w:r/>
      <w:bookmarkStart w:id="189" w:name="_Hlt26671374"/>
      <w:r/>
      <w:bookmarkStart w:id="190" w:name="_格式2__法定代表人授权书"/>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ascii="宋体" w:hAnsi="宋体" w:eastAsia="宋体" w:cs="宋体"/>
        </w:rPr>
      </w:pPr>
      <w:r>
        <w:rPr>
          <w:rFonts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pStyle w:val="807"/>
        <w:jc w:val="both"/>
        <w:spacing w:beforeAutospacing="0" w:afterAutospacing="0"/>
        <w:rPr>
          <w:rFonts w:hint="eastAsia" w:ascii="宋体" w:hAnsi="宋体" w:eastAsia="宋体" w:cs="宋体"/>
        </w:rPr>
      </w:pPr>
      <w:r>
        <w:rPr>
          <w:rFonts w:hint="eastAsia" w:ascii="宋体" w:hAnsi="宋体" w:eastAsia="宋体" w:cs="宋体"/>
        </w:rPr>
      </w:r>
      <w:r/>
    </w:p>
    <w:p>
      <w:pPr>
        <w:ind w:firstLine="482"/>
        <w:jc w:val="center"/>
        <w:spacing w:line="360" w:lineRule="auto"/>
        <w:rPr>
          <w:rFonts w:hint="eastAsia" w:ascii="宋体" w:hAnsi="宋体" w:eastAsia="宋体" w:cs="宋体"/>
          <w:b/>
          <w:i/>
          <w:sz w:val="32"/>
          <w:szCs w:val="32"/>
        </w:rPr>
      </w:pPr>
      <w:r>
        <w:rPr>
          <w:rFonts w:hint="eastAsia" w:ascii="宋体" w:hAnsi="宋体" w:eastAsia="宋体" w:cs="宋体"/>
          <w:b/>
          <w:i/>
          <w:sz w:val="32"/>
          <w:szCs w:val="32"/>
        </w:rPr>
        <w:t xml:space="preserve">十五、开标一览表</w:t>
      </w:r>
      <w:r/>
    </w:p>
    <w:p>
      <w:pPr>
        <w:ind w:firstLine="482"/>
        <w:spacing w:line="360" w:lineRule="auto"/>
        <w:rPr>
          <w:rFonts w:hint="eastAsia" w:ascii="宋体" w:hAnsi="宋体" w:eastAsia="宋体" w:cs="宋体"/>
          <w:bCs/>
          <w:sz w:val="24"/>
        </w:rPr>
      </w:pPr>
      <w:r>
        <w:rPr>
          <w:rFonts w:hint="eastAsia" w:ascii="宋体" w:hAnsi="宋体" w:eastAsia="宋体" w:cs="宋体"/>
          <w:bCs/>
          <w:sz w:val="24"/>
        </w:rPr>
        <w:t xml:space="preserve">投标人全称（加盖CA电子签章）：</w:t>
      </w:r>
      <w:r/>
    </w:p>
    <w:p>
      <w:pPr>
        <w:ind w:firstLine="482"/>
        <w:spacing w:line="360" w:lineRule="auto"/>
        <w:rPr>
          <w:rFonts w:hint="eastAsia" w:ascii="宋体" w:hAnsi="宋体" w:eastAsia="宋体" w:cs="宋体"/>
          <w:bCs/>
          <w:sz w:val="24"/>
        </w:rPr>
      </w:pPr>
      <w:r>
        <w:rPr>
          <w:rFonts w:hint="eastAsia" w:ascii="宋体" w:hAnsi="宋体" w:eastAsia="宋体" w:cs="宋体"/>
          <w:bCs/>
          <w:sz w:val="24"/>
        </w:rPr>
        <w:t xml:space="preserve">项目名称：滨海县城市照明2026年度购电项目</w:t>
      </w:r>
      <w:r/>
    </w:p>
    <w:p>
      <w:pPr>
        <w:ind w:firstLine="482"/>
        <w:spacing w:line="360" w:lineRule="auto"/>
        <w:rPr>
          <w:rFonts w:hint="eastAsia" w:ascii="宋体" w:hAnsi="宋体" w:eastAsia="宋体" w:cs="宋体"/>
          <w:bCs/>
          <w:sz w:val="24"/>
        </w:rPr>
      </w:pPr>
      <w:r>
        <w:rPr>
          <w:rFonts w:hint="eastAsia" w:ascii="宋体" w:hAnsi="宋体" w:eastAsia="宋体" w:cs="宋体"/>
          <w:bCs/>
          <w:sz w:val="24"/>
        </w:rPr>
        <w:t xml:space="preserve">项目编号：</w:t>
      </w:r>
      <w:r>
        <w:rPr>
          <w:rFonts w:hint="eastAsia" w:ascii="宋体" w:hAnsi="宋体" w:eastAsia="宋体" w:cs="宋体"/>
          <w:bCs/>
          <w:sz w:val="24"/>
        </w:rPr>
        <w:t xml:space="preserve">JSZC-320922-ZQYC-G2026-0023</w:t>
      </w:r>
      <w:r/>
    </w:p>
    <w:p>
      <w:pPr>
        <w:ind w:firstLine="482"/>
        <w:spacing w:line="360" w:lineRule="auto"/>
        <w:rPr>
          <w:rFonts w:hint="eastAsia" w:ascii="宋体" w:hAnsi="宋体" w:eastAsia="宋体" w:cs="宋体"/>
          <w:bCs/>
          <w:sz w:val="24"/>
        </w:rPr>
      </w:pPr>
      <w:r>
        <w:rPr>
          <w:rFonts w:hint="eastAsia" w:ascii="宋体" w:hAnsi="宋体" w:eastAsia="宋体" w:cs="宋体"/>
          <w:bCs/>
          <w:sz w:val="24"/>
        </w:rPr>
        <w:t xml:space="preserve">分包号：包件一</w:t>
      </w:r>
      <w:r/>
    </w:p>
    <w:tbl>
      <w:tblPr>
        <w:tblW w:w="0" w:type="auto"/>
        <w:tblInd w:w="-325" w:type="dxa"/>
        <w:tblLayout w:type="fixed"/>
        <w:tblLook w:val="04A0" w:firstRow="1" w:lastRow="0" w:firstColumn="1" w:lastColumn="0" w:noHBand="0" w:noVBand="1"/>
      </w:tblPr>
      <w:tblGrid>
        <w:gridCol w:w="1042"/>
        <w:gridCol w:w="1559"/>
        <w:gridCol w:w="2976"/>
        <w:gridCol w:w="2694"/>
        <w:gridCol w:w="709"/>
      </w:tblGrid>
      <w:tr>
        <w:trPr>
          <w:trHeight w:val="3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市场化电费</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方案</w:t>
            </w:r>
            <w:r/>
          </w:p>
        </w:tc>
      </w:tr>
      <w:tr>
        <w:trPr>
          <w:trHeight w:val="650"/>
        </w:trPr>
        <w:tc>
          <w:tcPr>
            <w:tcBorders>
              <w:top w:val="single" w:color="000000" w:sz="4" w:space="0"/>
              <w:left w:val="single" w:color="000000" w:sz="4" w:space="0"/>
              <w:right w:val="single" w:color="000000" w:sz="4" w:space="0"/>
            </w:tcBorders>
            <w:tcW w:w="0" w:type="auto"/>
            <w:vAlign w:val="center"/>
            <w:vMerge w:val="restart"/>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1</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固定价格部分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固定价格P固定（元/kwh）</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r>
      <w:tr>
        <w:trPr>
          <w:trHeight w:val="567"/>
        </w:trPr>
        <w:tc>
          <w:tcPr>
            <w:tcBorders>
              <w:left w:val="single" w:color="000000" w:sz="4" w:space="0"/>
              <w:bottom w:val="single" w:color="000000" w:sz="4" w:space="0"/>
              <w:right w:val="single" w:color="000000" w:sz="4" w:space="0"/>
            </w:tcBorders>
            <w:tcW w:w="0" w:type="auto"/>
            <w:vAlign w:val="center"/>
            <w:vMerge w:val="continue"/>
            <w:textDirection w:val="lrTb"/>
            <w:noWrap/>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电量比例K固定</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50%</w:t>
            </w:r>
            <w:r/>
          </w:p>
        </w:tc>
      </w:tr>
      <w:tr>
        <w:trPr>
          <w:trHeight w:val="1091"/>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市场联动价格部分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浮动价格△P（元/kwh）</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r>
      <w:tr>
        <w:trPr>
          <w:trHeight w:val="79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电量比例K联动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批发市场中长期交易加权出清均价P中长期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45%</w:t>
            </w:r>
            <w:r/>
          </w:p>
        </w:tc>
      </w:tr>
      <w:tr>
        <w:trPr>
          <w:trHeight w:val="80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现货实时市场统一结算点算术均价P实时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5%</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其他</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1.按实际使用电量结算；</w:t>
            </w:r>
            <w:r/>
          </w:p>
        </w:tc>
      </w:tr>
      <w:tr>
        <w:trPr>
          <w:trHeight w:val="34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2.上述电价只针对市场化可交易电量。</w:t>
            </w:r>
            <w:r/>
          </w:p>
        </w:tc>
      </w:tr>
    </w:tbl>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注：实际结算时按照算法公式所示，取较小值：</w:t>
      </w:r>
      <w:r/>
    </w:p>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P=min[K固定*P固定+K联动*P联动，（1+K浮动）*P购电均价]</w:t>
      </w:r>
      <w:r/>
    </w:p>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其中：P购电均价：所有售电公司当月批发市场结算加权均价；P联动=0.90×P中长期+0.10×P实时+ΔP，其中P中长期为批发市场中长期交易加权出清均价（占总电量45%），P实时为现货实时市场统一结算点算术均价（占总电量5%</w:t>
      </w:r>
      <w:r>
        <w:rPr>
          <w:rFonts w:hint="eastAsia" w:ascii="宋体" w:hAnsi="宋体" w:eastAsia="宋体" w:cs="宋体"/>
          <w:bCs/>
          <w:sz w:val="24"/>
        </w:rPr>
        <w:t xml:space="preserve">），ΔP为投标人填报的浮动价格；</w:t>
      </w:r>
      <w:r/>
    </w:p>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K浮动：为电力用户与售电公司约定的当月结算加权均价较所有售电公司当月批发市场结算加权均价的浮动比例，K浮动≤5%。</w:t>
      </w:r>
      <w:r/>
    </w:p>
    <w:p>
      <w:pPr>
        <w:ind w:firstLine="480"/>
        <w:spacing w:before="329" w:line="400" w:lineRule="exact"/>
        <w:tabs>
          <w:tab w:val="left" w:pos="2177" w:leader="none"/>
        </w:tabs>
        <w:rPr>
          <w:rFonts w:hint="eastAsia" w:ascii="宋体" w:hAnsi="宋体" w:eastAsia="宋体" w:cs="宋体"/>
          <w:bCs/>
          <w:sz w:val="24"/>
        </w:rPr>
      </w:pPr>
      <w:r>
        <w:rPr>
          <w:rFonts w:hint="eastAsia" w:ascii="宋体" w:hAnsi="宋体" w:eastAsia="宋体" w:cs="宋体"/>
          <w:bCs/>
          <w:sz w:val="24"/>
        </w:rPr>
        <w:t xml:space="preserve">满足资格和实质性要求后，评标价格最低者中标。评标价格=0.50×P固定+0.50×ΔP（元/千瓦时），P固定、ΔP以本表填报为准。</w:t>
      </w:r>
      <w:r/>
    </w:p>
    <w:p>
      <w:pPr>
        <w:jc w:val="left"/>
        <w:spacing w:beforeAutospacing="1" w:afterAutospacing="1"/>
        <w:widowControl/>
        <w:rPr>
          <w:rFonts w:ascii="Calibri" w:hAnsi="Calibri" w:eastAsia="宋体" w:cs="Times New Roman"/>
          <w:sz w:val="24"/>
        </w:rPr>
      </w:pPr>
      <w:r>
        <w:rPr>
          <w:rFonts w:ascii="Calibri" w:hAnsi="Calibri" w:eastAsia="宋体" w:cs="Times New Roman"/>
          <w:sz w:val="24"/>
        </w:rPr>
      </w:r>
      <w:r/>
    </w:p>
    <w:p>
      <w:pPr>
        <w:ind w:firstLine="4800"/>
        <w:jc w:val="left"/>
        <w:spacing w:beforeAutospacing="1" w:afterAutospacing="1"/>
        <w:widowControl/>
        <w:rPr>
          <w:rFonts w:ascii="Calibri" w:hAnsi="Calibri" w:eastAsia="宋体" w:cs="Times New Roman"/>
          <w:sz w:val="24"/>
        </w:rPr>
      </w:pPr>
      <w:r>
        <w:rPr>
          <w:rFonts w:ascii="Calibri" w:hAnsi="Calibri" w:eastAsia="宋体" w:cs="Times New Roman"/>
          <w:sz w:val="24"/>
        </w:rPr>
        <w:t xml:space="preserve">投标人公章：</w:t>
      </w:r>
      <w:r>
        <w:rPr>
          <w:rFonts w:ascii="Calibri" w:hAnsi="Calibri" w:eastAsia="宋体" w:cs="Times New Roman"/>
          <w:sz w:val="24"/>
        </w:rPr>
        <w:t xml:space="preserve"> </w:t>
      </w:r>
      <w:r>
        <w:rPr>
          <w:rFonts w:ascii="Calibri" w:hAnsi="Calibri" w:eastAsia="宋体" w:cs="Times New Roman"/>
          <w:sz w:val="24"/>
        </w:rPr>
        <w:t xml:space="preserve">（电子签章）</w:t>
      </w:r>
      <w:r/>
    </w:p>
    <w:p>
      <w:pPr>
        <w:ind w:firstLine="5040"/>
        <w:rPr>
          <w:rFonts w:ascii="Calibri" w:hAnsi="Calibri" w:eastAsia="宋体" w:cs="Times New Roman"/>
          <w:sz w:val="24"/>
        </w:rP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before="50" w:after="50"/>
        <w:widowControl/>
        <w:rPr>
          <w:rFonts w:hint="eastAsia" w:ascii="宋体" w:hAnsi="宋体" w:eastAsia="宋体" w:cs="宋体"/>
        </w:rPr>
      </w:pPr>
      <w:r>
        <w:rPr>
          <w:rFonts w:hint="eastAsia" w:ascii="宋体" w:hAnsi="宋体" w:eastAsia="宋体" w:cs="宋体"/>
        </w:rPr>
        <w:tab/>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pStyle w:val="963"/>
        <w:rPr>
          <w:rFonts w:hint="eastAsia" w:hAnsi="宋体" w:eastAsia="宋体"/>
          <w:color w:val="auto"/>
        </w:rPr>
      </w:pPr>
      <w:r>
        <w:rPr>
          <w:rFonts w:hint="eastAsia" w:hAnsi="宋体" w:eastAsia="宋体"/>
          <w:color w:val="auto"/>
        </w:rPr>
      </w:r>
      <w:r/>
    </w:p>
    <w:p>
      <w:pPr>
        <w:pStyle w:val="963"/>
        <w:rPr>
          <w:rFonts w:hint="eastAsia" w:hAnsi="宋体" w:eastAsia="宋体"/>
          <w:color w:val="auto"/>
        </w:rPr>
      </w:pPr>
      <w:r>
        <w:rPr>
          <w:rFonts w:hint="eastAsia" w:hAnsi="宋体" w:eastAsia="宋体"/>
          <w:color w:val="auto"/>
        </w:rPr>
      </w:r>
      <w:r/>
    </w:p>
    <w:p>
      <w:pPr>
        <w:pStyle w:val="963"/>
        <w:rPr>
          <w:rFonts w:hint="eastAsia" w:hAnsi="宋体" w:eastAsia="宋体"/>
          <w:color w:val="auto"/>
        </w:rPr>
      </w:pPr>
      <w:r>
        <w:rPr>
          <w:rFonts w:hint="eastAsia" w:hAnsi="宋体" w:eastAsia="宋体"/>
          <w:color w:val="auto"/>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b/>
          <w:bCs/>
          <w:sz w:val="24"/>
        </w:rPr>
      </w:pPr>
      <w:r>
        <w:rPr>
          <w:rFonts w:hint="eastAsia" w:ascii="宋体" w:hAnsi="宋体" w:eastAsia="宋体" w:cs="宋体"/>
          <w:b/>
          <w:bCs/>
          <w:sz w:val="32"/>
          <w:szCs w:val="32"/>
        </w:rPr>
        <w:t xml:space="preserve">十六、技术方案、服务承诺、培训承诺等</w:t>
      </w:r>
      <w:r/>
    </w:p>
    <w:p>
      <w:pPr>
        <w:pStyle w:val="807"/>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Times New Roman"/>
          <w:b/>
          <w:bCs/>
          <w:sz w:val="28"/>
          <w:szCs w:val="28"/>
        </w:rPr>
      </w:pPr>
      <w:r>
        <w:rPr>
          <w:rFonts w:hint="eastAsia" w:ascii="宋体" w:hAnsi="宋体" w:eastAsia="宋体" w:cs="宋体"/>
          <w:b/>
          <w:bCs/>
          <w:sz w:val="32"/>
          <w:szCs w:val="32"/>
        </w:rPr>
        <w:t xml:space="preserve">十七、</w:t>
      </w:r>
      <w:r>
        <w:rPr>
          <w:rFonts w:hint="eastAsia" w:ascii="宋体" w:hAnsi="宋体" w:eastAsia="宋体" w:cs="Times New Roman"/>
          <w:b/>
          <w:bCs/>
          <w:sz w:val="32"/>
          <w:szCs w:val="32"/>
        </w:rPr>
        <w:t xml:space="preserve">服务承诺书</w:t>
      </w:r>
      <w:r/>
    </w:p>
    <w:p>
      <w:pPr>
        <w:spacing w:line="360" w:lineRule="auto"/>
        <w:rPr>
          <w:rFonts w:hint="eastAsia" w:ascii="宋体" w:hAnsi="宋体" w:eastAsia="宋体" w:cs="Times New Roman"/>
          <w:sz w:val="24"/>
        </w:rPr>
      </w:pPr>
      <w:r>
        <w:rPr>
          <w:rFonts w:hint="eastAsia" w:ascii="宋体" w:hAnsi="宋体" w:eastAsia="宋体" w:cs="Times New Roman"/>
          <w:sz w:val="24"/>
          <w:u w:val="single"/>
        </w:rPr>
        <w:t xml:space="preserve">滨海县城市管理局</w:t>
      </w:r>
      <w:r>
        <w:rPr>
          <w:rFonts w:hint="eastAsia" w:ascii="宋体" w:hAnsi="宋体" w:eastAsia="宋体" w:cs="Times New Roman"/>
          <w:sz w:val="24"/>
        </w:rPr>
        <w:t xml:space="preserve">：</w:t>
      </w:r>
      <w:r/>
    </w:p>
    <w:p>
      <w:pPr>
        <w:ind w:firstLine="555"/>
        <w:spacing w:line="360" w:lineRule="auto"/>
        <w:rPr>
          <w:rFonts w:hint="eastAsia" w:ascii="宋体" w:hAnsi="宋体" w:eastAsia="宋体" w:cs="Times New Roman"/>
          <w:sz w:val="24"/>
        </w:rPr>
      </w:pPr>
      <w:r>
        <w:rPr>
          <w:rFonts w:hint="eastAsia" w:ascii="宋体" w:hAnsi="宋体" w:eastAsia="宋体" w:cs="Times New Roman"/>
          <w:sz w:val="24"/>
        </w:rPr>
        <w:t xml:space="preserve">我司在此承诺：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1、若因我方原因，导致合同无法执行。我方将赔偿你方违约金，违约金金额=|市场化成交电价-直接交易基准价|×剩余未执行合约电量。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2、若在合同周期内，我方未按双方约定给你方进行结算，我方将按照双方约定的结算电费和实际结算电费的差额部分的3倍赔偿给你方。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3、我方将为你方提供同区域同类、同量用电企业的优惠价格及优质服务。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4、我方将为你方提供用电特性分析、用能质量分析、综合节能管理咨询等服务，提高你方用能管理水平。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5、我方将为你方提供真实准确的有关电力直接交易的相关信息及资料，协助你方申请办理电力交易有关手续。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6、我方承诺你方本项目的全部电量均享受不高于现行市场化电价浮动上限值，当你方实际用电量超出预计电量时，我方保证超用部分电量供应，且超用部分仍享受上述电价。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7、我方承诺招标用电量偏差考核费用全部由我方承担。</w:t>
      </w:r>
      <w:r/>
    </w:p>
    <w:p>
      <w:pPr>
        <w:ind w:firstLine="555"/>
        <w:spacing w:line="360" w:lineRule="auto"/>
        <w:rPr>
          <w:rFonts w:hint="eastAsia" w:ascii="宋体" w:hAnsi="宋体" w:eastAsia="宋体" w:cs="Times New Roman"/>
          <w:sz w:val="24"/>
        </w:rPr>
      </w:pPr>
      <w:r>
        <w:rPr>
          <w:rFonts w:hint="eastAsia" w:ascii="宋体" w:hAnsi="宋体" w:eastAsia="宋体" w:cs="Times New Roman"/>
          <w:sz w:val="24"/>
        </w:rPr>
      </w:r>
      <w:r/>
    </w:p>
    <w:p>
      <w:pPr>
        <w:ind w:left="420"/>
        <w:jc w:val="right"/>
        <w:spacing w:line="360" w:lineRule="auto"/>
        <w:tabs>
          <w:tab w:val="left" w:pos="851" w:leader="none"/>
        </w:tabs>
        <w:rPr>
          <w:rFonts w:hint="eastAsia" w:ascii="宋体" w:hAnsi="宋体" w:eastAsia="宋体" w:cs="宋体"/>
          <w:sz w:val="24"/>
        </w:rPr>
      </w:pPr>
      <w:r>
        <w:rPr>
          <w:rFonts w:hint="eastAsia" w:ascii="宋体" w:hAnsi="宋体" w:eastAsia="宋体" w:cs="宋体"/>
          <w:sz w:val="24"/>
        </w:rPr>
        <w:t xml:space="preserve">承诺单位：</w:t>
      </w:r>
      <w:r>
        <w:rPr>
          <w:rFonts w:hint="eastAsia" w:ascii="宋体" w:hAnsi="宋体" w:eastAsia="宋体" w:cs="宋体"/>
          <w:sz w:val="24"/>
          <w:u w:val="single"/>
        </w:rPr>
        <w:t xml:space="preserve">                   </w:t>
      </w:r>
      <w:r>
        <w:rPr>
          <w:rFonts w:hint="eastAsia" w:ascii="宋体" w:hAnsi="宋体" w:eastAsia="宋体" w:cs="宋体"/>
          <w:sz w:val="24"/>
        </w:rPr>
        <w:t xml:space="preserve">（盖单位公章）</w:t>
      </w:r>
      <w:r/>
    </w:p>
    <w:p>
      <w:pPr>
        <w:ind w:firstLine="161"/>
        <w:jc w:val="center"/>
        <w:rPr>
          <w:rFonts w:hint="eastAsia" w:ascii="宋体" w:hAnsi="宋体" w:eastAsia="宋体" w:cs="宋体"/>
          <w:sz w:val="24"/>
        </w:rPr>
      </w:pPr>
      <w:r>
        <w:rPr>
          <w:rFonts w:hint="eastAsia" w:ascii="宋体" w:hAnsi="宋体" w:eastAsia="宋体" w:cs="宋体"/>
          <w:sz w:val="24"/>
        </w:rPr>
        <w:t xml:space="preserve">                           </w:t>
      </w:r>
      <w:r/>
    </w:p>
    <w:p>
      <w:pPr>
        <w:ind w:firstLine="161"/>
        <w:jc w:val="center"/>
        <w:rPr>
          <w:rFonts w:hint="eastAsia" w:ascii="宋体" w:hAnsi="宋体" w:eastAsia="宋体" w:cs="宋体"/>
          <w:b/>
          <w:i/>
          <w:sz w:val="32"/>
          <w:szCs w:val="32"/>
          <w:u w:val="single"/>
        </w:rPr>
      </w:pPr>
      <w:r>
        <w:rPr>
          <w:rFonts w:hint="eastAsia" w:ascii="宋体" w:hAnsi="宋体" w:eastAsia="宋体" w:cs="宋体"/>
          <w:sz w:val="24"/>
        </w:rPr>
        <w:t xml:space="preserve">                         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ascii="宋体" w:hAnsi="宋体" w:eastAsia="宋体" w:cs="宋体"/>
          <w:b/>
          <w:bCs/>
          <w:sz w:val="32"/>
          <w:szCs w:val="32"/>
        </w:rPr>
      </w:pPr>
      <w:r>
        <w:rPr>
          <w:rFonts w:ascii="宋体" w:hAnsi="宋体" w:eastAsia="宋体" w:cs="宋体"/>
          <w:b/>
          <w:bCs/>
          <w:sz w:val="32"/>
          <w:szCs w:val="32"/>
        </w:rPr>
      </w:r>
      <w:r/>
    </w:p>
    <w:p>
      <w:pPr>
        <w:ind w:firstLine="1600"/>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b/>
          <w:bCs/>
          <w:sz w:val="32"/>
          <w:szCs w:val="32"/>
        </w:rPr>
        <w:t xml:space="preserve">十八、盐城市政府采购事前信用承诺书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bookmarkEnd w:id="31"/>
      <w:r/>
      <w:bookmarkEnd w:id="41"/>
      <w:r/>
      <w:bookmarkEnd w:id="86"/>
      <w:r/>
      <w:bookmarkEnd w:id="87"/>
      <w:r/>
      <w:bookmarkEnd w:id="88"/>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8"/>
      <w:r/>
      <w:bookmarkEnd w:id="109"/>
      <w:r/>
      <w:bookmarkEnd w:id="110"/>
      <w:r/>
      <w:bookmarkEnd w:id="115"/>
      <w:r/>
      <w:bookmarkEnd w:id="116"/>
      <w:r/>
      <w:bookmarkEnd w:id="123"/>
      <w:r/>
      <w:bookmarkEnd w:id="166"/>
      <w:r/>
      <w:bookmarkEnd w:id="171"/>
      <w:r/>
      <w:bookmarkEnd w:id="172"/>
      <w:r/>
      <w:bookmarkEnd w:id="174"/>
      <w:r/>
      <w:bookmarkEnd w:id="175"/>
      <w:r/>
      <w:bookmarkEnd w:id="176"/>
      <w:r/>
      <w:bookmarkEnd w:id="177"/>
      <w:r/>
      <w:bookmarkEnd w:id="186"/>
      <w:r/>
      <w:bookmarkEnd w:id="187"/>
      <w:r/>
      <w:bookmarkEnd w:id="188"/>
      <w:r/>
      <w:bookmarkEnd w:id="189"/>
      <w:r/>
      <w:bookmarkEnd w:id="190"/>
      <w:r/>
      <w:r/>
    </w:p>
    <w:p>
      <w:pPr>
        <w:pStyle w:val="807"/>
        <w:jc w:val="center"/>
        <w:spacing w:beforeAutospacing="0" w:afterAutospacing="0"/>
        <w:rPr>
          <w:rFonts w:hint="eastAsia" w:ascii="宋体" w:hAnsi="宋体" w:eastAsia="宋体" w:cs="宋体"/>
        </w:rPr>
      </w:pPr>
      <w:r>
        <w:rPr>
          <w:rFonts w:hint="eastAsia"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07"/>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807"/>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07"/>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07"/>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07"/>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80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07"/>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807"/>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80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80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0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0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80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07"/>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758" w:leader="none"/>
        <w:tab w:val="right" w:pos="8306" w:leader="none"/>
      </w:tabs>
      <w:rPr>
        <w:rFonts w:ascii="Calibri" w:hAnsi="Calibri"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Calibri" w:hAnsi="Calibri" w:eastAsia="宋体" w:cs="Times New Roman"/>
        <w:sz w:val="18"/>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Times New Roman" w:hAnsi="Arial" w:eastAsia="宋体" w:cs="Times New Roman"/>
        <w:sz w:val="20"/>
        <w:szCs w:val="28"/>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786"/>
    <w:link w:val="777"/>
    <w:uiPriority w:val="9"/>
    <w:rPr>
      <w:rFonts w:ascii="Arial" w:hAnsi="Arial" w:eastAsia="Arial" w:cs="Arial"/>
      <w:sz w:val="40"/>
      <w:szCs w:val="40"/>
    </w:rPr>
  </w:style>
  <w:style w:type="character" w:styleId="743">
    <w:name w:val="Heading 3 Char"/>
    <w:basedOn w:val="786"/>
    <w:link w:val="779"/>
    <w:uiPriority w:val="9"/>
    <w:rPr>
      <w:rFonts w:ascii="Arial" w:hAnsi="Arial" w:eastAsia="Arial" w:cs="Arial"/>
      <w:sz w:val="30"/>
      <w:szCs w:val="30"/>
    </w:rPr>
  </w:style>
  <w:style w:type="character" w:styleId="744">
    <w:name w:val="Heading 4 Char"/>
    <w:basedOn w:val="786"/>
    <w:link w:val="780"/>
    <w:uiPriority w:val="9"/>
    <w:rPr>
      <w:rFonts w:ascii="Arial" w:hAnsi="Arial" w:eastAsia="Arial" w:cs="Arial"/>
      <w:b/>
      <w:bCs/>
      <w:sz w:val="26"/>
      <w:szCs w:val="26"/>
    </w:rPr>
  </w:style>
  <w:style w:type="character" w:styleId="745">
    <w:name w:val="Heading 5 Char"/>
    <w:basedOn w:val="786"/>
    <w:link w:val="781"/>
    <w:uiPriority w:val="9"/>
    <w:rPr>
      <w:rFonts w:ascii="Arial" w:hAnsi="Arial" w:eastAsia="Arial" w:cs="Arial"/>
      <w:b/>
      <w:bCs/>
      <w:sz w:val="24"/>
      <w:szCs w:val="24"/>
    </w:rPr>
  </w:style>
  <w:style w:type="character" w:styleId="746">
    <w:name w:val="Heading 6 Char"/>
    <w:basedOn w:val="786"/>
    <w:link w:val="782"/>
    <w:uiPriority w:val="9"/>
    <w:rPr>
      <w:rFonts w:ascii="Arial" w:hAnsi="Arial" w:eastAsia="Arial" w:cs="Arial"/>
      <w:b/>
      <w:bCs/>
      <w:sz w:val="22"/>
      <w:szCs w:val="22"/>
    </w:rPr>
  </w:style>
  <w:style w:type="character" w:styleId="747">
    <w:name w:val="Heading 7 Char"/>
    <w:basedOn w:val="786"/>
    <w:link w:val="783"/>
    <w:uiPriority w:val="9"/>
    <w:rPr>
      <w:rFonts w:ascii="Arial" w:hAnsi="Arial" w:eastAsia="Arial" w:cs="Arial"/>
      <w:b/>
      <w:bCs/>
      <w:i/>
      <w:iCs/>
      <w:sz w:val="22"/>
      <w:szCs w:val="22"/>
    </w:rPr>
  </w:style>
  <w:style w:type="character" w:styleId="748">
    <w:name w:val="Heading 8 Char"/>
    <w:basedOn w:val="786"/>
    <w:link w:val="784"/>
    <w:uiPriority w:val="9"/>
    <w:rPr>
      <w:rFonts w:ascii="Arial" w:hAnsi="Arial" w:eastAsia="Arial" w:cs="Arial"/>
      <w:i/>
      <w:iCs/>
      <w:sz w:val="22"/>
      <w:szCs w:val="22"/>
    </w:rPr>
  </w:style>
  <w:style w:type="character" w:styleId="749">
    <w:name w:val="Heading 9 Char"/>
    <w:basedOn w:val="786"/>
    <w:link w:val="785"/>
    <w:uiPriority w:val="9"/>
    <w:rPr>
      <w:rFonts w:ascii="Arial" w:hAnsi="Arial" w:eastAsia="Arial" w:cs="Arial"/>
      <w:i/>
      <w:iCs/>
      <w:sz w:val="21"/>
      <w:szCs w:val="21"/>
    </w:rPr>
  </w:style>
  <w:style w:type="character" w:styleId="750">
    <w:name w:val="Title Char"/>
    <w:basedOn w:val="786"/>
    <w:link w:val="808"/>
    <w:uiPriority w:val="10"/>
    <w:rPr>
      <w:sz w:val="48"/>
      <w:szCs w:val="48"/>
    </w:rPr>
  </w:style>
  <w:style w:type="character" w:styleId="751">
    <w:name w:val="Subtitle Char"/>
    <w:basedOn w:val="786"/>
    <w:link w:val="801"/>
    <w:uiPriority w:val="11"/>
    <w:rPr>
      <w:sz w:val="24"/>
      <w:szCs w:val="24"/>
    </w:rPr>
  </w:style>
  <w:style w:type="character" w:styleId="752">
    <w:name w:val="Quote Char"/>
    <w:link w:val="828"/>
    <w:uiPriority w:val="29"/>
    <w:rPr>
      <w:i/>
    </w:rPr>
  </w:style>
  <w:style w:type="character" w:styleId="753">
    <w:name w:val="Intense Quote Char"/>
    <w:link w:val="830"/>
    <w:uiPriority w:val="30"/>
    <w:rPr>
      <w:i/>
    </w:rPr>
  </w:style>
  <w:style w:type="table" w:styleId="754">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Footnote Text Char"/>
    <w:link w:val="802"/>
    <w:uiPriority w:val="99"/>
    <w:rPr>
      <w:sz w:val="18"/>
    </w:rPr>
  </w:style>
  <w:style w:type="character" w:styleId="774">
    <w:name w:val="Endnote Text Char"/>
    <w:link w:val="796"/>
    <w:uiPriority w:val="99"/>
    <w:rPr>
      <w:sz w:val="20"/>
    </w:rPr>
  </w:style>
  <w:style w:type="paragraph" w:styleId="775">
    <w:name w:val="TOC Heading"/>
    <w:uiPriority w:val="39"/>
    <w:unhideWhenUsed/>
  </w:style>
  <w:style w:type="paragraph" w:styleId="776" w:default="1">
    <w:name w:val="Normal"/>
    <w:qFormat/>
    <w:pPr>
      <w:jc w:val="both"/>
      <w:widowControl w:val="off"/>
    </w:pPr>
    <w:rPr>
      <w:rFonts w:asciiTheme="minorHAnsi" w:hAnsiTheme="minorHAnsi" w:eastAsiaTheme="minorEastAsia" w:cstheme="minorBidi"/>
      <w:sz w:val="21"/>
      <w:szCs w:val="24"/>
    </w:rPr>
  </w:style>
  <w:style w:type="paragraph" w:styleId="777">
    <w:name w:val="Heading 1"/>
    <w:basedOn w:val="776"/>
    <w:next w:val="776"/>
    <w:link w:val="815"/>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79">
    <w:name w:val="Heading 3"/>
    <w:basedOn w:val="776"/>
    <w:next w:val="776"/>
    <w:link w:val="817"/>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18"/>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19"/>
    <w:uiPriority w:val="9"/>
    <w:unhideWhenUsed/>
    <w:qFormat/>
    <w:pPr>
      <w:keepLines/>
      <w:keepNext/>
      <w:spacing w:before="320" w:after="200"/>
      <w:outlineLvl w:val="4"/>
    </w:pPr>
    <w:rPr>
      <w:rFonts w:ascii="Arial" w:hAnsi="Arial" w:eastAsia="Arial" w:cs="Arial"/>
      <w:b/>
      <w:bCs/>
      <w:sz w:val="24"/>
    </w:rPr>
  </w:style>
  <w:style w:type="paragraph" w:styleId="782">
    <w:name w:val="Heading 6"/>
    <w:basedOn w:val="776"/>
    <w:next w:val="776"/>
    <w:link w:val="820"/>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2"/>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3"/>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toc 7"/>
    <w:basedOn w:val="776"/>
    <w:next w:val="776"/>
    <w:uiPriority w:val="39"/>
    <w:unhideWhenUsed/>
    <w:pPr>
      <w:ind w:left="1701"/>
      <w:spacing w:after="57"/>
    </w:pPr>
  </w:style>
  <w:style w:type="paragraph" w:styleId="790">
    <w:name w:val="Caption"/>
    <w:basedOn w:val="776"/>
    <w:next w:val="776"/>
    <w:uiPriority w:val="35"/>
    <w:semiHidden/>
    <w:unhideWhenUsed/>
    <w:qFormat/>
    <w:pPr>
      <w:spacing w:line="276" w:lineRule="auto"/>
    </w:pPr>
    <w:rPr>
      <w:b/>
      <w:bCs/>
      <w:color w:val="5b9bd5" w:themeColor="accent1"/>
      <w:sz w:val="18"/>
      <w:szCs w:val="18"/>
    </w:rPr>
  </w:style>
  <w:style w:type="paragraph" w:styleId="791">
    <w:name w:val="annotation text"/>
    <w:basedOn w:val="776"/>
    <w:qFormat/>
    <w:pPr>
      <w:jc w:val="left"/>
    </w:pPr>
  </w:style>
  <w:style w:type="paragraph" w:styleId="792">
    <w:name w:val="Body Text"/>
    <w:basedOn w:val="776"/>
    <w:semiHidden/>
    <w:qFormat/>
    <w:rPr>
      <w:rFonts w:ascii="仿宋" w:hAnsi="仿宋" w:eastAsia="仿宋" w:cs="仿宋"/>
      <w:sz w:val="31"/>
      <w:szCs w:val="31"/>
      <w:lang w:eastAsia="en-US"/>
    </w:rPr>
  </w:style>
  <w:style w:type="paragraph" w:styleId="793">
    <w:name w:val="toc 5"/>
    <w:basedOn w:val="776"/>
    <w:next w:val="776"/>
    <w:uiPriority w:val="39"/>
    <w:unhideWhenUsed/>
    <w:pPr>
      <w:ind w:left="1134"/>
      <w:spacing w:after="57"/>
    </w:pPr>
  </w:style>
  <w:style w:type="paragraph" w:styleId="794">
    <w:name w:val="toc 3"/>
    <w:basedOn w:val="776"/>
    <w:next w:val="776"/>
    <w:uiPriority w:val="39"/>
    <w:unhideWhenUsed/>
    <w:qFormat/>
    <w:pPr>
      <w:ind w:left="567"/>
      <w:spacing w:after="57"/>
    </w:pPr>
  </w:style>
  <w:style w:type="paragraph" w:styleId="795">
    <w:name w:val="toc 8"/>
    <w:basedOn w:val="776"/>
    <w:next w:val="776"/>
    <w:uiPriority w:val="39"/>
    <w:unhideWhenUsed/>
    <w:qFormat/>
    <w:pPr>
      <w:ind w:left="1984"/>
      <w:spacing w:after="57"/>
    </w:pPr>
  </w:style>
  <w:style w:type="paragraph" w:styleId="796">
    <w:name w:val="endnote text"/>
    <w:basedOn w:val="776"/>
    <w:link w:val="961"/>
    <w:uiPriority w:val="99"/>
    <w:semiHidden/>
    <w:unhideWhenUsed/>
    <w:qFormat/>
    <w:rPr>
      <w:sz w:val="20"/>
    </w:rPr>
  </w:style>
  <w:style w:type="paragraph" w:styleId="797">
    <w:name w:val="Footer"/>
    <w:basedOn w:val="776"/>
    <w:link w:val="965"/>
    <w:qFormat/>
    <w:pPr>
      <w:jc w:val="left"/>
      <w:tabs>
        <w:tab w:val="center" w:pos="4153" w:leader="none"/>
        <w:tab w:val="right" w:pos="8306" w:leader="none"/>
      </w:tabs>
    </w:pPr>
    <w:rPr>
      <w:sz w:val="18"/>
      <w:szCs w:val="18"/>
    </w:rPr>
  </w:style>
  <w:style w:type="paragraph" w:styleId="798">
    <w:name w:val="Header"/>
    <w:basedOn w:val="776"/>
    <w:link w:val="964"/>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76"/>
    <w:next w:val="776"/>
    <w:uiPriority w:val="39"/>
    <w:unhideWhenUsed/>
    <w:qFormat/>
    <w:pPr>
      <w:spacing w:after="57"/>
    </w:pPr>
  </w:style>
  <w:style w:type="paragraph" w:styleId="800">
    <w:name w:val="toc 4"/>
    <w:basedOn w:val="776"/>
    <w:next w:val="776"/>
    <w:uiPriority w:val="39"/>
    <w:unhideWhenUsed/>
    <w:pPr>
      <w:ind w:left="850"/>
      <w:spacing w:after="57"/>
    </w:pPr>
  </w:style>
  <w:style w:type="paragraph" w:styleId="801">
    <w:name w:val="Subtitle"/>
    <w:basedOn w:val="776"/>
    <w:next w:val="776"/>
    <w:link w:val="827"/>
    <w:uiPriority w:val="11"/>
    <w:qFormat/>
    <w:pPr>
      <w:spacing w:before="200" w:after="200"/>
    </w:pPr>
    <w:rPr>
      <w:sz w:val="24"/>
    </w:rPr>
  </w:style>
  <w:style w:type="paragraph" w:styleId="802">
    <w:name w:val="footnote text"/>
    <w:basedOn w:val="776"/>
    <w:link w:val="960"/>
    <w:uiPriority w:val="99"/>
    <w:semiHidden/>
    <w:unhideWhenUsed/>
    <w:qFormat/>
    <w:pPr>
      <w:spacing w:after="40"/>
    </w:pPr>
    <w:rPr>
      <w:sz w:val="18"/>
    </w:rPr>
  </w:style>
  <w:style w:type="paragraph" w:styleId="803">
    <w:name w:val="toc 6"/>
    <w:basedOn w:val="776"/>
    <w:next w:val="776"/>
    <w:uiPriority w:val="39"/>
    <w:unhideWhenUsed/>
    <w:pPr>
      <w:ind w:left="1417"/>
      <w:spacing w:after="57"/>
    </w:pPr>
  </w:style>
  <w:style w:type="paragraph" w:styleId="804">
    <w:name w:val="table of figures"/>
    <w:basedOn w:val="776"/>
    <w:next w:val="776"/>
    <w:uiPriority w:val="99"/>
    <w:unhideWhenUsed/>
    <w:qFormat/>
  </w:style>
  <w:style w:type="paragraph" w:styleId="805">
    <w:name w:val="toc 2"/>
    <w:basedOn w:val="776"/>
    <w:next w:val="776"/>
    <w:uiPriority w:val="39"/>
    <w:unhideWhenUsed/>
    <w:qFormat/>
    <w:pPr>
      <w:ind w:left="283"/>
      <w:spacing w:after="57"/>
    </w:pPr>
  </w:style>
  <w:style w:type="paragraph" w:styleId="806">
    <w:name w:val="toc 9"/>
    <w:basedOn w:val="776"/>
    <w:next w:val="776"/>
    <w:uiPriority w:val="39"/>
    <w:unhideWhenUsed/>
    <w:qFormat/>
    <w:pPr>
      <w:ind w:left="2268"/>
      <w:spacing w:after="57"/>
    </w:pPr>
  </w:style>
  <w:style w:type="paragraph" w:styleId="807">
    <w:name w:val="Normal (Web)"/>
    <w:basedOn w:val="776"/>
    <w:qFormat/>
    <w:pPr>
      <w:jc w:val="left"/>
      <w:spacing w:beforeAutospacing="1" w:afterAutospacing="1"/>
    </w:pPr>
    <w:rPr>
      <w:rFonts w:cs="Times New Roman"/>
      <w:sz w:val="24"/>
    </w:rPr>
  </w:style>
  <w:style w:type="paragraph" w:styleId="808">
    <w:name w:val="Title"/>
    <w:basedOn w:val="776"/>
    <w:next w:val="776"/>
    <w:link w:val="826"/>
    <w:uiPriority w:val="10"/>
    <w:qFormat/>
    <w:pPr>
      <w:contextualSpacing/>
      <w:spacing w:before="300" w:after="200"/>
    </w:pPr>
    <w:rPr>
      <w:sz w:val="48"/>
      <w:szCs w:val="48"/>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basedOn w:val="786"/>
    <w:qFormat/>
    <w:rPr>
      <w:b/>
    </w:rPr>
  </w:style>
  <w:style w:type="character" w:styleId="811">
    <w:name w:val="endnote reference"/>
    <w:basedOn w:val="786"/>
    <w:uiPriority w:val="99"/>
    <w:semiHidden/>
    <w:unhideWhenUsed/>
    <w:qFormat/>
    <w:rPr>
      <w:vertAlign w:val="superscript"/>
    </w:rPr>
  </w:style>
  <w:style w:type="character" w:styleId="812">
    <w:name w:val="Emphasis"/>
    <w:qFormat/>
    <w:rPr>
      <w:i/>
    </w:rPr>
  </w:style>
  <w:style w:type="character" w:styleId="813">
    <w:name w:val="Hyperlink"/>
    <w:uiPriority w:val="99"/>
    <w:unhideWhenUsed/>
    <w:qFormat/>
    <w:rPr>
      <w:color w:val="0563c1" w:themeColor="hyperlink"/>
      <w:u w:val="single"/>
    </w:rPr>
  </w:style>
  <w:style w:type="character" w:styleId="814">
    <w:name w:val="footnote reference"/>
    <w:basedOn w:val="786"/>
    <w:uiPriority w:val="99"/>
    <w:unhideWhenUsed/>
    <w:qFormat/>
    <w:rPr>
      <w:vertAlign w:val="superscript"/>
    </w:rPr>
  </w:style>
  <w:style w:type="character" w:styleId="815" w:customStyle="1">
    <w:name w:val="标题 1 字符"/>
    <w:basedOn w:val="786"/>
    <w:link w:val="777"/>
    <w:uiPriority w:val="9"/>
    <w:qFormat/>
    <w:rPr>
      <w:rFonts w:ascii="Arial" w:hAnsi="Arial" w:eastAsia="Arial" w:cs="Arial"/>
      <w:sz w:val="40"/>
      <w:szCs w:val="40"/>
    </w:rPr>
  </w:style>
  <w:style w:type="character" w:styleId="816" w:customStyle="1">
    <w:name w:val="Heading 2 Char"/>
    <w:basedOn w:val="786"/>
    <w:uiPriority w:val="9"/>
    <w:qFormat/>
    <w:rPr>
      <w:rFonts w:ascii="Arial" w:hAnsi="Arial" w:eastAsia="Arial" w:cs="Arial"/>
      <w:sz w:val="34"/>
    </w:rPr>
  </w:style>
  <w:style w:type="character" w:styleId="817" w:customStyle="1">
    <w:name w:val="标题 3 字符"/>
    <w:basedOn w:val="786"/>
    <w:link w:val="779"/>
    <w:uiPriority w:val="9"/>
    <w:qFormat/>
    <w:rPr>
      <w:rFonts w:ascii="Arial" w:hAnsi="Arial" w:eastAsia="Arial" w:cs="Arial"/>
      <w:sz w:val="30"/>
      <w:szCs w:val="30"/>
    </w:rPr>
  </w:style>
  <w:style w:type="character" w:styleId="818" w:customStyle="1">
    <w:name w:val="标题 4 字符"/>
    <w:basedOn w:val="786"/>
    <w:link w:val="780"/>
    <w:uiPriority w:val="9"/>
    <w:qFormat/>
    <w:rPr>
      <w:rFonts w:ascii="Arial" w:hAnsi="Arial" w:eastAsia="Arial" w:cs="Arial"/>
      <w:b/>
      <w:bCs/>
      <w:sz w:val="26"/>
      <w:szCs w:val="26"/>
    </w:rPr>
  </w:style>
  <w:style w:type="character" w:styleId="819" w:customStyle="1">
    <w:name w:val="标题 5 字符"/>
    <w:basedOn w:val="786"/>
    <w:link w:val="781"/>
    <w:uiPriority w:val="9"/>
    <w:qFormat/>
    <w:rPr>
      <w:rFonts w:ascii="Arial" w:hAnsi="Arial" w:eastAsia="Arial" w:cs="Arial"/>
      <w:b/>
      <w:bCs/>
      <w:sz w:val="24"/>
      <w:szCs w:val="24"/>
    </w:rPr>
  </w:style>
  <w:style w:type="character" w:styleId="820" w:customStyle="1">
    <w:name w:val="标题 6 字符"/>
    <w:basedOn w:val="786"/>
    <w:link w:val="782"/>
    <w:uiPriority w:val="9"/>
    <w:qFormat/>
    <w:rPr>
      <w:rFonts w:ascii="Arial" w:hAnsi="Arial" w:eastAsia="Arial" w:cs="Arial"/>
      <w:b/>
      <w:bCs/>
      <w:sz w:val="22"/>
      <w:szCs w:val="22"/>
    </w:rPr>
  </w:style>
  <w:style w:type="character" w:styleId="821" w:customStyle="1">
    <w:name w:val="标题 7 字符"/>
    <w:basedOn w:val="786"/>
    <w:link w:val="783"/>
    <w:uiPriority w:val="9"/>
    <w:qFormat/>
    <w:rPr>
      <w:rFonts w:ascii="Arial" w:hAnsi="Arial" w:eastAsia="Arial" w:cs="Arial"/>
      <w:b/>
      <w:bCs/>
      <w:i/>
      <w:iCs/>
      <w:sz w:val="22"/>
      <w:szCs w:val="22"/>
    </w:rPr>
  </w:style>
  <w:style w:type="character" w:styleId="822" w:customStyle="1">
    <w:name w:val="标题 8 字符"/>
    <w:basedOn w:val="786"/>
    <w:link w:val="784"/>
    <w:uiPriority w:val="9"/>
    <w:qFormat/>
    <w:rPr>
      <w:rFonts w:ascii="Arial" w:hAnsi="Arial" w:eastAsia="Arial" w:cs="Arial"/>
      <w:i/>
      <w:iCs/>
      <w:sz w:val="22"/>
      <w:szCs w:val="22"/>
    </w:rPr>
  </w:style>
  <w:style w:type="character" w:styleId="823" w:customStyle="1">
    <w:name w:val="标题 9 字符"/>
    <w:basedOn w:val="786"/>
    <w:link w:val="785"/>
    <w:uiPriority w:val="9"/>
    <w:qFormat/>
    <w:rPr>
      <w:rFonts w:ascii="Arial" w:hAnsi="Arial" w:eastAsia="Arial" w:cs="Arial"/>
      <w:i/>
      <w:iCs/>
      <w:sz w:val="21"/>
      <w:szCs w:val="21"/>
    </w:rPr>
  </w:style>
  <w:style w:type="paragraph" w:styleId="824">
    <w:name w:val="List Paragraph"/>
    <w:basedOn w:val="776"/>
    <w:uiPriority w:val="34"/>
    <w:qFormat/>
    <w:pPr>
      <w:contextualSpacing/>
      <w:ind w:left="720"/>
    </w:pPr>
  </w:style>
  <w:style w:type="paragraph" w:styleId="825">
    <w:name w:val="No Spacing"/>
    <w:uiPriority w:val="1"/>
    <w:qFormat/>
  </w:style>
  <w:style w:type="character" w:styleId="826" w:customStyle="1">
    <w:name w:val="标题 字符"/>
    <w:basedOn w:val="786"/>
    <w:link w:val="808"/>
    <w:uiPriority w:val="10"/>
    <w:qFormat/>
    <w:rPr>
      <w:sz w:val="48"/>
      <w:szCs w:val="48"/>
    </w:rPr>
  </w:style>
  <w:style w:type="character" w:styleId="827" w:customStyle="1">
    <w:name w:val="副标题 字符"/>
    <w:basedOn w:val="786"/>
    <w:link w:val="801"/>
    <w:uiPriority w:val="11"/>
    <w:qFormat/>
    <w:rPr>
      <w:sz w:val="24"/>
      <w:szCs w:val="24"/>
    </w:rPr>
  </w:style>
  <w:style w:type="paragraph" w:styleId="828">
    <w:name w:val="Quote"/>
    <w:basedOn w:val="776"/>
    <w:next w:val="776"/>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76"/>
    <w:next w:val="776"/>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Header Char"/>
    <w:basedOn w:val="786"/>
    <w:uiPriority w:val="99"/>
    <w:qFormat/>
  </w:style>
  <w:style w:type="character" w:styleId="833" w:customStyle="1">
    <w:name w:val="Footer Char"/>
    <w:basedOn w:val="786"/>
    <w:uiPriority w:val="99"/>
    <w:qFormat/>
  </w:style>
  <w:style w:type="character" w:styleId="834" w:customStyle="1">
    <w:name w:val="Caption Char"/>
    <w:uiPriority w:val="99"/>
    <w:qFormat/>
  </w:style>
  <w:style w:type="table" w:styleId="835" w:customStyle="1">
    <w:name w:val="Table Grid Light"/>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6" w:customStyle="1">
    <w:name w:val="无格式表格 11"/>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8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网格表 3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8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7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4" w:customStyle="1">
    <w:name w:val="Grid Table 4 - Accent 2"/>
    <w:basedOn w:val="7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5" w:customStyle="1">
    <w:name w:val="Grid Table 4 - Accent 3"/>
    <w:basedOn w:val="7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8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7" w:customStyle="1">
    <w:name w:val="Grid Table 4 - Accent 5"/>
    <w:basedOn w:val="7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1"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2"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3"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4"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5"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6" w:customStyle="1">
    <w:name w:val="网格表 6 彩色1"/>
    <w:basedOn w:val="7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7" w:customStyle="1">
    <w:name w:val="Grid Table 6 Colorful - Accent 1"/>
    <w:basedOn w:val="78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8" w:customStyle="1">
    <w:name w:val="Grid Table 6 Colorful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9" w:customStyle="1">
    <w:name w:val="Grid Table 6 Colorful - Accent 3"/>
    <w:basedOn w:val="7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0" w:customStyle="1">
    <w:name w:val="Grid Table 6 Colorful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1" w:customStyle="1">
    <w:name w:val="Grid Table 6 Colorful - Accent 5"/>
    <w:basedOn w:val="7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2" w:customStyle="1">
    <w:name w:val="Grid Table 6 Colorful - Accent 6"/>
    <w:basedOn w:val="7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3" w:customStyle="1">
    <w:name w:val="网格表 7 彩色1"/>
    <w:basedOn w:val="7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8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8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8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0" w:customStyle="1">
    <w:name w:val="清单表 1 浅色1"/>
    <w:basedOn w:val="7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87"/>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8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8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7" w:customStyle="1">
    <w:name w:val="清单表 21"/>
    <w:basedOn w:val="7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8" w:customStyle="1">
    <w:name w:val="List Table 2 - Accent 1"/>
    <w:basedOn w:val="7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9" w:customStyle="1">
    <w:name w:val="List Table 2 - Accent 2"/>
    <w:basedOn w:val="7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0" w:customStyle="1">
    <w:name w:val="List Table 2 - Accent 3"/>
    <w:basedOn w:val="7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1" w:customStyle="1">
    <w:name w:val="List Table 2 - Accent 4"/>
    <w:basedOn w:val="78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2" w:customStyle="1">
    <w:name w:val="List Table 2 - Accent 5"/>
    <w:basedOn w:val="7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3" w:customStyle="1">
    <w:name w:val="List Table 2 - Accent 6"/>
    <w:basedOn w:val="7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4"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3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8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1"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3" w:customStyle="1">
    <w:name w:val="List Table 4 - Accent 2"/>
    <w:basedOn w:val="7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4" w:customStyle="1">
    <w:name w:val="List Table 4 - Accent 3"/>
    <w:basedOn w:val="7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5" w:customStyle="1">
    <w:name w:val="List Table 4 - Accent 4"/>
    <w:basedOn w:val="78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6" w:customStyle="1">
    <w:name w:val="List Table 4 - Accent 5"/>
    <w:basedOn w:val="7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7" w:customStyle="1">
    <w:name w:val="List Table 4 - Accent 6"/>
    <w:basedOn w:val="7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8" w:customStyle="1">
    <w:name w:val="清单表 5 深色1"/>
    <w:basedOn w:val="7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9" w:customStyle="1">
    <w:name w:val="List Table 5 Dark - Accent 1"/>
    <w:basedOn w:val="7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0" w:customStyle="1">
    <w:name w:val="List Table 5 Dark - Accent 2"/>
    <w:basedOn w:val="78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1" w:customStyle="1">
    <w:name w:val="List Table 5 Dark - Accent 3"/>
    <w:basedOn w:val="7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2" w:customStyle="1">
    <w:name w:val="List Table 5 Dark - Accent 4"/>
    <w:basedOn w:val="78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3" w:customStyle="1">
    <w:name w:val="List Table 5 Dark - Accent 5"/>
    <w:basedOn w:val="78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4" w:customStyle="1">
    <w:name w:val="List Table 5 Dark - Accent 6"/>
    <w:basedOn w:val="7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5" w:customStyle="1">
    <w:name w:val="清单表 6 彩色1"/>
    <w:basedOn w:val="7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6" w:customStyle="1">
    <w:name w:val="List Table 6 Colorful - Accent 1"/>
    <w:basedOn w:val="78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7" w:customStyle="1">
    <w:name w:val="List Table 6 Colorful - Accent 2"/>
    <w:basedOn w:val="78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8" w:customStyle="1">
    <w:name w:val="List Table 6 Colorful - Accent 3"/>
    <w:basedOn w:val="7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9" w:customStyle="1">
    <w:name w:val="List Table 6 Colorful - Accent 4"/>
    <w:basedOn w:val="78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0" w:customStyle="1">
    <w:name w:val="List Table 6 Colorful - Accent 5"/>
    <w:basedOn w:val="78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1" w:customStyle="1">
    <w:name w:val="List Table 6 Colorful - Accent 6"/>
    <w:basedOn w:val="7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2" w:customStyle="1">
    <w:name w:val="清单表 7 彩色1"/>
    <w:basedOn w:val="7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8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8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8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8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87"/>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8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1"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2"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4" w:customStyle="1">
    <w:name w:val="Lined - Accent 5"/>
    <w:basedOn w:val="78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amp; Lined - Accent"/>
    <w:basedOn w:val="7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Bordered &amp; Lined - Accent 1"/>
    <w:basedOn w:val="787"/>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8" w:customStyle="1">
    <w:name w:val="Bordered &amp; Lined - Accent 2"/>
    <w:basedOn w:val="7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9" w:customStyle="1">
    <w:name w:val="Bordered &amp; Lined - Accent 3"/>
    <w:basedOn w:val="787"/>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0" w:customStyle="1">
    <w:name w:val="Bordered &amp; Lined - Accent 4"/>
    <w:basedOn w:val="78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1" w:customStyle="1">
    <w:name w:val="Bordered &amp; Lined - Accent 5"/>
    <w:basedOn w:val="787"/>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2" w:customStyle="1">
    <w:name w:val="Bordered &amp; Lined - Accent 6"/>
    <w:basedOn w:val="78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3" w:customStyle="1">
    <w:name w:val="Bordered"/>
    <w:basedOn w:val="7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4" w:customStyle="1">
    <w:name w:val="Bordered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5" w:customStyle="1">
    <w:name w:val="Bordered - Accent 2"/>
    <w:basedOn w:val="78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6" w:customStyle="1">
    <w:name w:val="Bordered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7" w:customStyle="1">
    <w:name w:val="Bordered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8" w:customStyle="1">
    <w:name w:val="Bordered - Accent 5"/>
    <w:basedOn w:val="7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9" w:customStyle="1">
    <w:name w:val="Bordered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0" w:customStyle="1">
    <w:name w:val="脚注文本 字符"/>
    <w:link w:val="802"/>
    <w:uiPriority w:val="99"/>
    <w:qFormat/>
    <w:rPr>
      <w:sz w:val="18"/>
    </w:rPr>
  </w:style>
  <w:style w:type="character" w:styleId="961" w:customStyle="1">
    <w:name w:val="尾注文本 字符"/>
    <w:link w:val="796"/>
    <w:uiPriority w:val="99"/>
    <w:qFormat/>
    <w:rPr>
      <w:sz w:val="20"/>
    </w:rPr>
  </w:style>
  <w:style w:type="paragraph" w:styleId="962" w:customStyle="1">
    <w:name w:val="TOC 标题1"/>
    <w:uiPriority w:val="39"/>
    <w:unhideWhenUsed/>
    <w:qFormat/>
  </w:style>
  <w:style w:type="paragraph" w:styleId="963" w:customStyle="1">
    <w:name w:val="Default"/>
    <w:basedOn w:val="776"/>
    <w:semiHidden/>
    <w:qFormat/>
    <w:pPr>
      <w:jc w:val="left"/>
    </w:pPr>
    <w:rPr>
      <w:rFonts w:ascii="宋体" w:hAnsi="Calibri" w:cs="宋体"/>
      <w:color w:val="000000"/>
      <w:sz w:val="24"/>
    </w:rPr>
  </w:style>
  <w:style w:type="character" w:styleId="964" w:customStyle="1">
    <w:name w:val="页眉 字符"/>
    <w:basedOn w:val="786"/>
    <w:link w:val="798"/>
    <w:qFormat/>
    <w:rPr>
      <w:rFonts w:asciiTheme="minorHAnsi" w:hAnsiTheme="minorHAnsi" w:eastAsiaTheme="minorEastAsia" w:cstheme="minorBidi"/>
      <w:sz w:val="18"/>
      <w:szCs w:val="18"/>
    </w:rPr>
  </w:style>
  <w:style w:type="character" w:styleId="965" w:customStyle="1">
    <w:name w:val="页脚 字符"/>
    <w:basedOn w:val="786"/>
    <w:link w:val="797"/>
    <w:qFormat/>
    <w:rPr>
      <w:rFonts w:asciiTheme="minorHAnsi" w:hAnsiTheme="minorHAnsi" w:eastAsiaTheme="minorEastAsia" w:cstheme="minorBidi"/>
      <w:sz w:val="18"/>
      <w:szCs w:val="18"/>
    </w:rPr>
  </w:style>
  <w:style w:type="paragraph" w:styleId="966" w:customStyle="1">
    <w:name w:val="普通正文"/>
    <w:basedOn w:val="776"/>
    <w:qFormat/>
    <w:pPr>
      <w:ind w:firstLine="480"/>
      <w:jc w:val="left"/>
      <w:spacing w:before="120" w:after="120" w:line="360" w:lineRule="auto"/>
    </w:pPr>
    <w:rPr>
      <w:rFonts w:ascii="Arial" w:hAnsi="Arial" w:eastAsia="等线" w:cs="Arial"/>
      <w:sz w:val="24"/>
    </w:rPr>
  </w:style>
  <w:style w:type="paragraph" w:styleId="967" w:customStyle="1">
    <w:name w:val="正文首行缩进 21"/>
    <w:basedOn w:val="968"/>
    <w:qFormat/>
    <w:pPr>
      <w:ind w:firstLine="420"/>
    </w:pPr>
  </w:style>
  <w:style w:type="paragraph" w:styleId="968" w:customStyle="1">
    <w:name w:val="正文文本缩进1"/>
    <w:basedOn w:val="776"/>
    <w:qFormat/>
    <w:pPr>
      <w:ind w:left="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s://www.pkulaw.com/chl/f1aad16db682e9babdf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284</cp:revision>
  <dcterms:created xsi:type="dcterms:W3CDTF">2014-10-29T12:08:00Z</dcterms:created>
  <dcterms:modified xsi:type="dcterms:W3CDTF">2026-09-17T07:30:42Z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7989E845DC914108B69831B4F6FAFFB2_13</vt:lpwstr>
  </property>
  <property fmtid="{D5CDD505-2E9C-101B-9397-08002B2CF9AE}" pid="4" name="KSOTemplateDocerSaveRecord">
    <vt:lpwstr>eyJoZGlkIjoiMjU0NzQ2YzAyN2QxOWYzODJjODhlMjEyZWM0NTBmZWIiLCJ1c2VySWQiOiIyNTg2MjM1MDcifQ==</vt:lpwstr>
  </property>
</Properties>
</file>