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项目名称：</w:t>
      </w:r>
      <w:bookmarkStart w:id="0" w:name="OLE_LINK1"/>
      <w:r>
        <w:rPr>
          <w:rFonts w:hint="eastAsia" w:ascii="宋体" w:hAnsi="宋体" w:eastAsia="宋体" w:cs="宋体"/>
          <w:b/>
          <w:color w:val="auto"/>
          <w:sz w:val="24"/>
          <w:szCs w:val="24"/>
          <w:highlight w:val="none"/>
          <w:lang w:eastAsia="zh-CN"/>
        </w:rPr>
        <w:t xml:space="preserve">2026年市民生实事“道路交通安全提升”项目</w:t>
      </w:r>
      <w:bookmarkEnd w:id="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二次</w:t>
      </w:r>
      <w:r>
        <w:rPr>
          <w:rFonts w:hint="eastAsia" w:ascii="宋体" w:hAnsi="宋体" w:eastAsia="宋体" w:cs="宋体"/>
          <w:b/>
          <w:color w:val="auto"/>
          <w:sz w:val="24"/>
          <w:szCs w:val="24"/>
          <w:highlight w:val="none"/>
          <w:lang w:eastAsia="zh-CN"/>
        </w:rPr>
        <w:t xml:space="preserve">）</w:t>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项目编号：JSZC-320904-JZCG-G2026-0013</w:t>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lang w:eastAsia="zh-CN"/>
        </w:rPr>
      </w:pPr>
      <w:r/>
      <w:bookmarkStart w:id="1" w:name="OLE_LINK2"/>
      <w:r>
        <w:rPr>
          <w:rFonts w:hint="eastAsia" w:ascii="宋体" w:hAnsi="宋体" w:eastAsia="宋体" w:cs="宋体"/>
          <w:b/>
          <w:color w:val="auto"/>
          <w:sz w:val="28"/>
          <w:szCs w:val="28"/>
          <w:highlight w:val="none"/>
          <w:lang w:eastAsia="zh-CN"/>
        </w:rPr>
        <w:t xml:space="preserve">盐城市公安局大丰分局</w:t>
      </w:r>
      <w:bookmarkEnd w:id="1"/>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2026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月</w:t>
      </w:r>
      <w:r/>
    </w:p>
    <w:p>
      <w:pPr>
        <w:pStyle w:val="7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2" w:name="_Toc16938516"/>
      <w:r/>
      <w:bookmarkStart w:id="3" w:name="_Toc513029200"/>
      <w:r/>
      <w:bookmarkStart w:id="4" w:name="_Toc523127445"/>
      <w:r/>
      <w:bookmarkStart w:id="5" w:name="_Toc479757206"/>
      <w:r/>
      <w:bookmarkStart w:id="6" w:name="_Toc20823272"/>
      <w:r/>
      <w:bookmarkStart w:id="7" w:name="_Toc120614210"/>
      <w:r>
        <w:rPr>
          <w:rFonts w:hint="eastAsia" w:ascii="宋体" w:hAnsi="宋体" w:eastAsia="宋体" w:cs="宋体"/>
          <w:b/>
          <w:color w:val="auto"/>
          <w:sz w:val="44"/>
          <w:szCs w:val="44"/>
          <w:highlight w:val="none"/>
        </w:rPr>
        <w:t xml:space="preserve">总  目  录</w:t>
      </w:r>
      <w:bookmarkEnd w:id="2"/>
      <w:r/>
      <w:bookmarkEnd w:id="3"/>
      <w:r/>
      <w:bookmarkEnd w:id="4"/>
      <w:r/>
      <w:bookmarkEnd w:id="5"/>
      <w:r/>
      <w:bookmarkEnd w:id="6"/>
      <w:r/>
      <w:bookmarkEnd w:id="7"/>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w:t>
      </w:r>
      <w:r>
        <w:rPr>
          <w:rFonts w:hint="eastAsia" w:ascii="宋体" w:hAnsi="宋体" w:eastAsia="宋体" w:cs="宋体"/>
          <w:color w:val="auto"/>
          <w:sz w:val="36"/>
          <w:szCs w:val="36"/>
          <w:highlight w:val="none"/>
          <w:lang w:eastAsia="zh-CN"/>
        </w:rPr>
        <w:t xml:space="preserve">条款</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21</w:t>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27</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122</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127</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keepLines w:val="0"/>
        <w:keepNext w:val="0"/>
        <w:pageBreakBefore w:val="0"/>
        <w:spacing w:beforeAutospacing="0" w:afterAutospacing="0"/>
        <w:widowControl w:val="off"/>
        <w:rPr>
          <w:rFonts w:hint="eastAsia" w:ascii="宋体" w:hAnsi="宋体" w:eastAsia="宋体" w:cs="宋体"/>
          <w:color w:val="auto"/>
          <w:highlight w:val="none"/>
          <w:lang w:val="en-US" w:eastAsia="zh-CN"/>
        </w:rPr>
      </w:pPr>
      <w:r/>
      <w:bookmarkStart w:id="8" w:name="_Toc10306"/>
      <w:r/>
      <w:bookmarkStart w:id="9"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bookmarkEnd w:id="8"/>
      <w:r/>
      <w:r/>
    </w:p>
    <w:p>
      <w:pPr>
        <w:pStyle w:val="788"/>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788"/>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0" w:name="OLE_LINK5"/>
      <w:r>
        <w:rPr>
          <w:rFonts w:hint="eastAsia" w:ascii="宋体" w:hAnsi="宋体" w:eastAsia="宋体" w:cs="宋体"/>
          <w:color w:val="auto"/>
          <w:sz w:val="24"/>
          <w:szCs w:val="24"/>
          <w:highlight w:val="none"/>
          <w:u w:val="none"/>
          <w:lang w:eastAsia="zh-CN"/>
        </w:rPr>
        <w:t xml:space="preserve">2026年市民生实事“道路交通安全提升”项目</w:t>
      </w:r>
      <w:bookmarkEnd w:id="10"/>
      <w:r>
        <w:rPr>
          <w:rFonts w:hint="eastAsia" w:ascii="宋体" w:hAnsi="宋体" w:eastAsia="宋体" w:cs="宋体"/>
          <w:i w:val="0"/>
          <w:iCs w:val="0"/>
          <w:color w:val="auto"/>
          <w:sz w:val="24"/>
          <w:szCs w:val="24"/>
          <w:highlight w:val="none"/>
          <w:u w:val="none"/>
        </w:rPr>
        <w:t xml:space="preserve">的潜在投标人应在“苏采云”系统内免费下载（投标人必须在苏采云系统中获取采购文件，方能参与政府采购项目）获取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 ，并于</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rPr>
        <w:t xml:space="preserve">（北京时间）前递交投标文件。</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 w:name="_Hlk24379207"/>
      <w:r/>
      <w:bookmarkStart w:id="12" w:name="_Toc35393790"/>
      <w:r/>
      <w:bookmarkStart w:id="13" w:name="_Toc38985263"/>
      <w:r/>
      <w:bookmarkStart w:id="14" w:name="_Toc35393621"/>
      <w:r/>
      <w:bookmarkStart w:id="15" w:name="_Toc28359079"/>
      <w:r/>
      <w:bookmarkStart w:id="16" w:name="_Toc28359002"/>
      <w:r>
        <w:rPr>
          <w:rFonts w:hint="eastAsia" w:ascii="宋体" w:hAnsi="宋体" w:eastAsia="宋体" w:cs="宋体"/>
          <w:b/>
          <w:color w:val="auto"/>
          <w:sz w:val="24"/>
          <w:szCs w:val="24"/>
          <w:highlight w:val="none"/>
        </w:rPr>
        <w:t xml:space="preserve">一、项目基本情况</w:t>
      </w:r>
      <w:bookmarkEnd w:id="11"/>
      <w:r/>
      <w:bookmarkEnd w:id="12"/>
      <w:r/>
      <w:bookmarkEnd w:id="13"/>
      <w:r/>
      <w:bookmarkEnd w:id="14"/>
      <w:r/>
      <w:bookmarkEnd w:id="15"/>
      <w:r/>
      <w:bookmarkEnd w:id="16"/>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1.项目编号：JSZC-320904-JZCG-G2026-0013</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2026年市民生实事“道路交通安全提升”项目</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lang w:val="en-US" w:eastAsia="zh-CN"/>
        </w:rPr>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约531.11万</w:t>
      </w:r>
      <w:r>
        <w:rPr>
          <w:rFonts w:hint="eastAsia" w:ascii="宋体" w:hAnsi="宋体" w:eastAsia="宋体" w:cs="宋体"/>
          <w:color w:val="auto"/>
          <w:sz w:val="24"/>
          <w:szCs w:val="24"/>
          <w:highlight w:val="none"/>
          <w:lang w:eastAsia="zh-CN"/>
        </w:rPr>
        <w:t xml:space="preserve">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530.2万</w:t>
      </w:r>
      <w:r>
        <w:rPr>
          <w:rFonts w:hint="eastAsia" w:ascii="宋体" w:hAnsi="宋体" w:eastAsia="宋体" w:cs="宋体"/>
          <w:color w:val="auto"/>
          <w:sz w:val="24"/>
          <w:szCs w:val="24"/>
          <w:highlight w:val="none"/>
          <w:lang w:eastAsia="zh-CN"/>
        </w:rPr>
        <w:t xml:space="preserve">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包含“5510”隐患路段</w:t>
      </w:r>
      <w:r>
        <w:rPr>
          <w:rFonts w:hint="eastAsia" w:ascii="宋体" w:hAnsi="宋体" w:eastAsia="宋体" w:cs="宋体"/>
          <w:color w:val="auto"/>
          <w:sz w:val="24"/>
          <w:szCs w:val="24"/>
          <w:highlight w:val="none"/>
          <w:lang w:val="en-US" w:eastAsia="zh-CN"/>
        </w:rPr>
        <w:t xml:space="preserve">整治16项</w:t>
      </w:r>
      <w:r>
        <w:rPr>
          <w:rFonts w:hint="eastAsia" w:ascii="宋体" w:hAnsi="宋体" w:eastAsia="宋体" w:cs="宋体"/>
          <w:color w:val="auto"/>
          <w:sz w:val="24"/>
          <w:szCs w:val="24"/>
          <w:highlight w:val="none"/>
        </w:rPr>
        <w:t xml:space="preserve">；“5505”隐患路段整治16处</w:t>
      </w:r>
      <w:r>
        <w:rPr>
          <w:rFonts w:hint="eastAsia" w:ascii="宋体" w:hAnsi="宋体" w:eastAsia="宋体" w:cs="宋体"/>
          <w:color w:val="auto"/>
          <w:sz w:val="24"/>
          <w:szCs w:val="24"/>
          <w:highlight w:val="none"/>
          <w:lang w:eastAsia="zh-CN"/>
        </w:rPr>
        <w:t xml:space="preserve">；信号灯灯带建设21处；哨兵系统建设3台；</w:t>
      </w:r>
      <w:r>
        <w:rPr>
          <w:rFonts w:hint="eastAsia" w:ascii="宋体" w:hAnsi="宋体" w:eastAsia="宋体" w:cs="宋体"/>
          <w:color w:val="auto"/>
          <w:sz w:val="24"/>
          <w:szCs w:val="24"/>
          <w:highlight w:val="none"/>
        </w:rPr>
        <w:t xml:space="preserve">新建或升级路口信号灯系统、电子警察和卡口系统8处</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，还包括但不限于提供各项资料等伴随服务,具体详见本项目招标文件采购需求。</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.合同履行期限：合同签订后100日历天全部完成并经采购人验收合格。</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7" w:name="_Toc35393791"/>
      <w:r/>
      <w:bookmarkStart w:id="18" w:name="_Toc28359003"/>
      <w:r/>
      <w:bookmarkStart w:id="19" w:name="_Toc35393622"/>
      <w:r/>
      <w:bookmarkStart w:id="20" w:name="_Toc38985264"/>
      <w:r/>
      <w:bookmarkStart w:id="21" w:name="_Toc28359080"/>
      <w:r>
        <w:rPr>
          <w:rFonts w:hint="eastAsia" w:ascii="宋体" w:hAnsi="宋体" w:eastAsia="宋体" w:cs="宋体"/>
          <w:b/>
          <w:color w:val="auto"/>
          <w:sz w:val="24"/>
          <w:szCs w:val="24"/>
          <w:highlight w:val="none"/>
        </w:rPr>
        <w:t xml:space="preserve">二、申请人的资格要求：</w:t>
      </w:r>
      <w:bookmarkEnd w:id="17"/>
      <w:r/>
      <w:bookmarkEnd w:id="18"/>
      <w:r/>
      <w:bookmarkEnd w:id="19"/>
      <w:r/>
      <w:bookmarkEnd w:id="20"/>
      <w:r/>
      <w:bookmarkEnd w:id="21"/>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22" w:name="_Toc35393793"/>
      <w:r/>
      <w:bookmarkStart w:id="23" w:name="_Toc28359005"/>
      <w:r/>
      <w:bookmarkStart w:id="24" w:name="_Toc38985266"/>
      <w:r/>
      <w:bookmarkStart w:id="25" w:name="_Toc35393624"/>
      <w:r/>
      <w:bookmarkStart w:id="26" w:name="_Toc28359082"/>
      <w:r>
        <w:rPr>
          <w:rFonts w:hint="eastAsia" w:ascii="宋体" w:hAnsi="宋体" w:eastAsia="宋体" w:cs="宋体"/>
          <w:color w:val="auto"/>
          <w:sz w:val="24"/>
          <w:szCs w:val="24"/>
          <w:highlight w:val="none"/>
        </w:rPr>
        <w:t xml:space="preserve">1.时间：</w:t>
      </w:r>
      <w:bookmarkEnd w:id="22"/>
      <w:r/>
      <w:bookmarkEnd w:id="23"/>
      <w:r/>
      <w:bookmarkEnd w:id="24"/>
      <w:r/>
      <w:bookmarkEnd w:id="25"/>
      <w:r/>
      <w:bookmarkEnd w:id="26"/>
      <w:r>
        <w:rPr>
          <w:rFonts w:hint="eastAsia" w:ascii="宋体" w:hAnsi="宋体" w:eastAsia="宋体" w:cs="宋体"/>
          <w:i w:val="0"/>
          <w:iCs w:val="0"/>
          <w:color w:val="auto"/>
          <w:sz w:val="24"/>
          <w:szCs w:val="24"/>
          <w:highlight w:val="none"/>
        </w:rPr>
        <w:t xml:space="preserve">自招标文件公告发布之日起5个工作日</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i w:val="0"/>
          <w:iCs w:val="0"/>
          <w:color w:val="auto"/>
          <w:sz w:val="24"/>
          <w:szCs w:val="24"/>
          <w:highlight w:val="none"/>
        </w:rPr>
        <w:t xml:space="preserve">“苏采云”系统内免费下载（投标人必须在苏采云系统中获取采购文件，方能参与政府采购项目）</w:t>
      </w:r>
      <w:r>
        <w:rPr>
          <w:rFonts w:ascii="宋体" w:hAnsi="宋体" w:eastAsia="宋体" w:cs="宋体"/>
          <w:color w:val="000000"/>
          <w:sz w:val="24"/>
        </w:rPr>
        <w:t xml:space="preserve">（网址：https://jszfcg.jsczt.cn/jszc/login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i w:val="0"/>
          <w:iCs w:val="0"/>
          <w:color w:val="auto"/>
          <w:sz w:val="24"/>
          <w:szCs w:val="24"/>
          <w:highlight w:val="none"/>
        </w:rPr>
        <w:t xml:space="preserve">网上注册登记成功后苏采云系统内免费下载</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w:t>
      </w:r>
      <w:bookmarkStart w:id="308" w:name="_GoBack"/>
      <w:r/>
      <w:bookmarkEnd w:id="308"/>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rPr>
        <w:t xml:space="preserve">（北京时间）</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27" w:name="_Toc35393794"/>
      <w:r/>
      <w:bookmarkStart w:id="28" w:name="_Toc28359007"/>
      <w:r/>
      <w:bookmarkStart w:id="29" w:name="_Toc35393625"/>
      <w:r/>
      <w:bookmarkStart w:id="30" w:name="_Toc38985267"/>
      <w:r/>
      <w:bookmarkStart w:id="31" w:name="_Toc28359084"/>
      <w:r>
        <w:rPr>
          <w:rFonts w:hint="eastAsia" w:ascii="宋体" w:hAnsi="宋体" w:eastAsia="宋体" w:cs="宋体"/>
          <w:b/>
          <w:color w:val="auto"/>
          <w:sz w:val="24"/>
          <w:szCs w:val="24"/>
          <w:highlight w:val="none"/>
        </w:rPr>
        <w:t xml:space="preserve">五、公告期限</w:t>
      </w:r>
      <w:bookmarkEnd w:id="27"/>
      <w:r/>
      <w:bookmarkEnd w:id="28"/>
      <w:r/>
      <w:bookmarkEnd w:id="29"/>
      <w:r/>
      <w:bookmarkEnd w:id="30"/>
      <w:r/>
      <w:bookmarkEnd w:id="31"/>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2" w:name="_Toc38985268"/>
      <w:r/>
      <w:bookmarkStart w:id="33" w:name="_Toc35393626"/>
      <w:r/>
      <w:bookmarkStart w:id="34" w:name="_Toc35393795"/>
      <w:r>
        <w:rPr>
          <w:rFonts w:hint="eastAsia" w:ascii="宋体" w:hAnsi="宋体" w:eastAsia="宋体" w:cs="宋体"/>
          <w:color w:val="auto"/>
          <w:sz w:val="24"/>
          <w:szCs w:val="24"/>
          <w:highlight w:val="none"/>
          <w:lang w:val="en-US" w:eastAsia="zh-CN"/>
        </w:rPr>
        <w:t xml:space="preserve">自本公告发布之日起5个工作日。</w:t>
      </w:r>
      <w:bookmarkEnd w:id="32"/>
      <w:r/>
      <w:bookmarkEnd w:id="33"/>
      <w:r/>
      <w:bookmarkEnd w:id="34"/>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bookmarkStart w:id="35" w:name="_Toc28359018"/>
      <w:r>
        <w:rPr>
          <w:rFonts w:hint="eastAsia" w:ascii="宋体" w:hAnsi="宋体" w:eastAsia="宋体" w:cs="宋体"/>
          <w:i w:val="0"/>
          <w:iCs w:val="0"/>
          <w:color w:val="auto"/>
          <w:sz w:val="24"/>
          <w:szCs w:val="24"/>
          <w:highlight w:val="none"/>
        </w:rPr>
        <w:t xml:space="preserve">1.有关本次招标的事项若存在变动或修改，敬请及时关注采购人在“中国政府采购网”、“江苏政府采购网”、“盐城市政府采购网”发布的更正公告。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2.本次招标不收取投标保证金，不收取质量保证金。</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3.评审结束后，中标人需提供纸质投标文件一正四副用于归档，未中标单位不需要提供。</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潜在投标人访问“苏采云”系统方法：江苏省政府采购网首页-“苏采云”链接。</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“CA 数字证书”的获取：供应商需办理CA锁，“苏采云”系统目前仅支持政务CA，省内各地区办理的用于“苏采云”平台的政务CA全省通用。盐城地区政务CA办理请至盐城市府西路1号盐城市公共资源交易中心四楼大厅10号，11号窗口办理，联系电话：15051556883，办理邮箱：yancheng@ideabank.net.cn。</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采购文件（后缀名为“.kedt”）、供应商操作手册及政府采购客户端工具可通过“苏采云”系统相应链接进行下载。</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5"/>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6" w:name="_Toc28359096"/>
      <w:r/>
      <w:bookmarkStart w:id="37" w:name="_Toc35393637"/>
      <w:r/>
      <w:bookmarkStart w:id="38" w:name="_Toc28359019"/>
      <w:r/>
      <w:bookmarkStart w:id="39" w:name="_Toc35393806"/>
      <w:r>
        <w:rPr>
          <w:rFonts w:hint="eastAsia" w:ascii="宋体" w:hAnsi="宋体" w:eastAsia="宋体" w:cs="宋体"/>
          <w:color w:val="auto"/>
          <w:sz w:val="24"/>
          <w:szCs w:val="24"/>
          <w:highlight w:val="none"/>
          <w:lang w:val="en-US" w:eastAsia="zh-CN"/>
        </w:rPr>
        <w:t xml:space="preserve">1.采购人信息</w:t>
      </w:r>
      <w:bookmarkEnd w:id="36"/>
      <w:r/>
      <w:bookmarkEnd w:id="37"/>
      <w:r/>
      <w:bookmarkEnd w:id="38"/>
      <w:r/>
      <w:bookmarkEnd w:id="39"/>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称：盐城市公安局大丰分局</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bookmarkStart w:id="40" w:name="_Hlk130225944"/>
      <w:r>
        <w:rPr>
          <w:rFonts w:hint="eastAsia" w:ascii="宋体" w:hAnsi="宋体" w:eastAsia="宋体" w:cs="宋体"/>
          <w:color w:val="auto"/>
          <w:sz w:val="24"/>
          <w:szCs w:val="24"/>
          <w:highlight w:val="none"/>
          <w:lang w:val="en-US" w:eastAsia="zh-CN"/>
        </w:rPr>
        <w:t xml:space="preserve">盐城市大丰市区健康西路21号</w:t>
      </w:r>
      <w:bookmarkEnd w:id="40"/>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bookmarkStart w:id="41" w:name="OLE_LINK3"/>
      <w:r>
        <w:rPr>
          <w:rFonts w:hint="eastAsia" w:ascii="宋体" w:hAnsi="宋体" w:eastAsia="宋体" w:cs="宋体"/>
          <w:color w:val="auto"/>
          <w:sz w:val="24"/>
          <w:szCs w:val="24"/>
          <w:highlight w:val="none"/>
          <w:lang w:val="en-US" w:eastAsia="zh-CN"/>
        </w:rPr>
        <w:t xml:space="preserve">沈鸣熙</w:t>
      </w:r>
      <w:bookmarkEnd w:id="41"/>
      <w:r>
        <w:rPr>
          <w:rFonts w:hint="eastAsia" w:ascii="宋体" w:hAnsi="宋体" w:eastAsia="宋体" w:cs="宋体"/>
          <w:color w:val="auto"/>
          <w:sz w:val="24"/>
          <w:szCs w:val="24"/>
          <w:highlight w:val="none"/>
          <w:lang w:val="en-US" w:eastAsia="zh-CN"/>
        </w:rPr>
        <w:t xml:space="preserve">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bookmarkStart w:id="42" w:name="OLE_LINK4"/>
      <w:r>
        <w:rPr>
          <w:rFonts w:hint="eastAsia" w:ascii="宋体" w:hAnsi="宋体" w:eastAsia="宋体" w:cs="宋体"/>
          <w:color w:val="auto"/>
          <w:sz w:val="24"/>
          <w:szCs w:val="24"/>
          <w:highlight w:val="none"/>
          <w:lang w:val="en-US" w:eastAsia="zh-CN"/>
        </w:rPr>
        <w:t xml:space="preserve">18862030899</w:t>
      </w:r>
      <w:bookmarkEnd w:id="42"/>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43" w:name="_Toc28359098"/>
      <w:r/>
      <w:bookmarkStart w:id="44" w:name="_Toc35393639"/>
      <w:r/>
      <w:bookmarkStart w:id="45" w:name="_Toc35393808"/>
      <w:r/>
      <w:bookmarkStart w:id="46" w:name="_Toc28359021"/>
      <w:r>
        <w:rPr>
          <w:rFonts w:hint="eastAsia" w:ascii="宋体" w:hAnsi="宋体" w:eastAsia="宋体" w:cs="宋体"/>
          <w:color w:val="auto"/>
          <w:sz w:val="24"/>
          <w:szCs w:val="24"/>
          <w:highlight w:val="none"/>
          <w:lang w:val="en-US" w:eastAsia="zh-CN"/>
        </w:rPr>
        <w:t xml:space="preserve">2.采购代理机构（如有）</w:t>
      </w:r>
      <w:bookmarkEnd w:id="43"/>
      <w:r/>
      <w:bookmarkEnd w:id="44"/>
      <w:r/>
      <w:bookmarkEnd w:id="45"/>
      <w:r/>
      <w:bookmarkEnd w:id="46"/>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单位名称：盐城市大丰区公共资源交易中心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单位地址：盐城市大丰区飞达东路100号（丰华国际大厦5楼）</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人：龚星杰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i w:val="0"/>
          <w:iCs w:val="0"/>
          <w:color w:val="auto"/>
          <w:sz w:val="24"/>
          <w:szCs w:val="24"/>
          <w:highlight w:val="none"/>
          <w:lang w:val="en-US" w:eastAsia="zh-CN"/>
        </w:rPr>
        <w:t xml:space="preserve">18118943865</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项目联系人：龚星杰</w:t>
      </w:r>
      <w:r/>
    </w:p>
    <w:p>
      <w:pPr>
        <w:pStyle w:val="788"/>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i w:val="0"/>
          <w:iCs w:val="0"/>
          <w:color w:val="auto"/>
          <w:sz w:val="24"/>
          <w:szCs w:val="24"/>
          <w:highlight w:val="none"/>
          <w:lang w:val="en-US" w:eastAsia="zh-CN"/>
        </w:rPr>
        <w:t xml:space="preserve">18118943865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788"/>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47" w:name="_Toc120614211"/>
      <w:r/>
      <w:r/>
    </w:p>
    <w:p>
      <w:pPr>
        <w:pStyle w:val="788"/>
        <w:jc w:val="center"/>
        <w:keepLines w:val="0"/>
        <w:keepNext w:val="0"/>
        <w:pageBreakBefore w:val="0"/>
        <w:spacing w:beforeAutospacing="0" w:afterAutospacing="0"/>
        <w:widowControl w:val="off"/>
        <w:rPr>
          <w:rFonts w:hint="eastAsia" w:ascii="宋体" w:hAnsi="宋体" w:eastAsia="宋体" w:cs="宋体"/>
          <w:color w:val="auto"/>
          <w:highlight w:val="none"/>
        </w:rPr>
      </w:pPr>
      <w:r/>
      <w:bookmarkStart w:id="48" w:name="_Toc11525"/>
      <w:r>
        <w:rPr>
          <w:rFonts w:hint="eastAsia" w:ascii="宋体" w:hAnsi="宋体" w:eastAsia="宋体" w:cs="宋体"/>
          <w:b/>
          <w:bCs/>
          <w:color w:val="auto"/>
          <w:sz w:val="44"/>
          <w:szCs w:val="44"/>
          <w:highlight w:val="none"/>
        </w:rPr>
        <w:t xml:space="preserve">第二章</w:t>
      </w:r>
      <w:bookmarkEnd w:id="47"/>
      <w:r/>
      <w:bookmarkStart w:id="49" w:name="_Toc120614213"/>
      <w:r/>
      <w:bookmarkStart w:id="50" w:name="_Toc513029202"/>
      <w:r/>
      <w:bookmarkStart w:id="51" w:name="_Toc16938518"/>
      <w:r/>
      <w:bookmarkStart w:id="52" w:name="_Toc20823274"/>
      <w:r>
        <w:rPr>
          <w:rFonts w:hint="eastAsia" w:ascii="宋体" w:hAnsi="宋体" w:eastAsia="宋体" w:cs="宋体"/>
          <w:b/>
          <w:bCs/>
          <w:color w:val="auto"/>
          <w:sz w:val="44"/>
          <w:szCs w:val="44"/>
          <w:highlight w:val="none"/>
        </w:rPr>
        <w:t xml:space="preserve"> 投标人须知</w:t>
      </w:r>
      <w:bookmarkEnd w:id="48"/>
      <w:r/>
      <w:bookmarkEnd w:id="49"/>
      <w:r/>
      <w:bookmarkEnd w:id="50"/>
      <w:r/>
      <w:bookmarkEnd w:id="51"/>
      <w:r/>
      <w:bookmarkEnd w:id="52"/>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53" w:name="_Toc16938519"/>
      <w:r/>
      <w:bookmarkStart w:id="54" w:name="_Toc513029203"/>
      <w:r/>
      <w:bookmarkStart w:id="55" w:name="_Toc20823275"/>
      <w:r/>
      <w:bookmarkStart w:id="56" w:name="_Toc120614214"/>
      <w:r/>
      <w:bookmarkStart w:id="57" w:name="_Hlt26668975"/>
      <w:r/>
      <w:bookmarkStart w:id="58" w:name="_Hlt26670486"/>
      <w:r/>
      <w:bookmarkStart w:id="59" w:name="_Hlt16619475"/>
      <w:r/>
      <w:bookmarkStart w:id="60" w:name="_Hlt26954848"/>
      <w:r/>
      <w:bookmarkStart w:id="61" w:name="_Hlt26954739"/>
      <w:r/>
      <w:bookmarkStart w:id="62" w:name="_Hlt26670482"/>
      <w:r/>
      <w:bookmarkStart w:id="63" w:name="_Hlt26670360"/>
      <w:r/>
      <w:bookmarkStart w:id="64" w:name="_Hlt26954731"/>
      <w:r/>
      <w:bookmarkStart w:id="65" w:name="_Hlt26954838"/>
      <w:r/>
      <w:bookmarkStart w:id="66" w:name="_Toc513029226"/>
      <w:r/>
      <w:bookmarkStart w:id="67" w:name="_Hlt26954846"/>
      <w:r/>
      <w:bookmarkStart w:id="68" w:name="_Hlt26954852"/>
      <w:r>
        <w:rPr>
          <w:rFonts w:hint="eastAsia" w:ascii="宋体" w:hAnsi="宋体" w:eastAsia="宋体" w:cs="宋体"/>
          <w:color w:val="auto"/>
          <w:sz w:val="24"/>
          <w:szCs w:val="24"/>
          <w:highlight w:val="none"/>
        </w:rPr>
        <w:t xml:space="preserve">一、总则</w:t>
      </w:r>
      <w:bookmarkEnd w:id="53"/>
      <w:r/>
      <w:bookmarkEnd w:id="54"/>
      <w:r/>
      <w:bookmarkEnd w:id="55"/>
      <w:r/>
      <w:bookmarkEnd w:id="56"/>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69" w:name="_Toc458694821"/>
      <w:r/>
      <w:bookmarkStart w:id="70" w:name="_Toc513029204"/>
      <w:r/>
      <w:bookmarkStart w:id="71" w:name="_Toc20823276"/>
      <w:r/>
      <w:bookmarkStart w:id="72" w:name="_Toc16938520"/>
      <w:r>
        <w:rPr>
          <w:rFonts w:hint="eastAsia" w:ascii="宋体" w:hAnsi="宋体" w:eastAsia="宋体" w:cs="宋体"/>
          <w:b w:val="0"/>
          <w:bCs w:val="0"/>
          <w:color w:val="auto"/>
          <w:sz w:val="24"/>
          <w:szCs w:val="24"/>
          <w:highlight w:val="none"/>
        </w:rPr>
        <w:t xml:space="preserve">1</w:t>
      </w:r>
      <w:bookmarkEnd w:id="69"/>
      <w:r>
        <w:rPr>
          <w:rFonts w:hint="eastAsia" w:ascii="宋体" w:hAnsi="宋体" w:eastAsia="宋体" w:cs="宋体"/>
          <w:b w:val="0"/>
          <w:bCs w:val="0"/>
          <w:color w:val="auto"/>
          <w:sz w:val="24"/>
          <w:szCs w:val="24"/>
          <w:highlight w:val="none"/>
        </w:rPr>
        <w:t xml:space="preserve">、招标方式</w:t>
      </w:r>
      <w:bookmarkEnd w:id="70"/>
      <w:r/>
      <w:bookmarkEnd w:id="71"/>
      <w:r/>
      <w:bookmarkEnd w:id="7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3" w:name="_Toc20823277"/>
      <w:r/>
      <w:bookmarkStart w:id="74" w:name="_Toc513029205"/>
      <w:r/>
      <w:bookmarkStart w:id="75" w:name="_Toc16938521"/>
      <w:r>
        <w:rPr>
          <w:rFonts w:hint="eastAsia" w:ascii="宋体" w:hAnsi="宋体" w:eastAsia="宋体" w:cs="宋体"/>
          <w:b w:val="0"/>
          <w:bCs w:val="0"/>
          <w:color w:val="auto"/>
          <w:sz w:val="24"/>
          <w:szCs w:val="24"/>
          <w:highlight w:val="none"/>
        </w:rPr>
        <w:t xml:space="preserve">2、合格的投标人</w:t>
      </w:r>
      <w:bookmarkEnd w:id="73"/>
      <w:r/>
      <w:bookmarkEnd w:id="74"/>
      <w:r/>
      <w:bookmarkEnd w:id="75"/>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6" w:name="_Toc16938522"/>
      <w:r/>
      <w:bookmarkStart w:id="77" w:name="_Toc20823278"/>
      <w:r/>
      <w:bookmarkStart w:id="78" w:name="_Toc513029206"/>
      <w:r>
        <w:rPr>
          <w:rFonts w:hint="eastAsia" w:ascii="宋体" w:hAnsi="宋体" w:eastAsia="宋体" w:cs="宋体"/>
          <w:b w:val="0"/>
          <w:bCs w:val="0"/>
          <w:color w:val="auto"/>
          <w:sz w:val="24"/>
          <w:szCs w:val="24"/>
          <w:highlight w:val="none"/>
        </w:rPr>
        <w:t xml:space="preserve">3、适用法律</w:t>
      </w:r>
      <w:bookmarkEnd w:id="76"/>
      <w:r/>
      <w:bookmarkEnd w:id="77"/>
      <w:r/>
      <w:bookmarkEnd w:id="78"/>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9" w:name="_Toc20823279"/>
      <w:r/>
      <w:bookmarkStart w:id="80" w:name="_Toc462564067"/>
      <w:r/>
      <w:bookmarkStart w:id="81" w:name="_Toc513029207"/>
      <w:r/>
      <w:bookmarkStart w:id="82" w:name="_Toc16938523"/>
      <w:r>
        <w:rPr>
          <w:rFonts w:hint="eastAsia" w:ascii="宋体" w:hAnsi="宋体" w:eastAsia="宋体" w:cs="宋体"/>
          <w:b w:val="0"/>
          <w:bCs w:val="0"/>
          <w:color w:val="auto"/>
          <w:sz w:val="24"/>
          <w:szCs w:val="24"/>
          <w:highlight w:val="none"/>
        </w:rPr>
        <w:t xml:space="preserve">4、投标费用</w:t>
      </w:r>
      <w:bookmarkEnd w:id="79"/>
      <w:r/>
      <w:bookmarkEnd w:id="80"/>
      <w:r/>
      <w:bookmarkEnd w:id="81"/>
      <w:r/>
      <w:bookmarkEnd w:id="8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本次招标采购，采购人不收取标书工本费。</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83" w:name="_Toc16938525"/>
      <w:r/>
      <w:bookmarkStart w:id="84" w:name="_Toc20823281"/>
      <w:r/>
      <w:bookmarkStart w:id="85" w:name="_Toc120614215"/>
      <w:r/>
      <w:bookmarkStart w:id="86" w:name="_Toc513029209"/>
      <w:r>
        <w:rPr>
          <w:rFonts w:hint="eastAsia" w:ascii="宋体" w:hAnsi="宋体" w:eastAsia="宋体" w:cs="宋体"/>
          <w:color w:val="auto"/>
          <w:sz w:val="24"/>
          <w:szCs w:val="24"/>
          <w:highlight w:val="none"/>
        </w:rPr>
        <w:t xml:space="preserve">二、招标文件</w:t>
      </w:r>
      <w:bookmarkEnd w:id="83"/>
      <w:r/>
      <w:bookmarkEnd w:id="84"/>
      <w:r/>
      <w:bookmarkEnd w:id="85"/>
      <w:r/>
      <w:bookmarkEnd w:id="86"/>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87" w:name="_Toc20823282"/>
      <w:r/>
      <w:bookmarkStart w:id="88" w:name="_Toc513029210"/>
      <w:r/>
      <w:bookmarkStart w:id="89" w:name="_Toc16938526"/>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、招标文件构成</w:t>
      </w:r>
      <w:bookmarkEnd w:id="87"/>
      <w:r/>
      <w:bookmarkEnd w:id="88"/>
      <w:r/>
      <w:bookmarkEnd w:id="89"/>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招标文件</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以下部分组成：</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请仔细检查招标文件是否齐全，如有缺漏请立即与采购人联系解决。</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0" w:name="_Toc16938527"/>
      <w:r/>
      <w:bookmarkStart w:id="91" w:name="_Toc462564070"/>
      <w:r/>
      <w:bookmarkStart w:id="92" w:name="_Toc20823283"/>
      <w:r/>
      <w:bookmarkStart w:id="93" w:name="_Toc513029211"/>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bookmarkEnd w:id="90"/>
      <w:r/>
      <w:bookmarkEnd w:id="91"/>
      <w:r/>
      <w:bookmarkEnd w:id="92"/>
      <w:r/>
      <w:bookmarkEnd w:id="93"/>
      <w:r>
        <w:rPr>
          <w:rFonts w:hint="eastAsia" w:ascii="宋体" w:hAnsi="宋体" w:eastAsia="宋体" w:cs="宋体"/>
          <w:b w:val="0"/>
          <w:bCs w:val="0"/>
          <w:color w:val="auto"/>
          <w:sz w:val="24"/>
          <w:szCs w:val="24"/>
          <w:highlight w:val="none"/>
        </w:rPr>
        <w:t xml:space="preserve">招标文件的澄清</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4" w:name="_Toc16938528"/>
      <w:r/>
      <w:bookmarkStart w:id="95" w:name="_Toc20823284"/>
      <w:r/>
      <w:bookmarkStart w:id="96" w:name="_Toc513029212"/>
      <w:r/>
      <w:bookmarkStart w:id="97" w:name="_Toc462564071"/>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bookmarkEnd w:id="94"/>
      <w:r/>
      <w:bookmarkEnd w:id="95"/>
      <w:r/>
      <w:bookmarkEnd w:id="96"/>
      <w:r/>
      <w:bookmarkEnd w:id="97"/>
      <w:r>
        <w:rPr>
          <w:rFonts w:hint="eastAsia" w:ascii="宋体" w:hAnsi="宋体" w:eastAsia="宋体" w:cs="宋体"/>
          <w:b w:val="0"/>
          <w:bCs w:val="0"/>
          <w:color w:val="auto"/>
          <w:sz w:val="24"/>
          <w:szCs w:val="24"/>
          <w:highlight w:val="none"/>
        </w:rPr>
        <w:t xml:space="preserve">招标文件的修改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在投标截止时间前，采购人可以对招标文件进行修改。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.2采购人有权按照法定的要求推迟投标截止日期和开标日期。</w:t>
      </w:r>
      <w:r>
        <w:rPr>
          <w:rFonts w:hint="eastAsia" w:ascii="宋体" w:hAnsi="宋体" w:eastAsia="宋体" w:cs="宋体"/>
          <w:color w:val="auto"/>
          <w:sz w:val="24"/>
          <w:szCs w:val="24"/>
          <w:highlight w:val="none"/>
          <w:lang w:val="en-US" w:eastAsia="zh-CN"/>
        </w:rPr>
        <w:t xml:space="preserve">  </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.3招标文件的修改将在中国政府采购网、江苏政府采购网、盐城市政府采购网公布，补充文件将作为招标文件的组成部分，并对投标人具有约束力。</w:t>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98" w:name="_Toc120614216"/>
      <w:r/>
      <w:bookmarkStart w:id="99" w:name="_Toc20823285"/>
      <w:r/>
      <w:bookmarkStart w:id="100" w:name="_Toc16938529"/>
      <w:r/>
      <w:bookmarkStart w:id="101" w:name="_Toc513029213"/>
      <w:r/>
      <w:bookmarkStart w:id="102" w:name="_Toc462564072"/>
      <w:r>
        <w:rPr>
          <w:rFonts w:hint="eastAsia" w:ascii="宋体" w:hAnsi="宋体" w:eastAsia="宋体" w:cs="宋体"/>
          <w:color w:val="auto"/>
          <w:sz w:val="24"/>
          <w:szCs w:val="24"/>
          <w:highlight w:val="none"/>
        </w:rPr>
        <w:t xml:space="preserve">三、投标文件的编制</w:t>
      </w:r>
      <w:bookmarkEnd w:id="98"/>
      <w:r/>
      <w:bookmarkEnd w:id="99"/>
      <w:r/>
      <w:bookmarkEnd w:id="100"/>
      <w:r/>
      <w:bookmarkEnd w:id="101"/>
      <w:r/>
      <w:bookmarkEnd w:id="102"/>
      <w:r/>
      <w:r/>
    </w:p>
    <w:p>
      <w:pPr>
        <w:pStyle w:val="950"/>
        <w:ind w:left="0" w:firstLine="480"/>
        <w:jc w:val="left"/>
        <w:pageBreakBefore w:val="0"/>
        <w:spacing w:before="0" w:after="0" w:line="440" w:lineRule="exact"/>
        <w:widowControl w:val="off"/>
        <w:rPr>
          <w:rFonts w:hint="eastAsia" w:ascii="宋体" w:hAnsi="宋体" w:eastAsia="宋体" w:cs="宋体"/>
          <w:bCs w:val="0"/>
          <w:color w:val="auto"/>
          <w:sz w:val="24"/>
          <w:szCs w:val="24"/>
          <w:highlight w:val="none"/>
        </w:rPr>
      </w:pPr>
      <w:r/>
      <w:bookmarkStart w:id="103" w:name="_Toc20823286"/>
      <w:r/>
      <w:bookmarkStart w:id="104" w:name="_Toc16938530"/>
      <w:r/>
      <w:bookmarkStart w:id="105" w:name="_Toc513029214"/>
      <w:r/>
      <w:bookmarkStart w:id="106" w:name="_Toc462564073"/>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103"/>
      <w:r/>
      <w:bookmarkEnd w:id="104"/>
      <w:r/>
      <w:bookmarkEnd w:id="105"/>
      <w:r/>
      <w:bookmarkEnd w:id="106"/>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投标人提交的投标文件以及投标人与采购人就有关投标的所有来往通知、函件和文件均应使用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107" w:name="_Toc20823287"/>
      <w:r/>
      <w:bookmarkStart w:id="108" w:name="_Toc462564074"/>
      <w:r/>
      <w:bookmarkStart w:id="109" w:name="_Toc513029215"/>
      <w:r/>
      <w:bookmarkStart w:id="110" w:name="_Toc16938531"/>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、投标文件构成</w:t>
      </w:r>
      <w:bookmarkEnd w:id="107"/>
      <w:r/>
      <w:bookmarkEnd w:id="108"/>
      <w:r/>
      <w:bookmarkEnd w:id="109"/>
      <w:r/>
      <w:bookmarkEnd w:id="110"/>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bookmarkStart w:id="111" w:name="_Toc14577354"/>
      <w:r/>
      <w:bookmarkStart w:id="112" w:name="_Toc513029216"/>
      <w:r/>
      <w:bookmarkStart w:id="113" w:name="_Toc49090509"/>
      <w:r/>
      <w:bookmarkStart w:id="114" w:name="_Toc14577357"/>
      <w:r/>
      <w:bookmarkStart w:id="115" w:name="_Toc513029219"/>
      <w:r/>
      <w:bookmarkStart w:id="116" w:name="_Toc4909050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投标文件至少应提交（包含并不限于）以下投标材料：(请各单位根据实际情况进行调整)</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资信证明文件</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资格性审查响应对照表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.1.3 符合性检查响应对照表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.1.4 投标函</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.1.5 开标一览表（详见投标文件格式，用于唱标）</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.1.6 投标报价分项表（详见招标文件格式）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.1.7 技术部分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.1.8 招标文件中规定要求提供的证明材料和投标人认为需要提供的其他材料</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.1.9 盐城市大丰区政府采购供应商承诺书</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bookmarkEnd w:id="111"/>
      <w:r/>
      <w:bookmarkEnd w:id="112"/>
      <w:r/>
      <w:bookmarkEnd w:id="113"/>
      <w:r/>
      <w:bookmarkEnd w:id="114"/>
      <w:r/>
      <w:bookmarkEnd w:id="115"/>
      <w:r/>
      <w:bookmarkEnd w:id="116"/>
      <w:r>
        <w:rPr>
          <w:rFonts w:hint="eastAsia" w:ascii="宋体" w:hAnsi="宋体" w:eastAsia="宋体" w:cs="宋体"/>
          <w:b w:val="0"/>
          <w:bCs w:val="0"/>
          <w:color w:val="auto"/>
          <w:sz w:val="24"/>
          <w:szCs w:val="24"/>
          <w:highlight w:val="none"/>
        </w:rPr>
        <w:t xml:space="preserve">证明投标人及投标标的符合招标文件规定的文件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投标人应按照招标文件要求提交证明文件，证明其及投标标的符合招标文件规定。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12、报价表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采购人将拒绝高于最高限价的投标报价。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招标报价采用总承包方式，投标人的报价应包括投标文件所承诺的工期期限内并达到投标人所承诺的质量标准为完成招标文件所确定的招标范围的全部内容所需费用的全部价格体现。（包括</w:t>
      </w:r>
      <w:r>
        <w:rPr>
          <w:rFonts w:hint="eastAsia" w:ascii="宋体" w:hAnsi="宋体" w:eastAsia="宋体" w:cs="宋体"/>
          <w:color w:val="auto"/>
          <w:sz w:val="24"/>
          <w:szCs w:val="24"/>
          <w:highlight w:val="none"/>
          <w:lang w:val="en-US" w:eastAsia="zh-CN" w:bidi="ar-SA"/>
        </w:rPr>
        <w:t xml:space="preserve">但不限于软件费用、硬件设备费、运输费、上下力资、安装调试费、备品备件费、专用器具费、服务器等设备升级费、运维服务费（含运维人员、设备全部费用）、软件升级费用、光纤网络建设及使用费用、售后服务费、培训费、管理费、前期咨询费(参照苏招协【2022】002号文件收取)、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ind w:left="0" w:firstLine="482"/>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投标人须充分考虑各种影响报价的因素包括但不限于充分了解采购人现有平台及网络架构的与本项目融合对接费用，进行合理化报价。</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投标人根据招标内容的要求准确报价，一经报出，不得更改。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如出现不合理的报价，经评标委员会评审其报价明显高于其市场价或低于其企业成本的，均可作废标处理。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对于超出招标文件的其他临时性服务项目，由甲乙双方协商解决。</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开标时，当投标文件中开标一览表内容与分项明细报价表内容不一致时，以开标一览表为准。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投标文件的大写金额和小写金额不一致的，以大写金额为准；对不同文字文本投标的解释发生异议的，以中文文本为准。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12.8 投标人在报价时，价格包含一切税费，未作说明的情况下，视同包含一切税费。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14、服务承诺、培训计划、人员安排及其他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投标人需根据招标文件要求提供培训计划。</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7" w:name="_Toc49090510"/>
      <w:r/>
      <w:bookmarkStart w:id="118" w:name="_Toc14577359"/>
      <w:r>
        <w:rPr>
          <w:rFonts w:hint="eastAsia" w:ascii="宋体" w:hAnsi="宋体" w:eastAsia="宋体" w:cs="宋体"/>
          <w:color w:val="auto"/>
          <w:sz w:val="24"/>
          <w:szCs w:val="24"/>
          <w:highlight w:val="none"/>
          <w:lang w:val="en-US" w:eastAsia="zh-CN" w:bidi="ar-SA"/>
        </w:rPr>
        <w:t xml:space="preserve">15、投标函和开标一览表</w:t>
      </w:r>
      <w:bookmarkEnd w:id="117"/>
      <w:r/>
      <w:bookmarkEnd w:id="11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投标人应按照招标文件中提供的格式完整、正确填写投标函、开标一览表。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9" w:name="_Toc49090511"/>
      <w:r/>
      <w:bookmarkStart w:id="120" w:name="_Toc14577360"/>
      <w:r>
        <w:rPr>
          <w:rFonts w:hint="eastAsia" w:ascii="宋体" w:hAnsi="宋体" w:eastAsia="宋体" w:cs="宋体"/>
          <w:color w:val="auto"/>
          <w:sz w:val="24"/>
          <w:szCs w:val="24"/>
          <w:highlight w:val="none"/>
          <w:lang w:val="en-US" w:eastAsia="zh-CN" w:bidi="ar-SA"/>
        </w:rPr>
        <w:t xml:space="preserve">16、投标有效期</w:t>
      </w:r>
      <w:bookmarkEnd w:id="119"/>
      <w:r/>
      <w:bookmarkEnd w:id="12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16.1投标有效期为交易中心规定的开标之日后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17、投标有效期的延长</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1" w:name="_Toc16938540"/>
      <w:r/>
      <w:bookmarkStart w:id="122" w:name="_Toc120614217"/>
      <w:r/>
      <w:bookmarkStart w:id="123" w:name="_Toc20823296"/>
      <w:r/>
      <w:bookmarkStart w:id="124" w:name="_Toc513029224"/>
      <w:r>
        <w:rPr>
          <w:rFonts w:hint="eastAsia" w:ascii="宋体" w:hAnsi="宋体" w:eastAsia="宋体" w:cs="宋体"/>
          <w:b/>
          <w:color w:val="auto"/>
          <w:sz w:val="24"/>
          <w:szCs w:val="24"/>
          <w:highlight w:val="none"/>
          <w:lang w:val="en-US" w:eastAsia="zh-CN" w:bidi="ar-SA"/>
        </w:rPr>
        <w:t xml:space="preserve">四、投标文件的递交</w:t>
      </w:r>
      <w:bookmarkEnd w:id="121"/>
      <w:r/>
      <w:bookmarkEnd w:id="122"/>
      <w:r/>
      <w:bookmarkEnd w:id="123"/>
      <w:r/>
      <w:bookmarkEnd w:id="12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5" w:name="_Toc20823297"/>
      <w:r/>
      <w:bookmarkStart w:id="126" w:name="_Toc16938541"/>
      <w:r/>
      <w:bookmarkStart w:id="127" w:name="_Toc462564084"/>
      <w:r/>
      <w:bookmarkStart w:id="128" w:name="_Toc513029225"/>
      <w:r>
        <w:rPr>
          <w:rFonts w:hint="eastAsia" w:ascii="宋体" w:hAnsi="宋体" w:eastAsia="宋体" w:cs="宋体"/>
          <w:color w:val="auto"/>
          <w:sz w:val="24"/>
          <w:szCs w:val="24"/>
          <w:highlight w:val="none"/>
          <w:lang w:val="en-US" w:eastAsia="zh-CN" w:bidi="ar-SA"/>
        </w:rPr>
        <w:t xml:space="preserve">18、电子投标文件</w:t>
      </w:r>
      <w:bookmarkEnd w:id="125"/>
      <w:r/>
      <w:bookmarkEnd w:id="126"/>
      <w:r/>
      <w:bookmarkEnd w:id="127"/>
      <w:r/>
      <w:bookmarkEnd w:id="128"/>
      <w:r>
        <w:rPr>
          <w:rFonts w:hint="eastAsia" w:ascii="宋体" w:hAnsi="宋体" w:eastAsia="宋体" w:cs="宋体"/>
          <w:color w:val="auto"/>
          <w:sz w:val="24"/>
          <w:szCs w:val="24"/>
          <w:highlight w:val="none"/>
          <w:lang w:val="en-US" w:eastAsia="zh-CN" w:bidi="ar-SA"/>
        </w:rPr>
        <w:t xml:space="preserve">的递交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18.1投标人应当按照《操作手册》规定，在投标截止时间前制作并上传电子投标文件。</w:t>
      </w:r>
      <w:bookmarkStart w:id="129" w:name="_Toc16938542"/>
      <w:r/>
      <w:bookmarkEnd w:id="129"/>
      <w:r/>
      <w:bookmarkStart w:id="130" w:name="_Toc20823298"/>
      <w:r/>
      <w:bookmarkEnd w:id="13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19、投标截止日期</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19.1 投标人上传电子投标文件的时间不得迟于招标公告中规定的投标截止时间。</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交易中心可以按照规定，通过修改招标文件酌情延长投标截止日期，在此情况下，投标人的所有权利和义务以及投标人受制的截止日期均应以延长后新的截止日期为准。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lang w:val="en-US" w:eastAsia="zh-CN" w:bidi="ar-SA"/>
        </w:rPr>
        <w:t xml:space="preserve">20、投标文件</w:t>
      </w:r>
      <w:bookmarkEnd w:id="131"/>
      <w:r/>
      <w:bookmarkEnd w:id="132"/>
      <w:r/>
      <w:bookmarkEnd w:id="133"/>
      <w:r>
        <w:rPr>
          <w:rFonts w:hint="eastAsia" w:ascii="宋体" w:hAnsi="宋体" w:eastAsia="宋体" w:cs="宋体"/>
          <w:color w:val="auto"/>
          <w:sz w:val="24"/>
          <w:szCs w:val="24"/>
          <w:highlight w:val="none"/>
          <w:lang w:val="en-US" w:eastAsia="zh-CN" w:bidi="ar-SA"/>
        </w:rPr>
        <w:t xml:space="preserve">的拒收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交易中心拒绝接收在其规定的投标截止时间后上传的任何投标文件。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4" w:name="_Toc20823300"/>
      <w:r/>
      <w:bookmarkStart w:id="135" w:name="_Toc16938544"/>
      <w:r/>
      <w:bookmarkStart w:id="136" w:name="_Toc513029228"/>
      <w:r>
        <w:rPr>
          <w:rFonts w:hint="eastAsia" w:ascii="宋体" w:hAnsi="宋体" w:eastAsia="宋体" w:cs="宋体"/>
          <w:color w:val="auto"/>
          <w:sz w:val="24"/>
          <w:szCs w:val="24"/>
          <w:highlight w:val="none"/>
          <w:lang w:val="en-US" w:eastAsia="zh-CN" w:bidi="ar-SA"/>
        </w:rPr>
        <w:t xml:space="preserve">21、投标文件的撤回和修改</w:t>
      </w:r>
      <w:bookmarkEnd w:id="134"/>
      <w:r/>
      <w:bookmarkEnd w:id="135"/>
      <w:r/>
      <w:bookmarkEnd w:id="13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电子投标文件的撤回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投标人撤回电子投标文件，则认为其不再参与本项目投标活动。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投标文件的修改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21.2.1投标人可在投标截止时间前，对其电子投标文件进行修改，具体操作方法见《操作手册》。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21.2.2 在投标截止时间之后，投标人不得对其电子投标文件作任何修改。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在投标截止时间至招标文件中规定的投标有效期满之间的这段时间内，投标人不得撤回其投标。</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7" w:name="_Toc20823301"/>
      <w:r/>
      <w:bookmarkStart w:id="138" w:name="_Toc120614218"/>
      <w:r/>
      <w:bookmarkStart w:id="139" w:name="_Toc513029229"/>
      <w:r/>
      <w:bookmarkStart w:id="140" w:name="_Toc16938545"/>
      <w:r>
        <w:rPr>
          <w:rFonts w:hint="eastAsia" w:ascii="宋体" w:hAnsi="宋体" w:eastAsia="宋体" w:cs="宋体"/>
          <w:b/>
          <w:color w:val="auto"/>
          <w:sz w:val="24"/>
          <w:szCs w:val="24"/>
          <w:highlight w:val="none"/>
          <w:lang w:val="en-US" w:eastAsia="zh-CN" w:bidi="ar-SA"/>
        </w:rPr>
        <w:t xml:space="preserve">五、开标与评标</w:t>
      </w:r>
      <w:bookmarkEnd w:id="137"/>
      <w:r/>
      <w:bookmarkEnd w:id="138"/>
      <w:r/>
      <w:bookmarkEnd w:id="139"/>
      <w:r/>
      <w:bookmarkEnd w:id="14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1" w:name="_Toc20823302"/>
      <w:r/>
      <w:bookmarkStart w:id="142" w:name="_Toc513029230"/>
      <w:r/>
      <w:bookmarkStart w:id="143" w:name="_Toc16938546"/>
      <w:r>
        <w:rPr>
          <w:rFonts w:hint="eastAsia" w:ascii="宋体" w:hAnsi="宋体" w:eastAsia="宋体" w:cs="宋体"/>
          <w:color w:val="auto"/>
          <w:sz w:val="24"/>
          <w:szCs w:val="24"/>
          <w:highlight w:val="none"/>
          <w:lang w:val="en-US" w:eastAsia="zh-CN" w:bidi="ar-SA"/>
        </w:rPr>
        <w:t xml:space="preserve">22、开标</w:t>
      </w:r>
      <w:bookmarkEnd w:id="141"/>
      <w:r/>
      <w:bookmarkEnd w:id="142"/>
      <w:r/>
      <w:bookmarkEnd w:id="14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交易中心将在招标公告中规定的时间和地点组织公开开标。投标人应当按照《操作手册》规定，参加开标活动和在苏采云系统规定的时间内对投标文件进行解密。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22.2开标仪式由交易中心组织。苏采云系统将自动对项目进行开标，并宣布各投标人名称和投标价格。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22.3投标人在开标过程中涉及到的投标文件解密、开标结果确认等工作，应按照《操作手册》规定执行。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22.4投标人如果对开标过程和开标记录有疑义，应当根据《操作手册》规定提出，如 苏采云系统中《开标记录表》宣布后5分钟内未提出的，视同认可开标结果。</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lang w:val="en-US" w:eastAsia="zh-CN" w:bidi="ar-SA"/>
        </w:rPr>
        <w:t xml:space="preserve">23、评标委员会</w:t>
      </w:r>
      <w:bookmarkEnd w:id="144"/>
      <w:r/>
      <w:bookmarkEnd w:id="145"/>
      <w:r/>
      <w:bookmarkEnd w:id="14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开标后，交易中心将立即组织评标委员会（以下简称评委会）进行评标。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评委会由采购人代表和有关技术、经济等方面的专家组成，且人员构成符合政府采购有关规定。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23.3评委会独立工作，负责评审所有投标文件并确定中标候选人。</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24．评标过程的保密与公正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24.1凡是与审查、澄清、评价和比较投标的有关资料以及授标建议等，采购人、评委、交易中心均不得向投标人或与评标无关的其他人员透露。</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24.2在评标过程中，投标人不得以任何行为影响评标过程，否则其投标文件将被作为无效投标文件。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交易中心和评标委员会不向未中标的投标人解释未中标原因，也不公布评标过程中的相关细节。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24.4 采用综合评分法的项目，未中标的投标人可于中标结果公告期限届满之日起通过苏采云系统查看自己的评审得分及排序情况。</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7" w:name="_Toc16938548"/>
      <w:r/>
      <w:bookmarkStart w:id="148" w:name="_Toc513029232"/>
      <w:r/>
      <w:bookmarkStart w:id="149" w:name="_Toc20823304"/>
      <w:r>
        <w:rPr>
          <w:rFonts w:hint="eastAsia" w:ascii="宋体" w:hAnsi="宋体" w:eastAsia="宋体" w:cs="宋体"/>
          <w:color w:val="auto"/>
          <w:sz w:val="24"/>
          <w:szCs w:val="24"/>
          <w:highlight w:val="none"/>
          <w:lang w:val="en-US" w:eastAsia="zh-CN" w:bidi="ar-SA"/>
        </w:rPr>
        <w:t xml:space="preserve">25．投标文件的澄清</w:t>
      </w:r>
      <w:bookmarkEnd w:id="147"/>
      <w:r/>
      <w:bookmarkEnd w:id="148"/>
      <w:r/>
      <w:bookmarkEnd w:id="149"/>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0" w:name="_Toc16938549"/>
      <w:r/>
      <w:bookmarkStart w:id="151" w:name="_Toc20823305"/>
      <w:r/>
      <w:bookmarkStart w:id="152" w:name="_Toc513029233"/>
      <w:r>
        <w:rPr>
          <w:rFonts w:hint="eastAsia" w:ascii="宋体" w:hAnsi="宋体" w:eastAsia="宋体" w:cs="宋体"/>
          <w:color w:val="auto"/>
          <w:sz w:val="24"/>
          <w:szCs w:val="24"/>
          <w:highlight w:val="none"/>
          <w:lang w:val="en-US" w:eastAsia="zh-CN" w:bidi="ar-SA"/>
        </w:rPr>
        <w:t xml:space="preserve">25.1评标期间，评委会对投标文件中含义不明确、同类问题表述不一致或者有明显文字和计算错误的内容，有权要求投标人作出必要的澄清、说明或者补正。</w:t>
      </w:r>
      <w:bookmarkEnd w:id="150"/>
      <w:r/>
      <w:bookmarkEnd w:id="151"/>
      <w:r/>
      <w:bookmarkEnd w:id="152"/>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接到评委会澄清、说明和补正要求的投标人如未按规定作出澄清、说明和补正，其风险由投标人自行承担。</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26、对投标文件的初审</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26.1投标文件初审分为资格审查和符合性审查。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26.3如果投标文件实质上没有响应招标文件的要求，评委会将予以拒绝，投标人不得通过修改或撤销不符合要求的偏离或保留而使其投标成为实质性响应的投标。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26.4评委会将对确定为实质性响应的投标进行进一步审核，看其是否有计算上或累加上的算术错误，修正错误的原则如下：</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bookmarkEnd w:id="154"/>
      <w:r/>
      <w:bookmarkEnd w:id="155"/>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非单一产品采购项目，招标文件中将载明其中的核心产品。多家投标人提供的核心产品品牌相同的，按前两款规定处理。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26.7投标人在开、评标全过程中应保持通信畅通，及时登录苏采云系统查阅、答复相关信息，并安排专人与交易中心及评标委员会联系。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27、无效投标条款和废标条款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lang w:val="en-US" w:eastAsia="zh-CN" w:bidi="ar-SA"/>
        </w:rPr>
        <w:t xml:space="preserve">27.1无效投标条款</w:t>
      </w:r>
      <w:bookmarkEnd w:id="156"/>
      <w:r/>
      <w:bookmarkEnd w:id="157"/>
      <w:r/>
      <w:bookmarkEnd w:id="15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 投标人在苏采云系统规定的时间内未成功解密电子投标文件的。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27.1.2 投标人未按照招标文件要求上传电子投标文件的。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27.1.3同一投标人提交两个（含两个）以上不同的投标报价的。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27.1.4投标人不具备招标文件中规定资格要求的。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27.1.5投标人的报价超过了采购预算或最高限价的。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27.1.6未通过符合性审查的。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27.1.7不符合招标文件中规定的实质性要求和条件的</w:t>
      </w:r>
      <w:r>
        <w:rPr>
          <w:rFonts w:hint="eastAsia" w:ascii="宋体" w:hAnsi="宋体" w:eastAsia="宋体" w:cs="宋体"/>
          <w:i w:val="0"/>
          <w:iCs w:val="0"/>
          <w:color w:val="auto"/>
          <w:sz w:val="24"/>
          <w:szCs w:val="24"/>
          <w:highlight w:val="none"/>
          <w:u w:val="none"/>
          <w:lang w:val="en-US" w:eastAsia="zh-CN" w:bidi="ar-SA"/>
        </w:rPr>
        <w:t xml:space="preserve">。</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27.1.9投标文件含有采购人不能接受的附加条件的。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27.1.10投标人不能证明其报价合理性的，评标委员会应当将其作为无效投标处理。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27.1.12 投标文件未按照招标文件要求加盖CA电子公章的。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27.1.13其他法律、法规及本招标文件规定的属无效投标的情形。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27.2.1符合专业条件的供应商或者对招标文件作实质响应的供应商不足三家的。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27.2.2出现影响采购公正的违法、违规行为的。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27.2.3因重大变故，采购任务取消的。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27.2.4评标委员会认定招标文件存在歧义、重大缺陷导致评审工作无法进行。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27.2.5 因苏采云系统故障原因造成开标不成功的。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投标截止时间结束后参加投标的供应商不足三家的处理：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27.3.1如出现投标截止时间结束后参加投标的供应商或者在评标期间对招标文件做出实质响应的供应商不足三家情况，按政府采购相关规定执行。</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9" w:name="_Toc120614219"/>
      <w:r>
        <w:rPr>
          <w:rFonts w:hint="eastAsia" w:ascii="宋体" w:hAnsi="宋体" w:eastAsia="宋体" w:cs="宋体"/>
          <w:b/>
          <w:color w:val="auto"/>
          <w:sz w:val="24"/>
          <w:szCs w:val="24"/>
          <w:highlight w:val="none"/>
          <w:lang w:val="en-US" w:eastAsia="zh-CN" w:bidi="ar-SA"/>
        </w:rPr>
        <w:t xml:space="preserve">六、定标</w:t>
      </w:r>
      <w:bookmarkEnd w:id="159"/>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lang w:val="en-US" w:eastAsia="zh-CN" w:bidi="ar-SA"/>
        </w:rPr>
        <w:t xml:space="preserve">28、</w:t>
      </w:r>
      <w:bookmarkEnd w:id="160"/>
      <w:r>
        <w:rPr>
          <w:rFonts w:hint="eastAsia" w:ascii="宋体" w:hAnsi="宋体" w:eastAsia="宋体" w:cs="宋体"/>
          <w:color w:val="auto"/>
          <w:sz w:val="24"/>
          <w:szCs w:val="24"/>
          <w:highlight w:val="none"/>
          <w:lang w:val="en-US" w:eastAsia="zh-CN" w:bidi="ar-SA"/>
        </w:rPr>
        <w:t xml:space="preserve">确定</w:t>
      </w:r>
      <w:bookmarkEnd w:id="161"/>
      <w:r/>
      <w:bookmarkEnd w:id="162"/>
      <w:r>
        <w:rPr>
          <w:rFonts w:hint="eastAsia" w:ascii="宋体" w:hAnsi="宋体" w:eastAsia="宋体" w:cs="宋体"/>
          <w:color w:val="auto"/>
          <w:sz w:val="24"/>
          <w:szCs w:val="24"/>
          <w:highlight w:val="none"/>
          <w:lang w:val="en-US" w:eastAsia="zh-CN" w:bidi="ar-SA"/>
        </w:rPr>
        <w:t xml:space="preserve">中标单位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28.1中标候选人的选取原则和数量见招标文件第五章规定。 </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采购人应根据评委会推荐的中标候选人确定中标人。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 交易中心将在中国政府采购网”“江苏政府采购网”“盐城市政府采购网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发布中标公告，公告期限为1个工作日。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若有充分证据证明，中标人出现下列情况之一的，一经查实，将被取消中标资格：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28.4.1提供虚假材料谋取中标的。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28.4.2向采购人、交易中心行贿或者提供其他不正当利益的。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28.4.3属于本文件规定的无效条件，但在评标过程中又未被评委会发现的。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28.4.4与采购人或者其他供应商恶意串通的。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28.4.5采取不正当手段诋毁、排挤其他供应商的。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3" w:name="_Toc200451960"/>
      <w:r>
        <w:rPr>
          <w:rFonts w:hint="eastAsia" w:ascii="宋体" w:hAnsi="宋体" w:eastAsia="宋体" w:cs="宋体"/>
          <w:color w:val="auto"/>
          <w:sz w:val="24"/>
          <w:szCs w:val="24"/>
          <w:highlight w:val="none"/>
          <w:lang w:val="en-US" w:eastAsia="zh-CN" w:bidi="ar-SA"/>
        </w:rPr>
        <w:t xml:space="preserve">28.5 有下列情形之一的，视为投标人串通投标，投标无效：</w:t>
      </w:r>
      <w:bookmarkEnd w:id="16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28.5.1不同投标人的投标文件由同一单位或者个人编制；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28.5.2不同投标人委托同一单位或者个人办理投标事宜；</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不同投标人的投标文件载明的项目管理成员或者联系人员为同一人；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28.5.4不同投标人的投标文件异常一致或者投标报价呈规律性差异；</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29、质疑处理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29.1 提出质疑的供应商应当是参与所质疑项目采购活动的供应商。潜在供应商依法获取其可质疑的采购文件的，可以对采购文件提出质疑。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29.2.1对可以质疑的采购文件提出质疑的，为收到采购文件之日或者采购文件公告期限届满之日；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采购人及采购中心只接收以纸质原件形式送达的质疑,采购人和采购中心不接受未填写快递运单的快件。质疑接收部门为盐城市大丰区公共资源交易中心业务受理处。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 以下情形的质疑不予受理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 内容不符合《政府采购质疑和投诉办法》第十二条规定的质疑。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 超出政府采购法定期限的质疑。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 以传真、电子邮件等方式递交的非原件形式的质疑。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 未参加投标活动的供应商或在投标活动中自身权益未受到损害的供应商所提出的质疑。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4" w:name="_Toc120614220"/>
      <w:r/>
      <w:bookmarkStart w:id="165" w:name="_Toc16938552"/>
      <w:r/>
      <w:bookmarkStart w:id="166" w:name="_Toc20823308"/>
      <w:r/>
      <w:bookmarkStart w:id="167" w:name="_Toc513029236"/>
      <w:r>
        <w:rPr>
          <w:rFonts w:hint="eastAsia" w:ascii="宋体" w:hAnsi="宋体" w:eastAsia="宋体" w:cs="宋体"/>
          <w:b/>
          <w:color w:val="auto"/>
          <w:sz w:val="24"/>
          <w:szCs w:val="24"/>
          <w:highlight w:val="none"/>
          <w:lang w:val="en-US" w:eastAsia="zh-CN" w:bidi="ar-SA"/>
        </w:rPr>
        <w:t xml:space="preserve">七、授予合同</w:t>
      </w:r>
      <w:bookmarkEnd w:id="164"/>
      <w:r/>
      <w:bookmarkEnd w:id="165"/>
      <w:r/>
      <w:bookmarkEnd w:id="166"/>
      <w:r/>
      <w:bookmarkEnd w:id="167"/>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8" w:name="_Toc20823309"/>
      <w:r/>
      <w:bookmarkStart w:id="169" w:name="_Toc16938553"/>
      <w:r/>
      <w:bookmarkStart w:id="170" w:name="_Toc513029237"/>
      <w:r>
        <w:rPr>
          <w:rFonts w:hint="eastAsia" w:ascii="宋体" w:hAnsi="宋体" w:eastAsia="宋体" w:cs="宋体"/>
          <w:color w:val="auto"/>
          <w:sz w:val="24"/>
          <w:szCs w:val="24"/>
          <w:highlight w:val="none"/>
          <w:lang w:val="en-US" w:eastAsia="zh-CN" w:bidi="ar-SA"/>
        </w:rPr>
        <w:t xml:space="preserve">31、签订合同</w:t>
      </w:r>
      <w:bookmarkEnd w:id="168"/>
      <w:r/>
      <w:bookmarkEnd w:id="169"/>
      <w:r/>
      <w:bookmarkEnd w:id="17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31.3 签订合同后，</w:t>
      </w:r>
      <w:r>
        <w:rPr>
          <w:rFonts w:hint="eastAsia" w:ascii="宋体" w:hAnsi="宋体" w:eastAsia="宋体" w:cs="宋体"/>
          <w:i w:val="0"/>
          <w:iCs/>
          <w:color w:val="auto"/>
          <w:sz w:val="24"/>
          <w:szCs w:val="24"/>
          <w:highlight w:val="none"/>
          <w:u w:val="non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lang w:val="en-US" w:eastAsia="zh-CN" w:bidi="ar-SA"/>
        </w:rPr>
        <w:t xml:space="preserve">购人损失的，中标人应承担相应赔偿责任。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left"/>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33.8实施本国产品标准及相关政策</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jc w:val="left"/>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788"/>
        <w:ind w:left="0" w:firstLine="480"/>
        <w:jc w:val="left"/>
        <w:keepNext/>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88"/>
        <w:ind w:firstLine="600"/>
        <w:jc w:val="both"/>
        <w:keepLines/>
        <w:keepNext/>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bookmarkStart w:id="171" w:name="_Toc8007"/>
      <w:r>
        <w:rPr>
          <w:rFonts w:hint="eastAsia" w:ascii="宋体" w:hAnsi="宋体" w:eastAsia="宋体" w:cs="宋体"/>
          <w:color w:val="auto"/>
          <w:highlight w:val="none"/>
        </w:rPr>
        <w:br w:type="page" w:clear="all"/>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bookmarkStart w:id="172" w:name="_Toc479757211"/>
      <w:r/>
      <w:bookmarkStart w:id="173" w:name="_Toc120614244"/>
      <w:r/>
      <w:bookmarkStart w:id="174" w:name="_Toc16938590"/>
      <w:r/>
      <w:bookmarkStart w:id="175" w:name="_Toc20823346"/>
      <w:r/>
      <w:bookmarkStart w:id="176" w:name="_Hlt16619350"/>
      <w:r/>
      <w:bookmarkStart w:id="177" w:name="_Toc462564139"/>
      <w:r/>
      <w:bookmarkStart w:id="178" w:name="_Hlt16619369"/>
      <w:r>
        <w:rPr>
          <w:rFonts w:hint="eastAsia" w:ascii="宋体" w:hAnsi="宋体" w:eastAsia="宋体" w:cs="宋体"/>
          <w:b/>
          <w:bCs/>
          <w:color w:val="auto"/>
          <w:sz w:val="44"/>
          <w:szCs w:val="44"/>
          <w:highlight w:val="none"/>
        </w:rPr>
        <w:t xml:space="preserve">第三</w:t>
      </w:r>
      <w:r>
        <w:rPr>
          <w:rFonts w:hint="eastAsia" w:ascii="宋体" w:hAnsi="宋体" w:eastAsia="宋体" w:cs="宋体"/>
          <w:b/>
          <w:bCs/>
          <w:color w:val="auto"/>
          <w:sz w:val="44"/>
          <w:szCs w:val="44"/>
          <w:highlight w:val="none"/>
          <w:lang w:eastAsia="zh-CN"/>
        </w:rPr>
        <w:t xml:space="preserve">章</w:t>
      </w:r>
      <w:r>
        <w:rPr>
          <w:rFonts w:hint="eastAsia" w:ascii="宋体" w:hAnsi="宋体" w:eastAsia="宋体" w:cs="宋体"/>
          <w:b/>
          <w:bCs/>
          <w:color w:val="auto"/>
          <w:sz w:val="44"/>
          <w:szCs w:val="44"/>
          <w:highlight w:val="none"/>
        </w:rPr>
        <w:t xml:space="preserve">  合同条款</w:t>
      </w:r>
      <w:bookmarkEnd w:id="171"/>
      <w:r/>
      <w:r/>
    </w:p>
    <w:p>
      <w:pPr>
        <w:rPr>
          <w:rFonts w:hint="eastAsia" w:ascii="宋体" w:hAnsi="宋体" w:eastAsia="宋体" w:cs="宋体"/>
          <w:color w:val="auto"/>
          <w:highlight w:val="none"/>
        </w:rPr>
      </w:pPr>
      <w:r/>
      <w:bookmarkStart w:id="179" w:name="EB6d2006462e294de090c16e672cecc3bd"/>
      <w:r/>
      <w:bookmarkEnd w:id="179"/>
      <w:r/>
      <w:r/>
    </w:p>
    <w:p>
      <w:pPr>
        <w:jc w:val="center"/>
        <w:rPr>
          <w:rFonts w:hint="eastAsia" w:ascii="宋体" w:hAnsi="宋体" w:eastAsia="宋体" w:cs="宋体"/>
          <w:b/>
          <w:bCs/>
          <w:color w:val="auto"/>
          <w:spacing w:val="-20"/>
          <w:sz w:val="48"/>
          <w:szCs w:val="48"/>
          <w:highlight w:val="none"/>
        </w:rPr>
      </w:pPr>
      <w:r/>
      <w:bookmarkStart w:id="180" w:name="_Toc3995"/>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80"/>
      <w:r/>
      <w:r/>
    </w:p>
    <w:p>
      <w:pPr>
        <w:ind w:firstLine="88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44"/>
          <w:szCs w:val="44"/>
          <w:highlight w:val="none"/>
        </w:rPr>
      </w:r>
      <w:r/>
    </w:p>
    <w:p>
      <w:pPr>
        <w:jc w:val="center"/>
        <w:keepLines/>
        <w:keepNext/>
        <w:spacing w:line="400" w:lineRule="exact"/>
        <w:rPr>
          <w:rFonts w:hint="eastAsia" w:ascii="宋体" w:hAnsi="宋体" w:eastAsia="宋体" w:cs="宋体"/>
          <w:color w:val="auto"/>
          <w:sz w:val="28"/>
          <w:szCs w:val="28"/>
          <w:highlight w:val="none"/>
        </w:rPr>
        <w:outlineLvl w:val="1"/>
      </w:pPr>
      <w:r/>
      <w:bookmarkStart w:id="181" w:name="_Toc22209"/>
      <w:r>
        <w:rPr>
          <w:rFonts w:hint="eastAsia" w:ascii="宋体" w:hAnsi="宋体" w:eastAsia="宋体" w:cs="宋体"/>
          <w:b/>
          <w:bCs/>
          <w:color w:val="auto"/>
          <w:sz w:val="32"/>
          <w:szCs w:val="32"/>
          <w:highlight w:val="none"/>
        </w:rPr>
        <w:t xml:space="preserve">政府采购合同协议书</w:t>
      </w:r>
      <w:bookmarkEnd w:id="181"/>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bookmarkStart w:id="182" w:name="_Toc20313"/>
      <w:r/>
      <w:bookmarkStart w:id="183" w:name="_Toc27624"/>
      <w:r/>
      <w:bookmarkStart w:id="184" w:name="_Hlk130227972"/>
      <w:r>
        <w:rPr>
          <w:rFonts w:hint="eastAsia" w:ascii="宋体" w:hAnsi="宋体" w:eastAsia="宋体" w:cs="宋体"/>
          <w:color w:val="auto"/>
          <w:sz w:val="24"/>
          <w:szCs w:val="24"/>
          <w:highlight w:val="none"/>
        </w:rPr>
        <w:t xml:space="preserve">项目名称：                                       </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952"/>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数量（单位）：</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本合同金额为（大写）：________元（_______________元）人民币或其他币种。</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3.1乙方应按招标文件规定的时间向甲方提供使用货物的有关技术资料。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2"/>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52"/>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w:t>
      </w:r>
      <w:r/>
    </w:p>
    <w:p>
      <w:pPr>
        <w:pStyle w:val="952"/>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6.1乙方交纳本项目</w:t>
      </w:r>
      <w:r>
        <w:rPr>
          <w:rFonts w:hint="eastAsia" w:ascii="宋体" w:hAnsi="宋体" w:eastAsia="宋体" w:cs="宋体"/>
          <w:color w:val="auto"/>
          <w:sz w:val="24"/>
          <w:szCs w:val="24"/>
          <w:highlight w:val="none"/>
          <w:u w:val="single"/>
        </w:rPr>
        <w:t xml:space="preserve">合同价的10%给</w:t>
      </w:r>
      <w:r>
        <w:rPr>
          <w:rFonts w:hint="eastAsia" w:ascii="宋体" w:hAnsi="宋体" w:eastAsia="宋体" w:cs="宋体"/>
          <w:color w:val="auto"/>
          <w:sz w:val="24"/>
          <w:szCs w:val="24"/>
          <w:highlight w:val="none"/>
        </w:rPr>
        <w:t xml:space="preserve">甲方，作为本项目的履约保证金，乙方如系AA评级及以上政府采购供应商（需提供信用管理部门备案的第三方信用报告），可免交履约保证金。</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履约保证金的收取方式：银行转帐或电汇或保函或履约保函（保险），履约保证金的退还：项目验收合格后15日内无息退还。如未能按期交付验收合格的履约保证金不予退还。</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7.1本合同范围的货物，应由乙方直接供应，不得转让他人供应；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pStyle w:val="952"/>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八、质保期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安全，由第三方人为因素造成的</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，由乙方自行处理索赔事务，与甲方无关。</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九、合同履行期限、交货方式及交货地点</w:t>
      </w:r>
      <w:r/>
    </w:p>
    <w:p>
      <w:pPr>
        <w:pStyle w:val="952"/>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 合同履行期限：</w:t>
      </w:r>
      <w:r>
        <w:rPr>
          <w:rFonts w:hint="eastAsia" w:ascii="宋体" w:hAnsi="宋体" w:eastAsia="宋体" w:cs="宋体"/>
          <w:color w:val="auto"/>
          <w:sz w:val="24"/>
          <w:szCs w:val="24"/>
          <w:highlight w:val="none"/>
        </w:rPr>
        <w:t xml:space="preserve">_________</w:t>
      </w:r>
      <w:r/>
    </w:p>
    <w:p>
      <w:pPr>
        <w:pStyle w:val="952"/>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 交货方式：</w:t>
      </w:r>
      <w:r>
        <w:rPr>
          <w:rFonts w:hint="eastAsia" w:ascii="宋体" w:hAnsi="宋体" w:eastAsia="宋体" w:cs="宋体"/>
          <w:color w:val="auto"/>
          <w:sz w:val="24"/>
          <w:szCs w:val="24"/>
          <w:highlight w:val="none"/>
        </w:rPr>
        <w:t xml:space="preserve">_________</w:t>
      </w:r>
      <w:r/>
    </w:p>
    <w:p>
      <w:pPr>
        <w:pStyle w:val="952"/>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 交货地点：</w:t>
      </w:r>
      <w:r>
        <w:rPr>
          <w:rFonts w:hint="eastAsia" w:ascii="宋体" w:hAnsi="宋体" w:eastAsia="宋体" w:cs="宋体"/>
          <w:color w:val="auto"/>
          <w:sz w:val="24"/>
          <w:szCs w:val="24"/>
          <w:highlight w:val="none"/>
        </w:rPr>
        <w:t xml:space="preserve">_________</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ind w:firstLine="48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 xml:space="preserve">付款方式：合同签订后付30%预付款，项目验收合格后付至合同价款的</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0%，验收合格满一年后付至审核价款的</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0%，验收合格满二年后付至审核价款的</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0%，验收合格满三年后付至审核价款的</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0%，验收合格满四年后付至审核价款的9</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%，验收合格满五年后付至审核价款的100%。</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注：付款均不含利息。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对于满足合同约定支付条件的，采购人应当自收到发票后 15 日内将资金支付到合同约定的供应商账户。</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p>
    <w:p>
      <w:pPr>
        <w:pStyle w:val="952"/>
        <w:ind w:left="0"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，如果需要更换货物或配件，需保证所换货物或配件不低于原配置</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如在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规定时间内不能到位的，甲方有权自行维修或更换，其费用在乙方</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中扣除</w:t>
      </w:r>
      <w:r>
        <w:rPr>
          <w:rFonts w:hint="eastAsia" w:ascii="宋体" w:hAnsi="宋体" w:eastAsia="宋体" w:cs="宋体"/>
          <w:color w:val="auto"/>
          <w:sz w:val="24"/>
          <w:szCs w:val="24"/>
          <w:highlight w:val="none"/>
          <w:lang w:eastAsia="zh-CN"/>
        </w:rPr>
        <w:t xml:space="preserve">，甲方自行维修后的设备仍享有乙方的质保承诺</w:t>
      </w:r>
      <w:r>
        <w:rPr>
          <w:rFonts w:hint="eastAsia" w:ascii="宋体" w:hAnsi="宋体" w:eastAsia="宋体" w:cs="宋体"/>
          <w:color w:val="auto"/>
          <w:sz w:val="24"/>
          <w:szCs w:val="24"/>
          <w:highlight w:val="none"/>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还须整改到位。如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多次通知整改仍拒不整改的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因此造成的损失。</w:t>
      </w:r>
      <w:r/>
    </w:p>
    <w:p>
      <w:pPr>
        <w:ind w:firstLine="48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在质保期内，乙方应确保每月（以每月的23日统计数据为准，注：23日为节假日的，延后到下一个工作日）的监控在线率达  %及以上，未达到，每低1个百分点，扣除合同价款的万分之一，扣款每月进行累计。</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 xml:space="preserve">检测费用由乙方负责。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验收时乙方必须在现场，验收完毕后作出验收结果报告；验收费用由乙方</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货物在规定的交付期限内由乙方送达甲方指定的地点视为交付，乙方同时需通知甲方货物已送达。</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双方在执行合同中所发生的一切争议，应通过协商解决。如协商不成，可向合同签订地法院起诉，合同签订地在此约定为盐城市。</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合同经双方法定代表人（或负责人）或授权委托代表人签字并加盖单位公章后生效。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18.2本合同未尽事宜，遵照《民法典》有关条文执行。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本合同一式肆份，甲乙双方各执贰份。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法定代表人（或负责人）或授权代表：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52"/>
        <w:ind w:firstLine="42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82"/>
      <w:r/>
      <w:bookmarkEnd w:id="183"/>
      <w:r/>
      <w:bookmarkEnd w:id="184"/>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sectPr>
          <w:footerReference w:type="default" r:id="rId11"/>
          <w:footnotePr/>
          <w:endnotePr/>
          <w:type w:val="nextPage"/>
          <w:pgSz w:w="11907" w:h="16840" w:orient="portrait"/>
          <w:pgMar w:top="1588" w:right="1701" w:bottom="1361" w:left="1701" w:header="1021" w:footer="1134" w:gutter="0"/>
          <w:cols w:num="1" w:sep="0" w:space="720" w:equalWidth="1"/>
          <w:docGrid w:linePitch="360"/>
        </w:sectPr>
      </w:pPr>
      <w:r/>
      <w:bookmarkStart w:id="185" w:name="_Toc3664"/>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72"/>
      <w:r>
        <w:rPr>
          <w:rFonts w:hint="eastAsia" w:ascii="宋体" w:hAnsi="宋体" w:eastAsia="宋体" w:cs="宋体"/>
          <w:b/>
          <w:bCs/>
          <w:color w:val="auto"/>
          <w:sz w:val="44"/>
          <w:szCs w:val="44"/>
          <w:highlight w:val="none"/>
        </w:rPr>
        <w:t xml:space="preserve">四章 采购需求</w:t>
      </w:r>
      <w:bookmarkEnd w:id="173"/>
      <w:r/>
      <w:bookmarkEnd w:id="174"/>
      <w:r/>
      <w:bookmarkEnd w:id="175"/>
      <w:r/>
      <w:bookmarkEnd w:id="176"/>
      <w:r/>
      <w:bookmarkEnd w:id="177"/>
      <w:r/>
      <w:bookmarkEnd w:id="185"/>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bookmarkStart w:id="186" w:name="_Toc26554093"/>
      <w:r/>
      <w:bookmarkStart w:id="187" w:name="_Toc49090575"/>
      <w:r>
        <w:rPr>
          <w:rFonts w:hint="eastAsia" w:ascii="宋体" w:hAnsi="宋体" w:eastAsia="宋体" w:cs="宋体"/>
          <w:b/>
          <w:bCs/>
          <w:color w:val="auto"/>
          <w:sz w:val="24"/>
          <w:szCs w:val="24"/>
          <w:highlight w:val="none"/>
          <w:lang w:val="en-US" w:eastAsia="zh-CN" w:bidi="ar-SA"/>
        </w:rPr>
        <w:t xml:space="preserve">项目属性：货物类项目。</w:t>
      </w:r>
      <w:bookmarkEnd w:id="186"/>
      <w:r/>
      <w:bookmarkEnd w:id="187"/>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采购标的所属行业：工业。</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rPr>
        <w:t xml:space="preserve">注：采购标的所属“工业”行业，根据《工业和信息化部、国家统计局、国家发展和改革委员会、财政部关于印发中小企业划型标准规定的通知》（工信部联企业[2011]300号）规定的划分标准填写。</w:t>
      </w:r>
      <w:r/>
    </w:p>
    <w:p>
      <w:pPr>
        <w:ind w:firstLine="480"/>
        <w:jc w:val="left"/>
        <w:spacing w:line="360" w:lineRule="auto"/>
        <w:rPr>
          <w:rFonts w:hint="eastAsia" w:ascii="宋体" w:hAnsi="宋体" w:eastAsia="宋体" w:cs="宋体"/>
          <w:b/>
          <w:bCs/>
          <w:color w:val="auto"/>
          <w:sz w:val="24"/>
          <w:szCs w:val="24"/>
          <w:highlight w:val="none"/>
        </w:rPr>
      </w:pPr>
      <w:r/>
      <w:bookmarkStart w:id="188" w:name="_Toc112754466"/>
      <w:r/>
      <w:bookmarkStart w:id="189" w:name="_Toc45016786"/>
      <w:r/>
      <w:bookmarkStart w:id="190" w:name="_Toc45016788"/>
      <w:r/>
      <w:bookmarkStart w:id="191" w:name="_Toc112754463"/>
      <w:r/>
      <w:bookmarkStart w:id="192" w:name="_Toc21954"/>
      <w:r>
        <w:rPr>
          <w:rFonts w:hint="eastAsia" w:ascii="宋体" w:hAnsi="宋体" w:eastAsia="宋体" w:cs="宋体"/>
          <w:b/>
          <w:bCs/>
          <w:color w:val="auto"/>
          <w:sz w:val="24"/>
          <w:szCs w:val="24"/>
          <w:highlight w:val="none"/>
        </w:rPr>
        <w:t xml:space="preserve">本次采购项目核心产品为：</w:t>
      </w:r>
      <w:r>
        <w:rPr>
          <w:rFonts w:hint="eastAsia" w:ascii="宋体" w:hAnsi="宋体" w:eastAsia="宋体" w:cs="宋体"/>
          <w:b/>
          <w:bCs/>
          <w:color w:val="auto"/>
          <w:sz w:val="24"/>
          <w:szCs w:val="24"/>
          <w:highlight w:val="none"/>
          <w:lang w:val="en-US" w:eastAsia="zh-CN"/>
        </w:rPr>
        <w:t xml:space="preserve">900万环保卡口相机</w:t>
      </w:r>
      <w:r>
        <w:rPr>
          <w:rFonts w:hint="eastAsia" w:ascii="宋体" w:hAnsi="宋体" w:eastAsia="宋体" w:cs="Times New Roman"/>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End w:id="188"/>
      <w:r/>
      <w:bookmarkEnd w:id="189"/>
      <w:r/>
      <w:bookmarkEnd w:id="190"/>
      <w:r/>
      <w:bookmarkEnd w:id="191"/>
      <w:r/>
      <w:bookmarkEnd w:id="192"/>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193" w:name="_Toc6172"/>
      <w:r>
        <w:rPr>
          <w:rFonts w:ascii="Times New Roman" w:hAnsi="Times New Roman" w:eastAsia="黑体" w:cs="Times New Roman"/>
          <w:bCs w:val="0"/>
          <w:color w:val="auto"/>
          <w:sz w:val="28"/>
          <w:szCs w:val="20"/>
          <w:highlight w:val="none"/>
          <w:lang w:val="en-US" w:eastAsia="zh-CN" w:bidi="ar-SA"/>
        </w:rPr>
        <w:t xml:space="preserve">一、概述</w:t>
      </w:r>
      <w:bookmarkEnd w:id="193"/>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194" w:name="_Toc14587"/>
      <w:r>
        <w:rPr>
          <w:rFonts w:ascii="Times New Roman" w:hAnsi="Times New Roman" w:eastAsia="黑体" w:cs="Times New Roman"/>
          <w:color w:val="auto"/>
          <w:sz w:val="28"/>
          <w:szCs w:val="24"/>
          <w:highlight w:val="none"/>
          <w:lang w:val="en-US" w:eastAsia="zh-CN" w:bidi="ar-SA"/>
        </w:rPr>
        <w:t xml:space="preserve">1  项目</w:t>
      </w:r>
      <w:r>
        <w:rPr>
          <w:rFonts w:hint="eastAsia" w:ascii="Times New Roman" w:hAnsi="Times New Roman" w:eastAsia="黑体" w:cs="Times New Roman"/>
          <w:color w:val="auto"/>
          <w:sz w:val="28"/>
          <w:szCs w:val="24"/>
          <w:highlight w:val="none"/>
          <w:lang w:val="en-US" w:eastAsia="zh-CN" w:bidi="ar-SA"/>
        </w:rPr>
        <w:t xml:space="preserve">名称</w:t>
      </w:r>
      <w:bookmarkEnd w:id="194"/>
      <w:r/>
      <w:r/>
    </w:p>
    <w:p>
      <w:pPr>
        <w:spacing w:line="360" w:lineRule="auto"/>
        <w:rPr>
          <w:rFonts w:eastAsia="宋体"/>
          <w:color w:val="auto"/>
          <w:sz w:val="24"/>
          <w:highlight w:val="none"/>
        </w:rPr>
        <w:sectPr>
          <w:footnotePr/>
          <w:endnotePr/>
          <w:type w:val="nextPage"/>
          <w:pgSz w:w="11907" w:h="16840" w:orient="portrait"/>
          <w:pgMar w:top="1588" w:right="1701" w:bottom="1361" w:left="1701" w:header="1021" w:footer="1134" w:gutter="0"/>
          <w:cols w:num="1" w:sep="0" w:space="720" w:equalWidth="1"/>
          <w:docGrid w:linePitch="360"/>
        </w:sectPr>
      </w:pPr>
      <w:r>
        <w:rPr>
          <w:rFonts w:eastAsia="宋体"/>
          <w:color w:val="auto"/>
          <w:sz w:val="24"/>
          <w:highlight w:val="none"/>
        </w:rPr>
      </w:r>
      <w:r/>
    </w:p>
    <w:p>
      <w:pPr>
        <w:ind w:left="0" w:right="0" w:firstLine="480"/>
        <w:jc w:val="left"/>
        <w:keepLines w:val="0"/>
        <w:keepNext w:val="0"/>
        <w:spacing w:before="0" w:beforeAutospacing="0" w:after="0" w:afterAutospacing="0" w:line="360" w:lineRule="auto"/>
        <w:widowControl/>
        <w:rPr>
          <w:rFonts w:ascii="宋体" w:hAnsi="宋体" w:eastAsia="宋体" w:cs="Times New Roman"/>
          <w:color w:val="auto"/>
          <w:sz w:val="24"/>
          <w:szCs w:val="20"/>
          <w:highlight w:val="none"/>
          <w:lang w:val="en-US" w:eastAsia="zh-CN" w:bidi="ar-SA"/>
        </w:rPr>
        <w:suppressLineNumbers w:val="0"/>
      </w:pPr>
      <w:r/>
      <w:bookmarkStart w:id="195" w:name="_Toc41038357"/>
      <w:r/>
      <w:bookmarkStart w:id="196" w:name="_Toc67654636"/>
      <w:r/>
      <w:bookmarkStart w:id="197" w:name="_Toc34124322"/>
      <w:r/>
      <w:bookmarkStart w:id="198" w:name="_Toc231810032"/>
      <w:r>
        <w:rPr>
          <w:rFonts w:hint="eastAsia" w:ascii="宋体" w:hAnsi="宋体" w:eastAsia="宋体" w:cs="宋体"/>
          <w:color w:val="auto"/>
          <w:sz w:val="24"/>
          <w:szCs w:val="24"/>
          <w:highlight w:val="none"/>
          <w:lang w:val="en-US" w:eastAsia="zh-CN" w:bidi="ar"/>
        </w:rPr>
        <w:t xml:space="preserve">2026年市民生实事“道路安全提升”项目</w:t>
      </w:r>
      <w:r/>
    </w:p>
    <w:p>
      <w:pPr>
        <w:jc w:val="left"/>
        <w:keepLines/>
        <w:keepNext/>
        <w:spacing w:line="360" w:lineRule="auto"/>
        <w:widowControl/>
        <w:tabs>
          <w:tab w:val="left" w:pos="756" w:leader="none"/>
        </w:tabs>
        <w:rPr>
          <w:rFonts w:hint="default" w:ascii="Times New Roman" w:hAnsi="Times New Roman" w:eastAsia="黑体" w:cs="Times New Roman"/>
          <w:color w:val="auto"/>
          <w:sz w:val="28"/>
          <w:szCs w:val="24"/>
          <w:highlight w:val="none"/>
          <w:lang w:val="en-US" w:eastAsia="zh-CN" w:bidi="ar-SA"/>
        </w:rPr>
        <w:outlineLvl w:val="1"/>
      </w:pPr>
      <w:r/>
      <w:bookmarkStart w:id="199" w:name="_Toc26249"/>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项目建设单位</w:t>
      </w:r>
      <w:bookmarkEnd w:id="199"/>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盐城市公安局大丰分局</w:t>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200" w:name="_Toc146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项目建设目标、规模、内容、工程合理使用年限</w:t>
      </w:r>
      <w:bookmarkEnd w:id="20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1" w:name="_Toc26049"/>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建设目标</w:t>
      </w:r>
      <w:bookmarkEnd w:id="201"/>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全区道路交通安全隐患路口以及“5510”、“5505”路段进行智能化整改升级，实施平交路口相关优化措施，国省道等车速压降、灯控路口安装信号灯带、布设支路哨兵及监控补盲及相关配套及服务，进一步夯实交通安全基础，以科技为手段，打造安全、畅通的道路通行环境。</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本着“科技向善，安全出行”的愿景，为公众出行提供更智能、更有效、更人文的新一代道路安全系统。以科技为手段，打造安全、畅通道路通行环境。</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2" w:name="_Toc6328"/>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建设规模、内容</w:t>
      </w:r>
      <w:bookmarkEnd w:id="202"/>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5510”隐患路段，主要针对G228、S226、黄海东路（金丰路至丰和丽都小区北门）道路及道路交叉口更换宣传诱导屏2块、定向喇叭2套、双向区间测速2段、货车不靠右行驶抓拍系统4套、支路哨兵系统1台、违停抓拍系统1套、信号灯宣传屏1套、高杆灯2套及黄海路交康平路路口电子警察升级改造1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5505”隐患路段整治共16处。新建双向区间测速3段、货车不靠右行驶抓拍系统6套、新建支路哨兵系统8台；张謇路（人民路-山水城）新建4套新建违停抓拍系统；G343(陈李线--干河桥)路段，新建F杆宣传诱导屏2块、新建定向喇叭2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（3）信号灯灯带新建21处；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（4）哨兵系统建设3台，G204(K677+250M)1台、G228与新丰村路口2台；</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新建或升级路口信号灯系统、电子警察和卡口系统8处，新丰镇经三路与新区大道、新丰镇S226与海益线、新丰镇三裕线与新陈线、西团镇东塘路与静心路、大中街道黄海路与康平路、G343新团小街路口、343与大八线、老S226与X307（大港线）；</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仿宋_GB2312" w:cs="Times New Roman"/>
          <w:color w:val="auto"/>
          <w:sz w:val="28"/>
          <w:highlight w:val="none"/>
        </w:rPr>
        <w:suppressLineNumbers w:val="0"/>
      </w:pPr>
      <w:r>
        <w:rPr>
          <w:rFonts w:hint="eastAsia" w:ascii="宋体" w:hAnsi="宋体" w:eastAsia="宋体" w:cs="宋体"/>
          <w:color w:val="auto"/>
          <w:sz w:val="24"/>
          <w:szCs w:val="24"/>
          <w:highlight w:val="none"/>
          <w:lang w:val="en-US" w:eastAsia="zh-CN" w:bidi="ar"/>
        </w:rPr>
        <w:t xml:space="preserve">（6）后端建设，1台48盘位云存储服务器，3台服务器；</w:t>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03" w:name="_Toc1486"/>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工程满足期和工程合理使用年限</w:t>
      </w:r>
      <w:bookmarkEnd w:id="20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工程合理使用年限为5年。</w:t>
      </w:r>
      <w:bookmarkEnd w:id="195"/>
      <w:r/>
      <w:bookmarkEnd w:id="196"/>
      <w:r/>
      <w:bookmarkEnd w:id="197"/>
      <w:r/>
      <w:bookmarkEnd w:id="198"/>
      <w:r/>
      <w:r/>
    </w:p>
    <w:p>
      <w:pPr>
        <w:numPr>
          <w:ilvl w:val="0"/>
          <w:numId w:val="0"/>
        </w:numPr>
        <w:ind w:firstLine="0"/>
        <w:jc w:val="left"/>
        <w:keepLines/>
        <w:keepNext/>
        <w:spacing w:line="360" w:lineRule="auto"/>
        <w:widowControl/>
        <w:rPr>
          <w:rFonts w:hint="eastAsia" w:ascii="Times New Roman" w:hAnsi="Times New Roman" w:eastAsia="黑体" w:cs="Times New Roman"/>
          <w:bCs/>
          <w:color w:val="auto"/>
          <w:sz w:val="28"/>
          <w:szCs w:val="44"/>
          <w:highlight w:val="none"/>
          <w:lang w:val="en-US" w:eastAsia="zh-CN" w:bidi="ar-SA"/>
        </w:rPr>
        <w:outlineLvl w:val="0"/>
      </w:pPr>
      <w:r/>
      <w:bookmarkStart w:id="204" w:name="_Toc14479"/>
      <w:r>
        <w:rPr>
          <w:rFonts w:hint="eastAsia" w:ascii="Times New Roman" w:hAnsi="Times New Roman" w:eastAsia="黑体" w:cs="Times New Roman"/>
          <w:bCs/>
          <w:color w:val="auto"/>
          <w:sz w:val="28"/>
          <w:szCs w:val="44"/>
          <w:highlight w:val="none"/>
          <w:lang w:val="en-US" w:eastAsia="zh-CN" w:bidi="ar-SA"/>
        </w:rPr>
        <w:t xml:space="preserve">二、项目总体方案</w:t>
      </w:r>
      <w:bookmarkEnd w:id="204"/>
      <w:r/>
      <w:r/>
    </w:p>
    <w:p>
      <w:pPr>
        <w:ind w:left="0" w:right="0" w:firstLine="561"/>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rPr>
      </w:r>
      <w:r/>
    </w:p>
    <w:p>
      <w:pPr>
        <w:rPr>
          <w:rFonts w:hint="eastAsia"/>
          <w:color w:val="auto"/>
          <w:highlight w:val="none"/>
          <w:lang w:val="en-US" w:eastAsia="zh-CN"/>
        </w:rPr>
        <w:sectPr>
          <w:footerReference w:type="default" r:id="rId12"/>
          <w:footnotePr/>
          <w:endnotePr/>
          <w:type w:val="continuous"/>
          <w:pgSz w:w="11907" w:h="16840" w:orient="portrait"/>
          <w:pgMar w:top="1588" w:right="1701" w:bottom="1361" w:left="1701" w:header="1021" w:footer="1134" w:gutter="0"/>
          <w:cols w:num="1" w:sep="0" w:space="720" w:equalWidth="1"/>
          <w:docGrid w:linePitch="360"/>
        </w:sectPr>
      </w:pPr>
      <w:r>
        <w:rPr>
          <w:rFonts w:hint="eastAsia"/>
          <w:color w:val="auto"/>
          <w:highlight w:val="none"/>
          <w:lang w:val="en-US" w:eastAsia="zh-CN"/>
        </w:rPr>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5" w:name="_Toc31703"/>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点位部署</w:t>
      </w:r>
      <w:bookmarkEnd w:id="205"/>
      <w:r/>
      <w:r/>
    </w:p>
    <w:p>
      <w:pPr>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r>
      <w:r/>
    </w:p>
    <w:tbl>
      <w:tblPr>
        <w:tblStyle w:val="76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3131"/>
        <w:gridCol w:w="436"/>
        <w:gridCol w:w="550"/>
        <w:gridCol w:w="519"/>
        <w:gridCol w:w="620"/>
        <w:gridCol w:w="519"/>
        <w:gridCol w:w="567"/>
        <w:gridCol w:w="620"/>
        <w:gridCol w:w="527"/>
        <w:gridCol w:w="454"/>
        <w:gridCol w:w="468"/>
        <w:gridCol w:w="541"/>
        <w:gridCol w:w="496"/>
        <w:gridCol w:w="422"/>
        <w:gridCol w:w="437"/>
        <w:gridCol w:w="422"/>
        <w:gridCol w:w="417"/>
        <w:gridCol w:w="417"/>
        <w:gridCol w:w="417"/>
        <w:gridCol w:w="427"/>
        <w:gridCol w:w="1253"/>
      </w:tblGrid>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500万电警</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1200万环保卡口</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900万卡口</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500万卡口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老相机移位</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原有杆件移位</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G228与X307(林场路)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将228-斗沙线和228-华丰园区门口两块大屏杆件移位至此安装，更换新的大屏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S226与宏八线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S226与江北线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S226-西和线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S226-新胜线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204草堰农贸市场南侧杆件移位至此原设备就近移位至红绿灯杆上，东向电警位置安装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204草堰农贸市场东侧杆件移位至此原设备就近移位至电警杆上东向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204草堰农贸市场西侧南口移位至此原设备就近移位至电警杆上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西方向电警杆安装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张謇路与大红线（金丰路）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规整龙门架上原有相机，将G343干河大桥西侧路南L杆移位至此安装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修复人民北路监控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移位东坝头农场阳光车仆门口杆件移位至此安装老相机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区间测速G343（K22+600M）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G343与朝荣村路口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G343与海防村路口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G343与盐场路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四合一红绿灯，将黄海路与康平路东南西杆件、卡口移位至此安装，将G343干河大桥西北侧杆件移位至此安装电警卡口</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将G343干河大桥西侧卡口和灯移位至此安装，将飞达路丰华路东、南、西杆件移位至此安装电警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黄海路与康平路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将飞达路丰华路北口杆件和电警移位至此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U型支架换2米横臂安装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G343(K49+800M)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G343与振兴路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G228三龙服务区南口信号灯杆件移位至此安装红绿灯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G204(K674+550M)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G204(K674+780M)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G204(K677+250M)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G204(白民线)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G204(K690+750M老违停)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北红绿灯杆安装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G204(K692+800M老水泥厂)</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高杆灯安装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G204(永宁路东侧老违停)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S351与三元江界河桥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S351与高速路口(老违停)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将西侧路北老违停牌移至本杆件上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G228与新丰村路口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振阳路与城北线（南阳镇）</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老S226与大港线（大桥）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立柱式信号灯杆件在交安设施里面统筹安排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2987"/>
        <w:gridCol w:w="1456"/>
        <w:gridCol w:w="793"/>
        <w:gridCol w:w="1055"/>
        <w:gridCol w:w="1586"/>
        <w:gridCol w:w="793"/>
        <w:gridCol w:w="793"/>
        <w:gridCol w:w="793"/>
        <w:gridCol w:w="793"/>
        <w:gridCol w:w="793"/>
        <w:gridCol w:w="923"/>
        <w:gridCol w:w="821"/>
      </w:tblGrid>
      <w:tr>
        <w:trPr>
          <w:trHeight w:val="27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灯带、哨兵维修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灯带(米）</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哨兵显示屏</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凿路</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G228与麋鹿线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G228与川灶线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G228与王大线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G228与民丰路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G228与光明粮食产业园</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G228与X302</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G228与S331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G228与Y171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G228与方强农场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G204与永宁路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G204与双草线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G204与草堰农贸市场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G204与S351（合陈）</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G204与大白路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G204与刘庄中心路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G204与G343</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2"/>
        <w:gridCol w:w="2554"/>
        <w:gridCol w:w="569"/>
        <w:gridCol w:w="745"/>
        <w:gridCol w:w="569"/>
        <w:gridCol w:w="392"/>
        <w:gridCol w:w="569"/>
        <w:gridCol w:w="392"/>
        <w:gridCol w:w="392"/>
        <w:gridCol w:w="392"/>
        <w:gridCol w:w="569"/>
        <w:gridCol w:w="833"/>
        <w:gridCol w:w="392"/>
        <w:gridCol w:w="392"/>
        <w:gridCol w:w="392"/>
        <w:gridCol w:w="922"/>
        <w:gridCol w:w="392"/>
        <w:gridCol w:w="481"/>
        <w:gridCol w:w="570"/>
        <w:gridCol w:w="658"/>
        <w:gridCol w:w="1540"/>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“中重型货车”标志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pPr w:horzAnchor="page" w:tblpX="1429" w:vertAnchor="text" w:tblpY="36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04"/>
        <w:gridCol w:w="3374"/>
        <w:gridCol w:w="7229"/>
      </w:tblGrid>
      <w:tr>
        <w:trPr>
          <w:trHeight w:val="45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36"/>
                <w:szCs w:val="36"/>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G204视频接力链路过期点位</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编号</w:t>
            </w:r>
            <w:r/>
          </w:p>
        </w:tc>
        <w:tc>
          <w:tcPr>
            <w:shd w:val="clear" w:color="auto" w:fill="auto"/>
            <w:tcBorders>
              <w:top w:val="non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KM+M</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678+930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685+700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687+750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697+900</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刘庄镇华联超市顶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白驹镇通白路十字路口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白驹镇农商行楼顶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草堰邮政楼顶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刘庄中队门前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白驹二桥684KM+450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204与亭湖交界朝北664KM+600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白驹中铁广州局676KM+400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白驹南抓拍朝南683KM+150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草堰北抓拍朝南689KM+900</w:t>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草堰北抓拍朝北690KM+150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丁溪龙门架西侧朝北696KM+700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大丰刘庄G204国道670KM+300M朝南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沿堤村部对面朝北685KM+780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bl>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772"/>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772"/>
        <w:rPr>
          <w:rFonts w:hint="default" w:ascii="宋体" w:hAnsi="宋体" w:eastAsia="宋体" w:cs="宋体"/>
          <w:b/>
          <w:bCs/>
          <w:color w:val="auto"/>
          <w:highlight w:val="none"/>
          <w:lang w:val="en-US" w:eastAsia="zh-CN"/>
        </w:rPr>
        <w:sectPr>
          <w:footnotePr/>
          <w:endnotePr/>
          <w:type w:val="nextPage"/>
          <w:pgSz w:w="16840" w:h="11907" w:orient="landscape"/>
          <w:pgMar w:top="1701" w:right="1588" w:bottom="1701" w:left="1361" w:header="1021" w:footer="1134" w:gutter="0"/>
          <w:cols w:num="1" w:sep="0" w:space="720" w:equalWidth="1"/>
          <w:docGrid w:linePitch="360"/>
        </w:sectPr>
      </w:pPr>
      <w:r>
        <w:rPr>
          <w:rFonts w:hint="default" w:ascii="宋体" w:hAnsi="宋体" w:eastAsia="宋体" w:cs="宋体"/>
          <w:b/>
          <w:bCs/>
          <w:color w:val="auto"/>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6" w:name="_Toc22672"/>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项目配置清单</w:t>
      </w:r>
      <w:bookmarkEnd w:id="206"/>
      <w:r/>
      <w:r/>
    </w:p>
    <w:tbl>
      <w:tblPr>
        <w:tblStyle w:val="76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3454"/>
        <w:gridCol w:w="4081"/>
        <w:gridCol w:w="583"/>
        <w:gridCol w:w="671"/>
        <w:gridCol w:w="58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前端建设</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前端处理终端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光纤收发器（对）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千兆，提供不低于1个1000M自适应电接口和1个FX光接口</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交换机（8口）</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至少具备8个千兆电口, 支持12~55V DC供电；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抗震抗摔压铸铝合金外壳，耐腐蚀耐氧化永不生锈，防护等级不低于IP40, 具备IP40防护等级认证报告；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宣传诱导屏（P6屏）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红绿灯灯带</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灯带控制电源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1）.输入电压 : 176～264VAC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2）.电源频率 : 48～52Hz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3）.光源寿命：≥10万小时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4）.外壳防护等级：IP55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5）.耐温：-40℃～+80℃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6）.湿热性能：温度为40℃时，空气相对湿度≤95%±2％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7）.绝缘电阻：≥500MΩ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000000"/>
                <w:sz w:val="20"/>
                <w:szCs w:val="20"/>
                <w:u w:val="none"/>
                <w:lang w:val="en-US" w:eastAsia="zh-CN" w:bidi="ar"/>
              </w:rPr>
              <w:t xml:space="preserve">后端</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7米挑臂8M杆件（含基础、地笼、浇筑）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7米挑臂10M杆件（含基础、地笼、浇筑）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7米挑臂12M杆件（含基础、地笼、浇筑）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7米挑臂14M杆件（含基础、地笼、浇筑）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杆件T7*7+7（含基础、地笼、浇筑）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杆件T7*10+10（含基础、地笼、浇筑）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杆件T7*10+5（含基础、地笼、浇筑）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杆件T7.5*14+14（含基础、地笼、浇筑）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立杆直径140-4mm厚，基础法兰350*350-14mm厚，横臂法兰200-10mm厚，热镀锌后喷塑处理。固定法兰350*350-4mm厚，预埋件螺栓中心距250*250mm-4支M20圆钢长0.9米。基坑规格800*800-1000mm深。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2米横臂</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横臂直径60-3mm厚，热镀锌后喷塑处理。固定法兰350*350-4mm厚</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诱导屏杆件（含基础、地笼、浇筑）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U型支架，臂厚不小于2mm，热镀锌喷塑。安装接线不许外露，在杆件内穿线接线连接，需符合架设杆件所属部门的相关要求。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国标，纯铜，RVV16*1.0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国标，纯铜，RVV-4*1.0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国标，纯铜，RVV-2*10.0mm²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4芯单模，含熔纤、配套辅材等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落地箱（柜）基座</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落地箱及信号机基座，按《公安交通管理外场设备基础施工通用要求》实施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手井（含手井圈、盖）</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规格尺寸:500mm*500mm*500mm。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盖板材质、规格:预制钢筋砼盖板。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井盖上印有“公安专用”标志。</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绿化恢复及道路恢复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恢复现有道路、绿化及青苗费用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线缆敷设</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本项目所有建设点位租赁运营商光纤链路，不低于千兆带宽，5年租赁费用。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供电开户、安装接入施工</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根据现场情况自行踏勘确认所有建设点位，需供电开户的数量，含勘查、材料、施工、供电部门验收等所有费用，根据供电部门要求进行实施，电源缆线不低于10平方</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原杆件移位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链路续租</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204国道链路已过期的85个点位租赁位租赁运营商光纤链路，不低于千兆带宽，5年租赁费用。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020"/>
        <w:gridCol w:w="1648"/>
        <w:gridCol w:w="2412"/>
        <w:gridCol w:w="2165"/>
        <w:gridCol w:w="769"/>
        <w:gridCol w:w="592"/>
        <w:gridCol w:w="772"/>
      </w:tblGrid>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区间测速交安设施表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标牌参数</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杆件参数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前方区间测速长度*米</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尺寸：1860mm*2260mm标志板采用牌号为3033的铝合金板制作，板厚3.0毫米，标志板与滑动槽铝采用铝合金钟钉连接，板面上的钟钉头应打磨平滑，标志板边缘应作卷边处理，IV类以上反光膜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区间测速起点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区间测速终点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交通违法监控</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尺寸：600mm*800mm标志板采用牌号为3033的铝合金板制作，板厚2.0毫米，标志板与滑动槽铝采用铝合金钟钉连接，板面上的钟钉头应打磨平滑，标志板边缘应作卷边处理，IV类以上反光膜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4.5米单立杆直径140-5mm厚，热镀锌后喷塑处理。材质q235，固定法兰350*350-3mm厚，预埋件螺栓中心距250*250mm-4支M20圆钢长0.75米。基坑规格1200*1200-1200mm深。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禁令标志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尺寸：1800mm*3600mm标志板采用牌号为3033的铝合金板制作，板厚3.0毫米，标志板与滑动槽铝采用铝合金钟钉连接，板面上的钟钉头应打磨平滑，标志板边缘应作卷边处理，IV类以上反光膜，内容由甲方确认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7.5*5米，立杆直径273-6mm厚，横臂直径140-5mm厚，基础法兰直径500-16mm厚，热镀锌后喷塑处理。材质q235，固定法兰直径500-4mm厚，预埋件螺栓对角中心距400mm-8支M24圆钢长1.285米。基坑规格1800*1800-2000mm深。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悬臂式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禁停标牌（含辅助牌）</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尺寸：1000mm*1300mm标志板采用牌号为3033的铝合金板制作，板厚2.0毫米，标志板与滑动槽铝采用铝合金钟钉连接，板面上的钟钉头应打磨平滑，标志板边缘应作卷边处理，IV类以上反光膜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需覆膜尺寸为：长度341CM，宽度101CM,IV类以上反光膜，覆膜内容由甲方确认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标志杆移位</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将原有杆件移位至指定位置安装，含移位、运输、地笼、浇筑等费用</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461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纵向减速标线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数量（平方米）</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减速标线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“中重型货车”标字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376.43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5年标定费</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标定费</w:t>
            </w:r>
            <w:r/>
          </w:p>
        </w:tc>
        <w:tc>
          <w:tcPr>
            <w:shd w:val="clear" w:color="auto" w:fill="auto"/>
            <w:tcBorders>
              <w:top w:val="non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5年区间测速标定费</w:t>
            </w:r>
            <w:r/>
          </w:p>
        </w:tc>
        <w:tc>
          <w:tcPr>
            <w:shd w:val="clear" w:color="auto" w:fill="auto"/>
            <w:tcBorders>
              <w:top w:val="non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车道</w:t>
            </w:r>
            <w:r/>
          </w:p>
        </w:tc>
        <w:tc>
          <w:tcPr>
            <w:shd w:val="clear" w:color="auto" w:fill="auto"/>
            <w:tcBorders>
              <w:top w:val="non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7" w:name="_Toc377"/>
      <w:r/>
      <w:bookmarkStart w:id="208" w:name="_Toc2025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5</w:t>
      </w:r>
      <w:r>
        <w:rPr>
          <w:rFonts w:ascii="Times New Roman" w:hAnsi="Times New Roman" w:eastAsia="黑体" w:cs="Times New Roman"/>
          <w:color w:val="auto"/>
          <w:sz w:val="28"/>
          <w:szCs w:val="24"/>
          <w:highlight w:val="none"/>
          <w:lang w:val="en-US" w:eastAsia="zh-CN" w:bidi="ar-SA"/>
        </w:rPr>
        <w:t xml:space="preserve">  </w:t>
      </w:r>
      <w:bookmarkEnd w:id="207"/>
      <w:r>
        <w:rPr>
          <w:rFonts w:hint="eastAsia" w:ascii="Times New Roman" w:hAnsi="Times New Roman" w:eastAsia="黑体" w:cs="Times New Roman"/>
          <w:color w:val="auto"/>
          <w:sz w:val="28"/>
          <w:szCs w:val="24"/>
          <w:highlight w:val="none"/>
          <w:lang w:val="en-US" w:eastAsia="zh-CN" w:bidi="ar-SA"/>
        </w:rPr>
        <w:t xml:space="preserve">设备参数</w:t>
      </w:r>
      <w:bookmarkEnd w:id="208"/>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1.5.1 900万电警相机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★2、图像传感器不小于1英寸，最大图像尺寸≥4000×2100像素，视频分辨率≥4000×2100像素；（提供由第三方检测机构出具的检测报告证明复印件并加盖投标人公章）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4、支持机动车、二轮车（摩托车、自行车、电动二轮车）、三轮车和行人分类检测；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6、支持闯红灯抓拍功能，在天气晴朗无雾，号牌无遮挡、无污损，白天环境光照度不低于200lx，晚上辅助光照度不高于30lx的条件下测试，白天和晚上闯红灯的捕获率均≥99%；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8、支持禁左、禁右、禁止掉头违章抓拍；支持禁货、禁拖拉机、禁农用车、禁大客车、禁拖/挂车通行等违章抓拍；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bookmarkStart w:id="209" w:name="OLE_LINK6"/>
      <w:r>
        <w:rPr>
          <w:rFonts w:hint="eastAsia" w:ascii="宋体" w:hAnsi="宋体" w:eastAsia="宋体" w:cs="宋体"/>
          <w:color w:val="auto"/>
          <w:sz w:val="24"/>
          <w:szCs w:val="24"/>
          <w:highlight w:val="none"/>
          <w:lang w:val="en-US" w:eastAsia="zh-CN" w:bidi="ar"/>
        </w:rPr>
        <w:t xml:space="preserve">★</w:t>
      </w:r>
      <w:bookmarkEnd w:id="209"/>
      <w:r>
        <w:rPr>
          <w:rFonts w:hint="eastAsia" w:ascii="宋体" w:hAnsi="宋体" w:eastAsia="宋体" w:cs="宋体"/>
          <w:color w:val="auto"/>
          <w:sz w:val="24"/>
          <w:szCs w:val="24"/>
          <w:highlight w:val="none"/>
          <w:lang w:val="en-US" w:eastAsia="zh-CN" w:bidi="ar"/>
        </w:rPr>
        <w:t xml:space="preserve">10、支持车辆子品牌识别，对车头图片进行分析抓拍，可分析输出OSD叠加不少于7200种车辆子品牌并显示相应的年款，对车尾图片进行分析抓拍，可分析输出OSD叠加不少于3900种车辆子品牌并显示相应的年款；（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12、支持对25×10像素～1100×3000像素的机动车车牌进行抓拍并识别号码；支持抓拍并识别垂直倾斜角度≤45°、水平倾斜角度≤35°、俯仰角度≤40°的机动车车牌号码；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13、支持车牌遮挡检查功能，在检测到车牌被遮挡的情况下可给出提示，支持对两轮/三轮车分类识别;可识别外卖箱(外卖品牌)的标识；支持渣土车/大货车喷涂车牌识别；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1.5.2 500万电警相机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大型货车闯红灯抓拍功能，包括各类大型货车类型；可在左右不低于45°范围内识别机动车车辆特征，包括车牌号码、车身颜色、车辆类型；（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7、抓拍图片具备智能压缩技术，可以保证在主体目标清晰的情况下压缩图片整体大小，平均压缩率可达到原图大小的30%；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10、设备支持根据不同的超速比设置对不同车型进行超速抓拍，并输出不同的超速抓拍结果及违法代码；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★11、支持车辆抓拍，支持抓拍输出车牌局部照片、车窗局部照片、非机动车局部照片、场景全景图片；（提供由第三方检测机构出具的检测报告证明复印件并加盖投标人公章）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 1200万环保卡口相机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★2、采用不小于1.1英寸CMOS传感器，视频分辨率不低于4000×3000，图片分辨率不低于4000×3000；（提供由第三方检测机构出具的检测报告证明复印件并加盖投标人公章）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监控摄像机图像画面信息不应有明显的缺损，图像画面应连贯，物体移动时图像不应有前冲现象、图像边缘不应有明显的锯齿状、拉毛、断裂、拖尾等现象；（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14、设备支持35114A级加密；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1.5.4 900万环保卡口相机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★2、内置不小于1英寸高帧率彩色全局曝光CMOS高清智能摄像机，最大图像尺寸≥4000×2100像素，视频分辨率支持不低于4000×2100；（提供由第三方检测机构出具的检测报告证明复印件并加盖投标人公章）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3、支持车辆抓拍、车牌识别和车辆结构化信息提取；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5、支持在抓拍的基础上，抓拍输出车牌局部照片、车窗局部照片、非机动车局部照片、场景全景照片；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10、设备可在左右45°范围内识别机动车车辆特征，包括车牌号码、车身颜色、车辆类型；支持识别并抓拍垂直倾斜角度≤55°、水平倾斜角度≤35°、俯仰角度≤40°的机动车车牌；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外接多目标检测雷达，可实现雷达视频融合检测，可输出目标编号、车型和雷达速度、位置等信息；支持外接雷达实现测速，并支持视频测速校正雷达测速结果输出；（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1.5.5 500万环保卡口相机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摩托车闯红灯、逆行、载人、未戴头盔行为进行检测并抓拍图片；在天气晴朗无雾，车辆无遮挡，白天环境光照度不低于200lx的情况下进行测试；捕获率≥99%；检测准确率≥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行人和非机动车的人脸进行检测与抠图，高像素状态下，抓拍人脸像素点约为150*150；可对人脸抠图的像素大小、亮度、边框放大倍数进行调节，抠图准确率≥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10、支持车辆抓拍，支持抓拍输出车牌局部照片、车窗局部照片、非机动车局部照片、场景全景图片；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环保卡口抓拍单元设备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1.5.6 400W球机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传感器类型：1/2.8英寸CMOS；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像素：不低于400万；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最大分辨率：≥2500×1400；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最低照度：彩色：0.005lux@F1.6；黑白：0.0005lux@F1.6 0lux（红外灯/白光灯开启）；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最大补光距离：≥30m（白光）；≥150m（红外）；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补光类型：红外+白光；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镜头焦距：不低于4.8mm～154mm；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镜头光圈：F1.6～F4.0；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视场角：水平：不低于55.8°～2.3°；垂直：不低于31.9°～1.3°；对角：不低于63.7°～2.7°；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光学变倍：≥32倍；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定时任务：预置点；巡迹；巡航；线扫；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可视域功能：支持；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周界防范：支持绊线入侵；支持区域入侵；支持穿越围栏；支持徘徊检测；支持物品遗留；支持物品搬移；支持快速移动；支持停车检测；支持人员聚集；支持人车分类报警；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人脸检测：支持人脸检测；支持人脸轨迹框；支持抓拍；支持人脸增强；支持人脸抠图区域可设：人脸，单寸照；支持实时抓拍，质量优先二种抓拍策略；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智能说明：智能（包括SMD）与数字变倍与电子防抖互斥；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防抖功能：电子防抖；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透雾功能：电子透雾；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网络接口：≥1个（RJ-45母头网口，支持10M/100M网络数据）；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供电方式：AC24V/2.5A±25%；DC24V/2.5A±25%（标配）；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防护等级：IP66；TVS 6000V防雷、防浪涌和防突波保护；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接口类型：RJ45接口；供电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★设备web界面功能配置采用导航式操作,可选择全局方案和预置点方案,在方案配置中根据下一步提示配置不同的智能功能（提供由第三方检测机构出具的检测报告证明复印件并加盖投标人公章）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★设备应具有智能风控加热除雾功能,可自动去除内部水状和雾状附着物（提供由第三方检测机构出具的检测报告证明复印件并加盖投标人公章）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1.5.7违停球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摄像机内置不少于2个镜头，内置不少于2个GPU芯片，可输出至少一路全景视频和一路细节视频，全景通道内置1个镜头，光圈不小于F1.0，具有不小于1/1.8靶面尺寸，内置不少于4颗补光灯，细节通道内置镜头，支持不小于32倍光学变倍，镜头最大焦距不小于192mm，具备不小于1/1.8靶面尺寸，内置不少于10颗红外补光灯及1颗白光灯；（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2、全景路视频图像分辨率不小于2500×1400，细节路视频图像分辨率不小于2500×1400；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3、细节通道镜头支持最低照度可达彩色0.0002lx，黑白0.0001lx；</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4、全景通道水平视场角不低于90°，垂直视场角不低于50°；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5、全景通道可进行垂直旋转，旋转范围不低于10°可调；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6、红外距离不小于250米；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7、支持水平旋转范围360°连续旋转，垂直旋转范围-20°~90°；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8、摄像机具备AR标签管理功能，可对监控区域的常规点位、卡口点位、人脸点位、重点道路等进行标签标注，最多可添加500个标签；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9、开启混合目标检测模式后，设备可同时对行人、非机动车、机动车进行检测、跟踪、抓拍，可支持人脸与人体，车牌与车辆的关联显示；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进行违法停车检测时，镜头倍率为1倍情况下，白天有效检测距离不小于150米，其他倍率下，白天有效检测距离不小于300米，支持掉头检测、压线抓拍、违法变道抓拍、逆行抓拍、机占非抓拍。图片模式应符合《GA/T832-2014道路交通安全违法行为图像取证技术规范》中的相关规定；（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11、设备支持违法取证图片单张上传或者多张合成上传，合成图片的数量（1～4张可选）可配置；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12、设备可通过客户端软件设置取证图片数量（1～6张可选）、抓拍图片间隔、并在图片上叠加车牌号码、车牌颜色、车辆类型、车身颜色、违法类型的名称及对应编号，违法类型的名称及对应编号可设置；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13、当有停车、逆行、压线、变道、掉头、拥堵、机动车占非机动车道现象被触发时，设备可分别发出不同的语音提示；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14、支持违法停车抓拍功能，白天违法停车捕获率、捕获有效率均不小于98%；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15、支持GB35114A级安全加密；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16、外壳防护等级应不低于IP67。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违停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1.5.8前端处理终端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支持≥12路IPC接入，支持新国标电警。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支持区间测速功能。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设备具有不少于18个10M/100M/1000M自适应RJ45接口(其中P1~P16与G1处于同一网段、G2处于另一网段)、不少于2个1000M SFP光口(分别与G1、G2处于同一网段)。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可设置图片的存储空间，在规定的空间内自动循环覆盖，剩余空间为录像存储空间。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对于在记录过程中出现的系统死机或意外故障，设备能够在规定的时间内自动恢复其正常工作状态并使故障前的信息不丢失。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最多可添加12路IP摄像机(单路码率10M)，进行录像与图片的实时预览和存储并可将IP摄像机的视频图像通过网络传输至客户端。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支持不少于4块3.5或2.5英寸硬盘接入，最大兼容6TB硬盘，设备至少内置1块4T硬盘。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可显示系统已运行时间、主板温度、终端运行状态。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可通过USB外接存储介质进行数据备份，备份数据类型、存储目录及文件命名可配置。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支持对视频进行质量诊断并输出报警信息。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可通过长按复位键恢复系统的出厂默认参数。</w:t>
      </w:r>
      <w:r/>
    </w:p>
    <w:p>
      <w:pPr>
        <w:ind w:left="0" w:right="0" w:firstLine="480"/>
        <w:jc w:val="left"/>
        <w:keepLines w:val="0"/>
        <w:keepNext w:val="0"/>
        <w:spacing w:before="0" w:beforeAutospacing="0" w:after="0" w:afterAutospacing="0" w:line="360" w:lineRule="auto"/>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工作温度-40℃～70℃、工作湿度10%～90%。</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1.5.11LED环保补光灯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1、不少于16颗大功率LED灯珠；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2、发光角度≥10°；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3、覆盖范围：单车道环境补光灯；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4、最佳补光范围16米～25米；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5、触发方式：4V~6V电平量触发；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6、触发信号：频率15~250HZ，占空比1%~39%，响应时间小于20US；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7、外壳采用材质金属铝；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★8、符合GA/T1202-2022《交通技术监控成像补光装置通用技术条件》中的一级补光装置要求；（提供由第三方检测机构出具的检测报告证明复印件并加盖投标人公章）</w:t>
      </w:r>
      <w:r/>
    </w:p>
    <w:p>
      <w:pPr>
        <w:numPr>
          <w:ilvl w:val="0"/>
          <w:numId w:val="1"/>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1.5.12四合一环保补光灯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1、大功率白光LED灯珠、大尺寸高功率氙气灯管双光源；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2、LED灯珠数量≥24颗；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3、补光装置光源包括LED光源（一级频闪）、气体放电光源（二级脉冲）和红外光源；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4、采用LED光源和气灯放电两种光源，LED光源呈圆形排布，气体放电光源前置转轴叶片，支持红外和白光补光切换；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5、支持LED频闪、LED爆闪、白光气体爆闪及红外气体爆闪四种补光方式，可通过远程控制切换；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6、眩光阀值增量TI≤1.08%；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7、触发信号异常时，爆闪灯进入自动保护，触发信号输入正常，爆闪灯自动恢复正常；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8、不少于1路RS485接口、1路气体脉冲爆闪输入接口，一路光源切换接口，1路频闪输入接口、1路LED爆闪输入接口；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9、可通过RS485进行远程升级；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10、支持记录闪光灯闪光次数；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★11、符合GA/T1202-2022《交通技术监控成像补光装置通用技术条件》中的一级补光装置要求；（提供由第三方检测机构出具的检测报告证明复印件并加盖投标人公章）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12、防护等级IP66。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1.5.13抱杆机箱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体规格尺寸：高530*宽400*深250MM，板材厚度≥1.2MM；柜体采用防晒、隔热顶盖；采取导流槽、胶垫等密封措施，防止雨雪、水和萤虫进入柜体内部。外壳密封性能符合 GB/T 4208 的规定，柜门采用静音轴承合页铰链。柜体电源接线端子与机柜之间的绝缘电阻在正常状态下不小于 100MΩ，在 20℃相对湿度 5%RH～95%RH 状态下不小于 2MΩ。门需要做加强筋固定，保证箱体的防撬、防盗，机箱内部设计强弱电分离线槽，确保线路安全。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电源防雷和网络接口防雷两种防雷功能，标配不少于 1 路交流电源防雷器交流电源防雷：Uc:385VAC 、In:20kA、Imax:40kA、Up: ≤1.7KV；内置不少于1个32A空开，不少于5个五口国标插座，一个温控风扇。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1.5.14信号机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★能够无缝接入大丰区交警大队现有信号控制系统平台。（投标人提供对接平台承诺函，格式自拟）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交通信号控制机须符合《道路交通信号控制机》（GB25280-2016）国家强制标准的相应要求，且耐温等级为A级。（投标人提供承诺函，格式自拟）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信号机与上位机间的通讯协议符合《GB/T20999-2017交通信号控制机与上位机间的数据通信协议》标准要求，符合度达到100%。（投标人提供承诺函，格式自拟）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信号机采用嵌入式架构设计，为集中协调式联网信号机，模块化程度高，可积木式扩展；操作系统采用嵌入式 Linux系统，稳定可靠；采用工业级触摸屏显示界面，可实现全图形化操作；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信号机组成要求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信号机主要功能要求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多种控制功能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可以与开关量、RS232串行通讯方式作为输出的车辆检测器接口，完成交通流信息采集功能；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可自定义采集间隔，数据可以在本地保存，及向上传入中心数据库。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系统控制参数的设定、修改和查询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人机对话功能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完善的故障检测功能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具有绿冲突故障检测，信号灯组所有红灯熄灭故障检测，信号灯工作电压、工信电流检测，通讯故障检测等功能。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系统故障保护功能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过电压保护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灯具驱动输出具备过载、短路、电压电流快速上升保护功能。在供电电压超过AC280V时，系统自动断电保护。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数据本地存储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信号机本地储存1个月以上的交通数据，具备断电情况下的数据保存功能，实现无电池供电情况下永久保存。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方案自动生成功能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信号机具备方案自动生成功能，可在基础方案配置的基础上，根据路口检测器信息计算自动生成多时段顶周期方案，并依据流量自动规划时段，生成时段方案、周期、绿信比时间。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手动指定相位放行功能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通过手动控制面板选择相应的相位编号，转换至手动指定相位。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  支持宽压启动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信号机供电电压小于150V时，且工作一个小时后，信号机各项功能均正常。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主要技术指标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硬件采用嵌入式架构设计，模块化程度高，可积木式扩展；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操作系统采用嵌入式 Linux系统，稳定可靠；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采用工业级触摸屏，全图形化操作；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机械性能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外壳防护等级：IP54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使用电源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电压：单相 AC220V±20% 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无负载功耗：20W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输入输出接口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信号灯输出：48路，可扩展至96路，可控硅输出,单路驱动能力AC220V/5A；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车辆检测输入：标准配置可连接24个车辆检测器，可扩展至48个，支持线圈、视频、微波、地磁等车辆检测器，干触点或OC晶体管输出；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通讯接口：标准EIA电平RS232接口：不少于3个，波特率：1200bps—115200 bps；RS485电平信号接口：不少于1个，用于倒计时器通讯，通讯协议满足GA/T508-2004；可支持不少于8路输出，自定义通讯协议时，最大可支持不少于32路输出；固定周期时支持通讯时和学习式全程/半程显示倒计时显示器，实时自适应模式下支持半程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网络接口：不少于1个，10M/100M自适应；</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GPS接口：不少于1个，可接收GPS授时（选配件）；</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1.5.15落地机柜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 1 路交流电源防雷器交流电源防雷：Uc:385VAC 、In:20kA、Imax:40kA、Up: ≤1.7KV；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配装不少于1个63A空开、不少于4个32A空开、不少于2个温控风扇、不少于10个5口国标插座、1个电源引入防雷模块，可根据实际情况增加配置，满足使用需求；箱体侧面需要配置一个直流指示灯，电源异常时能清晰辨别市电故障。</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1.5.16宣传诱导屏（P6屏）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P6室外全彩LED屏：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显示尺寸≥宽3.2m*高2.4m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★3、模组平整度≤0.2mm，发光点中心偏差≤1%；显示亮度≥4500cd/㎡；亮度均匀性≥99%；（提供由第三方检测机构出具的检测报告证明复印件并加盖投标人公章）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10、依据GB/T 2423.24-2022试验类型：程序A，试验箱内温度在照射期开始前2h开始升温（小于1K/min的速率）；试验参数值：40度，照射期时间8h；25度，黑暗期时间16h为一个循环，共测试10个循环；试验中，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1、箱体采用优质冷轧钢板，板材厚度，主材≥1.2mm，辅材≥1.0mm;内外表面经喷塑/烤漆处理，防腐，防锈；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2、内含不少于2个风扇散热；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3、采用后开门维护方式；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4、防护等级≥IP65，正面防喷水，背面防潮防尘，满足全天候户外运行。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1.5.17更换诱导屏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大屏参数：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显示尺寸≥宽2.56m*高1.28m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 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9.冷轧钢板，内箱体为全天候、防风雨型，内含2个风扇散热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1.输入接口：≥1个USB2.0接口、≥1个控制网口、≥2个RS485接口、≥1个WIFI天线。输出接口：≥1个Line Out接口，≥1个带载网口。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2.设备前端具有1个USB口，接口传输响应正常。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3.支持TCP/IP网络协议，可用于管理和控制设备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1路网口输出最大输出分辨率:65W，宽度范围：64-2048，高度范围：64-2048。单网口带载支持65W像素，设备总带载支持65W像素。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6.支持采用RGB：444；YUV：444；YUV：422三种视频图像格式。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8.支持通过Web查看输入信号源的实时网络预览。支持通过Web查看输出画面的完整实时网络预览。</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1.5.18信号灯宣传屏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P8室外全彩LED屏：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显示尺寸≥宽1.92m*高0.8m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1、LED像素点间距≤8.0mm，像素密度≥15625点/㎡；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4、显示亮度≥4500cd/㎡，亮度均匀性≥99%；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亮度0-4500cd/㎡可调，256级无灰度损失调节，可通过定时器或传感器调节；色温2000K-10000K连续可调；亮度、灰度、色温可手动、自动、软件三种调节方式；（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13、依据GB/T 2423.24-2022试验类型：程序A，试验箱内温度在照射期开始前2h开始升温（小于1K/min的速率）；试验参数值：40度，照射期时间8h；25度，黑暗期时间16h为一个循环，共测试10个循环。试验中，试验后受试产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前维护液压杆防水箱体，抱箍安装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1.5.19坚守相机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最高分辨率不低于2600×1500 @25 fps，在该分辨率下可输出实时图像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Smart侦测：区域入侵侦测，越界侦测，进入区域侦测，离开区域侦测，物品遗留侦测，物品拿取侦测，徘徊侦测，停车侦测，人员聚集侦测，快速移动侦测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支持背光补偿，强光抑制，3D数字降噪，120 dB宽动态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支持不少于180°水平视场角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采用高效阵列红外灯，使用寿命长，红外照射距离最远可达10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≥1个内置麦克风，高清拾音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符合IP66防尘防水设计，可靠性高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传感器类型：1/3" Progressive Scan 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最低照度：0.005 Lux @（F1.2，AGC ON），0 Lux with IR</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宽动态：120 dB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焦距&amp;视场角：≥1.68 mm，水平视场角：不少于180°，垂直视场角：不少于98°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补光灯类型：红外灯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补光距离：最远不少于10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防补光过曝：支持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最大图像尺寸：≥2600× 1500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视频压缩标准：主码流：H.265/H.264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子码流：H.265/H.264/MJPEG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第三码流：H.265/H.264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网络：≥1个RJ45 10 M/100 M自适应以太网口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音频：≥1个内置麦克风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供电方式：DC：12 V ± 25%，支持防反接保护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PoE：802.3af，Class 3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1.5.20音柱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1、铝合金外壳室外防水音柱；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2、额定功率：≥160W；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3、灵敏度范围：≥93db±3dB；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4、输入方式：定压100V；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5、频响范围：80Hz-16KHz。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1.5.21功放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1、采用数字功放技术，标准19英寸机架式尺寸，设备高度1U；</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2、简约人性化工程设计，前面板显示状态信号，开关及音量旋钮后置，减少非专业化的操作，降低维护故障；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3、具有</w:t>
      </w:r>
      <w:r>
        <w:rPr>
          <w:rFonts w:hint="eastAsia" w:ascii="宋体" w:hAnsi="宋体" w:eastAsia="宋体" w:cs="宋体"/>
          <w:color w:val="auto"/>
          <w:sz w:val="24"/>
          <w:szCs w:val="24"/>
          <w:highlight w:val="none"/>
          <w:lang w:val="en-US" w:eastAsia="zh-CN" w:bidi="ar"/>
        </w:rPr>
        <w:t xml:space="preserve">不少于</w:t>
      </w:r>
      <w:r>
        <w:rPr>
          <w:rFonts w:hint="default" w:ascii="宋体" w:hAnsi="宋体" w:eastAsia="宋体" w:cs="宋体"/>
          <w:color w:val="auto"/>
          <w:sz w:val="24"/>
          <w:szCs w:val="24"/>
          <w:highlight w:val="none"/>
          <w:lang w:val="en-US" w:eastAsia="zh-CN" w:bidi="ar"/>
        </w:rPr>
        <w:t xml:space="preserve">2路定压100V功率输出接口，输出功率≥250W；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4、支持≥1路话筒输入和≥2路AUX线路输入，话筒输入与线路输入音量独立控制，具有调节旋钮；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5、支持≥1路AUX线路输出，可扩展功放连接；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6、支持≥1路报警输入和≥1路报警输出用于联动周边设备；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7、内置大容量存储器，支持远程更新定时任务和报警触发任务；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8、支持离线广播，空闲时自动下载定时任务，当网络中断时自动开启本地播放；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9、设备支持默音功能。当有话筒信号接入时，网络数字功放可自动对之前的输出音频进行衰减，并且衰减程度可调；</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10、运行状态界面至少显示设备状态（在线/离线）、任务状态（广播/空闲）、实时音量、功放温度等信息；（提供软件界面功能截图）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11、具有音频信号频率高通功能以保护负载扬声器，避免持续低频音损坏扬声器，高通值可数字设置；（提供软件界面功能截图）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12、设备采用AC100V-240V宽电压供电设计，支持过载、过热保护等多种保护功能，支持电源及线路防雷击及浪涌保护；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13、频率响应：80Hz-18KHz；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14、总谐波失真：≤0.5% @1KHz 1/2输出功率；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15、信噪比：≥84dB。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16、提供兼容原广播服务系统平台的设备制造商承诺函。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★需无缝对接大丰公安交通指挥中心IP网络对讲广播系统（投标人提供对接平台承诺函，格式自拟）</w:t>
      </w:r>
      <w:r/>
    </w:p>
    <w:p>
      <w:pPr>
        <w:ind w:firstLine="425"/>
        <w:jc w:val="both"/>
        <w:keepNext/>
        <w:spacing w:before="160" w:after="160"/>
        <w:widowControl w:val="off"/>
        <w:rPr>
          <w:rFonts w:hint="eastAsia" w:ascii="宋体" w:hAnsi="宋体" w:eastAsia="宋体" w:cs="宋体"/>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1.5.22支路</w:t>
      </w:r>
      <w:r>
        <w:rPr>
          <w:rFonts w:hint="eastAsia" w:ascii="宋体" w:hAnsi="宋体" w:eastAsia="宋体" w:cs="宋体"/>
          <w:b/>
          <w:color w:val="auto"/>
          <w:sz w:val="24"/>
          <w:szCs w:val="24"/>
          <w:highlight w:val="none"/>
          <w:lang w:val="en-US" w:eastAsia="zh-CN" w:bidi="ar-SA"/>
        </w:rPr>
        <w:t xml:space="preserve">哨兵</w:t>
      </w:r>
      <w:r/>
    </w:p>
    <w:tbl>
      <w:tblPr>
        <w:tblStyle w:val="767"/>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89"/>
        <w:gridCol w:w="7057"/>
      </w:tblGrid>
      <w:tr>
        <w:trPr>
          <w:jc w:val="center"/>
          <w:trHeight w:val="227"/>
        </w:trPr>
        <w:tc>
          <w:tcPr>
            <w:gridSpan w:val="2"/>
            <w:shd w:val="clear" w:color="auto" w:fill="auto"/>
            <w:tcW w:w="9346" w:type="dxa"/>
            <w:vAlign w:val="center"/>
            <w:textDirection w:val="lrTb"/>
            <w:noWrap w:val="false"/>
          </w:tcPr>
          <w:p>
            <w:pPr>
              <w:ind w:left="480" w:right="0" w:firstLine="482"/>
              <w:jc w:val="center"/>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bidi="ar-SA"/>
              </w:rPr>
              <w:suppressLineNumbers w:val="0"/>
            </w:pPr>
            <w:r/>
            <w:bookmarkStart w:id="210" w:name="_Hlk170073347"/>
            <w:r>
              <w:rPr>
                <w:rFonts w:hint="eastAsia" w:ascii="宋体" w:hAnsi="宋体" w:eastAsia="宋体" w:cs="宋体"/>
                <w:b/>
                <w:color w:val="auto"/>
                <w:sz w:val="24"/>
                <w:szCs w:val="24"/>
                <w:highlight w:val="none"/>
                <w:lang w:val="en-US" w:eastAsia="zh-CN" w:bidi="ar-SA"/>
              </w:rPr>
              <w:t xml:space="preserve">主要硬件指标</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整机尺寸</w:t>
            </w:r>
            <w:r/>
          </w:p>
        </w:tc>
        <w:tc>
          <w:tcPr>
            <w:shd w:val="clear" w:color="auto" w:fill="auto"/>
            <w:tcW w:w="7057"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（2500±50mm）×（410±5mm）×（120±5mm）</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摄像机</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400万全景双目相机；</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全彩级高灵敏度感器，1/2.5" Progressive Scan CMOS ，0.0005 Lux @ (F1.0, AGC ON)，0 Lux with Light；;</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F1.0超大光圈镜头，双镜头拼接，水平视场角</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SA"/>
              </w:rPr>
              <w:t xml:space="preserve">180°，画面比例20:9；</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最高分辨率不低于3000 × 1300@25 fps，在该分辨率下可输出实时图像；</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支持背光补偿，强光抑制，3D数字降噪，120 dB宽动态；</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支持最大256 GB MicroSD/MicroSDHC/MicroSDXC卡本地存储；</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1个内置麦克风，</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1个内置扬声器，支持双向语音对讲；</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DC：</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12 V ± 25%， 防反接保护，PoE：IEEE 802.3af，CLASS 3；</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符合IP66防尘防水设计，可靠性高。</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color w:val="auto"/>
                <w:sz w:val="24"/>
                <w:highlight w:val="none"/>
              </w:rPr>
              <w:t xml:space="preserve">雷达</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工作频率 24.15GHz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天线波束角度 </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13.6°×37°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频率偏差 ＜±45MHz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测速范围 (4~400)km/h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测速精度 (-4~0)km/h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覆盖车道数 1~4 个车道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覆盖距离 ＞150m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刷新时间 (50~2000)ms 可调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方向判别 支持，可判别来向和去向</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Hans"/>
              </w:rPr>
              <w:t xml:space="preserve">智能检测、分析、感知</w:t>
            </w:r>
            <w:r>
              <w:rPr>
                <w:rFonts w:hint="eastAsia" w:ascii="宋体" w:hAnsi="宋体" w:eastAsia="宋体" w:cs="宋体"/>
                <w:color w:val="auto"/>
                <w:sz w:val="24"/>
                <w:highlight w:val="none"/>
              </w:rPr>
              <w:t xml:space="preserve">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lang w:val="en-US" w:eastAsia="zh-Hans"/>
              </w:rPr>
              <w:t xml:space="preserve">哨兵主控系统：</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b w:val="0"/>
                <w:bCs w:val="0"/>
                <w:color w:val="auto"/>
                <w:sz w:val="24"/>
                <w:highlight w:val="none"/>
              </w:rPr>
              <w:t xml:space="preserve">六核处理器，主频最高达2.2GHz，采用8nm先进工艺，具有低功耗高性能特点；内置独立NPU，算力可达6.0Tops，最高支持</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highlight w:val="none"/>
              </w:rPr>
              <w:t xml:space="preserve">4K输出；接口方面，配置了</w:t>
            </w:r>
            <w:r>
              <w:rPr>
                <w:rFonts w:hint="eastAsia" w:ascii="宋体" w:hAnsi="宋体" w:eastAsia="宋体" w:cs="宋体"/>
                <w:b w:val="0"/>
                <w:bCs w:val="0"/>
                <w:color w:val="auto"/>
                <w:sz w:val="24"/>
                <w:highlight w:val="none"/>
                <w:lang w:val="en-US" w:eastAsia="zh-CN"/>
              </w:rPr>
              <w:t xml:space="preserve">不少于</w:t>
            </w:r>
            <w:r>
              <w:rPr>
                <w:rFonts w:hint="eastAsia" w:ascii="宋体" w:hAnsi="宋体" w:eastAsia="宋体" w:cs="宋体"/>
                <w:b w:val="0"/>
                <w:bCs w:val="0"/>
                <w:color w:val="auto"/>
                <w:sz w:val="24"/>
                <w:highlight w:val="none"/>
              </w:rPr>
              <w:t xml:space="preserve">6路USB接口，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2路232/485输出；</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1路wifi无线接口；1路PCI-E接口；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1路HDMI接口；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1路TF卡接口；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1路miniSD卡接口；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1路以太网口10M/100M/1000M自适应；可以最大支持接入2-4路视频接入；</w:t>
            </w:r>
            <w:r>
              <w:rPr>
                <w:rFonts w:hint="eastAsia" w:ascii="宋体" w:hAnsi="宋体" w:eastAsia="宋体" w:cs="宋体"/>
                <w:color w:val="auto"/>
                <w:sz w:val="24"/>
                <w:szCs w:val="24"/>
                <w:highlight w:val="none"/>
                <w:lang w:val="en-US" w:eastAsia="zh-CN" w:bidi="ar"/>
              </w:rPr>
              <w:t xml:space="preserve">（提供由第三方检测机构出具的检测报告证明复印件并加盖投标人公章）</w:t>
            </w:r>
            <w:r/>
          </w:p>
          <w:p>
            <w:pPr>
              <w:numPr>
                <w:ilvl w:val="0"/>
                <w:numId w:val="2"/>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rPr>
              <w:t xml:space="preserve">实现人机非目标的检测，分类（大中小客货，自行车与电动车，行人等），轨迹跟踪和“经纬度+图像坐标”的轨迹记录输出</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对非机动车不戴头盔，行车打手机，抽烟，农用车违法载客，逆行，占道，闯红灯等违法行为进行检测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内置70个联动节目声光提醒，对来往人车的危险和违法针对性提示效果有保障</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对具备更高风险的大车来车进行针对性特殊提醒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智能感应，</w:t>
            </w:r>
            <w:r>
              <w:rPr>
                <w:rFonts w:hint="eastAsia" w:ascii="宋体" w:hAnsi="宋体" w:eastAsia="宋体" w:cs="宋体"/>
                <w:b w:val="0"/>
                <w:bCs w:val="0"/>
                <w:color w:val="auto"/>
                <w:sz w:val="24"/>
                <w:highlight w:val="none"/>
                <w:lang w:val="en-US" w:eastAsia="zh-Hans"/>
              </w:rPr>
              <w:t xml:space="preserve">能</w:t>
            </w:r>
            <w:r>
              <w:rPr>
                <w:rFonts w:hint="eastAsia" w:ascii="宋体" w:hAnsi="宋体" w:eastAsia="宋体" w:cs="宋体"/>
                <w:b w:val="0"/>
                <w:bCs w:val="0"/>
                <w:color w:val="auto"/>
                <w:sz w:val="24"/>
                <w:highlight w:val="none"/>
              </w:rPr>
              <w:t xml:space="preserve">根据危险程度和违法进行选择联动，节约能耗，能联动语音文字智能针对性有效提醒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bCs/>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对异常天气，交通事故，道路积水积雪，异常拥堵等交通事件进行预警推送</w:t>
            </w:r>
            <w:r>
              <w:rPr>
                <w:rFonts w:hint="eastAsia" w:ascii="宋体" w:hAnsi="宋体" w:eastAsia="宋体" w:cs="宋体"/>
                <w:b w:val="0"/>
                <w:bCs w:val="0"/>
                <w:color w:val="auto"/>
                <w:sz w:val="24"/>
                <w:highlight w:val="none"/>
                <w:lang w:eastAsia="zh-Hans"/>
              </w:rPr>
              <w:t xml:space="preserve">。</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val="en-US" w:eastAsia="zh-Hans"/>
              </w:rPr>
              <w:suppressLineNumbers w:val="0"/>
            </w:pPr>
            <w:r>
              <w:rPr>
                <w:rFonts w:hint="eastAsia" w:ascii="宋体" w:hAnsi="宋体" w:eastAsia="宋体" w:cs="宋体"/>
                <w:color w:val="auto"/>
                <w:sz w:val="24"/>
                <w:highlight w:val="none"/>
                <w:lang w:val="en-US" w:eastAsia="zh-Hans"/>
              </w:rPr>
              <w:t xml:space="preserve">交互联动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可通过串口数据发送各个功能模块，发送LED屏幕，LED屏幕内容和语音模块联动提示。</w:t>
            </w:r>
            <w:bookmarkStart w:id="211" w:name="_Toc11831"/>
            <w:r>
              <w:rPr>
                <w:rFonts w:hint="eastAsia" w:ascii="宋体" w:hAnsi="宋体" w:eastAsia="宋体" w:cs="宋体"/>
                <w:color w:val="auto"/>
                <w:sz w:val="24"/>
                <w:highlight w:val="none"/>
              </w:rPr>
              <w:t xml:space="preserve">LED爆闪灯四个，红色蓝色各两个，每个爆闪灯灯板由20个灯珠组成。工作模式为红蓝爆闪灯交替闪烁。</w:t>
            </w:r>
            <w:bookmarkEnd w:id="211"/>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远程led文字节目控制及联动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可通过平台远程下发任意LED情报信息；远程下发语音警示内容和音量调节功能；同时语音播报最大可以达120DB，可通过平台远程定时功能、开启和关闭。</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LED</w:t>
            </w:r>
            <w:r>
              <w:rPr>
                <w:rFonts w:hint="eastAsia" w:ascii="宋体" w:hAnsi="宋体" w:eastAsia="宋体" w:cs="宋体"/>
                <w:color w:val="auto"/>
                <w:sz w:val="24"/>
                <w:highlight w:val="none"/>
                <w:lang w:val="en-US" w:eastAsia="zh-Hans"/>
              </w:rPr>
              <w:t xml:space="preserve">屏</w:t>
            </w:r>
            <w:r>
              <w:rPr>
                <w:rFonts w:hint="eastAsia" w:ascii="宋体" w:hAnsi="宋体" w:eastAsia="宋体" w:cs="宋体"/>
                <w:color w:val="auto"/>
                <w:sz w:val="24"/>
                <w:highlight w:val="none"/>
              </w:rPr>
              <w:t xml:space="preserve">（P10)</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测速屏显示尺寸：320*320mm,</w:t>
            </w:r>
            <w:r>
              <w:rPr>
                <w:rFonts w:hint="eastAsia" w:ascii="宋体" w:hAnsi="宋体" w:eastAsia="宋体" w:cs="宋体"/>
                <w:color w:val="auto"/>
                <w:sz w:val="24"/>
                <w:highlight w:val="none"/>
                <w:lang w:val="en-US" w:eastAsia="zh-Hans"/>
              </w:rPr>
              <w:t xml:space="preserve">预警屏尺寸：</w:t>
            </w:r>
            <w:r>
              <w:rPr>
                <w:rFonts w:hint="eastAsia" w:ascii="宋体" w:hAnsi="宋体" w:eastAsia="宋体" w:cs="宋体"/>
                <w:color w:val="auto"/>
                <w:sz w:val="24"/>
                <w:highlight w:val="none"/>
              </w:rPr>
              <w:t xml:space="preserve">960mm*320mm，亮度：≥500cd㎡；可视距离：10~80米；驱动方式：1/16扫描；功耗：350W(W/㎡)；换帧频率：≥60Hz/s；工作环境：-40℃~80℃；内置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37个交通事件主动关联事件节目展示，可以任意设置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智能联动语音节目喇叭</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语音音量：</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0~125dB(可调)；播报内容：语音；播报频率：1~70Hz；频率特性：全频带；语音功率：≥200W；内置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37个交通事件主动关联事件语音展示，可以任意设置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红蓝双色爆闪灯</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数量4，亮度：12000mcd/m2 ~15000mcd/m2；闪烁方式：红蓝交替爆闪多种模式灯珠数量：20PCS*4</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tabs>
                <w:tab w:val="left" w:pos="444" w:leader="none"/>
              </w:tabs>
              <w:rPr>
                <w:rFonts w:hint="eastAsia" w:ascii="宋体" w:hAnsi="宋体" w:eastAsia="宋体" w:cs="宋体"/>
                <w:b/>
                <w:bCs/>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平台管理及交通隐患分析功能</w:t>
            </w:r>
            <w:r/>
          </w:p>
        </w:tc>
        <w:tc>
          <w:tcPr>
            <w:shd w:val="clear" w:color="auto" w:fill="auto"/>
            <w:tcW w:w="7057" w:type="dxa"/>
            <w:vAlign w:val="center"/>
            <w:textDirection w:val="lrTb"/>
            <w:noWrap w:val="false"/>
          </w:tcPr>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设备管理：</w:t>
            </w:r>
            <w:r>
              <w:rPr>
                <w:rFonts w:hint="eastAsia" w:ascii="宋体" w:hAnsi="宋体" w:eastAsia="宋体" w:cs="宋体"/>
                <w:i w:val="0"/>
                <w:iCs w:val="0"/>
                <w:color w:val="auto"/>
                <w:sz w:val="24"/>
                <w:szCs w:val="24"/>
                <w:highlight w:val="none"/>
                <w:u w:val="none"/>
                <w:lang w:val="en-US" w:eastAsia="zh-CN" w:bidi="ar"/>
              </w:rPr>
              <w:t xml:space="preserve">添加、删除、停用设备</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i w:val="0"/>
                <w:iCs w:val="0"/>
                <w:color w:val="auto"/>
                <w:sz w:val="24"/>
                <w:szCs w:val="24"/>
                <w:highlight w:val="none"/>
                <w:u w:val="none"/>
                <w:lang w:val="en-US" w:eastAsia="zh-CN" w:bidi="ar"/>
              </w:rPr>
              <w:t xml:space="preserve">设备分组管理，设备地图标注，设备地图定位</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可视报表：</w:t>
            </w:r>
            <w:r>
              <w:rPr>
                <w:rFonts w:hint="eastAsia" w:ascii="宋体" w:hAnsi="宋体" w:eastAsia="宋体" w:cs="宋体"/>
                <w:i w:val="0"/>
                <w:iCs w:val="0"/>
                <w:color w:val="auto"/>
                <w:sz w:val="24"/>
                <w:szCs w:val="24"/>
                <w:highlight w:val="none"/>
                <w:u w:val="none"/>
                <w:lang w:val="en-US" w:eastAsia="zh-CN" w:bidi="ar"/>
              </w:rPr>
              <w:t xml:space="preserve">历史数据，实时数据，结构化数据，可</w:t>
            </w:r>
            <w:r>
              <w:rPr>
                <w:rFonts w:hint="eastAsia" w:ascii="宋体" w:hAnsi="宋体" w:eastAsia="宋体" w:cs="宋体"/>
                <w:i w:val="0"/>
                <w:iCs w:val="0"/>
                <w:color w:val="auto"/>
                <w:sz w:val="24"/>
                <w:szCs w:val="24"/>
                <w:highlight w:val="none"/>
                <w:u w:val="none"/>
                <w:lang w:val="en-US" w:eastAsia="zh-Hans" w:bidi="ar"/>
              </w:rPr>
              <w:t xml:space="preserve">生</w:t>
            </w:r>
            <w:r>
              <w:rPr>
                <w:rFonts w:hint="eastAsia" w:ascii="宋体" w:hAnsi="宋体" w:eastAsia="宋体" w:cs="宋体"/>
                <w:i w:val="0"/>
                <w:iCs w:val="0"/>
                <w:color w:val="auto"/>
                <w:sz w:val="24"/>
                <w:szCs w:val="24"/>
                <w:highlight w:val="none"/>
                <w:u w:val="none"/>
                <w:lang w:val="en-US" w:eastAsia="zh-CN" w:bidi="ar"/>
              </w:rPr>
              <w:t xml:space="preserve">成可视化表格，一目了然，方便查看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实时</w:t>
            </w:r>
            <w:r>
              <w:rPr>
                <w:rFonts w:hint="eastAsia" w:ascii="宋体" w:hAnsi="宋体" w:eastAsia="宋体" w:cs="宋体"/>
                <w:b w:val="0"/>
                <w:bCs w:val="0"/>
                <w:color w:val="auto"/>
                <w:sz w:val="24"/>
                <w:szCs w:val="24"/>
                <w:highlight w:val="none"/>
                <w:lang w:val="en-US" w:eastAsia="zh-Hans"/>
              </w:rPr>
              <w:t xml:space="preserve">设备状态监测和</w:t>
            </w:r>
            <w:r>
              <w:rPr>
                <w:rFonts w:hint="eastAsia" w:ascii="宋体" w:hAnsi="宋体" w:eastAsia="宋体" w:cs="宋体"/>
                <w:b w:val="0"/>
                <w:bCs w:val="0"/>
                <w:color w:val="auto"/>
                <w:sz w:val="24"/>
                <w:szCs w:val="24"/>
                <w:highlight w:val="none"/>
              </w:rPr>
              <w:t xml:space="preserve">故障报警，主动维护，确保设备正常</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支持对设定ROI区域的目标轨迹提取和上传功能</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能对事故进行记录便于处理，能对设备故障进行溯源，保护交安设施资产同时支持违法数据上传，对违法记录叠加轨迹显示和视频录像回放。</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支持按照时间、空间和目标分类（大中小客货，自行车与电动车，行人等）和违法类型（非机动车不戴头盔，行车打手机，抽烟，农用车违法载客，逆行，占道，闯红灯等）进行检测检索</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支持对交通事件的“经纬度+图像坐标”的轨迹记录回放和视频点播</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支持对交通冲突类型和冲突方向，严重程度等分类检索功能，支持对冲突目标的实时运动参数和交通冲突参数连同轨迹坐标同步输出和回放。</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支持基于GIS进行路口和设备档案的管理和维护，完成违法（违法率）排名，流量排名，冲突排名和风险隐患排名等图表统计展示，安全风险评价和隐患分析展示，生成路口运行风险评估文档</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i w:val="0"/>
                <w:iCs w:val="0"/>
                <w:color w:val="auto"/>
                <w:sz w:val="24"/>
                <w:szCs w:val="24"/>
                <w:highlight w:val="none"/>
                <w:u w:val="none"/>
                <w:lang w:val="en-US" w:eastAsia="zh-CN" w:bidi="ar"/>
              </w:rPr>
              <w:t xml:space="preserve">让指挥决策更科学、更快速</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可在</w:t>
            </w:r>
            <w:r>
              <w:rPr>
                <w:rFonts w:hint="eastAsia" w:ascii="宋体" w:hAnsi="宋体" w:eastAsia="宋体" w:cs="宋体"/>
                <w:i w:val="0"/>
                <w:iCs w:val="0"/>
                <w:color w:val="auto"/>
                <w:sz w:val="24"/>
                <w:szCs w:val="24"/>
                <w:highlight w:val="none"/>
                <w:u w:val="none"/>
                <w:lang w:val="en-US" w:eastAsia="zh-Hans" w:bidi="ar"/>
              </w:rPr>
              <w:t xml:space="preserve">移动端：在地图上对设备精准定位；设备状态远程实时监测、离线报警；</w:t>
            </w:r>
            <w:r>
              <w:rPr>
                <w:rFonts w:hint="eastAsia" w:ascii="宋体" w:hAnsi="宋体" w:eastAsia="宋体" w:cs="宋体"/>
                <w:i w:val="0"/>
                <w:iCs w:val="0"/>
                <w:color w:val="auto"/>
                <w:sz w:val="24"/>
                <w:szCs w:val="24"/>
                <w:highlight w:val="none"/>
                <w:u w:val="none"/>
                <w:lang w:val="en-US" w:eastAsia="zh-CN" w:bidi="ar"/>
              </w:rPr>
              <w:t xml:space="preserve">实时视频预览</w:t>
            </w:r>
            <w:r>
              <w:rPr>
                <w:rFonts w:hint="eastAsia" w:ascii="宋体" w:hAnsi="宋体" w:eastAsia="宋体" w:cs="宋体"/>
                <w:i w:val="0"/>
                <w:iCs w:val="0"/>
                <w:color w:val="auto"/>
                <w:sz w:val="24"/>
                <w:szCs w:val="24"/>
                <w:highlight w:val="none"/>
                <w:u w:val="none"/>
                <w:lang w:val="en-US" w:eastAsia="zh-Hans" w:bidi="ar"/>
              </w:rPr>
              <w:t xml:space="preserve">和事件录像；人、机、非目标抓拍图片、违法记录</w:t>
            </w:r>
            <w:r>
              <w:rPr>
                <w:rFonts w:hint="eastAsia" w:ascii="宋体" w:hAnsi="宋体" w:eastAsia="宋体" w:cs="宋体"/>
                <w:i w:val="0"/>
                <w:iCs w:val="0"/>
                <w:color w:val="auto"/>
                <w:sz w:val="24"/>
                <w:szCs w:val="24"/>
                <w:highlight w:val="none"/>
                <w:u w:val="none"/>
                <w:lang w:val="en-US" w:eastAsia="zh-CN" w:bidi="ar"/>
              </w:rPr>
              <w:t xml:space="preserve">实时和历史数据查看</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b w:val="0"/>
                <w:bCs w:val="0"/>
                <w:color w:val="auto"/>
                <w:sz w:val="24"/>
                <w:szCs w:val="24"/>
                <w:highlight w:val="none"/>
              </w:rPr>
              <w:t xml:space="preserve">异常天气，交通事故，道路积水积雪，异常拥堵</w:t>
            </w:r>
            <w:r>
              <w:rPr>
                <w:rFonts w:hint="eastAsia" w:ascii="宋体" w:hAnsi="宋体" w:eastAsia="宋体" w:cs="宋体"/>
                <w:b w:val="0"/>
                <w:bCs w:val="0"/>
                <w:color w:val="auto"/>
                <w:sz w:val="24"/>
                <w:szCs w:val="24"/>
                <w:highlight w:val="none"/>
                <w:lang w:val="en-US" w:eastAsia="zh-Hans"/>
              </w:rPr>
              <w:t xml:space="preserve">等</w:t>
            </w:r>
            <w:r>
              <w:rPr>
                <w:rFonts w:hint="eastAsia" w:ascii="宋体" w:hAnsi="宋体" w:eastAsia="宋体" w:cs="宋体"/>
                <w:i w:val="0"/>
                <w:iCs w:val="0"/>
                <w:color w:val="auto"/>
                <w:sz w:val="24"/>
                <w:szCs w:val="24"/>
                <w:highlight w:val="none"/>
                <w:u w:val="none"/>
                <w:lang w:val="en-US" w:eastAsia="zh-Hans" w:bidi="ar"/>
              </w:rPr>
              <w:t xml:space="preserve">交通事件实时</w:t>
            </w:r>
            <w:r>
              <w:rPr>
                <w:rFonts w:hint="eastAsia" w:ascii="宋体" w:hAnsi="宋体" w:eastAsia="宋体" w:cs="宋体"/>
                <w:i w:val="0"/>
                <w:iCs w:val="0"/>
                <w:color w:val="auto"/>
                <w:sz w:val="24"/>
                <w:szCs w:val="24"/>
                <w:highlight w:val="none"/>
                <w:u w:val="none"/>
                <w:lang w:val="en-US" w:eastAsia="zh-CN" w:bidi="ar"/>
              </w:rPr>
              <w:t xml:space="preserve">预警。</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系统升级</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网络OTA和支持本地USB升级</w:t>
            </w:r>
            <w:r>
              <w:rPr>
                <w:rFonts w:hint="eastAsia" w:ascii="宋体" w:hAnsi="宋体" w:eastAsia="宋体" w:cs="宋体"/>
                <w:color w:val="auto"/>
                <w:sz w:val="24"/>
                <w:highlight w:val="none"/>
                <w:lang w:eastAsia="zh-CN"/>
              </w:rPr>
              <w:t xml:space="preserve">。</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相对湿度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0%~95％（不结露）</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工作温度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-20℃~70℃</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电源</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采用70w开关电源，带漏电保护，12v和5v电压输出</w:t>
            </w:r>
            <w:bookmarkEnd w:id="210"/>
            <w:r/>
            <w:r/>
          </w:p>
        </w:tc>
      </w:tr>
    </w:tbl>
    <w:p>
      <w:pPr>
        <w:rPr>
          <w:rFonts w:hint="eastAsia" w:ascii="宋体" w:hAnsi="宋体" w:eastAsia="宋体" w:cs="宋体"/>
          <w:color w:val="auto"/>
          <w:sz w:val="28"/>
          <w:highlight w:val="none"/>
          <w:lang w:val="en-US" w:eastAsia="zh-CN"/>
        </w:rPr>
      </w:pPr>
      <w:r/>
      <w:bookmarkStart w:id="212" w:name="_bookmark6"/>
      <w:r/>
      <w:bookmarkEnd w:id="212"/>
      <w:r/>
      <w:bookmarkStart w:id="213" w:name="2.实地安装说明"/>
      <w:r/>
      <w:bookmarkEnd w:id="213"/>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1.5.23  13米高杆灯</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立杆圆锥直径100-240-6mm厚，基础法兰直径500-20mm厚，热镀锌后喷塑。6个240瓦LED投光灯，固定法兰直径500-4mm厚，预埋件螺栓对角中心距400mm-8支M24圆钢长1.5米。基坑规格1400*1400-1600mm深。</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1.5.24 红绿灯灯带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光带红绿灯主要技术参数：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产品形态 7字形立体发光灯带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外形尺寸 1500 × 60 × 24mm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型材材质 6063-T5航空铝合金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 IP68（最高级别）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防水工艺 高分子整体灌封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供电电压 DC24V（安全特低电压）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单条功率 ≤8W（红≤5W / 黄≤5W / 绿≤7.2W）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LED芯片 红/黄：台湾晶元 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绿：台湾泰谷 11×14mil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发光波长 红：620-625nm / 黄：590-595nm / 绿：500-505nm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可视距离 约1000米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光学设计 6°定向倾角（国家专利）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信号同步 &lt;100ms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驱动方式 恒流源 + 四重电路保护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单箱驱动 ≤7条/台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设计寿命 ≥100,000小时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工作温度 -40℃ ～ +60℃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工作湿度 ≤95%RH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安装方式 抱箍固定（不打孔、不焊接）</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1.5.25 灯带控制箱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控制器包含：控制板，电源（电源不需要单独供电，本方向信号灯取电），控制箱体等，控制模式支持多种控制模式：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工作方式(支持以下三种工作方式）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（1）采用通讯方式控制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根据道路交通信号控制机的指令显示；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与道路交通信号控制机之间的通讯每秒进行一次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  当通讯中断时， 或者道路交通信号控制机由自动控制转入手动控制时， 降级为跟随方式变换灯色。</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（2）采用跟随方式控制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当道路交通信号控制机开机、 信号周期发生改变或者道路交通信号控制机由自动控制转入手动控制时，跟随方式进入跟随状态，跟随时间不超过 2 个信号周期；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跟随期间显示红黄绿跟灯色全亮，左转相位采用跑马灯倒计时排控制模式；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1）.输入电压 : 176～264VAC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2）.电源频率 : 48～52Hz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3）.光源寿命：≥10万小时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5）.耐温：-40℃～+80℃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1.5.27 组合型满屏灯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信号灯发光面直径400MM，四联竖装，塑壳圆屏，由上而下分别为红色满屏，黄色满屏，绿色满屏，配帽檐、方装饰边、L型安装支架、卡齿。</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1.5.28 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.单灯发光强度：红灯≥697cd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黄灯≥613cd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绿灯≥701cd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.单灯功率：红、黄、绿均≤14W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4）启动瞬间电流：≤1.2A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5）启动响应时间：＜10ms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6）关闭响应时间：＜85ms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9)泄漏电流：≤0.059mA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1.5.29箭头灯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1.5.30倒计时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较传统笔画段式倒计时显示器，单元式倒计时显示器密封性好，防水效果好，结构简单，笔画段和控制板之间连接点少，故障点少，便于维护。</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二、性能指标</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尺寸：不小于750mm*950mm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输入电压 : 176～264VAC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电源频率 : 48～52Hz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发光亮度：红色≥10172cd/㎡，黄色≥8270cd/㎡，绿色≥11447cd/㎡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色度：符合GA/T 508-2014 道路交通信号倒计时显示器</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光源寿命：≥10万小时</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可视角度：≥30度</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可视距离：≥ 400m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耐温：-40℃～+80℃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抗振动：符合GA/T 508-2015 道路交通信号倒计时显示器</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1.5.31人行灯</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14887-2011标准，可出具有效期内的检测报告。</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2、产品特性</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1）.灯芯尺寸：300mm，两联体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2）.外壳材料：铝镁合金/ABS合金塑料</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3）.透明玻璃面罩：高透光率，阻燃，防紫外线</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4）.单灯发光强度：红灯≥280cd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绿灯≥314cd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5）.LED光强：红色≥6000mcd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绿色≥10000mcd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6）.LED波长：红623±2nm；绿502±2nm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7）.单灯功率：红、绿均≤9W</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8）.以250g±0.5g的钢球从40cm的有效高度自由跌落，落点位于处于工作状态的信号灯面罩的中央。试验后，试样面罩不得碎裂，封接处不得有开裂等缺陷。</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3、性能指标</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1）.工作电压：AC220V±20%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2）.工作频率：50Hz±2Hz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3）.功率因数：≥0.9</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4）.启动瞬间电流：≤1.2A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5）.启动响应时间：＜5ms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6）.关闭响应时间：＜75ms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8）.介电强度：耐压1440VAC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9）.泄漏电流：≤0.05mA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10）.接地电阻：≤0.1Ω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11）.电源类型：恒压电源</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12）.LED电路形式：恒流驱动，单颗LED最大电流＜18mA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13）.工作温度：-40℃～+80℃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14）.湿热性能：温度为40℃时，空气相对湿度≤95％±2％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15）.外壳防护等级：IP55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16）.整灯寿命：超过10年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17）.抗振动、抗风压：＞145km/h</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560"/>
        <w:tabs>
          <w:tab w:val="left" w:pos="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1.5.33 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1、非OEM产品，自主研发，国产品牌；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2、配置≥1颗国产C86架构 CPU，每颗CPU核心数≥16核，每颗CPU主频≥2.5GHz，每颗CPU三级缓存≥32MB；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3、配置≥128GB DDR5  RDIMM/LRDIMM内存；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4、配置≥2个千兆电口，2个万兆光口；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5、配置≥4*4TB HDD+2*960G SSD硬盘；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6、配置≥1块4G SAS 8口RAID卡；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7、配置≥2个550W 电源，支持1+1冗余；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8、可信计算:为符合可信计算要求，需通过可信计算3.0认证（投标时提供认证证书复印件加盖投标人公章）；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1.5.34 7米挑臂5M杆件（含基础、地笼、浇筑）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-5mm厚，横臂八角直径90-180-4mm厚，基础法兰直径500-16mm厚，材质：不低于Q235B钢材，钢材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1.5.35 7.5米挑臂5M杆件（含基础、地笼、浇筑）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-6mm厚，横臂八角直径90-180-4mm厚，基础法兰直径500-16mm厚，材质：不低于Q235B钢材，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1.5.36 7.5米挑臂7M杆件（含基础、地笼、浇筑）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1.5.37 7米挑臂7M杆件（含基础、地笼、浇筑）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1.5.38 7米挑臂8M杆件（含基础、地笼、浇筑）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500-4mm厚，材质：不低于Q235B钢材，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1.5.39 7米挑臂10M杆件（含基础、地笼、浇筑）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100-240-5mm厚，基础法兰直径550-20mm厚，材质：不低于Q235B钢材，热镀锌后喷塑，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1.5.40 7米挑臂12M杆件（含基础、地笼、浇筑）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-360-8mm厚，横臂八角直径100-280-5mm厚，基础法兰直径600-20mm厚，材质：不低于Q235B钢材，热镀锌后喷塑，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1.5.41 7米挑臂14M杆件（含基础、地笼、浇筑）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w:t>
      </w:r>
      <w:r>
        <w:rPr>
          <w:rFonts w:hint="eastAsia" w:ascii="Times New Roman" w:hAnsi="Times New Roman" w:eastAsia="宋体" w:cs="Times New Roman"/>
          <w:color w:val="auto"/>
          <w:sz w:val="24"/>
          <w:highlight w:val="none"/>
          <w:lang w:val="en-US" w:eastAsia="zh-CN"/>
        </w:rPr>
        <w:t xml:space="preserve">8mm厚，横臂八角分两节，小头一节直径100-200-5mm厚，大头一节直径200-300-6mm厚，基础法兰直径600-20mm厚，材质：不低于Q235B钢材，热镀锌后喷塑。做对接，固定法兰直径600-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1.5.42 杆件T7*7+7（含基础、地笼、浇筑）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1.5.43 杆件T7*10+10（含基础、地笼、浇筑）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直径110-240-5mm厚，基础法兰直径600-20mm厚，材质：不低于Q235B钢材，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1.5.44 杆件T7*10+5（含基础、地笼、浇筑）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立杆八角直径300-370-8mm厚，10米横臂</w:t>
      </w:r>
      <w:r>
        <w:rPr>
          <w:rFonts w:hint="eastAsia" w:ascii="Times New Roman" w:hAnsi="Times New Roman" w:eastAsia="宋体" w:cs="Times New Roman"/>
          <w:color w:val="auto"/>
          <w:sz w:val="24"/>
          <w:highlight w:val="none"/>
          <w:lang w:val="en-US" w:eastAsia="zh-CN"/>
        </w:rPr>
        <w:t xml:space="preserve">八角直径110-240-5mm厚，基础法兰直径600-20mm厚，5米横臂八角直径90-180-4mm厚，基础法兰直径500-16mm厚，材质：不低于Q235B钢材，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1.5.45 杆件T7*14+14（含基础、地笼、浇筑）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立杆八角直径340-400-1</w:t>
      </w:r>
      <w:r>
        <w:rPr>
          <w:rFonts w:hint="eastAsia" w:ascii="Times New Roman" w:hAnsi="Times New Roman" w:eastAsia="宋体" w:cs="Times New Roman"/>
          <w:color w:val="auto"/>
          <w:sz w:val="24"/>
          <w:highlight w:val="none"/>
          <w:lang w:val="en-US" w:eastAsia="zh-CN"/>
        </w:rPr>
        <w:t xml:space="preserve">0mm厚，横臂八角分两节，小头一节直径100-200-4mm厚，大头一节直径200-300-6mm厚，基础法兰直径650-20mm厚，材质：不低于Q235B钢材，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1.5.46杆件T7.5*14+14（含基础、地笼、浇筑）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立杆八角直径340-400-1</w:t>
      </w:r>
      <w:r>
        <w:rPr>
          <w:rFonts w:hint="eastAsia" w:ascii="Times New Roman" w:hAnsi="Times New Roman" w:eastAsia="宋体" w:cs="Times New Roman"/>
          <w:color w:val="auto"/>
          <w:sz w:val="24"/>
          <w:highlight w:val="none"/>
          <w:lang w:val="en-US" w:eastAsia="zh-CN"/>
        </w:rPr>
        <w:t xml:space="preserve">0mm厚，横臂八角分两节，小头一节直径100-200-4mm厚，大头一节直径200-300-6mm厚，基础法兰直径650-20mm厚，材质：不低于Q235B钢材，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1.5.47  7*8米八角信号灯杆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110-240-5mm厚，基础法兰直径550-20mm厚，材质：不低于Q235B钢材，热镀锌后喷塑处理。含吊装支架，四面安装信号灯，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1.5.48  7*12米八角信号灯杆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-10mm厚，横臂八角直径140-280-6mm厚，基础法兰直径600-20mm厚。材质：不低于Q235B钢材，热镀锌后喷塑处理。含吊装支架，四面安装信号灯，固定法兰直径600-6mm厚，预埋件螺栓对角中心距500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1.5.49 诱导屏杆件（含基础、地笼、浇筑）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351（立杆直径）*8（厚）*9860mm（立杆高度）材质：不低于Q235B电焊钢管；底法兰：φ650*20mm，横臂法兰：400*300</w:t>
      </w:r>
      <w:r>
        <w:rPr>
          <w:rFonts w:hint="eastAsia" w:ascii="Times New Roman" w:hAnsi="Times New Roman" w:eastAsia="宋体" w:cs="Times New Roman"/>
          <w:color w:val="auto"/>
          <w:sz w:val="24"/>
          <w:highlight w:val="none"/>
          <w:lang w:val="en-US" w:eastAsia="zh-CN"/>
        </w:rPr>
        <w:t xml:space="preserve">*20mm 横臂焊管框架：矩形钢管200*100*5mm，出臂4.4米；走道方管40*40*3mm；护栏φ32-2.3mm，基础笼，8-M30-1500mm，定位板φ650-6mm，螺栓孔距550mm，基础混凝土C25,柱混凝土C25,混凝土垫层C10;钢筋:∅-HPB 235(fy=210N/mm ),∅-HRB 335(fy=300N/mm).基础部分钢筋保护层厚度50,施工过程中需保证预埋地脚螺、钢筋: 二级热轧螺纹钢，将接地扁铁与基础预埋件的钢筋焊接牢固。长*宽*深：1800*1800*2000mm</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1.5.50纵向减速标线（冷喷）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1.5.51“中重型货车”标字</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热熔喷塑，厚度不少于3mm，喷塑内容：中重型货车，字体大小：长600mm*宽200mm，字与字间隔400mm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mc:AlternateContent>
          <mc:Choice Requires="wpg">
            <w:drawing>
              <wp:inline xmlns:wp="http://schemas.openxmlformats.org/drawingml/2006/wordprocessingDrawing" distT="0" distB="0" distL="0" distR="0">
                <wp:extent cx="1114425" cy="3316605"/>
                <wp:effectExtent l="0" t="0" r="9525" b="17145"/>
                <wp:docPr id="5" name="图片框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34"/>
                        <pic:cNvPicPr>
                          <a:picLocks noChangeAspect="1"/>
                        </pic:cNvPicPr>
                        <pic:nvPr/>
                      </pic:nvPicPr>
                      <pic:blipFill>
                        <a:blip r:embed="rId15">
                          <a:lum/>
                        </a:blip>
                        <a:srcRect l="55971" t="25667" r="24186" b="28275"/>
                        <a:stretch/>
                      </pic:blipFill>
                      <pic:spPr bwMode="auto">
                        <a:xfrm>
                          <a:off x="0" y="0"/>
                          <a:ext cx="1114425" cy="331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8pt;height:261.1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9米直行箭头：1个*4.86㎡/个=4.86㎡</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1.5.52施划车道线、导向箭头、人行横道标线（热熔）</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5768.3-2025）相关现行规范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4" w:name="_Toc14214"/>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6</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外场设备通信、供电方案</w:t>
      </w:r>
      <w:bookmarkEnd w:id="21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外场设备通信接入方案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（1）设备与以太网交换机间距离超过80m，需要增加网络连接器或采用光缆传输。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（2）采用基于TCP/IP通信协议的支持，在上层按照应用要求建立多通道的直接通信。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（3）本工程前端设备与控制中心网络接入采用原有网络或租赁运营商光缆方式接入控制中心。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（4）本工程前端设备的接口标准需与交警支队现有平台接口标准保持一致，无缝接入。</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（5）保证数据安全稳定传输（包含所有传输设备）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外场设备远程通信光缆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本工程通信网络租用运营商光纤链路的方式，保证数据安全稳定传输。</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 外场设备供电方案</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本工程中，交通监控设备的用电负荷为三级负荷。</w:t>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5" w:name="_Toc91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7</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基础配套工程</w:t>
      </w:r>
      <w:bookmarkEnd w:id="21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管道工程设计</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施工中沥青和水泥混凝路面采取横平竖直开挖，人行道按沿砖缝线开挖，路面恢复后应平整、不积水，并保持施工完后路面的完整。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（1）、沥青路面挖掘及恢复施工：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 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4）沥青路面开挖宽度为200mm，沟槽总深度为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6）管道敷设后采用最终强度可达 80～90Mpa 的（快干、早强）C25 混凝土浇灌至离路面100 mm 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7）C25 混凝土至离路面 100 mm 位置采用热沥青罩面，用压实机具进行夯实。为保证沥青路面恢复质量，沥青路面恢复由指定专业道路管护单位统一安排施工。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（2）、水泥混凝土路面挖掘及恢复施工：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4）为减少对水泥路面的伤害，开挖沟槽应尽量选择伸缩缝作为一边开挖线。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5）水泥混凝土路面开挖宽度200mm，沟槽总深度为400mm。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7）管道敷设后采用最终强度可达80～90Mpa 的（快干、早强）C25 混凝土浇灌至原路面位置。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（3）、人行道路面挖掘及恢复施工：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4）人行道路面开挖沟槽应尽量选择花砖缝作为开挖线，应根据花砖宽度调整开挖宽度，开挖宽度不低于200mm，沟槽总深度为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6）人行道路恢复选用与原人行道路面相同材料对路面进行恢复，达到与原路面材料颜色花纹协调一致。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(4)、绿化带管道开挖及恢复：</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2)现场复核后按照放线位置绿化带的开挖，开挖时注意对管道外的绿化的保护；</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3)绿化带管道开挖宽度为200mm，沟槽总深度为500mm。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5）管道敷设后将其恢复成原绿化带的标准。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线缆敷设工程设计</w:t>
      </w:r>
      <w:r/>
    </w:p>
    <w:p>
      <w:pPr>
        <w:ind w:firstLine="480"/>
        <w:spacing w:line="360" w:lineRule="auto"/>
        <w:rPr>
          <w:rFonts w:hint="eastAsia" w:ascii="Times New Roman" w:hAnsi="Times New Roman" w:eastAsia="宋体" w:cs="Times New Roman"/>
          <w:color w:val="auto"/>
          <w:sz w:val="24"/>
          <w:highlight w:val="none"/>
          <w:lang w:eastAsia="zh-CN"/>
        </w:rPr>
      </w:pPr>
      <w:r/>
      <w:bookmarkStart w:id="216" w:name="_Toc520563392"/>
      <w:r/>
      <w:bookmarkStart w:id="217" w:name="_Toc520671490"/>
      <w:r/>
      <w:bookmarkStart w:id="218" w:name="_Toc45198498"/>
      <w:r>
        <w:rPr>
          <w:rFonts w:hint="eastAsia" w:ascii="Times New Roman" w:hAnsi="Times New Roman" w:eastAsia="宋体" w:cs="Times New Roman"/>
          <w:color w:val="auto"/>
          <w:sz w:val="24"/>
          <w:highlight w:val="none"/>
        </w:rPr>
        <w:t xml:space="preserve">供电线缆敷设</w:t>
      </w:r>
      <w:bookmarkEnd w:id="216"/>
      <w:r/>
      <w:bookmarkEnd w:id="217"/>
      <w:r/>
      <w:bookmarkEnd w:id="218"/>
      <w:r>
        <w:rPr>
          <w:rFonts w:hint="eastAsia" w:ascii="Times New Roman" w:hAnsi="Times New Roman" w:eastAsia="宋体" w:cs="Times New Roman"/>
          <w:color w:val="auto"/>
          <w:sz w:val="24"/>
          <w:highlight w:val="none"/>
          <w:lang w:eastAsia="zh-CN"/>
        </w:rPr>
        <w:t xml:space="preserve">：</w:t>
      </w:r>
      <w:r/>
    </w:p>
    <w:p>
      <w:pPr>
        <w:ind w:firstLine="482"/>
        <w:spacing w:line="360" w:lineRule="auto"/>
        <w:rPr>
          <w:rFonts w:hint="eastAsia" w:ascii="Times New Roman" w:hAnsi="Times New Roman" w:eastAsia="宋体" w:cs="Times New Roman"/>
          <w:b/>
          <w:bCs/>
          <w:color w:val="auto"/>
          <w:sz w:val="24"/>
          <w:highlight w:val="none"/>
        </w:rPr>
      </w:pPr>
      <w:r/>
      <w:bookmarkStart w:id="219" w:name="_Toc423897285"/>
      <w:r/>
      <w:bookmarkStart w:id="220" w:name="_Toc427834229"/>
      <w:r/>
      <w:bookmarkStart w:id="221" w:name="_Toc426148477"/>
      <w:r/>
      <w:bookmarkStart w:id="222" w:name="_Toc449453944"/>
      <w:r/>
      <w:bookmarkStart w:id="223" w:name="_Toc520671491"/>
      <w:r/>
      <w:bookmarkStart w:id="224" w:name="_Toc448153458"/>
      <w:r/>
      <w:bookmarkStart w:id="225" w:name="_Toc520563393"/>
      <w:r>
        <w:rPr>
          <w:rFonts w:hint="eastAsia" w:ascii="Times New Roman" w:hAnsi="Times New Roman" w:eastAsia="宋体" w:cs="Times New Roman"/>
          <w:b/>
          <w:bCs/>
          <w:color w:val="auto"/>
          <w:sz w:val="24"/>
          <w:highlight w:val="none"/>
        </w:rPr>
        <w:t xml:space="preserve">一般要求</w:t>
      </w:r>
      <w:bookmarkEnd w:id="219"/>
      <w:r/>
      <w:bookmarkEnd w:id="220"/>
      <w:r/>
      <w:bookmarkEnd w:id="221"/>
      <w:r/>
      <w:bookmarkEnd w:id="222"/>
      <w:r/>
      <w:bookmarkEnd w:id="223"/>
      <w:r/>
      <w:bookmarkEnd w:id="224"/>
      <w:r/>
      <w:bookmarkEnd w:id="22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运到现场的电缆及材料均应核对其型号、规格符合设计要求，并有合格证。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检查电缆及材料外观无损伤和缺陷。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卸货和搬运作业时，均不得使设备或外来物体接触到电缆表面。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在任何情况下，均不得将电缆盘从所载运的车辆上推到地面上。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经切割的电缆两端应立即密封，以避免潮气侵入。</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26" w:name="_Toc520563394"/>
      <w:r/>
      <w:bookmarkStart w:id="227" w:name="_Toc448153459"/>
      <w:r/>
      <w:bookmarkStart w:id="228" w:name="_Toc423897286"/>
      <w:r/>
      <w:bookmarkStart w:id="229" w:name="_Toc449453945"/>
      <w:r/>
      <w:bookmarkStart w:id="230" w:name="_Toc426148478"/>
      <w:r/>
      <w:bookmarkStart w:id="231" w:name="_Toc520671492"/>
      <w:r/>
      <w:bookmarkStart w:id="232" w:name="_Toc427834230"/>
      <w:r>
        <w:rPr>
          <w:rFonts w:hint="eastAsia" w:ascii="Times New Roman" w:hAnsi="Times New Roman" w:eastAsia="宋体" w:cs="Times New Roman"/>
          <w:color w:val="auto"/>
          <w:sz w:val="24"/>
          <w:highlight w:val="none"/>
        </w:rPr>
        <w:t xml:space="preserve">电缆导管敷设</w:t>
      </w:r>
      <w:bookmarkEnd w:id="226"/>
      <w:r/>
      <w:bookmarkEnd w:id="227"/>
      <w:r/>
      <w:bookmarkEnd w:id="228"/>
      <w:r/>
      <w:bookmarkEnd w:id="229"/>
      <w:r/>
      <w:bookmarkEnd w:id="230"/>
      <w:r/>
      <w:bookmarkEnd w:id="231"/>
      <w:r/>
      <w:bookmarkEnd w:id="232"/>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管口切割以后，内边缘必须锉平。</w:t>
      </w:r>
      <w:r/>
    </w:p>
    <w:p>
      <w:pPr>
        <w:ind w:firstLine="482"/>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导线管必须冷弯，弯曲半径符合规范要求。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埋地导管在安装预制前，先按施工图确定好路径，安装好的导管要用非木质件固定并随导管一起埋入地坪，导管埋深符合规范要求。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在地面上敷设的导管要适当地固定在附近的结构或支架上，接线盒的安装要避免雨水进入。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镀锌管锌层剥落处应涂以防腐漆。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电缆敷设前准备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根据电缆到货长度，敷设长度编制电缆分配表，分列各编号电缆的起点、终点、长度及分配盘号。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根据现场电缆分布情况和电缆分配表，安排电缆敷设顺序，宜先远后近，先集中后分散。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电缆敷设前需对每盘电缆进行导通性和绝缘性检查，合格电缆方可敷设，绝缘检查低压电缆用500VM表测试。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电缆型号、规格等应符合设计要求，外观良好，保护层无破损。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电缆槽/托盘安装完，直埋电缆区域无土方开挖，电缆保护管预埋工作已完成，导管中穿好铁丝。</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设计一个合适的表格，记录每个电缆盘每次提取的电缆数量和剩余的电缆数量。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管内穿线</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对穿管敷设的绝缘导线，其额定电压不低于 500V。</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不同回路、不同电压等级的导线，不穿在同一根管内。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同类供电的几个回路可穿入同一根管内，但管内导线总数不多于 8 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同一交流回路的导线穿于同一钢管内。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导线在管内无接头和扭结，接头设在接线盒（箱）内。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管内导线包括绝缘层在内的总截面积不大于管子内空截面积的 40％。</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接头连接和终端连接</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电力电缆终端头的制作，必须按制造厂提供的详图由熟悉制作工艺的人员进行。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低压电缆终端头采用绝缘胶带包扎密封。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电缆在最终连接前，进行导通性和绝缘性测试，中压电缆按 MLD-01-F-60-001 规定做直流耐压试验。</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bookmarkStart w:id="233" w:name="_Toc448153460"/>
      <w:r/>
      <w:bookmarkStart w:id="234" w:name="_Toc427834231"/>
      <w:r/>
      <w:bookmarkStart w:id="235" w:name="_Toc45198499"/>
      <w:r/>
      <w:bookmarkStart w:id="236" w:name="_Toc449453946"/>
      <w:r/>
      <w:bookmarkStart w:id="237" w:name="_Toc423897287"/>
      <w:r/>
      <w:bookmarkStart w:id="238" w:name="_Toc426148479"/>
      <w:r/>
      <w:bookmarkStart w:id="239" w:name="_Toc520563395"/>
      <w:r/>
      <w:bookmarkStart w:id="240" w:name="_Toc520671493"/>
      <w:r>
        <w:rPr>
          <w:rFonts w:hint="eastAsia" w:ascii="Times New Roman" w:hAnsi="Times New Roman" w:eastAsia="宋体" w:cs="Times New Roman"/>
          <w:color w:val="auto"/>
          <w:sz w:val="24"/>
          <w:highlight w:val="none"/>
        </w:rPr>
        <w:t xml:space="preserve">通信线缆敷设</w:t>
      </w:r>
      <w:bookmarkEnd w:id="233"/>
      <w:r/>
      <w:bookmarkEnd w:id="234"/>
      <w:r/>
      <w:bookmarkEnd w:id="235"/>
      <w:r/>
      <w:bookmarkEnd w:id="236"/>
      <w:r/>
      <w:bookmarkEnd w:id="237"/>
      <w:r/>
      <w:bookmarkEnd w:id="238"/>
      <w:r/>
      <w:bookmarkEnd w:id="239"/>
      <w:r/>
      <w:bookmarkEnd w:id="240"/>
      <w:r>
        <w:rPr>
          <w:rFonts w:hint="eastAsia" w:ascii="Times New Roman" w:hAnsi="Times New Roman" w:eastAsia="宋体" w:cs="Times New Roman"/>
          <w:color w:val="auto"/>
          <w:sz w:val="24"/>
          <w:highlight w:val="none"/>
          <w:shd w:val="clear" w:color="auto" w:fill="auto"/>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（1）光缆将按实际长度铺设，铺设时不超过光缆厂家规定的牵引张力和弯曲半径的要求。在铺设光缆之前，每个管道要用合适的方法清理。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（2）光缆在人孔井外十分清洁的环境中接续。光缆接续采用熔接法，光缆接头应配有单独的接头护套。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（3）备有备用光缆并装在光缆接头盒的托盘上，放在托盘上的光纤不应产生微弯曲损耗。每根光缆在1310nm波长的接头损耗不超过0.ldB。</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（4）在所有光缆需要分歧或分配出与单独终端单元相连的光纤接头应使用接头盒保护；接头盒的设计应易于安装。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（5）接头盒应为光缆接头提供一个密闭的、防潮的环境。接头盒应能重新进入，以便维修和满足其它工作要求。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（6）接头牢固地安装在每个人孔中。接头应安装在尽可能高处，以免浸水。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（7）每根光缆端接在光缆终端和接线板上，光缆应在每个站端接。接线板的容量足以端接所有室外光纤。进局光缆有标志，以区别其它电缆。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（8）设备侧的光缆长度应作适当预留，一股为10~20m，可存在光端机室或进线室。进局光缆的弯曲半径不应太小，以免产生微弯曲损耗。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光缆接续及测试</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（1）通信光缆接续工艺流程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1）在接续过程中通过 OTDR 监测，以确保光纤持续质量。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2）中继段测试采用 OTDR 和介入法两种方法测试。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（2）操作要求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1）清理场地、塔置防尘帐篷，准备好工具、材料；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2）切断光缆缆芯，但不得用钢锯，必须用电缆剪刀；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3）光缆余留及切割尺寸，弯曲半径等应符合规定；光纤接续操作时，操作人员应穿作业服、戴作业帽、工作手套；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4）将待接续光纤被覆层擦干净，以免弄脏加强保护热熔管和熔接机后面。接续过程中应特别注意清洁，尤其是环境条件及操作人员的双手；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5）用剥除器剥除光纤被覆，用丙酮将裸光纤擦净，用光纤切割器切出端面，端面不合格时需重新切割；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6）监视光纤熔接测定值及仔细观察接续图像有无缺陷情况，如不合格则重新制备光纤端面，再次接续，直到合格为止；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7）接续好的光线从容阶级取出时，注意动作要慢，移动加强保护热熔管位置应适中，收缩后两端应包住光纤的被覆层不小于10mm；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8）光纤收容时注意弯曲半径应不小于40mm；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9）接头盒内壁、密封条、槽等应用酒精擦拭干净，组装时应严格按操作规程进行。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 杆件设计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立杆净高度不低于道路净高要求，立杆横臂根据实际需要确定,立杆应满足如下条件：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底座：采用不低于A3型的钢板。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立杆采用Q235钢材，镀层厚度≥60μm，达到双重防锈、防腐的目的。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立杆施工时，需同步完成接地的安装。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立杆要求抗风等级达到12级。</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基础地笼要求：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（1）M18、M20、M22、M24、M26、M28、M30螺纹钢。钢筋采用HRB400；基础混凝土为C25。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（2）钢构件连接板材质应为Q235B，其力学性能和化学成分应符合《碳素结构钢》（GB/T700-2006）的规定。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（3）地基承载力特征值不小于120kPa。基础设计时取地基承载力fak=120kPa。基础应坐落于好土层上。若好土层位置较深，则应采取粘土换填，换填至设计标高，换填深度为0.6m，压实系数为0.97。</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（4）地脚螺栓外露部分及螺母和垫块宜事先进行热浸镀锌处理，镀锌量为350g/m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（5）钢结构的安装应按照《GB50205-2001》、《JG144-2016》进行。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（6）基础范围内的上部及周边的回填土应用粘土分层压实回填，压实系数为0.94。</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 xml:space="preserve">箱体</w:t>
      </w:r>
      <w:r>
        <w:rPr>
          <w:rFonts w:hint="eastAsia" w:ascii="Times New Roman" w:hAnsi="Times New Roman" w:eastAsia="宋体" w:cs="Times New Roman"/>
          <w:color w:val="auto"/>
          <w:sz w:val="24"/>
          <w:highlight w:val="none"/>
        </w:rPr>
        <w:t xml:space="preserve">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（1）机箱内强、弱电应分层隔开，内部各种线缆应固定可靠。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（3）地面安装的落地箱柜基础应高出地面(200mm)，以免积水。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（4）进入箱柜内的各类保护管应高出基础底面(100mm)。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（5）配电箱与设备箱分开设置，尺寸高度与路口信号箱保持一致。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 杆件防雷接地</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所有接地极的接地电阻将进行测量；经测量达不到要求时，将在接地极回填土中加入无腐蚀性长效降阻剂；当仍达不到要求时，将经过业主同意，采用更换接地装置的措施。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1" w:name="_Toc4916"/>
      <w:r/>
      <w:bookmarkStart w:id="242" w:name="_Toc112754484"/>
      <w:r/>
      <w:bookmarkStart w:id="243" w:name="_Toc45016796"/>
      <w:r>
        <w:rPr>
          <w:rFonts w:ascii="Times New Roman" w:hAnsi="Times New Roman" w:eastAsia="黑体" w:cs="Times New Roman"/>
          <w:bCs w:val="0"/>
          <w:color w:val="auto"/>
          <w:sz w:val="28"/>
          <w:szCs w:val="20"/>
          <w:highlight w:val="none"/>
          <w:lang w:val="en-US" w:eastAsia="zh-CN" w:bidi="ar-SA"/>
        </w:rPr>
        <w:t xml:space="preserve">四、</w:t>
      </w:r>
      <w:r>
        <w:rPr>
          <w:rFonts w:hint="eastAsia" w:ascii="Times New Roman" w:hAnsi="Times New Roman" w:eastAsia="黑体" w:cs="Times New Roman"/>
          <w:bCs w:val="0"/>
          <w:color w:val="auto"/>
          <w:sz w:val="28"/>
          <w:szCs w:val="20"/>
          <w:highlight w:val="none"/>
          <w:lang w:val="en-US" w:eastAsia="zh-CN" w:bidi="ar-SA"/>
        </w:rPr>
        <w:t xml:space="preserve">项目组织机构和人员</w:t>
      </w:r>
      <w:bookmarkEnd w:id="241"/>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4" w:name="_Toc15846"/>
      <w:r/>
      <w:bookmarkStart w:id="245" w:name="_Toc320270227"/>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领导和管理机构</w:t>
      </w:r>
      <w:bookmarkEnd w:id="244"/>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6" w:name="_Toc21052"/>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项目实施机构</w:t>
      </w:r>
      <w:bookmarkEnd w:id="246"/>
      <w:r/>
      <w:r/>
    </w:p>
    <w:p>
      <w:pPr>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rPr>
        <w:t xml:space="preserve">本项目实施机构主要由业主单位的各相关部门、承建单位和监理单位共同组成。项目实施机构职责：具体负责本项目的实施过程中的协调、安装、调试、试运行、验收等工作，保证项目按时高质量地交付使用。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7" w:name="_Toc13413"/>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人员培训需求和计划</w:t>
      </w:r>
      <w:bookmarkEnd w:id="24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为保证项目建设质量，更好地满足系统应用的需要，特制定以下培训方案：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（1）培训计划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系统管理员培训：掌握系统日常维护各种技术，熟练掌握对网络管理和维护、硬件管理和维护、应用系统的管理和维护以及安全管理等。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系统操作员培训：能够熟练使用系统各类前台操作模块、快速调用相关业务处理模块并规范输入各种信息。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（2）培训主要内容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培训主要内容有：前端点位勘察、系统应用、软硬件的运行与维护、网络和安全管理等。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（3）培训主要方式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室内培训：对专业运维人员分批集中进行培训，承建单位免费提供培训教材及师资。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现场培训：对指定人员独立进行设备的安装、操作、测试、运营、维护等等进行培训，承建单位免费提供培训教材及师资。</w:t>
      </w:r>
      <w:bookmarkEnd w:id="245"/>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8" w:name="_Toc23322"/>
      <w:r>
        <w:rPr>
          <w:rFonts w:hint="eastAsia" w:ascii="Times New Roman" w:hAnsi="Times New Roman" w:eastAsia="黑体" w:cs="Times New Roman"/>
          <w:bCs w:val="0"/>
          <w:color w:val="auto"/>
          <w:sz w:val="28"/>
          <w:szCs w:val="20"/>
          <w:highlight w:val="none"/>
          <w:lang w:val="en-US" w:eastAsia="zh-CN" w:bidi="ar-SA"/>
        </w:rPr>
        <w:t xml:space="preserve">五</w:t>
      </w:r>
      <w:r>
        <w:rPr>
          <w:rFonts w:ascii="Times New Roman" w:hAnsi="Times New Roman" w:eastAsia="黑体" w:cs="Times New Roman"/>
          <w:bCs w:val="0"/>
          <w:color w:val="auto"/>
          <w:sz w:val="28"/>
          <w:szCs w:val="20"/>
          <w:highlight w:val="none"/>
          <w:lang w:val="en-US" w:eastAsia="zh-CN" w:bidi="ar-SA"/>
        </w:rPr>
        <w:t xml:space="preserve">、</w:t>
      </w:r>
      <w:r>
        <w:rPr>
          <w:rFonts w:hint="eastAsia" w:ascii="Times New Roman" w:hAnsi="Times New Roman" w:eastAsia="黑体" w:cs="Times New Roman"/>
          <w:bCs w:val="0"/>
          <w:color w:val="auto"/>
          <w:sz w:val="28"/>
          <w:szCs w:val="20"/>
          <w:highlight w:val="none"/>
          <w:lang w:val="en-US" w:eastAsia="zh-CN" w:bidi="ar-SA"/>
        </w:rPr>
        <w:t xml:space="preserve">初步设计概算</w:t>
      </w:r>
      <w:bookmarkEnd w:id="248"/>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9" w:name="_Toc1622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投资概算编制说明</w:t>
      </w:r>
      <w:bookmarkEnd w:id="249"/>
      <w:r/>
      <w:r/>
    </w:p>
    <w:p>
      <w:pPr>
        <w:ind w:firstLine="480"/>
        <w:spacing w:line="360" w:lineRule="auto"/>
        <w:rPr>
          <w:rFonts w:hint="eastAsia" w:ascii="Times New Roman" w:hAnsi="Times New Roman" w:eastAsia="宋体" w:cs="Times New Roman"/>
          <w:color w:val="auto"/>
          <w:sz w:val="24"/>
          <w:highlight w:val="none"/>
        </w:rPr>
      </w:pPr>
      <w:r/>
      <w:bookmarkStart w:id="250" w:name="_Toc7228"/>
      <w:r/>
      <w:bookmarkStart w:id="251" w:name="_Toc11237"/>
      <w:r/>
      <w:bookmarkStart w:id="252" w:name="_Toc3330"/>
      <w:r>
        <w:rPr>
          <w:rFonts w:hint="eastAsia" w:ascii="Times New Roman" w:hAnsi="Times New Roman" w:eastAsia="宋体" w:cs="Times New Roman"/>
          <w:color w:val="auto"/>
          <w:sz w:val="24"/>
          <w:highlight w:val="none"/>
        </w:rPr>
        <w:t xml:space="preserve">硬件设备</w:t>
      </w:r>
      <w:bookmarkEnd w:id="250"/>
      <w:r/>
      <w:bookmarkEnd w:id="251"/>
      <w:r/>
      <w:bookmarkEnd w:id="25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硬件设备建设主要依据：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（1）根据需求分析及业务量预测推算出本期项目的建设规模、内容、设备性能需求等，最终得出本期工程所需设备配置；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（2）根据相关已建项目的投资及有关设备厂家提供的设备报价，完成本期项目硬件设备的投资估算。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（3）优先考虑国产先进、成熟的主流设备。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53" w:name="_Toc7509"/>
      <w:r/>
      <w:bookmarkStart w:id="254" w:name="_Toc1633"/>
      <w:r/>
      <w:bookmarkStart w:id="255" w:name="_Toc18753"/>
      <w:r>
        <w:rPr>
          <w:rFonts w:hint="eastAsia" w:ascii="Times New Roman" w:hAnsi="Times New Roman" w:eastAsia="宋体" w:cs="Times New Roman"/>
          <w:color w:val="auto"/>
          <w:sz w:val="24"/>
          <w:highlight w:val="none"/>
        </w:rPr>
        <w:t xml:space="preserve">工程建设其它费</w:t>
      </w:r>
      <w:bookmarkEnd w:id="253"/>
      <w:r/>
      <w:bookmarkEnd w:id="254"/>
      <w:r/>
      <w:bookmarkEnd w:id="255"/>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（2）勘察设计费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参考《工程勘察设计收费管理规定计价格》计价格〔2002〕10号文，及项目相关招标结果计取。</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6" w:name="_Toc2462"/>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初步设计投资概算书</w:t>
      </w:r>
      <w:bookmarkEnd w:id="256"/>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本项目投资概算为</w:t>
      </w:r>
      <w:r>
        <w:rPr>
          <w:rFonts w:hint="eastAsia" w:ascii="Times New Roman" w:hAnsi="Times New Roman" w:eastAsia="宋体" w:cs="Times New Roman"/>
          <w:color w:val="auto"/>
          <w:sz w:val="24"/>
          <w:highlight w:val="none"/>
          <w:lang w:val="en-US" w:eastAsia="zh-CN"/>
        </w:rPr>
        <w:t xml:space="preserve">531</w:t>
      </w:r>
      <w:r>
        <w:rPr>
          <w:rFonts w:hint="eastAsia" w:ascii="Times New Roman" w:hAnsi="Times New Roman" w:eastAsia="宋体" w:cs="Times New Roman"/>
          <w:color w:val="auto"/>
          <w:sz w:val="24"/>
          <w:highlight w:val="none"/>
        </w:rPr>
        <w:t xml:space="preserve">万元。</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7" w:name="_Toc13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运营管理方案</w:t>
      </w:r>
      <w:bookmarkEnd w:id="257"/>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本项目所用资金来源为财政拔款。</w:t>
      </w:r>
      <w:bookmarkEnd w:id="242"/>
      <w:r/>
      <w:bookmarkEnd w:id="243"/>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58" w:name="_Toc26633"/>
      <w:r/>
      <w:bookmarkStart w:id="259" w:name="_Toc135293775"/>
      <w:r/>
      <w:bookmarkStart w:id="260" w:name="_Toc259526397"/>
      <w:r>
        <w:rPr>
          <w:rFonts w:ascii="Times New Roman" w:hAnsi="Times New Roman" w:eastAsia="黑体" w:cs="Times New Roman"/>
          <w:bCs/>
          <w:color w:val="auto"/>
          <w:sz w:val="28"/>
          <w:szCs w:val="44"/>
          <w:highlight w:val="none"/>
          <w:lang w:val="en-US" w:eastAsia="zh-CN" w:bidi="ar-SA"/>
        </w:rPr>
        <w:t xml:space="preserve">六、</w:t>
      </w:r>
      <w:r>
        <w:rPr>
          <w:rFonts w:hint="eastAsia" w:ascii="Times New Roman" w:hAnsi="Times New Roman" w:eastAsia="黑体" w:cs="Times New Roman"/>
          <w:bCs/>
          <w:color w:val="auto"/>
          <w:sz w:val="28"/>
          <w:szCs w:val="44"/>
          <w:highlight w:val="none"/>
          <w:lang w:val="en-US" w:eastAsia="zh-CN" w:bidi="ar-SA"/>
        </w:rPr>
        <w:t xml:space="preserve">环保、消防、职业安全卫生和节能措施</w:t>
      </w:r>
      <w:bookmarkEnd w:id="258"/>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61" w:name="_Toc9756"/>
      <w:r>
        <w:rPr>
          <w:rFonts w:ascii="Times New Roman" w:hAnsi="Times New Roman" w:eastAsia="黑体" w:cs="Times New Roman"/>
          <w:color w:val="auto"/>
          <w:sz w:val="28"/>
          <w:szCs w:val="28"/>
          <w:highlight w:val="none"/>
          <w:lang w:val="en-US" w:eastAsia="zh-CN" w:bidi="ar-SA"/>
        </w:rPr>
        <w:t xml:space="preserve">1  </w:t>
      </w:r>
      <w:r>
        <w:rPr>
          <w:rFonts w:hint="eastAsia" w:ascii="Times New Roman" w:hAnsi="Times New Roman" w:eastAsia="黑体" w:cs="Times New Roman"/>
          <w:color w:val="auto"/>
          <w:sz w:val="28"/>
          <w:szCs w:val="28"/>
          <w:highlight w:val="none"/>
          <w:lang w:val="en-US" w:eastAsia="zh-CN" w:bidi="ar-SA"/>
        </w:rPr>
        <w:t xml:space="preserve">环境保护</w:t>
      </w:r>
      <w:bookmarkEnd w:id="261"/>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2" w:name="_Toc19053"/>
      <w:r>
        <w:rPr>
          <w:rFonts w:ascii="Times New Roman" w:hAnsi="Times New Roman" w:eastAsia="黑体" w:cs="Times New Roman"/>
          <w:color w:val="auto"/>
          <w:sz w:val="28"/>
          <w:szCs w:val="24"/>
          <w:highlight w:val="none"/>
          <w:lang w:val="en-US" w:eastAsia="zh-CN" w:bidi="ar-SA"/>
        </w:rPr>
        <w:t xml:space="preserve">1</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光污染控制</w:t>
      </w:r>
      <w:bookmarkEnd w:id="262"/>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尽量避免或减少施工过程中的光污染。夜间室外照明灯加设灯罩，透光方向集中在施工范围</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电焊作业采取遮挡措施，避免电焊弧光外泄</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3" w:name="_Toc1908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废水、废气污染控制</w:t>
      </w:r>
      <w:bookmarkEnd w:id="26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本项目为信息系统工程，项目建设将依托现有基础设施，不涉及新增的土建项目，系统建成运行后不会产生工业废水、废气等污染物。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项目用水环节主要是系统维护人员生活污水。生活污水由现有污水收集管网收集后，进入市政污水处理管网。</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4" w:name="_Toc10474"/>
      <w:r>
        <w:rPr>
          <w:rFonts w:hint="eastAsia" w:ascii="Times New Roman" w:hAnsi="Times New Roman" w:eastAsia="黑体" w:cs="Times New Roman"/>
          <w:color w:val="auto"/>
          <w:sz w:val="28"/>
          <w:szCs w:val="24"/>
          <w:highlight w:val="none"/>
          <w:lang w:val="en-US" w:eastAsia="zh-CN" w:bidi="ar-SA"/>
        </w:rPr>
        <w:t xml:space="preserve">1.3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6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2、在城市范围内的机房，向周围生活环境排放噪声的，应符合GB 12348《工业企业厂界环境噪声排放标准》的相关要求。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3、根据《通信工程建设环境保护技术暂行规定》规定：必须保持防治环境噪声污染的设施正常使用，拆除或闲置环境噪声污染防治设施应报环境保护行政主管部门批准。</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5" w:name="_Toc16328"/>
      <w:r>
        <w:rPr>
          <w:rFonts w:hint="eastAsia" w:ascii="Times New Roman" w:hAnsi="Times New Roman" w:eastAsia="黑体" w:cs="Times New Roman"/>
          <w:color w:val="auto"/>
          <w:sz w:val="28"/>
          <w:szCs w:val="24"/>
          <w:highlight w:val="none"/>
          <w:lang w:val="en-US" w:eastAsia="zh-CN" w:bidi="ar-SA"/>
        </w:rPr>
        <w:t xml:space="preserve">1.4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电磁辐射</w:t>
      </w:r>
      <w:bookmarkEnd w:id="26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本期工程产生电磁辐射主要为网络设备、服务器和计算机等设备，带来的电磁辐射。本期使用设备电磁辐射能够满足GB 8702-2014《电磁环境控制限值》的相关要求，不产生电磁辐射危害。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6" w:name="_Toc15034"/>
      <w:r>
        <w:rPr>
          <w:rFonts w:hint="eastAsia" w:ascii="Times New Roman" w:hAnsi="Times New Roman" w:eastAsia="黑体" w:cs="Times New Roman"/>
          <w:color w:val="auto"/>
          <w:sz w:val="28"/>
          <w:szCs w:val="24"/>
          <w:highlight w:val="none"/>
          <w:lang w:val="en-US" w:eastAsia="zh-CN" w:bidi="ar-SA"/>
        </w:rPr>
        <w:t xml:space="preserve">1.5</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固体废弃物回收和处置</w:t>
      </w:r>
      <w:bookmarkEnd w:id="26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2、严禁向江河、湖波、运河、渠道、水库及最高水位线以下的滩地和岸坡倾倒、堆放固体废弃物。</w:t>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3、废旧电池、废矿物油、含汞废日光灯等毒性大、不宜用通用方式进行管理和处置的特殊危险废物，应与生活垃圾分类收集、妥善贮存、安全处置。</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7" w:name="_Toc19185"/>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绿色节能</w:t>
      </w:r>
      <w:bookmarkEnd w:id="26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8" w:name="_Toc6169"/>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设备选择及选型要求</w:t>
      </w:r>
      <w:bookmarkEnd w:id="268"/>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设备选择应遵循节能、节材、节地、环保的原则。主设备选型时应符合以下绿色节能要求：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1、在满足技术和服务指标的前提下，宜优先选用高度集成化、低功耗、高能效比、具有智能节电功能的设备。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2、在满足设备正常运行、维护要求的基础上，优先选用自然散热产品，减少风扇的使用。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3、在满足运输安全的前提下，优先选择包装材料轻、绿色环保包装材料，避免过度包装。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4、在保证网络安全的前提下，适时引入新技术，优化网络设计，简化网络结构，提高网络利用率，避免设备闲置。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9" w:name="_Toc29800"/>
      <w:r>
        <w:rPr>
          <w:rFonts w:hint="eastAsia" w:ascii="Times New Roman" w:hAnsi="Times New Roman" w:eastAsia="黑体" w:cs="Times New Roman"/>
          <w:color w:val="auto"/>
          <w:sz w:val="28"/>
          <w:szCs w:val="28"/>
          <w:highlight w:val="none"/>
          <w:lang w:val="en-US" w:eastAsia="zh-CN" w:bidi="ar-SA"/>
        </w:rPr>
        <w:t xml:space="preserve">3</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职业安全卫生</w:t>
      </w:r>
      <w:bookmarkEnd w:id="26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0" w:name="_Toc7318"/>
      <w:r>
        <w:rPr>
          <w:rFonts w:hint="eastAsia" w:ascii="Times New Roman" w:hAnsi="Times New Roman" w:eastAsia="黑体" w:cs="Times New Roman"/>
          <w:color w:val="auto"/>
          <w:sz w:val="28"/>
          <w:szCs w:val="24"/>
          <w:highlight w:val="none"/>
          <w:lang w:val="en-US" w:eastAsia="zh-CN" w:bidi="ar-SA"/>
        </w:rPr>
        <w:t xml:space="preserve">3.1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职业安全卫生主要影响因素</w:t>
      </w:r>
      <w:bookmarkEnd w:id="270"/>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本项目主要涉及信息化机房施工作业和信息化系统运营，涉及主要的职业卫生安全因素如下：</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1、机房环境布置、洁净度、新风量等不符合要求产生对人员、设备相关危害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2、工程施工安全，包括用电安全、高处作业安全、交通安全、器材搬运安全等</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3、信息化设备产生的电磁波辐射，对人员和环境的影响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4、工程施工产生噪声影响、设备运行过程产生的噪声影响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5、系统运行过程静电干扰产生的危害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1" w:name="_Toc4975"/>
      <w:r>
        <w:rPr>
          <w:rFonts w:hint="eastAsia" w:ascii="Times New Roman" w:hAnsi="Times New Roman" w:eastAsia="黑体" w:cs="Times New Roman"/>
          <w:color w:val="auto"/>
          <w:sz w:val="28"/>
          <w:szCs w:val="24"/>
          <w:highlight w:val="none"/>
          <w:lang w:val="en-US" w:eastAsia="zh-CN" w:bidi="ar-SA"/>
        </w:rPr>
        <w:t xml:space="preserve">3.2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71"/>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1、设备运行所产生的噪声应符合相关产品标准的规定；高噪声设备宜配备隔声设施</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2、所有设备停机时，机房内的噪声应小于60 dB（A）</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3、所有对外的噪声应满足GB 3096的规定值要求。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2" w:name="_Toc11436"/>
      <w:r>
        <w:rPr>
          <w:rFonts w:hint="eastAsia" w:ascii="Times New Roman" w:hAnsi="Times New Roman" w:eastAsia="黑体" w:cs="Times New Roman"/>
          <w:color w:val="auto"/>
          <w:sz w:val="28"/>
          <w:szCs w:val="24"/>
          <w:highlight w:val="none"/>
          <w:lang w:val="en-US" w:eastAsia="zh-CN" w:bidi="ar-SA"/>
        </w:rPr>
        <w:t xml:space="preserve">3.3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电辐射</w:t>
      </w:r>
      <w:bookmarkEnd w:id="272"/>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本期新建或扩容设备符合国家质量标准，设备运行产生的辐射符合国家行业标准要求，对人体和环境不产生危害影响</w:t>
      </w:r>
      <w:r>
        <w:rPr>
          <w:rFonts w:hint="eastAsia" w:ascii="Times New Roman" w:hAnsi="Times New Roman" w:eastAsia="宋体" w:cs="Times New Roman"/>
          <w:color w:val="auto"/>
          <w:sz w:val="24"/>
          <w:highlight w:val="none"/>
          <w:lang w:eastAsia="zh-CN"/>
        </w:rPr>
        <w:t xml:space="preserve">。</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3" w:name="_Toc17353"/>
      <w:r>
        <w:rPr>
          <w:rFonts w:hint="eastAsia" w:ascii="Times New Roman" w:hAnsi="Times New Roman" w:eastAsia="黑体" w:cs="Times New Roman"/>
          <w:color w:val="auto"/>
          <w:sz w:val="28"/>
          <w:szCs w:val="24"/>
          <w:highlight w:val="none"/>
          <w:lang w:val="en-US" w:eastAsia="zh-CN" w:bidi="ar-SA"/>
        </w:rPr>
        <w:t xml:space="preserve">3.4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安全生产</w:t>
      </w:r>
      <w:bookmarkEnd w:id="273"/>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.1工程安全管理组织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通信建设施工企业在施工生产中，以下几方面必须符合国家法律、法规相关规定：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施工企业资质及安全生产许可证情况；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施工单位安全生产管理机构设置情况；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施工单位的主要负责人、项目负责人、专职安全生产管理人员、特种作业人员任职或上岗条件；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施工单位主要负责人、项目负责人、专职安全生产管理人员的职责；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施工人员的权利和义务。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建设单位要根据相关法律、法规规定，设置安全生产管理机构或者配备专职（或兼职）安全生产管理人员。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新建、改建、扩建工程项目的安全生产设施必须要与主体工程同时设计、同时施工、同时投产使用。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工程监理要严格按安全生产专篇要求实施安全监督和管理。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工程施工要严格按安全生产专篇要求，对施工人员要进行安全教育和培训，落实安全防护措施和安全经费。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单位在施工前应对施工作业现场的作业环境进行勘查，并制定相应的安全生产和文明施工的防范措施，加强施工现场安全管理和检查。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施工单位必须严禁使用未取得有关部门颁发的《特种作业人员岗位操作证》的人员从事特种作业，禁止使用未经上岗培训的人员上岗作业。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施工单位必须保证施工现场安全措施费用和施工人员的安全生产用品的落实。</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建设项目竣工投产前，其安全设施必须经安全部门验收合格。</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企业主要负责人、工程项目负责人和专职安全员应对建设工程项目的安全施工负责。当发生安全事故时，应及时、如实地报告。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工程项目施工必须实行安全技术逐级交底制度，纵向延伸到全体作业人员。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设备安装前须检查：机房荷载、消防、抗震、接地的证明。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当施工作业可能对毗邻设备、管线等造成损害时，监理工程师应要求承包单位采取防护措施。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工程项目施工必须实行安全技术交底制度，接受交底的人员必须覆盖全体作业人员。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2施工现场安全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在城镇交人员密集处施工时必须设置有关部门规定的警示标志，必要时派专人警戒看守。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施工现场的安全警示标志和防护设施应随工作地点的变动而转移，作业完毕应及时撤除、清理干净。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施工人员应阻止非工作人员进人施工作业区，接近或触碰正在施工运行中的各种机具与设施。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从事高处作业的施工人员，必须正确使用安全带、安全帽。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从事高处作业的人员应定期进行健康检查，如发现身体不适合高处作业时，不得从事这一工作。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高处作业时，所用工具、材料应放置稳妥，不得扔抛工具或材料。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施工现场有两个以上施工单位施工时，建设单位应明确各方的安全职责，对施工现场实行统一管理。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3施工驻地安全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施工驻地应按规定配备消防设施，设置安全通道。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4施工现场用电安全要求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操作电器装置应熟悉其性能和使用方法，不得任意开动电源装置，严禁在电源装置上放置物件，施工人员需在施工授权范围内操作，不得超出范围进行操作。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在低压作业中，人体及其所携带工具与带电体的距离不应小于0.1m。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施工现场用电线路应采用绝缘护套导线。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检修各类配电箱、开关箱、电气设备和电力工具时，必须切断电源。在总配线箱或者分配线箱一侧悬挂“检修设备请勿合闸”警示标牌，必要时设专人看管。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用电设备的总功率不得超过供电负荷。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设备加电测试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2、设备加电时，操作人员必须穿戴绝缘鞋、绝缘手套，使用绝缘工具，并应由2人互相配合，沿电流方向逐级加电，逐级测量并留存测试记录。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3、插拔板卡、模块时应配戴接地良好的防静电手环。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5施工交通安全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车辆行驶时，乘坐人员应注意沿途的电线、树枝及其他障碍物，不得将肢体露于车厢外。车辆停稳后方可上下车。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若需租用车辆，应与车主签订租车协议，明确双方安全责任和义务。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6器材搬运要求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1、一般规定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（1）搬运通信设备、线缆等器材时，使用的杠、绳、链、撬棍、滚筒、滑车、挂钩、绞车（盘）、跳板等搬运工具应有足够的强度。不得使用有破损、腐蚀、腐朽现象的搬运工具。</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（2）人工挑、抬、扛工作应采取适当的人身安全措施。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2、大型设备搬运</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（1）装卸大型设备宜采用吊车或叉车。搬运设备时应注意包装箱上的标志，不得倒置。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（2）人工搬运时，应有专人指挥，多人合作，步调一致；每人负重男工不得超过40kg，女工不得超过20kg；不得让患有不适于搬运工作疾病者参与搬运工作。</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（3）人工搬运设备上下楼梯时，应按照身高、体力妥善安排位置，负重均匀；急拐弯处要慢行，前后的人应相互照应。</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（4）使用电梯搬运设备上下楼时，宜使用货梯，电梯的大小和承重应满足搬运要求。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（5）手搬、肩扛没有包装的设备时，应搬、扛设备的牢固部位，不得抓碰布线、盒盖、零部件等不牢固、不能承重的部位。在搬运过程中不得直接将机柜在地面上拖拉、推动。</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7室内设备安装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2、在机房内搬移设备时，不得损坏地板和其他设备。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3、在已有运行设备的机房内作业时，应划定施工作业区域，作业人员不得随意触碰已有运行设备，不得随意触碰消防设施。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4、严禁擅自关断运行设备的电源开关。使用机房原有电源插座时应核实电源容量。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5、铁架、槽道、机架、人字梯上不得放置工具和器材。不得脚踩铁架、机架、电缆走道、端子板等设备。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6、在运行设备顶部操作时，应对运行设备采取防护措施，避免工具、螺丝等金属物品落入机柜内。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8、交直流供电设备安装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（1）设备的防雷和保护接地线应安装牢固，接地电阻值应符合要求。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（2）设备安装完毕后，应进行清洁，彻底清除在安装时落入机内的杂物。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（3）交流配电屏的中性线应与机架绝缘。不得采用中性线做交流保护地线。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（4）供电前，需要检查设备内线缆、元器件等连接是否正确、牢固，确认正确后方可供电；交、直流配电屏和其他供电设备前后的地面应铺放绝缘橡胶垫。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（5）电源熔断器及空气开关容量应符合设计要求，插拔电源熔断器应使用专用工具，不得用其他工具代替。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（6）设备供电时，操作人员应穿绝缘鞋，带绝缘手套，并应有两人互相配合，采取逐级加电的方法进行。如发现异常，应立即切断电源开关，检查原因。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8电缆布放安全要求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1、布放线缆时应做好标识，其中电源线端头应作绝缘处理。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2、电源线的布放：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（1）在地槽内布放电源线时，必须注意防潮。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（2）布放电源线时，无论是明敷或暗敷，必须是整条线料，中间严禁有接头。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（4）电源线穿越墙洞或楼层时，应预留“S”弯。洞口两端应按要求用阻燃材料的盖板堵封洞口。施工尚未结束时，应用临时阻燃材料堵封洞口。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（5）交流线、直流线、信号线应分开布放，不得绑扎在一起，如走在同一路由时，间距必须符合工程验收规范要求。非同一级电力电缆不得穿放在同一管孔内。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（6）设备电源的正负极性严禁接反。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（7）电源线、信号线必须是整条线料，外皮完整，中间严禁有接头和急弯处。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（8）直流电源线、交流电源线、信号线必须分开布放，应避免在同一线束内。其中直流电源线正极外皮颜色应为红色，负极外皮颜色应为兰色。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9铁件加工和安装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1、加工铁件应在指定的区域操作。不得在已安装设备的机房内切割铁件。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4、对铁件钻孔时，应用力均匀，铁件应夹紧，固定牢靠，不得左右摆动；如发生卡住钻头现象，应立即停机处理。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5、管件攻丝、套丝时，管件在台虎钳上应固定牢固。如两人操作时，动作应协调。攻、套丝时，应注意加注机油，及时清理铁屑，防止飞溅。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6、铁件作弯时，应在台虎钳或作弯工具上夹紧。用锤敲击时，应防止振伤手臂。管件需加热作弯时，喷灯烘烤管件间距适当，操作人员不得面对管口。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7、铁件去锈和喷刷漆时，作业人员应戴口罩、手套。喷刷后的余漆、废液应集中回收，统一处理，不得随意丢放。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8、铁件安装工作中，不得抛掷铁件及工具。传递较长的铁件时，应注意周围人员、设备的安全。手扶铁件固定时，应固定牢靠后才能松手。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9、走线架、吊挂、通风管道等应安装接地线，与机房接地排连接可靠。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10高处作业时安全施工要求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高处作业是一项危险性较大的作业项目，容易发生人员、物体坠落等事故。高处作业的安全防护要求如下: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高处作业人员应当持证上岗。安全员必须严格按照安全控制措施和操作规程进行现场监督、检查。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高处作业须确保踩踏物牢靠。作业人员应身体健康，并做好自我安全防护工作。操作过程中应防止坠落物伤害他人。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11梯子、高登使用要求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选用的梯子应能满足承重要求，长度应适当，方便操作。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带电作业或在运行的设备附近作业时，应选择绝缘梯子。</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使用梯子前应检查梯子是否完好。梯子配件应齐全，各部位连接应牢固，梯梁与踏板无歪斜、折断、松驰、破裂、腐朽、扭曲、变形等缺陷；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折叠梯、伸缩梯应活动自如；伸缩梯的绳索应无破损和断股现象；金属梯踏板应做防滑处理，梯脚应装防滑绝缘橡胶垫。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移动超过5米长的梯子，应用2个人抬，且不要在移动的梯子上摆放任何工具或东西。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有架空线缆或其它障碍物的地方，不得举梯移动。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梯子应安置平稳可靠。放置基础及所搭靠的支撑物要稳固，并能承受梯上最大负荷；地面应平整、无杂物、不湿滑。</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梯子放置的斜度要适当，梯子上端的接触点与下端支撑点间水平距离宜等于接触点和支撑点间距离的1/4至1/3。</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上下梯子时，应面向梯子，保持三点接触原则，且不得手持器物，不得携带笨重工具和材料。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使用高凳前应检查高凳是否牢固平稳，凳脚、踏板材质应结实。上、下高凳时不得携带笨重材料和工具，一个人不得脚踩两只高凳作业。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高凳上放置工具和器材时，人离开时应随手取下。搬移高凳时，应先检查、清理高凳上的工具和器材</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12人员密集场所施工要求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在人员密集场所施工时，需在施工地点设置围挡，并设置专门人员在现场维持秩序，疏导人流。群众围观时应及时劝其离去。不得与群众发生冲突。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施工现场噪声白天应控制在60dB以下，夜间应控制在45dB以下。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施工结束后，应车去围挡，并清扫现场，不得遗留施工垃圾、废料。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13电动工具使用安全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作业前需检查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外壳、手柄不出现裂缝、破损；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电缆软线及插头等完好无损，开关动作正常，保护接零连接正确、牢固可靠；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各部防护罩齐全牢固，电气保护装置可靠。 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机具启动后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应空载运转，应检查并确认机具联动灵活无阻。作业时，加力应平稳，不得用力过猛。 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作业时应掌握电钻或电锤手柄，打孔时先将钻头抵在工作表面，然后开动，用力适度，避免晃动；转速若急剧下降，应减少用力，防止电机过载，严禁用木杠加压。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74" w:name="_Toc358"/>
      <w:r>
        <w:rPr>
          <w:rFonts w:hint="eastAsia" w:ascii="Times New Roman" w:hAnsi="Times New Roman" w:eastAsia="黑体" w:cs="Times New Roman"/>
          <w:color w:val="auto"/>
          <w:sz w:val="28"/>
          <w:szCs w:val="28"/>
          <w:highlight w:val="none"/>
          <w:lang w:val="en-US" w:eastAsia="zh-CN" w:bidi="ar-SA"/>
        </w:rPr>
        <w:t xml:space="preserve">4</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消防</w:t>
      </w:r>
      <w:bookmarkEnd w:id="274"/>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5" w:name="_Toc32100"/>
      <w:r>
        <w:rPr>
          <w:rFonts w:hint="eastAsia" w:ascii="Times New Roman" w:hAnsi="Times New Roman" w:eastAsia="黑体" w:cs="Times New Roman"/>
          <w:color w:val="auto"/>
          <w:sz w:val="28"/>
          <w:szCs w:val="24"/>
          <w:highlight w:val="none"/>
          <w:lang w:val="en-US" w:eastAsia="zh-CN" w:bidi="ar-SA"/>
        </w:rPr>
        <w:t xml:space="preserve">4.1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一般要求</w:t>
      </w:r>
      <w:bookmarkEnd w:id="27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在项目建设中，将遵循“预防为主，消防结合”的方针，严格贯彻执行国家《建筑设计防火规划》。本期消防采取以下措施：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1、严格按照国家规定，选购符合国家规定标准或使用许可的设备（如空调、不间断供电电源等）。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2、建筑物按防火规定，设置防火门、疏散通道、消防电梯、安全出入口、火灾自动报警系统等，建筑物内部装修选用不燃性和难燃性材料。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3、机房内宜设置火灾自动报警系统和气体灭火系统。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4、建筑的机房内均应配置手提式灭火器或移动式灭火器。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6、建筑物内外，严格按照国家消防规定设置消防设施、通道和各种指示标志。</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6" w:name="_Toc29146"/>
      <w:r>
        <w:rPr>
          <w:rFonts w:hint="eastAsia" w:ascii="Times New Roman" w:hAnsi="Times New Roman" w:eastAsia="黑体" w:cs="Times New Roman"/>
          <w:color w:val="auto"/>
          <w:sz w:val="28"/>
          <w:szCs w:val="24"/>
          <w:highlight w:val="none"/>
          <w:lang w:val="en-US" w:eastAsia="zh-CN" w:bidi="ar-SA"/>
        </w:rPr>
        <w:t xml:space="preserve">4.2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防火封堵要求</w:t>
      </w:r>
      <w:bookmarkEnd w:id="27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1、光缆穿越楼板、墙体的孔洞敷设后，必须采用防火封堵材料将孔洞封堵严密。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7" w:name="_Toc1622"/>
      <w:r>
        <w:rPr>
          <w:rFonts w:hint="eastAsia" w:ascii="Times New Roman" w:hAnsi="Times New Roman" w:eastAsia="黑体" w:cs="Times New Roman"/>
          <w:color w:val="auto"/>
          <w:sz w:val="28"/>
          <w:szCs w:val="24"/>
          <w:highlight w:val="none"/>
          <w:lang w:val="en-US" w:eastAsia="zh-CN" w:bidi="ar-SA"/>
        </w:rPr>
        <w:t xml:space="preserve">4.3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施工现场防火要求</w:t>
      </w:r>
      <w:bookmarkEnd w:id="27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1、施工单位应当在施工现场建立消防安全责任制度，并确定消防安全责任人，制定用火、用电、使用易燃易爆材料等各项消防安全管理制度和操作规程。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2、施工现场应配备必要的消防器材。消防器材设置地点应合理，便于取用，使用方法应明示。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3、施工现场配备的消防器材应完好无损且在有效期内。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5、不得堵塞消防通道、遮挡消防设施。机房施工、扩容、维修等设备包装材料以及电报纸、打印纸等易燃物品，要随用随清随运，不得堆放在机房内和走廊通道上。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6、电气设备着火时，应首先切断电源，必须使用干粉灭火器，严禁使用水和泡沫灭火器。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7、在封闭和特殊要求的施工场所严禁吸烟。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8、机房内施工不得使用明火。需要使用明火时应经相关单位部门批准，落实安全防火措施，并在指定的地点、时间内作业。每天施工结束后必须认真清理现场，消除火种。</w:t>
      </w:r>
      <w:bookmarkEnd w:id="259"/>
      <w:r/>
      <w:bookmarkEnd w:id="260"/>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78" w:name="_Toc464167629"/>
      <w:r/>
      <w:bookmarkStart w:id="279" w:name="_Toc12732"/>
      <w:r>
        <w:rPr>
          <w:rFonts w:hint="eastAsia" w:ascii="Times New Roman" w:hAnsi="Times New Roman" w:eastAsia="黑体" w:cs="Times New Roman"/>
          <w:bCs w:val="0"/>
          <w:color w:val="auto"/>
          <w:sz w:val="28"/>
          <w:szCs w:val="20"/>
          <w:highlight w:val="none"/>
          <w:lang w:val="en-US" w:eastAsia="zh-CN" w:bidi="ar-SA"/>
        </w:rPr>
        <w:t xml:space="preserve">七</w:t>
      </w:r>
      <w:r>
        <w:rPr>
          <w:rFonts w:ascii="Times New Roman" w:hAnsi="Times New Roman" w:eastAsia="黑体" w:cs="Times New Roman"/>
          <w:bCs w:val="0"/>
          <w:color w:val="auto"/>
          <w:sz w:val="28"/>
          <w:szCs w:val="20"/>
          <w:highlight w:val="none"/>
          <w:lang w:val="en-US" w:eastAsia="zh-CN" w:bidi="ar-SA"/>
        </w:rPr>
        <w:t xml:space="preserve">、</w:t>
      </w:r>
      <w:bookmarkEnd w:id="278"/>
      <w:r>
        <w:rPr>
          <w:rFonts w:hint="eastAsia" w:ascii="Times New Roman" w:hAnsi="Times New Roman" w:eastAsia="黑体" w:cs="Times New Roman"/>
          <w:bCs w:val="0"/>
          <w:color w:val="auto"/>
          <w:sz w:val="28"/>
          <w:szCs w:val="20"/>
          <w:highlight w:val="none"/>
          <w:lang w:val="en-US" w:eastAsia="zh-CN" w:bidi="ar-SA"/>
        </w:rPr>
        <w:t xml:space="preserve">风险及效益分析</w:t>
      </w:r>
      <w:bookmarkEnd w:id="279"/>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0" w:name="_Toc31149"/>
      <w:r>
        <w:rPr>
          <w:rFonts w:hint="eastAsia" w:ascii="Times New Roman" w:hAnsi="Times New Roman" w:eastAsia="黑体" w:cs="Times New Roman"/>
          <w:color w:val="auto"/>
          <w:sz w:val="28"/>
          <w:szCs w:val="28"/>
          <w:highlight w:val="none"/>
          <w:lang w:val="en-US" w:eastAsia="zh-CN" w:bidi="ar-SA"/>
        </w:rPr>
        <w:t xml:space="preserve">1</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风险分析</w:t>
      </w:r>
      <w:bookmarkEnd w:id="280"/>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项目主要风险因素识别：项目风险分析贯穿于项目建设和生产运营的全过程，项目风险因素主要有市场风险、工程风险、资金风险、政策风险、外部协作条件和社会风险等。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市场风险：主要因素有市场需求量、竞争能力和价格等。本项目市场前景较好，企业具有很强的市场竞争力。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工程风险：本项目在筹备和立项阶段已对场区的工程地质条件、水文地质条件进行了详细地勘察，为初步设计、施工图设计和工程建设提供了可靠的依据，可保证工程的顺利实施，避免了工程风险。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资金风险：工程建设所需资金有可靠保证，不会因资金供应不足或中断而导致项目工期拖长或终止的现象发生。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政策风险：自改革开放以来，我国的政治经济形式一直在稳步发展，近年来又提出了国家支持资源性城市转型和重点产业振兴的重大决策。为本项目的尽快实施提供了便利和保障。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外部协作条件风险：本项目所在地为盐城市大丰区，具有良好的交通运输、供水、供电等主要外部协作配套条件，可保证项目建设和运营的正常进行。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防范和降低风险对策：任何经济活动都有风险，由于预测的不确定性，项目经营的未来状况会与设想状况发生偏离，因而使投资项目面临潜在的风险，面对风险企业必须采取有效措施降低、规避、分散或防范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风险转移：在购买设备和工程施工中可能存在的风险，可以采取非保险转移的方式，即在签订合同时将部分风险损失转移给合同方承担。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从我国现阶段经济发展的形势看，上述风险发生的可能性不大， 属一般风险，不影响项目的可行性。</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1" w:name="_Toc30048"/>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效益</w:t>
      </w:r>
      <w:r>
        <w:rPr>
          <w:rFonts w:ascii="Times New Roman" w:hAnsi="Times New Roman" w:eastAsia="黑体" w:cs="Times New Roman"/>
          <w:color w:val="auto"/>
          <w:sz w:val="28"/>
          <w:szCs w:val="24"/>
          <w:highlight w:val="none"/>
          <w:lang w:val="en-US" w:eastAsia="zh-CN" w:bidi="ar-SA"/>
        </w:rPr>
        <w:t xml:space="preserve">分析</w:t>
      </w:r>
      <w:bookmarkEnd w:id="281"/>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2" w:name="_Toc12776"/>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经济效益分析</w:t>
      </w:r>
      <w:bookmarkEnd w:id="28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为盐城市大丰区城市管理提供及时、准确、科学的信息，并由此产生巨大的经济效益。包括：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由于资源整合、信息整合而提高资源的利用率，减少重复建设投资；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由于技术手段的使用、业务流程的优化而减少城市管理成本，缩短事件处置时间，提高人民群众满意，减少社会治安事件带来的损失；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由于良好城市智能化管理能力的增强、城市生态环境的改善、提高群众出行便利而产生的外资吸引、旅游发展等方面的增值效应。</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3" w:name="_Toc11993"/>
      <w:r>
        <w:rPr>
          <w:rFonts w:hint="eastAsia" w:ascii="Times New Roman" w:hAnsi="Times New Roman" w:eastAsia="黑体" w:cs="Times New Roman"/>
          <w:color w:val="auto"/>
          <w:sz w:val="28"/>
          <w:szCs w:val="24"/>
          <w:highlight w:val="none"/>
          <w:lang w:val="en-US" w:eastAsia="zh-CN" w:bidi="ar-SA"/>
        </w:rPr>
        <w:t xml:space="preserve">2.2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社会效益分析</w:t>
      </w:r>
      <w:bookmarkEnd w:id="28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color w:val="auto"/>
          <w:sz w:val="24"/>
          <w:highlight w:val="none"/>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pStyle w:val="954"/>
        <w:ind w:firstLine="482"/>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rPr>
        <w:t xml:space="preserve">中标后中标人</w:t>
      </w:r>
      <w:r>
        <w:rPr>
          <w:rFonts w:hint="eastAsia" w:ascii="宋体" w:hAnsi="宋体" w:eastAsia="宋体" w:cs="宋体"/>
          <w:b/>
          <w:bCs/>
          <w:color w:val="auto"/>
          <w:sz w:val="24"/>
          <w:szCs w:val="24"/>
          <w:highlight w:val="none"/>
          <w:lang w:eastAsia="zh-CN"/>
        </w:rPr>
        <w:t xml:space="preserve">自接到采购人通知后</w:t>
      </w:r>
      <w:r>
        <w:rPr>
          <w:rFonts w:hint="eastAsia" w:ascii="宋体" w:hAnsi="宋体" w:eastAsia="宋体" w:cs="宋体"/>
          <w:b/>
          <w:bCs/>
          <w:color w:val="auto"/>
          <w:sz w:val="24"/>
          <w:szCs w:val="24"/>
          <w:highlight w:val="none"/>
          <w:lang w:val="en-US" w:eastAsia="zh-CN"/>
        </w:rPr>
        <w:t xml:space="preserve">2日内到采购人指定地点</w:t>
      </w:r>
      <w:r>
        <w:rPr>
          <w:rFonts w:hint="eastAsia" w:ascii="宋体" w:hAnsi="宋体" w:eastAsia="宋体" w:cs="宋体"/>
          <w:b/>
          <w:bCs/>
          <w:color w:val="auto"/>
          <w:sz w:val="24"/>
          <w:szCs w:val="24"/>
          <w:highlight w:val="none"/>
        </w:rPr>
        <w:t xml:space="preserve">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 xml:space="preserve">由中标方承担不利后果</w:t>
      </w:r>
      <w:r>
        <w:rPr>
          <w:rFonts w:hint="eastAsia" w:ascii="宋体" w:hAnsi="宋体" w:eastAsia="宋体" w:cs="宋体"/>
          <w:b/>
          <w:bCs/>
          <w:color w:val="auto"/>
          <w:sz w:val="24"/>
          <w:szCs w:val="24"/>
          <w:highlight w:val="none"/>
          <w:lang w:eastAsia="zh-CN"/>
        </w:rPr>
        <w:t xml:space="preserve">。投标人所投材料视为虚假响应，甲方有权另行选择合格的中标人。</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3、投标人需承诺保证所有新增设备系统和原在用系统无缝兼容对接，承担可能产生的对接调试费用（包括对接所需的所有软硬件</w:t>
      </w:r>
      <w:r>
        <w:rPr>
          <w:rFonts w:hint="eastAsia"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，承担对接在用数据系统的数据安全责任，保证新建设备和与扩容设备相关配套设备的整体质保。对接原在用的系统由采购人提供，具体投标人投标前可自行探勘现场。</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、本项目所有传输设备接口均需达到千兆或以上等级如交换机、光纤收发器等，光纤传输带宽均须达到千兆或以上并且保证画面稳定，无卡顿、无跳帧、无延时等。</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、以上内容中标后应在指定工期内完成，如若完不成则视为虚假响应，甲方有权终止合同并追究相应法律责任。</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现象，甲方有权拒签合同。</w:t>
      </w:r>
      <w:r>
        <w:rPr>
          <w:rFonts w:hint="eastAsia" w:ascii="宋体" w:hAnsi="宋体" w:eastAsia="宋体" w:cs="宋体"/>
          <w:b/>
          <w:bCs/>
          <w:color w:val="auto"/>
          <w:sz w:val="24"/>
          <w:szCs w:val="24"/>
          <w:highlight w:val="none"/>
          <w:lang w:eastAsia="zh-CN"/>
        </w:rPr>
        <w:t xml:space="preserve">核实所产生的费用由投标人考虑至报价中，甲方不再另行支付。</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、在质保期内，中标方应确保每月（以每月的23日统计数据为准，注：23日为节假日的，延后到下一个工作日）的监控在线率达95%及以上（如投标人承诺高于95%，以投标人承诺为准）。</w:t>
      </w:r>
      <w:r/>
    </w:p>
    <w:p>
      <w:pPr>
        <w:pStyle w:val="952"/>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9、售后服务：设备安装、调试、运行合格签字验收之日起质保期至少伍年。售后服务响应时间24小时及以内（其中大屏维修响应时间3小时及内到达现场查明故障原因，6小时及以内排除故障并维修完成，中标后需提供大屏厂家和投标人的联合承诺函，格式自拟），如设备、配套设施、管线等出现意外（包括自然灾害等）或任何人为等因素造成损坏的中标人需先无条件维修复原，维修完成后再由中标人（采购人配合）向人为因素造成损坏的责任人追偿。</w:t>
      </w:r>
      <w:r/>
    </w:p>
    <w:p>
      <w:pPr>
        <w:pStyle w:val="952"/>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10、中标后供货前，采购人或监理单位有权组织人员到所有主要产品及辅材的生产厂家进行考察，如发现与投标文件不符合等情况，有权拒签合同；到货后采购人如对产品质量有异议有权要求中标单位提供专业的第三方权威检测出具的合格证明材料，如果检测不合格，采购人有权拒绝签订合同或终止合同，其履约保证金不予退还；如果供货产品质量与采购需求不一致或检测不合格，所有供货产品不予退还，相关一切损失均由中标人承担。</w:t>
      </w:r>
      <w:r/>
    </w:p>
    <w:p>
      <w:pPr>
        <w:pStyle w:val="952"/>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788"/>
        <w:jc w:val="center"/>
        <w:spacing w:beforeAutospacing="0" w:afterAutospacing="0"/>
        <w:rPr>
          <w:rFonts w:hint="eastAsia" w:ascii="宋体" w:hAnsi="宋体" w:eastAsia="宋体" w:cs="宋体"/>
          <w:color w:val="auto"/>
          <w:highlight w:val="none"/>
        </w:rPr>
      </w:pPr>
      <w:r/>
      <w:bookmarkStart w:id="284" w:name="_Toc120614281"/>
      <w:r>
        <w:rPr>
          <w:rFonts w:hint="eastAsia" w:ascii="宋体" w:hAnsi="宋体" w:eastAsia="宋体" w:cs="宋体"/>
          <w:b/>
          <w:bCs/>
          <w:color w:val="auto"/>
          <w:sz w:val="44"/>
          <w:szCs w:val="44"/>
          <w:highlight w:val="none"/>
        </w:rPr>
        <w:t xml:space="preserve">第五章 评标方法与评标标准</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788"/>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47"/>
        <w:ind w:left="0" w:firstLine="480"/>
        <w:keepLines w:val="0"/>
        <w:keepNext w:val="0"/>
        <w:pageBreakBefore w:val="0"/>
        <w:spacing w:before="0"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88"/>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76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41"/>
        <w:gridCol w:w="7885"/>
      </w:tblGrid>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396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评分标准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3962"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0，计算分数时四舍五入取小数点后两位。（按四舍五入取至小数点后两位）</w:t>
            </w:r>
            <w:r/>
          </w:p>
          <w:p>
            <w:pPr>
              <w:pStyle w:val="772"/>
              <w:ind w:lef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评委依据招标文件要求对投标人投标设备主要技术性能、配置、技术参数、功能描述及投标设备规格、技术配置参数，设备配置进行评审。</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项参数有一项不满足</w:t>
            </w:r>
            <w:r>
              <w:rPr>
                <w:rFonts w:hint="eastAsia" w:ascii="宋体" w:hAnsi="宋体" w:eastAsia="宋体" w:cs="宋体"/>
                <w:color w:val="auto"/>
                <w:sz w:val="21"/>
                <w:szCs w:val="21"/>
                <w:highlight w:val="none"/>
                <w:lang w:val="en-US" w:eastAsia="zh-CN"/>
              </w:rPr>
              <w:t xml:space="preserve">招标技术参数</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其它参数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负偏离（1-5）项得8分，负偏离（6-10）项得7分，负偏离（11-15）项6分，负偏离（16-20）项得5分，负偏离21项及以上的不得分</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技术参数不得虚假响应，如经查实，将予以取消中标资格，</w:t>
            </w:r>
            <w:r>
              <w:rPr>
                <w:rFonts w:hint="eastAsia" w:ascii="宋体" w:hAnsi="宋体" w:eastAsia="宋体" w:cs="宋体"/>
                <w:b/>
                <w:bCs/>
                <w:color w:val="auto"/>
                <w:sz w:val="21"/>
                <w:szCs w:val="21"/>
                <w:highlight w:val="none"/>
                <w:lang w:bidi="ar"/>
              </w:rPr>
              <w:t xml:space="preserve">并提交财政监管部门处理，有可能面临着被列入失信名单的法律风险。</w:t>
            </w:r>
            <w:r/>
          </w:p>
        </w:tc>
      </w:tr>
      <w:tr>
        <w:trPr>
          <w:jc w:val="center"/>
          <w:trHeight w:val="90"/>
        </w:trPr>
        <w:tc>
          <w:tcPr>
            <w:tcW w:w="563" w:type="pct"/>
            <w:vAlign w:val="center"/>
            <w:textDirection w:val="lrTb"/>
            <w:noWrap w:val="false"/>
          </w:tcPr>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实施方案</w:t>
            </w:r>
            <w:r/>
          </w:p>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根据投标人技术实施方案的科学、技术可行、思路清晰、目标明确、措施到位、针对性强、安装、培训、调试等方面进行评审打分。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（2）根据安装、调试及培训方案；方案和措施不少于5条的得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（3）质量保证措施及安全文明施工措施；方案和措施不少于5条的得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（4）根据招标文件要求，投标人自行组织人员现场勘察，</w:t>
            </w:r>
            <w:r>
              <w:rPr>
                <w:rFonts w:hint="eastAsia" w:ascii="宋体" w:hAnsi="宋体" w:eastAsia="宋体" w:cs="宋体"/>
                <w:color w:val="auto"/>
                <w:sz w:val="21"/>
                <w:szCs w:val="21"/>
                <w:highlight w:val="none"/>
                <w:lang w:val="en-US" w:eastAsia="zh-CN"/>
              </w:rPr>
              <w:t xml:space="preserve">在招标文件清单中自行选择点位，针对电子警察违法抓拍、新建红绿灯各提供一张</w:t>
            </w:r>
            <w:r>
              <w:rPr>
                <w:rFonts w:hint="eastAsia" w:ascii="宋体" w:hAnsi="宋体" w:eastAsia="宋体" w:cs="宋体"/>
                <w:color w:val="auto"/>
                <w:sz w:val="21"/>
                <w:szCs w:val="21"/>
                <w:highlight w:val="none"/>
              </w:rPr>
              <w:t xml:space="preserve">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每提供一种完整深化设计图纸得2分，满分4分。</w:t>
            </w:r>
            <w:r/>
          </w:p>
        </w:tc>
      </w:tr>
      <w:tr>
        <w:trPr>
          <w:jc w:val="center"/>
          <w:trHeight w:val="1215"/>
        </w:trPr>
        <w:tc>
          <w:tcPr>
            <w:tcW w:w="5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r/>
          </w:p>
        </w:tc>
      </w:tr>
      <w:tr>
        <w:trPr>
          <w:jc w:val="center"/>
          <w:trHeight w:val="577"/>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2、拟投入本项目的团队成员（不含项目负责人）具有网络规划设计师证书、系统集成项目管理工程师、低压电工证书的，每提供一个人员证书，得1分，本项最高得3分；同一人员、同专业证书不重复计分。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注：投标时以上人员需提供人员证书原件扫描件及投标人与以上人员签订的劳动合同原件扫描件，未按要求提供证明材料的不得分。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对投标人提供的售后技术服务方案进行打分，方案须包含但不限于以下内容：</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1、具体可行的售后服务体系（3分）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3分；3-5个方面进行合理叙述承诺的得2分；1-2个方面进行合理叙述承诺的得1分；方案内容有明显重大缺陷的或未提供的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2、出现问题应急方案（3分）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响应整体架构完整、响应时间合理、人员设备应急响应能力充足应急方案中具有针对本项目的合理化建议大于等于5条的得3分；急响应整体架构完整、响应时间合理、人员设备应急响应能力充足应急方案中具有针对本项目的合理化建议3-4条的得2分；急响应整体架构完整、响应时间合理、人员设备应急响应能力充足应急方案中具有针对本项目的合理化建议1-2条的得1分；方案内容有明显重大缺陷的或未提供的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3、售后技术服务人员配备（3分）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类似业绩（3分）</w:t>
            </w:r>
            <w:r/>
          </w:p>
        </w:tc>
        <w:tc>
          <w:tcPr>
            <w:tcBorders>
              <w:left w:val="single" w:color="auto" w:sz="4" w:space="0"/>
              <w:bottom w:val="single" w:color="auto" w:sz="4" w:space="0"/>
              <w:right w:val="single" w:color="auto" w:sz="4" w:space="0"/>
            </w:tcBorders>
            <w:tcW w:w="473" w:type="pct"/>
            <w:vAlign w:val="center"/>
            <w:textDirection w:val="lrTb"/>
            <w:noWrap w:val="false"/>
          </w:tcPr>
          <w:p>
            <w:pPr>
              <w:pStyle w:val="959"/>
              <w:jc w:val="center"/>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投标人提供2023年1月1日以来类项目业绩合同（以合同签订日期为准），每提供1个得1.5分，最高得3分，未提供的不得分。业绩材料须提供项目合同彩色扫描件上传至投标文件。</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节能环保</w:t>
            </w:r>
            <w:r>
              <w:rPr>
                <w:rFonts w:hint="eastAsia" w:ascii="宋体" w:hAnsi="宋体" w:eastAsia="宋体" w:cs="宋体"/>
                <w:color w:val="auto"/>
                <w:sz w:val="21"/>
                <w:szCs w:val="21"/>
                <w:highlight w:val="none"/>
                <w:lang w:val="en-US" w:eastAsia="zh-CN"/>
              </w:rPr>
              <w:t xml:space="preserve">（2分）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1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诚信投标（2分）</w:t>
            </w:r>
            <w:r/>
          </w:p>
        </w:tc>
        <w:tc>
          <w:tcPr>
            <w:tcW w:w="9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59"/>
              <w:keepLines w:val="0"/>
              <w:keepNext w:val="0"/>
              <w:pageBreakBefore w:val="0"/>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提供盐城市大丰区政府采购事前信用承诺书的，得2分。</w:t>
            </w:r>
            <w:r/>
          </w:p>
        </w:tc>
      </w:tr>
    </w:tbl>
    <w:p>
      <w:pPr>
        <w:pStyle w:val="960"/>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788"/>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88"/>
        <w:jc w:val="center"/>
        <w:keepLines w:val="0"/>
        <w:keepNext/>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788"/>
        <w:jc w:val="center"/>
        <w:spacing w:beforeAutospacing="0" w:afterAutospacing="0"/>
        <w:rPr>
          <w:rFonts w:hint="eastAsia" w:ascii="宋体" w:hAnsi="宋体" w:eastAsia="宋体" w:cs="宋体"/>
          <w:b/>
          <w:color w:val="auto"/>
          <w:sz w:val="72"/>
          <w:szCs w:val="72"/>
          <w:highlight w:val="none"/>
        </w:rPr>
      </w:pPr>
      <w:r/>
      <w:bookmarkStart w:id="285" w:name="_Toc49090576"/>
      <w:r/>
      <w:bookmarkEnd w:id="285"/>
      <w:r/>
      <w:bookmarkStart w:id="286" w:name="_Toc120614282"/>
      <w:r/>
      <w:bookmarkEnd w:id="286"/>
      <w:r/>
      <w:bookmarkStart w:id="287" w:name="_Hlt26671244"/>
      <w:r/>
      <w:bookmarkStart w:id="288" w:name="_Hlt26955039"/>
      <w:r/>
      <w:bookmarkStart w:id="289" w:name="_Toc26554094"/>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8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二、上一年度的财务状况报表（至少提供资产负债表、利润表、现金流量表，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九、小微企业声明函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eastAsia="zh-CN"/>
        </w:rPr>
        <w:t xml:space="preserve">盐城市大丰区政府采购事前信用承诺书</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二、上一年度的财务状况报表</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三</w:t>
      </w:r>
      <w:r>
        <w:rPr>
          <w:rFonts w:hint="eastAsia" w:ascii="宋体" w:hAnsi="宋体" w:eastAsia="宋体" w:cs="宋体"/>
          <w:b/>
          <w:bCs/>
          <w:i/>
          <w:color w:val="auto"/>
          <w:sz w:val="32"/>
          <w:szCs w:val="32"/>
          <w:highlight w:val="none"/>
          <w:u w:val="single"/>
        </w:rPr>
        <w:t xml:space="preserve">、具备履行合同所必需的设备和专业技术能力的书面声明</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四</w:t>
      </w:r>
      <w:r>
        <w:rPr>
          <w:rFonts w:hint="eastAsia" w:ascii="宋体" w:hAnsi="宋体" w:eastAsia="宋体" w:cs="宋体"/>
          <w:b/>
          <w:bCs/>
          <w:i/>
          <w:color w:val="auto"/>
          <w:sz w:val="32"/>
          <w:szCs w:val="32"/>
          <w:highlight w:val="none"/>
          <w:u w:val="single"/>
        </w:rPr>
        <w:t xml:space="preserve">、依法缴纳税收和社会保障资金的相关材料</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788"/>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六、特定资格要求的证明文件</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88"/>
        <w:jc w:val="center"/>
        <w:spacing w:beforeAutospacing="0" w:afterAutospacing="0"/>
        <w:rPr>
          <w:rFonts w:hint="eastAsia" w:ascii="宋体" w:hAnsi="宋体" w:eastAsia="宋体" w:cs="宋体"/>
          <w:i/>
          <w:color w:val="auto"/>
          <w:sz w:val="32"/>
          <w:szCs w:val="32"/>
          <w:highlight w:val="none"/>
          <w:u w:val="single"/>
        </w:rPr>
      </w:pPr>
      <w:r/>
      <w:bookmarkStart w:id="290" w:name="_Toc120614284"/>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七、法人授权书</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291" w:name="_Hlt26955070"/>
      <w:r/>
      <w:bookmarkStart w:id="292" w:name="_Hlt26671380"/>
      <w:r/>
      <w:bookmarkStart w:id="293" w:name="_格式3__银行出具的资信证明"/>
      <w:r>
        <w:rPr>
          <w:rFonts w:hint="eastAsia" w:ascii="宋体" w:hAnsi="宋体" w:eastAsia="宋体" w:cs="宋体"/>
          <w:color w:val="auto"/>
          <w:highlight w:val="none"/>
          <w:u w:val="single"/>
        </w:rPr>
        <w:t xml:space="preserve">            </w:t>
      </w:r>
      <w:r/>
    </w:p>
    <w:p>
      <w:pPr>
        <w:pStyle w:val="78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788"/>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致：盐城市大丰区公共资源交易中心</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321"/>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九、小微企业声明函（货物）</w:t>
      </w:r>
      <w:r>
        <w:rPr>
          <w:rFonts w:hint="eastAsia" w:ascii="宋体" w:hAnsi="宋体" w:eastAsia="宋体" w:cs="宋体"/>
          <w:b/>
          <w:color w:val="auto"/>
          <w:sz w:val="32"/>
          <w:szCs w:val="32"/>
          <w:highlight w:val="none"/>
          <w:lang w:eastAsia="zh-CN"/>
        </w:rPr>
        <w:t xml:space="preserve"> </w:t>
      </w:r>
      <w:r/>
    </w:p>
    <w:p>
      <w:pPr>
        <w:pStyle w:val="788"/>
        <w:ind w:firstLine="480"/>
        <w:jc w:val="left"/>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盐城市大丰区公共资源交易中心</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本企业对上述声明内容的真实性负责。如有虚假，将依法承担相应责任</w:t>
      </w:r>
      <w:r>
        <w:rPr>
          <w:rFonts w:hint="eastAsia" w:ascii="宋体" w:hAnsi="宋体" w:eastAsia="宋体" w:cs="宋体"/>
          <w:color w:val="auto"/>
          <w:highlight w:val="none"/>
          <w:lang w:eastAsia="zh-CN"/>
        </w:rPr>
        <w:t xml:space="preserve">。</w:t>
      </w:r>
      <w:r/>
    </w:p>
    <w:p>
      <w:pPr>
        <w:pStyle w:val="788"/>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right="180" w:firstLine="36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88"/>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8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8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rPr>
          <w:rFonts w:hint="eastAsia" w:ascii="宋体" w:hAnsi="宋体" w:eastAsia="宋体" w:cs="宋体"/>
          <w:b/>
          <w:color w:val="auto"/>
          <w:sz w:val="32"/>
          <w:szCs w:val="32"/>
          <w:highlight w:val="none"/>
          <w:lang w:eastAsia="zh-CN"/>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788"/>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32"/>
          <w:szCs w:val="32"/>
          <w:highlight w:val="none"/>
        </w:rPr>
        <w:t xml:space="preserve">十一、</w:t>
      </w:r>
      <w:r>
        <w:rPr>
          <w:rFonts w:ascii="黑体" w:hAnsi="宋体" w:eastAsia="黑体" w:cs="黑体"/>
          <w:b/>
          <w:bCs/>
          <w:color w:val="auto"/>
          <w:sz w:val="32"/>
          <w:szCs w:val="32"/>
          <w:highlight w:val="none"/>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Arial" w:hAnsi="Arial" w:eastAsia="宋体" w:cs="Arial"/>
          <w:b/>
          <w:bCs/>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w:t>
      </w:r>
      <w:r>
        <w:rPr>
          <w:rFonts w:hint="default" w:ascii="宋体" w:hAnsi="宋体" w:eastAsia="宋体" w:cs="宋体"/>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vertAlign w:val="superscript"/>
          <w:lang w:val="en-US" w:eastAsia="zh-CN" w:bidi="ar-SA"/>
        </w:rPr>
        <w:t xml:space="preserve">1</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vertAlign w:val="superscript"/>
          <w:lang w:val="en-US" w:eastAsia="zh-CN" w:bidi="ar-SA"/>
        </w:rPr>
        <w:t xml:space="preserve">2</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 （产品名称1）</w:t>
      </w:r>
      <w:r>
        <w:rPr>
          <w:rFonts w:hint="default" w:ascii="宋体" w:hAnsi="宋体" w:eastAsia="宋体" w:cs="宋体"/>
          <w:color w:val="auto"/>
          <w:sz w:val="24"/>
          <w:szCs w:val="24"/>
          <w:highlight w:val="none"/>
          <w:u w:val="singl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3</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4</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5</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w:t>
      </w:r>
      <w:r>
        <w:rPr>
          <w:rFonts w:hint="default" w:ascii="宋体" w:hAnsi="宋体" w:eastAsia="宋体" w:cs="宋体"/>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60" w:lineRule="exact"/>
        <w:widowControl w:val="off"/>
        <w:rPr>
          <w:rFonts w:hint="default"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60" w:lineRule="exact"/>
        <w:widowControl w:val="off"/>
        <w:rPr>
          <w:rFonts w:hint="eastAsia"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6.用横线划除的地方无需填写。</w:t>
      </w:r>
      <w:r/>
    </w:p>
    <w:p>
      <w:pPr>
        <w:pStyle w:val="788"/>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十二、投标分项报价表</w:t>
      </w:r>
      <w:r>
        <w:rPr>
          <w:rFonts w:hint="eastAsia" w:ascii="宋体" w:hAnsi="宋体" w:eastAsia="宋体" w:cs="宋体"/>
          <w:b/>
          <w:color w:val="auto"/>
          <w:sz w:val="32"/>
          <w:szCs w:val="32"/>
          <w:highlight w:val="none"/>
          <w:lang w:eastAsia="zh-CN"/>
        </w:rPr>
        <w:t xml:space="preserve"> </w:t>
      </w:r>
      <w:r/>
    </w:p>
    <w:tbl>
      <w:tblPr>
        <w:tblStyle w:val="767"/>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165"/>
        <w:gridCol w:w="1059"/>
        <w:gridCol w:w="1520"/>
        <w:gridCol w:w="874"/>
        <w:gridCol w:w="1073"/>
        <w:gridCol w:w="814"/>
        <w:gridCol w:w="1483"/>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十三、技术要求响应及偏离表</w:t>
      </w:r>
      <w:r>
        <w:rPr>
          <w:rFonts w:hint="eastAsia" w:ascii="宋体" w:hAnsi="宋体" w:eastAsia="宋体" w:cs="宋体"/>
          <w:b/>
          <w:color w:val="auto"/>
          <w:sz w:val="32"/>
          <w:szCs w:val="32"/>
          <w:highlight w:val="none"/>
          <w:lang w:eastAsia="zh-CN"/>
        </w:rPr>
        <w:t xml:space="preserve"> </w:t>
      </w:r>
      <w:r/>
    </w:p>
    <w:tbl>
      <w:tblPr>
        <w:tblStyle w:val="7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lang w:eastAsia="zh-CN"/>
        </w:rPr>
      </w:pPr>
      <w:r/>
      <w:bookmarkStart w:id="294" w:name="_Hlt26955054"/>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eastAsia="zh-CN"/>
        </w:rPr>
        <w:t xml:space="preserve"> </w:t>
      </w:r>
      <w:r/>
    </w:p>
    <w:tbl>
      <w:tblPr>
        <w:tblStyle w:val="7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bookmarkStart w:id="295" w:name="_Hlt26671343"/>
            <w:r/>
            <w:bookmarkStart w:id="296" w:name="_Hlt26609391"/>
            <w:r/>
            <w:bookmarkStart w:id="297" w:name="_Hlt26955056"/>
            <w:r/>
            <w:bookmarkStart w:id="298" w:name="_Hlt26955064"/>
            <w:r/>
            <w:bookmarkStart w:id="299" w:name="_Hlt24879081"/>
            <w:r/>
            <w:bookmarkStart w:id="300" w:name="_Hlt26782999"/>
            <w:r/>
            <w:bookmarkStart w:id="301" w:name="_Hlt26671372"/>
            <w:r/>
            <w:bookmarkStart w:id="302" w:name="_Hlt26580838"/>
            <w:r>
              <w:rPr>
                <w:rFonts w:hint="eastAsia" w:ascii="宋体" w:hAnsi="宋体" w:eastAsia="宋体" w:cs="宋体"/>
                <w:color w:val="auto"/>
                <w:highlight w:val="none"/>
              </w:rPr>
              <w:t xml:space="preserve">序号</w:t>
            </w:r>
            <w:bookmarkEnd w:id="295"/>
            <w:r/>
            <w:bookmarkEnd w:id="296"/>
            <w:r/>
            <w:bookmarkEnd w:id="297"/>
            <w:r/>
            <w:bookmarkEnd w:id="298"/>
            <w:r/>
            <w:bookmarkEnd w:id="299"/>
            <w:r/>
            <w:bookmarkEnd w:id="300"/>
            <w:r/>
            <w:bookmarkEnd w:id="301"/>
            <w:r/>
            <w:bookmarkEnd w:id="302"/>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bookmarkStart w:id="303" w:name="_Hlt26955066"/>
      <w:r/>
      <w:bookmarkStart w:id="304" w:name="_Hlt26609389"/>
      <w:r/>
      <w:bookmarkStart w:id="305" w:name="_Hlt26671374"/>
      <w:r/>
      <w:bookmarkStart w:id="306" w:name="_格式2__法定代表人授权书"/>
      <w:r/>
      <w:bookmarkStart w:id="307" w:name="_Toc462564146"/>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left"/>
        <w:spacing w:before="50" w:after="50"/>
        <w:rPr>
          <w:rFonts w:hint="eastAsia" w:ascii="宋体" w:hAnsi="宋体" w:eastAsia="宋体" w:cs="宋体"/>
          <w:color w:val="auto"/>
          <w:sz w:val="32"/>
          <w:szCs w:val="32"/>
          <w:highlight w:val="none"/>
        </w:rPr>
      </w:pPr>
      <w:r>
        <w:rPr>
          <w:rFonts w:hint="eastAsia" w:ascii="宋体" w:hAnsi="宋体" w:eastAsia="宋体" w:cs="宋体"/>
          <w:b/>
          <w:i/>
          <w:color w:val="auto"/>
          <w:sz w:val="32"/>
          <w:szCs w:val="32"/>
          <w:highlight w:val="none"/>
          <w:u w:val="single"/>
        </w:rPr>
        <w:t xml:space="preserve">十五、开标一览表</w:t>
      </w:r>
      <w:r/>
    </w:p>
    <w:tbl>
      <w:tblPr>
        <w:tblStyle w:val="76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2"/>
        <w:gridCol w:w="5040"/>
      </w:tblGrid>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c>
        <w:tc>
          <w:tcPr>
            <w:tcW w:w="2531" w:type="pct"/>
            <w:vAlign w:val="center"/>
            <w:textDirection w:val="lrTb"/>
            <w:noWrap w:val="false"/>
          </w:tcPr>
          <w:p>
            <w:pPr>
              <w:pStyle w:val="963"/>
              <w:ind w:firstLine="68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tc>
        <w:tc>
          <w:tcPr>
            <w:tcW w:w="2531" w:type="pct"/>
            <w:vAlign w:val="center"/>
            <w:textDirection w:val="lrTb"/>
            <w:noWrap w:val="false"/>
          </w:tcPr>
          <w:p>
            <w:pPr>
              <w:pStyle w:val="963"/>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核心产品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900万环保卡口相机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品牌</w:t>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项目投标报价：（大写）</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rPr>
                <w:rFonts w:hint="eastAsia" w:ascii="宋体" w:hAnsi="宋体" w:eastAsia="宋体" w:cs="宋体"/>
                <w:b/>
                <w:bCs/>
                <w:color w:val="auto"/>
                <w:szCs w:val="28"/>
                <w:highlight w:val="none"/>
              </w:rPr>
              <w:t xml:space="preserve">           见</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页</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合同履行期限： </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项目负责人：</w:t>
            </w:r>
            <w:r/>
          </w:p>
        </w:tc>
      </w:tr>
    </w:tbl>
    <w:p>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1.开标一览表不得填报选择性报价，否则将作为无效投标；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2.开标一览表中报价与投标分项明细报价表中不符时时，以开标一览表为准；</w:t>
      </w:r>
      <w:r/>
    </w:p>
    <w:p>
      <w:pPr>
        <w:ind w:firstLine="264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供应商名称（公章）：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 xml:space="preserve">十六、技术方案、服务承诺、培训承诺等</w:t>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 xml:space="preserve">十七、</w:t>
      </w:r>
      <w:r>
        <w:rPr>
          <w:rFonts w:hint="eastAsia" w:ascii="宋体" w:hAnsi="宋体" w:eastAsia="宋体" w:cs="宋体"/>
          <w:b/>
          <w:bCs/>
          <w:color w:val="auto"/>
          <w:sz w:val="32"/>
          <w:szCs w:val="32"/>
          <w:highlight w:val="none"/>
          <w:lang w:eastAsia="zh-CN"/>
        </w:rPr>
        <w:t xml:space="preserve">盐城市大丰区政府采购事前信用承诺书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sz w:val="24"/>
          <w:highlight w:val="none"/>
        </w:rPr>
        <w:t xml:space="preserve">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9"/>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78"/>
      <w:r/>
      <w:bookmarkEnd w:id="284"/>
      <w:r/>
      <w:bookmarkEnd w:id="287"/>
      <w:r/>
      <w:bookmarkEnd w:id="288"/>
      <w:r/>
      <w:bookmarkEnd w:id="289"/>
      <w:r/>
      <w:bookmarkEnd w:id="290"/>
      <w:r/>
      <w:bookmarkEnd w:id="291"/>
      <w:r/>
      <w:bookmarkEnd w:id="292"/>
      <w:r/>
      <w:bookmarkEnd w:id="293"/>
      <w:r/>
      <w:bookmarkEnd w:id="294"/>
      <w:r/>
      <w:bookmarkEnd w:id="303"/>
      <w:r/>
      <w:bookmarkEnd w:id="304"/>
      <w:r/>
      <w:bookmarkEnd w:id="305"/>
      <w:r/>
      <w:bookmarkEnd w:id="306"/>
      <w:r/>
      <w:bookmarkEnd w:id="307"/>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88"/>
        <w:jc w:val="both"/>
        <w:keepLines w:val="0"/>
        <w:keepNext w:val="0"/>
        <w:pageBreakBefore w:val="0"/>
        <w:spacing w:before="290"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88"/>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highlight w:val="none"/>
        </w:rPr>
        <w:t xml:space="preserve">、主要负责人，或者其授权代表签字或者盖章，并加盖公章。</w:t>
      </w:r>
      <w:r/>
    </w:p>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4"/>
          <w:highlight w:val="none"/>
        </w:rPr>
        <w:t xml:space="preserve">政府采购合同履约验收书（参考格式）</w:t>
      </w:r>
      <w:r/>
    </w:p>
    <w:p>
      <w:pPr>
        <w:ind w:left="0" w:right="0"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根据政府采购合同（编号：）的约定，我单位组织对</w:t>
      </w:r>
      <w:r>
        <w:rPr>
          <w:rFonts w:hint="eastAsia" w:ascii="宋体" w:hAnsi="宋体" w:eastAsia="宋体" w:cs="宋体"/>
          <w:color w:val="auto"/>
          <w:sz w:val="21"/>
          <w:highlight w:val="none"/>
          <w:u w:val="single"/>
        </w:rPr>
        <w:t xml:space="preserve">（项目名称）</w:t>
      </w:r>
      <w:r>
        <w:rPr>
          <w:rFonts w:hint="eastAsia" w:ascii="宋体" w:hAnsi="宋体" w:eastAsia="宋体" w:cs="宋体"/>
          <w:color w:val="auto"/>
          <w:sz w:val="21"/>
          <w:highlight w:val="none"/>
        </w:rPr>
        <w:t xml:space="preserve">项目中标（成交）供应商</w:t>
      </w:r>
      <w:r>
        <w:rPr>
          <w:rFonts w:hint="eastAsia" w:ascii="宋体" w:hAnsi="宋体" w:eastAsia="宋体" w:cs="宋体"/>
          <w:color w:val="auto"/>
          <w:sz w:val="21"/>
          <w:highlight w:val="none"/>
          <w:u w:val="single"/>
        </w:rPr>
        <w:t xml:space="preserve">（公司名称）</w:t>
      </w:r>
      <w:r>
        <w:rPr>
          <w:rFonts w:hint="eastAsia" w:ascii="宋体" w:hAnsi="宋体" w:eastAsia="宋体" w:cs="宋体"/>
          <w:color w:val="auto"/>
          <w:sz w:val="21"/>
          <w:highlight w:val="none"/>
        </w:rPr>
        <w:t xml:space="preserve">提供的货物（工程、服务）进行了履约验收，验收情况如下：</w:t>
      </w:r>
      <w:r/>
    </w:p>
    <w:tbl>
      <w:tblPr>
        <w:tblStyle w:val="79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验收情况和验收意见</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（可另附）</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验收小组（签字）：</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bl>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788"/>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幼圆">
    <w:panose1 w:val="0201050906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135" cy="12192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1135" cy="121920"/>
              <wp:effectExtent l="0" t="0" r="0" b="0"/>
              <wp:wrapNone/>
              <wp:docPr id="3" name="文本框 496883545"/>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7">
    <w:name w:val="Heading 1"/>
    <w:basedOn w:val="756"/>
    <w:next w:val="756"/>
    <w:uiPriority w:val="9"/>
    <w:qFormat/>
    <w:pPr>
      <w:keepLines/>
      <w:keepNext/>
      <w:spacing w:before="340" w:after="330" w:line="578" w:lineRule="auto"/>
      <w:outlineLvl w:val="0"/>
    </w:pPr>
    <w:rPr>
      <w:b/>
      <w:bCs/>
      <w:sz w:val="44"/>
      <w:szCs w:val="44"/>
    </w:rPr>
  </w:style>
  <w:style w:type="paragraph" w:styleId="758">
    <w:name w:val="Heading 2"/>
    <w:basedOn w:val="756"/>
    <w:next w:val="7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59">
    <w:name w:val="Heading 3"/>
    <w:basedOn w:val="756"/>
    <w:next w:val="756"/>
    <w:uiPriority w:val="0"/>
    <w:unhideWhenUsed/>
    <w:qFormat/>
    <w:pPr>
      <w:keepLines/>
      <w:keepNext/>
      <w:spacing w:before="260" w:after="260" w:line="416" w:lineRule="auto"/>
      <w:outlineLvl w:val="2"/>
    </w:pPr>
    <w:rPr>
      <w:b/>
      <w:bCs/>
      <w:sz w:val="32"/>
      <w:szCs w:val="32"/>
    </w:rPr>
  </w:style>
  <w:style w:type="paragraph" w:styleId="760">
    <w:name w:val="Heading 4"/>
    <w:basedOn w:val="756"/>
    <w:next w:val="75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1">
    <w:name w:val="Heading 5"/>
    <w:basedOn w:val="756"/>
    <w:next w:val="756"/>
    <w:uiPriority w:val="9"/>
    <w:semiHidden/>
    <w:unhideWhenUsed/>
    <w:qFormat/>
    <w:pPr>
      <w:keepLines/>
      <w:keepNext/>
      <w:spacing w:before="280" w:after="290" w:line="372" w:lineRule="auto"/>
      <w:outlineLvl w:val="4"/>
    </w:pPr>
    <w:rPr>
      <w:b/>
      <w:sz w:val="28"/>
    </w:rPr>
  </w:style>
  <w:style w:type="paragraph" w:styleId="762">
    <w:name w:val="Heading 6"/>
    <w:basedOn w:val="756"/>
    <w:next w:val="756"/>
    <w:link w:val="801"/>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3"/>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4"/>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Body Text"/>
    <w:basedOn w:val="756"/>
    <w:next w:val="756"/>
    <w:uiPriority w:val="0"/>
    <w:unhideWhenUsed/>
    <w:qFormat/>
    <w:pPr>
      <w:spacing w:after="120"/>
    </w:pPr>
    <w:rPr>
      <w:rFonts w:ascii="Calibri" w:hAnsi="Calibri"/>
      <w:szCs w:val="22"/>
    </w:rPr>
  </w:style>
  <w:style w:type="paragraph" w:styleId="769">
    <w:name w:val="toc 7"/>
    <w:basedOn w:val="756"/>
    <w:next w:val="756"/>
    <w:uiPriority w:val="39"/>
    <w:unhideWhenUsed/>
    <w:qFormat/>
    <w:pPr>
      <w:ind w:left="1701" w:right="0" w:firstLine="0"/>
      <w:spacing w:after="57"/>
    </w:pPr>
  </w:style>
  <w:style w:type="paragraph" w:styleId="770">
    <w:name w:val="Caption"/>
    <w:basedOn w:val="756"/>
    <w:next w:val="7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1">
    <w:name w:val="annotation text"/>
    <w:basedOn w:val="756"/>
    <w:uiPriority w:val="0"/>
    <w:qFormat/>
    <w:pPr>
      <w:jc w:val="left"/>
    </w:pPr>
  </w:style>
  <w:style w:type="paragraph" w:styleId="772">
    <w:name w:val="Block Text"/>
    <w:basedOn w:val="756"/>
    <w:uiPriority w:val="0"/>
    <w:qFormat/>
    <w:pPr>
      <w:ind w:left="420" w:right="33"/>
      <w:jc w:val="left"/>
    </w:pPr>
    <w:rPr>
      <w:sz w:val="24"/>
    </w:rPr>
  </w:style>
  <w:style w:type="paragraph" w:styleId="773">
    <w:name w:val="toc 5"/>
    <w:basedOn w:val="756"/>
    <w:next w:val="756"/>
    <w:uiPriority w:val="39"/>
    <w:unhideWhenUsed/>
    <w:qFormat/>
    <w:pPr>
      <w:ind w:left="1134" w:right="0" w:firstLine="0"/>
      <w:spacing w:after="57"/>
    </w:pPr>
  </w:style>
  <w:style w:type="paragraph" w:styleId="774">
    <w:name w:val="toc 3"/>
    <w:basedOn w:val="756"/>
    <w:next w:val="756"/>
    <w:uiPriority w:val="39"/>
    <w:unhideWhenUsed/>
    <w:qFormat/>
    <w:pPr>
      <w:ind w:left="567" w:right="0" w:firstLine="0"/>
      <w:spacing w:after="57"/>
    </w:pPr>
  </w:style>
  <w:style w:type="paragraph" w:styleId="775">
    <w:name w:val="Plain Text"/>
    <w:basedOn w:val="756"/>
    <w:uiPriority w:val="0"/>
    <w:unhideWhenUsed/>
    <w:qFormat/>
    <w:rPr>
      <w:rFonts w:ascii="宋体" w:hAnsi="Courier New" w:cs="Courier New"/>
      <w:szCs w:val="21"/>
    </w:rPr>
  </w:style>
  <w:style w:type="paragraph" w:styleId="776">
    <w:name w:val="toc 8"/>
    <w:basedOn w:val="756"/>
    <w:next w:val="756"/>
    <w:uiPriority w:val="39"/>
    <w:unhideWhenUsed/>
    <w:qFormat/>
    <w:pPr>
      <w:ind w:left="1984" w:right="0" w:firstLine="0"/>
      <w:spacing w:after="57"/>
    </w:pPr>
  </w:style>
  <w:style w:type="paragraph" w:styleId="777">
    <w:name w:val="endnote text"/>
    <w:basedOn w:val="756"/>
    <w:link w:val="941"/>
    <w:uiPriority w:val="99"/>
    <w:semiHidden/>
    <w:unhideWhenUsed/>
    <w:qFormat/>
    <w:pPr>
      <w:spacing w:after="0" w:line="240" w:lineRule="auto"/>
    </w:pPr>
    <w:rPr>
      <w:sz w:val="20"/>
    </w:rPr>
  </w:style>
  <w:style w:type="paragraph" w:styleId="778">
    <w:name w:val="Footer"/>
    <w:basedOn w:val="756"/>
    <w:link w:val="944"/>
    <w:uiPriority w:val="0"/>
    <w:qFormat/>
    <w:pPr>
      <w:jc w:val="left"/>
      <w:tabs>
        <w:tab w:val="center" w:pos="4153" w:leader="none"/>
        <w:tab w:val="right" w:pos="8306" w:leader="none"/>
      </w:tabs>
    </w:pPr>
    <w:rPr>
      <w:sz w:val="18"/>
      <w:szCs w:val="18"/>
    </w:rPr>
  </w:style>
  <w:style w:type="paragraph" w:styleId="779">
    <w:name w:val="Header"/>
    <w:basedOn w:val="756"/>
    <w:link w:val="943"/>
    <w:uiPriority w:val="0"/>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6"/>
    <w:next w:val="756"/>
    <w:uiPriority w:val="39"/>
    <w:unhideWhenUsed/>
    <w:qFormat/>
    <w:pPr>
      <w:ind w:left="0" w:right="0" w:firstLine="0"/>
      <w:spacing w:after="57"/>
    </w:pPr>
  </w:style>
  <w:style w:type="paragraph" w:styleId="781">
    <w:name w:val="toc 4"/>
    <w:basedOn w:val="756"/>
    <w:next w:val="756"/>
    <w:uiPriority w:val="39"/>
    <w:unhideWhenUsed/>
    <w:qFormat/>
    <w:pPr>
      <w:ind w:left="850" w:right="0" w:firstLine="0"/>
      <w:spacing w:after="57"/>
    </w:pPr>
  </w:style>
  <w:style w:type="paragraph" w:styleId="782">
    <w:name w:val="Subtitle"/>
    <w:basedOn w:val="756"/>
    <w:next w:val="756"/>
    <w:link w:val="807"/>
    <w:uiPriority w:val="11"/>
    <w:qFormat/>
    <w:pPr>
      <w:spacing w:before="200" w:after="200"/>
    </w:pPr>
    <w:rPr>
      <w:sz w:val="24"/>
      <w:szCs w:val="24"/>
    </w:rPr>
  </w:style>
  <w:style w:type="paragraph" w:styleId="783">
    <w:name w:val="footnote text"/>
    <w:basedOn w:val="756"/>
    <w:link w:val="940"/>
    <w:uiPriority w:val="99"/>
    <w:semiHidden/>
    <w:unhideWhenUsed/>
    <w:qFormat/>
    <w:pPr>
      <w:spacing w:after="40" w:line="240" w:lineRule="auto"/>
    </w:pPr>
    <w:rPr>
      <w:sz w:val="18"/>
    </w:rPr>
  </w:style>
  <w:style w:type="paragraph" w:styleId="784">
    <w:name w:val="toc 6"/>
    <w:basedOn w:val="756"/>
    <w:next w:val="756"/>
    <w:uiPriority w:val="39"/>
    <w:unhideWhenUsed/>
    <w:qFormat/>
    <w:pPr>
      <w:ind w:left="1417" w:right="0" w:firstLine="0"/>
      <w:spacing w:after="57"/>
    </w:pPr>
  </w:style>
  <w:style w:type="paragraph" w:styleId="785">
    <w:name w:val="table of figures"/>
    <w:basedOn w:val="756"/>
    <w:next w:val="756"/>
    <w:uiPriority w:val="99"/>
    <w:unhideWhenUsed/>
    <w:qFormat/>
    <w:pPr>
      <w:spacing w:after="0" w:afterAutospacing="0"/>
    </w:pPr>
  </w:style>
  <w:style w:type="paragraph" w:styleId="786">
    <w:name w:val="toc 2"/>
    <w:basedOn w:val="756"/>
    <w:next w:val="756"/>
    <w:uiPriority w:val="39"/>
    <w:unhideWhenUsed/>
    <w:qFormat/>
    <w:pPr>
      <w:ind w:left="283" w:right="0" w:firstLine="0"/>
      <w:spacing w:after="57"/>
    </w:pPr>
  </w:style>
  <w:style w:type="paragraph" w:styleId="787">
    <w:name w:val="toc 9"/>
    <w:basedOn w:val="756"/>
    <w:next w:val="756"/>
    <w:uiPriority w:val="39"/>
    <w:unhideWhenUsed/>
    <w:qFormat/>
    <w:pPr>
      <w:ind w:left="2268" w:right="0" w:firstLine="0"/>
      <w:spacing w:after="57"/>
    </w:pPr>
  </w:style>
  <w:style w:type="paragraph" w:styleId="788">
    <w:name w:val="Normal (Web)"/>
    <w:basedOn w:val="756"/>
    <w:uiPriority w:val="0"/>
    <w:qFormat/>
    <w:pPr>
      <w:jc w:val="left"/>
      <w:spacing w:beforeAutospacing="1" w:afterAutospacing="1"/>
    </w:pPr>
    <w:rPr>
      <w:rFonts w:cs="Times New Roman"/>
      <w:sz w:val="24"/>
    </w:rPr>
  </w:style>
  <w:style w:type="paragraph" w:styleId="789">
    <w:name w:val="Title"/>
    <w:basedOn w:val="756"/>
    <w:next w:val="756"/>
    <w:link w:val="806"/>
    <w:uiPriority w:val="10"/>
    <w:qFormat/>
    <w:pPr>
      <w:contextualSpacing/>
      <w:spacing w:before="300" w:after="200"/>
    </w:pPr>
    <w:rPr>
      <w:sz w:val="48"/>
      <w:szCs w:val="48"/>
    </w:rPr>
  </w:style>
  <w:style w:type="paragraph" w:styleId="790">
    <w:name w:val="Body Text First Indent"/>
    <w:basedOn w:val="768"/>
    <w:uiPriority w:val="99"/>
    <w:unhideWhenUsed/>
    <w:qFormat/>
    <w:pPr>
      <w:ind w:firstLine="420"/>
    </w:pPr>
  </w:style>
  <w:style w:type="table" w:styleId="791">
    <w:name w:val="Table Grid"/>
    <w:basedOn w:val="7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6"/>
    <w:uiPriority w:val="22"/>
    <w:qFormat/>
    <w:rPr>
      <w:b/>
    </w:rPr>
  </w:style>
  <w:style w:type="character" w:styleId="793">
    <w:name w:val="endnote reference"/>
    <w:basedOn w:val="766"/>
    <w:uiPriority w:val="99"/>
    <w:semiHidden/>
    <w:unhideWhenUsed/>
    <w:qFormat/>
    <w:rPr>
      <w:vertAlign w:val="superscript"/>
    </w:rPr>
  </w:style>
  <w:style w:type="character" w:styleId="794">
    <w:name w:val="Hyperlink"/>
    <w:uiPriority w:val="99"/>
    <w:unhideWhenUsed/>
    <w:qFormat/>
    <w:rPr>
      <w:color w:val="0563c1" w:themeColor="hyperlink"/>
      <w:u w:val="single"/>
      <w14:textFill>
        <w14:solidFill>
          <w14:schemeClr w14:val="hlink"/>
        </w14:solidFill>
      </w14:textFill>
    </w:rPr>
  </w:style>
  <w:style w:type="character" w:styleId="795">
    <w:name w:val="footnote reference"/>
    <w:basedOn w:val="766"/>
    <w:uiPriority w:val="99"/>
    <w:unhideWhenUsed/>
    <w:qFormat/>
    <w:rPr>
      <w:vertAlign w:val="superscript"/>
    </w:rPr>
  </w:style>
  <w:style w:type="character" w:styleId="796" w:customStyle="1">
    <w:name w:val="Heading 1 Char"/>
    <w:basedOn w:val="766"/>
    <w:uiPriority w:val="9"/>
    <w:qFormat/>
    <w:rPr>
      <w:rFonts w:ascii="Arial" w:hAnsi="Arial" w:eastAsia="Arial" w:cs="Arial"/>
      <w:sz w:val="40"/>
      <w:szCs w:val="40"/>
    </w:rPr>
  </w:style>
  <w:style w:type="character" w:styleId="797" w:customStyle="1">
    <w:name w:val="Heading 2 Char"/>
    <w:basedOn w:val="766"/>
    <w:uiPriority w:val="9"/>
    <w:qFormat/>
    <w:rPr>
      <w:rFonts w:ascii="Arial" w:hAnsi="Arial" w:eastAsia="Arial" w:cs="Arial"/>
      <w:sz w:val="34"/>
    </w:rPr>
  </w:style>
  <w:style w:type="character" w:styleId="798" w:customStyle="1">
    <w:name w:val="Heading 3 Char"/>
    <w:basedOn w:val="766"/>
    <w:uiPriority w:val="9"/>
    <w:qFormat/>
    <w:rPr>
      <w:rFonts w:ascii="Arial" w:hAnsi="Arial" w:eastAsia="Arial" w:cs="Arial"/>
      <w:sz w:val="30"/>
      <w:szCs w:val="30"/>
    </w:rPr>
  </w:style>
  <w:style w:type="character" w:styleId="799" w:customStyle="1">
    <w:name w:val="Heading 4 Char"/>
    <w:basedOn w:val="766"/>
    <w:uiPriority w:val="9"/>
    <w:qFormat/>
    <w:rPr>
      <w:rFonts w:ascii="Arial" w:hAnsi="Arial" w:eastAsia="Arial" w:cs="Arial"/>
      <w:b/>
      <w:bCs/>
      <w:sz w:val="26"/>
      <w:szCs w:val="26"/>
    </w:rPr>
  </w:style>
  <w:style w:type="character" w:styleId="800" w:customStyle="1">
    <w:name w:val="Heading 5 Char"/>
    <w:basedOn w:val="766"/>
    <w:uiPriority w:val="9"/>
    <w:qFormat/>
    <w:rPr>
      <w:rFonts w:ascii="Arial" w:hAnsi="Arial" w:eastAsia="Arial" w:cs="Arial"/>
      <w:b/>
      <w:bCs/>
      <w:sz w:val="24"/>
      <w:szCs w:val="24"/>
    </w:rPr>
  </w:style>
  <w:style w:type="character" w:styleId="801" w:customStyle="1">
    <w:name w:val="Heading 6 Char"/>
    <w:basedOn w:val="766"/>
    <w:link w:val="762"/>
    <w:uiPriority w:val="9"/>
    <w:qFormat/>
    <w:rPr>
      <w:rFonts w:ascii="Arial" w:hAnsi="Arial" w:eastAsia="Arial" w:cs="Arial"/>
      <w:b/>
      <w:bCs/>
      <w:sz w:val="22"/>
      <w:szCs w:val="22"/>
    </w:rPr>
  </w:style>
  <w:style w:type="character" w:styleId="802" w:customStyle="1">
    <w:name w:val="Heading 7 Char"/>
    <w:basedOn w:val="766"/>
    <w:link w:val="763"/>
    <w:uiPriority w:val="9"/>
    <w:qFormat/>
    <w:rPr>
      <w:rFonts w:ascii="Arial" w:hAnsi="Arial" w:eastAsia="Arial" w:cs="Arial"/>
      <w:b/>
      <w:bCs/>
      <w:i/>
      <w:iCs/>
      <w:sz w:val="22"/>
      <w:szCs w:val="22"/>
    </w:rPr>
  </w:style>
  <w:style w:type="character" w:styleId="803" w:customStyle="1">
    <w:name w:val="Heading 8 Char"/>
    <w:basedOn w:val="766"/>
    <w:link w:val="764"/>
    <w:uiPriority w:val="9"/>
    <w:qFormat/>
    <w:rPr>
      <w:rFonts w:ascii="Arial" w:hAnsi="Arial" w:eastAsia="Arial" w:cs="Arial"/>
      <w:i/>
      <w:iCs/>
      <w:sz w:val="22"/>
      <w:szCs w:val="22"/>
    </w:rPr>
  </w:style>
  <w:style w:type="character" w:styleId="804" w:customStyle="1">
    <w:name w:val="Heading 9 Char"/>
    <w:basedOn w:val="766"/>
    <w:link w:val="765"/>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basedOn w:val="766"/>
    <w:link w:val="789"/>
    <w:uiPriority w:val="10"/>
    <w:qFormat/>
    <w:rPr>
      <w:sz w:val="48"/>
      <w:szCs w:val="48"/>
    </w:rPr>
  </w:style>
  <w:style w:type="character" w:styleId="807" w:customStyle="1">
    <w:name w:val="Subtitle Char"/>
    <w:basedOn w:val="766"/>
    <w:link w:val="782"/>
    <w:uiPriority w:val="11"/>
    <w:qFormat/>
    <w:rPr>
      <w:sz w:val="24"/>
      <w:szCs w:val="24"/>
    </w:rPr>
  </w:style>
  <w:style w:type="paragraph" w:styleId="808">
    <w:name w:val="Quote"/>
    <w:basedOn w:val="756"/>
    <w:next w:val="756"/>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6"/>
    <w:next w:val="756"/>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basedOn w:val="766"/>
    <w:uiPriority w:val="99"/>
    <w:qFormat/>
  </w:style>
  <w:style w:type="character" w:styleId="813" w:customStyle="1">
    <w:name w:val="Footer Char"/>
    <w:basedOn w:val="766"/>
    <w:uiPriority w:val="99"/>
    <w:qFormat/>
  </w:style>
  <w:style w:type="character" w:styleId="814" w:customStyle="1">
    <w:name w:val="Caption Char"/>
    <w:uiPriority w:val="99"/>
    <w:qFormat/>
  </w:style>
  <w:style w:type="table" w:styleId="815" w:customStyle="1">
    <w:name w:val="Table Grid Light"/>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6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6 Colorful - Accent 6"/>
    <w:basedOn w:val="7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4 - Accent 2"/>
    <w:basedOn w:val="7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basedOn w:val="7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basedOn w:val="7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basedOn w:val="7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7" w:customStyle="1">
    <w:name w:val="List Table 4 - Accent 6"/>
    <w:basedOn w:val="7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6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6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6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6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6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List Table 7 Colorful"/>
    <w:basedOn w:val="7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7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7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7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7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7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7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Footnote Text Char"/>
    <w:link w:val="783"/>
    <w:uiPriority w:val="99"/>
    <w:qFormat/>
    <w:rPr>
      <w:sz w:val="18"/>
    </w:rPr>
  </w:style>
  <w:style w:type="character" w:styleId="941" w:customStyle="1">
    <w:name w:val="Endnote Text Char"/>
    <w:link w:val="777"/>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character" w:styleId="943" w:customStyle="1">
    <w:name w:val="页眉 Char"/>
    <w:basedOn w:val="766"/>
    <w:link w:val="779"/>
    <w:uiPriority w:val="0"/>
    <w:qFormat/>
    <w:rPr>
      <w:rFonts w:asciiTheme="minorHAnsi" w:hAnsiTheme="minorHAnsi" w:eastAsiaTheme="minorEastAsia" w:cstheme="minorBidi"/>
      <w:sz w:val="18"/>
      <w:szCs w:val="18"/>
    </w:rPr>
  </w:style>
  <w:style w:type="character" w:styleId="944" w:customStyle="1">
    <w:name w:val="页脚 Char"/>
    <w:basedOn w:val="766"/>
    <w:link w:val="778"/>
    <w:uiPriority w:val="0"/>
    <w:qFormat/>
    <w:rPr>
      <w:rFonts w:asciiTheme="minorHAnsi" w:hAnsiTheme="minorHAnsi" w:eastAsiaTheme="minorEastAsia" w:cstheme="minorBidi"/>
      <w:sz w:val="18"/>
      <w:szCs w:val="18"/>
    </w:rPr>
  </w:style>
  <w:style w:type="paragraph" w:styleId="9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6" w:customStyle="1">
    <w:name w:val="页脚1"/>
    <w:basedOn w:val="756"/>
    <w:uiPriority w:val="99"/>
    <w:unhideWhenUsed/>
    <w:qFormat/>
    <w:pPr>
      <w:jc w:val="left"/>
      <w:tabs>
        <w:tab w:val="center" w:pos="4153" w:leader="none"/>
        <w:tab w:val="right" w:pos="8306" w:leader="none"/>
      </w:tabs>
    </w:pPr>
    <w:rPr>
      <w:sz w:val="18"/>
      <w:szCs w:val="18"/>
    </w:rPr>
  </w:style>
  <w:style w:type="paragraph" w:styleId="947" w:customStyle="1">
    <w:name w:val="普通正文"/>
    <w:basedOn w:val="756"/>
    <w:uiPriority w:val="0"/>
    <w:qFormat/>
    <w:pPr>
      <w:ind w:firstLine="480"/>
      <w:jc w:val="left"/>
      <w:spacing w:before="120" w:after="120" w:line="360" w:lineRule="auto"/>
    </w:pPr>
    <w:rPr>
      <w:rFonts w:ascii="Arial" w:hAnsi="Arial" w:eastAsia="等线" w:cs="Arial"/>
      <w:sz w:val="24"/>
      <w:szCs w:val="24"/>
    </w:rPr>
  </w:style>
  <w:style w:type="paragraph" w:styleId="948" w:customStyle="1">
    <w:name w:val="标题 31"/>
    <w:basedOn w:val="756"/>
    <w:next w:val="949"/>
    <w:uiPriority w:val="0"/>
    <w:qFormat/>
    <w:pPr>
      <w:keepLines/>
      <w:keepNext/>
      <w:spacing w:before="260" w:after="260" w:line="416" w:lineRule="auto"/>
      <w:outlineLvl w:val="2"/>
    </w:pPr>
    <w:rPr>
      <w:b/>
      <w:bCs/>
      <w:sz w:val="32"/>
      <w:szCs w:val="32"/>
    </w:rPr>
  </w:style>
  <w:style w:type="paragraph" w:styleId="949" w:customStyle="1">
    <w:name w:val="正文缩进1"/>
    <w:basedOn w:val="756"/>
    <w:uiPriority w:val="0"/>
    <w:qFormat/>
    <w:pPr>
      <w:ind w:firstLine="420"/>
    </w:pPr>
  </w:style>
  <w:style w:type="paragraph" w:styleId="950" w:customStyle="1">
    <w:name w:val="标题 41"/>
    <w:basedOn w:val="756"/>
    <w:next w:val="949"/>
    <w:uiPriority w:val="9"/>
    <w:qFormat/>
    <w:pPr>
      <w:keepLines/>
      <w:keepNext/>
      <w:spacing w:before="280" w:after="290" w:line="376" w:lineRule="auto"/>
      <w:outlineLvl w:val="3"/>
    </w:pPr>
    <w:rPr>
      <w:rFonts w:ascii="Arial" w:hAnsi="Arial" w:eastAsia="黑体"/>
      <w:b/>
      <w:bCs/>
      <w:sz w:val="28"/>
      <w:szCs w:val="28"/>
    </w:rPr>
  </w:style>
  <w:style w:type="paragraph" w:styleId="951" w:customStyle="1">
    <w:name w:val="正文文本1"/>
    <w:basedOn w:val="756"/>
    <w:uiPriority w:val="99"/>
    <w:qFormat/>
    <w:rPr>
      <w:rFonts w:ascii="楷体_GB2312" w:hAnsi="Arial" w:eastAsia="楷体_GB2312"/>
      <w:sz w:val="28"/>
      <w:szCs w:val="28"/>
    </w:rPr>
  </w:style>
  <w:style w:type="paragraph" w:styleId="952" w:customStyle="1">
    <w:name w:val="纯文本1"/>
    <w:basedOn w:val="756"/>
    <w:uiPriority w:val="0"/>
    <w:qFormat/>
    <w:rPr>
      <w:rFonts w:ascii="宋体" w:hAnsi="Courier New"/>
    </w:rPr>
  </w:style>
  <w:style w:type="paragraph" w:styleId="953">
    <w:name w:val="List Paragraph"/>
    <w:basedOn w:val="756"/>
    <w:uiPriority w:val="34"/>
    <w:qFormat/>
    <w:pPr>
      <w:ind w:firstLine="420"/>
    </w:pPr>
    <w:rPr>
      <w:rFonts w:eastAsia="宋体"/>
    </w:rPr>
  </w:style>
  <w:style w:type="paragraph" w:styleId="954" w:customStyle="1">
    <w:name w:val="!正文"/>
    <w:basedOn w:val="756"/>
    <w:uiPriority w:val="0"/>
    <w:qFormat/>
    <w:pPr>
      <w:widowControl/>
    </w:pPr>
    <w:rPr>
      <w:szCs w:val="28"/>
    </w:rPr>
  </w:style>
  <w:style w:type="paragraph" w:styleId="955" w:customStyle="1">
    <w:name w:val="KX正文"/>
    <w:basedOn w:val="756"/>
    <w:uiPriority w:val="0"/>
    <w:qFormat/>
    <w:pPr>
      <w:jc w:val="left"/>
      <w:spacing w:line="440" w:lineRule="exact"/>
    </w:pPr>
    <w:rPr>
      <w:rFonts w:ascii="仿宋_GB2312" w:hAnsi="Calibri" w:eastAsia="仿宋_GB2312" w:cs="Times New Roman"/>
      <w:sz w:val="28"/>
      <w:szCs w:val="20"/>
    </w:rPr>
  </w:style>
  <w:style w:type="paragraph" w:styleId="956" w:customStyle="1">
    <w:name w:val="msolistparagraph"/>
    <w:basedOn w:val="756"/>
    <w:uiPriority w:val="0"/>
    <w:qFormat/>
    <w:pPr>
      <w:ind w:firstLine="420"/>
    </w:pPr>
    <w:rPr>
      <w:rFonts w:hint="eastAsia" w:ascii="等线" w:hAnsi="等线" w:eastAsia="宋体" w:cs="Times New Roman"/>
    </w:rPr>
  </w:style>
  <w:style w:type="character" w:styleId="957" w:customStyle="1">
    <w:name w:val="font51"/>
    <w:basedOn w:val="766"/>
    <w:uiPriority w:val="0"/>
    <w:qFormat/>
    <w:rPr>
      <w:rFonts w:hint="eastAsia" w:ascii="微软雅黑" w:hAnsi="微软雅黑" w:eastAsia="微软雅黑" w:cs="微软雅黑"/>
      <w:color w:val="000000"/>
      <w:sz w:val="18"/>
      <w:szCs w:val="18"/>
      <w:u w:val="none"/>
    </w:rPr>
  </w:style>
  <w:style w:type="character" w:styleId="958" w:customStyle="1">
    <w:name w:val="font61"/>
    <w:basedOn w:val="766"/>
    <w:uiPriority w:val="0"/>
    <w:qFormat/>
    <w:rPr>
      <w:rFonts w:hint="eastAsia" w:ascii="微软雅黑" w:hAnsi="微软雅黑" w:eastAsia="微软雅黑" w:cs="微软雅黑"/>
      <w:color w:val="ff0000"/>
      <w:sz w:val="18"/>
      <w:szCs w:val="18"/>
      <w:u w:val="none"/>
    </w:rPr>
  </w:style>
  <w:style w:type="paragraph" w:styleId="959" w:customStyle="1">
    <w:name w:val="Table Paragraph"/>
    <w:basedOn w:val="756"/>
    <w:uiPriority w:val="1"/>
    <w:qFormat/>
    <w:pPr>
      <w:jc w:val="left"/>
    </w:pPr>
    <w:rPr>
      <w:rFonts w:ascii="等线" w:hAnsi="等线" w:eastAsia="等线"/>
      <w:sz w:val="22"/>
      <w:szCs w:val="22"/>
      <w:lang w:eastAsia="en-US"/>
    </w:rPr>
  </w:style>
  <w:style w:type="paragraph" w:styleId="960" w:customStyle="1">
    <w:name w:val="正文文本首行缩进 2"/>
    <w:basedOn w:val="961"/>
    <w:next w:val="949"/>
    <w:uiPriority w:val="0"/>
    <w:qFormat/>
    <w:pPr>
      <w:ind w:firstLine="420"/>
      <w:spacing w:line="360" w:lineRule="auto"/>
    </w:pPr>
    <w:rPr>
      <w:rFonts w:ascii="宋体" w:hAnsi="宋体" w:eastAsia="宋体"/>
      <w:sz w:val="21"/>
      <w:szCs w:val="20"/>
    </w:rPr>
  </w:style>
  <w:style w:type="paragraph" w:styleId="961" w:customStyle="1">
    <w:name w:val="正文文本缩进1"/>
    <w:basedOn w:val="756"/>
    <w:next w:val="962"/>
    <w:uiPriority w:val="99"/>
    <w:qFormat/>
    <w:pPr>
      <w:ind w:firstLine="645"/>
    </w:pPr>
    <w:rPr>
      <w:rFonts w:ascii="楷体_GB2312" w:eastAsia="楷体_GB2312"/>
      <w:sz w:val="32"/>
      <w:szCs w:val="32"/>
    </w:rPr>
  </w:style>
  <w:style w:type="paragraph" w:styleId="962" w:customStyle="1">
    <w:name w:val="寄信人地址1"/>
    <w:basedOn w:val="756"/>
    <w:uiPriority w:val="0"/>
    <w:qFormat/>
    <w:rPr>
      <w:rFonts w:ascii="Arial" w:hAnsi="Arial"/>
    </w:rPr>
  </w:style>
  <w:style w:type="paragraph" w:styleId="963" w:customStyle="1">
    <w:name w:val="标题 21"/>
    <w:basedOn w:val="756"/>
    <w:next w:val="949"/>
    <w:uiPriority w:val="9"/>
    <w:qFormat/>
    <w:pPr>
      <w:jc w:val="center"/>
      <w:keepLines/>
      <w:keepNext/>
      <w:spacing w:before="260" w:after="260" w:line="416" w:lineRule="auto"/>
      <w:outlineLvl w:val="1"/>
    </w:pPr>
    <w:rPr>
      <w:rFonts w:ascii="Arial" w:hAnsi="Arial" w:eastAsia="幼圆"/>
      <w:b/>
      <w:bCs/>
      <w:sz w:val="44"/>
      <w:szCs w:val="44"/>
    </w:rPr>
  </w:style>
  <w:style w:type="paragraph" w:styleId="964" w:customStyle="1">
    <w:name w:val="WPSOffice手动目录 1"/>
    <w:uiPriority w:val="0"/>
    <w:qFormat/>
    <w:rPr>
      <w:rFonts w:hint="default" w:ascii="Times New Roman" w:hAnsi="Times New Roman" w:eastAsia="宋体" w:cs="Times New Roman"/>
      <w:sz w:val="20"/>
      <w:szCs w:val="20"/>
    </w:rPr>
  </w:style>
  <w:style w:type="numbering" w:styleId="50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丁瑛</cp:lastModifiedBy>
  <cp:revision>125</cp:revision>
  <dcterms:created xsi:type="dcterms:W3CDTF">2014-10-29T12:08:00Z</dcterms:created>
  <dcterms:modified xsi:type="dcterms:W3CDTF">2026-08-16T06:39:46Z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FD3445EEC4EF4ABA844E6E31663C2CE9_13</vt:lpwstr>
  </property>
  <property fmtid="{D5CDD505-2E9C-101B-9397-08002B2CF9AE}" pid="4" name="KSOTemplateDocerSaveRecord">
    <vt:lpwstr>eyJoZGlkIjoiM2E2ZjBkZjJiNDZhOWQ4ZTAwYmMwMTBiYTI2Njc1YTIifQ==</vt:lpwstr>
  </property>
</Properties>
</file>