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046C24">
      <w:pPr>
        <w:tabs>
          <w:tab w:val="left" w:pos="2730"/>
        </w:tabs>
        <w:rPr>
          <w:rFonts w:hint="eastAsia" w:ascii="宋体" w:hAnsi="宋体" w:cs="宋体"/>
          <w:sz w:val="36"/>
          <w:highlight w:val="none"/>
        </w:rPr>
      </w:pPr>
      <w:bookmarkStart w:id="0" w:name="_Toc120614210"/>
      <w:bookmarkStart w:id="1" w:name="_Toc523127445"/>
      <w:bookmarkStart w:id="2" w:name="_Toc20823272"/>
      <w:bookmarkStart w:id="3" w:name="_Toc16938516"/>
      <w:bookmarkStart w:id="4" w:name="_Toc513029200"/>
      <w:bookmarkStart w:id="5" w:name="_Toc479757206"/>
    </w:p>
    <w:p w14:paraId="1EED2D24">
      <w:pPr>
        <w:pStyle w:val="11"/>
        <w:ind w:left="1260"/>
        <w:rPr>
          <w:rFonts w:hint="eastAsia" w:ascii="仿宋_GB2312" w:hAnsi="仿宋_GB2312" w:eastAsia="仿宋_GB2312" w:cs="仿宋_GB2312"/>
          <w:sz w:val="36"/>
          <w:highlight w:val="none"/>
        </w:rPr>
      </w:pPr>
    </w:p>
    <w:p w14:paraId="35396746">
      <w:pPr>
        <w:pStyle w:val="11"/>
        <w:ind w:left="1260"/>
        <w:rPr>
          <w:rFonts w:hint="eastAsia" w:ascii="仿宋_GB2312" w:hAnsi="仿宋_GB2312" w:eastAsia="仿宋_GB2312" w:cs="仿宋_GB2312"/>
          <w:highlight w:val="none"/>
        </w:rPr>
      </w:pPr>
    </w:p>
    <w:p w14:paraId="58E99D5A">
      <w:pPr>
        <w:jc w:val="center"/>
        <w:rPr>
          <w:rFonts w:hint="eastAsia" w:ascii="仿宋_GB2312" w:hAnsi="仿宋_GB2312" w:eastAsia="仿宋_GB2312" w:cs="仿宋_GB2312"/>
          <w:b/>
          <w:sz w:val="84"/>
          <w:highlight w:val="none"/>
        </w:rPr>
      </w:pPr>
      <w:r>
        <w:rPr>
          <w:rFonts w:hint="eastAsia" w:ascii="仿宋_GB2312" w:hAnsi="仿宋_GB2312" w:eastAsia="仿宋_GB2312" w:cs="仿宋_GB2312"/>
          <w:bCs/>
          <w:sz w:val="84"/>
          <w:highlight w:val="none"/>
        </w:rPr>
        <w:t>招 标 文 件</w:t>
      </w:r>
    </w:p>
    <w:p w14:paraId="396E7C0A">
      <w:pPr>
        <w:rPr>
          <w:rFonts w:hint="eastAsia" w:ascii="仿宋_GB2312" w:hAnsi="仿宋_GB2312" w:eastAsia="仿宋_GB2312" w:cs="仿宋_GB2312"/>
          <w:b/>
          <w:sz w:val="32"/>
          <w:highlight w:val="none"/>
        </w:rPr>
      </w:pPr>
    </w:p>
    <w:p w14:paraId="3686500C">
      <w:pPr>
        <w:jc w:val="center"/>
        <w:rPr>
          <w:rFonts w:hint="eastAsia" w:ascii="仿宋_GB2312" w:hAnsi="仿宋_GB2312" w:eastAsia="仿宋_GB2312" w:cs="仿宋_GB2312"/>
          <w:b/>
          <w:sz w:val="32"/>
          <w:highlight w:val="none"/>
        </w:rPr>
      </w:pPr>
    </w:p>
    <w:p w14:paraId="0580028E">
      <w:pPr>
        <w:tabs>
          <w:tab w:val="left" w:pos="7081"/>
        </w:tabs>
        <w:jc w:val="left"/>
        <w:rPr>
          <w:rFonts w:hint="eastAsia" w:ascii="仿宋_GB2312" w:hAnsi="仿宋_GB2312" w:eastAsia="仿宋_GB2312" w:cs="仿宋_GB2312"/>
          <w:b/>
          <w:sz w:val="32"/>
          <w:highlight w:val="none"/>
        </w:rPr>
      </w:pPr>
      <w:r>
        <w:rPr>
          <w:rFonts w:hint="eastAsia" w:ascii="仿宋_GB2312" w:hAnsi="仿宋_GB2312" w:eastAsia="仿宋_GB2312" w:cs="仿宋_GB2312"/>
          <w:b/>
          <w:sz w:val="32"/>
          <w:highlight w:val="none"/>
        </w:rPr>
        <w:tab/>
      </w:r>
    </w:p>
    <w:p w14:paraId="3854DBD9">
      <w:pPr>
        <w:jc w:val="center"/>
        <w:rPr>
          <w:rFonts w:hint="eastAsia" w:ascii="仿宋_GB2312" w:hAnsi="仿宋_GB2312" w:eastAsia="仿宋_GB2312" w:cs="仿宋_GB2312"/>
          <w:b/>
          <w:sz w:val="36"/>
          <w:highlight w:val="none"/>
        </w:rPr>
      </w:pPr>
      <w:r>
        <w:rPr>
          <w:rFonts w:hint="eastAsia" w:ascii="仿宋_GB2312" w:hAnsi="仿宋_GB2312" w:eastAsia="仿宋_GB2312" w:cs="仿宋_GB2312"/>
          <w:b/>
          <w:sz w:val="36"/>
          <w:highlight w:val="none"/>
        </w:rPr>
        <w:t>项目编号：JSZC-320904-LHZB-G2026-0002</w:t>
      </w:r>
    </w:p>
    <w:p w14:paraId="493724F5">
      <w:pPr>
        <w:pStyle w:val="33"/>
        <w:jc w:val="center"/>
        <w:rPr>
          <w:color w:val="auto"/>
          <w:highlight w:val="none"/>
        </w:rPr>
      </w:pPr>
    </w:p>
    <w:p w14:paraId="4F1943EB">
      <w:pPr>
        <w:rPr>
          <w:rFonts w:hint="eastAsia" w:ascii="仿宋_GB2312" w:hAnsi="仿宋_GB2312" w:eastAsia="仿宋_GB2312" w:cs="仿宋_GB2312"/>
          <w:b/>
          <w:sz w:val="36"/>
          <w:szCs w:val="36"/>
          <w:highlight w:val="none"/>
        </w:rPr>
      </w:pPr>
    </w:p>
    <w:p w14:paraId="7F25E7BC">
      <w:pPr>
        <w:ind w:left="1807" w:hanging="1807" w:hangingChars="500"/>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 xml:space="preserve">项目名称：盐城市大丰区公共机构能源费用托管服务采购项目 </w:t>
      </w:r>
    </w:p>
    <w:p w14:paraId="7BA256DD">
      <w:pPr>
        <w:rPr>
          <w:rFonts w:hint="eastAsia" w:ascii="仿宋_GB2312" w:hAnsi="仿宋_GB2312" w:eastAsia="仿宋_GB2312" w:cs="仿宋_GB2312"/>
          <w:b/>
          <w:sz w:val="36"/>
          <w:szCs w:val="36"/>
          <w:highlight w:val="none"/>
        </w:rPr>
      </w:pPr>
    </w:p>
    <w:p w14:paraId="446401F1">
      <w:pPr>
        <w:pStyle w:val="6"/>
        <w:rPr>
          <w:rFonts w:hint="eastAsia" w:ascii="仿宋_GB2312" w:hAnsi="仿宋_GB2312" w:eastAsia="仿宋_GB2312" w:cs="仿宋_GB2312"/>
          <w:highlight w:val="none"/>
        </w:rPr>
      </w:pPr>
    </w:p>
    <w:p w14:paraId="67067105">
      <w:pPr>
        <w:rPr>
          <w:rFonts w:hint="eastAsia" w:ascii="仿宋_GB2312" w:hAnsi="仿宋_GB2312" w:eastAsia="仿宋_GB2312" w:cs="仿宋_GB2312"/>
          <w:b/>
          <w:sz w:val="32"/>
          <w:highlight w:val="none"/>
        </w:rPr>
      </w:pPr>
    </w:p>
    <w:p w14:paraId="60CC8BBC">
      <w:pPr>
        <w:pStyle w:val="33"/>
        <w:rPr>
          <w:rFonts w:hint="eastAsia" w:ascii="仿宋_GB2312" w:hAnsi="仿宋_GB2312" w:eastAsia="仿宋_GB2312" w:cs="仿宋_GB2312"/>
          <w:b/>
          <w:color w:val="auto"/>
          <w:sz w:val="32"/>
          <w:highlight w:val="none"/>
        </w:rPr>
      </w:pPr>
    </w:p>
    <w:p w14:paraId="08D52B45">
      <w:pPr>
        <w:pStyle w:val="33"/>
        <w:rPr>
          <w:rFonts w:hint="eastAsia" w:ascii="仿宋_GB2312" w:hAnsi="仿宋_GB2312" w:eastAsia="仿宋_GB2312" w:cs="仿宋_GB2312"/>
          <w:b/>
          <w:color w:val="auto"/>
          <w:sz w:val="32"/>
          <w:highlight w:val="none"/>
        </w:rPr>
      </w:pPr>
    </w:p>
    <w:p w14:paraId="41968B0C">
      <w:pPr>
        <w:pStyle w:val="33"/>
        <w:rPr>
          <w:rFonts w:hint="eastAsia" w:ascii="仿宋_GB2312" w:hAnsi="仿宋_GB2312" w:eastAsia="仿宋_GB2312" w:cs="仿宋_GB2312"/>
          <w:b/>
          <w:color w:val="auto"/>
          <w:sz w:val="32"/>
          <w:highlight w:val="none"/>
        </w:rPr>
      </w:pPr>
    </w:p>
    <w:p w14:paraId="40CC1163">
      <w:pPr>
        <w:pStyle w:val="33"/>
        <w:rPr>
          <w:rFonts w:hint="eastAsia" w:ascii="仿宋_GB2312" w:hAnsi="仿宋_GB2312" w:eastAsia="仿宋_GB2312" w:cs="仿宋_GB2312"/>
          <w:b/>
          <w:color w:val="auto"/>
          <w:sz w:val="32"/>
          <w:highlight w:val="none"/>
        </w:rPr>
      </w:pPr>
    </w:p>
    <w:p w14:paraId="4F9DB932">
      <w:pPr>
        <w:spacing w:before="120" w:after="120" w:line="360" w:lineRule="auto"/>
        <w:jc w:val="center"/>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盐城市大丰区机关事务服务中心</w:t>
      </w:r>
    </w:p>
    <w:p w14:paraId="42BB967A">
      <w:pPr>
        <w:pStyle w:val="33"/>
        <w:rPr>
          <w:color w:val="auto"/>
          <w:highlight w:val="none"/>
        </w:rPr>
      </w:pPr>
    </w:p>
    <w:p w14:paraId="1B48312B">
      <w:pPr>
        <w:spacing w:before="120" w:after="120" w:line="360" w:lineRule="auto"/>
        <w:jc w:val="center"/>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江苏磊华项目管理有限公司</w:t>
      </w:r>
    </w:p>
    <w:p w14:paraId="78AE07C6">
      <w:pPr>
        <w:tabs>
          <w:tab w:val="left" w:pos="7560"/>
        </w:tabs>
        <w:spacing w:line="360" w:lineRule="auto"/>
        <w:jc w:val="center"/>
        <w:rPr>
          <w:rFonts w:hint="eastAsia" w:ascii="仿宋_GB2312" w:hAnsi="仿宋_GB2312" w:eastAsia="仿宋_GB2312" w:cs="仿宋_GB2312"/>
          <w:b/>
          <w:sz w:val="36"/>
          <w:szCs w:val="36"/>
          <w:highlight w:val="none"/>
        </w:rPr>
      </w:pPr>
    </w:p>
    <w:p w14:paraId="02E62297">
      <w:pPr>
        <w:tabs>
          <w:tab w:val="left" w:pos="7560"/>
        </w:tabs>
        <w:spacing w:line="360" w:lineRule="auto"/>
        <w:jc w:val="center"/>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2026年</w:t>
      </w:r>
      <w:r>
        <w:rPr>
          <w:rFonts w:hint="eastAsia" w:ascii="仿宋_GB2312" w:hAnsi="仿宋_GB2312" w:eastAsia="仿宋_GB2312" w:cs="仿宋_GB2312"/>
          <w:b/>
          <w:sz w:val="36"/>
          <w:szCs w:val="36"/>
          <w:highlight w:val="none"/>
          <w:lang w:val="en-US" w:eastAsia="zh-CN"/>
        </w:rPr>
        <w:t>7</w:t>
      </w:r>
      <w:r>
        <w:rPr>
          <w:rFonts w:hint="eastAsia" w:ascii="仿宋_GB2312" w:hAnsi="仿宋_GB2312" w:eastAsia="仿宋_GB2312" w:cs="仿宋_GB2312"/>
          <w:b/>
          <w:sz w:val="36"/>
          <w:szCs w:val="36"/>
          <w:highlight w:val="none"/>
        </w:rPr>
        <w:t>月</w:t>
      </w:r>
    </w:p>
    <w:p w14:paraId="6D0A32C2">
      <w:pPr>
        <w:spacing w:line="480" w:lineRule="auto"/>
        <w:jc w:val="center"/>
        <w:outlineLvl w:val="0"/>
        <w:rPr>
          <w:rFonts w:hint="eastAsia" w:ascii="宋体" w:hAnsi="宋体" w:cs="宋体"/>
          <w:b/>
          <w:sz w:val="36"/>
          <w:szCs w:val="36"/>
          <w:highlight w:val="none"/>
        </w:rPr>
      </w:pPr>
    </w:p>
    <w:p w14:paraId="5502784E">
      <w:pPr>
        <w:jc w:val="center"/>
        <w:outlineLvl w:val="0"/>
        <w:rPr>
          <w:rFonts w:hint="eastAsia" w:ascii="宋体" w:hAnsi="宋体" w:cs="宋体"/>
          <w:b/>
          <w:bCs/>
          <w:sz w:val="36"/>
          <w:szCs w:val="36"/>
          <w:highlight w:val="none"/>
        </w:rPr>
      </w:pPr>
      <w:bookmarkStart w:id="6" w:name="_Toc451731477"/>
      <w:r>
        <w:rPr>
          <w:rFonts w:hint="eastAsia" w:ascii="宋体" w:hAnsi="宋体" w:cs="宋体"/>
          <w:b/>
          <w:sz w:val="36"/>
          <w:szCs w:val="36"/>
          <w:highlight w:val="none"/>
        </w:rPr>
        <w:t>总  目  录</w:t>
      </w:r>
      <w:bookmarkEnd w:id="6"/>
    </w:p>
    <w:p w14:paraId="68C2F04B">
      <w:pPr>
        <w:pStyle w:val="20"/>
        <w:ind w:firstLine="0"/>
        <w:rPr>
          <w:highlight w:val="none"/>
        </w:rPr>
      </w:pPr>
    </w:p>
    <w:p w14:paraId="3425D62E">
      <w:pPr>
        <w:pStyle w:val="16"/>
        <w:tabs>
          <w:tab w:val="right" w:leader="dot" w:pos="8958"/>
          <w:tab w:val="clear" w:pos="8720"/>
        </w:tabs>
        <w:rPr>
          <w:rFonts w:hint="eastAsia"/>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"_Toc451731477" </w:instrText>
      </w:r>
      <w:r>
        <w:rPr>
          <w:highlight w:val="none"/>
        </w:rPr>
        <w:fldChar w:fldCharType="separate"/>
      </w:r>
      <w:r>
        <w:rPr>
          <w:rFonts w:hint="eastAsia" w:cs="宋体"/>
          <w:szCs w:val="36"/>
          <w:highlight w:val="none"/>
        </w:rPr>
        <w:t>总  目  录</w:t>
      </w:r>
      <w:r>
        <w:rPr>
          <w:highlight w:val="none"/>
        </w:rPr>
        <w:tab/>
      </w:r>
      <w:r>
        <w:rPr>
          <w:highlight w:val="none"/>
        </w:rPr>
        <w:fldChar w:fldCharType="begin"/>
      </w:r>
      <w:r>
        <w:rPr>
          <w:highlight w:val="none"/>
        </w:rPr>
        <w:instrText xml:space="preserve"> PAGEREF _Toc451731477 \h </w:instrText>
      </w:r>
      <w:r>
        <w:rPr>
          <w:highlight w:val="none"/>
        </w:rPr>
        <w:fldChar w:fldCharType="separate"/>
      </w:r>
      <w:r>
        <w:rPr>
          <w:highlight w:val="none"/>
        </w:rPr>
        <w:t>1</w:t>
      </w:r>
      <w:r>
        <w:rPr>
          <w:highlight w:val="none"/>
        </w:rPr>
        <w:fldChar w:fldCharType="end"/>
      </w:r>
      <w:r>
        <w:rPr>
          <w:highlight w:val="none"/>
        </w:rPr>
        <w:fldChar w:fldCharType="end"/>
      </w:r>
    </w:p>
    <w:p w14:paraId="190FFE77">
      <w:pPr>
        <w:pStyle w:val="16"/>
        <w:tabs>
          <w:tab w:val="right" w:leader="dot" w:pos="8958"/>
          <w:tab w:val="clear" w:pos="8720"/>
        </w:tabs>
        <w:rPr>
          <w:rFonts w:hint="eastAsia"/>
          <w:highlight w:val="none"/>
        </w:rPr>
      </w:pPr>
      <w:r>
        <w:rPr>
          <w:highlight w:val="none"/>
        </w:rPr>
        <w:fldChar w:fldCharType="begin"/>
      </w:r>
      <w:r>
        <w:rPr>
          <w:highlight w:val="none"/>
        </w:rPr>
        <w:instrText xml:space="preserve"> HYPERLINK \l "_Toc896241794" </w:instrText>
      </w:r>
      <w:r>
        <w:rPr>
          <w:highlight w:val="none"/>
        </w:rPr>
        <w:fldChar w:fldCharType="separate"/>
      </w:r>
      <w:r>
        <w:rPr>
          <w:rFonts w:hint="eastAsia"/>
          <w:szCs w:val="44"/>
          <w:highlight w:val="none"/>
        </w:rPr>
        <w:t>第一章  招标公告</w:t>
      </w:r>
      <w:r>
        <w:rPr>
          <w:highlight w:val="none"/>
        </w:rPr>
        <w:tab/>
      </w:r>
      <w:r>
        <w:rPr>
          <w:highlight w:val="none"/>
        </w:rPr>
        <w:fldChar w:fldCharType="begin"/>
      </w:r>
      <w:r>
        <w:rPr>
          <w:highlight w:val="none"/>
        </w:rPr>
        <w:instrText xml:space="preserve"> PAGEREF _Toc896241794 \h </w:instrText>
      </w:r>
      <w:r>
        <w:rPr>
          <w:highlight w:val="none"/>
        </w:rPr>
        <w:fldChar w:fldCharType="separate"/>
      </w:r>
      <w:r>
        <w:rPr>
          <w:highlight w:val="none"/>
        </w:rPr>
        <w:t>1</w:t>
      </w:r>
      <w:r>
        <w:rPr>
          <w:highlight w:val="none"/>
        </w:rPr>
        <w:fldChar w:fldCharType="end"/>
      </w:r>
      <w:r>
        <w:rPr>
          <w:highlight w:val="none"/>
        </w:rPr>
        <w:fldChar w:fldCharType="end"/>
      </w:r>
    </w:p>
    <w:p w14:paraId="3BC98DAB">
      <w:pPr>
        <w:pStyle w:val="16"/>
        <w:tabs>
          <w:tab w:val="right" w:leader="dot" w:pos="8958"/>
          <w:tab w:val="clear" w:pos="8720"/>
        </w:tabs>
        <w:rPr>
          <w:rFonts w:hint="eastAsia"/>
          <w:highlight w:val="none"/>
        </w:rPr>
      </w:pPr>
      <w:r>
        <w:rPr>
          <w:highlight w:val="none"/>
        </w:rPr>
        <w:fldChar w:fldCharType="begin"/>
      </w:r>
      <w:r>
        <w:rPr>
          <w:highlight w:val="none"/>
        </w:rPr>
        <w:instrText xml:space="preserve"> HYPERLINK \l "_Toc2077621637" </w:instrText>
      </w:r>
      <w:r>
        <w:rPr>
          <w:highlight w:val="none"/>
        </w:rPr>
        <w:fldChar w:fldCharType="separate"/>
      </w:r>
      <w:r>
        <w:rPr>
          <w:rFonts w:hint="eastAsia"/>
          <w:szCs w:val="44"/>
          <w:highlight w:val="none"/>
        </w:rPr>
        <w:t>第二章  投标人须知</w:t>
      </w:r>
      <w:r>
        <w:rPr>
          <w:highlight w:val="none"/>
        </w:rPr>
        <w:tab/>
      </w:r>
      <w:r>
        <w:rPr>
          <w:highlight w:val="none"/>
        </w:rPr>
        <w:fldChar w:fldCharType="begin"/>
      </w:r>
      <w:r>
        <w:rPr>
          <w:highlight w:val="none"/>
        </w:rPr>
        <w:instrText xml:space="preserve"> PAGEREF _Toc2077621637 \h </w:instrText>
      </w:r>
      <w:r>
        <w:rPr>
          <w:highlight w:val="none"/>
        </w:rPr>
        <w:fldChar w:fldCharType="separate"/>
      </w:r>
      <w:r>
        <w:rPr>
          <w:highlight w:val="none"/>
        </w:rPr>
        <w:t>5</w:t>
      </w:r>
      <w:r>
        <w:rPr>
          <w:highlight w:val="none"/>
        </w:rPr>
        <w:fldChar w:fldCharType="end"/>
      </w:r>
      <w:r>
        <w:rPr>
          <w:highlight w:val="none"/>
        </w:rPr>
        <w:fldChar w:fldCharType="end"/>
      </w:r>
    </w:p>
    <w:p w14:paraId="59A94D8B">
      <w:pPr>
        <w:pStyle w:val="16"/>
        <w:tabs>
          <w:tab w:val="right" w:leader="dot" w:pos="8958"/>
          <w:tab w:val="clear" w:pos="8720"/>
        </w:tabs>
        <w:rPr>
          <w:rFonts w:hint="eastAsia"/>
          <w:highlight w:val="none"/>
        </w:rPr>
      </w:pPr>
      <w:r>
        <w:rPr>
          <w:highlight w:val="none"/>
        </w:rPr>
        <w:fldChar w:fldCharType="begin"/>
      </w:r>
      <w:r>
        <w:rPr>
          <w:highlight w:val="none"/>
        </w:rPr>
        <w:instrText xml:space="preserve"> HYPERLINK \l "_Toc502752839" </w:instrText>
      </w:r>
      <w:r>
        <w:rPr>
          <w:highlight w:val="none"/>
        </w:rPr>
        <w:fldChar w:fldCharType="separate"/>
      </w:r>
      <w:r>
        <w:rPr>
          <w:rFonts w:hint="eastAsia"/>
          <w:szCs w:val="44"/>
          <w:highlight w:val="none"/>
        </w:rPr>
        <w:t xml:space="preserve">第三章 </w:t>
      </w:r>
      <w:r>
        <w:rPr>
          <w:rFonts w:hint="eastAsia"/>
          <w:szCs w:val="44"/>
          <w:highlight w:val="none"/>
          <w:lang w:val="en-US" w:eastAsia="zh-CN"/>
        </w:rPr>
        <w:t xml:space="preserve"> </w:t>
      </w:r>
      <w:r>
        <w:rPr>
          <w:rFonts w:hint="eastAsia"/>
          <w:szCs w:val="44"/>
          <w:highlight w:val="none"/>
        </w:rPr>
        <w:t>服务需求</w:t>
      </w:r>
      <w:r>
        <w:rPr>
          <w:highlight w:val="none"/>
        </w:rPr>
        <w:tab/>
      </w:r>
      <w:r>
        <w:rPr>
          <w:highlight w:val="none"/>
        </w:rPr>
        <w:fldChar w:fldCharType="begin"/>
      </w:r>
      <w:r>
        <w:rPr>
          <w:highlight w:val="none"/>
        </w:rPr>
        <w:instrText xml:space="preserve"> PAGEREF _Toc502752839 \h </w:instrText>
      </w:r>
      <w:r>
        <w:rPr>
          <w:highlight w:val="none"/>
        </w:rPr>
        <w:fldChar w:fldCharType="separate"/>
      </w:r>
      <w:r>
        <w:rPr>
          <w:highlight w:val="none"/>
        </w:rPr>
        <w:t>20</w:t>
      </w:r>
      <w:r>
        <w:rPr>
          <w:highlight w:val="none"/>
        </w:rPr>
        <w:fldChar w:fldCharType="end"/>
      </w:r>
      <w:r>
        <w:rPr>
          <w:highlight w:val="none"/>
        </w:rPr>
        <w:fldChar w:fldCharType="end"/>
      </w:r>
    </w:p>
    <w:p w14:paraId="1842D4E6">
      <w:pPr>
        <w:pStyle w:val="16"/>
        <w:tabs>
          <w:tab w:val="right" w:leader="dot" w:pos="8958"/>
          <w:tab w:val="clear" w:pos="8720"/>
        </w:tabs>
        <w:rPr>
          <w:rFonts w:hint="eastAsia"/>
          <w:highlight w:val="none"/>
        </w:rPr>
      </w:pPr>
      <w:r>
        <w:rPr>
          <w:highlight w:val="none"/>
        </w:rPr>
        <w:fldChar w:fldCharType="begin"/>
      </w:r>
      <w:r>
        <w:rPr>
          <w:highlight w:val="none"/>
        </w:rPr>
        <w:instrText xml:space="preserve"> HYPERLINK \l "_Toc2089082883" </w:instrText>
      </w:r>
      <w:r>
        <w:rPr>
          <w:highlight w:val="none"/>
        </w:rPr>
        <w:fldChar w:fldCharType="separate"/>
      </w:r>
      <w:r>
        <w:rPr>
          <w:rFonts w:hint="eastAsia"/>
          <w:szCs w:val="44"/>
          <w:highlight w:val="none"/>
        </w:rPr>
        <w:t>第四章  评标办法及评分标准</w:t>
      </w:r>
      <w:r>
        <w:rPr>
          <w:highlight w:val="none"/>
        </w:rPr>
        <w:tab/>
      </w:r>
      <w:r>
        <w:rPr>
          <w:highlight w:val="none"/>
        </w:rPr>
        <w:fldChar w:fldCharType="begin"/>
      </w:r>
      <w:r>
        <w:rPr>
          <w:highlight w:val="none"/>
        </w:rPr>
        <w:instrText xml:space="preserve"> PAGEREF _Toc2089082883 \h </w:instrText>
      </w:r>
      <w:r>
        <w:rPr>
          <w:highlight w:val="none"/>
        </w:rPr>
        <w:fldChar w:fldCharType="separate"/>
      </w:r>
      <w:r>
        <w:rPr>
          <w:highlight w:val="none"/>
        </w:rPr>
        <w:t>44</w:t>
      </w:r>
      <w:r>
        <w:rPr>
          <w:highlight w:val="none"/>
        </w:rPr>
        <w:fldChar w:fldCharType="end"/>
      </w:r>
      <w:r>
        <w:rPr>
          <w:highlight w:val="none"/>
        </w:rPr>
        <w:fldChar w:fldCharType="end"/>
      </w:r>
    </w:p>
    <w:p w14:paraId="5C606013">
      <w:pPr>
        <w:pStyle w:val="16"/>
        <w:tabs>
          <w:tab w:val="right" w:leader="dot" w:pos="8958"/>
          <w:tab w:val="clear" w:pos="8720"/>
        </w:tabs>
        <w:rPr>
          <w:rFonts w:hint="eastAsia"/>
          <w:highlight w:val="none"/>
        </w:rPr>
      </w:pPr>
      <w:r>
        <w:rPr>
          <w:highlight w:val="none"/>
        </w:rPr>
        <w:fldChar w:fldCharType="begin"/>
      </w:r>
      <w:r>
        <w:rPr>
          <w:highlight w:val="none"/>
        </w:rPr>
        <w:instrText xml:space="preserve"> HYPERLINK \l "_Toc2005869778" </w:instrText>
      </w:r>
      <w:r>
        <w:rPr>
          <w:highlight w:val="none"/>
        </w:rPr>
        <w:fldChar w:fldCharType="separate"/>
      </w:r>
      <w:r>
        <w:rPr>
          <w:rFonts w:hint="eastAsia"/>
          <w:szCs w:val="44"/>
          <w:highlight w:val="none"/>
        </w:rPr>
        <w:t>第五章 合同条款及格式</w:t>
      </w:r>
      <w:r>
        <w:rPr>
          <w:highlight w:val="none"/>
        </w:rPr>
        <w:tab/>
      </w:r>
      <w:r>
        <w:rPr>
          <w:highlight w:val="none"/>
        </w:rPr>
        <w:fldChar w:fldCharType="begin"/>
      </w:r>
      <w:r>
        <w:rPr>
          <w:highlight w:val="none"/>
        </w:rPr>
        <w:instrText xml:space="preserve"> PAGEREF _Toc2005869778 \h </w:instrText>
      </w:r>
      <w:r>
        <w:rPr>
          <w:highlight w:val="none"/>
        </w:rPr>
        <w:fldChar w:fldCharType="separate"/>
      </w:r>
      <w:r>
        <w:rPr>
          <w:highlight w:val="none"/>
        </w:rPr>
        <w:t>53</w:t>
      </w:r>
      <w:r>
        <w:rPr>
          <w:highlight w:val="none"/>
        </w:rPr>
        <w:fldChar w:fldCharType="end"/>
      </w:r>
      <w:r>
        <w:rPr>
          <w:highlight w:val="none"/>
        </w:rPr>
        <w:fldChar w:fldCharType="end"/>
      </w:r>
    </w:p>
    <w:p w14:paraId="1AF3EFC9">
      <w:pPr>
        <w:pStyle w:val="16"/>
        <w:tabs>
          <w:tab w:val="right" w:leader="dot" w:pos="8958"/>
          <w:tab w:val="clear" w:pos="8720"/>
        </w:tabs>
        <w:rPr>
          <w:rFonts w:hint="eastAsia"/>
          <w:highlight w:val="none"/>
        </w:rPr>
      </w:pPr>
      <w:r>
        <w:rPr>
          <w:highlight w:val="none"/>
        </w:rPr>
        <w:fldChar w:fldCharType="begin"/>
      </w:r>
      <w:r>
        <w:rPr>
          <w:highlight w:val="none"/>
        </w:rPr>
        <w:instrText xml:space="preserve"> HYPERLINK \l "_Toc1834838393" </w:instrText>
      </w:r>
      <w:r>
        <w:rPr>
          <w:highlight w:val="none"/>
        </w:rPr>
        <w:fldChar w:fldCharType="separate"/>
      </w:r>
      <w:r>
        <w:rPr>
          <w:rFonts w:hint="eastAsia"/>
          <w:szCs w:val="44"/>
          <w:highlight w:val="none"/>
        </w:rPr>
        <w:t xml:space="preserve">第六章 </w:t>
      </w:r>
      <w:r>
        <w:rPr>
          <w:rFonts w:hint="eastAsia"/>
          <w:szCs w:val="44"/>
          <w:highlight w:val="none"/>
          <w:lang w:val="en-US" w:eastAsia="zh-CN"/>
        </w:rPr>
        <w:t xml:space="preserve"> </w:t>
      </w:r>
      <w:r>
        <w:rPr>
          <w:rFonts w:hint="eastAsia"/>
          <w:szCs w:val="44"/>
          <w:highlight w:val="none"/>
        </w:rPr>
        <w:t>投标文件及格式</w:t>
      </w:r>
      <w:r>
        <w:rPr>
          <w:highlight w:val="none"/>
        </w:rPr>
        <w:tab/>
      </w:r>
      <w:r>
        <w:rPr>
          <w:highlight w:val="none"/>
        </w:rPr>
        <w:fldChar w:fldCharType="begin"/>
      </w:r>
      <w:r>
        <w:rPr>
          <w:highlight w:val="none"/>
        </w:rPr>
        <w:instrText xml:space="preserve"> PAGEREF _Toc1834838393 \h </w:instrText>
      </w:r>
      <w:r>
        <w:rPr>
          <w:highlight w:val="none"/>
        </w:rPr>
        <w:fldChar w:fldCharType="separate"/>
      </w:r>
      <w:r>
        <w:rPr>
          <w:highlight w:val="none"/>
        </w:rPr>
        <w:t>101</w:t>
      </w:r>
      <w:r>
        <w:rPr>
          <w:highlight w:val="none"/>
        </w:rPr>
        <w:fldChar w:fldCharType="end"/>
      </w:r>
      <w:r>
        <w:rPr>
          <w:highlight w:val="none"/>
        </w:rPr>
        <w:fldChar w:fldCharType="end"/>
      </w:r>
    </w:p>
    <w:p w14:paraId="66A46EF5">
      <w:pPr>
        <w:pStyle w:val="4"/>
        <w:jc w:val="both"/>
        <w:rPr>
          <w:rFonts w:ascii="黑体" w:eastAsia="黑体"/>
          <w:sz w:val="44"/>
          <w:szCs w:val="44"/>
          <w:highlight w:val="none"/>
        </w:rPr>
        <w:sectPr>
          <w:headerReference r:id="rId3" w:type="default"/>
          <w:footerReference r:id="rId4" w:type="even"/>
          <w:pgSz w:w="11906" w:h="16838"/>
          <w:pgMar w:top="1474" w:right="1474" w:bottom="1474" w:left="1474" w:header="851" w:footer="907" w:gutter="0"/>
          <w:pgNumType w:fmt="numberInDash" w:start="0"/>
          <w:cols w:space="720" w:num="1"/>
          <w:titlePg/>
          <w:docGrid w:linePitch="360" w:charSpace="0"/>
        </w:sectPr>
      </w:pPr>
      <w:r>
        <w:rPr>
          <w:szCs w:val="24"/>
          <w:highlight w:val="none"/>
        </w:rPr>
        <w:fldChar w:fldCharType="end"/>
      </w:r>
    </w:p>
    <w:p w14:paraId="3987C81D">
      <w:pPr>
        <w:pageBreakBefore/>
        <w:spacing w:line="520" w:lineRule="exact"/>
        <w:jc w:val="center"/>
        <w:outlineLvl w:val="0"/>
        <w:rPr>
          <w:b/>
          <w:sz w:val="44"/>
          <w:szCs w:val="44"/>
          <w:highlight w:val="none"/>
        </w:rPr>
      </w:pPr>
      <w:bookmarkStart w:id="7" w:name="_Toc896241794"/>
      <w:r>
        <w:rPr>
          <w:rFonts w:hint="eastAsia"/>
          <w:b/>
          <w:sz w:val="44"/>
          <w:szCs w:val="44"/>
          <w:highlight w:val="none"/>
        </w:rPr>
        <w:t xml:space="preserve">第一章  </w:t>
      </w:r>
      <w:bookmarkEnd w:id="0"/>
      <w:r>
        <w:rPr>
          <w:rFonts w:hint="eastAsia"/>
          <w:b/>
          <w:sz w:val="44"/>
          <w:szCs w:val="44"/>
          <w:highlight w:val="none"/>
        </w:rPr>
        <w:t>招标公告</w:t>
      </w:r>
      <w:bookmarkEnd w:id="7"/>
    </w:p>
    <w:p w14:paraId="3645EC01">
      <w:pPr>
        <w:spacing w:line="360" w:lineRule="auto"/>
        <w:ind w:firstLine="482"/>
        <w:rPr>
          <w:rFonts w:hint="eastAsia" w:ascii="宋体" w:hAnsi="宋体" w:cs="宋体"/>
          <w:b/>
          <w:bCs/>
          <w:sz w:val="24"/>
          <w:szCs w:val="24"/>
          <w:highlight w:val="none"/>
        </w:rPr>
      </w:pPr>
      <w:bookmarkStart w:id="8" w:name="_Toc35393790"/>
      <w:bookmarkStart w:id="9" w:name="_Toc28359079"/>
      <w:bookmarkStart w:id="10" w:name="_Toc28359002"/>
      <w:bookmarkStart w:id="11" w:name="_Toc35393621"/>
      <w:bookmarkStart w:id="12" w:name="_Hlk24379207"/>
      <w:r>
        <w:rPr>
          <w:rFonts w:hint="eastAsia" w:ascii="宋体" w:hAnsi="宋体" w:cs="宋体"/>
          <w:b/>
          <w:bCs/>
          <w:sz w:val="24"/>
          <w:szCs w:val="24"/>
          <w:highlight w:val="none"/>
        </w:rPr>
        <w:t>项目概况：</w:t>
      </w:r>
      <w:r>
        <w:rPr>
          <w:rFonts w:hint="eastAsia" w:ascii="宋体" w:hAnsi="宋体" w:cs="宋体"/>
          <w:sz w:val="24"/>
          <w:szCs w:val="24"/>
          <w:highlight w:val="none"/>
        </w:rPr>
        <w:t>盐城市大丰区公共机构能源费用托管服务采购项目的潜在投标人应在“苏采云”系统内免费下载（投标人必须在苏采云系统中获取采购文件，方能参与政府采购项目） 获取招标文件，并于</w:t>
      </w:r>
      <w:r>
        <w:rPr>
          <w:rFonts w:hint="eastAsia" w:ascii="宋体" w:hAnsi="宋体" w:cs="宋体"/>
          <w:sz w:val="24"/>
          <w:szCs w:val="24"/>
          <w:highlight w:val="none"/>
          <w:u w:val="single"/>
        </w:rPr>
        <w:t>2026</w:t>
      </w:r>
      <w:r>
        <w:rPr>
          <w:rFonts w:hint="eastAsia" w:ascii="宋体" w:hAnsi="宋体" w:cs="宋体"/>
          <w:sz w:val="24"/>
          <w:szCs w:val="24"/>
          <w:highlight w:val="none"/>
        </w:rPr>
        <w:t>年</w:t>
      </w:r>
      <w:r>
        <w:rPr>
          <w:rFonts w:hint="eastAsia" w:ascii="宋体" w:hAnsi="宋体" w:cs="宋体"/>
          <w:sz w:val="24"/>
          <w:szCs w:val="24"/>
          <w:highlight w:val="none"/>
          <w:u w:val="single"/>
          <w:lang w:val="en-US" w:eastAsia="zh-CN"/>
        </w:rPr>
        <w:t>08</w:t>
      </w:r>
      <w:r>
        <w:rPr>
          <w:rFonts w:hint="eastAsia" w:ascii="宋体" w:hAnsi="宋体" w:cs="宋体"/>
          <w:sz w:val="24"/>
          <w:szCs w:val="24"/>
          <w:highlight w:val="none"/>
        </w:rPr>
        <w:t>月</w:t>
      </w:r>
      <w:r>
        <w:rPr>
          <w:rFonts w:hint="eastAsia" w:ascii="宋体" w:hAnsi="宋体" w:cs="宋体"/>
          <w:sz w:val="24"/>
          <w:szCs w:val="24"/>
          <w:highlight w:val="none"/>
          <w:u w:val="single"/>
          <w:lang w:val="en-US" w:eastAsia="zh-CN"/>
        </w:rPr>
        <w:t>18</w:t>
      </w:r>
      <w:r>
        <w:rPr>
          <w:rFonts w:hint="eastAsia" w:ascii="宋体" w:hAnsi="宋体" w:cs="宋体"/>
          <w:sz w:val="24"/>
          <w:szCs w:val="24"/>
          <w:highlight w:val="none"/>
        </w:rPr>
        <w:t>日</w:t>
      </w:r>
      <w:r>
        <w:rPr>
          <w:rFonts w:hint="eastAsia" w:ascii="宋体" w:hAnsi="宋体" w:cs="宋体"/>
          <w:sz w:val="24"/>
          <w:szCs w:val="24"/>
          <w:highlight w:val="none"/>
          <w:u w:val="single"/>
          <w:lang w:val="en-US" w:eastAsia="zh-CN"/>
        </w:rPr>
        <w:t>10</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时</w:t>
      </w:r>
      <w:r>
        <w:rPr>
          <w:rFonts w:hint="eastAsia" w:ascii="宋体" w:hAnsi="宋体" w:cs="宋体"/>
          <w:sz w:val="24"/>
          <w:szCs w:val="24"/>
          <w:highlight w:val="none"/>
          <w:u w:val="single"/>
        </w:rPr>
        <w:t>00</w:t>
      </w:r>
      <w:r>
        <w:rPr>
          <w:rFonts w:hint="eastAsia" w:ascii="宋体" w:hAnsi="宋体" w:cs="宋体"/>
          <w:sz w:val="24"/>
          <w:szCs w:val="24"/>
          <w:highlight w:val="none"/>
        </w:rPr>
        <w:t>分（北京时间）前递交投标文件。</w:t>
      </w:r>
    </w:p>
    <w:p w14:paraId="790E8E11">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一、项目基本情况</w:t>
      </w:r>
      <w:bookmarkEnd w:id="8"/>
      <w:bookmarkEnd w:id="9"/>
      <w:bookmarkEnd w:id="10"/>
      <w:bookmarkEnd w:id="11"/>
    </w:p>
    <w:p w14:paraId="28D498DD">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项目编号：</w:t>
      </w:r>
      <w:r>
        <w:rPr>
          <w:rFonts w:hint="eastAsia" w:ascii="宋体" w:hAnsi="宋体" w:eastAsia="宋体" w:cs="宋体"/>
          <w:sz w:val="24"/>
          <w:szCs w:val="24"/>
          <w:highlight w:val="none"/>
          <w:lang w:val="en-US" w:eastAsia="zh-CN" w:bidi="ar-SA"/>
        </w:rPr>
        <w:t>JSZC-320904-LHZB-G2026-0002</w:t>
      </w:r>
      <w:r>
        <w:rPr>
          <w:rFonts w:hint="eastAsia" w:ascii="宋体" w:hAnsi="宋体" w:cs="宋体"/>
          <w:sz w:val="24"/>
          <w:szCs w:val="24"/>
          <w:highlight w:val="none"/>
        </w:rPr>
        <w:t xml:space="preserve">  </w:t>
      </w:r>
    </w:p>
    <w:p w14:paraId="0566DE8C">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项目名称：</w:t>
      </w:r>
      <w:bookmarkEnd w:id="12"/>
      <w:r>
        <w:rPr>
          <w:rFonts w:hint="eastAsia" w:ascii="宋体" w:hAnsi="宋体" w:cs="宋体"/>
          <w:sz w:val="24"/>
          <w:szCs w:val="24"/>
          <w:highlight w:val="none"/>
        </w:rPr>
        <w:t>盐城市大丰区公共机构能源费用托管服务采购项目</w:t>
      </w:r>
    </w:p>
    <w:p w14:paraId="1DFFB74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预算金额：53528.824万元</w:t>
      </w:r>
    </w:p>
    <w:p w14:paraId="7B8E113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最高限价：53528.824万元，投标报价高于最高限价的作无效标处理。</w:t>
      </w:r>
    </w:p>
    <w:p w14:paraId="3E440150">
      <w:pPr>
        <w:spacing w:line="360" w:lineRule="auto"/>
        <w:ind w:firstLine="480"/>
        <w:rPr>
          <w:rFonts w:hint="eastAsia" w:ascii="宋体" w:hAnsi="宋体" w:cs="宋体"/>
          <w:sz w:val="24"/>
          <w:szCs w:val="24"/>
          <w:highlight w:val="none"/>
        </w:rPr>
      </w:pPr>
      <w:bookmarkStart w:id="13" w:name="_Toc35393624"/>
      <w:bookmarkStart w:id="14" w:name="_Toc35393793"/>
      <w:bookmarkStart w:id="15" w:name="_Toc28359082"/>
      <w:bookmarkStart w:id="16" w:name="_Toc28359005"/>
      <w:r>
        <w:rPr>
          <w:rFonts w:hint="eastAsia" w:ascii="宋体" w:hAnsi="宋体" w:cs="宋体"/>
          <w:sz w:val="24"/>
          <w:szCs w:val="24"/>
          <w:highlight w:val="none"/>
        </w:rPr>
        <w:t>项目概况：盐城市大丰区公共机构能源费用托管服务采购项目，服务范围包含但不限于水电气能源费用托收、能源管理一张网软件平台建设、综合节能改造（含计量控制、设备更新改造、分布式光伏等）、运行维护管理、市场化购电服务、碳资产管理等，具体内容详见服务需求。</w:t>
      </w:r>
    </w:p>
    <w:p w14:paraId="23035E51">
      <w:pPr>
        <w:spacing w:line="360" w:lineRule="auto"/>
        <w:ind w:firstLine="480"/>
        <w:rPr>
          <w:rFonts w:hint="eastAsia" w:ascii="宋体" w:hAnsi="宋体" w:cs="宋体"/>
          <w:sz w:val="24"/>
          <w:szCs w:val="24"/>
          <w:highlight w:val="none"/>
        </w:rPr>
      </w:pPr>
      <w:bookmarkStart w:id="17" w:name="_Toc35393791"/>
      <w:bookmarkStart w:id="18" w:name="_Toc35393622"/>
      <w:bookmarkStart w:id="19" w:name="_Toc28359080"/>
      <w:bookmarkStart w:id="20" w:name="_Toc28359003"/>
      <w:r>
        <w:rPr>
          <w:rFonts w:hint="eastAsia" w:ascii="宋体" w:hAnsi="宋体" w:cs="宋体"/>
          <w:sz w:val="24"/>
          <w:szCs w:val="24"/>
          <w:highlight w:val="none"/>
        </w:rPr>
        <w:t>合同履行期限：</w:t>
      </w:r>
      <w:r>
        <w:rPr>
          <w:rFonts w:hint="eastAsia" w:ascii="宋体" w:hAnsi="宋体" w:cs="宋体"/>
          <w:sz w:val="24"/>
          <w:szCs w:val="24"/>
          <w:highlight w:val="none"/>
          <w:u w:val="none"/>
        </w:rPr>
        <w:t>本项目托管期为120个自然月〔能源托管期的前12个自然月为项目筹备期（含节能改造期）〕</w:t>
      </w:r>
    </w:p>
    <w:p w14:paraId="28FD6E1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质量要求：符合</w:t>
      </w:r>
      <w:r>
        <w:rPr>
          <w:rFonts w:hint="eastAsia" w:ascii="宋体" w:hAnsi="宋体" w:cs="宋体"/>
          <w:bCs/>
          <w:sz w:val="24"/>
          <w:szCs w:val="24"/>
          <w:highlight w:val="none"/>
        </w:rPr>
        <w:t>相关质量验收规范合格标准</w:t>
      </w:r>
    </w:p>
    <w:p w14:paraId="78D69B3F">
      <w:pPr>
        <w:pStyle w:val="4"/>
        <w:tabs>
          <w:tab w:val="left" w:pos="0"/>
          <w:tab w:val="left" w:pos="3165"/>
          <w:tab w:val="center" w:pos="4153"/>
        </w:tabs>
        <w:spacing w:line="360" w:lineRule="auto"/>
        <w:ind w:firstLine="482"/>
        <w:jc w:val="left"/>
        <w:rPr>
          <w:rFonts w:hint="eastAsia" w:ascii="宋体" w:hAnsi="宋体" w:eastAsia="宋体" w:cs="宋体"/>
          <w:b/>
          <w:bCs/>
          <w:sz w:val="24"/>
          <w:szCs w:val="24"/>
          <w:highlight w:val="none"/>
        </w:rPr>
      </w:pPr>
      <w:bookmarkStart w:id="21" w:name="_Toc685531700"/>
      <w:r>
        <w:rPr>
          <w:rFonts w:hint="eastAsia" w:ascii="宋体" w:hAnsi="宋体" w:eastAsia="宋体" w:cs="宋体"/>
          <w:b/>
          <w:bCs/>
          <w:sz w:val="24"/>
          <w:szCs w:val="24"/>
          <w:highlight w:val="none"/>
        </w:rPr>
        <w:t>二、申请人的资格要求：</w:t>
      </w:r>
      <w:bookmarkEnd w:id="17"/>
      <w:bookmarkEnd w:id="18"/>
      <w:bookmarkEnd w:id="19"/>
      <w:bookmarkEnd w:id="20"/>
      <w:bookmarkEnd w:id="21"/>
    </w:p>
    <w:p w14:paraId="6D96A8DD">
      <w:pPr>
        <w:spacing w:line="500" w:lineRule="exact"/>
        <w:ind w:firstLine="480"/>
        <w:rPr>
          <w:rFonts w:hint="eastAsia" w:ascii="宋体" w:hAnsi="宋体" w:cs="宋体"/>
          <w:sz w:val="24"/>
          <w:szCs w:val="24"/>
          <w:highlight w:val="none"/>
        </w:rPr>
      </w:pPr>
      <w:bookmarkStart w:id="22" w:name="_Toc35393623"/>
      <w:bookmarkStart w:id="23" w:name="_Toc35393792"/>
      <w:r>
        <w:rPr>
          <w:rFonts w:hint="eastAsia" w:ascii="宋体" w:hAnsi="宋体" w:cs="宋体"/>
          <w:sz w:val="24"/>
          <w:szCs w:val="24"/>
          <w:highlight w:val="none"/>
        </w:rPr>
        <w:t>1.满足《中华人民共和国政府采购法》第二十二条规定，并提供下列材料；</w:t>
      </w:r>
    </w:p>
    <w:p w14:paraId="6FED6125">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(1)法人或者其他组织的营业执照等证明文件，自然人的身份证明；</w:t>
      </w:r>
    </w:p>
    <w:p w14:paraId="6A465371">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(2)上一年度的财务报表（至少提供资产负债表、利润表、现金流量表，投标人成立不满一年无需提供）；</w:t>
      </w:r>
    </w:p>
    <w:p w14:paraId="669338AA">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49B27EDC">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(4)具备履行合同所必需的设备和专业技术能力的书面声明；</w:t>
      </w:r>
    </w:p>
    <w:p w14:paraId="1EF46852">
      <w:pPr>
        <w:spacing w:line="500" w:lineRule="exact"/>
        <w:ind w:firstLine="360"/>
        <w:rPr>
          <w:rFonts w:hint="eastAsia" w:ascii="宋体" w:hAnsi="宋体" w:cs="宋体"/>
          <w:sz w:val="24"/>
          <w:szCs w:val="24"/>
          <w:highlight w:val="none"/>
        </w:rPr>
      </w:pPr>
      <w:r>
        <w:rPr>
          <w:rFonts w:hint="eastAsia" w:ascii="宋体" w:hAnsi="宋体" w:cs="宋体"/>
          <w:sz w:val="24"/>
          <w:szCs w:val="24"/>
          <w:highlight w:val="none"/>
        </w:rPr>
        <w:t xml:space="preserve"> (5)参加政府采购活动前3年内在经营活动中没有重大违法记录的书面声明；</w:t>
      </w:r>
    </w:p>
    <w:p w14:paraId="22AD430D">
      <w:pPr>
        <w:spacing w:line="500" w:lineRule="exact"/>
        <w:ind w:firstLine="360"/>
        <w:rPr>
          <w:rFonts w:hint="eastAsia" w:ascii="宋体" w:hAnsi="宋体" w:cs="宋体"/>
          <w:sz w:val="24"/>
          <w:szCs w:val="24"/>
          <w:highlight w:val="none"/>
        </w:rPr>
      </w:pPr>
      <w:r>
        <w:rPr>
          <w:rFonts w:hint="eastAsia" w:ascii="宋体" w:hAnsi="宋体" w:cs="宋体"/>
          <w:sz w:val="24"/>
          <w:szCs w:val="24"/>
          <w:highlight w:val="none"/>
        </w:rPr>
        <w:t xml:space="preserve"> (6)法律、行政法规规定的其他条件。</w:t>
      </w:r>
    </w:p>
    <w:p w14:paraId="1C2423A5">
      <w:pPr>
        <w:spacing w:line="500" w:lineRule="exact"/>
        <w:ind w:firstLine="480"/>
        <w:rPr>
          <w:rFonts w:hint="eastAsia" w:ascii="宋体" w:hAnsi="宋体" w:cs="宋体"/>
          <w:sz w:val="24"/>
          <w:szCs w:val="24"/>
          <w:highlight w:val="none"/>
        </w:rPr>
      </w:pPr>
      <w:bookmarkStart w:id="24" w:name="_Toc28359081"/>
      <w:bookmarkStart w:id="25" w:name="_Toc28359004"/>
      <w:r>
        <w:rPr>
          <w:rFonts w:hint="eastAsia" w:ascii="宋体" w:hAnsi="宋体" w:cs="宋体"/>
          <w:sz w:val="24"/>
          <w:szCs w:val="24"/>
          <w:highlight w:val="none"/>
        </w:rPr>
        <w:t>2.落实政府采购政策需满足的资格要求：见招标文件。</w:t>
      </w:r>
    </w:p>
    <w:p w14:paraId="31CC8332">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3.本项目的特定资格要求：</w:t>
      </w:r>
      <w:bookmarkEnd w:id="24"/>
      <w:bookmarkEnd w:id="25"/>
    </w:p>
    <w:p w14:paraId="16A7F7E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（1）投标人未被“信用中国”网站（www.creditchina.gov.cn）列入失信被执行人、重大税收违法案件当事人名单、政府采购严重违法失信名单。</w:t>
      </w:r>
    </w:p>
    <w:p w14:paraId="5069F092">
      <w:pPr>
        <w:ind w:firstLine="480" w:firstLineChars="200"/>
        <w:rPr>
          <w:rFonts w:hint="eastAsia" w:ascii="宋体" w:hAnsi="宋体" w:cs="宋体"/>
          <w:sz w:val="24"/>
          <w:szCs w:val="24"/>
          <w:highlight w:val="none"/>
        </w:rPr>
      </w:pPr>
      <w:r>
        <w:rPr>
          <w:rFonts w:hint="eastAsia" w:ascii="宋体" w:hAnsi="宋体" w:cs="宋体"/>
          <w:sz w:val="24"/>
          <w:szCs w:val="24"/>
          <w:highlight w:val="none"/>
        </w:rPr>
        <w:t>（2）单位负责人为同一人或者存在直接控股、管理关系的不同供应商，不得参加同一合同项下的政府采购活动。</w:t>
      </w:r>
    </w:p>
    <w:p w14:paraId="0875069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 本项目接受联合体投标，联合体成员数量不超过2人，还应遵守以下规定：</w:t>
      </w:r>
    </w:p>
    <w:p w14:paraId="1002EED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（1）联合体各方应按招标文件提供的格式签订</w:t>
      </w:r>
      <w:bookmarkStart w:id="26" w:name="OLE_LINK50"/>
      <w:bookmarkStart w:id="27" w:name="OLE_LINK49"/>
      <w:r>
        <w:rPr>
          <w:rFonts w:hint="eastAsia" w:ascii="宋体" w:hAnsi="宋体" w:cs="宋体"/>
          <w:sz w:val="24"/>
          <w:szCs w:val="24"/>
          <w:highlight w:val="none"/>
        </w:rPr>
        <w:t>共同投标协议</w:t>
      </w:r>
      <w:bookmarkEnd w:id="26"/>
      <w:bookmarkEnd w:id="27"/>
      <w:r>
        <w:rPr>
          <w:rFonts w:hint="eastAsia" w:ascii="宋体" w:hAnsi="宋体" w:cs="宋体"/>
          <w:sz w:val="24"/>
          <w:szCs w:val="24"/>
          <w:highlight w:val="none"/>
        </w:rPr>
        <w:t>，共同投标协议中联合体各方必须指定牵头人，授权其代表所有联合体成员负责投标和合同实施阶段的主办、协调工作，并明确各方权利义务；</w:t>
      </w:r>
    </w:p>
    <w:p w14:paraId="464A018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2</w:t>
      </w:r>
      <w:r>
        <w:rPr>
          <w:rFonts w:hint="eastAsia" w:ascii="宋体" w:hAnsi="宋体" w:cs="宋体"/>
          <w:sz w:val="24"/>
          <w:szCs w:val="24"/>
          <w:highlight w:val="none"/>
        </w:rPr>
        <w:t>）联合体各成员单位应当具备与共同投标协议中约定的分工相适应的资格和能力，共同投标协议约定联合体成员承担同一专业工作的，按照资质等级最低的成员确定资质等级；</w:t>
      </w:r>
    </w:p>
    <w:p w14:paraId="4BDC3E3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（3）联合体各方不得再以自己名义单独或参加其他联合体在同一标段中投标。</w:t>
      </w:r>
    </w:p>
    <w:p w14:paraId="52ED7B22">
      <w:pPr>
        <w:pStyle w:val="4"/>
        <w:tabs>
          <w:tab w:val="left" w:pos="0"/>
          <w:tab w:val="left" w:pos="3165"/>
          <w:tab w:val="center" w:pos="4153"/>
        </w:tabs>
        <w:spacing w:line="360" w:lineRule="auto"/>
        <w:ind w:firstLine="482"/>
        <w:jc w:val="left"/>
        <w:rPr>
          <w:rFonts w:hint="eastAsia" w:ascii="宋体" w:hAnsi="宋体" w:eastAsia="宋体" w:cs="宋体"/>
          <w:b/>
          <w:bCs/>
          <w:sz w:val="24"/>
          <w:szCs w:val="24"/>
          <w:highlight w:val="none"/>
        </w:rPr>
      </w:pPr>
      <w:bookmarkStart w:id="28" w:name="_Toc481515745"/>
      <w:r>
        <w:rPr>
          <w:rFonts w:hint="eastAsia" w:ascii="宋体" w:hAnsi="宋体" w:eastAsia="宋体" w:cs="宋体"/>
          <w:b/>
          <w:bCs/>
          <w:sz w:val="24"/>
          <w:szCs w:val="24"/>
          <w:highlight w:val="none"/>
        </w:rPr>
        <w:t>三、获取招标文件</w:t>
      </w:r>
      <w:bookmarkEnd w:id="22"/>
      <w:bookmarkEnd w:id="23"/>
      <w:bookmarkEnd w:id="28"/>
    </w:p>
    <w:p w14:paraId="7FDA9A48">
      <w:pPr>
        <w:pStyle w:val="18"/>
        <w:shd w:val="clear" w:color="auto" w:fill="FFFFFF"/>
        <w:spacing w:before="0" w:beforeAutospacing="0" w:after="0" w:afterAutospacing="0" w:line="360" w:lineRule="auto"/>
        <w:ind w:firstLine="480"/>
        <w:rPr>
          <w:rFonts w:hint="eastAsia"/>
          <w:highlight w:val="none"/>
        </w:rPr>
      </w:pPr>
      <w:r>
        <w:rPr>
          <w:rFonts w:hint="eastAsia"/>
          <w:highlight w:val="none"/>
          <w:shd w:val="clear" w:color="auto" w:fill="FFFFFF"/>
        </w:rPr>
        <w:t>时间：自招标文件公告发布之日起5个工作日内。 </w:t>
      </w:r>
    </w:p>
    <w:p w14:paraId="3A77C751">
      <w:pPr>
        <w:pStyle w:val="18"/>
        <w:shd w:val="clear" w:color="auto" w:fill="FFFFFF"/>
        <w:spacing w:before="0" w:beforeAutospacing="0" w:after="0" w:afterAutospacing="0" w:line="360" w:lineRule="auto"/>
        <w:ind w:firstLine="480"/>
        <w:rPr>
          <w:rFonts w:hint="eastAsia"/>
          <w:highlight w:val="none"/>
        </w:rPr>
      </w:pPr>
      <w:r>
        <w:rPr>
          <w:rFonts w:hint="eastAsia"/>
          <w:highlight w:val="none"/>
          <w:shd w:val="clear" w:color="auto" w:fill="FFFFFF"/>
        </w:rPr>
        <w:t>地点：“苏采云”系统内免费下载（投标人必须在苏采云系统中获取采购文件，方能参与政府采购项目）；  </w:t>
      </w:r>
    </w:p>
    <w:p w14:paraId="42E640CB">
      <w:pPr>
        <w:pStyle w:val="18"/>
        <w:shd w:val="clear" w:color="auto" w:fill="FFFFFF"/>
        <w:spacing w:before="0" w:beforeAutospacing="0" w:after="0" w:afterAutospacing="0" w:line="360" w:lineRule="auto"/>
        <w:ind w:firstLine="480"/>
        <w:rPr>
          <w:rFonts w:hint="eastAsia"/>
          <w:highlight w:val="none"/>
        </w:rPr>
      </w:pPr>
      <w:r>
        <w:rPr>
          <w:rFonts w:hint="eastAsia"/>
          <w:highlight w:val="none"/>
          <w:shd w:val="clear" w:color="auto" w:fill="FFFFFF"/>
        </w:rPr>
        <w:t>方式：</w:t>
      </w:r>
      <w:r>
        <w:rPr>
          <w:rFonts w:hint="eastAsia"/>
          <w:highlight w:val="none"/>
        </w:rPr>
        <w:t>网上注册登记成功后在“</w:t>
      </w:r>
      <w:r>
        <w:rPr>
          <w:rFonts w:hint="eastAsia"/>
          <w:highlight w:val="none"/>
          <w:shd w:val="clear" w:color="auto" w:fill="FFFFFF"/>
        </w:rPr>
        <w:t>苏采云”系统内免费下载。 </w:t>
      </w:r>
    </w:p>
    <w:p w14:paraId="2123A81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售价：0元</w:t>
      </w:r>
    </w:p>
    <w:p w14:paraId="35B2DB59">
      <w:pPr>
        <w:pStyle w:val="5"/>
        <w:keepNext w:val="0"/>
        <w:keepLines w:val="0"/>
        <w:widowControl/>
        <w:spacing w:before="0" w:after="0" w:line="360" w:lineRule="auto"/>
        <w:ind w:firstLine="482"/>
        <w:jc w:val="left"/>
        <w:rPr>
          <w:rFonts w:hint="eastAsia" w:ascii="宋体" w:hAnsi="宋体" w:eastAsia="宋体" w:cs="宋体"/>
          <w:sz w:val="24"/>
          <w:szCs w:val="24"/>
          <w:highlight w:val="none"/>
        </w:rPr>
      </w:pPr>
      <w:bookmarkStart w:id="29" w:name="_Toc1116744319"/>
      <w:r>
        <w:rPr>
          <w:rStyle w:val="25"/>
          <w:rFonts w:hint="eastAsia" w:ascii="宋体" w:hAnsi="宋体" w:eastAsia="宋体" w:cs="宋体"/>
          <w:b/>
          <w:bCs/>
          <w:sz w:val="24"/>
          <w:szCs w:val="24"/>
          <w:highlight w:val="none"/>
          <w:shd w:val="clear" w:color="auto" w:fill="FFFFFF"/>
        </w:rPr>
        <w:t>四、提交投标文件截止时间、开标时间和地点</w:t>
      </w:r>
      <w:bookmarkEnd w:id="29"/>
    </w:p>
    <w:p w14:paraId="396DA0B7">
      <w:pPr>
        <w:pStyle w:val="18"/>
        <w:spacing w:before="0" w:beforeAutospacing="0" w:after="0" w:afterAutospacing="0" w:line="360" w:lineRule="auto"/>
        <w:ind w:firstLine="480"/>
        <w:rPr>
          <w:rFonts w:hint="eastAsia"/>
          <w:highlight w:val="none"/>
        </w:rPr>
      </w:pPr>
      <w:r>
        <w:rPr>
          <w:rFonts w:hint="eastAsia"/>
          <w:highlight w:val="none"/>
        </w:rPr>
        <w:t>时间：</w:t>
      </w:r>
      <w:r>
        <w:rPr>
          <w:rFonts w:hint="eastAsia"/>
          <w:b/>
          <w:bCs/>
          <w:highlight w:val="none"/>
          <w:u w:val="single"/>
          <w:shd w:val="clear" w:color="auto" w:fill="FFFFFF"/>
        </w:rPr>
        <w:t>2026</w:t>
      </w:r>
      <w:r>
        <w:rPr>
          <w:rFonts w:hint="eastAsia"/>
          <w:b/>
          <w:bCs/>
          <w:highlight w:val="none"/>
          <w:shd w:val="clear" w:color="auto" w:fill="FFFFFF"/>
        </w:rPr>
        <w:t>年</w:t>
      </w:r>
      <w:r>
        <w:rPr>
          <w:rFonts w:hint="eastAsia"/>
          <w:b/>
          <w:bCs/>
          <w:highlight w:val="none"/>
          <w:u w:val="single"/>
          <w:shd w:val="clear" w:color="auto" w:fill="FFFFFF"/>
          <w:lang w:val="en-US" w:eastAsia="zh-CN"/>
        </w:rPr>
        <w:t>08</w:t>
      </w:r>
      <w:r>
        <w:rPr>
          <w:rFonts w:hint="eastAsia"/>
          <w:b/>
          <w:bCs/>
          <w:highlight w:val="none"/>
          <w:shd w:val="clear" w:color="auto" w:fill="FFFFFF"/>
        </w:rPr>
        <w:t>月</w:t>
      </w:r>
      <w:r>
        <w:rPr>
          <w:rFonts w:hint="eastAsia"/>
          <w:b/>
          <w:bCs/>
          <w:highlight w:val="none"/>
          <w:u w:val="single"/>
          <w:shd w:val="clear" w:color="auto" w:fill="FFFFFF"/>
          <w:lang w:val="en-US" w:eastAsia="zh-CN"/>
        </w:rPr>
        <w:t>18</w:t>
      </w:r>
      <w:r>
        <w:rPr>
          <w:rFonts w:hint="eastAsia"/>
          <w:b/>
          <w:bCs/>
          <w:highlight w:val="none"/>
          <w:shd w:val="clear" w:color="auto" w:fill="FFFFFF"/>
        </w:rPr>
        <w:t>日</w:t>
      </w:r>
      <w:r>
        <w:rPr>
          <w:rFonts w:hint="eastAsia"/>
          <w:b/>
          <w:bCs/>
          <w:highlight w:val="none"/>
          <w:u w:val="single"/>
          <w:shd w:val="clear" w:color="auto" w:fill="FFFFFF"/>
          <w:lang w:val="en-US" w:eastAsia="zh-CN"/>
        </w:rPr>
        <w:t>10</w:t>
      </w:r>
      <w:r>
        <w:rPr>
          <w:rFonts w:hint="eastAsia"/>
          <w:b/>
          <w:bCs/>
          <w:highlight w:val="none"/>
          <w:shd w:val="clear" w:color="auto" w:fill="FFFFFF"/>
        </w:rPr>
        <w:t>时</w:t>
      </w:r>
      <w:r>
        <w:rPr>
          <w:rFonts w:hint="eastAsia"/>
          <w:b/>
          <w:bCs/>
          <w:highlight w:val="none"/>
          <w:u w:val="single"/>
          <w:shd w:val="clear" w:color="auto" w:fill="FFFFFF"/>
        </w:rPr>
        <w:t xml:space="preserve"> 00</w:t>
      </w:r>
      <w:r>
        <w:rPr>
          <w:b/>
          <w:bCs/>
          <w:highlight w:val="none"/>
          <w:u w:val="single"/>
          <w:shd w:val="clear" w:color="auto" w:fill="FFFFFF"/>
        </w:rPr>
        <w:t xml:space="preserve"> </w:t>
      </w:r>
      <w:r>
        <w:rPr>
          <w:rFonts w:hint="eastAsia"/>
          <w:b/>
          <w:bCs/>
          <w:highlight w:val="none"/>
          <w:shd w:val="clear" w:color="auto" w:fill="FFFFFF"/>
        </w:rPr>
        <w:t>分</w:t>
      </w:r>
      <w:r>
        <w:rPr>
          <w:rFonts w:hint="eastAsia"/>
          <w:highlight w:val="none"/>
          <w:shd w:val="clear" w:color="auto" w:fill="FFFFFF"/>
        </w:rPr>
        <w:t>（北京时间）</w:t>
      </w:r>
    </w:p>
    <w:p w14:paraId="2D84EE7B">
      <w:pPr>
        <w:pStyle w:val="18"/>
        <w:spacing w:before="0" w:beforeAutospacing="0" w:after="0" w:afterAutospacing="0" w:line="360" w:lineRule="auto"/>
        <w:ind w:firstLine="480"/>
        <w:rPr>
          <w:rFonts w:hint="eastAsia"/>
          <w:highlight w:val="none"/>
        </w:rPr>
      </w:pPr>
      <w:r>
        <w:rPr>
          <w:rFonts w:hint="eastAsia"/>
          <w:highlight w:val="none"/>
          <w:shd w:val="clear" w:color="auto" w:fill="FFFFFF"/>
        </w:rPr>
        <w:t>地点：</w:t>
      </w:r>
      <w:r>
        <w:rPr>
          <w:rFonts w:hint="eastAsia"/>
          <w:bCs/>
          <w:highlight w:val="none"/>
        </w:rPr>
        <w:t>“苏采云”系统（网址：http://jszfcg.jsczt.cn/）“开标大厅”。</w:t>
      </w:r>
      <w:r>
        <w:rPr>
          <w:rFonts w:hint="eastAsia"/>
          <w:highlight w:val="none"/>
          <w:shd w:val="clear" w:color="auto" w:fill="FFFFFF"/>
        </w:rPr>
        <w:t> </w:t>
      </w:r>
    </w:p>
    <w:p w14:paraId="3E5C365D">
      <w:pPr>
        <w:pStyle w:val="5"/>
        <w:keepNext w:val="0"/>
        <w:keepLines w:val="0"/>
        <w:widowControl/>
        <w:shd w:val="clear" w:color="auto" w:fill="FFFFFF"/>
        <w:spacing w:before="0" w:after="0" w:line="360" w:lineRule="auto"/>
        <w:ind w:firstLine="482"/>
        <w:jc w:val="left"/>
        <w:rPr>
          <w:rFonts w:hint="eastAsia" w:ascii="宋体" w:hAnsi="宋体" w:eastAsia="宋体" w:cs="宋体"/>
          <w:sz w:val="24"/>
          <w:szCs w:val="24"/>
          <w:highlight w:val="none"/>
        </w:rPr>
      </w:pPr>
      <w:bookmarkStart w:id="30" w:name="_Toc114694653"/>
      <w:r>
        <w:rPr>
          <w:rStyle w:val="25"/>
          <w:rFonts w:hint="eastAsia" w:ascii="宋体" w:hAnsi="宋体" w:eastAsia="宋体" w:cs="宋体"/>
          <w:b/>
          <w:bCs/>
          <w:sz w:val="24"/>
          <w:szCs w:val="24"/>
          <w:highlight w:val="none"/>
          <w:shd w:val="clear" w:color="auto" w:fill="FFFFFF"/>
        </w:rPr>
        <w:t>五、公告期限</w:t>
      </w:r>
      <w:bookmarkEnd w:id="30"/>
    </w:p>
    <w:p w14:paraId="1606EC0C">
      <w:pPr>
        <w:pStyle w:val="18"/>
        <w:shd w:val="clear" w:color="auto" w:fill="FFFFFF"/>
        <w:spacing w:before="0" w:beforeAutospacing="0" w:after="0" w:afterAutospacing="0" w:line="360" w:lineRule="auto"/>
        <w:ind w:firstLine="480"/>
        <w:rPr>
          <w:rFonts w:hint="eastAsia"/>
          <w:highlight w:val="none"/>
          <w:shd w:val="clear" w:color="auto" w:fill="FFFFFF"/>
        </w:rPr>
      </w:pPr>
      <w:r>
        <w:rPr>
          <w:rFonts w:hint="eastAsia"/>
          <w:highlight w:val="none"/>
          <w:shd w:val="clear" w:color="auto" w:fill="FFFFFF"/>
        </w:rPr>
        <w:t>自本公告发布之日起5个工作日。</w:t>
      </w:r>
    </w:p>
    <w:p w14:paraId="2EC32F07">
      <w:pPr>
        <w:pStyle w:val="8"/>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六、评标办法</w:t>
      </w:r>
    </w:p>
    <w:p w14:paraId="583E871D">
      <w:pPr>
        <w:pStyle w:val="8"/>
        <w:tabs>
          <w:tab w:val="left" w:pos="5458"/>
          <w:tab w:val="left" w:pos="8800"/>
        </w:tabs>
        <w:spacing w:line="360" w:lineRule="auto"/>
        <w:ind w:firstLine="592"/>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本项目评标办法为综合评分法，详见本项目招标文件第四章。</w:t>
      </w:r>
    </w:p>
    <w:p w14:paraId="43F20864">
      <w:pPr>
        <w:pStyle w:val="5"/>
        <w:keepNext w:val="0"/>
        <w:keepLines w:val="0"/>
        <w:widowControl/>
        <w:spacing w:before="0" w:after="0" w:line="360" w:lineRule="auto"/>
        <w:ind w:firstLine="482"/>
        <w:jc w:val="left"/>
        <w:rPr>
          <w:rFonts w:hint="eastAsia" w:ascii="宋体" w:hAnsi="宋体" w:eastAsia="宋体" w:cs="宋体"/>
          <w:sz w:val="24"/>
          <w:szCs w:val="24"/>
          <w:highlight w:val="none"/>
        </w:rPr>
      </w:pPr>
      <w:bookmarkStart w:id="31" w:name="_Toc1380201612"/>
      <w:r>
        <w:rPr>
          <w:rStyle w:val="25"/>
          <w:rFonts w:hint="eastAsia" w:ascii="宋体" w:hAnsi="宋体" w:eastAsia="宋体" w:cs="宋体"/>
          <w:b/>
          <w:bCs/>
          <w:sz w:val="24"/>
          <w:szCs w:val="24"/>
          <w:highlight w:val="none"/>
          <w:shd w:val="clear" w:color="auto" w:fill="FFFFFF"/>
        </w:rPr>
        <w:t>七、其他补充事宜</w:t>
      </w:r>
      <w:bookmarkEnd w:id="31"/>
    </w:p>
    <w:p w14:paraId="43C6BACF">
      <w:pPr>
        <w:pStyle w:val="18"/>
        <w:shd w:val="clear" w:color="auto" w:fill="FFFFFF"/>
        <w:spacing w:before="0" w:beforeAutospacing="0" w:after="0" w:afterAutospacing="0" w:line="360" w:lineRule="auto"/>
        <w:ind w:firstLine="480"/>
        <w:rPr>
          <w:rFonts w:hint="eastAsia"/>
          <w:highlight w:val="none"/>
          <w:shd w:val="clear" w:color="auto" w:fill="FFFFFF"/>
        </w:rPr>
      </w:pPr>
      <w:r>
        <w:rPr>
          <w:rFonts w:hint="eastAsia"/>
          <w:highlight w:val="none"/>
          <w:shd w:val="clear" w:color="auto" w:fill="FFFFFF"/>
        </w:rPr>
        <w:t>1、电子投标文件一份(通过系统提交)；纸质投标文件正本一份，副本四份（评审结束后由中标候选人邮寄至采购人，未中标单位不需要提供）。</w:t>
      </w:r>
    </w:p>
    <w:p w14:paraId="38A6D5DA">
      <w:pPr>
        <w:pStyle w:val="18"/>
        <w:shd w:val="clear" w:color="auto" w:fill="FFFFFF"/>
        <w:spacing w:before="0" w:beforeAutospacing="0" w:after="0" w:afterAutospacing="0" w:line="360" w:lineRule="auto"/>
        <w:ind w:firstLine="480"/>
        <w:rPr>
          <w:rFonts w:hint="eastAsia"/>
          <w:highlight w:val="none"/>
          <w:shd w:val="clear" w:color="auto" w:fill="FFFFFF"/>
        </w:rPr>
      </w:pPr>
      <w:r>
        <w:rPr>
          <w:rFonts w:hint="eastAsia"/>
          <w:highlight w:val="none"/>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p>
    <w:p w14:paraId="392CA370">
      <w:pPr>
        <w:pStyle w:val="18"/>
        <w:shd w:val="clear" w:color="auto" w:fill="FFFFFF"/>
        <w:spacing w:before="0" w:beforeAutospacing="0" w:after="0" w:afterAutospacing="0" w:line="360" w:lineRule="auto"/>
        <w:ind w:firstLine="480"/>
        <w:rPr>
          <w:rFonts w:hint="eastAsia"/>
          <w:highlight w:val="none"/>
          <w:shd w:val="clear" w:color="auto" w:fill="FFFFFF"/>
        </w:rPr>
      </w:pPr>
      <w:r>
        <w:rPr>
          <w:rFonts w:hint="eastAsia"/>
          <w:highlight w:val="none"/>
          <w:shd w:val="clear" w:color="auto" w:fill="FFFFFF"/>
        </w:rPr>
        <w:t>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14:paraId="0723FA6F">
      <w:pPr>
        <w:pStyle w:val="18"/>
        <w:shd w:val="clear" w:color="auto" w:fill="FFFFFF"/>
        <w:spacing w:before="0" w:beforeAutospacing="0" w:after="0" w:afterAutospacing="0" w:line="360" w:lineRule="auto"/>
        <w:ind w:firstLine="480"/>
        <w:rPr>
          <w:rFonts w:hint="eastAsia"/>
          <w:highlight w:val="none"/>
          <w:shd w:val="clear" w:color="auto" w:fill="FFFFFF"/>
        </w:rPr>
      </w:pPr>
      <w:r>
        <w:rPr>
          <w:rFonts w:hint="eastAsia"/>
          <w:highlight w:val="none"/>
          <w:shd w:val="clear" w:color="auto" w:fill="FFFFFF"/>
        </w:rPr>
        <w:t>3、有关本次招标的事项若存在变动或修改，敬请及时关注采购人在“中国政府采购网”“江苏政府采购网”、“盐城市政府采购网”发布的更正公告。</w:t>
      </w:r>
    </w:p>
    <w:p w14:paraId="27FB951A">
      <w:pPr>
        <w:pStyle w:val="18"/>
        <w:shd w:val="clear" w:color="auto" w:fill="FFFFFF"/>
        <w:spacing w:before="0" w:beforeAutospacing="0" w:after="0" w:afterAutospacing="0" w:line="360" w:lineRule="auto"/>
        <w:ind w:firstLine="480"/>
        <w:rPr>
          <w:rFonts w:hint="eastAsia"/>
          <w:highlight w:val="none"/>
          <w:shd w:val="clear" w:color="auto" w:fill="FFFFFF"/>
        </w:rPr>
      </w:pPr>
      <w:r>
        <w:rPr>
          <w:rFonts w:hint="eastAsia"/>
          <w:highlight w:val="none"/>
          <w:shd w:val="clear" w:color="auto" w:fill="FFFFFF"/>
        </w:rPr>
        <w:t>4、本项目不收取投标保证金，不收取质量保证金。</w:t>
      </w:r>
    </w:p>
    <w:p w14:paraId="10B11EB2">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八、对本次招标提出询问，请按以下方式联系。</w:t>
      </w:r>
    </w:p>
    <w:p w14:paraId="071537DF">
      <w:pPr>
        <w:widowControl/>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1.采购人信息</w:t>
      </w:r>
    </w:p>
    <w:p w14:paraId="4482299B">
      <w:pPr>
        <w:widowControl/>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名    称：盐城市大丰区机关事务服务中心</w:t>
      </w:r>
    </w:p>
    <w:p w14:paraId="4FF58798">
      <w:pPr>
        <w:widowControl/>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地    址：江苏省盐城市大丰区大华东路1号</w:t>
      </w:r>
    </w:p>
    <w:p w14:paraId="4FB25C58">
      <w:pPr>
        <w:widowControl/>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联 系 人：吕永明 </w:t>
      </w:r>
    </w:p>
    <w:p w14:paraId="1DBA019C">
      <w:pPr>
        <w:widowControl/>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联系电话：13805113388</w:t>
      </w:r>
    </w:p>
    <w:p w14:paraId="6EFCCA00">
      <w:pPr>
        <w:widowControl/>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2.采购代理机构信息</w:t>
      </w:r>
    </w:p>
    <w:p w14:paraId="4307B8C9">
      <w:pPr>
        <w:widowControl/>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名    称：江苏磊华项目管理有限公司</w:t>
      </w:r>
    </w:p>
    <w:p w14:paraId="03FCFBF7">
      <w:pPr>
        <w:widowControl/>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地　　址：</w:t>
      </w:r>
      <w:r>
        <w:rPr>
          <w:rFonts w:hint="eastAsia" w:ascii="宋体" w:hAnsi="宋体" w:cs="宋体"/>
          <w:bCs/>
          <w:sz w:val="24"/>
          <w:szCs w:val="24"/>
          <w:highlight w:val="none"/>
          <w:lang w:val="zh-CN"/>
        </w:rPr>
        <w:t>盐城市大丰区五一路与飞达东路交叉路口东北侧(锦和科技大厦21楼)</w:t>
      </w:r>
    </w:p>
    <w:p w14:paraId="77869438">
      <w:pPr>
        <w:widowControl/>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联 系 人： 季顺凡</w:t>
      </w:r>
    </w:p>
    <w:p w14:paraId="1BD36F33">
      <w:pPr>
        <w:widowControl/>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联系电话：13851337203</w:t>
      </w:r>
    </w:p>
    <w:p w14:paraId="2A053A84">
      <w:pPr>
        <w:widowControl/>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3.项目联系方式</w:t>
      </w:r>
      <w:bookmarkEnd w:id="13"/>
      <w:bookmarkEnd w:id="14"/>
      <w:bookmarkEnd w:id="15"/>
      <w:bookmarkEnd w:id="16"/>
    </w:p>
    <w:p w14:paraId="3A214C2F">
      <w:pPr>
        <w:widowControl/>
        <w:spacing w:line="360" w:lineRule="auto"/>
        <w:ind w:firstLine="480"/>
        <w:jc w:val="left"/>
        <w:rPr>
          <w:rFonts w:hint="eastAsia" w:ascii="宋体" w:hAnsi="宋体" w:cs="宋体"/>
          <w:bCs/>
          <w:sz w:val="24"/>
          <w:szCs w:val="24"/>
          <w:highlight w:val="none"/>
        </w:rPr>
      </w:pPr>
      <w:bookmarkStart w:id="32" w:name="_Toc120614211"/>
      <w:r>
        <w:rPr>
          <w:rFonts w:hint="eastAsia" w:ascii="宋体" w:hAnsi="宋体" w:cs="宋体"/>
          <w:bCs/>
          <w:sz w:val="24"/>
          <w:szCs w:val="24"/>
          <w:highlight w:val="none"/>
        </w:rPr>
        <w:t>项目联系人：季顺凡</w:t>
      </w:r>
    </w:p>
    <w:p w14:paraId="610CADE4">
      <w:pPr>
        <w:widowControl/>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电话：：13851337203</w:t>
      </w:r>
    </w:p>
    <w:p w14:paraId="12C7B8BB">
      <w:pPr>
        <w:widowControl/>
        <w:spacing w:line="360" w:lineRule="auto"/>
        <w:ind w:firstLine="480"/>
        <w:jc w:val="left"/>
        <w:rPr>
          <w:rFonts w:hint="eastAsia" w:ascii="宋体" w:hAnsi="宋体" w:cs="宋体"/>
          <w:sz w:val="24"/>
          <w:szCs w:val="24"/>
          <w:highlight w:val="none"/>
        </w:rPr>
      </w:pPr>
      <w:r>
        <w:rPr>
          <w:rFonts w:hint="eastAsia" w:ascii="宋体" w:hAnsi="宋体" w:cs="宋体"/>
          <w:bCs/>
          <w:sz w:val="24"/>
          <w:szCs w:val="24"/>
          <w:highlight w:val="none"/>
        </w:rPr>
        <w:t>4.软件技术支持：0519-86722805</w:t>
      </w:r>
      <w:bookmarkEnd w:id="1"/>
      <w:bookmarkEnd w:id="2"/>
      <w:bookmarkEnd w:id="3"/>
      <w:bookmarkEnd w:id="4"/>
      <w:bookmarkEnd w:id="5"/>
      <w:bookmarkEnd w:id="32"/>
    </w:p>
    <w:p w14:paraId="36BD293B">
      <w:pPr>
        <w:pageBreakBefore/>
        <w:spacing w:line="520" w:lineRule="exact"/>
        <w:jc w:val="center"/>
        <w:outlineLvl w:val="0"/>
        <w:rPr>
          <w:b/>
          <w:sz w:val="44"/>
          <w:szCs w:val="44"/>
          <w:highlight w:val="none"/>
        </w:rPr>
      </w:pPr>
      <w:bookmarkStart w:id="33" w:name="_Toc2077621637"/>
      <w:bookmarkStart w:id="34" w:name="_Toc513029242"/>
      <w:bookmarkStart w:id="35" w:name="_Toc16938558"/>
      <w:bookmarkStart w:id="36" w:name="_Toc479757207"/>
      <w:bookmarkStart w:id="37" w:name="_Toc20823314"/>
      <w:bookmarkStart w:id="38" w:name="_Toc120614221"/>
      <w:r>
        <w:rPr>
          <w:rFonts w:hint="eastAsia"/>
          <w:b/>
          <w:sz w:val="44"/>
          <w:szCs w:val="44"/>
          <w:highlight w:val="none"/>
        </w:rPr>
        <w:t xml:space="preserve">第二章  </w:t>
      </w:r>
      <w:bookmarkStart w:id="39" w:name="_Toc16938518"/>
      <w:bookmarkStart w:id="40" w:name="_Toc20823274"/>
      <w:bookmarkStart w:id="41" w:name="_Toc513029202"/>
      <w:bookmarkStart w:id="42" w:name="_Toc120614213"/>
      <w:r>
        <w:rPr>
          <w:rFonts w:hint="eastAsia"/>
          <w:b/>
          <w:sz w:val="44"/>
          <w:szCs w:val="44"/>
          <w:highlight w:val="none"/>
        </w:rPr>
        <w:t>投标人须知</w:t>
      </w:r>
      <w:bookmarkEnd w:id="33"/>
      <w:bookmarkEnd w:id="39"/>
      <w:bookmarkEnd w:id="40"/>
      <w:bookmarkEnd w:id="41"/>
      <w:bookmarkEnd w:id="42"/>
    </w:p>
    <w:p w14:paraId="19B14552">
      <w:pPr>
        <w:pStyle w:val="34"/>
        <w:spacing w:before="145" w:after="145" w:line="360" w:lineRule="auto"/>
        <w:ind w:firstLine="498"/>
        <w:rPr>
          <w:rFonts w:hint="eastAsia" w:ascii="宋体" w:hAnsi="宋体" w:cs="宋体"/>
          <w:sz w:val="24"/>
          <w:szCs w:val="24"/>
          <w:highlight w:val="none"/>
        </w:rPr>
      </w:pPr>
      <w:bookmarkStart w:id="43" w:name="_Toc120614214"/>
      <w:bookmarkStart w:id="44" w:name="_Toc20823275"/>
      <w:bookmarkStart w:id="45" w:name="_Toc513029203"/>
      <w:bookmarkStart w:id="46" w:name="_Toc16938519"/>
      <w:r>
        <w:rPr>
          <w:rFonts w:hint="eastAsia" w:ascii="宋体" w:hAnsi="宋体" w:cs="宋体"/>
          <w:sz w:val="24"/>
          <w:szCs w:val="24"/>
          <w:highlight w:val="none"/>
        </w:rPr>
        <w:t>一、总则</w:t>
      </w:r>
      <w:bookmarkEnd w:id="43"/>
      <w:bookmarkEnd w:id="44"/>
      <w:bookmarkEnd w:id="45"/>
      <w:bookmarkEnd w:id="46"/>
    </w:p>
    <w:p w14:paraId="23206931">
      <w:pPr>
        <w:pStyle w:val="35"/>
        <w:spacing w:before="0" w:after="0" w:line="360" w:lineRule="auto"/>
        <w:ind w:firstLine="420"/>
        <w:rPr>
          <w:rFonts w:hint="eastAsia" w:ascii="宋体" w:hAnsi="宋体" w:eastAsia="宋体" w:cs="宋体"/>
          <w:b w:val="0"/>
          <w:bCs w:val="0"/>
          <w:sz w:val="24"/>
          <w:szCs w:val="24"/>
          <w:highlight w:val="none"/>
        </w:rPr>
      </w:pPr>
      <w:bookmarkStart w:id="47" w:name="_Hlt16619475"/>
      <w:bookmarkEnd w:id="47"/>
      <w:bookmarkStart w:id="48" w:name="_Toc458694821"/>
      <w:bookmarkStart w:id="49" w:name="_Toc20823276"/>
      <w:bookmarkStart w:id="50" w:name="_Toc513029204"/>
      <w:bookmarkStart w:id="51" w:name="_Toc16938520"/>
      <w:r>
        <w:rPr>
          <w:rFonts w:hint="eastAsia" w:ascii="宋体" w:hAnsi="宋体" w:eastAsia="宋体" w:cs="宋体"/>
          <w:b w:val="0"/>
          <w:bCs w:val="0"/>
          <w:sz w:val="24"/>
          <w:szCs w:val="24"/>
          <w:highlight w:val="none"/>
        </w:rPr>
        <w:t>1</w:t>
      </w:r>
      <w:bookmarkEnd w:id="48"/>
      <w:r>
        <w:rPr>
          <w:rFonts w:hint="eastAsia" w:ascii="宋体" w:hAnsi="宋体" w:eastAsia="宋体" w:cs="宋体"/>
          <w:b w:val="0"/>
          <w:bCs w:val="0"/>
          <w:sz w:val="24"/>
          <w:szCs w:val="24"/>
          <w:highlight w:val="none"/>
        </w:rPr>
        <w:t>、招标方式</w:t>
      </w:r>
      <w:bookmarkEnd w:id="49"/>
      <w:bookmarkEnd w:id="50"/>
      <w:bookmarkEnd w:id="51"/>
    </w:p>
    <w:p w14:paraId="4D0C9FC3">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 本次招标采取公开招标方式，本招标文件仅适用于招标公告中所述项目。</w:t>
      </w:r>
    </w:p>
    <w:p w14:paraId="1D1DD795">
      <w:pPr>
        <w:pStyle w:val="35"/>
        <w:spacing w:before="0" w:after="0" w:line="360" w:lineRule="auto"/>
        <w:ind w:firstLine="420"/>
        <w:rPr>
          <w:rFonts w:hint="eastAsia" w:ascii="宋体" w:hAnsi="宋体" w:eastAsia="宋体" w:cs="宋体"/>
          <w:b w:val="0"/>
          <w:bCs w:val="0"/>
          <w:sz w:val="24"/>
          <w:szCs w:val="24"/>
          <w:highlight w:val="none"/>
        </w:rPr>
      </w:pPr>
      <w:bookmarkStart w:id="52" w:name="_Toc16938521"/>
      <w:bookmarkStart w:id="53" w:name="_Toc513029205"/>
      <w:bookmarkStart w:id="54" w:name="_Toc20823277"/>
      <w:r>
        <w:rPr>
          <w:rFonts w:hint="eastAsia" w:ascii="宋体" w:hAnsi="宋体" w:eastAsia="宋体" w:cs="宋体"/>
          <w:b w:val="0"/>
          <w:bCs w:val="0"/>
          <w:sz w:val="24"/>
          <w:szCs w:val="24"/>
          <w:highlight w:val="none"/>
        </w:rPr>
        <w:t>2、合格的投标人</w:t>
      </w:r>
      <w:bookmarkEnd w:id="52"/>
      <w:bookmarkEnd w:id="53"/>
      <w:bookmarkEnd w:id="54"/>
    </w:p>
    <w:p w14:paraId="325753D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2.1满足招标公告中供应商的资格要求的规定。</w:t>
      </w:r>
    </w:p>
    <w:p w14:paraId="5EEFD51A">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2.2 满足本文件实质性要求和条件的规定。</w:t>
      </w:r>
    </w:p>
    <w:p w14:paraId="2401AE95">
      <w:pPr>
        <w:pStyle w:val="35"/>
        <w:spacing w:before="0" w:after="0" w:line="360" w:lineRule="auto"/>
        <w:ind w:firstLine="420"/>
        <w:rPr>
          <w:rFonts w:hint="eastAsia" w:ascii="宋体" w:hAnsi="宋体" w:eastAsia="宋体" w:cs="宋体"/>
          <w:b w:val="0"/>
          <w:bCs w:val="0"/>
          <w:sz w:val="24"/>
          <w:szCs w:val="24"/>
          <w:highlight w:val="none"/>
        </w:rPr>
      </w:pPr>
      <w:bookmarkStart w:id="55" w:name="_Toc513029206"/>
      <w:bookmarkStart w:id="56" w:name="_Toc20823278"/>
      <w:bookmarkStart w:id="57" w:name="_Toc16938522"/>
      <w:r>
        <w:rPr>
          <w:rFonts w:hint="eastAsia" w:ascii="宋体" w:hAnsi="宋体" w:eastAsia="宋体" w:cs="宋体"/>
          <w:b w:val="0"/>
          <w:bCs w:val="0"/>
          <w:sz w:val="24"/>
          <w:szCs w:val="24"/>
          <w:highlight w:val="none"/>
        </w:rPr>
        <w:t>3、适用法律</w:t>
      </w:r>
      <w:bookmarkEnd w:id="55"/>
      <w:bookmarkEnd w:id="56"/>
      <w:bookmarkEnd w:id="57"/>
    </w:p>
    <w:p w14:paraId="1ADB18C6">
      <w:pPr>
        <w:spacing w:line="360" w:lineRule="auto"/>
        <w:ind w:firstLine="420"/>
        <w:rPr>
          <w:rFonts w:hint="eastAsia" w:ascii="宋体" w:hAnsi="宋体" w:cs="宋体"/>
          <w:sz w:val="24"/>
          <w:szCs w:val="24"/>
          <w:highlight w:val="none"/>
        </w:rPr>
      </w:pPr>
      <w:r>
        <w:rPr>
          <w:rFonts w:hint="eastAsia" w:ascii="宋体" w:hAnsi="宋体" w:cs="宋体"/>
          <w:sz w:val="24"/>
          <w:szCs w:val="24"/>
          <w:highlight w:val="none"/>
        </w:rPr>
        <w:t>3.1 本次招标及由此产生的合同受中华人民共和国有关的法律法规制约和保护。</w:t>
      </w:r>
    </w:p>
    <w:p w14:paraId="0C19DC02">
      <w:pPr>
        <w:pStyle w:val="35"/>
        <w:spacing w:before="0" w:after="0" w:line="360" w:lineRule="auto"/>
        <w:ind w:firstLine="420"/>
        <w:rPr>
          <w:rFonts w:hint="eastAsia" w:ascii="宋体" w:hAnsi="宋体" w:eastAsia="宋体" w:cs="宋体"/>
          <w:b w:val="0"/>
          <w:bCs w:val="0"/>
          <w:sz w:val="24"/>
          <w:szCs w:val="24"/>
          <w:highlight w:val="none"/>
        </w:rPr>
      </w:pPr>
      <w:bookmarkStart w:id="58" w:name="_Toc16938523"/>
      <w:bookmarkStart w:id="59" w:name="_Toc462564067"/>
      <w:bookmarkStart w:id="60" w:name="_Toc20823279"/>
      <w:bookmarkStart w:id="61" w:name="_Toc513029207"/>
      <w:r>
        <w:rPr>
          <w:rFonts w:hint="eastAsia" w:ascii="宋体" w:hAnsi="宋体" w:eastAsia="宋体" w:cs="宋体"/>
          <w:b w:val="0"/>
          <w:bCs w:val="0"/>
          <w:sz w:val="24"/>
          <w:szCs w:val="24"/>
          <w:highlight w:val="none"/>
        </w:rPr>
        <w:t>4、投标费用</w:t>
      </w:r>
      <w:bookmarkEnd w:id="58"/>
      <w:bookmarkEnd w:id="59"/>
      <w:bookmarkEnd w:id="60"/>
      <w:bookmarkEnd w:id="61"/>
    </w:p>
    <w:p w14:paraId="3A5D7630">
      <w:pPr>
        <w:spacing w:line="360" w:lineRule="auto"/>
        <w:ind w:firstLine="460"/>
        <w:rPr>
          <w:rFonts w:hint="eastAsia" w:ascii="宋体" w:hAnsi="宋体" w:cs="宋体"/>
          <w:sz w:val="24"/>
          <w:szCs w:val="24"/>
          <w:highlight w:val="none"/>
        </w:rPr>
      </w:pPr>
      <w:r>
        <w:rPr>
          <w:rFonts w:hint="eastAsia" w:ascii="宋体" w:hAnsi="宋体" w:cs="宋体"/>
          <w:bCs/>
          <w:sz w:val="24"/>
          <w:szCs w:val="24"/>
          <w:highlight w:val="none"/>
        </w:rPr>
        <w:t>4.1</w:t>
      </w:r>
      <w:r>
        <w:rPr>
          <w:rFonts w:hint="eastAsia" w:ascii="宋体" w:hAnsi="宋体" w:cs="宋体"/>
          <w:sz w:val="24"/>
          <w:szCs w:val="24"/>
          <w:highlight w:val="none"/>
        </w:rPr>
        <w:t xml:space="preserve"> 投标人应自行承担所有与参加投标有关的费用，报价应包含但不限于以下内容：投标报价应包括投标人中标后为完成本项目服务可能发生的全部费用及利润和税金等（包括各种主材、辅材费、主辅材损耗费、税金、采购保管费、管理费、措施费、安全文明施工费、工程质量安全监督费、机械进出场、机械场内周转费、利润、风险、施工现场临边围挡费用、服务期内政策调整风险费等本项目招标文件规定的全部费用投标人中标后投标报价不再调整。无论投标过程中的做法和结果如何，采购人在任何情况下均无义务和责任承担这些费用。</w:t>
      </w:r>
    </w:p>
    <w:p w14:paraId="355FC306">
      <w:pPr>
        <w:spacing w:line="360" w:lineRule="auto"/>
        <w:ind w:firstLine="460"/>
        <w:rPr>
          <w:rFonts w:hint="eastAsia" w:ascii="宋体" w:hAnsi="宋体" w:cs="宋体"/>
          <w:sz w:val="24"/>
          <w:szCs w:val="24"/>
          <w:highlight w:val="none"/>
        </w:rPr>
      </w:pPr>
      <w:r>
        <w:rPr>
          <w:rFonts w:hint="eastAsia" w:ascii="宋体" w:hAnsi="宋体" w:cs="宋体"/>
          <w:sz w:val="24"/>
          <w:szCs w:val="24"/>
          <w:highlight w:val="none"/>
        </w:rPr>
        <w:t>本项目招标人在确定最高投标限价时已经将其所需支付的</w:t>
      </w:r>
      <w:r>
        <w:rPr>
          <w:rFonts w:hint="eastAsia" w:ascii="宋体" w:hAnsi="宋体" w:cs="宋体"/>
          <w:b/>
          <w:sz w:val="24"/>
          <w:szCs w:val="24"/>
          <w:highlight w:val="none"/>
        </w:rPr>
        <w:t>招标代理服务费综合考虑，由中标人代为支付，本项目招标代理费按苏招协【2022】002号文件标准的40%向中标单位收取，投标人在投标报价时将该项费用分摊至已经标价的清单单价或合价，不单独列项，单独列项的其投标将被拒绝。</w:t>
      </w:r>
      <w:bookmarkStart w:id="249" w:name="_GoBack"/>
      <w:bookmarkEnd w:id="249"/>
    </w:p>
    <w:p w14:paraId="12365A3D">
      <w:pPr>
        <w:pStyle w:val="35"/>
        <w:spacing w:before="0" w:after="0" w:line="360" w:lineRule="auto"/>
        <w:ind w:firstLine="602"/>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5、</w:t>
      </w:r>
      <w:r>
        <w:rPr>
          <w:rFonts w:hint="eastAsia" w:ascii="宋体" w:hAnsi="宋体" w:eastAsia="宋体" w:cs="宋体"/>
          <w:b w:val="0"/>
          <w:bCs w:val="0"/>
          <w:sz w:val="24"/>
          <w:szCs w:val="24"/>
          <w:highlight w:val="none"/>
        </w:rPr>
        <w:t>招标文件的约束力</w:t>
      </w:r>
    </w:p>
    <w:p w14:paraId="79D5B9E3">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5.1</w:t>
      </w:r>
      <w:r>
        <w:rPr>
          <w:rFonts w:hint="eastAsia" w:ascii="宋体" w:hAnsi="宋体" w:cs="宋体"/>
          <w:sz w:val="24"/>
          <w:szCs w:val="24"/>
          <w:highlight w:val="none"/>
        </w:rPr>
        <w:t xml:space="preserve"> 投标人一旦参加本项目采购活动，即被认为接受了本招标文件的规定和约束。</w:t>
      </w:r>
    </w:p>
    <w:p w14:paraId="3FF5561F">
      <w:pPr>
        <w:pStyle w:val="34"/>
        <w:spacing w:before="145" w:after="145" w:line="360" w:lineRule="auto"/>
        <w:ind w:firstLine="321"/>
        <w:rPr>
          <w:rFonts w:hint="eastAsia" w:ascii="宋体" w:hAnsi="宋体" w:cs="宋体"/>
          <w:sz w:val="24"/>
          <w:szCs w:val="24"/>
          <w:highlight w:val="none"/>
        </w:rPr>
      </w:pPr>
      <w:bookmarkStart w:id="62" w:name="_Toc513029209"/>
      <w:bookmarkStart w:id="63" w:name="_Toc16938525"/>
      <w:bookmarkStart w:id="64" w:name="_Toc20823281"/>
      <w:bookmarkStart w:id="65" w:name="_Toc120614215"/>
      <w:r>
        <w:rPr>
          <w:rFonts w:hint="eastAsia" w:ascii="宋体" w:hAnsi="宋体" w:cs="宋体"/>
          <w:sz w:val="24"/>
          <w:szCs w:val="24"/>
          <w:highlight w:val="none"/>
        </w:rPr>
        <w:t>二、招标文件</w:t>
      </w:r>
      <w:bookmarkEnd w:id="62"/>
      <w:bookmarkEnd w:id="63"/>
      <w:bookmarkEnd w:id="64"/>
      <w:bookmarkEnd w:id="65"/>
    </w:p>
    <w:p w14:paraId="0B32FFFA">
      <w:pPr>
        <w:pStyle w:val="35"/>
        <w:spacing w:before="0" w:after="0" w:line="360" w:lineRule="auto"/>
        <w:ind w:firstLine="420"/>
        <w:rPr>
          <w:rFonts w:hint="eastAsia" w:ascii="宋体" w:hAnsi="宋体" w:eastAsia="宋体" w:cs="宋体"/>
          <w:b w:val="0"/>
          <w:bCs w:val="0"/>
          <w:sz w:val="24"/>
          <w:szCs w:val="24"/>
          <w:highlight w:val="none"/>
        </w:rPr>
      </w:pPr>
      <w:bookmarkStart w:id="66" w:name="_Toc20823282"/>
      <w:bookmarkStart w:id="67" w:name="_Toc16938526"/>
      <w:bookmarkStart w:id="68" w:name="_Toc513029210"/>
      <w:r>
        <w:rPr>
          <w:rFonts w:hint="eastAsia" w:ascii="宋体" w:hAnsi="宋体" w:eastAsia="宋体" w:cs="宋体"/>
          <w:b w:val="0"/>
          <w:bCs w:val="0"/>
          <w:sz w:val="24"/>
          <w:szCs w:val="24"/>
          <w:highlight w:val="none"/>
        </w:rPr>
        <w:t>6、招标文件构成</w:t>
      </w:r>
      <w:bookmarkEnd w:id="66"/>
      <w:bookmarkEnd w:id="67"/>
      <w:bookmarkEnd w:id="68"/>
    </w:p>
    <w:p w14:paraId="478474F6">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6.1</w:t>
      </w:r>
      <w:r>
        <w:rPr>
          <w:rFonts w:hint="eastAsia" w:ascii="宋体" w:hAnsi="宋体" w:cs="宋体"/>
          <w:sz w:val="24"/>
          <w:szCs w:val="24"/>
          <w:highlight w:val="none"/>
        </w:rPr>
        <w:t xml:space="preserve"> 招标文件由以下部分组成：</w:t>
      </w:r>
    </w:p>
    <w:p w14:paraId="28E15319">
      <w:pPr>
        <w:spacing w:line="360" w:lineRule="auto"/>
        <w:ind w:firstLine="360"/>
        <w:rPr>
          <w:rFonts w:hint="eastAsia" w:ascii="宋体" w:hAnsi="宋体" w:cs="宋体"/>
          <w:sz w:val="24"/>
          <w:szCs w:val="24"/>
          <w:highlight w:val="none"/>
        </w:rPr>
      </w:pPr>
      <w:r>
        <w:rPr>
          <w:rFonts w:hint="eastAsia" w:ascii="宋体" w:hAnsi="宋体" w:cs="宋体"/>
          <w:sz w:val="24"/>
          <w:szCs w:val="24"/>
          <w:highlight w:val="none"/>
        </w:rPr>
        <w:t>（1）招标公告</w:t>
      </w:r>
    </w:p>
    <w:p w14:paraId="626E583E">
      <w:pPr>
        <w:spacing w:line="360" w:lineRule="auto"/>
        <w:ind w:firstLine="360"/>
        <w:rPr>
          <w:rFonts w:hint="eastAsia" w:ascii="宋体" w:hAnsi="宋体" w:cs="宋体"/>
          <w:sz w:val="24"/>
          <w:szCs w:val="24"/>
          <w:highlight w:val="none"/>
        </w:rPr>
      </w:pPr>
      <w:r>
        <w:rPr>
          <w:rFonts w:hint="eastAsia" w:ascii="宋体" w:hAnsi="宋体" w:cs="宋体"/>
          <w:sz w:val="24"/>
          <w:szCs w:val="24"/>
          <w:highlight w:val="none"/>
        </w:rPr>
        <w:t>（2）投标人须知</w:t>
      </w:r>
    </w:p>
    <w:p w14:paraId="5D0F0B0C">
      <w:pPr>
        <w:spacing w:line="360" w:lineRule="auto"/>
        <w:ind w:firstLine="360"/>
        <w:rPr>
          <w:rFonts w:hint="eastAsia" w:ascii="宋体" w:hAnsi="宋体" w:cs="宋体"/>
          <w:sz w:val="24"/>
          <w:szCs w:val="24"/>
          <w:highlight w:val="none"/>
        </w:rPr>
      </w:pPr>
      <w:r>
        <w:rPr>
          <w:rFonts w:hint="eastAsia" w:ascii="宋体" w:hAnsi="宋体" w:cs="宋体"/>
          <w:sz w:val="24"/>
          <w:szCs w:val="24"/>
          <w:highlight w:val="none"/>
        </w:rPr>
        <w:t>（3）合同文本</w:t>
      </w:r>
    </w:p>
    <w:p w14:paraId="520CF7D5">
      <w:pPr>
        <w:spacing w:line="360" w:lineRule="auto"/>
        <w:ind w:firstLine="360"/>
        <w:rPr>
          <w:rFonts w:hint="eastAsia" w:ascii="宋体" w:hAnsi="宋体" w:cs="宋体"/>
          <w:sz w:val="24"/>
          <w:szCs w:val="24"/>
          <w:highlight w:val="none"/>
        </w:rPr>
      </w:pPr>
      <w:r>
        <w:rPr>
          <w:rFonts w:hint="eastAsia" w:ascii="宋体" w:hAnsi="宋体" w:cs="宋体"/>
          <w:sz w:val="24"/>
          <w:szCs w:val="24"/>
          <w:highlight w:val="none"/>
        </w:rPr>
        <w:t>（4）项目需求</w:t>
      </w:r>
    </w:p>
    <w:p w14:paraId="4C3FE3FC">
      <w:pPr>
        <w:spacing w:line="360" w:lineRule="auto"/>
        <w:ind w:firstLine="360"/>
        <w:rPr>
          <w:rFonts w:hint="eastAsia" w:ascii="宋体" w:hAnsi="宋体" w:cs="宋体"/>
          <w:sz w:val="24"/>
          <w:szCs w:val="24"/>
          <w:highlight w:val="none"/>
        </w:rPr>
      </w:pPr>
      <w:r>
        <w:rPr>
          <w:rFonts w:hint="eastAsia" w:ascii="宋体" w:hAnsi="宋体" w:cs="宋体"/>
          <w:sz w:val="24"/>
          <w:szCs w:val="24"/>
          <w:highlight w:val="none"/>
        </w:rPr>
        <w:t>（5）评标方法与评标标准</w:t>
      </w:r>
    </w:p>
    <w:p w14:paraId="1C8C3EFD">
      <w:pPr>
        <w:spacing w:line="360" w:lineRule="auto"/>
        <w:ind w:firstLine="360"/>
        <w:rPr>
          <w:rFonts w:hint="eastAsia" w:ascii="宋体" w:hAnsi="宋体" w:cs="宋体"/>
          <w:sz w:val="24"/>
          <w:szCs w:val="24"/>
          <w:highlight w:val="none"/>
        </w:rPr>
      </w:pPr>
      <w:r>
        <w:rPr>
          <w:rFonts w:hint="eastAsia" w:ascii="宋体" w:hAnsi="宋体" w:cs="宋体"/>
          <w:sz w:val="24"/>
          <w:szCs w:val="24"/>
          <w:highlight w:val="none"/>
        </w:rPr>
        <w:t>（6）投标文件格式</w:t>
      </w:r>
    </w:p>
    <w:p w14:paraId="32D1BBFC">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请仔细检查招标文件是否齐全，如有缺漏请立即与采购人联系解决。</w:t>
      </w:r>
    </w:p>
    <w:p w14:paraId="36E2E7D5">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6.2</w:t>
      </w:r>
      <w:r>
        <w:rPr>
          <w:rFonts w:hint="eastAsia" w:ascii="宋体" w:hAnsi="宋体" w:cs="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2474283">
      <w:pPr>
        <w:pStyle w:val="35"/>
        <w:spacing w:before="0" w:after="0" w:line="360" w:lineRule="auto"/>
        <w:ind w:firstLine="560"/>
        <w:rPr>
          <w:rFonts w:hint="eastAsia" w:ascii="宋体" w:hAnsi="宋体" w:eastAsia="宋体" w:cs="宋体"/>
          <w:b w:val="0"/>
          <w:bCs w:val="0"/>
          <w:sz w:val="24"/>
          <w:szCs w:val="24"/>
          <w:highlight w:val="none"/>
        </w:rPr>
      </w:pPr>
      <w:bookmarkStart w:id="69" w:name="_Toc20823283"/>
      <w:bookmarkStart w:id="70" w:name="_Toc16938527"/>
      <w:bookmarkStart w:id="71" w:name="_Toc462564070"/>
      <w:bookmarkStart w:id="72" w:name="_Toc513029211"/>
      <w:r>
        <w:rPr>
          <w:rFonts w:hint="eastAsia" w:ascii="宋体" w:hAnsi="宋体" w:eastAsia="宋体" w:cs="宋体"/>
          <w:b w:val="0"/>
          <w:bCs w:val="0"/>
          <w:sz w:val="24"/>
          <w:szCs w:val="24"/>
          <w:highlight w:val="none"/>
        </w:rPr>
        <w:t>7、招标文件的澄清</w:t>
      </w:r>
      <w:bookmarkEnd w:id="69"/>
      <w:bookmarkEnd w:id="70"/>
      <w:bookmarkEnd w:id="71"/>
      <w:bookmarkEnd w:id="72"/>
    </w:p>
    <w:p w14:paraId="30C861AA">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7.1</w:t>
      </w:r>
      <w:r>
        <w:rPr>
          <w:rFonts w:hint="eastAsia" w:ascii="宋体" w:hAnsi="宋体" w:cs="宋体"/>
          <w:sz w:val="24"/>
          <w:szCs w:val="24"/>
          <w:highlight w:val="none"/>
        </w:rPr>
        <w:t xml:space="preserve"> 任何要求对招标文件进行澄清的投标人，应在投标截止期十日前按招标公告中的通讯地址，以书面形式通知采购人。</w:t>
      </w:r>
    </w:p>
    <w:p w14:paraId="09ADCF23">
      <w:pPr>
        <w:pStyle w:val="35"/>
        <w:spacing w:before="0" w:after="0" w:line="360" w:lineRule="auto"/>
        <w:ind w:firstLine="560"/>
        <w:rPr>
          <w:rFonts w:hint="eastAsia" w:ascii="宋体" w:hAnsi="宋体" w:eastAsia="宋体" w:cs="宋体"/>
          <w:b w:val="0"/>
          <w:bCs w:val="0"/>
          <w:sz w:val="24"/>
          <w:szCs w:val="24"/>
          <w:highlight w:val="none"/>
        </w:rPr>
      </w:pPr>
      <w:bookmarkStart w:id="73" w:name="_Toc16938528"/>
      <w:bookmarkStart w:id="74" w:name="_Toc513029212"/>
      <w:bookmarkStart w:id="75" w:name="_Toc462564071"/>
      <w:bookmarkStart w:id="76" w:name="_Toc20823284"/>
      <w:r>
        <w:rPr>
          <w:rFonts w:hint="eastAsia" w:ascii="宋体" w:hAnsi="宋体" w:eastAsia="宋体" w:cs="宋体"/>
          <w:b w:val="0"/>
          <w:bCs w:val="0"/>
          <w:sz w:val="24"/>
          <w:szCs w:val="24"/>
          <w:highlight w:val="none"/>
        </w:rPr>
        <w:t>8、招标文件的修改</w:t>
      </w:r>
      <w:bookmarkEnd w:id="73"/>
      <w:bookmarkEnd w:id="74"/>
      <w:bookmarkEnd w:id="75"/>
      <w:bookmarkEnd w:id="76"/>
    </w:p>
    <w:p w14:paraId="57B30550">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8.1</w:t>
      </w:r>
      <w:r>
        <w:rPr>
          <w:rFonts w:hint="eastAsia" w:ascii="宋体" w:hAnsi="宋体" w:cs="宋体"/>
          <w:sz w:val="24"/>
          <w:szCs w:val="24"/>
          <w:highlight w:val="none"/>
        </w:rPr>
        <w:t xml:space="preserve"> 在投标截止时间之前，采购人可以对招标文件进行修改。</w:t>
      </w:r>
    </w:p>
    <w:p w14:paraId="084822D8">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 xml:space="preserve">8.2 </w:t>
      </w:r>
      <w:r>
        <w:rPr>
          <w:rFonts w:hint="eastAsia" w:ascii="宋体" w:hAnsi="宋体" w:cs="宋体"/>
          <w:sz w:val="24"/>
          <w:szCs w:val="24"/>
          <w:highlight w:val="none"/>
        </w:rPr>
        <w:t>采购人有权按照法定的要求推迟投标截止日期和开标日期。</w:t>
      </w:r>
    </w:p>
    <w:p w14:paraId="68E63FFD">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 xml:space="preserve">8.3 </w:t>
      </w:r>
      <w:r>
        <w:rPr>
          <w:rFonts w:hint="eastAsia" w:ascii="宋体" w:hAnsi="宋体" w:cs="宋体"/>
          <w:sz w:val="24"/>
          <w:szCs w:val="24"/>
          <w:highlight w:val="none"/>
        </w:rPr>
        <w:t>招标文件的修改将在江苏政府采购网公布，补充文件将作为招标文件的组成部分，并对投标人具有约束力。</w:t>
      </w:r>
    </w:p>
    <w:p w14:paraId="42A71225">
      <w:pPr>
        <w:pStyle w:val="34"/>
        <w:spacing w:before="145" w:after="145" w:line="360" w:lineRule="auto"/>
        <w:ind w:firstLine="482"/>
        <w:rPr>
          <w:rFonts w:hint="eastAsia" w:ascii="宋体" w:hAnsi="宋体" w:cs="宋体"/>
          <w:sz w:val="24"/>
          <w:szCs w:val="24"/>
          <w:highlight w:val="none"/>
        </w:rPr>
      </w:pPr>
      <w:bookmarkStart w:id="77" w:name="_Toc120614216"/>
      <w:bookmarkStart w:id="78" w:name="_Toc20823285"/>
      <w:bookmarkStart w:id="79" w:name="_Toc513029213"/>
      <w:bookmarkStart w:id="80" w:name="_Toc462564072"/>
      <w:bookmarkStart w:id="81" w:name="_Toc16938529"/>
      <w:r>
        <w:rPr>
          <w:rFonts w:hint="eastAsia" w:ascii="宋体" w:hAnsi="宋体" w:cs="宋体"/>
          <w:sz w:val="24"/>
          <w:szCs w:val="24"/>
          <w:highlight w:val="none"/>
        </w:rPr>
        <w:t>三、投标文件的编制</w:t>
      </w:r>
      <w:bookmarkEnd w:id="77"/>
      <w:bookmarkEnd w:id="78"/>
      <w:bookmarkEnd w:id="79"/>
      <w:bookmarkEnd w:id="80"/>
      <w:bookmarkEnd w:id="81"/>
    </w:p>
    <w:p w14:paraId="2A095526">
      <w:pPr>
        <w:pStyle w:val="35"/>
        <w:spacing w:before="0" w:after="0" w:line="360" w:lineRule="auto"/>
        <w:ind w:firstLine="560"/>
        <w:rPr>
          <w:rFonts w:hint="eastAsia" w:ascii="宋体" w:hAnsi="宋体" w:eastAsia="宋体" w:cs="宋体"/>
          <w:bCs w:val="0"/>
          <w:sz w:val="24"/>
          <w:szCs w:val="24"/>
          <w:highlight w:val="none"/>
        </w:rPr>
      </w:pPr>
      <w:bookmarkStart w:id="82" w:name="_Toc16938530"/>
      <w:bookmarkStart w:id="83" w:name="_Toc462564073"/>
      <w:bookmarkStart w:id="84" w:name="_Toc513029214"/>
      <w:bookmarkStart w:id="85" w:name="_Toc20823286"/>
      <w:r>
        <w:rPr>
          <w:rFonts w:hint="eastAsia" w:ascii="宋体" w:hAnsi="宋体" w:eastAsia="宋体" w:cs="宋体"/>
          <w:b w:val="0"/>
          <w:bCs w:val="0"/>
          <w:sz w:val="24"/>
          <w:szCs w:val="24"/>
          <w:highlight w:val="none"/>
        </w:rPr>
        <w:t>9、投标文件的语言及度量衡单位</w:t>
      </w:r>
      <w:bookmarkEnd w:id="82"/>
      <w:bookmarkEnd w:id="83"/>
      <w:bookmarkEnd w:id="84"/>
      <w:bookmarkEnd w:id="85"/>
    </w:p>
    <w:p w14:paraId="40509BAE">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9.1</w:t>
      </w:r>
      <w:r>
        <w:rPr>
          <w:rFonts w:hint="eastAsia" w:ascii="宋体" w:hAnsi="宋体" w:cs="宋体"/>
          <w:sz w:val="24"/>
          <w:szCs w:val="24"/>
          <w:highlight w:val="none"/>
        </w:rPr>
        <w:t xml:space="preserve"> 投标人提交的投标文件以及投标人与采购人就有关投标的所有来往通知、函件和文件均应使用</w:t>
      </w:r>
      <w:r>
        <w:rPr>
          <w:rFonts w:hint="eastAsia" w:ascii="宋体" w:hAnsi="宋体" w:cs="宋体"/>
          <w:b/>
          <w:bCs/>
          <w:sz w:val="24"/>
          <w:szCs w:val="24"/>
          <w:highlight w:val="none"/>
        </w:rPr>
        <w:t>简体中文</w:t>
      </w:r>
      <w:r>
        <w:rPr>
          <w:rFonts w:hint="eastAsia" w:ascii="宋体" w:hAnsi="宋体" w:cs="宋体"/>
          <w:sz w:val="24"/>
          <w:szCs w:val="24"/>
          <w:highlight w:val="none"/>
        </w:rPr>
        <w:t>。</w:t>
      </w:r>
    </w:p>
    <w:p w14:paraId="78E754AA">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9.2</w:t>
      </w:r>
      <w:r>
        <w:rPr>
          <w:rFonts w:hint="eastAsia" w:ascii="宋体" w:hAnsi="宋体" w:cs="宋体"/>
          <w:sz w:val="24"/>
          <w:szCs w:val="24"/>
          <w:highlight w:val="none"/>
        </w:rPr>
        <w:t xml:space="preserve"> 除技术性能另有规定外，投标文件所使用的度量衡单位，均须采用国家法定计量单位。</w:t>
      </w:r>
    </w:p>
    <w:p w14:paraId="3F672084">
      <w:pPr>
        <w:pStyle w:val="35"/>
        <w:spacing w:before="0" w:after="0" w:line="360" w:lineRule="auto"/>
        <w:ind w:firstLine="420"/>
        <w:rPr>
          <w:rFonts w:hint="eastAsia" w:ascii="宋体" w:hAnsi="宋体" w:eastAsia="宋体" w:cs="宋体"/>
          <w:b w:val="0"/>
          <w:bCs w:val="0"/>
          <w:sz w:val="24"/>
          <w:szCs w:val="24"/>
          <w:highlight w:val="none"/>
        </w:rPr>
      </w:pPr>
      <w:bookmarkStart w:id="86" w:name="_Toc20823287"/>
      <w:bookmarkStart w:id="87" w:name="_Toc513029215"/>
      <w:bookmarkStart w:id="88" w:name="_Toc16938531"/>
      <w:bookmarkStart w:id="89" w:name="_Toc462564074"/>
      <w:r>
        <w:rPr>
          <w:rFonts w:hint="eastAsia" w:ascii="宋体" w:hAnsi="宋体" w:eastAsia="宋体" w:cs="宋体"/>
          <w:b w:val="0"/>
          <w:bCs w:val="0"/>
          <w:sz w:val="24"/>
          <w:szCs w:val="24"/>
          <w:highlight w:val="none"/>
        </w:rPr>
        <w:t>10、投标文件构成</w:t>
      </w:r>
      <w:bookmarkEnd w:id="86"/>
      <w:bookmarkEnd w:id="87"/>
      <w:bookmarkEnd w:id="88"/>
      <w:bookmarkEnd w:id="89"/>
    </w:p>
    <w:p w14:paraId="03E43D78">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10.1</w:t>
      </w:r>
      <w:r>
        <w:rPr>
          <w:rFonts w:hint="eastAsia" w:ascii="宋体" w:hAnsi="宋体" w:cs="宋体"/>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p>
    <w:p w14:paraId="779B5706">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10.2 如标书制作工具中格式和内容与“江苏政府采购网”发布的招标文件不一致，请以“江苏政府采购网”发布的招标文件为准。</w:t>
      </w:r>
    </w:p>
    <w:p w14:paraId="637FC004">
      <w:pPr>
        <w:pStyle w:val="35"/>
        <w:spacing w:before="0" w:after="0" w:line="360" w:lineRule="auto"/>
        <w:ind w:firstLine="420"/>
        <w:rPr>
          <w:rFonts w:hint="eastAsia" w:ascii="宋体" w:hAnsi="宋体" w:eastAsia="宋体" w:cs="宋体"/>
          <w:b w:val="0"/>
          <w:bCs w:val="0"/>
          <w:sz w:val="24"/>
          <w:szCs w:val="24"/>
          <w:highlight w:val="none"/>
        </w:rPr>
      </w:pPr>
      <w:bookmarkStart w:id="90" w:name="_Hlt26954838"/>
      <w:bookmarkEnd w:id="90"/>
      <w:bookmarkStart w:id="91" w:name="_Hlt26668975"/>
      <w:bookmarkEnd w:id="91"/>
      <w:bookmarkStart w:id="92" w:name="_Hlt26670360"/>
      <w:bookmarkEnd w:id="92"/>
      <w:bookmarkStart w:id="93" w:name="_Toc49090509"/>
      <w:bookmarkStart w:id="94" w:name="_Toc14577357"/>
      <w:bookmarkStart w:id="95" w:name="_Toc513029219"/>
      <w:bookmarkStart w:id="96" w:name="_Toc49090507"/>
      <w:bookmarkStart w:id="97" w:name="_Toc513029216"/>
      <w:bookmarkStart w:id="98" w:name="_Toc14577354"/>
      <w:r>
        <w:rPr>
          <w:rFonts w:hint="eastAsia" w:ascii="宋体" w:hAnsi="宋体" w:eastAsia="宋体" w:cs="宋体"/>
          <w:b w:val="0"/>
          <w:bCs w:val="0"/>
          <w:sz w:val="24"/>
          <w:szCs w:val="24"/>
          <w:highlight w:val="none"/>
        </w:rPr>
        <w:t>11、证明投标人及投标标的符合招标文件规定的文件</w:t>
      </w:r>
      <w:bookmarkEnd w:id="93"/>
      <w:bookmarkEnd w:id="94"/>
      <w:bookmarkEnd w:id="95"/>
      <w:bookmarkEnd w:id="96"/>
      <w:bookmarkEnd w:id="97"/>
      <w:bookmarkEnd w:id="98"/>
    </w:p>
    <w:p w14:paraId="79CA5DD6">
      <w:pPr>
        <w:spacing w:line="360" w:lineRule="auto"/>
        <w:rPr>
          <w:rFonts w:hint="eastAsia" w:ascii="宋体" w:hAnsi="宋体" w:cs="宋体"/>
          <w:sz w:val="24"/>
          <w:szCs w:val="24"/>
          <w:highlight w:val="none"/>
        </w:rPr>
      </w:pPr>
      <w:bookmarkStart w:id="99" w:name="_Toc14577355"/>
      <w:bookmarkStart w:id="100" w:name="_Toc49090508"/>
      <w:r>
        <w:rPr>
          <w:rFonts w:hint="eastAsia" w:ascii="宋体" w:hAnsi="宋体" w:cs="宋体"/>
          <w:sz w:val="24"/>
          <w:szCs w:val="24"/>
          <w:highlight w:val="none"/>
        </w:rPr>
        <w:t xml:space="preserve">    11.1 投标人应按照法律、法规、规章和规范性文件以及招标文件要求提交证明文件，证明其及投标标的符合招标文件规定。</w:t>
      </w:r>
    </w:p>
    <w:p w14:paraId="0A93EA6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11.2招标文件对证明文件无明确形式要求的，证明文件可以以文字资料、图纸和数据等形式提交。</w:t>
      </w:r>
    </w:p>
    <w:p w14:paraId="57F5A18D">
      <w:pPr>
        <w:pStyle w:val="35"/>
        <w:spacing w:before="0" w:after="0" w:line="360" w:lineRule="auto"/>
        <w:ind w:firstLine="42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12、投标分项报价</w:t>
      </w:r>
      <w:bookmarkEnd w:id="99"/>
      <w:bookmarkStart w:id="101" w:name="_Hlt26670373"/>
      <w:bookmarkEnd w:id="101"/>
      <w:r>
        <w:rPr>
          <w:rFonts w:hint="eastAsia" w:ascii="宋体" w:hAnsi="宋体" w:eastAsia="宋体" w:cs="宋体"/>
          <w:b w:val="0"/>
          <w:bCs w:val="0"/>
          <w:sz w:val="24"/>
          <w:szCs w:val="24"/>
          <w:highlight w:val="none"/>
        </w:rPr>
        <w:t>表</w:t>
      </w:r>
      <w:bookmarkEnd w:id="100"/>
    </w:p>
    <w:p w14:paraId="304FC00A">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12.1</w:t>
      </w:r>
      <w:r>
        <w:rPr>
          <w:rFonts w:hint="eastAsia" w:ascii="宋体" w:hAnsi="宋体" w:cs="宋体"/>
          <w:sz w:val="24"/>
          <w:szCs w:val="24"/>
          <w:highlight w:val="none"/>
        </w:rPr>
        <w:t xml:space="preserve"> 投</w:t>
      </w:r>
      <w:bookmarkStart w:id="102" w:name="_Hlt26954840"/>
      <w:bookmarkEnd w:id="102"/>
      <w:r>
        <w:rPr>
          <w:rFonts w:hint="eastAsia" w:ascii="宋体" w:hAnsi="宋体" w:cs="宋体"/>
          <w:sz w:val="24"/>
          <w:szCs w:val="24"/>
          <w:highlight w:val="none"/>
        </w:rPr>
        <w:t>标人应按照招标文件规定格式填报投标分项报价表</w:t>
      </w:r>
      <w:bookmarkStart w:id="103" w:name="_Hlt26670399"/>
      <w:bookmarkEnd w:id="103"/>
      <w:r>
        <w:rPr>
          <w:rFonts w:hint="eastAsia" w:ascii="宋体" w:hAnsi="宋体" w:cs="宋体"/>
          <w:sz w:val="24"/>
          <w:szCs w:val="24"/>
          <w:highlight w:val="none"/>
        </w:rPr>
        <w:t>。</w:t>
      </w:r>
    </w:p>
    <w:p w14:paraId="02D2E898">
      <w:pPr>
        <w:spacing w:line="360" w:lineRule="auto"/>
        <w:ind w:firstLine="480"/>
        <w:rPr>
          <w:rFonts w:hint="eastAsia" w:ascii="宋体" w:hAnsi="宋体" w:cs="宋体"/>
          <w:bCs/>
          <w:sz w:val="24"/>
          <w:szCs w:val="24"/>
          <w:highlight w:val="none"/>
        </w:rPr>
      </w:pPr>
      <w:r>
        <w:rPr>
          <w:rFonts w:hint="eastAsia" w:ascii="宋体" w:hAnsi="宋体" w:cs="宋体"/>
          <w:sz w:val="24"/>
          <w:szCs w:val="24"/>
          <w:highlight w:val="none"/>
        </w:rPr>
        <w:t>12.2</w:t>
      </w:r>
      <w:r>
        <w:rPr>
          <w:rFonts w:hint="eastAsia" w:ascii="宋体" w:hAnsi="宋体" w:cs="宋体"/>
          <w:bCs/>
          <w:sz w:val="24"/>
          <w:szCs w:val="24"/>
          <w:highlight w:val="none"/>
        </w:rPr>
        <w:t>投标货币。投标文件中的单价和总价无特殊规定的采用人民币报价，以元为单位标注。</w:t>
      </w:r>
      <w:r>
        <w:rPr>
          <w:rFonts w:hint="eastAsia" w:ascii="宋体" w:hAnsi="宋体" w:cs="宋体"/>
          <w:sz w:val="24"/>
          <w:szCs w:val="24"/>
          <w:highlight w:val="none"/>
        </w:rPr>
        <w:t>招标文件中另有规定的按规定执行。</w:t>
      </w:r>
    </w:p>
    <w:p w14:paraId="2AA725C1">
      <w:pPr>
        <w:pStyle w:val="35"/>
        <w:spacing w:before="0" w:after="0" w:line="360" w:lineRule="auto"/>
        <w:ind w:firstLine="420"/>
        <w:rPr>
          <w:rFonts w:hint="eastAsia" w:ascii="宋体" w:hAnsi="宋体" w:eastAsia="宋体" w:cs="宋体"/>
          <w:b w:val="0"/>
          <w:bCs w:val="0"/>
          <w:sz w:val="24"/>
          <w:szCs w:val="24"/>
          <w:highlight w:val="none"/>
        </w:rPr>
      </w:pPr>
      <w:bookmarkStart w:id="104" w:name="_Hlt26954842"/>
      <w:bookmarkEnd w:id="104"/>
      <w:bookmarkStart w:id="105" w:name="_Hlt26668983"/>
      <w:bookmarkEnd w:id="105"/>
      <w:bookmarkStart w:id="106" w:name="_Hlt26670425"/>
      <w:bookmarkEnd w:id="106"/>
      <w:bookmarkStart w:id="107" w:name="_Hlt26670482"/>
      <w:bookmarkEnd w:id="107"/>
      <w:bookmarkStart w:id="108" w:name="_Hlt26954844"/>
      <w:bookmarkEnd w:id="108"/>
      <w:bookmarkStart w:id="109" w:name="_Hlt26670486"/>
      <w:bookmarkEnd w:id="109"/>
      <w:bookmarkStart w:id="110" w:name="_Hlt26670403"/>
      <w:bookmarkEnd w:id="110"/>
      <w:bookmarkStart w:id="111" w:name="_Hlt26954846"/>
      <w:bookmarkEnd w:id="111"/>
      <w:bookmarkStart w:id="112" w:name="_Hlt26954731"/>
      <w:bookmarkEnd w:id="112"/>
      <w:bookmarkStart w:id="113" w:name="_Hlt26954848"/>
      <w:bookmarkEnd w:id="113"/>
      <w:r>
        <w:rPr>
          <w:rFonts w:hint="eastAsia" w:ascii="宋体" w:hAnsi="宋体" w:eastAsia="宋体" w:cs="宋体"/>
          <w:b w:val="0"/>
          <w:bCs w:val="0"/>
          <w:sz w:val="24"/>
          <w:szCs w:val="24"/>
          <w:highlight w:val="none"/>
        </w:rPr>
        <w:t>13、技术要求响应及偏离表、商务要求响应及偏离表</w:t>
      </w:r>
    </w:p>
    <w:p w14:paraId="7DDBC2F6">
      <w:pPr>
        <w:spacing w:line="360" w:lineRule="auto"/>
        <w:ind w:firstLine="480"/>
        <w:rPr>
          <w:rFonts w:hint="eastAsia" w:ascii="宋体" w:hAnsi="宋体" w:cs="宋体"/>
          <w:sz w:val="24"/>
          <w:szCs w:val="24"/>
          <w:highlight w:val="none"/>
          <w:lang w:val="zh-CN"/>
        </w:rPr>
      </w:pPr>
      <w:r>
        <w:rPr>
          <w:rFonts w:hint="eastAsia" w:ascii="宋体" w:hAnsi="宋体" w:cs="宋体"/>
          <w:bCs/>
          <w:sz w:val="24"/>
          <w:szCs w:val="24"/>
          <w:highlight w:val="none"/>
          <w:lang w:val="zh-CN"/>
        </w:rPr>
        <w:t>13.1</w:t>
      </w:r>
      <w:r>
        <w:rPr>
          <w:rFonts w:hint="eastAsia" w:ascii="宋体" w:hAnsi="宋体" w:cs="宋体"/>
          <w:sz w:val="24"/>
          <w:szCs w:val="24"/>
          <w:highlight w:val="none"/>
          <w:lang w:val="zh-CN"/>
        </w:rPr>
        <w:t xml:space="preserve"> 投标人需对招标文件中的技术要求与商务要求逐项作出响应或偏离，并说明原因。</w:t>
      </w:r>
    </w:p>
    <w:p w14:paraId="439DB442">
      <w:pPr>
        <w:tabs>
          <w:tab w:val="left" w:pos="1035"/>
        </w:tabs>
        <w:spacing w:line="360" w:lineRule="auto"/>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t>13.2 投标人可在投标文件中提供认为需要的其他技术文件或说明。</w:t>
      </w:r>
    </w:p>
    <w:p w14:paraId="26A0AC87">
      <w:pPr>
        <w:pStyle w:val="35"/>
        <w:spacing w:before="0" w:after="0" w:line="360" w:lineRule="auto"/>
        <w:ind w:firstLine="420"/>
        <w:rPr>
          <w:rFonts w:hint="eastAsia" w:ascii="宋体" w:hAnsi="宋体" w:eastAsia="宋体" w:cs="宋体"/>
          <w:b w:val="0"/>
          <w:bCs w:val="0"/>
          <w:sz w:val="24"/>
          <w:szCs w:val="24"/>
          <w:highlight w:val="none"/>
        </w:rPr>
      </w:pPr>
      <w:bookmarkStart w:id="114" w:name="_Toc14577359"/>
      <w:bookmarkStart w:id="115" w:name="_Toc49090510"/>
      <w:r>
        <w:rPr>
          <w:rFonts w:hint="eastAsia" w:ascii="宋体" w:hAnsi="宋体" w:eastAsia="宋体" w:cs="宋体"/>
          <w:b w:val="0"/>
          <w:bCs w:val="0"/>
          <w:sz w:val="24"/>
          <w:szCs w:val="24"/>
          <w:highlight w:val="none"/>
        </w:rPr>
        <w:t>14、投标函和开标一览表</w:t>
      </w:r>
    </w:p>
    <w:p w14:paraId="751F6108">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14.1</w:t>
      </w:r>
      <w:r>
        <w:rPr>
          <w:rFonts w:hint="eastAsia" w:ascii="宋体" w:hAnsi="宋体" w:cs="宋体"/>
          <w:sz w:val="24"/>
          <w:szCs w:val="24"/>
          <w:highlight w:val="none"/>
        </w:rPr>
        <w:t xml:space="preserve"> 投标人应按照招标文件中提供的格式完整、正确填写投标函、开标一览表。</w:t>
      </w:r>
    </w:p>
    <w:p w14:paraId="6E2E232D">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14.2</w:t>
      </w:r>
      <w:r>
        <w:rPr>
          <w:rFonts w:hint="eastAsia" w:ascii="宋体" w:hAnsi="宋体" w:cs="宋体"/>
          <w:sz w:val="24"/>
          <w:szCs w:val="24"/>
          <w:highlight w:val="none"/>
        </w:rPr>
        <w:t xml:space="preserve"> 对于采用货币报价的项目，</w:t>
      </w:r>
      <w:r>
        <w:rPr>
          <w:rFonts w:hint="eastAsia" w:ascii="宋体" w:hAnsi="宋体" w:cs="宋体"/>
          <w:bCs/>
          <w:sz w:val="24"/>
          <w:szCs w:val="24"/>
          <w:highlight w:val="none"/>
        </w:rPr>
        <w:t>开标一览表中的投标总报价应与投标分项报价表中的投标总报价一致，如不一致，</w:t>
      </w:r>
      <w:r>
        <w:rPr>
          <w:rFonts w:hint="eastAsia" w:ascii="宋体" w:hAnsi="宋体" w:cs="宋体"/>
          <w:sz w:val="24"/>
          <w:szCs w:val="24"/>
          <w:highlight w:val="none"/>
        </w:rPr>
        <w:t>不作为无效投标处理</w:t>
      </w:r>
      <w:r>
        <w:rPr>
          <w:rFonts w:hint="eastAsia" w:ascii="宋体" w:hAnsi="宋体" w:cs="宋体"/>
          <w:bCs/>
          <w:sz w:val="24"/>
          <w:szCs w:val="24"/>
          <w:highlight w:val="none"/>
        </w:rPr>
        <w:t>，但评标时按开标一览表中价格为准</w:t>
      </w:r>
      <w:r>
        <w:rPr>
          <w:rFonts w:hint="eastAsia" w:ascii="宋体" w:hAnsi="宋体" w:cs="宋体"/>
          <w:b/>
          <w:bCs/>
          <w:sz w:val="24"/>
          <w:szCs w:val="24"/>
          <w:highlight w:val="none"/>
        </w:rPr>
        <w:t>。</w:t>
      </w:r>
      <w:bookmarkEnd w:id="114"/>
      <w:bookmarkEnd w:id="115"/>
    </w:p>
    <w:p w14:paraId="2557B028">
      <w:pPr>
        <w:pStyle w:val="35"/>
        <w:spacing w:before="0" w:after="0" w:line="360" w:lineRule="auto"/>
        <w:ind w:firstLine="420"/>
        <w:rPr>
          <w:rFonts w:hint="eastAsia" w:ascii="宋体" w:hAnsi="宋体" w:eastAsia="宋体" w:cs="宋体"/>
          <w:b w:val="0"/>
          <w:bCs w:val="0"/>
          <w:sz w:val="24"/>
          <w:szCs w:val="24"/>
          <w:highlight w:val="none"/>
        </w:rPr>
      </w:pPr>
      <w:bookmarkStart w:id="116" w:name="_Hlt26954850"/>
      <w:bookmarkEnd w:id="116"/>
      <w:bookmarkStart w:id="117" w:name="_Hlt26954734"/>
      <w:bookmarkEnd w:id="117"/>
      <w:bookmarkStart w:id="118" w:name="_Hlt26670489"/>
      <w:bookmarkEnd w:id="118"/>
      <w:bookmarkStart w:id="119" w:name="_Toc14577360"/>
      <w:bookmarkStart w:id="120" w:name="_Toc49090511"/>
      <w:r>
        <w:rPr>
          <w:rFonts w:hint="eastAsia" w:ascii="宋体" w:hAnsi="宋体" w:eastAsia="宋体" w:cs="宋体"/>
          <w:b w:val="0"/>
          <w:bCs w:val="0"/>
          <w:sz w:val="24"/>
          <w:szCs w:val="24"/>
          <w:highlight w:val="none"/>
        </w:rPr>
        <w:t>15、投标有效期</w:t>
      </w:r>
      <w:bookmarkEnd w:id="119"/>
      <w:bookmarkEnd w:id="120"/>
    </w:p>
    <w:p w14:paraId="243D8981">
      <w:pPr>
        <w:spacing w:line="360" w:lineRule="auto"/>
        <w:ind w:firstLine="480"/>
        <w:rPr>
          <w:rFonts w:hint="eastAsia" w:ascii="宋体" w:hAnsi="宋体" w:cs="宋体"/>
          <w:bCs/>
          <w:sz w:val="24"/>
          <w:szCs w:val="24"/>
          <w:highlight w:val="none"/>
        </w:rPr>
      </w:pPr>
      <w:r>
        <w:rPr>
          <w:rFonts w:hint="eastAsia" w:ascii="宋体" w:hAnsi="宋体" w:cs="宋体"/>
          <w:sz w:val="24"/>
          <w:szCs w:val="24"/>
          <w:highlight w:val="none"/>
        </w:rPr>
        <w:t>15.1</w:t>
      </w:r>
      <w:r>
        <w:rPr>
          <w:rFonts w:hint="eastAsia" w:ascii="宋体" w:hAnsi="宋体" w:cs="宋体"/>
          <w:bCs/>
          <w:sz w:val="24"/>
          <w:szCs w:val="24"/>
          <w:highlight w:val="none"/>
        </w:rPr>
        <w:t xml:space="preserve"> 投标有效期为采购人规定的开标之日后</w:t>
      </w:r>
      <w:r>
        <w:rPr>
          <w:rFonts w:hint="eastAsia" w:ascii="宋体" w:hAnsi="宋体" w:cs="宋体"/>
          <w:b/>
          <w:sz w:val="24"/>
          <w:szCs w:val="24"/>
          <w:highlight w:val="none"/>
          <w:u w:val="single"/>
        </w:rPr>
        <w:t>六十（60）天</w:t>
      </w:r>
      <w:r>
        <w:rPr>
          <w:rFonts w:hint="eastAsia" w:ascii="宋体" w:hAnsi="宋体" w:cs="宋体"/>
          <w:bCs/>
          <w:sz w:val="24"/>
          <w:szCs w:val="24"/>
          <w:highlight w:val="none"/>
        </w:rPr>
        <w:t>。投标有效期比规定短的将被视为未实质性响应招标文件而予以拒绝。</w:t>
      </w:r>
    </w:p>
    <w:p w14:paraId="081397E1">
      <w:pPr>
        <w:pStyle w:val="35"/>
        <w:spacing w:before="0" w:after="0" w:line="360" w:lineRule="auto"/>
        <w:ind w:firstLine="42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16、投标有效期的延长</w:t>
      </w:r>
    </w:p>
    <w:p w14:paraId="41749094">
      <w:pPr>
        <w:spacing w:line="360" w:lineRule="auto"/>
        <w:ind w:firstLine="480"/>
        <w:rPr>
          <w:rFonts w:hint="eastAsia" w:ascii="宋体" w:hAnsi="宋体" w:cs="宋体"/>
          <w:bCs/>
          <w:sz w:val="24"/>
          <w:szCs w:val="24"/>
          <w:highlight w:val="none"/>
        </w:rPr>
      </w:pPr>
      <w:r>
        <w:rPr>
          <w:rFonts w:hint="eastAsia" w:ascii="宋体" w:hAnsi="宋体" w:cs="宋体"/>
          <w:sz w:val="24"/>
          <w:szCs w:val="24"/>
          <w:highlight w:val="none"/>
        </w:rPr>
        <w:t>16.1</w:t>
      </w:r>
      <w:r>
        <w:rPr>
          <w:rFonts w:hint="eastAsia" w:ascii="宋体" w:hAnsi="宋体" w:cs="宋体"/>
          <w:bCs/>
          <w:sz w:val="24"/>
          <w:szCs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s="宋体"/>
          <w:sz w:val="24"/>
          <w:szCs w:val="24"/>
          <w:highlight w:val="none"/>
        </w:rPr>
        <w:t>。</w:t>
      </w:r>
      <w:r>
        <w:rPr>
          <w:rFonts w:hint="eastAsia" w:ascii="宋体" w:hAnsi="宋体" w:cs="宋体"/>
          <w:bCs/>
          <w:sz w:val="24"/>
          <w:szCs w:val="24"/>
          <w:highlight w:val="none"/>
        </w:rPr>
        <w:t>同意延长投标有效期的投标人既不能要求也不允许修改其投标文件</w:t>
      </w:r>
      <w:r>
        <w:rPr>
          <w:rFonts w:hint="eastAsia" w:ascii="宋体" w:hAnsi="宋体" w:cs="宋体"/>
          <w:sz w:val="24"/>
          <w:szCs w:val="24"/>
          <w:highlight w:val="none"/>
        </w:rPr>
        <w:t>，同时受投标有效期约束的所有权利与义务均延长至新的有效期</w:t>
      </w:r>
      <w:r>
        <w:rPr>
          <w:rFonts w:hint="eastAsia" w:ascii="宋体" w:hAnsi="宋体" w:cs="宋体"/>
          <w:bCs/>
          <w:sz w:val="24"/>
          <w:szCs w:val="24"/>
          <w:highlight w:val="none"/>
        </w:rPr>
        <w:t>。</w:t>
      </w:r>
    </w:p>
    <w:p w14:paraId="774F57DC">
      <w:pPr>
        <w:pStyle w:val="34"/>
        <w:spacing w:before="145" w:after="145" w:line="360" w:lineRule="auto"/>
        <w:ind w:firstLine="482"/>
        <w:rPr>
          <w:rFonts w:hint="eastAsia" w:ascii="宋体" w:hAnsi="宋体" w:cs="宋体"/>
          <w:sz w:val="24"/>
          <w:szCs w:val="24"/>
          <w:highlight w:val="none"/>
        </w:rPr>
      </w:pPr>
      <w:bookmarkStart w:id="121" w:name="_Hlt26954739"/>
      <w:bookmarkEnd w:id="121"/>
      <w:bookmarkStart w:id="122" w:name="_Hlt26954852"/>
      <w:bookmarkEnd w:id="122"/>
      <w:bookmarkStart w:id="123" w:name="_Toc120614217"/>
      <w:bookmarkStart w:id="124" w:name="_Toc513029224"/>
      <w:bookmarkStart w:id="125" w:name="_Toc16938540"/>
      <w:bookmarkStart w:id="126" w:name="_Toc20823296"/>
      <w:r>
        <w:rPr>
          <w:rFonts w:hint="eastAsia" w:ascii="宋体" w:hAnsi="宋体" w:cs="宋体"/>
          <w:sz w:val="24"/>
          <w:szCs w:val="24"/>
          <w:highlight w:val="none"/>
        </w:rPr>
        <w:t>四、投标文件的递交</w:t>
      </w:r>
      <w:bookmarkEnd w:id="123"/>
      <w:bookmarkEnd w:id="124"/>
      <w:bookmarkEnd w:id="125"/>
      <w:bookmarkEnd w:id="126"/>
    </w:p>
    <w:p w14:paraId="0CAC31CF">
      <w:pPr>
        <w:pStyle w:val="35"/>
        <w:spacing w:before="0" w:after="0" w:line="360" w:lineRule="auto"/>
        <w:ind w:firstLine="560"/>
        <w:rPr>
          <w:rFonts w:hint="eastAsia" w:ascii="宋体" w:hAnsi="宋体" w:eastAsia="宋体" w:cs="宋体"/>
          <w:b w:val="0"/>
          <w:bCs w:val="0"/>
          <w:sz w:val="24"/>
          <w:szCs w:val="24"/>
          <w:highlight w:val="none"/>
        </w:rPr>
      </w:pPr>
      <w:bookmarkStart w:id="127" w:name="_Toc513029225"/>
      <w:bookmarkStart w:id="128" w:name="_Toc16938541"/>
      <w:bookmarkStart w:id="129" w:name="_Toc462564084"/>
      <w:bookmarkStart w:id="130" w:name="_Toc20823297"/>
      <w:r>
        <w:rPr>
          <w:rFonts w:hint="eastAsia" w:ascii="宋体" w:hAnsi="宋体" w:eastAsia="宋体" w:cs="宋体"/>
          <w:b w:val="0"/>
          <w:bCs w:val="0"/>
          <w:sz w:val="24"/>
          <w:szCs w:val="24"/>
          <w:highlight w:val="none"/>
        </w:rPr>
        <w:t>17、投标文件</w:t>
      </w:r>
      <w:bookmarkEnd w:id="127"/>
      <w:bookmarkEnd w:id="128"/>
      <w:bookmarkEnd w:id="129"/>
      <w:bookmarkEnd w:id="130"/>
      <w:r>
        <w:rPr>
          <w:rFonts w:hint="eastAsia" w:ascii="宋体" w:hAnsi="宋体" w:eastAsia="宋体" w:cs="宋体"/>
          <w:b w:val="0"/>
          <w:bCs w:val="0"/>
          <w:sz w:val="24"/>
          <w:szCs w:val="24"/>
          <w:highlight w:val="none"/>
        </w:rPr>
        <w:t>的递交</w:t>
      </w:r>
    </w:p>
    <w:p w14:paraId="2FA08124">
      <w:pPr>
        <w:spacing w:line="360" w:lineRule="auto"/>
        <w:ind w:firstLine="480"/>
        <w:rPr>
          <w:rFonts w:hint="eastAsia" w:ascii="宋体" w:hAnsi="宋体" w:cs="宋体"/>
          <w:bCs/>
          <w:sz w:val="24"/>
          <w:szCs w:val="24"/>
          <w:highlight w:val="none"/>
        </w:rPr>
      </w:pPr>
      <w:r>
        <w:rPr>
          <w:rFonts w:hint="eastAsia" w:ascii="宋体" w:hAnsi="宋体" w:cs="宋体"/>
          <w:sz w:val="24"/>
          <w:szCs w:val="24"/>
          <w:highlight w:val="none"/>
        </w:rPr>
        <w:t>17.1</w:t>
      </w:r>
      <w:r>
        <w:rPr>
          <w:rFonts w:hint="eastAsia" w:ascii="宋体" w:hAnsi="宋体" w:cs="宋体"/>
          <w:bCs/>
          <w:sz w:val="24"/>
          <w:szCs w:val="24"/>
          <w:highlight w:val="none"/>
        </w:rPr>
        <w:t xml:space="preserve"> 电子投标文件的递交</w:t>
      </w:r>
    </w:p>
    <w:p w14:paraId="42C56D3E">
      <w:pPr>
        <w:pStyle w:val="36"/>
        <w:spacing w:line="360" w:lineRule="auto"/>
        <w:ind w:left="525"/>
        <w:rPr>
          <w:rFonts w:hint="eastAsia" w:ascii="宋体" w:hAnsi="宋体" w:cs="宋体"/>
          <w:bCs/>
          <w:sz w:val="24"/>
          <w:szCs w:val="24"/>
          <w:highlight w:val="none"/>
        </w:rPr>
      </w:pPr>
      <w:r>
        <w:rPr>
          <w:rFonts w:hint="eastAsia" w:ascii="宋体" w:hAnsi="宋体" w:cs="宋体"/>
          <w:bCs/>
          <w:sz w:val="24"/>
          <w:szCs w:val="24"/>
          <w:highlight w:val="none"/>
        </w:rPr>
        <w:t>投标人应当按照《操作手册》规定，在投标截止时间前制作并上传电子投</w:t>
      </w:r>
    </w:p>
    <w:p w14:paraId="6AA7F61D">
      <w:pPr>
        <w:pStyle w:val="36"/>
        <w:spacing w:line="360" w:lineRule="auto"/>
        <w:rPr>
          <w:rFonts w:hint="eastAsia" w:ascii="宋体" w:hAnsi="宋体" w:cs="宋体"/>
          <w:bCs/>
          <w:sz w:val="24"/>
          <w:szCs w:val="24"/>
          <w:highlight w:val="none"/>
        </w:rPr>
      </w:pPr>
      <w:r>
        <w:rPr>
          <w:rFonts w:hint="eastAsia" w:ascii="宋体" w:hAnsi="宋体" w:cs="宋体"/>
          <w:bCs/>
          <w:sz w:val="24"/>
          <w:szCs w:val="24"/>
          <w:highlight w:val="none"/>
        </w:rPr>
        <w:t>标文件。</w:t>
      </w:r>
      <w:bookmarkStart w:id="131" w:name="_Toc513029226"/>
      <w:bookmarkStart w:id="132" w:name="_Toc16938542"/>
      <w:bookmarkStart w:id="133" w:name="_Toc20823298"/>
    </w:p>
    <w:p w14:paraId="5EC5D342">
      <w:pPr>
        <w:pStyle w:val="35"/>
        <w:spacing w:line="360" w:lineRule="auto"/>
        <w:ind w:firstLine="42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18、投标截止</w:t>
      </w:r>
      <w:bookmarkEnd w:id="131"/>
      <w:bookmarkEnd w:id="132"/>
      <w:bookmarkEnd w:id="133"/>
      <w:r>
        <w:rPr>
          <w:rFonts w:hint="eastAsia" w:ascii="宋体" w:hAnsi="宋体" w:eastAsia="宋体" w:cs="宋体"/>
          <w:b w:val="0"/>
          <w:sz w:val="24"/>
          <w:szCs w:val="24"/>
          <w:highlight w:val="none"/>
        </w:rPr>
        <w:t>时间</w:t>
      </w:r>
    </w:p>
    <w:p w14:paraId="2257F549">
      <w:pPr>
        <w:spacing w:line="360" w:lineRule="auto"/>
        <w:ind w:firstLine="480"/>
        <w:rPr>
          <w:rFonts w:hint="eastAsia" w:ascii="宋体" w:hAnsi="宋体" w:cs="宋体"/>
          <w:bCs/>
          <w:i/>
          <w:sz w:val="24"/>
          <w:szCs w:val="24"/>
          <w:highlight w:val="none"/>
          <w:u w:val="single"/>
        </w:rPr>
      </w:pPr>
      <w:r>
        <w:rPr>
          <w:rFonts w:hint="eastAsia" w:ascii="宋体" w:hAnsi="宋体" w:cs="宋体"/>
          <w:i/>
          <w:sz w:val="24"/>
          <w:szCs w:val="24"/>
          <w:highlight w:val="none"/>
          <w:u w:val="single"/>
        </w:rPr>
        <w:t>18.1</w:t>
      </w:r>
      <w:r>
        <w:rPr>
          <w:rFonts w:hint="eastAsia" w:ascii="宋体" w:hAnsi="宋体" w:cs="宋体"/>
          <w:bCs/>
          <w:i/>
          <w:sz w:val="24"/>
          <w:szCs w:val="24"/>
          <w:highlight w:val="none"/>
          <w:u w:val="single"/>
        </w:rPr>
        <w:t xml:space="preserve"> 投标人上传电子投标文件的时间不得迟于招标公告中规定的投标截止时间。</w:t>
      </w:r>
    </w:p>
    <w:p w14:paraId="5FECFC4A">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投标人应充分考虑到网络环境、网络带宽等风险因素，如因投标人自身原因造成的电子投标文件上传不成功的按照本招标文件第二章第26.1.2条 规定做无效投标处理。</w:t>
      </w:r>
    </w:p>
    <w:p w14:paraId="6307B73A">
      <w:pPr>
        <w:spacing w:line="360" w:lineRule="auto"/>
        <w:ind w:firstLine="480"/>
        <w:rPr>
          <w:rFonts w:hint="eastAsia" w:ascii="宋体" w:hAnsi="宋体" w:cs="宋体"/>
          <w:bCs/>
          <w:sz w:val="24"/>
          <w:szCs w:val="24"/>
          <w:highlight w:val="none"/>
        </w:rPr>
      </w:pPr>
      <w:r>
        <w:rPr>
          <w:rFonts w:hint="eastAsia" w:ascii="宋体" w:hAnsi="宋体" w:cs="宋体"/>
          <w:sz w:val="24"/>
          <w:szCs w:val="24"/>
          <w:highlight w:val="none"/>
        </w:rPr>
        <w:t>18.2</w:t>
      </w:r>
      <w:r>
        <w:rPr>
          <w:rFonts w:hint="eastAsia" w:ascii="宋体" w:hAnsi="宋体" w:cs="宋体"/>
          <w:bCs/>
          <w:sz w:val="24"/>
          <w:szCs w:val="24"/>
          <w:highlight w:val="none"/>
        </w:rPr>
        <w:t xml:space="preserve"> 采购人可以按照规定，通过修改招标文件酌情延长投标截止时间，在此情况下，投标人的所有权利和义务以及投标人受制的截止时间均应以延长后新的截止时间为准。</w:t>
      </w:r>
    </w:p>
    <w:p w14:paraId="520988E7">
      <w:pPr>
        <w:pStyle w:val="35"/>
        <w:spacing w:before="0" w:after="0" w:line="360" w:lineRule="auto"/>
        <w:ind w:firstLine="420"/>
        <w:rPr>
          <w:rFonts w:hint="eastAsia" w:ascii="宋体" w:hAnsi="宋体" w:eastAsia="宋体" w:cs="宋体"/>
          <w:b w:val="0"/>
          <w:bCs w:val="0"/>
          <w:sz w:val="24"/>
          <w:szCs w:val="24"/>
          <w:highlight w:val="none"/>
        </w:rPr>
      </w:pPr>
      <w:bookmarkStart w:id="134" w:name="_Toc16938543"/>
      <w:bookmarkStart w:id="135" w:name="_Toc513029227"/>
      <w:bookmarkStart w:id="136" w:name="_Toc20823299"/>
      <w:r>
        <w:rPr>
          <w:rFonts w:hint="eastAsia" w:ascii="宋体" w:hAnsi="宋体" w:eastAsia="宋体" w:cs="宋体"/>
          <w:b w:val="0"/>
          <w:bCs w:val="0"/>
          <w:sz w:val="24"/>
          <w:szCs w:val="24"/>
          <w:highlight w:val="none"/>
        </w:rPr>
        <w:t>19、投标文件</w:t>
      </w:r>
      <w:bookmarkEnd w:id="134"/>
      <w:bookmarkEnd w:id="135"/>
      <w:bookmarkEnd w:id="136"/>
      <w:r>
        <w:rPr>
          <w:rFonts w:hint="eastAsia" w:ascii="宋体" w:hAnsi="宋体" w:eastAsia="宋体" w:cs="宋体"/>
          <w:b w:val="0"/>
          <w:bCs w:val="0"/>
          <w:sz w:val="24"/>
          <w:szCs w:val="24"/>
          <w:highlight w:val="none"/>
        </w:rPr>
        <w:t>的拒收</w:t>
      </w:r>
    </w:p>
    <w:p w14:paraId="32B9039E">
      <w:pPr>
        <w:spacing w:line="360" w:lineRule="auto"/>
        <w:ind w:firstLine="480"/>
        <w:rPr>
          <w:rFonts w:hint="eastAsia" w:ascii="宋体" w:hAnsi="宋体" w:cs="宋体"/>
          <w:bCs/>
          <w:sz w:val="24"/>
          <w:szCs w:val="24"/>
          <w:highlight w:val="none"/>
        </w:rPr>
      </w:pPr>
      <w:r>
        <w:rPr>
          <w:rFonts w:hint="eastAsia" w:ascii="宋体" w:hAnsi="宋体" w:cs="宋体"/>
          <w:sz w:val="24"/>
          <w:szCs w:val="24"/>
          <w:highlight w:val="none"/>
        </w:rPr>
        <w:t>19.1</w:t>
      </w:r>
      <w:r>
        <w:rPr>
          <w:rFonts w:hint="eastAsia" w:ascii="宋体" w:hAnsi="宋体" w:cs="宋体"/>
          <w:bCs/>
          <w:sz w:val="24"/>
          <w:szCs w:val="24"/>
          <w:highlight w:val="none"/>
        </w:rPr>
        <w:t>采购人拒绝接收在其规定的投标截止时间后上传的任何投标文件。</w:t>
      </w:r>
    </w:p>
    <w:p w14:paraId="6888BC6C">
      <w:pPr>
        <w:pStyle w:val="35"/>
        <w:spacing w:before="0" w:after="0" w:line="360" w:lineRule="auto"/>
        <w:ind w:firstLine="420"/>
        <w:rPr>
          <w:rFonts w:hint="eastAsia" w:ascii="宋体" w:hAnsi="宋体" w:eastAsia="宋体" w:cs="宋体"/>
          <w:b w:val="0"/>
          <w:bCs w:val="0"/>
          <w:sz w:val="24"/>
          <w:szCs w:val="24"/>
          <w:highlight w:val="none"/>
        </w:rPr>
      </w:pPr>
      <w:bookmarkStart w:id="137" w:name="_Toc513029228"/>
      <w:bookmarkStart w:id="138" w:name="_Toc16938544"/>
      <w:bookmarkStart w:id="139" w:name="_Toc20823300"/>
      <w:r>
        <w:rPr>
          <w:rFonts w:hint="eastAsia" w:ascii="宋体" w:hAnsi="宋体" w:eastAsia="宋体" w:cs="宋体"/>
          <w:b w:val="0"/>
          <w:bCs w:val="0"/>
          <w:sz w:val="24"/>
          <w:szCs w:val="24"/>
          <w:highlight w:val="none"/>
        </w:rPr>
        <w:t>20、投标文件的撤回和修改</w:t>
      </w:r>
      <w:bookmarkEnd w:id="137"/>
      <w:bookmarkEnd w:id="138"/>
      <w:bookmarkEnd w:id="139"/>
    </w:p>
    <w:p w14:paraId="4A638B1A">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20.1 投标文件的撤回</w:t>
      </w:r>
    </w:p>
    <w:p w14:paraId="195CFE8A">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21.1.1 电子投标文件的撤回</w:t>
      </w:r>
    </w:p>
    <w:p w14:paraId="533A4545">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投标人可在投标截止时间前，撤回其电子投标文件，具体操作方法见《操作手册》。</w:t>
      </w:r>
    </w:p>
    <w:p w14:paraId="49D22C34">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21.1.2 投标人撤回电子投标文件，则认为其不再参与本项目投标活动。</w:t>
      </w:r>
    </w:p>
    <w:p w14:paraId="7C5EC78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20.2 投标文件的修改</w:t>
      </w:r>
    </w:p>
    <w:p w14:paraId="15506393">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20.2.1投标人可在投标截止时间前，对其电子投标文件进行修改，具体操作方法见《操作手册》。</w:t>
      </w:r>
    </w:p>
    <w:p w14:paraId="77A0946A">
      <w:pPr>
        <w:spacing w:line="360" w:lineRule="auto"/>
        <w:ind w:firstLine="480"/>
        <w:rPr>
          <w:rFonts w:hint="eastAsia" w:ascii="宋体" w:hAnsi="宋体" w:cs="宋体"/>
          <w:bCs/>
          <w:sz w:val="24"/>
          <w:szCs w:val="24"/>
          <w:highlight w:val="none"/>
        </w:rPr>
      </w:pPr>
      <w:r>
        <w:rPr>
          <w:rFonts w:hint="eastAsia" w:ascii="宋体" w:hAnsi="宋体" w:cs="宋体"/>
          <w:sz w:val="24"/>
          <w:szCs w:val="24"/>
          <w:highlight w:val="none"/>
        </w:rPr>
        <w:t>20.2.2</w:t>
      </w:r>
      <w:r>
        <w:rPr>
          <w:rFonts w:hint="eastAsia" w:ascii="宋体" w:hAnsi="宋体" w:cs="宋体"/>
          <w:bCs/>
          <w:sz w:val="24"/>
          <w:szCs w:val="24"/>
          <w:highlight w:val="none"/>
        </w:rPr>
        <w:t xml:space="preserve"> 在投标截止时间之后，投标人不得对其电子投标文件作任何修改。</w:t>
      </w:r>
    </w:p>
    <w:p w14:paraId="398623A6">
      <w:pPr>
        <w:spacing w:line="360" w:lineRule="auto"/>
        <w:ind w:firstLine="480"/>
        <w:rPr>
          <w:rFonts w:hint="eastAsia" w:ascii="宋体" w:hAnsi="宋体" w:cs="宋体"/>
          <w:bCs/>
          <w:sz w:val="24"/>
          <w:szCs w:val="24"/>
          <w:highlight w:val="none"/>
        </w:rPr>
      </w:pPr>
      <w:r>
        <w:rPr>
          <w:rFonts w:hint="eastAsia" w:ascii="宋体" w:hAnsi="宋体" w:cs="宋体"/>
          <w:sz w:val="24"/>
          <w:szCs w:val="24"/>
          <w:highlight w:val="none"/>
        </w:rPr>
        <w:t>20.3</w:t>
      </w:r>
      <w:r>
        <w:rPr>
          <w:rFonts w:hint="eastAsia" w:ascii="宋体" w:hAnsi="宋体" w:cs="宋体"/>
          <w:bCs/>
          <w:sz w:val="24"/>
          <w:szCs w:val="24"/>
          <w:highlight w:val="none"/>
        </w:rPr>
        <w:t xml:space="preserve"> 在投标截止时间至招标文件中规定的投标有效期满之间的这段时间内，投标人不得撤回其投标。</w:t>
      </w:r>
    </w:p>
    <w:p w14:paraId="42B37E95">
      <w:pPr>
        <w:pStyle w:val="34"/>
        <w:spacing w:before="145" w:after="145" w:line="360" w:lineRule="auto"/>
        <w:ind w:firstLine="482"/>
        <w:rPr>
          <w:rFonts w:hint="eastAsia" w:ascii="宋体" w:hAnsi="宋体" w:cs="宋体"/>
          <w:sz w:val="24"/>
          <w:szCs w:val="24"/>
          <w:highlight w:val="none"/>
        </w:rPr>
      </w:pPr>
      <w:bookmarkStart w:id="140" w:name="_Toc20823301"/>
      <w:bookmarkStart w:id="141" w:name="_Toc513029229"/>
      <w:bookmarkStart w:id="142" w:name="_Toc120614218"/>
      <w:bookmarkStart w:id="143" w:name="_Toc16938545"/>
      <w:r>
        <w:rPr>
          <w:rFonts w:hint="eastAsia" w:ascii="宋体" w:hAnsi="宋体" w:cs="宋体"/>
          <w:sz w:val="24"/>
          <w:szCs w:val="24"/>
          <w:highlight w:val="none"/>
        </w:rPr>
        <w:t>五、开标与评标</w:t>
      </w:r>
      <w:bookmarkEnd w:id="140"/>
      <w:bookmarkEnd w:id="141"/>
      <w:bookmarkEnd w:id="142"/>
      <w:bookmarkEnd w:id="143"/>
    </w:p>
    <w:p w14:paraId="05E2DB47">
      <w:pPr>
        <w:pStyle w:val="35"/>
        <w:spacing w:before="0" w:after="0" w:line="360" w:lineRule="auto"/>
        <w:ind w:firstLine="420"/>
        <w:rPr>
          <w:rFonts w:hint="eastAsia" w:ascii="宋体" w:hAnsi="宋体" w:eastAsia="宋体" w:cs="宋体"/>
          <w:b w:val="0"/>
          <w:bCs w:val="0"/>
          <w:sz w:val="24"/>
          <w:szCs w:val="24"/>
          <w:highlight w:val="none"/>
        </w:rPr>
      </w:pPr>
      <w:bookmarkStart w:id="144" w:name="_Toc16938546"/>
      <w:bookmarkStart w:id="145" w:name="_Toc20823302"/>
      <w:bookmarkStart w:id="146" w:name="_Toc513029230"/>
      <w:r>
        <w:rPr>
          <w:rFonts w:hint="eastAsia" w:ascii="宋体" w:hAnsi="宋体" w:eastAsia="宋体" w:cs="宋体"/>
          <w:b w:val="0"/>
          <w:bCs w:val="0"/>
          <w:sz w:val="24"/>
          <w:szCs w:val="24"/>
          <w:highlight w:val="none"/>
        </w:rPr>
        <w:t>21、开标</w:t>
      </w:r>
      <w:bookmarkEnd w:id="144"/>
      <w:bookmarkEnd w:id="145"/>
      <w:bookmarkEnd w:id="146"/>
    </w:p>
    <w:p w14:paraId="6906F61C">
      <w:pPr>
        <w:spacing w:line="360" w:lineRule="auto"/>
        <w:ind w:firstLine="360"/>
        <w:rPr>
          <w:rFonts w:hint="eastAsia" w:ascii="宋体" w:hAnsi="宋体" w:cs="宋体"/>
          <w:sz w:val="24"/>
          <w:szCs w:val="24"/>
          <w:highlight w:val="none"/>
        </w:rPr>
      </w:pPr>
      <w:r>
        <w:rPr>
          <w:rFonts w:hint="eastAsia" w:ascii="宋体" w:hAnsi="宋体" w:cs="宋体"/>
          <w:sz w:val="24"/>
          <w:szCs w:val="24"/>
          <w:highlight w:val="none"/>
        </w:rPr>
        <w:t>21.1</w:t>
      </w:r>
      <w:r>
        <w:rPr>
          <w:rFonts w:hint="eastAsia" w:ascii="宋体" w:hAnsi="宋体" w:cs="宋体"/>
          <w:bCs/>
          <w:sz w:val="24"/>
          <w:szCs w:val="24"/>
          <w:highlight w:val="none"/>
        </w:rPr>
        <w:t xml:space="preserve"> 采购人将在招标公告中规定的时间和地点组织公开开标</w:t>
      </w:r>
      <w:r>
        <w:rPr>
          <w:rFonts w:hint="eastAsia" w:ascii="宋体" w:hAnsi="宋体" w:cs="宋体"/>
          <w:sz w:val="24"/>
          <w:szCs w:val="24"/>
          <w:highlight w:val="none"/>
        </w:rPr>
        <w:t>。投标人应当按照《操作手册》规定，参加开标活动和在苏采云系统规定的时间内对投标文件进行解密。</w:t>
      </w:r>
    </w:p>
    <w:p w14:paraId="24D53E29">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21.2</w:t>
      </w:r>
      <w:r>
        <w:rPr>
          <w:rFonts w:hint="eastAsia" w:ascii="宋体" w:hAnsi="宋体" w:cs="宋体"/>
          <w:sz w:val="24"/>
          <w:szCs w:val="24"/>
          <w:highlight w:val="none"/>
        </w:rPr>
        <w:t>开标仪式由采购人组织。苏采云系统将自动对项目进行开标，并宣布各投标人名称和投标价格。</w:t>
      </w:r>
    </w:p>
    <w:p w14:paraId="62298FAB">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21.3投标人在开标过程中涉及的投标文件解密、开标结果确认等工作，应按照《操作手册》规定执行。</w:t>
      </w:r>
    </w:p>
    <w:p w14:paraId="0AB710F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21.4投标人如果对开标过程和开标记录有疑义，应当根据《操作手册》规定提出，如 苏采云系统中《开标记录表》宣布后5分钟内未提出的，视同认可开标结果。</w:t>
      </w:r>
    </w:p>
    <w:p w14:paraId="574175A7">
      <w:pPr>
        <w:pStyle w:val="35"/>
        <w:spacing w:before="0" w:after="0" w:line="360" w:lineRule="auto"/>
        <w:ind w:firstLine="420"/>
        <w:rPr>
          <w:rFonts w:hint="eastAsia" w:ascii="宋体" w:hAnsi="宋体" w:eastAsia="宋体" w:cs="宋体"/>
          <w:b w:val="0"/>
          <w:bCs w:val="0"/>
          <w:sz w:val="24"/>
          <w:szCs w:val="24"/>
          <w:highlight w:val="none"/>
        </w:rPr>
      </w:pPr>
      <w:bookmarkStart w:id="147" w:name="_Toc16938547"/>
      <w:bookmarkStart w:id="148" w:name="_Toc513029231"/>
      <w:bookmarkStart w:id="149" w:name="_Toc20823303"/>
      <w:r>
        <w:rPr>
          <w:rFonts w:hint="eastAsia" w:ascii="宋体" w:hAnsi="宋体" w:eastAsia="宋体" w:cs="宋体"/>
          <w:b w:val="0"/>
          <w:bCs w:val="0"/>
          <w:sz w:val="24"/>
          <w:szCs w:val="24"/>
          <w:highlight w:val="none"/>
        </w:rPr>
        <w:t>22、评标委员会</w:t>
      </w:r>
    </w:p>
    <w:p w14:paraId="2C815E7A">
      <w:pP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22.1</w:t>
      </w:r>
      <w:r>
        <w:rPr>
          <w:rFonts w:hint="eastAsia" w:ascii="宋体" w:hAnsi="宋体" w:cs="宋体"/>
          <w:b/>
          <w:sz w:val="24"/>
          <w:szCs w:val="24"/>
          <w:highlight w:val="none"/>
        </w:rPr>
        <w:t xml:space="preserve"> </w:t>
      </w:r>
      <w:r>
        <w:rPr>
          <w:rFonts w:hint="eastAsia" w:ascii="宋体" w:hAnsi="宋体" w:cs="宋体"/>
          <w:sz w:val="24"/>
          <w:szCs w:val="24"/>
          <w:highlight w:val="none"/>
        </w:rPr>
        <w:t>开标后，采购人将立即组织评标委员会（以下简称评委会）进行评标。</w:t>
      </w:r>
    </w:p>
    <w:p w14:paraId="3E181D8C">
      <w:pPr>
        <w:spacing w:line="360" w:lineRule="auto"/>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22.2 评委会由采购人代表和有关技术、经济等方面的专家组成，且人员构成符合政府采购有关规定。</w:t>
      </w:r>
    </w:p>
    <w:p w14:paraId="43B62BA7">
      <w:pPr>
        <w:spacing w:line="360" w:lineRule="auto"/>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22.3评委会独立工作，负责评审所有投标文件并确定中标候选人。</w:t>
      </w:r>
    </w:p>
    <w:p w14:paraId="1800F9BA">
      <w:pPr>
        <w:pStyle w:val="35"/>
        <w:spacing w:before="0" w:after="0" w:line="360" w:lineRule="auto"/>
        <w:ind w:firstLine="42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23、评标过程的保密与公正</w:t>
      </w:r>
      <w:bookmarkEnd w:id="147"/>
      <w:bookmarkEnd w:id="148"/>
      <w:bookmarkEnd w:id="149"/>
    </w:p>
    <w:p w14:paraId="36046645">
      <w:pPr>
        <w:spacing w:line="360" w:lineRule="auto"/>
        <w:ind w:firstLine="480"/>
        <w:rPr>
          <w:rFonts w:hint="eastAsia" w:ascii="宋体" w:hAnsi="宋体" w:cs="宋体"/>
          <w:bCs/>
          <w:sz w:val="24"/>
          <w:szCs w:val="24"/>
          <w:highlight w:val="none"/>
        </w:rPr>
      </w:pPr>
      <w:r>
        <w:rPr>
          <w:rFonts w:hint="eastAsia" w:ascii="宋体" w:hAnsi="宋体" w:cs="宋体"/>
          <w:sz w:val="24"/>
          <w:szCs w:val="24"/>
          <w:highlight w:val="none"/>
        </w:rPr>
        <w:t>23.1</w:t>
      </w:r>
      <w:r>
        <w:rPr>
          <w:rFonts w:hint="eastAsia" w:ascii="宋体" w:hAnsi="宋体" w:cs="宋体"/>
          <w:bCs/>
          <w:sz w:val="24"/>
          <w:szCs w:val="24"/>
          <w:highlight w:val="none"/>
        </w:rPr>
        <w:t>凡是与审查、澄清、评价和比较投标的有关资料以及授标建议等，采购人、评委、采购人均不得向投标人或与评标无关的其他人员透露。</w:t>
      </w:r>
    </w:p>
    <w:p w14:paraId="63AB0E1E">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23.2在评标过程中，投标人不得以任何行为影响评标过程，否则其投标文件将被作为无效投标文件。</w:t>
      </w:r>
    </w:p>
    <w:p w14:paraId="292B894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23.3 采购人和评标委员会不向未中标的投标人解释未中标原因，也不公布评标过程中的相关细节。</w:t>
      </w:r>
    </w:p>
    <w:p w14:paraId="455DCFA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23.4 采用综合评分法的项目，未中标的投标人可于中标结果公告期限届满之日起通过苏采云系统查看自己的评审得分及排序情况。</w:t>
      </w:r>
    </w:p>
    <w:p w14:paraId="39B19A88">
      <w:pPr>
        <w:pStyle w:val="35"/>
        <w:spacing w:before="0" w:after="0" w:line="360" w:lineRule="auto"/>
        <w:ind w:firstLine="420"/>
        <w:rPr>
          <w:rFonts w:hint="eastAsia" w:ascii="宋体" w:hAnsi="宋体" w:eastAsia="宋体" w:cs="宋体"/>
          <w:b w:val="0"/>
          <w:bCs w:val="0"/>
          <w:sz w:val="24"/>
          <w:szCs w:val="24"/>
          <w:highlight w:val="none"/>
        </w:rPr>
      </w:pPr>
      <w:bookmarkStart w:id="150" w:name="_Toc513029232"/>
      <w:bookmarkStart w:id="151" w:name="_Toc16938548"/>
      <w:bookmarkStart w:id="152" w:name="_Toc20823304"/>
      <w:r>
        <w:rPr>
          <w:rFonts w:hint="eastAsia" w:ascii="宋体" w:hAnsi="宋体" w:eastAsia="宋体" w:cs="宋体"/>
          <w:b w:val="0"/>
          <w:bCs w:val="0"/>
          <w:sz w:val="24"/>
          <w:szCs w:val="24"/>
          <w:highlight w:val="none"/>
        </w:rPr>
        <w:t>24、投标文件的澄清</w:t>
      </w:r>
      <w:bookmarkEnd w:id="150"/>
      <w:bookmarkEnd w:id="151"/>
      <w:bookmarkEnd w:id="152"/>
    </w:p>
    <w:p w14:paraId="500811E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24.1评标期间，评委会对投标文件中含义不明确、同类问题表述不一致或者有明显文字和计算错误的内容 ，有权要求投标人作出必要的澄清、说明或者补正。</w:t>
      </w:r>
    </w:p>
    <w:p w14:paraId="7D7C920A">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投标人的澄清、说明或者补正不得超出投标文件的范围或者改变投标文件的实质性内容。</w:t>
      </w:r>
    </w:p>
    <w:p w14:paraId="711B0685">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评标委员会并非对每个投标人都做澄清要求。</w:t>
      </w:r>
    </w:p>
    <w:p w14:paraId="4025784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47247BE">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24.3 接到评委会澄清、说明和补正要求的投标人如未按规定作出澄清、说明和补正，其风险由投标人自行承担。</w:t>
      </w:r>
    </w:p>
    <w:p w14:paraId="32CEE334">
      <w:pPr>
        <w:pStyle w:val="35"/>
        <w:spacing w:before="0" w:after="0" w:line="360" w:lineRule="auto"/>
        <w:ind w:firstLine="420"/>
        <w:rPr>
          <w:rFonts w:hint="eastAsia" w:ascii="宋体" w:hAnsi="宋体" w:eastAsia="宋体" w:cs="宋体"/>
          <w:b w:val="0"/>
          <w:bCs w:val="0"/>
          <w:sz w:val="24"/>
          <w:szCs w:val="24"/>
          <w:highlight w:val="none"/>
        </w:rPr>
      </w:pPr>
      <w:bookmarkStart w:id="153" w:name="_Toc20823305"/>
      <w:bookmarkStart w:id="154" w:name="_Toc16938549"/>
      <w:bookmarkStart w:id="155" w:name="_Toc513029233"/>
      <w:r>
        <w:rPr>
          <w:rFonts w:hint="eastAsia" w:ascii="宋体" w:hAnsi="宋体" w:eastAsia="宋体" w:cs="宋体"/>
          <w:b w:val="0"/>
          <w:bCs w:val="0"/>
          <w:sz w:val="24"/>
          <w:szCs w:val="24"/>
          <w:highlight w:val="none"/>
        </w:rPr>
        <w:t>25、对投标文件的初审</w:t>
      </w:r>
      <w:bookmarkEnd w:id="153"/>
      <w:bookmarkEnd w:id="154"/>
      <w:bookmarkEnd w:id="155"/>
    </w:p>
    <w:p w14:paraId="6FAA6249">
      <w:pPr>
        <w:spacing w:line="360" w:lineRule="auto"/>
        <w:ind w:firstLine="480"/>
        <w:rPr>
          <w:rFonts w:hint="eastAsia" w:ascii="宋体" w:hAnsi="宋体" w:cs="宋体"/>
          <w:bCs/>
          <w:sz w:val="24"/>
          <w:szCs w:val="24"/>
          <w:highlight w:val="none"/>
        </w:rPr>
      </w:pPr>
      <w:r>
        <w:rPr>
          <w:rFonts w:hint="eastAsia" w:ascii="宋体" w:hAnsi="宋体" w:cs="宋体"/>
          <w:sz w:val="24"/>
          <w:szCs w:val="24"/>
          <w:highlight w:val="none"/>
        </w:rPr>
        <w:t>25.1</w:t>
      </w:r>
      <w:r>
        <w:rPr>
          <w:rFonts w:hint="eastAsia" w:ascii="宋体" w:hAnsi="宋体" w:cs="宋体"/>
          <w:bCs/>
          <w:sz w:val="24"/>
          <w:szCs w:val="24"/>
          <w:highlight w:val="none"/>
        </w:rPr>
        <w:t>投标文件初审分为资格审查和符合性审查。</w:t>
      </w:r>
    </w:p>
    <w:p w14:paraId="1B0D9CB4">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25.1.1 资格审查：依据法律法规和招标文件的规定，由采购人对投标文件中的资格证明文件进行审查。资格审查的结论，采购人以书面形式向评委会进行反馈。</w:t>
      </w:r>
    </w:p>
    <w:p w14:paraId="2FB52879">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采购人在进行资格性审查的同时，将在“信用中国”网站（www.creditchina.gov.cn）查询投标人的信用记录，以确定投标人是否具备投标资格,查询结果留存并归档。</w:t>
      </w:r>
    </w:p>
    <w:p w14:paraId="73E3779A">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7AD230F2">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25.1.2 符合性审查：依据招标文件的规定，由评委会从投标文件的有效性、完整性和对招标文件的响应程度进行审查，以确定是否对招标文件的实质性要求作出响应。</w:t>
      </w:r>
    </w:p>
    <w:p w14:paraId="618FEB4D">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25.1.3 未通过资格审查或符合性审查的投标人，采购人将在</w:t>
      </w:r>
      <w:r>
        <w:rPr>
          <w:rFonts w:hint="eastAsia" w:ascii="宋体" w:hAnsi="宋体" w:cs="宋体"/>
          <w:sz w:val="24"/>
          <w:szCs w:val="24"/>
          <w:highlight w:val="none"/>
        </w:rPr>
        <w:t>苏采云系统</w:t>
      </w:r>
      <w:r>
        <w:rPr>
          <w:rFonts w:hint="eastAsia" w:ascii="宋体" w:hAnsi="宋体" w:cs="宋体"/>
          <w:bCs/>
          <w:sz w:val="24"/>
          <w:szCs w:val="24"/>
          <w:highlight w:val="none"/>
        </w:rPr>
        <w:t>中告知未通过资格审查或符合性审查的原因，评标结束后，采购人将不再告知未通过资格审查和符合性审查的原因。</w:t>
      </w:r>
    </w:p>
    <w:p w14:paraId="7279A5AD">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15893AA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541FBE6">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25.3如果投标文件实质上没有响应招标文件的要求，评委会将予以拒绝，投标人不得通过修改或撤销不符合要求的偏离或保留而使其投标成为实质性响应的投标。</w:t>
      </w:r>
    </w:p>
    <w:p w14:paraId="0F462617">
      <w:pPr>
        <w:spacing w:line="360" w:lineRule="auto"/>
        <w:ind w:firstLine="480"/>
        <w:rPr>
          <w:rFonts w:hint="eastAsia" w:ascii="宋体" w:hAnsi="宋体" w:cs="宋体"/>
          <w:bCs/>
          <w:sz w:val="24"/>
          <w:szCs w:val="24"/>
          <w:highlight w:val="none"/>
        </w:rPr>
      </w:pPr>
      <w:r>
        <w:rPr>
          <w:rFonts w:hint="eastAsia" w:ascii="宋体" w:hAnsi="宋体" w:cs="宋体"/>
          <w:sz w:val="24"/>
          <w:szCs w:val="24"/>
          <w:highlight w:val="none"/>
        </w:rPr>
        <w:t>25.4</w:t>
      </w:r>
      <w:r>
        <w:rPr>
          <w:rFonts w:hint="eastAsia" w:ascii="宋体" w:hAnsi="宋体" w:cs="宋体"/>
          <w:bCs/>
          <w:sz w:val="24"/>
          <w:szCs w:val="24"/>
          <w:highlight w:val="none"/>
        </w:rPr>
        <w:t>评委会将对确定为实质性响应的投标进行进一步审核，确定其是否有计算上或累加上的算术错误，修正错误的原则如下：</w:t>
      </w:r>
    </w:p>
    <w:p w14:paraId="444BFD76">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（1）投标文件中开标一览表内容与投标文件中相应内容不一致的，以开标一览表为准。</w:t>
      </w:r>
    </w:p>
    <w:p w14:paraId="78456638">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（2）大写金额和小写金额不一致的，以大写金额为准。</w:t>
      </w:r>
    </w:p>
    <w:p w14:paraId="70C1DE4C">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（3）单价金额小数点或者百分比有明显错位的，以开标一览表的总价为准，并修改单价。</w:t>
      </w:r>
    </w:p>
    <w:p w14:paraId="4B249E0B">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（4）总价金额与按单价汇总金额不一致的，以单价金额计算结果为准。</w:t>
      </w:r>
    </w:p>
    <w:p w14:paraId="6E4DAC76">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同时出现两种以上错误的，按照前款规定的顺序修正。</w:t>
      </w:r>
    </w:p>
    <w:p w14:paraId="2DAE5768">
      <w:pPr>
        <w:spacing w:line="360" w:lineRule="auto"/>
        <w:ind w:firstLine="480"/>
        <w:rPr>
          <w:rFonts w:hint="eastAsia" w:ascii="宋体" w:hAnsi="宋体" w:cs="宋体"/>
          <w:bCs/>
          <w:sz w:val="24"/>
          <w:szCs w:val="24"/>
          <w:highlight w:val="none"/>
        </w:rPr>
      </w:pPr>
      <w:r>
        <w:rPr>
          <w:rFonts w:hint="eastAsia" w:ascii="宋体" w:hAnsi="宋体" w:cs="宋体"/>
          <w:sz w:val="24"/>
          <w:szCs w:val="24"/>
          <w:highlight w:val="none"/>
        </w:rPr>
        <w:t xml:space="preserve">25.5 </w:t>
      </w:r>
      <w:r>
        <w:rPr>
          <w:rFonts w:hint="eastAsia" w:ascii="宋体" w:hAnsi="宋体" w:cs="宋体"/>
          <w:bCs/>
          <w:sz w:val="24"/>
          <w:szCs w:val="24"/>
          <w:highlight w:val="none"/>
        </w:rPr>
        <w:t>评委会将按上述修正错误的方法调整投标文件中的投标报价，并通过</w:t>
      </w:r>
      <w:r>
        <w:rPr>
          <w:rFonts w:hint="eastAsia" w:ascii="宋体" w:hAnsi="宋体" w:cs="宋体"/>
          <w:sz w:val="24"/>
          <w:szCs w:val="24"/>
          <w:highlight w:val="none"/>
        </w:rPr>
        <w:t>苏采云系统</w:t>
      </w:r>
      <w:r>
        <w:rPr>
          <w:rFonts w:hint="eastAsia" w:ascii="宋体" w:hAnsi="宋体" w:cs="宋体"/>
          <w:bCs/>
          <w:sz w:val="24"/>
          <w:szCs w:val="24"/>
          <w:highlight w:val="none"/>
        </w:rPr>
        <w:t>告知投标人，调整后的价格应对投标人具有约束力。如果投标人不接受修正后的价格，则其投标将被拒绝。</w:t>
      </w:r>
    </w:p>
    <w:p w14:paraId="5ECC66CB">
      <w:pPr>
        <w:spacing w:line="360" w:lineRule="auto"/>
        <w:ind w:firstLine="420"/>
        <w:rPr>
          <w:rFonts w:hint="eastAsia" w:ascii="宋体" w:hAnsi="宋体" w:cs="宋体"/>
          <w:sz w:val="24"/>
          <w:szCs w:val="24"/>
          <w:highlight w:val="none"/>
        </w:rPr>
      </w:pPr>
      <w:bookmarkStart w:id="156" w:name="_Toc16938550"/>
      <w:bookmarkStart w:id="157" w:name="_Toc513029234"/>
      <w:bookmarkStart w:id="158" w:name="_Toc20823306"/>
      <w:r>
        <w:rPr>
          <w:rFonts w:hint="eastAsia" w:ascii="宋体" w:hAnsi="宋体" w:cs="宋体"/>
          <w:sz w:val="24"/>
          <w:szCs w:val="24"/>
          <w:highlight w:val="none"/>
        </w:rPr>
        <w:t>25.6投标人在开、评标全过程中应保持通信畅通，及时登录苏采云系统查阅、答复相关信息，并安排专人与采购人及评标委员会联系。</w:t>
      </w:r>
    </w:p>
    <w:p w14:paraId="59F6334B">
      <w:pPr>
        <w:pStyle w:val="35"/>
        <w:spacing w:before="0" w:after="0" w:line="360" w:lineRule="auto"/>
        <w:ind w:firstLine="42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26、</w:t>
      </w:r>
      <w:bookmarkEnd w:id="156"/>
      <w:bookmarkEnd w:id="157"/>
      <w:bookmarkEnd w:id="158"/>
      <w:r>
        <w:rPr>
          <w:rFonts w:hint="eastAsia" w:ascii="宋体" w:hAnsi="宋体" w:eastAsia="宋体" w:cs="宋体"/>
          <w:b w:val="0"/>
          <w:bCs w:val="0"/>
          <w:sz w:val="24"/>
          <w:szCs w:val="24"/>
          <w:highlight w:val="none"/>
        </w:rPr>
        <w:t>无效投标条款和废标条款</w:t>
      </w:r>
    </w:p>
    <w:p w14:paraId="37F101CE">
      <w:pPr>
        <w:spacing w:line="360" w:lineRule="auto"/>
        <w:ind w:left="479"/>
        <w:rPr>
          <w:rFonts w:hint="eastAsia" w:ascii="宋体" w:hAnsi="宋体" w:cs="宋体"/>
          <w:bCs/>
          <w:sz w:val="24"/>
          <w:szCs w:val="24"/>
          <w:highlight w:val="none"/>
        </w:rPr>
      </w:pPr>
      <w:bookmarkStart w:id="159" w:name="_Toc20823307"/>
      <w:bookmarkStart w:id="160" w:name="_Toc16938551"/>
      <w:bookmarkStart w:id="161" w:name="_Toc513029235"/>
      <w:r>
        <w:rPr>
          <w:rFonts w:hint="eastAsia" w:ascii="宋体" w:hAnsi="宋体" w:cs="宋体"/>
          <w:bCs/>
          <w:sz w:val="24"/>
          <w:szCs w:val="24"/>
          <w:highlight w:val="none"/>
        </w:rPr>
        <w:t>26.1无效投标条款</w:t>
      </w:r>
    </w:p>
    <w:p w14:paraId="1DC17CCC">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26.1.1 投标人在</w:t>
      </w:r>
      <w:r>
        <w:rPr>
          <w:rFonts w:hint="eastAsia" w:ascii="宋体" w:hAnsi="宋体" w:cs="宋体"/>
          <w:sz w:val="24"/>
          <w:szCs w:val="24"/>
          <w:highlight w:val="none"/>
        </w:rPr>
        <w:t>苏采云系统</w:t>
      </w:r>
      <w:r>
        <w:rPr>
          <w:rFonts w:hint="eastAsia" w:ascii="宋体" w:hAnsi="宋体" w:cs="宋体"/>
          <w:bCs/>
          <w:sz w:val="24"/>
          <w:szCs w:val="24"/>
          <w:highlight w:val="none"/>
        </w:rPr>
        <w:t>规定的时间内未成功解密电子投标文件的。</w:t>
      </w:r>
    </w:p>
    <w:p w14:paraId="37558001">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26.1.2 投标人未按照招标文件要求上传电子投标文件的。</w:t>
      </w:r>
    </w:p>
    <w:p w14:paraId="10AF8CEB">
      <w:pPr>
        <w:spacing w:line="360" w:lineRule="auto"/>
        <w:ind w:left="479"/>
        <w:rPr>
          <w:rFonts w:hint="eastAsia" w:ascii="宋体" w:hAnsi="宋体" w:cs="宋体"/>
          <w:bCs/>
          <w:sz w:val="24"/>
          <w:szCs w:val="24"/>
          <w:highlight w:val="none"/>
        </w:rPr>
      </w:pPr>
      <w:r>
        <w:rPr>
          <w:rFonts w:hint="eastAsia" w:ascii="宋体" w:hAnsi="宋体" w:cs="宋体"/>
          <w:bCs/>
          <w:sz w:val="24"/>
          <w:szCs w:val="24"/>
          <w:highlight w:val="none"/>
        </w:rPr>
        <w:t>26.1.3同一投标人提交两个（含两个）以上不同的投标报价的。</w:t>
      </w:r>
    </w:p>
    <w:p w14:paraId="24337522">
      <w:pPr>
        <w:spacing w:line="360" w:lineRule="auto"/>
        <w:ind w:left="479"/>
        <w:rPr>
          <w:rFonts w:hint="eastAsia" w:ascii="宋体" w:hAnsi="宋体" w:cs="宋体"/>
          <w:bCs/>
          <w:sz w:val="24"/>
          <w:szCs w:val="24"/>
          <w:highlight w:val="none"/>
        </w:rPr>
      </w:pPr>
      <w:r>
        <w:rPr>
          <w:rFonts w:hint="eastAsia" w:ascii="宋体" w:hAnsi="宋体" w:cs="宋体"/>
          <w:bCs/>
          <w:sz w:val="24"/>
          <w:szCs w:val="24"/>
          <w:highlight w:val="none"/>
        </w:rPr>
        <w:t>26.1.4投标人不具备招标文件中规定资格要求的。</w:t>
      </w:r>
    </w:p>
    <w:p w14:paraId="582C2F16">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26.1.5投标人的报价超过了采购预算或最高限价的。</w:t>
      </w:r>
    </w:p>
    <w:p w14:paraId="65342C1D">
      <w:pPr>
        <w:spacing w:line="360" w:lineRule="auto"/>
        <w:ind w:firstLine="480"/>
        <w:rPr>
          <w:rFonts w:hint="eastAsia" w:ascii="宋体" w:hAnsi="宋体" w:cs="宋体"/>
          <w:bCs/>
          <w:i/>
          <w:sz w:val="24"/>
          <w:szCs w:val="24"/>
          <w:highlight w:val="none"/>
          <w:u w:val="single"/>
        </w:rPr>
      </w:pPr>
      <w:r>
        <w:rPr>
          <w:rFonts w:hint="eastAsia" w:ascii="宋体" w:hAnsi="宋体" w:cs="宋体"/>
          <w:bCs/>
          <w:sz w:val="24"/>
          <w:szCs w:val="24"/>
          <w:highlight w:val="none"/>
        </w:rPr>
        <w:t>26.1.6未通过符合性审查的。</w:t>
      </w:r>
    </w:p>
    <w:p w14:paraId="2E4F04CA">
      <w:pPr>
        <w:spacing w:line="360" w:lineRule="auto"/>
        <w:ind w:firstLine="360"/>
        <w:rPr>
          <w:rFonts w:hint="eastAsia" w:ascii="宋体" w:hAnsi="宋体" w:cs="宋体"/>
          <w:bCs/>
          <w:i/>
          <w:sz w:val="24"/>
          <w:szCs w:val="24"/>
          <w:highlight w:val="none"/>
          <w:u w:val="single"/>
        </w:rPr>
      </w:pPr>
      <w:r>
        <w:rPr>
          <w:rFonts w:hint="eastAsia" w:ascii="宋体" w:hAnsi="宋体" w:cs="宋体"/>
          <w:bCs/>
          <w:sz w:val="24"/>
          <w:szCs w:val="24"/>
          <w:highlight w:val="none"/>
        </w:rPr>
        <w:t xml:space="preserve"> 26.1.7不符合招标文件中规定的实质性要求和条件的（</w:t>
      </w:r>
      <w:r>
        <w:rPr>
          <w:rFonts w:hint="eastAsia" w:ascii="宋体" w:hAnsi="宋体" w:cs="宋体"/>
          <w:bCs/>
          <w:i/>
          <w:sz w:val="24"/>
          <w:szCs w:val="24"/>
          <w:highlight w:val="none"/>
          <w:u w:val="single"/>
        </w:rPr>
        <w:t>本招标文件中斜体且有下划线部分为实质性要求和条件）。</w:t>
      </w:r>
    </w:p>
    <w:p w14:paraId="53B077CB">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8237A6A">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26.1.9 投标文件含有采购人不能接受的附加条件的。</w:t>
      </w:r>
    </w:p>
    <w:p w14:paraId="0EDF0C8E">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26.1.10评标委员会认为投标人的报价明显低于其他通过符合性审查投标人的报价，有可能影响产品质量或者不能诚信履约的，将通过</w:t>
      </w:r>
      <w:r>
        <w:rPr>
          <w:rFonts w:hint="eastAsia" w:ascii="宋体" w:hAnsi="宋体" w:cs="宋体"/>
          <w:sz w:val="24"/>
          <w:szCs w:val="24"/>
          <w:highlight w:val="none"/>
        </w:rPr>
        <w:t>苏采云系统</w:t>
      </w:r>
      <w:r>
        <w:rPr>
          <w:rFonts w:hint="eastAsia" w:ascii="宋体" w:hAnsi="宋体" w:cs="宋体"/>
          <w:bCs/>
          <w:sz w:val="24"/>
          <w:szCs w:val="24"/>
          <w:highlight w:val="none"/>
        </w:rPr>
        <w:t>要求其在合理的时间内提供说明，必要时提交相关证明材料；投标人不能证明其报价合理性的，评标委员会应当将其作为无效投标处理。</w:t>
      </w:r>
    </w:p>
    <w:p w14:paraId="7EC42641">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26.1.11 投标文件未按照招标文件要求加盖CA电子公章的。</w:t>
      </w:r>
    </w:p>
    <w:p w14:paraId="75973291">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26.1.12其他法律法规及本招标文件规定的属于无效投标的情形。</w:t>
      </w:r>
    </w:p>
    <w:p w14:paraId="262584D9">
      <w:pPr>
        <w:spacing w:line="360" w:lineRule="auto"/>
        <w:ind w:left="479"/>
        <w:rPr>
          <w:rFonts w:hint="eastAsia" w:ascii="宋体" w:hAnsi="宋体" w:cs="宋体"/>
          <w:bCs/>
          <w:sz w:val="24"/>
          <w:szCs w:val="24"/>
          <w:highlight w:val="none"/>
        </w:rPr>
      </w:pPr>
      <w:r>
        <w:rPr>
          <w:rFonts w:hint="eastAsia" w:ascii="宋体" w:hAnsi="宋体" w:cs="宋体"/>
          <w:bCs/>
          <w:sz w:val="24"/>
          <w:szCs w:val="24"/>
          <w:highlight w:val="none"/>
        </w:rPr>
        <w:t>26.2废标条款</w:t>
      </w:r>
    </w:p>
    <w:p w14:paraId="2D78F9EC">
      <w:pPr>
        <w:spacing w:line="360" w:lineRule="auto"/>
        <w:ind w:left="479"/>
        <w:rPr>
          <w:rFonts w:hint="eastAsia" w:ascii="宋体" w:hAnsi="宋体" w:cs="宋体"/>
          <w:bCs/>
          <w:sz w:val="24"/>
          <w:szCs w:val="24"/>
          <w:highlight w:val="none"/>
        </w:rPr>
      </w:pPr>
      <w:r>
        <w:rPr>
          <w:rFonts w:hint="eastAsia" w:ascii="宋体" w:hAnsi="宋体" w:cs="宋体"/>
          <w:bCs/>
          <w:sz w:val="24"/>
          <w:szCs w:val="24"/>
          <w:highlight w:val="none"/>
        </w:rPr>
        <w:t>26.2.1符合专业条件的供应商或者对招标文件作实质响应的供应商不足三家</w:t>
      </w:r>
    </w:p>
    <w:p w14:paraId="47109C87">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的。</w:t>
      </w:r>
    </w:p>
    <w:p w14:paraId="364028D0">
      <w:pPr>
        <w:spacing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26.2.2出现影响采购公正的违法、违规行为的。</w:t>
      </w:r>
    </w:p>
    <w:p w14:paraId="02041ACC">
      <w:pPr>
        <w:spacing w:line="360" w:lineRule="auto"/>
        <w:ind w:left="479"/>
        <w:rPr>
          <w:rFonts w:hint="eastAsia" w:ascii="宋体" w:hAnsi="宋体" w:cs="宋体"/>
          <w:bCs/>
          <w:sz w:val="24"/>
          <w:szCs w:val="24"/>
          <w:highlight w:val="none"/>
        </w:rPr>
      </w:pPr>
      <w:r>
        <w:rPr>
          <w:rFonts w:hint="eastAsia" w:ascii="宋体" w:hAnsi="宋体" w:cs="宋体"/>
          <w:bCs/>
          <w:sz w:val="24"/>
          <w:szCs w:val="24"/>
          <w:highlight w:val="none"/>
        </w:rPr>
        <w:t>26.2.3因重大变故，采购任务取消的。</w:t>
      </w:r>
    </w:p>
    <w:p w14:paraId="20D53D32">
      <w:pPr>
        <w:spacing w:line="360" w:lineRule="auto"/>
        <w:ind w:left="479"/>
        <w:rPr>
          <w:rFonts w:hint="eastAsia" w:ascii="宋体" w:hAnsi="宋体" w:cs="宋体"/>
          <w:bCs/>
          <w:sz w:val="24"/>
          <w:szCs w:val="24"/>
          <w:highlight w:val="none"/>
        </w:rPr>
      </w:pPr>
      <w:r>
        <w:rPr>
          <w:rFonts w:hint="eastAsia" w:ascii="宋体" w:hAnsi="宋体" w:cs="宋体"/>
          <w:bCs/>
          <w:sz w:val="24"/>
          <w:szCs w:val="24"/>
          <w:highlight w:val="none"/>
        </w:rPr>
        <w:t>26.2.4评标委员会认定招标文件存在歧义、重大缺陷导致评审工作无法进</w:t>
      </w:r>
    </w:p>
    <w:p w14:paraId="1DEF12A7">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行。</w:t>
      </w:r>
    </w:p>
    <w:p w14:paraId="2F4288F1">
      <w:pPr>
        <w:spacing w:line="360" w:lineRule="auto"/>
        <w:ind w:left="479"/>
        <w:rPr>
          <w:rFonts w:hint="eastAsia" w:ascii="宋体" w:hAnsi="宋体" w:cs="宋体"/>
          <w:bCs/>
          <w:sz w:val="24"/>
          <w:szCs w:val="24"/>
          <w:highlight w:val="none"/>
        </w:rPr>
      </w:pPr>
      <w:r>
        <w:rPr>
          <w:rFonts w:hint="eastAsia" w:ascii="宋体" w:hAnsi="宋体" w:cs="宋体"/>
          <w:bCs/>
          <w:sz w:val="24"/>
          <w:szCs w:val="24"/>
          <w:highlight w:val="none"/>
        </w:rPr>
        <w:t>26.2.5 因</w:t>
      </w:r>
      <w:r>
        <w:rPr>
          <w:rFonts w:hint="eastAsia" w:ascii="宋体" w:hAnsi="宋体" w:cs="宋体"/>
          <w:sz w:val="24"/>
          <w:szCs w:val="24"/>
          <w:highlight w:val="none"/>
        </w:rPr>
        <w:t>苏采云系统故障</w:t>
      </w:r>
      <w:r>
        <w:rPr>
          <w:rFonts w:hint="eastAsia" w:ascii="宋体" w:hAnsi="宋体" w:cs="宋体"/>
          <w:bCs/>
          <w:sz w:val="24"/>
          <w:szCs w:val="24"/>
          <w:highlight w:val="none"/>
        </w:rPr>
        <w:t>原因造成开标不成功的。</w:t>
      </w:r>
    </w:p>
    <w:p w14:paraId="6B41ECF2">
      <w:pPr>
        <w:spacing w:line="360" w:lineRule="auto"/>
        <w:ind w:left="479"/>
        <w:rPr>
          <w:rFonts w:hint="eastAsia" w:ascii="宋体" w:hAnsi="宋体" w:cs="宋体"/>
          <w:bCs/>
          <w:sz w:val="24"/>
          <w:szCs w:val="24"/>
          <w:highlight w:val="none"/>
        </w:rPr>
      </w:pPr>
      <w:r>
        <w:rPr>
          <w:rFonts w:hint="eastAsia" w:ascii="宋体" w:hAnsi="宋体" w:cs="宋体"/>
          <w:bCs/>
          <w:sz w:val="24"/>
          <w:szCs w:val="24"/>
          <w:highlight w:val="none"/>
        </w:rPr>
        <w:t>26.3 投标截止时间结束后参加投标的供应商不足三家的处理：</w:t>
      </w:r>
    </w:p>
    <w:p w14:paraId="0A25D3B1">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26.3.1如出现投标截止时间结束后参加投标的供应商或者在评标期间对招标文件做出实质响应的供应商不足三家情况，按政府采购相关规定执行。</w:t>
      </w:r>
    </w:p>
    <w:p w14:paraId="77C82A2F">
      <w:pPr>
        <w:pStyle w:val="34"/>
        <w:spacing w:before="145" w:after="145" w:line="360" w:lineRule="auto"/>
        <w:ind w:firstLine="482"/>
        <w:rPr>
          <w:rFonts w:hint="eastAsia" w:ascii="宋体" w:hAnsi="宋体" w:cs="宋体"/>
          <w:sz w:val="24"/>
          <w:szCs w:val="24"/>
          <w:highlight w:val="none"/>
        </w:rPr>
      </w:pPr>
      <w:bookmarkStart w:id="162" w:name="_Toc120614219"/>
      <w:r>
        <w:rPr>
          <w:rFonts w:hint="eastAsia" w:ascii="宋体" w:hAnsi="宋体" w:cs="宋体"/>
          <w:sz w:val="24"/>
          <w:szCs w:val="24"/>
          <w:highlight w:val="none"/>
        </w:rPr>
        <w:t>六、</w:t>
      </w:r>
      <w:bookmarkEnd w:id="159"/>
      <w:bookmarkEnd w:id="160"/>
      <w:bookmarkEnd w:id="161"/>
      <w:r>
        <w:rPr>
          <w:rFonts w:hint="eastAsia" w:ascii="宋体" w:hAnsi="宋体" w:cs="宋体"/>
          <w:sz w:val="24"/>
          <w:szCs w:val="24"/>
          <w:highlight w:val="none"/>
        </w:rPr>
        <w:t>定标</w:t>
      </w:r>
      <w:bookmarkEnd w:id="162"/>
    </w:p>
    <w:p w14:paraId="6FAB6F6B">
      <w:pPr>
        <w:pStyle w:val="35"/>
        <w:spacing w:before="0" w:after="0" w:line="360" w:lineRule="auto"/>
        <w:ind w:firstLine="600"/>
        <w:rPr>
          <w:rFonts w:hint="eastAsia" w:ascii="宋体" w:hAnsi="宋体" w:eastAsia="宋体" w:cs="宋体"/>
          <w:b w:val="0"/>
          <w:sz w:val="24"/>
          <w:szCs w:val="24"/>
          <w:highlight w:val="none"/>
        </w:rPr>
      </w:pPr>
      <w:bookmarkStart w:id="163" w:name="_Toc513029238"/>
      <w:bookmarkStart w:id="164" w:name="_Toc20823310"/>
      <w:bookmarkStart w:id="165" w:name="_Toc16938554"/>
      <w:r>
        <w:rPr>
          <w:rFonts w:hint="eastAsia" w:ascii="宋体" w:hAnsi="宋体" w:eastAsia="宋体" w:cs="宋体"/>
          <w:b w:val="0"/>
          <w:sz w:val="24"/>
          <w:szCs w:val="24"/>
          <w:highlight w:val="none"/>
        </w:rPr>
        <w:t>27、</w:t>
      </w:r>
      <w:bookmarkEnd w:id="163"/>
      <w:r>
        <w:rPr>
          <w:rFonts w:hint="eastAsia" w:ascii="宋体" w:hAnsi="宋体" w:eastAsia="宋体" w:cs="宋体"/>
          <w:b w:val="0"/>
          <w:sz w:val="24"/>
          <w:szCs w:val="24"/>
          <w:highlight w:val="none"/>
        </w:rPr>
        <w:t>确定</w:t>
      </w:r>
      <w:bookmarkEnd w:id="164"/>
      <w:bookmarkEnd w:id="165"/>
      <w:r>
        <w:rPr>
          <w:rFonts w:hint="eastAsia" w:ascii="宋体" w:hAnsi="宋体" w:eastAsia="宋体" w:cs="宋体"/>
          <w:b w:val="0"/>
          <w:sz w:val="24"/>
          <w:szCs w:val="24"/>
          <w:highlight w:val="none"/>
        </w:rPr>
        <w:t>中标单位</w:t>
      </w:r>
    </w:p>
    <w:p w14:paraId="22E00367">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27.1中标候选人的选取原则和数量见招标文件第四章“评标办法及评分标准”。 </w:t>
      </w:r>
    </w:p>
    <w:p w14:paraId="02EA2B67">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27.2 采购人应根据评委会推荐的中标候选人确定中标人。</w:t>
      </w:r>
    </w:p>
    <w:p w14:paraId="225C19A6">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 xml:space="preserve">27.3 </w:t>
      </w:r>
      <w:r>
        <w:rPr>
          <w:rFonts w:hint="eastAsia" w:ascii="宋体" w:hAnsi="宋体" w:cs="宋体"/>
          <w:sz w:val="24"/>
          <w:szCs w:val="24"/>
          <w:highlight w:val="none"/>
        </w:rPr>
        <w:t>采购人将在“江苏政府采购网”发布中标公告，公告期限为1个工作日。</w:t>
      </w:r>
    </w:p>
    <w:p w14:paraId="7D346E4C">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27.4  若有充分证据证明，中标人出现下列情况之一的，一经查实，将被取消中标资格：</w:t>
      </w:r>
    </w:p>
    <w:p w14:paraId="6802848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27.4.1提供虚假材料谋取中标的。</w:t>
      </w:r>
    </w:p>
    <w:p w14:paraId="3D9B454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27.4.2向采购人、采购人行贿或者提供其他不正当利益的。</w:t>
      </w:r>
    </w:p>
    <w:p w14:paraId="52BA3BF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27.4.3属于本文件规定的无效条件，但在评标过程中又未被评委会发现的。</w:t>
      </w:r>
    </w:p>
    <w:p w14:paraId="52A9884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27.4.4与采购人或者其他供应商恶意串通的。</w:t>
      </w:r>
    </w:p>
    <w:p w14:paraId="7F5528D9">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27.4.5采取不正当手段诋毁、排挤其他供应商的。</w:t>
      </w:r>
    </w:p>
    <w:p w14:paraId="5772AC50">
      <w:pPr>
        <w:spacing w:line="360" w:lineRule="auto"/>
        <w:ind w:firstLine="480"/>
        <w:rPr>
          <w:rFonts w:hint="eastAsia" w:ascii="宋体" w:hAnsi="宋体" w:cs="宋体"/>
          <w:sz w:val="24"/>
          <w:szCs w:val="24"/>
          <w:highlight w:val="none"/>
        </w:rPr>
      </w:pPr>
      <w:bookmarkStart w:id="166" w:name="_Toc200451960"/>
      <w:r>
        <w:rPr>
          <w:rFonts w:hint="eastAsia" w:ascii="宋体" w:hAnsi="宋体" w:cs="宋体"/>
          <w:sz w:val="24"/>
          <w:szCs w:val="24"/>
          <w:highlight w:val="none"/>
        </w:rPr>
        <w:t>27.5 有下列情形之一的，视为投标人串通投标，投标无效：</w:t>
      </w:r>
    </w:p>
    <w:p w14:paraId="54C1880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27.5.1不同投标人的投标文件由同一单位或者个人编制。</w:t>
      </w:r>
    </w:p>
    <w:p w14:paraId="3DEE443E">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27.5.2不同投标人委托同一单位或者个人办理投标事宜。</w:t>
      </w:r>
    </w:p>
    <w:p w14:paraId="729E79A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27.5.3 不同投标人的投标文件载明的项目管理成员或者联系人员为同一人。</w:t>
      </w:r>
    </w:p>
    <w:p w14:paraId="29AA393D">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27.5.4不同投标人的投标文件异常一致或者投标报价呈规律性差异。</w:t>
      </w:r>
    </w:p>
    <w:p w14:paraId="460B18C0">
      <w:pPr>
        <w:pStyle w:val="35"/>
        <w:spacing w:before="0" w:after="0" w:line="360" w:lineRule="auto"/>
        <w:ind w:firstLine="60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28、质疑处理</w:t>
      </w:r>
      <w:bookmarkEnd w:id="166"/>
    </w:p>
    <w:p w14:paraId="1D456C4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28.1 提出质疑的供应商应当是参与所质疑项目采购活动的供应商。潜在供应商依法获取其可质疑的采购文件的，可以对采购文件提出质疑。</w:t>
      </w:r>
    </w:p>
    <w:p w14:paraId="67F5295C">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7284EBC3">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28.2.1对可以质疑的采购文件提出质疑的，为收到采购文件之日或者采购文件公告期限届满之日；</w:t>
      </w:r>
    </w:p>
    <w:p w14:paraId="1ADC592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28.2.2对采购过程提出质疑的，为各采购程序环节结束之日；</w:t>
      </w:r>
    </w:p>
    <w:p w14:paraId="1A4F8516">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28.2.3对中标或者成交结果提出质疑的，为中标或者成交结果公告期限届满之日。</w:t>
      </w:r>
    </w:p>
    <w:p w14:paraId="16051769">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供应商应当在法定质疑期内一次性提出针对同一采购程序环节的质疑。供应商如在法定期限内对同一采购程序环节提出多次质疑的，采购人将只对供应商第一次质疑作出答复。</w:t>
      </w:r>
    </w:p>
    <w:p w14:paraId="22B6364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14DCF1A9">
      <w:pPr>
        <w:spacing w:line="360" w:lineRule="auto"/>
        <w:ind w:firstLine="480"/>
        <w:rPr>
          <w:rFonts w:hint="eastAsia" w:ascii="宋体" w:hAnsi="宋体" w:cs="宋体"/>
          <w:b/>
          <w:sz w:val="24"/>
          <w:szCs w:val="24"/>
          <w:highlight w:val="none"/>
        </w:rPr>
      </w:pPr>
      <w:r>
        <w:rPr>
          <w:rFonts w:hint="eastAsia" w:ascii="宋体" w:hAnsi="宋体" w:cs="宋体"/>
          <w:sz w:val="24"/>
          <w:szCs w:val="24"/>
          <w:highlight w:val="none"/>
        </w:rPr>
        <w:t>28.4供应商（含潜在供应商）对采购方式、项目需求、供应商资格条件及审查结果、评标方法和评标标准、合同文本的询问、质疑请向采购人提出，由采购人负责答复。</w:t>
      </w:r>
    </w:p>
    <w:p w14:paraId="215F6682">
      <w:pPr>
        <w:spacing w:line="360" w:lineRule="auto"/>
        <w:ind w:firstLine="482"/>
        <w:rPr>
          <w:rFonts w:hint="eastAsia" w:ascii="宋体" w:hAnsi="宋体" w:cs="宋体"/>
          <w:b/>
          <w:sz w:val="24"/>
          <w:szCs w:val="24"/>
          <w:highlight w:val="none"/>
        </w:rPr>
      </w:pPr>
      <w:r>
        <w:rPr>
          <w:rFonts w:hint="eastAsia" w:ascii="宋体" w:hAnsi="宋体" w:cs="宋体"/>
          <w:sz w:val="24"/>
          <w:szCs w:val="24"/>
          <w:highlight w:val="none"/>
        </w:rPr>
        <w:t>供应商（含潜在供应商）对与本项目有关的所有询问、质疑均请向采购人提出，由采购人负责答复。</w:t>
      </w:r>
    </w:p>
    <w:p w14:paraId="60B59E45">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采购人质疑接收人及联系方式见招标文件第一章。</w:t>
      </w:r>
    </w:p>
    <w:p w14:paraId="1AC928A5">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28.5 以下情形的质疑不予受理</w:t>
      </w:r>
    </w:p>
    <w:p w14:paraId="7620968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28.5.1 内容不符合《政府采购质疑和投诉办法》第十二条规定的质疑。</w:t>
      </w:r>
    </w:p>
    <w:p w14:paraId="555E9DC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28.5.2 超出政府采购法定期限的质疑。</w:t>
      </w:r>
    </w:p>
    <w:p w14:paraId="7C23EB9D">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28.5.3 以传真、电子邮件等方式递交的非原件形式的质疑。</w:t>
      </w:r>
    </w:p>
    <w:p w14:paraId="6AE8301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28.5.4 未参加投标活动的供应商或在投标活动中自身权益未受到损害的供应商所提出的质疑。</w:t>
      </w:r>
    </w:p>
    <w:p w14:paraId="4FAD594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28.5.5供应商组成联合体参加投标，联合体中任何一方或多方未按要求签字、盖章、加盖公章的质疑。</w:t>
      </w:r>
    </w:p>
    <w:p w14:paraId="188D59D0">
      <w:pPr>
        <w:spacing w:line="360" w:lineRule="auto"/>
        <w:ind w:firstLine="468"/>
        <w:rPr>
          <w:rFonts w:hint="eastAsia" w:ascii="宋体" w:hAnsi="宋体" w:cs="宋体"/>
          <w:sz w:val="24"/>
          <w:szCs w:val="24"/>
          <w:highlight w:val="none"/>
        </w:rPr>
      </w:pPr>
      <w:r>
        <w:rPr>
          <w:rFonts w:hint="eastAsia" w:ascii="宋体" w:hAnsi="宋体" w:cs="宋体"/>
          <w:sz w:val="24"/>
          <w:szCs w:val="24"/>
          <w:highlight w:val="none"/>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D80EAC2">
      <w:pPr>
        <w:pStyle w:val="35"/>
        <w:spacing w:before="0" w:after="0" w:line="360" w:lineRule="auto"/>
        <w:ind w:firstLine="60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29、中标通知书</w:t>
      </w:r>
    </w:p>
    <w:p w14:paraId="4AC90D05">
      <w:pPr>
        <w:spacing w:line="360" w:lineRule="auto"/>
        <w:ind w:firstLine="600"/>
        <w:rPr>
          <w:rFonts w:hint="eastAsia" w:ascii="宋体" w:hAnsi="宋体" w:cs="宋体"/>
          <w:sz w:val="24"/>
          <w:szCs w:val="24"/>
          <w:highlight w:val="none"/>
        </w:rPr>
      </w:pPr>
      <w:r>
        <w:rPr>
          <w:rFonts w:hint="eastAsia" w:ascii="宋体" w:hAnsi="宋体" w:cs="宋体"/>
          <w:sz w:val="24"/>
          <w:szCs w:val="24"/>
          <w:highlight w:val="none"/>
        </w:rPr>
        <w:t>29.l</w:t>
      </w:r>
      <w:r>
        <w:rPr>
          <w:rFonts w:hint="eastAsia" w:ascii="宋体" w:hAnsi="宋体" w:cs="宋体"/>
          <w:b/>
          <w:sz w:val="24"/>
          <w:szCs w:val="24"/>
          <w:highlight w:val="none"/>
        </w:rPr>
        <w:t xml:space="preserve"> </w:t>
      </w:r>
      <w:r>
        <w:rPr>
          <w:rFonts w:hint="eastAsia" w:ascii="宋体" w:hAnsi="宋体" w:cs="宋体"/>
          <w:sz w:val="24"/>
          <w:szCs w:val="24"/>
          <w:highlight w:val="none"/>
        </w:rPr>
        <w:t>中标结果确定后，采购人将向中标人发出中标通知书。</w:t>
      </w:r>
    </w:p>
    <w:p w14:paraId="22BC4AEC">
      <w:pPr>
        <w:spacing w:line="360" w:lineRule="auto"/>
        <w:ind w:firstLine="600"/>
        <w:rPr>
          <w:rFonts w:hint="eastAsia" w:ascii="宋体" w:hAnsi="宋体" w:cs="宋体"/>
          <w:sz w:val="24"/>
          <w:szCs w:val="24"/>
          <w:highlight w:val="none"/>
        </w:rPr>
      </w:pPr>
      <w:r>
        <w:rPr>
          <w:rFonts w:hint="eastAsia" w:ascii="宋体" w:hAnsi="宋体" w:cs="宋体"/>
          <w:sz w:val="24"/>
          <w:szCs w:val="24"/>
          <w:highlight w:val="none"/>
        </w:rPr>
        <w:t>29.2中标通知书发出后，中标人无正当理由放弃中标项目的应当依法依规承担相应责任。</w:t>
      </w:r>
    </w:p>
    <w:p w14:paraId="6AAC87A6">
      <w:pPr>
        <w:pStyle w:val="34"/>
        <w:spacing w:before="145" w:after="145" w:line="360" w:lineRule="auto"/>
        <w:rPr>
          <w:rFonts w:hint="eastAsia" w:ascii="宋体" w:hAnsi="宋体" w:cs="宋体"/>
          <w:sz w:val="24"/>
          <w:szCs w:val="24"/>
          <w:highlight w:val="none"/>
        </w:rPr>
      </w:pPr>
      <w:bookmarkStart w:id="167" w:name="_Toc16938552"/>
      <w:bookmarkStart w:id="168" w:name="_Toc20823308"/>
      <w:bookmarkStart w:id="169" w:name="_Toc120614220"/>
      <w:bookmarkStart w:id="170" w:name="_Toc513029236"/>
      <w:r>
        <w:rPr>
          <w:rFonts w:hint="eastAsia" w:ascii="宋体" w:hAnsi="宋体" w:cs="宋体"/>
          <w:sz w:val="24"/>
          <w:szCs w:val="24"/>
          <w:highlight w:val="none"/>
        </w:rPr>
        <w:t>七、授予合同</w:t>
      </w:r>
      <w:bookmarkEnd w:id="167"/>
      <w:bookmarkEnd w:id="168"/>
      <w:bookmarkEnd w:id="169"/>
      <w:bookmarkEnd w:id="170"/>
    </w:p>
    <w:p w14:paraId="01D5DFAD">
      <w:pPr>
        <w:pStyle w:val="35"/>
        <w:spacing w:before="0" w:after="0" w:line="360" w:lineRule="auto"/>
        <w:ind w:firstLine="600"/>
        <w:rPr>
          <w:rFonts w:hint="eastAsia" w:ascii="宋体" w:hAnsi="宋体" w:eastAsia="宋体" w:cs="宋体"/>
          <w:b w:val="0"/>
          <w:sz w:val="24"/>
          <w:szCs w:val="24"/>
          <w:highlight w:val="none"/>
        </w:rPr>
      </w:pPr>
      <w:bookmarkStart w:id="171" w:name="_Toc16938553"/>
      <w:bookmarkStart w:id="172" w:name="_Toc513029237"/>
      <w:bookmarkStart w:id="173" w:name="_Toc20823309"/>
      <w:r>
        <w:rPr>
          <w:rFonts w:hint="eastAsia" w:ascii="宋体" w:hAnsi="宋体" w:eastAsia="宋体" w:cs="宋体"/>
          <w:b w:val="0"/>
          <w:sz w:val="24"/>
          <w:szCs w:val="24"/>
          <w:highlight w:val="none"/>
        </w:rPr>
        <w:t>30. 签订合同</w:t>
      </w:r>
    </w:p>
    <w:p w14:paraId="618EFB01">
      <w:pPr>
        <w:spacing w:line="360" w:lineRule="auto"/>
        <w:ind w:firstLine="600"/>
        <w:rPr>
          <w:rFonts w:hint="eastAsia" w:ascii="宋体" w:hAnsi="宋体" w:cs="宋体"/>
          <w:sz w:val="24"/>
          <w:szCs w:val="24"/>
          <w:highlight w:val="none"/>
        </w:rPr>
      </w:pPr>
      <w:r>
        <w:rPr>
          <w:rFonts w:hint="eastAsia" w:ascii="宋体" w:hAnsi="宋体" w:cs="宋体"/>
          <w:bCs/>
          <w:sz w:val="24"/>
          <w:szCs w:val="24"/>
          <w:highlight w:val="none"/>
        </w:rPr>
        <w:t>30</w:t>
      </w:r>
      <w:r>
        <w:rPr>
          <w:rFonts w:hint="eastAsia" w:ascii="宋体" w:hAnsi="宋体" w:cs="宋体"/>
          <w:sz w:val="24"/>
          <w:szCs w:val="24"/>
          <w:highlight w:val="none"/>
        </w:rPr>
        <w:t>.l中标人应当在中标通知书发出之日起三十日内，按照招标文件确定的事项与采购人签订政府采购合同。</w:t>
      </w:r>
    </w:p>
    <w:p w14:paraId="7E23F435">
      <w:pPr>
        <w:spacing w:line="360" w:lineRule="auto"/>
        <w:ind w:firstLine="600"/>
        <w:rPr>
          <w:rFonts w:hint="eastAsia" w:ascii="宋体" w:hAnsi="宋体" w:cs="宋体"/>
          <w:sz w:val="24"/>
          <w:szCs w:val="24"/>
          <w:highlight w:val="none"/>
        </w:rPr>
      </w:pPr>
      <w:r>
        <w:rPr>
          <w:rFonts w:hint="eastAsia" w:ascii="宋体" w:hAnsi="宋体" w:cs="宋体"/>
          <w:sz w:val="24"/>
          <w:szCs w:val="24"/>
          <w:highlight w:val="none"/>
        </w:rPr>
        <w:t>30.2 签订合同后，</w:t>
      </w:r>
      <w:r>
        <w:rPr>
          <w:rFonts w:hint="eastAsia" w:ascii="宋体" w:hAnsi="宋体" w:cs="宋体"/>
          <w:i/>
          <w:sz w:val="24"/>
          <w:szCs w:val="24"/>
          <w:highlight w:val="none"/>
          <w:u w:val="single"/>
        </w:rPr>
        <w:t>中标人不得将合同标的进行转包</w:t>
      </w:r>
      <w:r>
        <w:rPr>
          <w:rFonts w:hint="eastAsia" w:ascii="宋体" w:hAnsi="宋体" w:cs="宋体"/>
          <w:sz w:val="24"/>
          <w:szCs w:val="24"/>
          <w:highlight w:val="none"/>
        </w:rPr>
        <w:t>。未经采购人同意，中标人也不得采用分包的形式履行合同，否则采购人有权终止合同。转包或分包造成采购人损失的，中标人应承担相应赔偿责任。</w:t>
      </w:r>
    </w:p>
    <w:p w14:paraId="68121632">
      <w:pPr>
        <w:pStyle w:val="35"/>
        <w:spacing w:before="0" w:after="0" w:line="360" w:lineRule="auto"/>
        <w:ind w:firstLine="480" w:firstLineChars="20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31、服务（包含与服务相关的货物）的追加</w:t>
      </w:r>
    </w:p>
    <w:p w14:paraId="1C1D655A">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bookmarkEnd w:id="172"/>
      <w:bookmarkEnd w:id="173"/>
    </w:p>
    <w:p w14:paraId="37DD6DB9">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33.政府采购政策功能落实</w:t>
      </w:r>
    </w:p>
    <w:p w14:paraId="6DBC4B0E">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33.1政府采购线上合同信用融资政策</w:t>
      </w:r>
    </w:p>
    <w:p w14:paraId="3043473C">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 </w:t>
      </w:r>
    </w:p>
    <w:p w14:paraId="3CB2A4B3">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33.2进口产品</w:t>
      </w:r>
    </w:p>
    <w:p w14:paraId="2BD57C64">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8E7CEE4">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33.3中小企业、监狱企业及残疾人福利性单位</w:t>
      </w:r>
    </w:p>
    <w:p w14:paraId="057231B4">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33.3.1中小企业定义：</w:t>
      </w:r>
    </w:p>
    <w:p w14:paraId="74F8FDE1">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D87A652">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33.3.2供应商提供的货物、工程或者服务符合下列情形的，享受中小企业扶持政策：</w:t>
      </w:r>
    </w:p>
    <w:p w14:paraId="3F08C334">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33.3.2.1在货物采购项目中，货物由中小企业制造，即货物由中小企业生产且使用该中小企业商号或者注册商标；</w:t>
      </w:r>
    </w:p>
    <w:p w14:paraId="2B375C2A">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33.3.2.2在工程采购项目中，工程由中小企业承建，即工程施工单位为中小企业；</w:t>
      </w:r>
    </w:p>
    <w:p w14:paraId="22354FE2">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33.3.2.3在服务采购项目中，服务由中小企业承接，即提供服务的人员为中小企业依照《中华人民共和国劳动合同法》订立劳动合同的从业人员。</w:t>
      </w:r>
    </w:p>
    <w:p w14:paraId="7CAE7A10">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33.3.3在货物采购项目中，供应商提供的货物既有中小企业制造货物，也有大型企业制造货物的，不享受中小企业扶持政策。</w:t>
      </w:r>
    </w:p>
    <w:p w14:paraId="1DD99648">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33.3.4以联合体形式参加政府采购活动，联合体各方均为中小企业的，联合体视同中小企业。其中，联合体各方均为小微企业的，联合体视同小微企业。</w:t>
      </w:r>
    </w:p>
    <w:p w14:paraId="544990B0">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9E21AA">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33.3.6残疾人福利单位定义：享受政府采购支持政策的残疾人福利性单位应当同时满足以下条件：</w:t>
      </w:r>
    </w:p>
    <w:p w14:paraId="0007BE76">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33.3.6.1安置的残疾人占本单位在职职工人数的比例不低于25%（含25%），并且安置的残疾人人数不少于10 人（含10 人）；</w:t>
      </w:r>
    </w:p>
    <w:p w14:paraId="5F602453">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33.3.6.2依法与安置的每位残疾人签订了一年以上（含一年）的劳动合同或服务协议；</w:t>
      </w:r>
    </w:p>
    <w:p w14:paraId="0E3866B2">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33.3.6.3为安置的每位残疾人按月足额缴纳了基本养老保险、基本医疗保险、失业保险、工伤保险和生育保险等社会保险费；</w:t>
      </w:r>
    </w:p>
    <w:p w14:paraId="25DFFD0C">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33.3.6.4通过银行等金融机构向安置的每位残疾人，按月支付了不低于单位所在区县适用的经省级人民政府批准的月最低工资标准的工资；</w:t>
      </w:r>
    </w:p>
    <w:p w14:paraId="7AE72D06">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33.3.6.5提供本单位制造的货物、承担的工程或者服务（以下简称产品），或者提供其他残疾人福利性单位制造的货物（不包括使用非残疾人福利性单位注册商标的货物）；</w:t>
      </w:r>
    </w:p>
    <w:p w14:paraId="23C249CE">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764040C">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33.3.7本项目是否专门面向中小企业预留采购份额见第一章《招标公告》。</w:t>
      </w:r>
    </w:p>
    <w:p w14:paraId="2134B72C">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33.3.8采购标的对应的中小企业划分标准所属行业见第三章《采购需求》。</w:t>
      </w:r>
    </w:p>
    <w:p w14:paraId="4C6A4A7E">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33.3.9小微企业价格评审优惠的政策：见第五章《评标方法和评标标准》。</w:t>
      </w:r>
    </w:p>
    <w:p w14:paraId="016721C4">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33.4政府采购节能产品、环境标志产品</w:t>
      </w:r>
    </w:p>
    <w:p w14:paraId="20965041">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7436D7B">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37FED35">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33.5绿色包装</w:t>
      </w:r>
    </w:p>
    <w:p w14:paraId="3A2FC13C">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F9B7896">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33.6政府采购创新产品</w:t>
      </w:r>
    </w:p>
    <w:p w14:paraId="1346529C">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采购人优先采购各级政府部门公开发布的有效期内的创新产品、创新服务、首台套、首购首用等《目录》的创新产品。</w:t>
      </w:r>
    </w:p>
    <w:p w14:paraId="5B8923C6">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33.7绿色数据中心政策 </w:t>
      </w:r>
    </w:p>
    <w:p w14:paraId="07A1C5BC">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本文件中若涉及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1A39C84">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33.8履约保证金政策</w:t>
      </w:r>
    </w:p>
    <w:p w14:paraId="74F1C042">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履约保证金的缴纳形式：</w:t>
      </w:r>
    </w:p>
    <w:p w14:paraId="437E38A2">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7F61FD9">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如以履约保函（保险）形式缴纳履约保证金，供应商可通过政府采购电子履约保函（保险）平台（www.jsdzbh.com）在线申请履约保函（保险）。</w:t>
      </w:r>
    </w:p>
    <w:p w14:paraId="02468B7B">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p>
    <w:p w14:paraId="74437F07">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履约保证金的提交：合同签订前，以保函方式提交的，投标人须保证在合同履约期限内履约保函一直有效。</w:t>
      </w:r>
    </w:p>
    <w:p w14:paraId="002AC9A4">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34. 预付款制度</w:t>
      </w:r>
    </w:p>
    <w:p w14:paraId="54625338">
      <w:pPr>
        <w:pStyle w:val="32"/>
        <w:spacing w:line="360" w:lineRule="auto"/>
        <w:rPr>
          <w:rFonts w:hint="eastAsia" w:ascii="宋体" w:hAnsi="宋体" w:cs="宋体"/>
          <w:sz w:val="24"/>
          <w:szCs w:val="24"/>
          <w:highlight w:val="none"/>
        </w:rPr>
      </w:pPr>
      <w:r>
        <w:rPr>
          <w:rFonts w:hint="eastAsia" w:ascii="宋体" w:hAnsi="宋体" w:cs="宋体"/>
          <w:sz w:val="24"/>
          <w:szCs w:val="24"/>
          <w:highlight w:val="none"/>
        </w:rPr>
        <w:t>本项目落实预付款制度，预付款比例为30%，在签订合同时，中标、成交供应商明确书面表示无需预付款或者主动要求降低预付款比例的，采购人可就预付款比例作相应调整。</w:t>
      </w:r>
    </w:p>
    <w:p w14:paraId="2A4CB46C">
      <w:pPr>
        <w:pStyle w:val="21"/>
        <w:rPr>
          <w:rFonts w:hint="eastAsia" w:cs="宋体"/>
          <w:sz w:val="24"/>
          <w:szCs w:val="24"/>
          <w:highlight w:val="none"/>
        </w:rPr>
      </w:pPr>
      <w:r>
        <w:rPr>
          <w:rFonts w:hint="eastAsia" w:cs="宋体"/>
          <w:b/>
          <w:sz w:val="24"/>
          <w:szCs w:val="24"/>
          <w:highlight w:val="none"/>
        </w:rPr>
        <w:t xml:space="preserve"> </w:t>
      </w:r>
      <w:bookmarkEnd w:id="34"/>
      <w:bookmarkEnd w:id="35"/>
      <w:bookmarkEnd w:id="36"/>
      <w:bookmarkEnd w:id="37"/>
      <w:bookmarkEnd w:id="38"/>
      <w:bookmarkStart w:id="174" w:name="_Toc120614281"/>
      <w:bookmarkStart w:id="175" w:name="_Toc49090575"/>
      <w:bookmarkStart w:id="176" w:name="_Toc26554093"/>
      <w:bookmarkStart w:id="177" w:name="_Toc479757211"/>
      <w:bookmarkStart w:id="178" w:name="_Toc462564139"/>
    </w:p>
    <w:p w14:paraId="4F6F546B">
      <w:pPr>
        <w:pStyle w:val="21"/>
        <w:rPr>
          <w:rFonts w:hint="eastAsia" w:cs="宋体"/>
          <w:sz w:val="24"/>
          <w:szCs w:val="24"/>
          <w:highlight w:val="none"/>
        </w:rPr>
      </w:pPr>
    </w:p>
    <w:p w14:paraId="50DA41AF">
      <w:pPr>
        <w:pageBreakBefore/>
        <w:spacing w:line="520" w:lineRule="exact"/>
        <w:jc w:val="center"/>
        <w:outlineLvl w:val="0"/>
        <w:rPr>
          <w:b/>
          <w:sz w:val="44"/>
          <w:szCs w:val="44"/>
          <w:highlight w:val="none"/>
        </w:rPr>
      </w:pPr>
      <w:bookmarkStart w:id="179" w:name="_Toc502752839"/>
      <w:r>
        <w:rPr>
          <w:rFonts w:hint="eastAsia"/>
          <w:b/>
          <w:sz w:val="44"/>
          <w:szCs w:val="44"/>
          <w:highlight w:val="none"/>
        </w:rPr>
        <w:t>第三章 服务需求</w:t>
      </w:r>
      <w:bookmarkEnd w:id="179"/>
    </w:p>
    <w:p w14:paraId="780E672C">
      <w:pPr>
        <w:jc w:val="left"/>
        <w:rPr>
          <w:rFonts w:hint="eastAsia" w:ascii="宋体" w:hAnsi="宋体"/>
          <w:b/>
          <w:sz w:val="24"/>
          <w:szCs w:val="24"/>
          <w:highlight w:val="none"/>
        </w:rPr>
      </w:pPr>
      <w:bookmarkStart w:id="180" w:name="_Toc19794"/>
    </w:p>
    <w:p w14:paraId="08AFFEED">
      <w:pPr>
        <w:ind w:firstLine="482" w:firstLineChars="200"/>
        <w:jc w:val="left"/>
        <w:rPr>
          <w:rFonts w:hint="eastAsia" w:ascii="宋体" w:hAnsi="宋体"/>
          <w:b/>
          <w:sz w:val="24"/>
          <w:szCs w:val="24"/>
          <w:highlight w:val="none"/>
        </w:rPr>
      </w:pPr>
      <w:r>
        <w:rPr>
          <w:rFonts w:hint="eastAsia" w:ascii="宋体" w:hAnsi="宋体"/>
          <w:b/>
          <w:sz w:val="24"/>
          <w:szCs w:val="24"/>
          <w:highlight w:val="none"/>
        </w:rPr>
        <w:t>（一）项目技术要求：</w:t>
      </w:r>
    </w:p>
    <w:p w14:paraId="7459A4CB">
      <w:pPr>
        <w:spacing w:line="360" w:lineRule="auto"/>
        <w:ind w:firstLine="482"/>
        <w:outlineLvl w:val="1"/>
        <w:rPr>
          <w:rFonts w:hint="eastAsia" w:ascii="宋体" w:hAnsi="宋体"/>
          <w:b/>
          <w:sz w:val="24"/>
          <w:szCs w:val="24"/>
          <w:highlight w:val="none"/>
        </w:rPr>
      </w:pPr>
      <w:bookmarkStart w:id="181" w:name="_Toc1566297775"/>
      <w:r>
        <w:rPr>
          <w:rFonts w:hint="eastAsia" w:ascii="宋体" w:hAnsi="宋体"/>
          <w:b/>
          <w:sz w:val="24"/>
          <w:szCs w:val="24"/>
          <w:highlight w:val="none"/>
        </w:rPr>
        <w:t>1.项目概况</w:t>
      </w:r>
      <w:bookmarkEnd w:id="181"/>
    </w:p>
    <w:p w14:paraId="03B9BA5E">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1.1 项目名称：</w:t>
      </w:r>
      <w:r>
        <w:rPr>
          <w:rFonts w:hint="eastAsia" w:ascii="宋体" w:hAnsi="宋体" w:cs="宋体"/>
          <w:sz w:val="24"/>
          <w:szCs w:val="24"/>
          <w:highlight w:val="none"/>
        </w:rPr>
        <w:t>盐城市大丰区公共机构能源费用托管服务采购项目</w:t>
      </w:r>
    </w:p>
    <w:p w14:paraId="7A43822B">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1.2 项目概况：</w:t>
      </w:r>
    </w:p>
    <w:p w14:paraId="57F5144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为贯彻落实党中央、国务院“双碳”战略目标，国家机关事务管理局、国家发展和改革委员会、财政部联合印发《关于鼓励和支持公共机构采用能源费用托管服务的意见》。2024年省机关事务管理局、省发改委、省财政厅等八个厅局联合印发《2024年度全省公共机构绿色低碳引领行动目标任务的</w:t>
      </w:r>
      <w:r>
        <w:rPr>
          <w:rFonts w:hint="eastAsia" w:ascii="宋体" w:hAnsi="宋体" w:cs="宋体"/>
          <w:color w:val="auto"/>
          <w:sz w:val="24"/>
          <w:szCs w:val="24"/>
          <w:highlight w:val="none"/>
        </w:rPr>
        <w:t>通知》，通知把盐城市大丰区列入整县（市、区）能源费用托管模式示范市。盐城市大丰区共有147家用能单位纳入本次托管范围。全</w:t>
      </w:r>
      <w:r>
        <w:rPr>
          <w:rFonts w:hint="eastAsia" w:ascii="宋体" w:hAnsi="宋体" w:cs="宋体"/>
          <w:sz w:val="24"/>
          <w:szCs w:val="24"/>
          <w:highlight w:val="none"/>
        </w:rPr>
        <w:t>区公共机构数量多分布广，且各公共机构年能源消耗量差异较大，通过开展整县能源托管服务项目，依靠专业公司通过科学的管理运行和节能技术应用等一揽子综合节能减碳措施达到节约能源资源的目的，有效遏制能源费用增长，推动我区公共机构整体绿色低碳转型，并率先实现“碳达峰”。</w:t>
      </w:r>
    </w:p>
    <w:p w14:paraId="4BBE4DF3">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盐城市大丰区公共机构2023-2025年平均能源费用约为5352.8824万元/年。</w:t>
      </w:r>
    </w:p>
    <w:p w14:paraId="032ED2E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采购人不统一组织现场勘察，投标人可自行前往以上项目单位踏勘并承担一切安全责任和费用。无论投标人是否踏勘过现场，均被认为其在递交投标文件之前已踏勘过现场，对本项目的所有风险、义务内容已经全面了解，并在其投标文件中已充分考虑了各种因素。</w:t>
      </w:r>
    </w:p>
    <w:p w14:paraId="1B82C245">
      <w:pPr>
        <w:spacing w:line="360" w:lineRule="auto"/>
        <w:ind w:firstLine="482"/>
        <w:outlineLvl w:val="1"/>
        <w:rPr>
          <w:rFonts w:hint="eastAsia" w:ascii="宋体" w:hAnsi="宋体"/>
          <w:b/>
          <w:sz w:val="24"/>
          <w:szCs w:val="24"/>
          <w:highlight w:val="none"/>
        </w:rPr>
      </w:pPr>
      <w:bookmarkStart w:id="182" w:name="_Toc912159499"/>
      <w:r>
        <w:rPr>
          <w:rFonts w:hint="eastAsia" w:ascii="宋体" w:hAnsi="宋体"/>
          <w:b/>
          <w:sz w:val="24"/>
          <w:szCs w:val="24"/>
          <w:highlight w:val="none"/>
        </w:rPr>
        <w:t>2.服务内容及要求</w:t>
      </w:r>
      <w:bookmarkEnd w:id="182"/>
    </w:p>
    <w:p w14:paraId="19D7B942">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采购需求一览表</w:t>
      </w:r>
    </w:p>
    <w:tbl>
      <w:tblPr>
        <w:tblStyle w:val="22"/>
        <w:tblW w:w="4888" w:type="pct"/>
        <w:tblInd w:w="73"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80"/>
        <w:gridCol w:w="743"/>
        <w:gridCol w:w="793"/>
        <w:gridCol w:w="891"/>
        <w:gridCol w:w="2256"/>
        <w:gridCol w:w="4097"/>
      </w:tblGrid>
      <w:tr w14:paraId="2FA8AC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2" w:type="pct"/>
            <w:tcBorders>
              <w:top w:val="single" w:color="000000" w:sz="8" w:space="0"/>
              <w:left w:val="single" w:color="000000" w:sz="8" w:space="0"/>
              <w:bottom w:val="single" w:color="000000" w:sz="4" w:space="0"/>
              <w:right w:val="single" w:color="000000" w:sz="4" w:space="0"/>
            </w:tcBorders>
            <w:shd w:val="clear" w:color="auto" w:fill="EEECE1"/>
            <w:tcMar>
              <w:top w:w="0" w:type="dxa"/>
              <w:left w:w="105" w:type="dxa"/>
              <w:bottom w:w="0" w:type="dxa"/>
              <w:right w:w="105" w:type="dxa"/>
            </w:tcMar>
            <w:vAlign w:val="center"/>
          </w:tcPr>
          <w:p w14:paraId="29164446">
            <w:pPr>
              <w:spacing w:line="360" w:lineRule="auto"/>
              <w:jc w:val="center"/>
              <w:rPr>
                <w:rFonts w:hint="eastAsia" w:ascii="宋体" w:hAnsi="宋体" w:cs="宋体"/>
                <w:b/>
                <w:sz w:val="24"/>
                <w:highlight w:val="none"/>
                <w:lang w:eastAsia="zh-Hans"/>
              </w:rPr>
            </w:pPr>
            <w:r>
              <w:rPr>
                <w:rFonts w:hint="eastAsia" w:ascii="宋体" w:hAnsi="宋体" w:cs="宋体"/>
                <w:b/>
                <w:sz w:val="24"/>
                <w:highlight w:val="none"/>
                <w:lang w:eastAsia="zh-Hans"/>
              </w:rPr>
              <w:t>采购</w:t>
            </w:r>
          </w:p>
          <w:p w14:paraId="6A9F5111">
            <w:pPr>
              <w:spacing w:line="360" w:lineRule="auto"/>
              <w:jc w:val="center"/>
              <w:rPr>
                <w:rFonts w:hint="eastAsia" w:ascii="宋体" w:hAnsi="宋体" w:cs="宋体"/>
                <w:highlight w:val="none"/>
              </w:rPr>
            </w:pPr>
            <w:r>
              <w:rPr>
                <w:rFonts w:hint="eastAsia" w:ascii="宋体" w:hAnsi="宋体" w:cs="宋体"/>
                <w:b/>
                <w:sz w:val="24"/>
                <w:highlight w:val="none"/>
              </w:rPr>
              <w:t>内容</w:t>
            </w:r>
          </w:p>
        </w:tc>
        <w:tc>
          <w:tcPr>
            <w:tcW w:w="373" w:type="pct"/>
            <w:tcBorders>
              <w:top w:val="single" w:color="000000" w:sz="8" w:space="0"/>
              <w:left w:val="single" w:color="000000" w:sz="4" w:space="0"/>
              <w:bottom w:val="single" w:color="000000" w:sz="4" w:space="0"/>
              <w:right w:val="single" w:color="000000" w:sz="4" w:space="0"/>
            </w:tcBorders>
            <w:shd w:val="clear" w:color="auto" w:fill="EEECE1"/>
            <w:tcMar>
              <w:top w:w="0" w:type="dxa"/>
              <w:left w:w="105" w:type="dxa"/>
              <w:bottom w:w="0" w:type="dxa"/>
              <w:right w:w="105" w:type="dxa"/>
            </w:tcMar>
            <w:vAlign w:val="center"/>
          </w:tcPr>
          <w:p w14:paraId="0465E635">
            <w:pPr>
              <w:spacing w:line="360" w:lineRule="auto"/>
              <w:jc w:val="center"/>
              <w:rPr>
                <w:rFonts w:hint="eastAsia" w:ascii="宋体" w:hAnsi="宋体" w:cs="宋体"/>
                <w:highlight w:val="none"/>
                <w:lang w:eastAsia="zh-Hans"/>
              </w:rPr>
            </w:pPr>
            <w:r>
              <w:rPr>
                <w:rFonts w:hint="eastAsia" w:ascii="宋体" w:hAnsi="宋体" w:cs="宋体"/>
                <w:b/>
                <w:sz w:val="24"/>
                <w:highlight w:val="none"/>
                <w:lang w:eastAsia="zh-Hans"/>
              </w:rPr>
              <w:t>数量</w:t>
            </w:r>
          </w:p>
        </w:tc>
        <w:tc>
          <w:tcPr>
            <w:tcW w:w="398" w:type="pct"/>
            <w:tcBorders>
              <w:top w:val="single" w:color="000000" w:sz="8" w:space="0"/>
              <w:left w:val="single" w:color="000000" w:sz="4" w:space="0"/>
              <w:bottom w:val="single" w:color="000000" w:sz="4" w:space="0"/>
              <w:right w:val="single" w:color="000000" w:sz="4" w:space="0"/>
            </w:tcBorders>
            <w:shd w:val="clear" w:color="auto" w:fill="EEECE1"/>
            <w:tcMar>
              <w:top w:w="0" w:type="dxa"/>
              <w:left w:w="105" w:type="dxa"/>
              <w:bottom w:w="0" w:type="dxa"/>
              <w:right w:w="105" w:type="dxa"/>
            </w:tcMar>
            <w:vAlign w:val="center"/>
          </w:tcPr>
          <w:p w14:paraId="390B450B">
            <w:pPr>
              <w:spacing w:line="360" w:lineRule="auto"/>
              <w:jc w:val="center"/>
              <w:rPr>
                <w:rFonts w:hint="eastAsia" w:ascii="宋体" w:hAnsi="宋体" w:cs="宋体"/>
                <w:highlight w:val="none"/>
                <w:lang w:eastAsia="zh-Hans"/>
              </w:rPr>
            </w:pPr>
            <w:r>
              <w:rPr>
                <w:rFonts w:hint="eastAsia" w:ascii="宋体" w:hAnsi="宋体" w:cs="宋体"/>
                <w:b/>
                <w:sz w:val="24"/>
                <w:highlight w:val="none"/>
                <w:lang w:eastAsia="zh-Hans"/>
              </w:rPr>
              <w:t>改造期限</w:t>
            </w:r>
          </w:p>
        </w:tc>
        <w:tc>
          <w:tcPr>
            <w:tcW w:w="447" w:type="pct"/>
            <w:tcBorders>
              <w:top w:val="single" w:color="000000" w:sz="8" w:space="0"/>
              <w:left w:val="single" w:color="000000" w:sz="4" w:space="0"/>
              <w:bottom w:val="single" w:color="000000" w:sz="4" w:space="0"/>
              <w:right w:val="single" w:color="000000" w:sz="4" w:space="0"/>
            </w:tcBorders>
            <w:shd w:val="clear" w:color="auto" w:fill="EEECE1"/>
            <w:tcMar>
              <w:top w:w="0" w:type="dxa"/>
              <w:left w:w="105" w:type="dxa"/>
              <w:bottom w:w="0" w:type="dxa"/>
              <w:right w:w="105" w:type="dxa"/>
            </w:tcMar>
            <w:vAlign w:val="center"/>
          </w:tcPr>
          <w:p w14:paraId="73755081">
            <w:pPr>
              <w:spacing w:line="360" w:lineRule="auto"/>
              <w:jc w:val="center"/>
              <w:rPr>
                <w:rFonts w:hint="eastAsia" w:ascii="宋体" w:hAnsi="宋体" w:cs="宋体"/>
                <w:highlight w:val="none"/>
                <w:lang w:eastAsia="zh-Hans"/>
              </w:rPr>
            </w:pPr>
            <w:r>
              <w:rPr>
                <w:rFonts w:hint="eastAsia" w:ascii="宋体" w:hAnsi="宋体" w:cs="宋体"/>
                <w:b/>
                <w:sz w:val="24"/>
                <w:highlight w:val="none"/>
                <w:lang w:eastAsia="zh-Hans"/>
              </w:rPr>
              <w:t>托管期限</w:t>
            </w:r>
          </w:p>
        </w:tc>
        <w:tc>
          <w:tcPr>
            <w:tcW w:w="1132" w:type="pct"/>
            <w:tcBorders>
              <w:top w:val="single" w:color="000000" w:sz="8" w:space="0"/>
              <w:left w:val="single" w:color="000000" w:sz="4" w:space="0"/>
              <w:bottom w:val="single" w:color="000000" w:sz="4" w:space="0"/>
              <w:right w:val="single" w:color="000000" w:sz="4" w:space="0"/>
            </w:tcBorders>
            <w:shd w:val="clear" w:color="auto" w:fill="EEECE1"/>
            <w:tcMar>
              <w:top w:w="0" w:type="dxa"/>
              <w:left w:w="105" w:type="dxa"/>
              <w:bottom w:w="0" w:type="dxa"/>
              <w:right w:w="105" w:type="dxa"/>
            </w:tcMar>
            <w:vAlign w:val="center"/>
          </w:tcPr>
          <w:p w14:paraId="66D244E3">
            <w:pPr>
              <w:spacing w:line="360" w:lineRule="auto"/>
              <w:jc w:val="center"/>
              <w:rPr>
                <w:rFonts w:hint="eastAsia" w:ascii="宋体" w:hAnsi="宋体" w:cs="宋体"/>
                <w:highlight w:val="none"/>
                <w:lang w:eastAsia="zh-Hans"/>
              </w:rPr>
            </w:pPr>
            <w:r>
              <w:rPr>
                <w:rFonts w:hint="eastAsia" w:ascii="宋体" w:hAnsi="宋体" w:cs="宋体"/>
                <w:b/>
                <w:sz w:val="24"/>
                <w:highlight w:val="none"/>
                <w:lang w:eastAsia="zh-Hans"/>
              </w:rPr>
              <w:t>能源托管费用最高限价</w:t>
            </w:r>
          </w:p>
          <w:p w14:paraId="6BE35645">
            <w:pPr>
              <w:spacing w:line="360" w:lineRule="auto"/>
              <w:jc w:val="center"/>
              <w:rPr>
                <w:rFonts w:hint="eastAsia" w:ascii="宋体" w:hAnsi="宋体" w:cs="宋体"/>
                <w:highlight w:val="none"/>
                <w:lang w:eastAsia="zh-Hans"/>
              </w:rPr>
            </w:pPr>
            <w:r>
              <w:rPr>
                <w:rFonts w:hint="eastAsia" w:ascii="宋体" w:hAnsi="宋体" w:cs="宋体"/>
                <w:b/>
                <w:sz w:val="24"/>
                <w:highlight w:val="none"/>
                <w:lang w:eastAsia="zh-Hans"/>
              </w:rPr>
              <w:t>（人民币</w:t>
            </w:r>
            <w:r>
              <w:rPr>
                <w:rFonts w:hint="eastAsia" w:ascii="宋体" w:hAnsi="宋体" w:cs="宋体"/>
                <w:b/>
                <w:sz w:val="24"/>
                <w:highlight w:val="none"/>
              </w:rPr>
              <w:t>万</w:t>
            </w:r>
            <w:r>
              <w:rPr>
                <w:rFonts w:hint="eastAsia" w:ascii="宋体" w:hAnsi="宋体" w:cs="宋体"/>
                <w:b/>
                <w:sz w:val="24"/>
                <w:highlight w:val="none"/>
                <w:lang w:eastAsia="zh-Hans"/>
              </w:rPr>
              <w:t>元/年）</w:t>
            </w:r>
          </w:p>
        </w:tc>
        <w:tc>
          <w:tcPr>
            <w:tcW w:w="2055" w:type="pct"/>
            <w:tcBorders>
              <w:top w:val="single" w:color="000000" w:sz="8" w:space="0"/>
              <w:left w:val="single" w:color="000000" w:sz="4" w:space="0"/>
              <w:bottom w:val="single" w:color="000000" w:sz="4" w:space="0"/>
              <w:right w:val="single" w:color="000000" w:sz="8" w:space="0"/>
            </w:tcBorders>
            <w:shd w:val="clear" w:color="auto" w:fill="EEECE1"/>
            <w:tcMar>
              <w:top w:w="0" w:type="dxa"/>
              <w:left w:w="105" w:type="dxa"/>
              <w:bottom w:w="0" w:type="dxa"/>
              <w:right w:w="105" w:type="dxa"/>
            </w:tcMar>
            <w:vAlign w:val="center"/>
          </w:tcPr>
          <w:p w14:paraId="06485B21">
            <w:pPr>
              <w:spacing w:line="360" w:lineRule="auto"/>
              <w:jc w:val="center"/>
              <w:rPr>
                <w:rFonts w:hint="eastAsia" w:ascii="宋体" w:hAnsi="宋体" w:cs="宋体"/>
                <w:highlight w:val="none"/>
                <w:lang w:eastAsia="zh-Hans"/>
              </w:rPr>
            </w:pPr>
            <w:r>
              <w:rPr>
                <w:rFonts w:hint="eastAsia" w:ascii="宋体" w:hAnsi="宋体" w:cs="宋体"/>
                <w:b/>
                <w:sz w:val="24"/>
                <w:highlight w:val="none"/>
                <w:lang w:eastAsia="zh-Hans"/>
              </w:rPr>
              <w:t>能源托管基准量</w:t>
            </w:r>
          </w:p>
        </w:tc>
      </w:tr>
      <w:tr w14:paraId="05DFBD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2" w:type="pct"/>
            <w:tcBorders>
              <w:top w:val="single" w:color="000000" w:sz="4" w:space="0"/>
              <w:left w:val="single" w:color="000000" w:sz="8" w:space="0"/>
              <w:bottom w:val="single" w:color="000000" w:sz="8" w:space="0"/>
              <w:right w:val="single" w:color="000000" w:sz="4" w:space="0"/>
            </w:tcBorders>
            <w:tcMar>
              <w:top w:w="0" w:type="dxa"/>
              <w:left w:w="105" w:type="dxa"/>
              <w:bottom w:w="0" w:type="dxa"/>
              <w:right w:w="105" w:type="dxa"/>
            </w:tcMar>
            <w:vAlign w:val="center"/>
          </w:tcPr>
          <w:p w14:paraId="78193155">
            <w:pPr>
              <w:spacing w:line="360" w:lineRule="auto"/>
              <w:jc w:val="center"/>
              <w:rPr>
                <w:rFonts w:hint="eastAsia" w:ascii="宋体" w:hAnsi="宋体" w:cs="宋体"/>
                <w:highlight w:val="none"/>
              </w:rPr>
            </w:pPr>
            <w:r>
              <w:rPr>
                <w:rFonts w:hint="eastAsia" w:ascii="宋体" w:hAnsi="宋体" w:cs="宋体"/>
                <w:sz w:val="24"/>
                <w:szCs w:val="24"/>
                <w:highlight w:val="none"/>
              </w:rPr>
              <w:t>大丰区公共机构能源费用托管项目</w:t>
            </w:r>
          </w:p>
        </w:tc>
        <w:tc>
          <w:tcPr>
            <w:tcW w:w="373" w:type="pct"/>
            <w:tcBorders>
              <w:top w:val="single" w:color="000000" w:sz="4" w:space="0"/>
              <w:left w:val="single" w:color="000000" w:sz="4" w:space="0"/>
              <w:bottom w:val="single" w:color="000000" w:sz="8" w:space="0"/>
              <w:right w:val="single" w:color="000000" w:sz="4" w:space="0"/>
            </w:tcBorders>
            <w:tcMar>
              <w:top w:w="0" w:type="dxa"/>
              <w:left w:w="105" w:type="dxa"/>
              <w:bottom w:w="0" w:type="dxa"/>
              <w:right w:w="105" w:type="dxa"/>
            </w:tcMar>
            <w:vAlign w:val="center"/>
          </w:tcPr>
          <w:p w14:paraId="687C52E4">
            <w:pPr>
              <w:spacing w:line="360" w:lineRule="auto"/>
              <w:jc w:val="center"/>
              <w:rPr>
                <w:rFonts w:hint="eastAsia" w:ascii="宋体" w:hAnsi="宋体" w:cs="宋体"/>
                <w:highlight w:val="none"/>
                <w:lang w:eastAsia="zh-Hans"/>
              </w:rPr>
            </w:pPr>
            <w:r>
              <w:rPr>
                <w:rFonts w:hint="eastAsia" w:ascii="宋体" w:hAnsi="宋体" w:cs="宋体"/>
                <w:sz w:val="24"/>
                <w:highlight w:val="none"/>
                <w:lang w:eastAsia="zh-Hans"/>
              </w:rPr>
              <w:t>1项</w:t>
            </w:r>
          </w:p>
        </w:tc>
        <w:tc>
          <w:tcPr>
            <w:tcW w:w="398" w:type="pct"/>
            <w:tcBorders>
              <w:top w:val="single" w:color="000000" w:sz="4" w:space="0"/>
              <w:left w:val="single" w:color="000000" w:sz="4" w:space="0"/>
              <w:bottom w:val="single" w:color="000000" w:sz="8" w:space="0"/>
              <w:right w:val="single" w:color="000000" w:sz="4" w:space="0"/>
            </w:tcBorders>
            <w:tcMar>
              <w:top w:w="0" w:type="dxa"/>
              <w:left w:w="105" w:type="dxa"/>
              <w:bottom w:w="0" w:type="dxa"/>
              <w:right w:w="105" w:type="dxa"/>
            </w:tcMar>
            <w:vAlign w:val="center"/>
          </w:tcPr>
          <w:p w14:paraId="68673AC3">
            <w:pPr>
              <w:spacing w:line="360" w:lineRule="auto"/>
              <w:jc w:val="center"/>
              <w:rPr>
                <w:rFonts w:hint="eastAsia" w:ascii="宋体" w:hAnsi="宋体" w:cs="宋体"/>
                <w:highlight w:val="none"/>
                <w:lang w:eastAsia="zh-Hans"/>
              </w:rPr>
            </w:pPr>
            <w:r>
              <w:rPr>
                <w:rFonts w:hint="eastAsia" w:ascii="宋体" w:hAnsi="宋体" w:cs="宋体"/>
                <w:sz w:val="24"/>
                <w:highlight w:val="none"/>
              </w:rPr>
              <w:t>1</w:t>
            </w:r>
            <w:r>
              <w:rPr>
                <w:rFonts w:hint="eastAsia" w:ascii="宋体" w:hAnsi="宋体" w:cs="宋体"/>
                <w:sz w:val="24"/>
                <w:highlight w:val="none"/>
                <w:lang w:eastAsia="zh-Hans"/>
              </w:rPr>
              <w:t>年</w:t>
            </w:r>
          </w:p>
        </w:tc>
        <w:tc>
          <w:tcPr>
            <w:tcW w:w="447" w:type="pct"/>
            <w:tcBorders>
              <w:top w:val="single" w:color="000000" w:sz="4" w:space="0"/>
              <w:left w:val="single" w:color="000000" w:sz="4" w:space="0"/>
              <w:bottom w:val="single" w:color="000000" w:sz="8" w:space="0"/>
              <w:right w:val="single" w:color="000000" w:sz="4" w:space="0"/>
            </w:tcBorders>
            <w:tcMar>
              <w:top w:w="0" w:type="dxa"/>
              <w:left w:w="105" w:type="dxa"/>
              <w:bottom w:w="0" w:type="dxa"/>
              <w:right w:w="105" w:type="dxa"/>
            </w:tcMar>
            <w:vAlign w:val="center"/>
          </w:tcPr>
          <w:p w14:paraId="1BF3C708">
            <w:pPr>
              <w:spacing w:line="360" w:lineRule="auto"/>
              <w:jc w:val="center"/>
              <w:rPr>
                <w:rFonts w:hint="eastAsia" w:ascii="宋体" w:hAnsi="宋体" w:cs="宋体"/>
                <w:highlight w:val="none"/>
                <w:lang w:eastAsia="zh-Hans"/>
              </w:rPr>
            </w:pPr>
            <w:r>
              <w:rPr>
                <w:rFonts w:hint="eastAsia" w:ascii="宋体" w:hAnsi="宋体" w:cs="宋体"/>
                <w:sz w:val="24"/>
                <w:highlight w:val="none"/>
                <w:lang w:eastAsia="zh-Hans"/>
              </w:rPr>
              <w:t>10年</w:t>
            </w:r>
          </w:p>
        </w:tc>
        <w:tc>
          <w:tcPr>
            <w:tcW w:w="1132" w:type="pct"/>
            <w:tcBorders>
              <w:top w:val="single" w:color="000000" w:sz="4" w:space="0"/>
              <w:left w:val="single" w:color="000000" w:sz="4" w:space="0"/>
              <w:bottom w:val="single" w:color="000000" w:sz="8" w:space="0"/>
              <w:right w:val="single" w:color="000000" w:sz="4" w:space="0"/>
            </w:tcBorders>
            <w:tcMar>
              <w:top w:w="0" w:type="dxa"/>
              <w:left w:w="105" w:type="dxa"/>
              <w:bottom w:w="0" w:type="dxa"/>
              <w:right w:w="105" w:type="dxa"/>
            </w:tcMar>
            <w:vAlign w:val="center"/>
          </w:tcPr>
          <w:p w14:paraId="53E69ECF">
            <w:pPr>
              <w:spacing w:line="360" w:lineRule="auto"/>
              <w:jc w:val="center"/>
              <w:rPr>
                <w:rFonts w:hint="eastAsia" w:ascii="宋体" w:hAnsi="宋体" w:cs="宋体"/>
                <w:sz w:val="32"/>
                <w:szCs w:val="32"/>
                <w:highlight w:val="none"/>
              </w:rPr>
            </w:pPr>
            <w:r>
              <w:rPr>
                <w:rFonts w:ascii="宋体" w:hAnsi="宋体" w:cs="宋体"/>
                <w:sz w:val="28"/>
                <w:szCs w:val="28"/>
                <w:highlight w:val="none"/>
              </w:rPr>
              <w:t>5352.8824</w:t>
            </w:r>
          </w:p>
        </w:tc>
        <w:tc>
          <w:tcPr>
            <w:tcW w:w="2055" w:type="pct"/>
            <w:tcBorders>
              <w:top w:val="single" w:color="000000" w:sz="4" w:space="0"/>
              <w:left w:val="single" w:color="000000" w:sz="4" w:space="0"/>
              <w:bottom w:val="single" w:color="000000" w:sz="8" w:space="0"/>
              <w:right w:val="single" w:color="000000" w:sz="8" w:space="0"/>
            </w:tcBorders>
            <w:tcMar>
              <w:top w:w="0" w:type="dxa"/>
              <w:left w:w="105" w:type="dxa"/>
              <w:bottom w:w="0" w:type="dxa"/>
              <w:right w:w="105" w:type="dxa"/>
            </w:tcMar>
            <w:vAlign w:val="center"/>
          </w:tcPr>
          <w:p w14:paraId="1DD040B7">
            <w:pPr>
              <w:spacing w:line="360" w:lineRule="auto"/>
              <w:jc w:val="center"/>
              <w:rPr>
                <w:rFonts w:hint="eastAsia" w:ascii="宋体" w:hAnsi="宋体" w:cs="宋体"/>
                <w:sz w:val="24"/>
                <w:highlight w:val="none"/>
                <w:lang w:eastAsia="zh-Hans"/>
              </w:rPr>
            </w:pPr>
            <w:r>
              <w:rPr>
                <w:rFonts w:hint="eastAsia" w:ascii="宋体" w:hAnsi="宋体" w:cs="宋体"/>
                <w:sz w:val="24"/>
                <w:highlight w:val="none"/>
                <w:lang w:eastAsia="zh-Hans"/>
              </w:rPr>
              <w:t>能源托管基准</w:t>
            </w:r>
            <w:r>
              <w:rPr>
                <w:rFonts w:hint="eastAsia" w:ascii="宋体" w:hAnsi="宋体" w:cs="宋体"/>
                <w:b/>
                <w:sz w:val="24"/>
                <w:highlight w:val="none"/>
                <w:lang w:eastAsia="zh-Hans"/>
              </w:rPr>
              <w:t>量</w:t>
            </w:r>
            <w:r>
              <w:rPr>
                <w:rFonts w:hint="eastAsia" w:ascii="宋体" w:hAnsi="宋体" w:cs="宋体"/>
                <w:sz w:val="24"/>
                <w:highlight w:val="none"/>
                <w:lang w:eastAsia="zh-Hans"/>
              </w:rPr>
              <w:t>：</w:t>
            </w:r>
          </w:p>
          <w:p w14:paraId="699F228F">
            <w:pPr>
              <w:spacing w:line="360" w:lineRule="auto"/>
              <w:jc w:val="center"/>
              <w:rPr>
                <w:rFonts w:hint="eastAsia" w:ascii="宋体" w:hAnsi="宋体" w:cs="宋体"/>
                <w:sz w:val="24"/>
                <w:highlight w:val="none"/>
                <w:lang w:eastAsia="zh-Hans"/>
              </w:rPr>
            </w:pPr>
            <w:r>
              <w:rPr>
                <w:rFonts w:hint="eastAsia" w:ascii="宋体" w:hAnsi="宋体" w:cs="宋体"/>
                <w:sz w:val="24"/>
                <w:highlight w:val="none"/>
              </w:rPr>
              <w:t>电：70649896</w:t>
            </w:r>
            <w:r>
              <w:rPr>
                <w:rFonts w:hint="eastAsia" w:ascii="宋体" w:hAnsi="宋体" w:cs="宋体"/>
                <w:sz w:val="24"/>
                <w:highlight w:val="none"/>
                <w:lang w:eastAsia="zh-Hans"/>
              </w:rPr>
              <w:t>千瓦时/年；</w:t>
            </w:r>
          </w:p>
          <w:p w14:paraId="1715F2F7">
            <w:pPr>
              <w:spacing w:line="360" w:lineRule="auto"/>
              <w:jc w:val="center"/>
              <w:rPr>
                <w:rFonts w:hint="eastAsia" w:ascii="宋体" w:hAnsi="宋体" w:cs="宋体"/>
                <w:sz w:val="24"/>
                <w:highlight w:val="none"/>
              </w:rPr>
            </w:pPr>
            <w:r>
              <w:rPr>
                <w:rFonts w:hint="eastAsia" w:ascii="宋体" w:hAnsi="宋体" w:cs="宋体"/>
                <w:sz w:val="24"/>
                <w:highlight w:val="none"/>
              </w:rPr>
              <w:t>水：1592748m³/年</w:t>
            </w:r>
            <w:r>
              <w:rPr>
                <w:rFonts w:hint="eastAsia" w:ascii="宋体" w:hAnsi="宋体" w:cs="宋体"/>
                <w:sz w:val="24"/>
                <w:highlight w:val="none"/>
                <w:lang w:eastAsia="zh-Hans"/>
              </w:rPr>
              <w:t>；</w:t>
            </w:r>
          </w:p>
          <w:p w14:paraId="5954942B">
            <w:pPr>
              <w:spacing w:line="360" w:lineRule="auto"/>
              <w:jc w:val="center"/>
              <w:rPr>
                <w:rFonts w:hint="eastAsia" w:ascii="宋体" w:hAnsi="宋体" w:cs="宋体"/>
                <w:highlight w:val="none"/>
                <w:lang w:eastAsia="zh-Hans"/>
              </w:rPr>
            </w:pPr>
            <w:r>
              <w:rPr>
                <w:rFonts w:hint="eastAsia" w:ascii="宋体" w:hAnsi="宋体" w:cs="宋体"/>
                <w:sz w:val="24"/>
                <w:highlight w:val="none"/>
              </w:rPr>
              <w:t>气：697634m³/年</w:t>
            </w:r>
            <w:r>
              <w:rPr>
                <w:rFonts w:hint="eastAsia" w:ascii="宋体" w:hAnsi="宋体" w:cs="宋体"/>
                <w:sz w:val="24"/>
                <w:highlight w:val="none"/>
                <w:lang w:eastAsia="zh-Hans"/>
              </w:rPr>
              <w:t>；</w:t>
            </w:r>
          </w:p>
        </w:tc>
      </w:tr>
    </w:tbl>
    <w:p w14:paraId="2897D273">
      <w:pPr>
        <w:spacing w:line="360" w:lineRule="auto"/>
        <w:ind w:firstLine="480" w:firstLineChars="200"/>
        <w:rPr>
          <w:rFonts w:hint="eastAsia" w:ascii="宋体" w:hAnsi="宋体" w:cs="宋体"/>
          <w:sz w:val="24"/>
          <w:szCs w:val="24"/>
          <w:highlight w:val="none"/>
        </w:rPr>
      </w:pPr>
    </w:p>
    <w:p w14:paraId="7002B1A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服务期（合同履行期限）及内容:本项目托管期为120个自然月[能源托管期的前12个自然月为项目筹备期（含节能改造期）]，托管服务范围包含：水电气能源费用托收、能源管理一张网软件平台建设、综合节能改造（含计量控制、设备更新改造、分布式光伏等）、运行维护管理、市场化购电服务、碳资产管理等。</w:t>
      </w:r>
    </w:p>
    <w:p w14:paraId="0477803B">
      <w:pPr>
        <w:spacing w:line="360" w:lineRule="auto"/>
        <w:ind w:firstLine="482" w:firstLineChars="200"/>
        <w:rPr>
          <w:rFonts w:hint="eastAsia" w:ascii="宋体" w:hAnsi="宋体" w:cs="宋体"/>
          <w:sz w:val="24"/>
          <w:szCs w:val="24"/>
          <w:highlight w:val="none"/>
        </w:rPr>
      </w:pPr>
      <w:r>
        <w:rPr>
          <w:rFonts w:hint="eastAsia" w:ascii="宋体" w:hAnsi="宋体" w:cs="宋体"/>
          <w:b/>
          <w:bCs/>
          <w:sz w:val="24"/>
          <w:szCs w:val="24"/>
          <w:highlight w:val="none"/>
          <w:u w:val="single"/>
        </w:rPr>
        <w:t>节能目标：项目以6%节能率和10%碳排放量下降为考核基本目标</w:t>
      </w:r>
      <w:r>
        <w:rPr>
          <w:rFonts w:hint="eastAsia" w:ascii="宋体" w:hAnsi="宋体" w:cs="宋体"/>
          <w:sz w:val="24"/>
          <w:szCs w:val="24"/>
          <w:highlight w:val="none"/>
        </w:rPr>
        <w:t>。</w:t>
      </w:r>
    </w:p>
    <w:p w14:paraId="34F12AFF">
      <w:pPr>
        <w:spacing w:line="360" w:lineRule="auto"/>
        <w:ind w:firstLine="482"/>
        <w:outlineLvl w:val="1"/>
        <w:rPr>
          <w:rFonts w:hint="eastAsia" w:ascii="宋体" w:hAnsi="宋体"/>
          <w:b/>
          <w:sz w:val="24"/>
          <w:szCs w:val="24"/>
          <w:highlight w:val="none"/>
        </w:rPr>
      </w:pPr>
      <w:bookmarkStart w:id="183" w:name="_Toc1926427407"/>
      <w:r>
        <w:rPr>
          <w:rFonts w:hint="eastAsia" w:ascii="宋体" w:hAnsi="宋体"/>
          <w:b/>
          <w:sz w:val="24"/>
          <w:szCs w:val="24"/>
          <w:highlight w:val="none"/>
        </w:rPr>
        <w:t>2.1 分步实施与招标范围调整</w:t>
      </w:r>
      <w:bookmarkEnd w:id="183"/>
    </w:p>
    <w:p w14:paraId="60E56E77">
      <w:pPr>
        <w:spacing w:line="360" w:lineRule="auto"/>
        <w:ind w:firstLine="482"/>
        <w:outlineLvl w:val="1"/>
        <w:rPr>
          <w:rFonts w:hint="eastAsia" w:ascii="宋体" w:hAnsi="宋体"/>
          <w:bCs/>
          <w:sz w:val="24"/>
          <w:szCs w:val="24"/>
          <w:highlight w:val="none"/>
        </w:rPr>
      </w:pPr>
      <w:bookmarkStart w:id="184" w:name="_Toc2001967277"/>
      <w:r>
        <w:rPr>
          <w:rFonts w:hint="eastAsia" w:ascii="宋体" w:hAnsi="宋体"/>
          <w:b/>
          <w:sz w:val="24"/>
          <w:szCs w:val="24"/>
          <w:highlight w:val="none"/>
        </w:rPr>
        <w:t>2.1.1 分步实施原则</w:t>
      </w:r>
      <w:r>
        <w:rPr>
          <w:rFonts w:hint="eastAsia" w:ascii="宋体" w:hAnsi="宋体"/>
          <w:bCs/>
          <w:sz w:val="24"/>
          <w:szCs w:val="24"/>
          <w:highlight w:val="none"/>
        </w:rPr>
        <w:t>。</w:t>
      </w:r>
      <w:bookmarkEnd w:id="184"/>
    </w:p>
    <w:p w14:paraId="61018377">
      <w:pPr>
        <w:spacing w:line="360" w:lineRule="auto"/>
        <w:ind w:firstLine="482"/>
        <w:outlineLvl w:val="1"/>
        <w:rPr>
          <w:rFonts w:hint="eastAsia" w:ascii="宋体" w:hAnsi="宋体"/>
          <w:b/>
          <w:sz w:val="24"/>
          <w:szCs w:val="24"/>
          <w:highlight w:val="none"/>
        </w:rPr>
      </w:pPr>
      <w:bookmarkStart w:id="185" w:name="_Toc290243343"/>
      <w:r>
        <w:rPr>
          <w:rFonts w:hint="eastAsia" w:ascii="宋体" w:hAnsi="宋体"/>
          <w:bCs/>
          <w:sz w:val="24"/>
          <w:szCs w:val="24"/>
          <w:highlight w:val="none"/>
        </w:rPr>
        <w:t>本项目涉及公共机构数量多、分布广，为稳妥有序推进，项目采取分步实施方式。中标人应按照采购人制定的批次计划，分批完成各公共机构的平台接入、节能改造及验收工作，分批进入托管运行期。采购人有权根据实际情况调整各批次的实施顺序和时间节点，中标人应予以配合。</w:t>
      </w:r>
      <w:bookmarkEnd w:id="185"/>
      <w:r>
        <w:rPr>
          <w:rFonts w:hint="eastAsia" w:ascii="宋体" w:hAnsi="宋体"/>
          <w:b/>
          <w:sz w:val="24"/>
          <w:szCs w:val="24"/>
          <w:highlight w:val="none"/>
        </w:rPr>
        <w:tab/>
      </w:r>
      <w:bookmarkStart w:id="186" w:name="_Toc1184503464"/>
      <w:r>
        <w:rPr>
          <w:rFonts w:hint="eastAsia" w:ascii="宋体" w:hAnsi="宋体"/>
          <w:b/>
          <w:sz w:val="24"/>
          <w:szCs w:val="24"/>
          <w:highlight w:val="none"/>
        </w:rPr>
        <w:t>2.1.2 招标范围调整权。</w:t>
      </w:r>
      <w:bookmarkEnd w:id="186"/>
    </w:p>
    <w:p w14:paraId="308E66DA">
      <w:pPr>
        <w:spacing w:line="360" w:lineRule="auto"/>
        <w:ind w:firstLine="482"/>
        <w:outlineLvl w:val="1"/>
        <w:rPr>
          <w:rFonts w:hint="eastAsia" w:ascii="宋体" w:hAnsi="宋体"/>
          <w:b/>
          <w:sz w:val="24"/>
          <w:szCs w:val="24"/>
          <w:highlight w:val="none"/>
        </w:rPr>
      </w:pPr>
      <w:bookmarkStart w:id="187" w:name="_Toc776311758"/>
      <w:r>
        <w:rPr>
          <w:rFonts w:hint="eastAsia" w:ascii="宋体" w:hAnsi="宋体"/>
          <w:bCs/>
          <w:sz w:val="24"/>
          <w:szCs w:val="24"/>
          <w:highlight w:val="none"/>
        </w:rPr>
        <w:t>采购人保留根据财政资金安排、各公共机构实际用能状况等因素，对纳入托管范围的公共机构数量或分布式光伏建设规模作适当调整的权利。调整方案应提前书面告知中标人，双方按合同约定的用能边界变化核定与结算条款协商处理。</w:t>
      </w:r>
      <w:bookmarkEnd w:id="187"/>
    </w:p>
    <w:p w14:paraId="2B54F5BF">
      <w:pPr>
        <w:spacing w:line="360" w:lineRule="auto"/>
        <w:ind w:firstLine="482" w:firstLineChars="200"/>
        <w:rPr>
          <w:rFonts w:hint="eastAsia" w:ascii="宋体" w:hAnsi="宋体" w:cs="宋体"/>
          <w:b/>
          <w:sz w:val="24"/>
          <w:szCs w:val="24"/>
          <w:highlight w:val="none"/>
        </w:rPr>
      </w:pPr>
      <w:r>
        <w:rPr>
          <w:rFonts w:hint="eastAsia" w:ascii="宋体" w:hAnsi="宋体" w:cs="宋体"/>
          <w:b/>
          <w:bCs/>
          <w:sz w:val="24"/>
          <w:szCs w:val="24"/>
          <w:highlight w:val="none"/>
        </w:rPr>
        <w:t>2.2</w:t>
      </w:r>
      <w:r>
        <w:rPr>
          <w:rFonts w:hint="eastAsia" w:ascii="宋体" w:hAnsi="宋体" w:cs="宋体"/>
          <w:b/>
          <w:sz w:val="24"/>
          <w:szCs w:val="24"/>
          <w:highlight w:val="none"/>
        </w:rPr>
        <w:t>水电气能源费用缴纳</w:t>
      </w:r>
    </w:p>
    <w:p w14:paraId="049FB77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各公共机构能源托管费用的计算方式如下：以经专家论证通过的审计报告所核定的月用能量为基础，乘以当月的国家电网代购电价及其他能源资源供应商实际能源资源单价，再乘以约定的中标结算系数（K），其中中标结算系数（K）=本次中标方投标报价除以采购预算价</w:t>
      </w:r>
      <w:r>
        <w:rPr>
          <w:rFonts w:ascii="宋体" w:hAnsi="宋体" w:cs="宋体"/>
          <w:sz w:val="24"/>
          <w:szCs w:val="24"/>
          <w:highlight w:val="none"/>
        </w:rPr>
        <w:t>53528</w:t>
      </w:r>
      <w:r>
        <w:rPr>
          <w:rFonts w:hint="eastAsia" w:ascii="宋体" w:hAnsi="宋体" w:cs="宋体"/>
          <w:sz w:val="24"/>
          <w:szCs w:val="24"/>
          <w:highlight w:val="none"/>
        </w:rPr>
        <w:t>.</w:t>
      </w:r>
      <w:r>
        <w:rPr>
          <w:rFonts w:ascii="宋体" w:hAnsi="宋体" w:cs="宋体"/>
          <w:sz w:val="24"/>
          <w:szCs w:val="24"/>
          <w:highlight w:val="none"/>
        </w:rPr>
        <w:t>824</w:t>
      </w:r>
      <w:r>
        <w:rPr>
          <w:rFonts w:hint="eastAsia" w:ascii="宋体" w:hAnsi="宋体" w:cs="宋体"/>
          <w:sz w:val="24"/>
          <w:szCs w:val="24"/>
          <w:highlight w:val="none"/>
        </w:rPr>
        <w:t>万元（保留小数点后4位），最终得出每月应付费用，为方便描述，本招标文件统一用“K”描述。</w:t>
      </w:r>
    </w:p>
    <w:p w14:paraId="5BF111F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各公共机构费用支付年限为10年，</w:t>
      </w:r>
      <w:r>
        <w:rPr>
          <w:rFonts w:hint="eastAsia" w:ascii="宋体" w:hAnsi="宋体" w:cs="宋体"/>
          <w:b/>
          <w:sz w:val="24"/>
          <w:szCs w:val="24"/>
          <w:highlight w:val="none"/>
          <w:u w:val="single"/>
        </w:rPr>
        <w:t>费用按月次月支付</w:t>
      </w:r>
      <w:r>
        <w:rPr>
          <w:rFonts w:hint="eastAsia" w:ascii="宋体" w:hAnsi="宋体" w:cs="宋体"/>
          <w:sz w:val="24"/>
          <w:szCs w:val="24"/>
          <w:highlight w:val="none"/>
        </w:rPr>
        <w:t>。支付须满足以下前提条件：该机构“一张网”平台接入验收合格、节能技术改造及设备更新（如有）完成，项目已正式进入托管运行期。</w:t>
      </w:r>
      <w:r>
        <w:rPr>
          <w:rFonts w:hint="eastAsia" w:ascii="宋体" w:hAnsi="宋体" w:cs="宋体"/>
          <w:sz w:val="24"/>
          <w:szCs w:val="24"/>
          <w:highlight w:val="none"/>
          <w:u w:val="single"/>
        </w:rPr>
        <w:t>（涉及到光伏系统建设的公共机构，光伏部分的合作年限为25年）</w:t>
      </w:r>
    </w:p>
    <w:p w14:paraId="6106C7E1">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2.3能源管理“一张网”软件平台建设</w:t>
      </w:r>
    </w:p>
    <w:p w14:paraId="7040FD40">
      <w:pPr>
        <w:spacing w:line="360" w:lineRule="auto"/>
        <w:ind w:firstLine="480" w:firstLineChars="200"/>
        <w:rPr>
          <w:rFonts w:hint="eastAsia" w:ascii="宋体" w:hAnsi="宋体" w:cs="宋体"/>
          <w:sz w:val="24"/>
          <w:szCs w:val="32"/>
          <w:highlight w:val="none"/>
        </w:rPr>
      </w:pPr>
      <w:r>
        <w:rPr>
          <w:rFonts w:hint="eastAsia" w:ascii="宋体" w:hAnsi="宋体" w:cs="宋体"/>
          <w:sz w:val="24"/>
          <w:szCs w:val="32"/>
          <w:highlight w:val="none"/>
        </w:rPr>
        <w:t>利用物联网、大数据、人工智能技术，通过构建公共机构节能管理信息化“一张网”平台，实时采集公共机构能耗数据、设备设施运行数据、能源消费行为数据，并对采集的数据进行分析、评估、建模，通过AI算法优化控制设备的运行，确保在满足正常办公需求的前提下，减少或避免能源浪费，最高效使用能源。通过“一张网”平台将能耗统计、绩效评优等工作由线下转至线上，由系统实时采集数据完成能耗统计工作，对统计数据进行分析辅助主管部门开展节约型公共机构等示范评选评优工作。一张网平台建设具体要求参见技术要求部分。</w:t>
      </w:r>
    </w:p>
    <w:p w14:paraId="2B329512">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2.4</w:t>
      </w:r>
      <w:r>
        <w:rPr>
          <w:rFonts w:hint="eastAsia" w:ascii="宋体" w:hAnsi="宋体" w:cs="宋体"/>
          <w:b/>
          <w:sz w:val="24"/>
          <w:szCs w:val="24"/>
          <w:highlight w:val="none"/>
        </w:rPr>
        <w:t>综合节能改造</w:t>
      </w:r>
    </w:p>
    <w:p w14:paraId="5EEB10F0">
      <w:pPr>
        <w:spacing w:line="360" w:lineRule="auto"/>
        <w:ind w:left="482" w:firstLine="480"/>
        <w:rPr>
          <w:rFonts w:hint="eastAsia" w:ascii="宋体" w:hAnsi="宋体" w:cs="宋体"/>
          <w:b/>
          <w:bCs/>
          <w:sz w:val="24"/>
          <w:szCs w:val="24"/>
          <w:highlight w:val="none"/>
        </w:rPr>
      </w:pPr>
      <w:r>
        <w:rPr>
          <w:rFonts w:ascii="Segoe UI Symbol" w:hAnsi="Segoe UI Symbol" w:cs="Segoe UI Symbol"/>
          <w:color w:val="000000"/>
          <w:sz w:val="24"/>
          <w:highlight w:val="none"/>
        </w:rPr>
        <w:t>★</w:t>
      </w:r>
      <w:r>
        <w:rPr>
          <w:rFonts w:hint="eastAsia" w:ascii="宋体" w:hAnsi="宋体" w:cs="宋体"/>
          <w:b/>
          <w:bCs/>
          <w:sz w:val="24"/>
          <w:szCs w:val="24"/>
          <w:highlight w:val="none"/>
        </w:rPr>
        <w:t>2.3.1节能改造经费要求</w:t>
      </w:r>
    </w:p>
    <w:p w14:paraId="709E187E">
      <w:pPr>
        <w:spacing w:line="360" w:lineRule="auto"/>
        <w:ind w:firstLine="1124" w:firstLineChars="400"/>
        <w:rPr>
          <w:rFonts w:hint="eastAsia" w:ascii="宋体" w:hAnsi="宋体" w:eastAsia="宋体" w:cs="宋体"/>
          <w:b/>
          <w:bCs w:val="0"/>
          <w:sz w:val="24"/>
          <w:szCs w:val="24"/>
          <w:highlight w:val="yellow"/>
          <w:lang w:eastAsia="zh-CN"/>
        </w:rPr>
      </w:pPr>
      <w:r>
        <w:rPr>
          <w:rFonts w:hint="eastAsia" w:ascii="宋体" w:hAnsi="宋体" w:cs="宋体"/>
          <w:b/>
          <w:bCs w:val="0"/>
          <w:i/>
          <w:iCs/>
          <w:sz w:val="28"/>
          <w:szCs w:val="28"/>
          <w:highlight w:val="yellow"/>
        </w:rPr>
        <w:t>投标人须承诺在本项目节能改造部分，节能改造费用不得低于人民币5000万元</w:t>
      </w:r>
      <w:r>
        <w:rPr>
          <w:rFonts w:hint="eastAsia" w:ascii="宋体" w:hAnsi="宋体" w:cs="宋体"/>
          <w:b/>
          <w:bCs w:val="0"/>
          <w:i/>
          <w:iCs/>
          <w:sz w:val="28"/>
          <w:szCs w:val="28"/>
          <w:highlight w:val="yellow"/>
          <w:lang w:eastAsia="zh-CN"/>
        </w:rPr>
        <w:t>。</w:t>
      </w:r>
    </w:p>
    <w:p w14:paraId="3A06BC17">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2.4.1计量和控制</w:t>
      </w:r>
    </w:p>
    <w:p w14:paraId="236C431B">
      <w:pPr>
        <w:spacing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中标供应商在公共机构现场安装能源计量和控制设备，实现用电计量、用水计量、公共照明回路控制、开水器控制、空调末端控制、冷热源机房控制等内容，具体计量和控制颗粒度要求参见技术要求章节。</w:t>
      </w:r>
    </w:p>
    <w:p w14:paraId="61EEC919">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2.4.2设备更新改造</w:t>
      </w:r>
    </w:p>
    <w:p w14:paraId="1ABF918C">
      <w:pPr>
        <w:spacing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中标供应商需根据各公共机构供能系统和用能系统实际情况，实施包括：绿色照明替换、暖通空调设备更新、分布式光伏、空气源热水替代等一系列综合节能改造，降低整体能源消耗。中标人需紧跟市场相关节能设备和技术的迭代更新，选择技术先进、稳定可靠的主流节能技术产品，促进各公共机构持续保持高能效水平。</w:t>
      </w:r>
    </w:p>
    <w:p w14:paraId="198C4D17">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2.4.3分布式光伏建设</w:t>
      </w:r>
    </w:p>
    <w:p w14:paraId="565D0CCE">
      <w:pPr>
        <w:spacing w:line="360" w:lineRule="auto"/>
        <w:ind w:firstLine="480" w:firstLineChars="200"/>
        <w:rPr>
          <w:rFonts w:hint="eastAsia" w:ascii="宋体" w:hAnsi="宋体" w:cs="宋体"/>
          <w:bCs/>
          <w:sz w:val="24"/>
          <w:szCs w:val="24"/>
          <w:highlight w:val="none"/>
          <w:u w:val="single"/>
        </w:rPr>
      </w:pPr>
      <w:r>
        <w:rPr>
          <w:rFonts w:hint="eastAsia" w:ascii="宋体" w:hAnsi="宋体" w:cs="宋体"/>
          <w:bCs/>
          <w:sz w:val="24"/>
          <w:szCs w:val="24"/>
          <w:highlight w:val="none"/>
        </w:rPr>
        <w:t>中标供应商根据各公共机构空闲屋顶资源及绿电消纳情况，建设分布式光伏系统。</w:t>
      </w:r>
      <w:r>
        <w:rPr>
          <w:rFonts w:hint="eastAsia" w:ascii="宋体" w:hAnsi="宋体" w:cs="宋体"/>
          <w:bCs/>
          <w:sz w:val="24"/>
          <w:szCs w:val="24"/>
          <w:highlight w:val="none"/>
          <w:u w:val="single"/>
        </w:rPr>
        <w:t>光伏合同周期为25年，托管期结束后的后15年，光伏发电量按当期国网代购电价9折售卖给各公共机构。</w:t>
      </w:r>
    </w:p>
    <w:p w14:paraId="16C009ED">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2.5</w:t>
      </w:r>
      <w:r>
        <w:rPr>
          <w:rFonts w:hint="eastAsia" w:ascii="宋体" w:hAnsi="宋体" w:cs="宋体"/>
          <w:b/>
          <w:sz w:val="24"/>
          <w:szCs w:val="24"/>
          <w:highlight w:val="none"/>
        </w:rPr>
        <w:t>运行维护管理</w:t>
      </w:r>
    </w:p>
    <w:p w14:paraId="5CEEE2E2">
      <w:pPr>
        <w:spacing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中标人应在大丰区组建本地化服务团队通过聚合资源、统筹规划，制定完备的用能管理制度和运营服务制度，开展精细化能源管理。中标人须承诺安排不少于5名专业能效管家驻场开展管理工作。对投入改造的软硬件产品进行维护，确保能源管理“一张网”平台安全、可靠运行，并优化运行管控策略，按季度提供运行分析报告。</w:t>
      </w:r>
    </w:p>
    <w:p w14:paraId="4BE85B8D">
      <w:pPr>
        <w:spacing w:line="360" w:lineRule="auto"/>
        <w:ind w:firstLine="482" w:firstLineChars="200"/>
        <w:rPr>
          <w:rFonts w:hint="eastAsia" w:ascii="宋体" w:hAnsi="宋体" w:cs="宋体"/>
          <w:b/>
          <w:sz w:val="24"/>
          <w:szCs w:val="24"/>
          <w:highlight w:val="none"/>
          <w:u w:val="single"/>
        </w:rPr>
      </w:pPr>
      <w:r>
        <w:rPr>
          <w:rFonts w:hint="eastAsia" w:ascii="宋体" w:hAnsi="宋体" w:cs="宋体"/>
          <w:b/>
          <w:sz w:val="24"/>
          <w:szCs w:val="24"/>
          <w:highlight w:val="none"/>
          <w:u w:val="single"/>
        </w:rPr>
        <w:t>定期能源审计</w:t>
      </w:r>
    </w:p>
    <w:p w14:paraId="7284F300">
      <w:pPr>
        <w:spacing w:line="360" w:lineRule="auto"/>
        <w:ind w:firstLine="482" w:firstLineChars="200"/>
        <w:rPr>
          <w:rFonts w:hint="eastAsia" w:ascii="宋体" w:hAnsi="宋体" w:cs="宋体"/>
          <w:b/>
          <w:sz w:val="24"/>
          <w:szCs w:val="24"/>
          <w:highlight w:val="none"/>
          <w:u w:val="single"/>
        </w:rPr>
      </w:pPr>
      <w:r>
        <w:rPr>
          <w:rFonts w:hint="eastAsia" w:ascii="宋体" w:hAnsi="宋体" w:cs="宋体"/>
          <w:b/>
          <w:sz w:val="24"/>
          <w:szCs w:val="24"/>
          <w:highlight w:val="none"/>
          <w:u w:val="single"/>
        </w:rPr>
        <w:t>中标人应在项目运行满一年后、运行满五年后、和项目期结束前一个月,委托第三方能源审计单位结合“一张网”平台数据情况进行节能效果评估并如实向甲方提供审计报告，</w:t>
      </w:r>
      <w:r>
        <w:rPr>
          <w:rFonts w:ascii="宋体" w:hAnsi="宋体" w:cs="宋体"/>
          <w:b/>
          <w:bCs/>
          <w:sz w:val="24"/>
          <w:szCs w:val="24"/>
          <w:highlight w:val="none"/>
          <w:u w:val="single"/>
        </w:rPr>
        <w:t>审计费用由</w:t>
      </w:r>
      <w:r>
        <w:rPr>
          <w:rFonts w:hint="eastAsia" w:ascii="宋体" w:hAnsi="宋体" w:cs="宋体"/>
          <w:b/>
          <w:bCs/>
          <w:sz w:val="24"/>
          <w:szCs w:val="24"/>
          <w:highlight w:val="none"/>
          <w:u w:val="single"/>
        </w:rPr>
        <w:t>中标</w:t>
      </w:r>
      <w:r>
        <w:rPr>
          <w:rFonts w:ascii="宋体" w:hAnsi="宋体" w:cs="宋体"/>
          <w:b/>
          <w:bCs/>
          <w:sz w:val="24"/>
          <w:szCs w:val="24"/>
          <w:highlight w:val="none"/>
          <w:u w:val="single"/>
        </w:rPr>
        <w:t>方承担</w:t>
      </w:r>
      <w:r>
        <w:rPr>
          <w:rFonts w:hint="eastAsia" w:ascii="宋体" w:hAnsi="宋体" w:cs="宋体"/>
          <w:b/>
          <w:sz w:val="24"/>
          <w:szCs w:val="24"/>
          <w:highlight w:val="none"/>
          <w:u w:val="single"/>
        </w:rPr>
        <w:t>。</w:t>
      </w:r>
    </w:p>
    <w:p w14:paraId="461B0028">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2.6市场化售电服务</w:t>
      </w:r>
    </w:p>
    <w:p w14:paraId="1A724AAA">
      <w:pPr>
        <w:spacing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采购人委托中标人开展市场化售电服务。中标人需建立专业的电力交易服务团队，及时跟踪电力市场政策变化及价格波动，为采购人及下属单位提供电价走势分析、交易策略建议等服务；在电力供应紧张或市场异常时，需提前预警并制定应对方案，确保供电稳定。</w:t>
      </w:r>
    </w:p>
    <w:p w14:paraId="6F9851B2">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2.7碳资产及数据资产管理</w:t>
      </w:r>
    </w:p>
    <w:p w14:paraId="31C3CE8B">
      <w:pPr>
        <w:spacing w:line="360" w:lineRule="auto"/>
        <w:ind w:firstLine="482" w:firstLineChars="200"/>
        <w:rPr>
          <w:sz w:val="24"/>
          <w:szCs w:val="24"/>
          <w:highlight w:val="none"/>
        </w:rPr>
      </w:pPr>
      <w:r>
        <w:rPr>
          <w:rFonts w:hint="eastAsia"/>
          <w:b/>
          <w:bCs/>
          <w:sz w:val="24"/>
          <w:szCs w:val="24"/>
          <w:highlight w:val="none"/>
        </w:rPr>
        <w:t>碳资产：</w:t>
      </w:r>
      <w:r>
        <w:rPr>
          <w:rFonts w:hint="eastAsia"/>
          <w:sz w:val="24"/>
          <w:szCs w:val="24"/>
          <w:highlight w:val="none"/>
        </w:rPr>
        <w:t>根据《关于加快推行合同能源管理促进节能服务产业发展意见》、《关于鼓励和支持公共机构采用能源费用托管服务的意见》、《碳排放权交易管理暂行条例》、《温室气体自愿减排交易管理办法》、《公共机构碳排放核算指南》等文件规定。本项目要求托管单位依据国家法律法规积极开发和经营碳资产。</w:t>
      </w:r>
    </w:p>
    <w:p w14:paraId="32B40943">
      <w:pPr>
        <w:spacing w:line="360" w:lineRule="auto"/>
        <w:ind w:firstLine="482" w:firstLineChars="200"/>
        <w:rPr>
          <w:rFonts w:hint="eastAsia" w:ascii="宋体" w:hAnsi="宋体" w:cs="宋体"/>
          <w:bCs/>
          <w:sz w:val="24"/>
          <w:szCs w:val="24"/>
          <w:highlight w:val="none"/>
        </w:rPr>
      </w:pPr>
      <w:r>
        <w:rPr>
          <w:rFonts w:hint="eastAsia"/>
          <w:b/>
          <w:bCs/>
          <w:sz w:val="24"/>
          <w:szCs w:val="24"/>
          <w:highlight w:val="none"/>
        </w:rPr>
        <w:t>数据资产：</w:t>
      </w:r>
      <w:r>
        <w:rPr>
          <w:rFonts w:hint="eastAsia"/>
          <w:sz w:val="24"/>
          <w:szCs w:val="24"/>
          <w:highlight w:val="none"/>
        </w:rPr>
        <w:t>根据《关于构建数据基础制度更好发挥数据要素作用的意见》、《公共数据资源授权运营实施规范》等文件规定，乙方处理数据应遵守《数据安全法》及公共数据管理相关规定。依据持有权、使用权、经营权三权分置原则，原始能耗、运行以及消费数据的持有权归甲方所有，未经甲方授权，托管单位不得作为任何其他用途。在项目托管期内，托管单位拥有对原始数据采集、分析、建模、并应用于AI优化和应用的使用权，托管期结束后，使用权自然终止。关于数据经营权，托管单位可将脱敏、聚合、不能识别业主方信息的衍生数据、分析模型或行业数据集等用于其他经营用途。</w:t>
      </w:r>
    </w:p>
    <w:p w14:paraId="7FD2C07C">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2.8完成省级示范项目验收</w:t>
      </w:r>
    </w:p>
    <w:p w14:paraId="57EA309A">
      <w:pPr>
        <w:spacing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中标人应按照合同约定完成所有建设内容，并协助主管部门完成省级示范项目验收的所有技术支撑工作。</w:t>
      </w:r>
    </w:p>
    <w:p w14:paraId="2AA04F05">
      <w:pPr>
        <w:spacing w:line="360" w:lineRule="auto"/>
        <w:ind w:firstLine="482" w:firstLineChars="200"/>
        <w:rPr>
          <w:rFonts w:hint="eastAsia" w:ascii="宋体" w:hAnsi="宋体" w:cs="宋体"/>
          <w:b/>
          <w:sz w:val="24"/>
          <w:szCs w:val="24"/>
          <w:highlight w:val="none"/>
        </w:rPr>
      </w:pPr>
      <w:r>
        <w:rPr>
          <w:rFonts w:ascii="宋体" w:hAnsi="宋体" w:cs="宋体"/>
          <w:b/>
          <w:sz w:val="24"/>
          <w:szCs w:val="24"/>
          <w:highlight w:val="none"/>
        </w:rPr>
        <w:t>2.9 节能降碳目标</w:t>
      </w:r>
    </w:p>
    <w:p w14:paraId="714CE466">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本项目实施整区能源费用托管后，中标人应通过科学管理、技术改造、智慧管控等措施，确保全区公共机构整体节能降碳水平持续提升。具体量化目标如下：</w:t>
      </w:r>
    </w:p>
    <w:p w14:paraId="3BE5D497">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2.9.1 单位建筑面积能耗下降目标</w:t>
      </w:r>
    </w:p>
    <w:p w14:paraId="0BA4142C">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自全区公共机构整体进入托管运行期之日起，全区公共机构单位建筑面积能耗较基准期（2023-2025年平均水平）下降率不低于</w:t>
      </w:r>
      <w:r>
        <w:rPr>
          <w:rFonts w:hint="eastAsia" w:ascii="宋体" w:hAnsi="宋体" w:cs="宋体"/>
          <w:bCs/>
          <w:sz w:val="24"/>
          <w:szCs w:val="24"/>
          <w:highlight w:val="none"/>
        </w:rPr>
        <w:t>6</w:t>
      </w:r>
      <w:r>
        <w:rPr>
          <w:rFonts w:ascii="宋体" w:hAnsi="宋体" w:cs="宋体"/>
          <w:bCs/>
          <w:sz w:val="24"/>
          <w:szCs w:val="24"/>
          <w:highlight w:val="none"/>
        </w:rPr>
        <w:t>%。</w:t>
      </w:r>
    </w:p>
    <w:p w14:paraId="17A0891B">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2.9.2 碳排放量下降目标</w:t>
      </w:r>
    </w:p>
    <w:p w14:paraId="592B5892">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自全区公共机构整体进入托管运行期之日起，</w:t>
      </w:r>
      <w:r>
        <w:rPr>
          <w:rFonts w:ascii="宋体" w:hAnsi="宋体" w:cs="宋体"/>
          <w:bCs/>
          <w:sz w:val="24"/>
          <w:szCs w:val="24"/>
          <w:highlight w:val="none"/>
          <w:u w:val="single"/>
        </w:rPr>
        <w:t>全区公共机构碳排放总量较基准期（2023-2025年平均水平）下降率不低于</w:t>
      </w:r>
      <w:r>
        <w:rPr>
          <w:rFonts w:hint="eastAsia" w:ascii="宋体" w:hAnsi="宋体" w:cs="宋体"/>
          <w:bCs/>
          <w:sz w:val="24"/>
          <w:szCs w:val="24"/>
          <w:highlight w:val="none"/>
          <w:u w:val="single"/>
        </w:rPr>
        <w:t>10</w:t>
      </w:r>
      <w:r>
        <w:rPr>
          <w:rFonts w:ascii="宋体" w:hAnsi="宋体" w:cs="宋体"/>
          <w:bCs/>
          <w:sz w:val="24"/>
          <w:szCs w:val="24"/>
          <w:highlight w:val="none"/>
          <w:u w:val="single"/>
        </w:rPr>
        <w:t>%。</w:t>
      </w:r>
    </w:p>
    <w:p w14:paraId="19EBDD44">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2.9.3 目标考核与调整</w:t>
      </w:r>
    </w:p>
    <w:p w14:paraId="58506607">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上述节能降碳目标将作为本项目托管期内的年度考核依据。如遇国家政策调整、用能边界发生重大变化（如公共机构数量增减、建筑功能改变、极端气候等不可抗力因素），双方可依据《公共机构能源费用托管实施规程》（JS/T 301-2024）第8章规定，协商调整年度节能降碳目标并签订补充协议。</w:t>
      </w:r>
    </w:p>
    <w:p w14:paraId="28626E6F">
      <w:pPr>
        <w:spacing w:line="360" w:lineRule="auto"/>
        <w:ind w:firstLine="482" w:firstLineChars="200"/>
        <w:rPr>
          <w:rFonts w:hint="eastAsia" w:ascii="宋体" w:hAnsi="宋体" w:cs="宋体"/>
          <w:bCs/>
          <w:sz w:val="24"/>
          <w:szCs w:val="24"/>
          <w:highlight w:val="none"/>
        </w:rPr>
      </w:pPr>
      <w:r>
        <w:rPr>
          <w:rFonts w:hint="eastAsia" w:ascii="宋体" w:hAnsi="宋体" w:cs="宋体"/>
          <w:b/>
          <w:bCs/>
          <w:sz w:val="24"/>
          <w:szCs w:val="24"/>
          <w:highlight w:val="none"/>
          <w:u w:val="single"/>
        </w:rPr>
        <w:t>项目以6%节能率和10%碳排放量下降为考核基本目标，项目节能率达不到6%、碳排放量下降达不到10%，按低于比例乘以60万元予以扣减，考核结算从次年的托管费用中扣除</w:t>
      </w:r>
    </w:p>
    <w:p w14:paraId="46523CE3">
      <w:pPr>
        <w:spacing w:line="360" w:lineRule="auto"/>
        <w:ind w:firstLine="482" w:firstLineChars="200"/>
        <w:rPr>
          <w:rFonts w:hint="eastAsia" w:ascii="宋体" w:hAnsi="宋体" w:cs="宋体"/>
          <w:bCs/>
          <w:sz w:val="24"/>
          <w:szCs w:val="24"/>
          <w:highlight w:val="none"/>
        </w:rPr>
      </w:pPr>
      <w:r>
        <w:rPr>
          <w:rFonts w:ascii="宋体" w:hAnsi="宋体" w:cs="宋体"/>
          <w:b/>
          <w:bCs/>
          <w:sz w:val="24"/>
          <w:szCs w:val="24"/>
          <w:highlight w:val="none"/>
        </w:rPr>
        <w:t>2.10 收益分项说明</w:t>
      </w:r>
    </w:p>
    <w:p w14:paraId="0E018C4A">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本项目实施整区能源费用托管后，采购人（各公共机构）可获得的收益主要包括以下组成部分：</w:t>
      </w:r>
    </w:p>
    <w:p w14:paraId="6F4F36E8">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2.10.1 直接能源费用节约</w:t>
      </w:r>
    </w:p>
    <w:p w14:paraId="0F1B649E">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通过中标人实施平台建设、节能改造、精细化运维管理等措施，在保障正常用能需求的前提下，使全区公共机构年度能源费用支出较基准期（2023-2025年平均费用）有所下降。具体节约金额按中标结算系数（K）及实际用能量动态核算。</w:t>
      </w:r>
    </w:p>
    <w:p w14:paraId="4B0E84D7">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2.10.2 分布式光伏发电收益</w:t>
      </w:r>
    </w:p>
    <w:p w14:paraId="4F91BE0E">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中标人投资建设屋顶分布式光伏系统，前10年光伏发电收益归中标人所有，用于回收投资成本；后15年光伏发电量按当期国网代购电价的9折售卖给各公共机构，形成长期电价优惠收益。</w:t>
      </w:r>
    </w:p>
    <w:p w14:paraId="0A0B97E2">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2.10.3 碳资产收益</w:t>
      </w:r>
    </w:p>
    <w:p w14:paraId="6CF01BFC">
      <w:pPr>
        <w:spacing w:line="360" w:lineRule="auto"/>
        <w:ind w:firstLine="480" w:firstLineChars="200"/>
        <w:rPr>
          <w:rFonts w:hint="eastAsia" w:ascii="宋体" w:hAnsi="宋体" w:cs="宋体"/>
          <w:bCs/>
          <w:sz w:val="24"/>
          <w:szCs w:val="24"/>
          <w:highlight w:val="none"/>
          <w:u w:val="single"/>
        </w:rPr>
      </w:pPr>
      <w:r>
        <w:rPr>
          <w:rFonts w:ascii="宋体" w:hAnsi="宋体" w:cs="宋体"/>
          <w:bCs/>
          <w:sz w:val="24"/>
          <w:szCs w:val="24"/>
          <w:highlight w:val="none"/>
          <w:u w:val="single"/>
        </w:rPr>
        <w:t>本项目实施所产生的碳排放权（碳配额、CCER等碳资产），</w:t>
      </w:r>
      <w:r>
        <w:rPr>
          <w:rFonts w:ascii="宋体" w:hAnsi="宋体" w:cs="宋体"/>
          <w:b/>
          <w:sz w:val="24"/>
          <w:szCs w:val="24"/>
          <w:highlight w:val="none"/>
          <w:u w:val="single"/>
        </w:rPr>
        <w:t>其所有权归采购人</w:t>
      </w:r>
      <w:r>
        <w:rPr>
          <w:rFonts w:ascii="宋体" w:hAnsi="宋体" w:cs="宋体"/>
          <w:bCs/>
          <w:sz w:val="24"/>
          <w:szCs w:val="24"/>
          <w:highlight w:val="none"/>
          <w:u w:val="single"/>
        </w:rPr>
        <w:t>（</w:t>
      </w:r>
      <w:r>
        <w:rPr>
          <w:rFonts w:hint="eastAsia" w:ascii="宋体" w:hAnsi="宋体" w:cs="宋体"/>
          <w:bCs/>
          <w:sz w:val="24"/>
          <w:szCs w:val="24"/>
          <w:highlight w:val="none"/>
          <w:u w:val="single"/>
        </w:rPr>
        <w:t>机关事务服务中心</w:t>
      </w:r>
      <w:r>
        <w:rPr>
          <w:rFonts w:ascii="宋体" w:hAnsi="宋体" w:cs="宋体"/>
          <w:bCs/>
          <w:sz w:val="24"/>
          <w:szCs w:val="24"/>
          <w:highlight w:val="none"/>
          <w:u w:val="single"/>
        </w:rPr>
        <w:t>）所有</w:t>
      </w:r>
      <w:r>
        <w:rPr>
          <w:rFonts w:hint="eastAsia" w:ascii="宋体" w:hAnsi="宋体" w:cs="宋体"/>
          <w:bCs/>
          <w:sz w:val="24"/>
          <w:szCs w:val="24"/>
          <w:highlight w:val="none"/>
          <w:u w:val="single"/>
        </w:rPr>
        <w:t>.</w:t>
      </w:r>
    </w:p>
    <w:p w14:paraId="017A3147">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2.10.</w:t>
      </w:r>
      <w:r>
        <w:rPr>
          <w:rFonts w:hint="eastAsia" w:ascii="宋体" w:hAnsi="宋体" w:cs="宋体"/>
          <w:bCs/>
          <w:sz w:val="24"/>
          <w:szCs w:val="24"/>
          <w:highlight w:val="none"/>
        </w:rPr>
        <w:t>4</w:t>
      </w:r>
      <w:r>
        <w:rPr>
          <w:rFonts w:ascii="宋体" w:hAnsi="宋体" w:cs="宋体"/>
          <w:bCs/>
          <w:sz w:val="24"/>
          <w:szCs w:val="24"/>
          <w:highlight w:val="none"/>
        </w:rPr>
        <w:t xml:space="preserve"> 设备资产残值收益</w:t>
      </w:r>
    </w:p>
    <w:p w14:paraId="6A72BA0C">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合同期满后，中标人投资形成的节能设备、光伏设施</w:t>
      </w:r>
      <w:r>
        <w:rPr>
          <w:rFonts w:hint="eastAsia" w:ascii="宋体" w:hAnsi="宋体" w:cs="宋体"/>
          <w:b/>
          <w:sz w:val="24"/>
          <w:szCs w:val="24"/>
          <w:highlight w:val="none"/>
          <w:u w:val="single"/>
        </w:rPr>
        <w:t>（按25年）</w:t>
      </w:r>
      <w:r>
        <w:rPr>
          <w:rFonts w:ascii="宋体" w:hAnsi="宋体" w:cs="宋体"/>
          <w:bCs/>
          <w:sz w:val="24"/>
          <w:szCs w:val="24"/>
          <w:highlight w:val="none"/>
        </w:rPr>
        <w:t>等有形资产，无偿移交采购人，形成长期资产收益。</w:t>
      </w:r>
    </w:p>
    <w:p w14:paraId="445B6565">
      <w:pPr>
        <w:spacing w:line="360" w:lineRule="auto"/>
        <w:ind w:firstLine="480" w:firstLineChars="200"/>
        <w:rPr>
          <w:rFonts w:hint="eastAsia" w:ascii="宋体" w:hAnsi="宋体" w:cs="宋体"/>
          <w:bCs/>
          <w:sz w:val="24"/>
          <w:szCs w:val="24"/>
          <w:highlight w:val="none"/>
        </w:rPr>
      </w:pPr>
      <w:r>
        <w:rPr>
          <w:rFonts w:ascii="宋体" w:hAnsi="宋体" w:cs="宋体"/>
          <w:bCs/>
          <w:sz w:val="24"/>
          <w:szCs w:val="24"/>
          <w:highlight w:val="none"/>
        </w:rPr>
        <w:t>2.10.</w:t>
      </w:r>
      <w:r>
        <w:rPr>
          <w:rFonts w:hint="eastAsia" w:ascii="宋体" w:hAnsi="宋体" w:cs="宋体"/>
          <w:bCs/>
          <w:sz w:val="24"/>
          <w:szCs w:val="24"/>
          <w:highlight w:val="none"/>
        </w:rPr>
        <w:t>5</w:t>
      </w:r>
      <w:r>
        <w:rPr>
          <w:rFonts w:ascii="宋体" w:hAnsi="宋体" w:cs="宋体"/>
          <w:bCs/>
          <w:sz w:val="24"/>
          <w:szCs w:val="24"/>
          <w:highlight w:val="none"/>
        </w:rPr>
        <w:t xml:space="preserve"> </w:t>
      </w:r>
      <w:r>
        <w:rPr>
          <w:rFonts w:hint="eastAsia" w:ascii="宋体" w:hAnsi="宋体" w:cs="宋体"/>
          <w:bCs/>
          <w:sz w:val="24"/>
          <w:szCs w:val="24"/>
          <w:highlight w:val="none"/>
        </w:rPr>
        <w:t>售电</w:t>
      </w:r>
      <w:r>
        <w:rPr>
          <w:rFonts w:ascii="宋体" w:hAnsi="宋体" w:cs="宋体"/>
          <w:bCs/>
          <w:sz w:val="24"/>
          <w:szCs w:val="24"/>
          <w:highlight w:val="none"/>
        </w:rPr>
        <w:t>收益</w:t>
      </w:r>
    </w:p>
    <w:p w14:paraId="1E26DDE0">
      <w:pPr>
        <w:spacing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中标人在合同期内实施市场化电力交易，对标江苏省国网代购电价，所产生的售电收益归中标人所有。</w:t>
      </w:r>
    </w:p>
    <w:p w14:paraId="2C899D8E">
      <w:pPr>
        <w:pStyle w:val="2"/>
        <w:rPr>
          <w:rFonts w:hint="eastAsia"/>
          <w:highlight w:val="none"/>
        </w:rPr>
      </w:pPr>
      <w:r>
        <w:rPr>
          <w:rFonts w:hint="eastAsia" w:cs="宋体"/>
          <w:bCs/>
          <w:szCs w:val="24"/>
          <w:highlight w:val="none"/>
        </w:rPr>
        <w:t>2.10.6</w:t>
      </w:r>
      <w:r>
        <w:rPr>
          <w:rFonts w:cs="宋体"/>
          <w:bCs/>
          <w:szCs w:val="24"/>
          <w:highlight w:val="none"/>
        </w:rPr>
        <w:t>能源</w:t>
      </w:r>
      <w:r>
        <w:rPr>
          <w:rFonts w:hint="eastAsia" w:cs="宋体"/>
          <w:bCs/>
          <w:szCs w:val="24"/>
          <w:highlight w:val="none"/>
        </w:rPr>
        <w:t>节约</w:t>
      </w:r>
      <w:r>
        <w:rPr>
          <w:rFonts w:cs="宋体"/>
          <w:bCs/>
          <w:szCs w:val="24"/>
          <w:highlight w:val="none"/>
        </w:rPr>
        <w:t>费用</w:t>
      </w:r>
      <w:r>
        <w:rPr>
          <w:rFonts w:hint="eastAsia" w:cs="宋体"/>
          <w:bCs/>
          <w:szCs w:val="24"/>
          <w:highlight w:val="none"/>
        </w:rPr>
        <w:t>用能单位、中标单位收益比例分配双方在项目实施时另行协商。</w:t>
      </w:r>
    </w:p>
    <w:p w14:paraId="5FF4D6A6">
      <w:pPr>
        <w:spacing w:line="360" w:lineRule="auto"/>
        <w:ind w:firstLine="482"/>
        <w:outlineLvl w:val="1"/>
        <w:rPr>
          <w:rFonts w:hint="eastAsia" w:ascii="宋体" w:hAnsi="宋体"/>
          <w:b/>
          <w:sz w:val="24"/>
          <w:szCs w:val="24"/>
          <w:highlight w:val="none"/>
        </w:rPr>
      </w:pPr>
      <w:bookmarkStart w:id="188" w:name="_Toc1508561181"/>
      <w:r>
        <w:rPr>
          <w:rFonts w:hint="eastAsia" w:ascii="宋体" w:hAnsi="宋体"/>
          <w:b/>
          <w:sz w:val="24"/>
          <w:szCs w:val="24"/>
          <w:highlight w:val="none"/>
        </w:rPr>
        <w:t>3.项目实施流程要求</w:t>
      </w:r>
      <w:bookmarkEnd w:id="188"/>
    </w:p>
    <w:p w14:paraId="68B2BB51">
      <w:pPr>
        <w:spacing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本项目整体实施周期</w:t>
      </w:r>
      <w:r>
        <w:rPr>
          <w:rFonts w:hint="eastAsia" w:ascii="宋体" w:hAnsi="宋体" w:cs="宋体"/>
          <w:bCs/>
          <w:sz w:val="24"/>
          <w:szCs w:val="24"/>
          <w:highlight w:val="none"/>
        </w:rPr>
        <w:t>要求在2026年12月31日前全面完成并通过验收，</w:t>
      </w:r>
      <w:r>
        <w:rPr>
          <w:rFonts w:hint="eastAsia" w:ascii="宋体" w:hAnsi="宋体" w:cs="宋体"/>
          <w:bCs/>
          <w:sz w:val="24"/>
          <w:szCs w:val="24"/>
          <w:highlight w:val="none"/>
        </w:rPr>
        <w:t>项目实施流程总体依据《公共机构能源托管规程》（JS/T301-2024）。</w:t>
      </w:r>
    </w:p>
    <w:p w14:paraId="1792AE2B">
      <w:pPr>
        <w:spacing w:line="360" w:lineRule="auto"/>
        <w:ind w:firstLine="482"/>
        <w:outlineLvl w:val="1"/>
        <w:rPr>
          <w:rFonts w:hint="eastAsia" w:ascii="宋体" w:hAnsi="宋体"/>
          <w:b/>
          <w:sz w:val="24"/>
          <w:szCs w:val="24"/>
          <w:highlight w:val="none"/>
        </w:rPr>
      </w:pPr>
      <w:bookmarkStart w:id="189" w:name="_Toc1195832585"/>
      <w:r>
        <w:rPr>
          <w:rFonts w:hint="eastAsia" w:ascii="宋体" w:hAnsi="宋体"/>
          <w:b/>
          <w:sz w:val="24"/>
          <w:szCs w:val="24"/>
          <w:highlight w:val="none"/>
        </w:rPr>
        <w:t>4.费用支付</w:t>
      </w:r>
      <w:bookmarkEnd w:id="189"/>
    </w:p>
    <w:p w14:paraId="1B23B76C">
      <w:pPr>
        <w:spacing w:line="360" w:lineRule="auto"/>
        <w:ind w:firstLine="480"/>
        <w:rPr>
          <w:rFonts w:hint="eastAsia" w:ascii="黑体" w:hAnsi="黑体" w:eastAsia="黑体"/>
          <w:sz w:val="24"/>
          <w:szCs w:val="24"/>
          <w:highlight w:val="none"/>
        </w:rPr>
      </w:pPr>
      <w:r>
        <w:rPr>
          <w:rFonts w:hint="eastAsia" w:ascii="宋体" w:hAnsi="宋体"/>
          <w:sz w:val="24"/>
          <w:szCs w:val="24"/>
          <w:highlight w:val="none"/>
        </w:rPr>
        <w:t>支付年限为10年，支付标准为每年支付12次，</w:t>
      </w:r>
      <w:r>
        <w:rPr>
          <w:rFonts w:hint="eastAsia" w:ascii="宋体" w:hAnsi="宋体" w:cs="宋体"/>
          <w:b/>
          <w:sz w:val="24"/>
          <w:szCs w:val="24"/>
          <w:highlight w:val="none"/>
          <w:u w:val="single"/>
        </w:rPr>
        <w:t>费用按月次月支付</w:t>
      </w:r>
      <w:r>
        <w:rPr>
          <w:rFonts w:hint="eastAsia" w:ascii="宋体" w:hAnsi="宋体"/>
          <w:sz w:val="24"/>
          <w:szCs w:val="24"/>
          <w:highlight w:val="none"/>
        </w:rPr>
        <w:t>。费用支付的前提是</w:t>
      </w:r>
      <w:r>
        <w:rPr>
          <w:rFonts w:ascii="宋体" w:hAnsi="宋体"/>
          <w:sz w:val="24"/>
          <w:szCs w:val="24"/>
          <w:highlight w:val="none"/>
        </w:rPr>
        <w:t>“一张网”平台</w:t>
      </w:r>
      <w:r>
        <w:rPr>
          <w:rFonts w:hint="eastAsia" w:ascii="宋体" w:hAnsi="宋体"/>
          <w:sz w:val="24"/>
          <w:szCs w:val="24"/>
          <w:highlight w:val="none"/>
        </w:rPr>
        <w:t>验收完成并进入托管运行期后</w:t>
      </w:r>
      <w:r>
        <w:rPr>
          <w:rFonts w:ascii="宋体" w:hAnsi="宋体"/>
          <w:sz w:val="24"/>
          <w:szCs w:val="24"/>
          <w:highlight w:val="none"/>
        </w:rPr>
        <w:t>，</w:t>
      </w:r>
      <w:r>
        <w:rPr>
          <w:rFonts w:hint="eastAsia" w:cs="宋体"/>
          <w:sz w:val="24"/>
          <w:szCs w:val="24"/>
          <w:highlight w:val="none"/>
          <w:u w:val="single"/>
        </w:rPr>
        <w:t>每月支付金额=能源审计报告核定的月度能源基准用量×能源单价（见下表）×K（中标结算系数）</w:t>
      </w:r>
      <w:r>
        <w:rPr>
          <w:rFonts w:hint="eastAsia" w:ascii="黑体" w:hAnsi="黑体" w:eastAsia="黑体"/>
          <w:sz w:val="24"/>
          <w:szCs w:val="24"/>
          <w:highlight w:val="none"/>
        </w:rPr>
        <w:t>。</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0"/>
        <w:gridCol w:w="4530"/>
      </w:tblGrid>
      <w:tr w14:paraId="33AE8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tcPr>
          <w:p w14:paraId="4EFCA7C8">
            <w:pPr>
              <w:spacing w:line="360" w:lineRule="auto"/>
              <w:jc w:val="center"/>
              <w:rPr>
                <w:rFonts w:hint="eastAsia" w:ascii="黑体" w:hAnsi="黑体" w:eastAsia="黑体"/>
                <w:sz w:val="24"/>
                <w:szCs w:val="24"/>
                <w:highlight w:val="none"/>
              </w:rPr>
            </w:pPr>
            <w:r>
              <w:rPr>
                <w:rFonts w:hint="eastAsia" w:ascii="黑体" w:hAnsi="黑体" w:eastAsia="黑体"/>
                <w:sz w:val="24"/>
                <w:szCs w:val="24"/>
                <w:highlight w:val="none"/>
              </w:rPr>
              <w:t>类别</w:t>
            </w:r>
          </w:p>
        </w:tc>
        <w:tc>
          <w:tcPr>
            <w:tcW w:w="4530" w:type="dxa"/>
          </w:tcPr>
          <w:p w14:paraId="4ACADD9E">
            <w:pPr>
              <w:spacing w:line="360" w:lineRule="auto"/>
              <w:jc w:val="center"/>
              <w:rPr>
                <w:rFonts w:hint="eastAsia" w:ascii="黑体" w:hAnsi="黑体" w:eastAsia="黑体"/>
                <w:sz w:val="24"/>
                <w:szCs w:val="24"/>
                <w:highlight w:val="none"/>
              </w:rPr>
            </w:pPr>
            <w:r>
              <w:rPr>
                <w:rFonts w:hint="eastAsia" w:ascii="黑体" w:hAnsi="黑体" w:eastAsia="黑体"/>
                <w:sz w:val="24"/>
                <w:szCs w:val="24"/>
                <w:highlight w:val="none"/>
              </w:rPr>
              <w:t>能源单价</w:t>
            </w:r>
          </w:p>
        </w:tc>
      </w:tr>
      <w:tr w14:paraId="1D9CA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tcPr>
          <w:p w14:paraId="566489BA">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电</w:t>
            </w:r>
          </w:p>
        </w:tc>
        <w:tc>
          <w:tcPr>
            <w:tcW w:w="4530" w:type="dxa"/>
          </w:tcPr>
          <w:p w14:paraId="0F15DACF">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当月国网代购电价</w:t>
            </w:r>
          </w:p>
        </w:tc>
      </w:tr>
      <w:tr w14:paraId="67E0E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tcPr>
          <w:p w14:paraId="0FC38D45">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水</w:t>
            </w:r>
          </w:p>
        </w:tc>
        <w:tc>
          <w:tcPr>
            <w:tcW w:w="4530" w:type="dxa"/>
          </w:tcPr>
          <w:p w14:paraId="2616150A">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当期水务机构应收含税单价</w:t>
            </w:r>
          </w:p>
        </w:tc>
      </w:tr>
      <w:tr w14:paraId="237F7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tcPr>
          <w:p w14:paraId="5879746B">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天然气</w:t>
            </w:r>
          </w:p>
        </w:tc>
        <w:tc>
          <w:tcPr>
            <w:tcW w:w="4530" w:type="dxa"/>
          </w:tcPr>
          <w:p w14:paraId="74E48CF5">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当期天然气机构应收含税单价</w:t>
            </w:r>
          </w:p>
        </w:tc>
      </w:tr>
    </w:tbl>
    <w:p w14:paraId="2ABC9206">
      <w:pPr>
        <w:spacing w:line="360" w:lineRule="auto"/>
        <w:ind w:firstLine="482"/>
        <w:outlineLvl w:val="1"/>
        <w:rPr>
          <w:rFonts w:hint="eastAsia" w:ascii="宋体" w:hAnsi="宋体"/>
          <w:b/>
          <w:sz w:val="24"/>
          <w:szCs w:val="24"/>
          <w:highlight w:val="none"/>
        </w:rPr>
      </w:pPr>
      <w:bookmarkStart w:id="190" w:name="_Toc58803822"/>
      <w:r>
        <w:rPr>
          <w:rFonts w:hint="eastAsia" w:ascii="宋体" w:hAnsi="宋体"/>
          <w:b/>
          <w:sz w:val="24"/>
          <w:szCs w:val="24"/>
          <w:highlight w:val="none"/>
        </w:rPr>
        <w:t>5.项目用能边界变化核定与结算</w:t>
      </w:r>
      <w:bookmarkEnd w:id="190"/>
    </w:p>
    <w:p w14:paraId="5D40B0FE">
      <w:pPr>
        <w:spacing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在托管服务期内，若发生设备增减等用能边界变化，能源托管服务公司应向区机关事务服务中心及相关公共机构提交书面情况说明。双方依据《公共机构能源费用托管实施规程 JS/T 301-2024》双方协商或聘请第三方能源审计单位进行用能边界基准值核定。核定报告经区机关事务服务中心、财政局及相关公共机构共同确认后，双方应签订补充协议，并据此相应调整能源托管费用。</w:t>
      </w:r>
    </w:p>
    <w:p w14:paraId="18FE76CC">
      <w:pPr>
        <w:spacing w:line="360" w:lineRule="auto"/>
        <w:ind w:firstLine="482" w:firstLineChars="200"/>
        <w:outlineLvl w:val="1"/>
        <w:rPr>
          <w:rFonts w:hint="eastAsia" w:ascii="宋体" w:hAnsi="宋体"/>
          <w:b/>
          <w:sz w:val="24"/>
          <w:szCs w:val="24"/>
          <w:highlight w:val="none"/>
        </w:rPr>
      </w:pPr>
      <w:bookmarkStart w:id="191" w:name="_Toc473358734"/>
      <w:r>
        <w:rPr>
          <w:rFonts w:hint="eastAsia" w:ascii="宋体" w:hAnsi="宋体"/>
          <w:b/>
          <w:sz w:val="24"/>
          <w:szCs w:val="24"/>
          <w:highlight w:val="none"/>
        </w:rPr>
        <w:t>6.能源管理“一张网”平台技术要求</w:t>
      </w:r>
      <w:bookmarkEnd w:id="191"/>
    </w:p>
    <w:p w14:paraId="5BE3030A">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6.1.平台总体要求</w:t>
      </w:r>
    </w:p>
    <w:p w14:paraId="6DA0931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1）平台应采用云技术、分布式、集群架构设计，确保平台的并发性、扩展性和适应性。</w:t>
      </w:r>
    </w:p>
    <w:p w14:paraId="47182D4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2）平台应支持平台管理者、运营服务者、区域管理者、行业管理者、公共机构管理者等多租户、多用户设计。</w:t>
      </w:r>
    </w:p>
    <w:p w14:paraId="7198D51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3）平台应采用MQTT标准协议（基于发布/订阅模式的轻量级物联网通信协议），确保系统的兼容性、扩展性和可维护性。</w:t>
      </w:r>
    </w:p>
    <w:p w14:paraId="7392656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4）平台标准协议中间件服务并发连接数应不低于5W，支持设备单控和批量集控。</w:t>
      </w:r>
    </w:p>
    <w:p w14:paraId="21E6C57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5）平台设计应支持安全认证以及分租户、分用户权限访问控制。</w:t>
      </w:r>
    </w:p>
    <w:p w14:paraId="2EEEC2D3">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6.1.1.平台架构要求</w:t>
      </w:r>
    </w:p>
    <w:p w14:paraId="5DB3FEF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平台总体架构可以按照“端、边、云”进行分层架构设计，各层定位如下：</w:t>
      </w:r>
    </w:p>
    <w:p w14:paraId="08167DC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端：狭义的包括各类仪表、传感器、控制器等，负责对现场用能设备进行感知或控制的装置；广义的包括主站、网关或采集器等，负责与感知或控制装置进行通讯，实现总线信号到网络信号的转换。</w:t>
      </w:r>
    </w:p>
    <w:p w14:paraId="552F3D8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边：包括集成柜、控制柜、边缘节点等，以机房或楼宇为单位，南向负责集成汇聚各类端，北向负责与云侧进行交互，同时具有支持协调控制、边缘计算、负载均衡和第三方对接能力，因此边侧具备的能力包括：①兼容各类通讯服务；②逻辑存储服务；③逻辑执行服务；④触发回调机制；⑤一定的数据处理、存储服务。</w:t>
      </w:r>
    </w:p>
    <w:p w14:paraId="78B4B1D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云：基于互联网，采用分布式、高并发，面向“多租户”提供统一的一张网平台宏观管理和节能运营服务。南向负责集成汇聚各类边侧，北向负责支撑各类云服务应用。</w:t>
      </w:r>
    </w:p>
    <w:p w14:paraId="03E46C89">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6.1.2.平台设计要求</w:t>
      </w:r>
    </w:p>
    <w:p w14:paraId="3DBDD110">
      <w:pPr>
        <w:spacing w:line="360" w:lineRule="auto"/>
        <w:rPr>
          <w:rFonts w:hint="eastAsia" w:ascii="宋体" w:hAnsi="宋体"/>
          <w:b/>
          <w:sz w:val="24"/>
          <w:szCs w:val="24"/>
          <w:highlight w:val="none"/>
        </w:rPr>
      </w:pPr>
      <w:r>
        <w:rPr>
          <w:rFonts w:hint="eastAsia" w:ascii="宋体" w:hAnsi="宋体"/>
          <w:b/>
          <w:sz w:val="24"/>
          <w:szCs w:val="24"/>
          <w:highlight w:val="none"/>
        </w:rPr>
        <w:t>1）总体设计要求</w:t>
      </w:r>
    </w:p>
    <w:p w14:paraId="12B6D8D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①数字化底座</w:t>
      </w:r>
    </w:p>
    <w:p w14:paraId="1F5FC19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全方位数字传感技术的应用是一张网平台的数据底座，通过将计量场景、末端场景、BA场景等各类传感设备集成互联，实现数字孪生，构建可计量、可监测、可控制的数字化物联网底座。</w:t>
      </w:r>
    </w:p>
    <w:p w14:paraId="6DEF441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②能耗计量</w:t>
      </w:r>
    </w:p>
    <w:p w14:paraId="51A2AA2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能耗数据是节能成效核查和确认的依据，能耗精准计量一方面要及时的捕捉用能变化，另一方面可以对增量数据进行量化。</w:t>
      </w:r>
    </w:p>
    <w:p w14:paraId="3BD31DC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③设备管控</w:t>
      </w:r>
    </w:p>
    <w:p w14:paraId="5C5A565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能耗设备的管控是节能的重要抓手，设备管控需要在符合法律法规前提下，满足用户基本用能需求基础上实现节能，因此需要具备精准化、智能化的管控能力，一方面避免用能浪费，另一方面实现按需、个性的用能精细管控。</w:t>
      </w:r>
    </w:p>
    <w:p w14:paraId="1AF339F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④AI智控</w:t>
      </w:r>
    </w:p>
    <w:p w14:paraId="438F311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人工智能新技术在整县制能源费用托管场景的赋能应用，将成为公共机构实现碳达峰、碳中双碳目标的核心推动力。基于云边端协同神经网络架构，通过运用AI自控新技术，对控制链路进行分层设计和协同设计，建立用能数据、运行数据和用户行为的捕捉，形成数据分析、学习迭代、模型建立的能力，通过下发边、端控制的执行，构建完整的AI学习控制链路闭环。以“数据驱动”实现精准数字化能源管理的AI赋能，实现大规模用能设施的管控，提升能源管理运营服务水平。</w:t>
      </w:r>
    </w:p>
    <w:p w14:paraId="2C5D85A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⑤开放性</w:t>
      </w:r>
    </w:p>
    <w:p w14:paraId="507073A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平台应具备开放性能力和对接要求，以实现数据共享和价值利用，具体要求包括：</w:t>
      </w:r>
    </w:p>
    <w:p w14:paraId="0F70F3C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（1）南向支持MQTT标准设备接入</w:t>
      </w:r>
    </w:p>
    <w:p w14:paraId="63A0F201">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（2）北向支持MQTT标准数据对接</w:t>
      </w:r>
    </w:p>
    <w:p w14:paraId="7E045D4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（3）支持应用集成和二次开发能力</w:t>
      </w:r>
    </w:p>
    <w:p w14:paraId="153E4EC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（4）无偿对接省市数据平台，平台支持与江苏省公共机构能源管理“一张网”平台无缝对接，实现全省一张网。</w:t>
      </w:r>
    </w:p>
    <w:p w14:paraId="7F0C83E0">
      <w:pPr>
        <w:spacing w:line="360" w:lineRule="auto"/>
        <w:rPr>
          <w:rFonts w:hint="eastAsia" w:ascii="宋体" w:hAnsi="宋体"/>
          <w:b/>
          <w:sz w:val="24"/>
          <w:szCs w:val="24"/>
          <w:highlight w:val="none"/>
        </w:rPr>
      </w:pPr>
      <w:r>
        <w:rPr>
          <w:rFonts w:hint="eastAsia" w:ascii="宋体" w:hAnsi="宋体"/>
          <w:b/>
          <w:sz w:val="24"/>
          <w:szCs w:val="24"/>
          <w:highlight w:val="none"/>
        </w:rPr>
        <w:t>2）用户设计要求</w:t>
      </w:r>
    </w:p>
    <w:p w14:paraId="4C256E2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平台应采用多租户，多用户体系设计，用户、项目和数据能按租户进行隔离独立管理。</w:t>
      </w:r>
    </w:p>
    <w:p w14:paraId="6644F14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用户角色应支持整区主管者角色（主管部门单位）、行业主管者角色（行业主管单位）、项目管理者角色（机构单位）和平台管理者角色（托管运营单位）。</w:t>
      </w:r>
    </w:p>
    <w:p w14:paraId="013CB59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子系统和系统功能按照不同角色需求进行设计。</w:t>
      </w:r>
    </w:p>
    <w:p w14:paraId="65E04083">
      <w:pPr>
        <w:spacing w:line="360" w:lineRule="auto"/>
        <w:rPr>
          <w:rFonts w:hint="eastAsia" w:ascii="宋体" w:hAnsi="宋体"/>
          <w:b/>
          <w:sz w:val="24"/>
          <w:szCs w:val="24"/>
          <w:highlight w:val="none"/>
        </w:rPr>
      </w:pPr>
      <w:r>
        <w:rPr>
          <w:rFonts w:hint="eastAsia" w:ascii="宋体" w:hAnsi="宋体"/>
          <w:b/>
          <w:sz w:val="24"/>
          <w:szCs w:val="24"/>
          <w:highlight w:val="none"/>
        </w:rPr>
        <w:t>3）接入设计要求</w:t>
      </w:r>
    </w:p>
    <w:p w14:paraId="54E57DB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平台支持基于MQTT标准开放协议，设计各类场景、设备类型、测点参数等接入通讯格式和接口标准，作为平台内容进行开放发布。</w:t>
      </w:r>
    </w:p>
    <w:p w14:paraId="741A0100">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6.1.3..平台系统及功能要求</w:t>
      </w:r>
    </w:p>
    <w:p w14:paraId="47577C12">
      <w:pPr>
        <w:spacing w:line="360" w:lineRule="auto"/>
        <w:rPr>
          <w:rFonts w:hint="eastAsia" w:ascii="宋体" w:hAnsi="宋体"/>
          <w:b/>
          <w:sz w:val="24"/>
          <w:szCs w:val="24"/>
          <w:highlight w:val="none"/>
        </w:rPr>
      </w:pPr>
      <w:r>
        <w:rPr>
          <w:rFonts w:hint="eastAsia" w:ascii="宋体" w:hAnsi="宋体"/>
          <w:b/>
          <w:sz w:val="24"/>
          <w:szCs w:val="24"/>
          <w:highlight w:val="none"/>
        </w:rPr>
        <w:t>1）平台系统要求</w:t>
      </w:r>
    </w:p>
    <w:p w14:paraId="2D43705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①驾驶舱</w:t>
      </w:r>
    </w:p>
    <w:p w14:paraId="29474F6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以区域全景、行业系统、单体项目等角色，提供全域公共机构基本信息、定额指标信息、双控指标信息、能耗用量信息等总览指标，同时地图标注各版块各分类机构的总体数量、接入情况，可以查看具体接入项目主体信息，可以进入项目主体进行运营管控管理操作。</w:t>
      </w:r>
    </w:p>
    <w:p w14:paraId="7BE3004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②能耗统计</w:t>
      </w:r>
    </w:p>
    <w:p w14:paraId="12AF9FA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依据《公共机构能源资源消耗统计制度》，按照《江苏省公共机构节能管理平台》对能耗统计数据上报要求，对区域内所有托管公共机构的账单数据进行处理、汇总和查询。</w:t>
      </w:r>
    </w:p>
    <w:p w14:paraId="2FC8A23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③节能评价</w:t>
      </w:r>
    </w:p>
    <w:p w14:paraId="3663577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依据《公共机构日常节能管理规程》，建立公共机构节约能源资源工作评价体系，可以对区域内所有公共机构的用能指标、日常用能行为等进行实时在线评价，对公共机构节约能源资源工作管理提供科学的评判依据。</w:t>
      </w:r>
    </w:p>
    <w:p w14:paraId="5406CC0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④AI智控</w:t>
      </w:r>
    </w:p>
    <w:p w14:paraId="4F68B45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可以对区域内已纳入AI智控的项目总数和列表信息进行查看和管控。</w:t>
      </w:r>
    </w:p>
    <w:p w14:paraId="0EF6AA7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⑤碳排管理</w:t>
      </w:r>
    </w:p>
    <w:p w14:paraId="76FA971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可以对区域内所有接入的公共机构碳资产、碳排放情况进行汇总统计。</w:t>
      </w:r>
    </w:p>
    <w:p w14:paraId="109307BE">
      <w:pPr>
        <w:spacing w:line="360" w:lineRule="auto"/>
        <w:rPr>
          <w:rFonts w:hint="eastAsia" w:ascii="宋体" w:hAnsi="宋体"/>
          <w:b/>
          <w:sz w:val="24"/>
          <w:szCs w:val="24"/>
          <w:highlight w:val="none"/>
        </w:rPr>
      </w:pPr>
      <w:r>
        <w:rPr>
          <w:rFonts w:hint="eastAsia" w:ascii="宋体" w:hAnsi="宋体"/>
          <w:b/>
          <w:sz w:val="24"/>
          <w:szCs w:val="24"/>
          <w:highlight w:val="none"/>
        </w:rPr>
        <w:t>2）系统功能要求</w:t>
      </w:r>
    </w:p>
    <w:p w14:paraId="46D6940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①运营管控系统</w:t>
      </w:r>
    </w:p>
    <w:p w14:paraId="32963EF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项目看板：查看当前项目的实时运行指标，包括能耗总量信息、能耗强度信息、定额对标信息、用能结构信息、碳排放总量信息、碳排放强度信息等。</w:t>
      </w:r>
    </w:p>
    <w:p w14:paraId="08ABDC8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用能账单：可配置托管周期、能耗账单管理以及托管节能情况分析。</w:t>
      </w:r>
    </w:p>
    <w:p w14:paraId="40471ED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用能监测：可配置用能场景，监测每日能耗及72小时能耗，分析同比环比详情。</w:t>
      </w:r>
    </w:p>
    <w:p w14:paraId="33B1841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设备控制：可对用能系统基于传统的人机结合的策略管理或选择采用AI智控技术实现无人化专家级管理。</w:t>
      </w:r>
    </w:p>
    <w:p w14:paraId="681FD04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②能耗统计系统</w:t>
      </w:r>
    </w:p>
    <w:p w14:paraId="22D5328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月度统计台账：按办公区、年度对逐月统计数据进行核定，支持同步月度账单数据，台账包含电消费量、数据机房、充电桩、食堂、光伏、其他、电总费用，水消费量、水总费用、燃气消费量、燃气总费用、蒸汽消费量、蒸汽总费用、汽油消费量、汽油总费用、柴油总消费量、柴油总费用等，可以对数据进行更新核定。</w:t>
      </w:r>
    </w:p>
    <w:p w14:paraId="7530093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主体机构配置：可以查看当前办公区下的公共机构，对代报主体进行设置，独立办公区无需设置，集中办公区设置一个代报主体。</w:t>
      </w:r>
    </w:p>
    <w:p w14:paraId="0649100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③评价考核系统</w:t>
      </w:r>
    </w:p>
    <w:p w14:paraId="073B3DB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评价管理：按年度查询当前办公区下的公共机构考核情况，包括考核年度、机构名称、得分、星级、同类排名、状态、考核结果等。</w:t>
      </w:r>
    </w:p>
    <w:p w14:paraId="7D310E1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考核提交：以年度为单位，按照区域主管者发布的年度考核日期，依据《江苏省公共机构日常节能管理规程》进行对标自评，上传考核材料，完成自评提交。</w:t>
      </w:r>
    </w:p>
    <w:p w14:paraId="6BB7FA8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④碳资产系统</w:t>
      </w:r>
    </w:p>
    <w:p w14:paraId="5490505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该模块应包括不限于碳排放、碳资产、碳交易、碳履约等功能。</w:t>
      </w:r>
    </w:p>
    <w:p w14:paraId="7CA82FA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碳排放：对直接、间接碳排放源各类能源的年度活动数据、碳排放因子、碳排放量、同比变化进行查看，可查看每个月的活动数据、碳排放量和同比变化图表。</w:t>
      </w:r>
    </w:p>
    <w:p w14:paraId="7934673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碳资产：对碳配额进行配置下发，显示碳配额、交易碳配额、交易CCER指标信息。</w:t>
      </w:r>
    </w:p>
    <w:p w14:paraId="77BF492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碳交易：可以添加配置配额交易记录，包括年份、交易编号、交易类型、交易配额、交易平台、交易总价等信息。</w:t>
      </w:r>
    </w:p>
    <w:p w14:paraId="306C932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碳履约：包括碳排放指标、碳权量指标、清缴指标等。</w:t>
      </w:r>
    </w:p>
    <w:p w14:paraId="007078A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⑤AI智控系统</w:t>
      </w:r>
    </w:p>
    <w:p w14:paraId="6B488C0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基于神经网络模型，通过实时采集公共机构能耗数据、设备设施运行数据、能源消费行为数据，并对采集的数据进行分析、评估、建模，建立场景化AI模型，与边缘端智能体结合实现无人化专家级预测和管控。</w:t>
      </w:r>
    </w:p>
    <w:p w14:paraId="5C0A0F7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⑥基础管理平台</w:t>
      </w:r>
    </w:p>
    <w:p w14:paraId="013C6A8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该模块应包括不限于登录管理、用户管理、租户管理、系统管理、项目管理、角色管理、用户审核、用户授权等功能。</w:t>
      </w:r>
    </w:p>
    <w:p w14:paraId="3ABAD6E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⑦机构管理系统</w:t>
      </w:r>
    </w:p>
    <w:p w14:paraId="01B4C18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该模块应包括不限于机构信息管理、机构台账管理、项目机构关系等功能。</w:t>
      </w:r>
    </w:p>
    <w:p w14:paraId="7E19547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机构信息管理：对机构信息进行导入维护管理，模板信息包括机构名称、统一社会信用代码、行政区划编码、机构类型、办公类型、空调形式、建筑面积、用能人数等。</w:t>
      </w:r>
    </w:p>
    <w:p w14:paraId="246B3B9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机构台账管理：按年份对机构台账进入导入维护管理，模板信息包括机构名称、电消费量、电费用、水消费量、水费用、燃气消费量、燃气费用、数据中心用电、食堂用电、综合能耗、总费用等。</w:t>
      </w:r>
    </w:p>
    <w:p w14:paraId="3255CA3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项目机构关系：按项目办公区对入驻的公共机构信息进行关联绑定。</w:t>
      </w:r>
    </w:p>
    <w:p w14:paraId="43AE8C88">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6.1.4..平台通讯要求</w:t>
      </w:r>
    </w:p>
    <w:p w14:paraId="3AF2C82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系统应根据传输设备技术性能要求优先采用4G物联网的传输方式，或多者混合传输方式。</w:t>
      </w:r>
    </w:p>
    <w:p w14:paraId="54B038AB">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6.1.5..系统安全要求</w:t>
      </w:r>
    </w:p>
    <w:p w14:paraId="14F8DED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系统应保障公共机构用户隐私安全、运行安全和数据资产；</w:t>
      </w:r>
    </w:p>
    <w:p w14:paraId="181B4D5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安全控制层保护对象应包括：采集终端、边缘设备、通信链路、网络边界、数据存储、系统服务、数据接口、应用与用户鉴权等。</w:t>
      </w:r>
    </w:p>
    <w:p w14:paraId="3BE2AA0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安全防护措施应包括但不限于硬件防护、设备认证、专网和信道加密、南向接口鉴权、数据存储加密、北向应用鉴权、用户隐私保护、应用接口控制、用户访问控制等。</w:t>
      </w:r>
    </w:p>
    <w:p w14:paraId="65F4C5F8">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6.1.6..知识产权要求</w:t>
      </w:r>
    </w:p>
    <w:p w14:paraId="1DA6256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中标方应保证其提供的服务不受任何第三方提出的侵犯其著作权、商标权、专利权等知识产权方面的起诉；如果任何供应商提出侵权指控，那么中标方须与该供应商交涉并承担由此发生的一切责任、费用和赔偿。</w:t>
      </w:r>
    </w:p>
    <w:p w14:paraId="2365A182">
      <w:pPr>
        <w:numPr>
          <w:ilvl w:val="0"/>
          <w:numId w:val="1"/>
        </w:numPr>
        <w:spacing w:line="360" w:lineRule="auto"/>
        <w:ind w:firstLine="482"/>
        <w:outlineLvl w:val="1"/>
        <w:rPr>
          <w:rFonts w:hint="eastAsia" w:ascii="宋体" w:hAnsi="宋体"/>
          <w:sz w:val="24"/>
          <w:szCs w:val="24"/>
          <w:highlight w:val="none"/>
        </w:rPr>
      </w:pPr>
      <w:bookmarkStart w:id="192" w:name="_Toc1460813850"/>
      <w:r>
        <w:rPr>
          <w:rFonts w:hint="eastAsia" w:ascii="宋体" w:hAnsi="宋体"/>
          <w:b/>
          <w:sz w:val="24"/>
          <w:szCs w:val="24"/>
          <w:highlight w:val="none"/>
        </w:rPr>
        <w:t>能源综合节能改造技术要求</w:t>
      </w:r>
      <w:bookmarkEnd w:id="192"/>
    </w:p>
    <w:p w14:paraId="566231D5">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7.1计量与控制技术要求</w:t>
      </w:r>
    </w:p>
    <w:p w14:paraId="1A7F6FCB">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投标人需根据能源管理“一张网”平台的技术要求，在具体项目现场安装能源计量和控制设备，实现本地化能源管理数字化基础设施的部署和安装。本地化能源管理数字化基础设施的建设内容包括但不限于：</w:t>
      </w:r>
    </w:p>
    <w:tbl>
      <w:tblPr>
        <w:tblStyle w:val="22"/>
        <w:tblW w:w="4717" w:type="pct"/>
        <w:tblInd w:w="284" w:type="dxa"/>
        <w:tblLayout w:type="autofit"/>
        <w:tblCellMar>
          <w:top w:w="0" w:type="dxa"/>
          <w:left w:w="108" w:type="dxa"/>
          <w:bottom w:w="0" w:type="dxa"/>
          <w:right w:w="108" w:type="dxa"/>
        </w:tblCellMar>
      </w:tblPr>
      <w:tblGrid>
        <w:gridCol w:w="1727"/>
        <w:gridCol w:w="5087"/>
        <w:gridCol w:w="2803"/>
      </w:tblGrid>
      <w:tr w14:paraId="0B2EEE66">
        <w:tblPrEx>
          <w:tblCellMar>
            <w:top w:w="0" w:type="dxa"/>
            <w:left w:w="108" w:type="dxa"/>
            <w:bottom w:w="0" w:type="dxa"/>
            <w:right w:w="108" w:type="dxa"/>
          </w:tblCellMar>
        </w:tblPrEx>
        <w:trPr>
          <w:trHeight w:val="397" w:hRule="atLeast"/>
        </w:trPr>
        <w:tc>
          <w:tcPr>
            <w:tcW w:w="898" w:type="pct"/>
            <w:tcBorders>
              <w:top w:val="single" w:color="000000" w:sz="4" w:space="0"/>
              <w:left w:val="single" w:color="000000" w:sz="4" w:space="0"/>
              <w:bottom w:val="single" w:color="000000" w:sz="4" w:space="0"/>
              <w:right w:val="single" w:color="000000" w:sz="4" w:space="0"/>
            </w:tcBorders>
            <w:vAlign w:val="center"/>
          </w:tcPr>
          <w:p w14:paraId="1DC30AF1">
            <w:pPr>
              <w:widowControl/>
              <w:jc w:val="center"/>
              <w:textAlignment w:val="center"/>
              <w:rPr>
                <w:rFonts w:hint="eastAsia" w:ascii="宋体" w:hAnsi="宋体" w:cs="宋体"/>
                <w:b/>
                <w:bCs/>
                <w:sz w:val="24"/>
                <w:szCs w:val="24"/>
                <w:highlight w:val="none"/>
              </w:rPr>
            </w:pPr>
            <w:bookmarkStart w:id="193" w:name="_Toc178526144"/>
            <w:bookmarkStart w:id="194" w:name="_Toc68695416"/>
            <w:r>
              <w:rPr>
                <w:rFonts w:hint="eastAsia" w:ascii="宋体" w:hAnsi="宋体" w:cs="宋体"/>
                <w:b/>
                <w:bCs/>
                <w:sz w:val="24"/>
                <w:szCs w:val="24"/>
                <w:highlight w:val="none"/>
                <w:lang w:bidi="ar"/>
              </w:rPr>
              <w:t>序号</w:t>
            </w:r>
          </w:p>
        </w:tc>
        <w:tc>
          <w:tcPr>
            <w:tcW w:w="2644" w:type="pct"/>
            <w:tcBorders>
              <w:top w:val="single" w:color="000000" w:sz="4" w:space="0"/>
              <w:left w:val="single" w:color="000000" w:sz="4" w:space="0"/>
              <w:bottom w:val="single" w:color="000000" w:sz="4" w:space="0"/>
              <w:right w:val="single" w:color="auto" w:sz="4" w:space="0"/>
            </w:tcBorders>
            <w:vAlign w:val="center"/>
          </w:tcPr>
          <w:p w14:paraId="2CB4B147">
            <w:pPr>
              <w:widowControl/>
              <w:jc w:val="center"/>
              <w:textAlignment w:val="center"/>
              <w:rPr>
                <w:rFonts w:hint="eastAsia" w:ascii="宋体" w:hAnsi="宋体" w:cs="宋体"/>
                <w:b/>
                <w:bCs/>
                <w:sz w:val="24"/>
                <w:szCs w:val="24"/>
                <w:highlight w:val="none"/>
              </w:rPr>
            </w:pPr>
            <w:r>
              <w:rPr>
                <w:rFonts w:hint="eastAsia" w:ascii="宋体" w:hAnsi="宋体" w:cs="宋体"/>
                <w:b/>
                <w:bCs/>
                <w:sz w:val="24"/>
                <w:szCs w:val="24"/>
                <w:highlight w:val="none"/>
                <w:lang w:bidi="ar"/>
              </w:rPr>
              <w:t>建设内容</w:t>
            </w:r>
          </w:p>
        </w:tc>
        <w:tc>
          <w:tcPr>
            <w:tcW w:w="1457" w:type="pct"/>
            <w:tcBorders>
              <w:top w:val="single" w:color="000000" w:sz="4" w:space="0"/>
              <w:left w:val="single" w:color="auto" w:sz="4" w:space="0"/>
              <w:bottom w:val="single" w:color="000000" w:sz="4" w:space="0"/>
              <w:right w:val="single" w:color="000000" w:sz="4" w:space="0"/>
            </w:tcBorders>
            <w:vAlign w:val="center"/>
          </w:tcPr>
          <w:p w14:paraId="193EF37F">
            <w:pPr>
              <w:widowControl/>
              <w:jc w:val="center"/>
              <w:textAlignment w:val="center"/>
              <w:rPr>
                <w:rFonts w:hint="eastAsia" w:ascii="宋体" w:hAnsi="宋体" w:cs="宋体"/>
                <w:b/>
                <w:bCs/>
                <w:sz w:val="24"/>
                <w:szCs w:val="24"/>
                <w:highlight w:val="none"/>
                <w:lang w:bidi="ar"/>
              </w:rPr>
            </w:pPr>
            <w:r>
              <w:rPr>
                <w:rFonts w:hint="eastAsia" w:ascii="宋体" w:hAnsi="宋体" w:cs="宋体"/>
                <w:b/>
                <w:bCs/>
                <w:sz w:val="24"/>
                <w:szCs w:val="24"/>
                <w:highlight w:val="none"/>
                <w:lang w:bidi="ar"/>
              </w:rPr>
              <w:t>备注</w:t>
            </w:r>
          </w:p>
        </w:tc>
      </w:tr>
      <w:tr w14:paraId="46DE5C7D">
        <w:tblPrEx>
          <w:tblCellMar>
            <w:top w:w="0" w:type="dxa"/>
            <w:left w:w="108" w:type="dxa"/>
            <w:bottom w:w="0" w:type="dxa"/>
            <w:right w:w="108" w:type="dxa"/>
          </w:tblCellMar>
        </w:tblPrEx>
        <w:trPr>
          <w:trHeight w:val="397" w:hRule="atLeast"/>
        </w:trPr>
        <w:tc>
          <w:tcPr>
            <w:tcW w:w="898" w:type="pct"/>
            <w:tcBorders>
              <w:top w:val="single" w:color="000000" w:sz="4" w:space="0"/>
              <w:left w:val="single" w:color="000000" w:sz="4" w:space="0"/>
              <w:bottom w:val="single" w:color="000000" w:sz="4" w:space="0"/>
              <w:right w:val="single" w:color="000000" w:sz="4" w:space="0"/>
            </w:tcBorders>
            <w:vAlign w:val="center"/>
          </w:tcPr>
          <w:p w14:paraId="05AAFBD5">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1</w:t>
            </w:r>
          </w:p>
        </w:tc>
        <w:tc>
          <w:tcPr>
            <w:tcW w:w="2644" w:type="pct"/>
            <w:tcBorders>
              <w:top w:val="single" w:color="000000" w:sz="4" w:space="0"/>
              <w:left w:val="single" w:color="000000" w:sz="4" w:space="0"/>
              <w:bottom w:val="single" w:color="000000" w:sz="4" w:space="0"/>
              <w:right w:val="single" w:color="auto" w:sz="4" w:space="0"/>
            </w:tcBorders>
            <w:vAlign w:val="center"/>
          </w:tcPr>
          <w:p w14:paraId="4812543A">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用电计量</w:t>
            </w:r>
          </w:p>
        </w:tc>
        <w:tc>
          <w:tcPr>
            <w:tcW w:w="1457" w:type="pct"/>
            <w:tcBorders>
              <w:top w:val="single" w:color="000000" w:sz="4" w:space="0"/>
              <w:left w:val="single" w:color="auto" w:sz="4" w:space="0"/>
              <w:bottom w:val="single" w:color="000000" w:sz="4" w:space="0"/>
              <w:right w:val="single" w:color="000000" w:sz="4" w:space="0"/>
            </w:tcBorders>
            <w:vAlign w:val="center"/>
          </w:tcPr>
          <w:p w14:paraId="7A5F0F94">
            <w:pPr>
              <w:widowControl/>
              <w:jc w:val="center"/>
              <w:textAlignment w:val="center"/>
              <w:rPr>
                <w:rFonts w:hint="eastAsia" w:ascii="宋体" w:hAnsi="宋体" w:cs="宋体"/>
                <w:sz w:val="24"/>
                <w:szCs w:val="24"/>
                <w:highlight w:val="none"/>
                <w:lang w:bidi="ar"/>
              </w:rPr>
            </w:pPr>
            <w:r>
              <w:rPr>
                <w:rFonts w:hint="eastAsia" w:ascii="宋体" w:hAnsi="宋体" w:cs="宋体"/>
                <w:sz w:val="24"/>
                <w:szCs w:val="24"/>
                <w:highlight w:val="none"/>
                <w:lang w:bidi="ar"/>
              </w:rPr>
              <w:t>所有公共机构</w:t>
            </w:r>
          </w:p>
        </w:tc>
      </w:tr>
      <w:tr w14:paraId="0F23F307">
        <w:tblPrEx>
          <w:tblCellMar>
            <w:top w:w="0" w:type="dxa"/>
            <w:left w:w="108" w:type="dxa"/>
            <w:bottom w:w="0" w:type="dxa"/>
            <w:right w:w="108" w:type="dxa"/>
          </w:tblCellMar>
        </w:tblPrEx>
        <w:trPr>
          <w:trHeight w:val="397" w:hRule="atLeast"/>
        </w:trPr>
        <w:tc>
          <w:tcPr>
            <w:tcW w:w="898" w:type="pct"/>
            <w:tcBorders>
              <w:top w:val="single" w:color="000000" w:sz="4" w:space="0"/>
              <w:left w:val="single" w:color="000000" w:sz="4" w:space="0"/>
              <w:bottom w:val="single" w:color="000000" w:sz="4" w:space="0"/>
              <w:right w:val="single" w:color="000000" w:sz="4" w:space="0"/>
            </w:tcBorders>
            <w:vAlign w:val="center"/>
          </w:tcPr>
          <w:p w14:paraId="03762AE2">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2</w:t>
            </w:r>
          </w:p>
        </w:tc>
        <w:tc>
          <w:tcPr>
            <w:tcW w:w="2644" w:type="pct"/>
            <w:tcBorders>
              <w:top w:val="single" w:color="000000" w:sz="4" w:space="0"/>
              <w:left w:val="single" w:color="000000" w:sz="4" w:space="0"/>
              <w:bottom w:val="single" w:color="000000" w:sz="4" w:space="0"/>
              <w:right w:val="single" w:color="auto" w:sz="4" w:space="0"/>
            </w:tcBorders>
            <w:vAlign w:val="center"/>
          </w:tcPr>
          <w:p w14:paraId="0C8A9692">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总用水计量（市政总进水回路）</w:t>
            </w:r>
          </w:p>
        </w:tc>
        <w:tc>
          <w:tcPr>
            <w:tcW w:w="1457" w:type="pct"/>
            <w:tcBorders>
              <w:top w:val="single" w:color="000000" w:sz="4" w:space="0"/>
              <w:left w:val="single" w:color="auto" w:sz="4" w:space="0"/>
              <w:bottom w:val="single" w:color="000000" w:sz="4" w:space="0"/>
              <w:right w:val="single" w:color="000000" w:sz="4" w:space="0"/>
            </w:tcBorders>
            <w:vAlign w:val="center"/>
          </w:tcPr>
          <w:p w14:paraId="1DFD1692">
            <w:pPr>
              <w:widowControl/>
              <w:jc w:val="center"/>
              <w:textAlignment w:val="center"/>
              <w:rPr>
                <w:rFonts w:hint="eastAsia" w:ascii="宋体" w:hAnsi="宋体" w:cs="宋体"/>
                <w:sz w:val="24"/>
                <w:szCs w:val="24"/>
                <w:highlight w:val="none"/>
                <w:lang w:bidi="ar"/>
              </w:rPr>
            </w:pPr>
            <w:r>
              <w:rPr>
                <w:rFonts w:hint="eastAsia" w:ascii="宋体" w:hAnsi="宋体" w:cs="宋体"/>
                <w:sz w:val="24"/>
                <w:szCs w:val="24"/>
                <w:highlight w:val="none"/>
                <w:lang w:bidi="ar"/>
              </w:rPr>
              <w:t>重点用能单位</w:t>
            </w:r>
          </w:p>
        </w:tc>
      </w:tr>
      <w:tr w14:paraId="221F0F4C">
        <w:tblPrEx>
          <w:tblCellMar>
            <w:top w:w="0" w:type="dxa"/>
            <w:left w:w="108" w:type="dxa"/>
            <w:bottom w:w="0" w:type="dxa"/>
            <w:right w:w="108" w:type="dxa"/>
          </w:tblCellMar>
        </w:tblPrEx>
        <w:trPr>
          <w:trHeight w:val="397" w:hRule="atLeast"/>
        </w:trPr>
        <w:tc>
          <w:tcPr>
            <w:tcW w:w="898" w:type="pct"/>
            <w:tcBorders>
              <w:top w:val="single" w:color="000000" w:sz="4" w:space="0"/>
              <w:left w:val="single" w:color="000000" w:sz="4" w:space="0"/>
              <w:bottom w:val="single" w:color="000000" w:sz="4" w:space="0"/>
              <w:right w:val="single" w:color="000000" w:sz="4" w:space="0"/>
            </w:tcBorders>
            <w:vAlign w:val="center"/>
          </w:tcPr>
          <w:p w14:paraId="2A221CF8">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3</w:t>
            </w:r>
          </w:p>
        </w:tc>
        <w:tc>
          <w:tcPr>
            <w:tcW w:w="2644" w:type="pct"/>
            <w:tcBorders>
              <w:top w:val="single" w:color="000000" w:sz="4" w:space="0"/>
              <w:left w:val="single" w:color="000000" w:sz="4" w:space="0"/>
              <w:bottom w:val="single" w:color="000000" w:sz="4" w:space="0"/>
              <w:right w:val="single" w:color="auto" w:sz="4" w:space="0"/>
            </w:tcBorders>
            <w:vAlign w:val="center"/>
          </w:tcPr>
          <w:p w14:paraId="1263A240">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公共照明（走廊过道、地下车库、泛光照明等）回路控制</w:t>
            </w:r>
          </w:p>
        </w:tc>
        <w:tc>
          <w:tcPr>
            <w:tcW w:w="1457" w:type="pct"/>
            <w:tcBorders>
              <w:top w:val="single" w:color="000000" w:sz="4" w:space="0"/>
              <w:left w:val="single" w:color="auto" w:sz="4" w:space="0"/>
              <w:bottom w:val="single" w:color="000000" w:sz="4" w:space="0"/>
              <w:right w:val="single" w:color="000000" w:sz="4" w:space="0"/>
            </w:tcBorders>
            <w:vAlign w:val="center"/>
          </w:tcPr>
          <w:p w14:paraId="659D5879">
            <w:pPr>
              <w:widowControl/>
              <w:jc w:val="center"/>
              <w:textAlignment w:val="center"/>
              <w:rPr>
                <w:rFonts w:hint="eastAsia" w:ascii="宋体" w:hAnsi="宋体" w:cs="宋体"/>
                <w:sz w:val="24"/>
                <w:szCs w:val="24"/>
                <w:highlight w:val="none"/>
                <w:lang w:bidi="ar"/>
              </w:rPr>
            </w:pPr>
            <w:r>
              <w:rPr>
                <w:rFonts w:hint="eastAsia" w:ascii="宋体" w:hAnsi="宋体" w:cs="宋体"/>
                <w:sz w:val="24"/>
                <w:szCs w:val="24"/>
                <w:highlight w:val="none"/>
                <w:lang w:bidi="ar"/>
              </w:rPr>
              <w:t>重点用能单位</w:t>
            </w:r>
          </w:p>
        </w:tc>
      </w:tr>
      <w:tr w14:paraId="70832B11">
        <w:tblPrEx>
          <w:tblCellMar>
            <w:top w:w="0" w:type="dxa"/>
            <w:left w:w="108" w:type="dxa"/>
            <w:bottom w:w="0" w:type="dxa"/>
            <w:right w:w="108" w:type="dxa"/>
          </w:tblCellMar>
        </w:tblPrEx>
        <w:trPr>
          <w:trHeight w:val="397" w:hRule="atLeast"/>
        </w:trPr>
        <w:tc>
          <w:tcPr>
            <w:tcW w:w="898" w:type="pct"/>
            <w:tcBorders>
              <w:top w:val="single" w:color="000000" w:sz="4" w:space="0"/>
              <w:left w:val="single" w:color="000000" w:sz="4" w:space="0"/>
              <w:bottom w:val="single" w:color="000000" w:sz="4" w:space="0"/>
              <w:right w:val="single" w:color="000000" w:sz="4" w:space="0"/>
            </w:tcBorders>
            <w:vAlign w:val="center"/>
          </w:tcPr>
          <w:p w14:paraId="158486C1">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4</w:t>
            </w:r>
          </w:p>
        </w:tc>
        <w:tc>
          <w:tcPr>
            <w:tcW w:w="2644" w:type="pct"/>
            <w:tcBorders>
              <w:top w:val="single" w:color="000000" w:sz="4" w:space="0"/>
              <w:left w:val="single" w:color="000000" w:sz="4" w:space="0"/>
              <w:bottom w:val="single" w:color="000000" w:sz="4" w:space="0"/>
              <w:right w:val="single" w:color="auto" w:sz="4" w:space="0"/>
            </w:tcBorders>
            <w:vAlign w:val="center"/>
          </w:tcPr>
          <w:p w14:paraId="0273BD31">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通用设备（开水器、小厨宝等）电气回路控制</w:t>
            </w:r>
          </w:p>
        </w:tc>
        <w:tc>
          <w:tcPr>
            <w:tcW w:w="1457" w:type="pct"/>
            <w:tcBorders>
              <w:top w:val="single" w:color="000000" w:sz="4" w:space="0"/>
              <w:left w:val="single" w:color="auto" w:sz="4" w:space="0"/>
              <w:bottom w:val="single" w:color="000000" w:sz="4" w:space="0"/>
              <w:right w:val="single" w:color="000000" w:sz="4" w:space="0"/>
            </w:tcBorders>
            <w:vAlign w:val="center"/>
          </w:tcPr>
          <w:p w14:paraId="09B58E76">
            <w:pPr>
              <w:widowControl/>
              <w:jc w:val="center"/>
              <w:textAlignment w:val="center"/>
              <w:rPr>
                <w:rFonts w:hint="eastAsia" w:ascii="宋体" w:hAnsi="宋体" w:cs="宋体"/>
                <w:sz w:val="24"/>
                <w:szCs w:val="24"/>
                <w:highlight w:val="none"/>
                <w:lang w:bidi="ar"/>
              </w:rPr>
            </w:pPr>
            <w:r>
              <w:rPr>
                <w:rFonts w:hint="eastAsia" w:ascii="宋体" w:hAnsi="宋体" w:cs="宋体"/>
                <w:sz w:val="24"/>
                <w:szCs w:val="24"/>
                <w:highlight w:val="none"/>
                <w:lang w:bidi="ar"/>
              </w:rPr>
              <w:t>重点用能单位</w:t>
            </w:r>
          </w:p>
        </w:tc>
      </w:tr>
      <w:tr w14:paraId="2AEFF95A">
        <w:tblPrEx>
          <w:tblCellMar>
            <w:top w:w="0" w:type="dxa"/>
            <w:left w:w="108" w:type="dxa"/>
            <w:bottom w:w="0" w:type="dxa"/>
            <w:right w:w="108" w:type="dxa"/>
          </w:tblCellMar>
        </w:tblPrEx>
        <w:trPr>
          <w:trHeight w:val="397" w:hRule="atLeast"/>
        </w:trPr>
        <w:tc>
          <w:tcPr>
            <w:tcW w:w="898" w:type="pct"/>
            <w:tcBorders>
              <w:top w:val="single" w:color="000000" w:sz="4" w:space="0"/>
              <w:left w:val="single" w:color="000000" w:sz="4" w:space="0"/>
              <w:bottom w:val="single" w:color="000000" w:sz="4" w:space="0"/>
              <w:right w:val="single" w:color="000000" w:sz="4" w:space="0"/>
            </w:tcBorders>
            <w:vAlign w:val="center"/>
          </w:tcPr>
          <w:p w14:paraId="6C65D257">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5</w:t>
            </w:r>
          </w:p>
        </w:tc>
        <w:tc>
          <w:tcPr>
            <w:tcW w:w="2644" w:type="pct"/>
            <w:tcBorders>
              <w:top w:val="single" w:color="000000" w:sz="4" w:space="0"/>
              <w:left w:val="single" w:color="000000" w:sz="4" w:space="0"/>
              <w:bottom w:val="single" w:color="000000" w:sz="4" w:space="0"/>
              <w:right w:val="single" w:color="auto" w:sz="4" w:space="0"/>
            </w:tcBorders>
            <w:vAlign w:val="center"/>
          </w:tcPr>
          <w:p w14:paraId="1385EF99">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空调末端（分体空调、VRV空调、风机盘管、组合式空调机组等）系统控制</w:t>
            </w:r>
          </w:p>
        </w:tc>
        <w:tc>
          <w:tcPr>
            <w:tcW w:w="1457" w:type="pct"/>
            <w:tcBorders>
              <w:top w:val="single" w:color="000000" w:sz="4" w:space="0"/>
              <w:left w:val="single" w:color="auto" w:sz="4" w:space="0"/>
              <w:bottom w:val="single" w:color="000000" w:sz="4" w:space="0"/>
              <w:right w:val="single" w:color="000000" w:sz="4" w:space="0"/>
            </w:tcBorders>
            <w:vAlign w:val="center"/>
          </w:tcPr>
          <w:p w14:paraId="20731009">
            <w:pPr>
              <w:widowControl/>
              <w:jc w:val="center"/>
              <w:textAlignment w:val="center"/>
              <w:rPr>
                <w:rFonts w:hint="eastAsia" w:ascii="宋体" w:hAnsi="宋体" w:cs="宋体"/>
                <w:sz w:val="24"/>
                <w:szCs w:val="24"/>
                <w:highlight w:val="none"/>
                <w:lang w:bidi="ar"/>
              </w:rPr>
            </w:pPr>
            <w:r>
              <w:rPr>
                <w:rFonts w:hint="eastAsia" w:ascii="宋体" w:hAnsi="宋体" w:cs="宋体"/>
                <w:sz w:val="24"/>
                <w:szCs w:val="24"/>
                <w:highlight w:val="none"/>
                <w:lang w:bidi="ar"/>
              </w:rPr>
              <w:t>重点用能单位</w:t>
            </w:r>
          </w:p>
        </w:tc>
      </w:tr>
      <w:tr w14:paraId="27B9754C">
        <w:tblPrEx>
          <w:tblCellMar>
            <w:top w:w="0" w:type="dxa"/>
            <w:left w:w="108" w:type="dxa"/>
            <w:bottom w:w="0" w:type="dxa"/>
            <w:right w:w="108" w:type="dxa"/>
          </w:tblCellMar>
        </w:tblPrEx>
        <w:trPr>
          <w:trHeight w:val="397" w:hRule="atLeast"/>
        </w:trPr>
        <w:tc>
          <w:tcPr>
            <w:tcW w:w="898" w:type="pct"/>
            <w:tcBorders>
              <w:top w:val="single" w:color="000000" w:sz="4" w:space="0"/>
              <w:left w:val="single" w:color="000000" w:sz="4" w:space="0"/>
              <w:bottom w:val="single" w:color="000000" w:sz="4" w:space="0"/>
              <w:right w:val="single" w:color="000000" w:sz="4" w:space="0"/>
            </w:tcBorders>
            <w:vAlign w:val="center"/>
          </w:tcPr>
          <w:p w14:paraId="446A5B23">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6</w:t>
            </w:r>
          </w:p>
        </w:tc>
        <w:tc>
          <w:tcPr>
            <w:tcW w:w="2644" w:type="pct"/>
            <w:tcBorders>
              <w:top w:val="single" w:color="000000" w:sz="4" w:space="0"/>
              <w:left w:val="single" w:color="000000" w:sz="4" w:space="0"/>
              <w:bottom w:val="single" w:color="000000" w:sz="4" w:space="0"/>
              <w:right w:val="single" w:color="auto" w:sz="4" w:space="0"/>
            </w:tcBorders>
            <w:vAlign w:val="center"/>
          </w:tcPr>
          <w:p w14:paraId="49A92369">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集中冷源系统智能控制</w:t>
            </w:r>
          </w:p>
        </w:tc>
        <w:tc>
          <w:tcPr>
            <w:tcW w:w="1457" w:type="pct"/>
            <w:tcBorders>
              <w:top w:val="single" w:color="000000" w:sz="4" w:space="0"/>
              <w:left w:val="single" w:color="auto" w:sz="4" w:space="0"/>
              <w:bottom w:val="single" w:color="000000" w:sz="4" w:space="0"/>
              <w:right w:val="single" w:color="000000" w:sz="4" w:space="0"/>
            </w:tcBorders>
            <w:vAlign w:val="center"/>
          </w:tcPr>
          <w:p w14:paraId="3C475F27">
            <w:pPr>
              <w:widowControl/>
              <w:jc w:val="center"/>
              <w:textAlignment w:val="center"/>
              <w:rPr>
                <w:rFonts w:hint="eastAsia" w:ascii="宋体" w:hAnsi="宋体" w:cs="宋体"/>
                <w:sz w:val="24"/>
                <w:szCs w:val="24"/>
                <w:highlight w:val="none"/>
                <w:lang w:bidi="ar"/>
              </w:rPr>
            </w:pPr>
            <w:r>
              <w:rPr>
                <w:rFonts w:hint="eastAsia" w:ascii="宋体" w:hAnsi="宋体" w:cs="宋体"/>
                <w:sz w:val="24"/>
                <w:szCs w:val="24"/>
                <w:highlight w:val="none"/>
                <w:lang w:bidi="ar"/>
              </w:rPr>
              <w:t>所有公共机构</w:t>
            </w:r>
          </w:p>
        </w:tc>
      </w:tr>
      <w:tr w14:paraId="157EF72D">
        <w:tblPrEx>
          <w:tblCellMar>
            <w:top w:w="0" w:type="dxa"/>
            <w:left w:w="108" w:type="dxa"/>
            <w:bottom w:w="0" w:type="dxa"/>
            <w:right w:w="108" w:type="dxa"/>
          </w:tblCellMar>
        </w:tblPrEx>
        <w:trPr>
          <w:trHeight w:val="397" w:hRule="atLeast"/>
        </w:trPr>
        <w:tc>
          <w:tcPr>
            <w:tcW w:w="898" w:type="pct"/>
            <w:tcBorders>
              <w:top w:val="single" w:color="000000" w:sz="4" w:space="0"/>
              <w:left w:val="single" w:color="000000" w:sz="4" w:space="0"/>
              <w:bottom w:val="single" w:color="000000" w:sz="4" w:space="0"/>
              <w:right w:val="single" w:color="000000" w:sz="4" w:space="0"/>
            </w:tcBorders>
            <w:vAlign w:val="center"/>
          </w:tcPr>
          <w:p w14:paraId="58A3ED20">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7</w:t>
            </w:r>
          </w:p>
        </w:tc>
        <w:tc>
          <w:tcPr>
            <w:tcW w:w="2644" w:type="pct"/>
            <w:tcBorders>
              <w:top w:val="single" w:color="000000" w:sz="4" w:space="0"/>
              <w:left w:val="single" w:color="000000" w:sz="4" w:space="0"/>
              <w:bottom w:val="single" w:color="000000" w:sz="4" w:space="0"/>
              <w:right w:val="single" w:color="auto" w:sz="4" w:space="0"/>
            </w:tcBorders>
            <w:vAlign w:val="center"/>
          </w:tcPr>
          <w:p w14:paraId="247356CE">
            <w:pPr>
              <w:widowControl/>
              <w:jc w:val="center"/>
              <w:textAlignment w:val="center"/>
              <w:rPr>
                <w:rFonts w:hint="eastAsia" w:ascii="宋体" w:hAnsi="宋体" w:cs="宋体"/>
                <w:sz w:val="24"/>
                <w:szCs w:val="24"/>
                <w:highlight w:val="none"/>
              </w:rPr>
            </w:pPr>
            <w:r>
              <w:rPr>
                <w:rFonts w:hint="eastAsia" w:ascii="宋体" w:hAnsi="宋体" w:cs="宋体"/>
                <w:sz w:val="24"/>
                <w:szCs w:val="24"/>
                <w:highlight w:val="none"/>
                <w:lang w:bidi="ar"/>
              </w:rPr>
              <w:t>集中热源系统智能控制</w:t>
            </w:r>
          </w:p>
        </w:tc>
        <w:tc>
          <w:tcPr>
            <w:tcW w:w="1457" w:type="pct"/>
            <w:tcBorders>
              <w:top w:val="single" w:color="000000" w:sz="4" w:space="0"/>
              <w:left w:val="single" w:color="auto" w:sz="4" w:space="0"/>
              <w:bottom w:val="single" w:color="000000" w:sz="4" w:space="0"/>
              <w:right w:val="single" w:color="000000" w:sz="4" w:space="0"/>
            </w:tcBorders>
            <w:vAlign w:val="center"/>
          </w:tcPr>
          <w:p w14:paraId="01087DF0">
            <w:pPr>
              <w:widowControl/>
              <w:jc w:val="center"/>
              <w:textAlignment w:val="center"/>
              <w:rPr>
                <w:rFonts w:hint="eastAsia" w:ascii="宋体" w:hAnsi="宋体" w:cs="宋体"/>
                <w:sz w:val="24"/>
                <w:szCs w:val="24"/>
                <w:highlight w:val="none"/>
                <w:lang w:bidi="ar"/>
              </w:rPr>
            </w:pPr>
            <w:r>
              <w:rPr>
                <w:rFonts w:hint="eastAsia" w:ascii="宋体" w:hAnsi="宋体" w:cs="宋体"/>
                <w:sz w:val="24"/>
                <w:szCs w:val="24"/>
                <w:highlight w:val="none"/>
                <w:lang w:bidi="ar"/>
              </w:rPr>
              <w:t>所有公共机构</w:t>
            </w:r>
          </w:p>
        </w:tc>
      </w:tr>
      <w:bookmarkEnd w:id="193"/>
      <w:bookmarkEnd w:id="194"/>
    </w:tbl>
    <w:p w14:paraId="4F23F0E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中标人需针对上述建设内容要求，提供各项建设内容的设计原则和标准，以及跟能源管理“一张网”平台无缝融合的技术方案。</w:t>
      </w:r>
    </w:p>
    <w:p w14:paraId="560B1306">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7.2分布式光伏技术要求</w:t>
      </w:r>
    </w:p>
    <w:p w14:paraId="41C49E2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在各公共机构场地内，充分利用太阳能资源，因地制宜建设屋顶分布式光伏系统，提高绿电使用比例。具体可实施内容双方根据实际需求协商确定。</w:t>
      </w:r>
    </w:p>
    <w:p w14:paraId="168BA2DB">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7.3设备更新改造技术要求</w:t>
      </w:r>
    </w:p>
    <w:tbl>
      <w:tblPr>
        <w:tblStyle w:val="22"/>
        <w:tblW w:w="4707" w:type="pct"/>
        <w:tblInd w:w="285" w:type="dxa"/>
        <w:tblLayout w:type="autofit"/>
        <w:tblCellMar>
          <w:top w:w="0" w:type="dxa"/>
          <w:left w:w="108" w:type="dxa"/>
          <w:bottom w:w="0" w:type="dxa"/>
          <w:right w:w="108" w:type="dxa"/>
        </w:tblCellMar>
      </w:tblPr>
      <w:tblGrid>
        <w:gridCol w:w="1263"/>
        <w:gridCol w:w="2970"/>
        <w:gridCol w:w="5364"/>
      </w:tblGrid>
      <w:tr w14:paraId="001FAF26">
        <w:tblPrEx>
          <w:tblCellMar>
            <w:top w:w="0" w:type="dxa"/>
            <w:left w:w="108" w:type="dxa"/>
            <w:bottom w:w="0" w:type="dxa"/>
            <w:right w:w="108" w:type="dxa"/>
          </w:tblCellMar>
        </w:tblPrEx>
        <w:trPr>
          <w:trHeight w:val="397" w:hRule="atLeast"/>
        </w:trPr>
        <w:tc>
          <w:tcPr>
            <w:tcW w:w="658" w:type="pct"/>
            <w:tcBorders>
              <w:top w:val="single" w:color="000000" w:sz="4" w:space="0"/>
              <w:left w:val="single" w:color="000000" w:sz="4" w:space="0"/>
              <w:bottom w:val="single" w:color="000000" w:sz="4" w:space="0"/>
              <w:right w:val="single" w:color="000000" w:sz="4" w:space="0"/>
            </w:tcBorders>
            <w:vAlign w:val="center"/>
          </w:tcPr>
          <w:p w14:paraId="740F8CBF">
            <w:pPr>
              <w:widowControl/>
              <w:jc w:val="center"/>
              <w:textAlignment w:val="center"/>
              <w:rPr>
                <w:rFonts w:hint="eastAsia" w:ascii="宋体" w:hAnsi="宋体" w:cs="宋体"/>
                <w:b/>
                <w:bCs/>
                <w:sz w:val="22"/>
                <w:szCs w:val="20"/>
                <w:highlight w:val="none"/>
              </w:rPr>
            </w:pPr>
            <w:r>
              <w:rPr>
                <w:rFonts w:hint="eastAsia" w:ascii="宋体" w:hAnsi="宋体" w:cs="宋体"/>
                <w:b/>
                <w:bCs/>
                <w:sz w:val="22"/>
                <w:szCs w:val="20"/>
                <w:highlight w:val="none"/>
                <w:lang w:bidi="ar"/>
              </w:rPr>
              <w:t>序号</w:t>
            </w:r>
          </w:p>
        </w:tc>
        <w:tc>
          <w:tcPr>
            <w:tcW w:w="1547" w:type="pct"/>
            <w:tcBorders>
              <w:top w:val="single" w:color="000000" w:sz="4" w:space="0"/>
              <w:left w:val="single" w:color="000000" w:sz="4" w:space="0"/>
              <w:bottom w:val="single" w:color="000000" w:sz="4" w:space="0"/>
              <w:right w:val="single" w:color="000000" w:sz="4" w:space="0"/>
            </w:tcBorders>
            <w:vAlign w:val="center"/>
          </w:tcPr>
          <w:p w14:paraId="0FE2786A">
            <w:pPr>
              <w:widowControl/>
              <w:jc w:val="center"/>
              <w:textAlignment w:val="center"/>
              <w:rPr>
                <w:rFonts w:hint="eastAsia" w:ascii="宋体" w:hAnsi="宋体" w:cs="宋体"/>
                <w:b/>
                <w:bCs/>
                <w:sz w:val="22"/>
                <w:szCs w:val="20"/>
                <w:highlight w:val="none"/>
              </w:rPr>
            </w:pPr>
            <w:r>
              <w:rPr>
                <w:rFonts w:hint="eastAsia" w:ascii="宋体" w:hAnsi="宋体" w:cs="宋体"/>
                <w:b/>
                <w:bCs/>
                <w:sz w:val="22"/>
                <w:szCs w:val="20"/>
                <w:highlight w:val="none"/>
                <w:lang w:bidi="ar"/>
              </w:rPr>
              <w:t>改造项</w:t>
            </w:r>
          </w:p>
        </w:tc>
        <w:tc>
          <w:tcPr>
            <w:tcW w:w="2794" w:type="pct"/>
            <w:tcBorders>
              <w:top w:val="single" w:color="000000" w:sz="4" w:space="0"/>
              <w:left w:val="single" w:color="000000" w:sz="4" w:space="0"/>
              <w:bottom w:val="single" w:color="000000" w:sz="4" w:space="0"/>
              <w:right w:val="single" w:color="000000" w:sz="4" w:space="0"/>
            </w:tcBorders>
            <w:vAlign w:val="center"/>
          </w:tcPr>
          <w:p w14:paraId="55373FD4">
            <w:pPr>
              <w:widowControl/>
              <w:tabs>
                <w:tab w:val="left" w:pos="840"/>
              </w:tabs>
              <w:jc w:val="center"/>
              <w:textAlignment w:val="center"/>
              <w:rPr>
                <w:rFonts w:hint="eastAsia" w:ascii="宋体" w:hAnsi="宋体" w:cs="宋体"/>
                <w:b/>
                <w:bCs/>
                <w:sz w:val="22"/>
                <w:szCs w:val="20"/>
                <w:highlight w:val="none"/>
                <w:lang w:bidi="ar"/>
              </w:rPr>
            </w:pPr>
            <w:r>
              <w:rPr>
                <w:rFonts w:hint="eastAsia" w:ascii="宋体" w:hAnsi="宋体" w:cs="宋体"/>
                <w:b/>
                <w:bCs/>
                <w:sz w:val="22"/>
                <w:szCs w:val="20"/>
                <w:highlight w:val="none"/>
                <w:lang w:bidi="ar"/>
              </w:rPr>
              <w:t>改造要求</w:t>
            </w:r>
          </w:p>
        </w:tc>
      </w:tr>
      <w:tr w14:paraId="326CDAB7">
        <w:tblPrEx>
          <w:tblCellMar>
            <w:top w:w="0" w:type="dxa"/>
            <w:left w:w="108" w:type="dxa"/>
            <w:bottom w:w="0" w:type="dxa"/>
            <w:right w:w="108" w:type="dxa"/>
          </w:tblCellMar>
        </w:tblPrEx>
        <w:trPr>
          <w:trHeight w:val="397" w:hRule="atLeast"/>
        </w:trPr>
        <w:tc>
          <w:tcPr>
            <w:tcW w:w="658" w:type="pct"/>
            <w:tcBorders>
              <w:top w:val="single" w:color="000000" w:sz="4" w:space="0"/>
              <w:left w:val="single" w:color="000000" w:sz="4" w:space="0"/>
              <w:bottom w:val="single" w:color="000000" w:sz="4" w:space="0"/>
              <w:right w:val="single" w:color="000000" w:sz="4" w:space="0"/>
            </w:tcBorders>
            <w:vAlign w:val="center"/>
          </w:tcPr>
          <w:p w14:paraId="4E0A2085">
            <w:pPr>
              <w:widowControl/>
              <w:jc w:val="center"/>
              <w:textAlignment w:val="center"/>
              <w:rPr>
                <w:rFonts w:hint="eastAsia" w:ascii="宋体" w:hAnsi="宋体" w:cs="宋体"/>
                <w:sz w:val="22"/>
                <w:szCs w:val="20"/>
                <w:highlight w:val="none"/>
              </w:rPr>
            </w:pPr>
            <w:r>
              <w:rPr>
                <w:rFonts w:hint="eastAsia" w:ascii="宋体" w:hAnsi="宋体" w:cs="宋体"/>
                <w:sz w:val="22"/>
                <w:szCs w:val="20"/>
                <w:highlight w:val="none"/>
                <w:lang w:bidi="ar"/>
              </w:rPr>
              <w:t>1</w:t>
            </w:r>
          </w:p>
        </w:tc>
        <w:tc>
          <w:tcPr>
            <w:tcW w:w="1547" w:type="pct"/>
            <w:tcBorders>
              <w:top w:val="single" w:color="000000" w:sz="4" w:space="0"/>
              <w:left w:val="single" w:color="000000" w:sz="4" w:space="0"/>
              <w:bottom w:val="single" w:color="000000" w:sz="4" w:space="0"/>
              <w:right w:val="single" w:color="000000" w:sz="4" w:space="0"/>
            </w:tcBorders>
            <w:vAlign w:val="center"/>
          </w:tcPr>
          <w:p w14:paraId="651910B3">
            <w:pPr>
              <w:widowControl/>
              <w:jc w:val="center"/>
              <w:textAlignment w:val="center"/>
              <w:rPr>
                <w:rFonts w:hint="eastAsia" w:ascii="宋体" w:hAnsi="宋体" w:cs="宋体"/>
                <w:sz w:val="22"/>
                <w:szCs w:val="20"/>
                <w:highlight w:val="none"/>
              </w:rPr>
            </w:pPr>
            <w:r>
              <w:rPr>
                <w:rFonts w:hint="eastAsia" w:ascii="宋体" w:hAnsi="宋体" w:cs="宋体"/>
                <w:sz w:val="22"/>
                <w:szCs w:val="20"/>
                <w:highlight w:val="none"/>
                <w:lang w:bidi="ar"/>
              </w:rPr>
              <w:t>绿色照明</w:t>
            </w:r>
          </w:p>
        </w:tc>
        <w:tc>
          <w:tcPr>
            <w:tcW w:w="2794" w:type="pct"/>
            <w:tcBorders>
              <w:top w:val="single" w:color="000000" w:sz="4" w:space="0"/>
              <w:left w:val="single" w:color="000000" w:sz="4" w:space="0"/>
              <w:bottom w:val="single" w:color="000000" w:sz="4" w:space="0"/>
              <w:right w:val="single" w:color="000000" w:sz="4" w:space="0"/>
            </w:tcBorders>
            <w:vAlign w:val="center"/>
          </w:tcPr>
          <w:p w14:paraId="3CC918F1">
            <w:pPr>
              <w:widowControl/>
              <w:jc w:val="left"/>
              <w:textAlignment w:val="center"/>
              <w:rPr>
                <w:rFonts w:hint="eastAsia" w:ascii="宋体" w:hAnsi="宋体" w:cs="宋体"/>
                <w:sz w:val="22"/>
                <w:szCs w:val="20"/>
                <w:highlight w:val="none"/>
                <w:lang w:bidi="ar"/>
              </w:rPr>
            </w:pPr>
            <w:r>
              <w:rPr>
                <w:rFonts w:hint="eastAsia" w:ascii="宋体" w:hAnsi="宋体" w:cs="宋体"/>
                <w:sz w:val="22"/>
                <w:szCs w:val="20"/>
                <w:highlight w:val="none"/>
              </w:rPr>
              <w:t>对所有公共机构（学校除外）进行LED照明灯具的改造。</w:t>
            </w:r>
          </w:p>
        </w:tc>
      </w:tr>
      <w:tr w14:paraId="2DF8AAE4">
        <w:tblPrEx>
          <w:tblCellMar>
            <w:top w:w="0" w:type="dxa"/>
            <w:left w:w="108" w:type="dxa"/>
            <w:bottom w:w="0" w:type="dxa"/>
            <w:right w:w="108" w:type="dxa"/>
          </w:tblCellMar>
        </w:tblPrEx>
        <w:trPr>
          <w:trHeight w:val="397" w:hRule="atLeast"/>
        </w:trPr>
        <w:tc>
          <w:tcPr>
            <w:tcW w:w="658" w:type="pct"/>
            <w:tcBorders>
              <w:top w:val="single" w:color="000000" w:sz="4" w:space="0"/>
              <w:left w:val="single" w:color="000000" w:sz="4" w:space="0"/>
              <w:bottom w:val="single" w:color="000000" w:sz="4" w:space="0"/>
              <w:right w:val="single" w:color="000000" w:sz="4" w:space="0"/>
            </w:tcBorders>
            <w:vAlign w:val="center"/>
          </w:tcPr>
          <w:p w14:paraId="33F76852">
            <w:pPr>
              <w:widowControl/>
              <w:jc w:val="center"/>
              <w:textAlignment w:val="center"/>
              <w:rPr>
                <w:rFonts w:hint="eastAsia" w:ascii="宋体" w:hAnsi="宋体" w:cs="宋体"/>
                <w:sz w:val="22"/>
                <w:szCs w:val="20"/>
                <w:highlight w:val="none"/>
              </w:rPr>
            </w:pPr>
            <w:r>
              <w:rPr>
                <w:rFonts w:hint="eastAsia" w:ascii="宋体" w:hAnsi="宋体" w:cs="宋体"/>
                <w:sz w:val="22"/>
                <w:szCs w:val="20"/>
                <w:highlight w:val="none"/>
                <w:lang w:bidi="ar"/>
              </w:rPr>
              <w:t>2</w:t>
            </w:r>
          </w:p>
        </w:tc>
        <w:tc>
          <w:tcPr>
            <w:tcW w:w="1547" w:type="pct"/>
            <w:tcBorders>
              <w:top w:val="single" w:color="000000" w:sz="4" w:space="0"/>
              <w:left w:val="single" w:color="000000" w:sz="4" w:space="0"/>
              <w:bottom w:val="single" w:color="000000" w:sz="4" w:space="0"/>
              <w:right w:val="single" w:color="000000" w:sz="4" w:space="0"/>
            </w:tcBorders>
            <w:vAlign w:val="center"/>
          </w:tcPr>
          <w:p w14:paraId="10D452B7">
            <w:pPr>
              <w:widowControl/>
              <w:jc w:val="center"/>
              <w:textAlignment w:val="center"/>
              <w:rPr>
                <w:rFonts w:hint="eastAsia" w:ascii="宋体" w:hAnsi="宋体" w:cs="宋体"/>
                <w:sz w:val="22"/>
                <w:szCs w:val="20"/>
                <w:highlight w:val="none"/>
              </w:rPr>
            </w:pPr>
            <w:r>
              <w:rPr>
                <w:rFonts w:hint="eastAsia" w:ascii="宋体" w:hAnsi="宋体" w:cs="宋体"/>
                <w:sz w:val="22"/>
                <w:szCs w:val="20"/>
                <w:highlight w:val="none"/>
                <w:lang w:bidi="ar"/>
              </w:rPr>
              <w:t>生活热水</w:t>
            </w:r>
          </w:p>
        </w:tc>
        <w:tc>
          <w:tcPr>
            <w:tcW w:w="2794" w:type="pct"/>
            <w:tcBorders>
              <w:top w:val="single" w:color="000000" w:sz="4" w:space="0"/>
              <w:left w:val="single" w:color="000000" w:sz="4" w:space="0"/>
              <w:bottom w:val="single" w:color="000000" w:sz="4" w:space="0"/>
              <w:right w:val="single" w:color="000000" w:sz="4" w:space="0"/>
            </w:tcBorders>
            <w:vAlign w:val="center"/>
          </w:tcPr>
          <w:p w14:paraId="1D4DD9DE">
            <w:pPr>
              <w:widowControl/>
              <w:jc w:val="left"/>
              <w:textAlignment w:val="center"/>
              <w:rPr>
                <w:rFonts w:hint="eastAsia" w:ascii="宋体" w:hAnsi="宋体" w:cs="宋体"/>
                <w:sz w:val="22"/>
                <w:szCs w:val="20"/>
                <w:highlight w:val="none"/>
                <w:lang w:bidi="ar"/>
              </w:rPr>
            </w:pPr>
            <w:r>
              <w:rPr>
                <w:rFonts w:hint="eastAsia" w:ascii="宋体" w:hAnsi="宋体" w:cs="宋体"/>
                <w:sz w:val="22"/>
                <w:szCs w:val="20"/>
                <w:highlight w:val="none"/>
              </w:rPr>
              <w:t>通过空气源热泵、水源热泵对重点用能单位的厨房用水和浴室用水等较为集中用热水的场景进行替代改造。</w:t>
            </w:r>
          </w:p>
        </w:tc>
      </w:tr>
      <w:tr w14:paraId="07384315">
        <w:tblPrEx>
          <w:tblCellMar>
            <w:top w:w="0" w:type="dxa"/>
            <w:left w:w="108" w:type="dxa"/>
            <w:bottom w:w="0" w:type="dxa"/>
            <w:right w:w="108" w:type="dxa"/>
          </w:tblCellMar>
        </w:tblPrEx>
        <w:trPr>
          <w:trHeight w:val="397" w:hRule="atLeast"/>
        </w:trPr>
        <w:tc>
          <w:tcPr>
            <w:tcW w:w="658" w:type="pct"/>
            <w:tcBorders>
              <w:top w:val="single" w:color="000000" w:sz="4" w:space="0"/>
              <w:left w:val="single" w:color="000000" w:sz="4" w:space="0"/>
              <w:bottom w:val="single" w:color="000000" w:sz="4" w:space="0"/>
              <w:right w:val="single" w:color="000000" w:sz="4" w:space="0"/>
            </w:tcBorders>
            <w:vAlign w:val="center"/>
          </w:tcPr>
          <w:p w14:paraId="7621B6F5">
            <w:pPr>
              <w:widowControl/>
              <w:jc w:val="center"/>
              <w:textAlignment w:val="center"/>
              <w:rPr>
                <w:rFonts w:hint="eastAsia" w:ascii="宋体" w:hAnsi="宋体" w:cs="宋体"/>
                <w:sz w:val="22"/>
                <w:szCs w:val="20"/>
                <w:highlight w:val="none"/>
              </w:rPr>
            </w:pPr>
            <w:r>
              <w:rPr>
                <w:rFonts w:hint="eastAsia" w:ascii="宋体" w:hAnsi="宋体" w:cs="宋体"/>
                <w:sz w:val="22"/>
                <w:szCs w:val="20"/>
                <w:highlight w:val="none"/>
                <w:lang w:bidi="ar"/>
              </w:rPr>
              <w:t>3</w:t>
            </w:r>
          </w:p>
        </w:tc>
        <w:tc>
          <w:tcPr>
            <w:tcW w:w="1547" w:type="pct"/>
            <w:tcBorders>
              <w:top w:val="single" w:color="000000" w:sz="4" w:space="0"/>
              <w:left w:val="single" w:color="000000" w:sz="4" w:space="0"/>
              <w:bottom w:val="single" w:color="000000" w:sz="4" w:space="0"/>
              <w:right w:val="single" w:color="000000" w:sz="4" w:space="0"/>
            </w:tcBorders>
            <w:vAlign w:val="center"/>
          </w:tcPr>
          <w:p w14:paraId="6C6B48DB">
            <w:pPr>
              <w:widowControl/>
              <w:jc w:val="center"/>
              <w:textAlignment w:val="center"/>
              <w:rPr>
                <w:rFonts w:hint="eastAsia" w:ascii="宋体" w:hAnsi="宋体" w:cs="宋体"/>
                <w:sz w:val="22"/>
                <w:szCs w:val="20"/>
                <w:highlight w:val="none"/>
              </w:rPr>
            </w:pPr>
            <w:r>
              <w:rPr>
                <w:rFonts w:hint="eastAsia" w:ascii="宋体" w:hAnsi="宋体" w:cs="宋体"/>
                <w:sz w:val="22"/>
                <w:szCs w:val="20"/>
                <w:highlight w:val="none"/>
              </w:rPr>
              <w:t>分体空调</w:t>
            </w:r>
          </w:p>
        </w:tc>
        <w:tc>
          <w:tcPr>
            <w:tcW w:w="2794" w:type="pct"/>
            <w:tcBorders>
              <w:top w:val="single" w:color="000000" w:sz="4" w:space="0"/>
              <w:left w:val="single" w:color="000000" w:sz="4" w:space="0"/>
              <w:bottom w:val="single" w:color="000000" w:sz="4" w:space="0"/>
              <w:right w:val="single" w:color="000000" w:sz="4" w:space="0"/>
            </w:tcBorders>
            <w:vAlign w:val="center"/>
          </w:tcPr>
          <w:p w14:paraId="79C21522">
            <w:pPr>
              <w:widowControl/>
              <w:jc w:val="left"/>
              <w:textAlignment w:val="center"/>
              <w:rPr>
                <w:rFonts w:hint="eastAsia" w:ascii="宋体" w:hAnsi="宋体" w:cs="宋体"/>
                <w:sz w:val="22"/>
                <w:szCs w:val="20"/>
                <w:highlight w:val="none"/>
                <w:lang w:bidi="ar"/>
              </w:rPr>
            </w:pPr>
            <w:r>
              <w:rPr>
                <w:rFonts w:hint="eastAsia" w:ascii="宋体" w:hAnsi="宋体" w:cs="宋体"/>
                <w:sz w:val="22"/>
                <w:szCs w:val="20"/>
                <w:highlight w:val="none"/>
              </w:rPr>
              <w:t>对重点用能单位运行超过15年以上的低能效分体空调进行替代更换。</w:t>
            </w:r>
          </w:p>
        </w:tc>
      </w:tr>
      <w:tr w14:paraId="10C953C0">
        <w:tblPrEx>
          <w:tblCellMar>
            <w:top w:w="0" w:type="dxa"/>
            <w:left w:w="108" w:type="dxa"/>
            <w:bottom w:w="0" w:type="dxa"/>
            <w:right w:w="108" w:type="dxa"/>
          </w:tblCellMar>
        </w:tblPrEx>
        <w:trPr>
          <w:trHeight w:val="397" w:hRule="atLeast"/>
        </w:trPr>
        <w:tc>
          <w:tcPr>
            <w:tcW w:w="658" w:type="pct"/>
            <w:tcBorders>
              <w:top w:val="single" w:color="000000" w:sz="4" w:space="0"/>
              <w:left w:val="single" w:color="000000" w:sz="4" w:space="0"/>
              <w:bottom w:val="single" w:color="000000" w:sz="4" w:space="0"/>
              <w:right w:val="single" w:color="000000" w:sz="4" w:space="0"/>
            </w:tcBorders>
            <w:vAlign w:val="center"/>
          </w:tcPr>
          <w:p w14:paraId="1669C39E">
            <w:pPr>
              <w:widowControl/>
              <w:jc w:val="center"/>
              <w:textAlignment w:val="center"/>
              <w:rPr>
                <w:rFonts w:hint="eastAsia" w:ascii="宋体" w:hAnsi="宋体" w:cs="宋体"/>
                <w:sz w:val="22"/>
                <w:szCs w:val="20"/>
                <w:highlight w:val="none"/>
              </w:rPr>
            </w:pPr>
            <w:r>
              <w:rPr>
                <w:rFonts w:hint="eastAsia" w:ascii="宋体" w:hAnsi="宋体" w:cs="宋体"/>
                <w:sz w:val="22"/>
                <w:szCs w:val="20"/>
                <w:highlight w:val="none"/>
                <w:lang w:bidi="ar"/>
              </w:rPr>
              <w:t>4</w:t>
            </w:r>
          </w:p>
        </w:tc>
        <w:tc>
          <w:tcPr>
            <w:tcW w:w="2483" w:type="dxa"/>
            <w:tcBorders>
              <w:top w:val="single" w:color="000000" w:sz="4" w:space="0"/>
              <w:left w:val="single" w:color="000000" w:sz="4" w:space="0"/>
              <w:bottom w:val="single" w:color="000000" w:sz="4" w:space="0"/>
              <w:right w:val="single" w:color="000000" w:sz="4" w:space="0"/>
            </w:tcBorders>
            <w:vAlign w:val="center"/>
          </w:tcPr>
          <w:p w14:paraId="25A3C5FC">
            <w:pPr>
              <w:widowControl/>
              <w:jc w:val="center"/>
              <w:textAlignment w:val="center"/>
              <w:rPr>
                <w:rFonts w:hint="eastAsia" w:ascii="宋体" w:hAnsi="宋体" w:cs="宋体"/>
                <w:sz w:val="22"/>
                <w:szCs w:val="20"/>
                <w:highlight w:val="none"/>
              </w:rPr>
            </w:pPr>
            <w:r>
              <w:rPr>
                <w:rFonts w:hint="eastAsia" w:ascii="宋体" w:hAnsi="宋体" w:cs="宋体"/>
                <w:sz w:val="22"/>
                <w:szCs w:val="20"/>
                <w:highlight w:val="none"/>
                <w:lang w:bidi="ar"/>
              </w:rPr>
              <w:t>集中冷(热)源系统</w:t>
            </w:r>
          </w:p>
        </w:tc>
        <w:tc>
          <w:tcPr>
            <w:tcW w:w="4484" w:type="dxa"/>
            <w:tcBorders>
              <w:top w:val="single" w:color="000000" w:sz="4" w:space="0"/>
              <w:left w:val="single" w:color="000000" w:sz="4" w:space="0"/>
              <w:bottom w:val="single" w:color="000000" w:sz="4" w:space="0"/>
              <w:right w:val="single" w:color="000000" w:sz="4" w:space="0"/>
            </w:tcBorders>
            <w:vAlign w:val="center"/>
          </w:tcPr>
          <w:p w14:paraId="4177BA21">
            <w:pPr>
              <w:widowControl/>
              <w:jc w:val="left"/>
              <w:textAlignment w:val="center"/>
              <w:rPr>
                <w:rFonts w:hint="eastAsia" w:ascii="宋体" w:hAnsi="宋体" w:cs="宋体"/>
                <w:sz w:val="22"/>
                <w:szCs w:val="20"/>
                <w:highlight w:val="none"/>
                <w:lang w:bidi="ar"/>
              </w:rPr>
            </w:pPr>
            <w:r>
              <w:rPr>
                <w:rFonts w:hint="eastAsia" w:ascii="宋体" w:hAnsi="宋体" w:cs="宋体"/>
                <w:sz w:val="22"/>
                <w:szCs w:val="20"/>
                <w:highlight w:val="none"/>
              </w:rPr>
              <w:t>采用磁悬浮冷水机组、冷凝低氮锅炉、空气源热泵机组、高能效水泵等多种组合替代原效率低下的</w:t>
            </w:r>
            <w:r>
              <w:rPr>
                <w:rFonts w:hint="eastAsia" w:ascii="宋体" w:hAnsi="宋体" w:cs="宋体"/>
                <w:sz w:val="22"/>
                <w:szCs w:val="20"/>
                <w:highlight w:val="none"/>
                <w:lang w:bidi="ar"/>
              </w:rPr>
              <w:t>集中冷(热)源系统，</w:t>
            </w:r>
            <w:r>
              <w:rPr>
                <w:rFonts w:hint="eastAsia" w:ascii="宋体" w:hAnsi="宋体" w:cs="宋体"/>
                <w:sz w:val="22"/>
                <w:szCs w:val="20"/>
                <w:highlight w:val="none"/>
              </w:rPr>
              <w:t>提高用能效率。</w:t>
            </w:r>
          </w:p>
        </w:tc>
      </w:tr>
    </w:tbl>
    <w:p w14:paraId="4E492A03">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7.4主要设施设备技术要求（本文件所述要求为共性最低要求，对于部分特殊机构或者国家、行业、地方有关标准、规范、技术要求有更新的或者更高要求的，按照最新或最高要求执行，</w:t>
      </w:r>
      <w:r>
        <w:rPr>
          <w:rFonts w:ascii="宋体" w:hAnsi="宋体" w:cs="宋体"/>
          <w:b/>
          <w:bCs/>
          <w:sz w:val="24"/>
          <w:szCs w:val="24"/>
          <w:highlight w:val="none"/>
        </w:rPr>
        <w:t>当国家、行业、地方标准不一致时，执行最严格标准</w:t>
      </w:r>
      <w:r>
        <w:rPr>
          <w:rFonts w:hint="eastAsia" w:ascii="宋体" w:hAnsi="宋体" w:cs="宋体"/>
          <w:b/>
          <w:bCs/>
          <w:sz w:val="24"/>
          <w:szCs w:val="24"/>
          <w:highlight w:val="none"/>
        </w:rPr>
        <w:t>）</w:t>
      </w:r>
    </w:p>
    <w:p w14:paraId="04630FB0">
      <w:pPr>
        <w:spacing w:line="360" w:lineRule="auto"/>
        <w:rPr>
          <w:rFonts w:hint="eastAsia" w:ascii="宋体" w:hAnsi="宋体"/>
          <w:b/>
          <w:sz w:val="24"/>
          <w:szCs w:val="24"/>
          <w:highlight w:val="none"/>
        </w:rPr>
      </w:pPr>
      <w:r>
        <w:rPr>
          <w:rFonts w:hint="eastAsia" w:ascii="宋体" w:hAnsi="宋体"/>
          <w:b/>
          <w:sz w:val="24"/>
          <w:szCs w:val="24"/>
          <w:highlight w:val="none"/>
        </w:rPr>
        <w:t>1）三相四线互感式电能表</w:t>
      </w:r>
    </w:p>
    <w:p w14:paraId="0ABC1C7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准</w:t>
      </w:r>
      <w:r>
        <w:rPr>
          <w:rFonts w:hint="eastAsia" w:ascii="宋体" w:hAnsi="宋体" w:cs="宋体"/>
          <w:sz w:val="24"/>
          <w:szCs w:val="24"/>
          <w:highlight w:val="none"/>
        </w:rPr>
        <w:t>精</w:t>
      </w:r>
      <w:r>
        <w:rPr>
          <w:rFonts w:hint="eastAsia" w:ascii="宋体" w:hAnsi="宋体" w:cs="___WRD_EMBED_SUB_45"/>
          <w:sz w:val="24"/>
          <w:szCs w:val="24"/>
          <w:highlight w:val="none"/>
        </w:rPr>
        <w:t>度等级：有</w:t>
      </w:r>
      <w:r>
        <w:rPr>
          <w:rFonts w:hint="eastAsia" w:ascii="宋体" w:hAnsi="宋体" w:cs="宋体"/>
          <w:sz w:val="24"/>
          <w:szCs w:val="24"/>
          <w:highlight w:val="none"/>
        </w:rPr>
        <w:t>功</w:t>
      </w:r>
      <w:r>
        <w:rPr>
          <w:rFonts w:hint="eastAsia" w:ascii="宋体" w:hAnsi="宋体"/>
          <w:sz w:val="24"/>
          <w:szCs w:val="24"/>
          <w:highlight w:val="none"/>
        </w:rPr>
        <w:t>0.5级，无</w:t>
      </w:r>
      <w:r>
        <w:rPr>
          <w:rFonts w:hint="eastAsia" w:ascii="宋体" w:hAnsi="宋体" w:cs="宋体"/>
          <w:sz w:val="24"/>
          <w:szCs w:val="24"/>
          <w:highlight w:val="none"/>
        </w:rPr>
        <w:t>功</w:t>
      </w:r>
      <w:r>
        <w:rPr>
          <w:rFonts w:hint="eastAsia" w:ascii="宋体" w:hAnsi="宋体"/>
          <w:sz w:val="24"/>
          <w:szCs w:val="24"/>
          <w:highlight w:val="none"/>
        </w:rPr>
        <w:t>2.0级</w:t>
      </w:r>
    </w:p>
    <w:p w14:paraId="4CD2B80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额定电</w:t>
      </w:r>
      <w:r>
        <w:rPr>
          <w:rFonts w:hint="eastAsia" w:ascii="宋体" w:hAnsi="宋体" w:cs="宋体"/>
          <w:sz w:val="24"/>
          <w:szCs w:val="24"/>
          <w:highlight w:val="none"/>
        </w:rPr>
        <w:t>压</w:t>
      </w:r>
      <w:r>
        <w:rPr>
          <w:rFonts w:hint="eastAsia" w:ascii="宋体" w:hAnsi="宋体" w:cs="___WRD_EMBED_SUB_45"/>
          <w:sz w:val="24"/>
          <w:szCs w:val="24"/>
          <w:highlight w:val="none"/>
        </w:rPr>
        <w:t>：</w:t>
      </w:r>
      <w:r>
        <w:rPr>
          <w:rFonts w:hint="eastAsia" w:ascii="宋体" w:hAnsi="宋体"/>
          <w:sz w:val="24"/>
          <w:szCs w:val="24"/>
          <w:highlight w:val="none"/>
        </w:rPr>
        <w:t>3×380/220V</w:t>
      </w:r>
    </w:p>
    <w:p w14:paraId="1BD87A2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额定电</w:t>
      </w:r>
      <w:r>
        <w:rPr>
          <w:rFonts w:hint="eastAsia" w:ascii="宋体" w:hAnsi="宋体" w:cs="宋体"/>
          <w:sz w:val="24"/>
          <w:szCs w:val="24"/>
          <w:highlight w:val="none"/>
        </w:rPr>
        <w:t>流</w:t>
      </w:r>
      <w:r>
        <w:rPr>
          <w:rFonts w:hint="eastAsia" w:ascii="宋体" w:hAnsi="宋体" w:cs="___WRD_EMBED_SUB_45"/>
          <w:sz w:val="24"/>
          <w:szCs w:val="24"/>
          <w:highlight w:val="none"/>
        </w:rPr>
        <w:t>：</w:t>
      </w:r>
      <w:r>
        <w:rPr>
          <w:rFonts w:hint="eastAsia" w:ascii="宋体" w:hAnsi="宋体"/>
          <w:sz w:val="24"/>
          <w:szCs w:val="24"/>
          <w:highlight w:val="none"/>
        </w:rPr>
        <w:t>1.5(6)A</w:t>
      </w:r>
    </w:p>
    <w:p w14:paraId="176287A4">
      <w:pPr>
        <w:spacing w:line="360" w:lineRule="auto"/>
        <w:rPr>
          <w:rFonts w:hint="eastAsia" w:ascii="宋体" w:hAnsi="宋体"/>
          <w:b/>
          <w:sz w:val="24"/>
          <w:szCs w:val="24"/>
          <w:highlight w:val="none"/>
        </w:rPr>
      </w:pPr>
      <w:r>
        <w:rPr>
          <w:rFonts w:hint="eastAsia" w:ascii="宋体" w:hAnsi="宋体"/>
          <w:b/>
          <w:sz w:val="24"/>
          <w:szCs w:val="24"/>
          <w:highlight w:val="none"/>
        </w:rPr>
        <w:t>2）三相四线直接式电能表</w:t>
      </w:r>
    </w:p>
    <w:p w14:paraId="3977D73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准精度等级：有功1.0级，无功2.0级</w:t>
      </w:r>
    </w:p>
    <w:p w14:paraId="08476A0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额定电压：3×380/220V</w:t>
      </w:r>
    </w:p>
    <w:p w14:paraId="2F040A3B">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额定电流：5(80)A</w:t>
      </w:r>
    </w:p>
    <w:p w14:paraId="3F1B7357">
      <w:pPr>
        <w:spacing w:line="360" w:lineRule="auto"/>
        <w:rPr>
          <w:rFonts w:hint="eastAsia" w:ascii="宋体" w:hAnsi="宋体"/>
          <w:b/>
          <w:sz w:val="24"/>
          <w:szCs w:val="24"/>
          <w:highlight w:val="none"/>
        </w:rPr>
      </w:pPr>
      <w:r>
        <w:rPr>
          <w:rFonts w:hint="eastAsia" w:ascii="宋体" w:hAnsi="宋体"/>
          <w:b/>
          <w:sz w:val="24"/>
          <w:szCs w:val="24"/>
          <w:highlight w:val="none"/>
        </w:rPr>
        <w:t>3）网络多功能电力仪表</w:t>
      </w:r>
    </w:p>
    <w:p w14:paraId="64BD9AF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接线：三相四线</w:t>
      </w:r>
    </w:p>
    <w:p w14:paraId="5FB23F2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频率：45- 65Hz</w:t>
      </w:r>
    </w:p>
    <w:p w14:paraId="42F3C90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电压额定值：AC 100V.400V</w:t>
      </w:r>
    </w:p>
    <w:p w14:paraId="3DF9C2FB">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电流额定值: AC 1A.5A</w:t>
      </w:r>
    </w:p>
    <w:p w14:paraId="2647B71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通讯：RS485接口、Modbus- RTU协议</w:t>
      </w:r>
    </w:p>
    <w:p w14:paraId="08CA422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显示：LED、LCD</w:t>
      </w:r>
    </w:p>
    <w:p w14:paraId="148C2EB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开关量输入：2路或4路无源干接点输入方式</w:t>
      </w:r>
    </w:p>
    <w:p w14:paraId="7750E8A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开关量输出：2路继电器常开触点输出</w:t>
      </w:r>
    </w:p>
    <w:p w14:paraId="00243D3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精度等级：频率0.05Hz、无功电能2级、其它0.5级</w:t>
      </w:r>
    </w:p>
    <w:p w14:paraId="167DE6A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安装方式：面板式嵌入式。</w:t>
      </w:r>
    </w:p>
    <w:p w14:paraId="61584350">
      <w:pPr>
        <w:spacing w:line="360" w:lineRule="auto"/>
        <w:rPr>
          <w:rFonts w:hint="eastAsia" w:ascii="宋体" w:hAnsi="宋体"/>
          <w:b/>
          <w:sz w:val="24"/>
          <w:szCs w:val="24"/>
          <w:highlight w:val="none"/>
        </w:rPr>
      </w:pPr>
      <w:r>
        <w:rPr>
          <w:rFonts w:hint="eastAsia" w:ascii="宋体" w:hAnsi="宋体"/>
          <w:b/>
          <w:sz w:val="24"/>
          <w:szCs w:val="24"/>
          <w:highlight w:val="none"/>
        </w:rPr>
        <w:t>4）智能数据网关</w:t>
      </w:r>
    </w:p>
    <w:p w14:paraId="2DE3560B">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功能</w:t>
      </w:r>
      <w:r>
        <w:rPr>
          <w:rFonts w:hint="eastAsia" w:ascii="宋体" w:hAnsi="宋体" w:cs="宋体"/>
          <w:sz w:val="24"/>
          <w:szCs w:val="24"/>
          <w:highlight w:val="none"/>
        </w:rPr>
        <w:t>要求</w:t>
      </w:r>
    </w:p>
    <w:p w14:paraId="1A5FD349">
      <w:pPr>
        <w:widowControl/>
        <w:spacing w:line="360" w:lineRule="auto"/>
        <w:ind w:firstLine="480" w:firstLineChars="200"/>
        <w:jc w:val="left"/>
        <w:rPr>
          <w:rFonts w:hint="eastAsia" w:ascii="宋体" w:hAnsi="宋体" w:cs="宋体"/>
          <w:sz w:val="24"/>
          <w:szCs w:val="24"/>
          <w:highlight w:val="none"/>
        </w:rPr>
      </w:pPr>
      <w:r>
        <w:rPr>
          <w:rFonts w:ascii="宋体" w:hAnsi="宋体" w:cs="宋体"/>
          <w:sz w:val="24"/>
          <w:szCs w:val="24"/>
          <w:highlight w:val="none"/>
        </w:rPr>
        <w:t>支持DL/T 645-1997、DL/T 645-2007、CJ/T 188-2004、ModbusRTU、ModbusTCP等多种标准通信协议；</w:t>
      </w:r>
      <w:r>
        <w:rPr>
          <w:rFonts w:hint="eastAsia" w:ascii="宋体" w:hAnsi="宋体" w:cs="宋体"/>
          <w:sz w:val="24"/>
          <w:szCs w:val="24"/>
          <w:highlight w:val="none"/>
        </w:rPr>
        <w:t>支持</w:t>
      </w:r>
      <w:r>
        <w:rPr>
          <w:rFonts w:ascii="宋体" w:hAnsi="宋体" w:cs="宋体"/>
          <w:sz w:val="24"/>
          <w:szCs w:val="24"/>
          <w:highlight w:val="none"/>
        </w:rPr>
        <w:t>边缘采集、实时更新</w:t>
      </w:r>
      <w:r>
        <w:rPr>
          <w:rFonts w:hint="eastAsia" w:ascii="宋体" w:hAnsi="宋体" w:cs="宋体"/>
          <w:sz w:val="24"/>
          <w:szCs w:val="24"/>
          <w:highlight w:val="none"/>
        </w:rPr>
        <w:t>；支持包括</w:t>
      </w:r>
      <w:r>
        <w:rPr>
          <w:rFonts w:ascii="宋体" w:hAnsi="宋体" w:cs="宋体"/>
          <w:sz w:val="24"/>
          <w:szCs w:val="24"/>
          <w:highlight w:val="none"/>
        </w:rPr>
        <w:t>周期上报、变化上报</w:t>
      </w:r>
      <w:r>
        <w:rPr>
          <w:rFonts w:hint="eastAsia" w:ascii="宋体" w:hAnsi="宋体" w:cs="宋体"/>
          <w:sz w:val="24"/>
          <w:szCs w:val="24"/>
          <w:highlight w:val="none"/>
        </w:rPr>
        <w:t>等多种形式的</w:t>
      </w:r>
      <w:r>
        <w:rPr>
          <w:rFonts w:ascii="宋体" w:hAnsi="宋体" w:cs="宋体"/>
          <w:sz w:val="24"/>
          <w:szCs w:val="24"/>
          <w:highlight w:val="none"/>
        </w:rPr>
        <w:t>数据上报、命令下发；</w:t>
      </w:r>
      <w:r>
        <w:rPr>
          <w:rFonts w:hint="eastAsia" w:ascii="宋体" w:hAnsi="宋体" w:cs="宋体"/>
          <w:sz w:val="24"/>
          <w:szCs w:val="24"/>
          <w:highlight w:val="none"/>
        </w:rPr>
        <w:t>支持</w:t>
      </w:r>
      <w:r>
        <w:rPr>
          <w:rFonts w:ascii="宋体" w:hAnsi="宋体" w:cs="宋体"/>
          <w:sz w:val="24"/>
          <w:szCs w:val="24"/>
          <w:highlight w:val="none"/>
        </w:rPr>
        <w:t>Web配置、远程运维</w:t>
      </w:r>
      <w:r>
        <w:rPr>
          <w:rFonts w:hint="eastAsia" w:ascii="宋体" w:hAnsi="宋体" w:cs="宋体"/>
          <w:sz w:val="24"/>
          <w:szCs w:val="24"/>
          <w:highlight w:val="none"/>
        </w:rPr>
        <w:t>；支持</w:t>
      </w:r>
      <w:r>
        <w:rPr>
          <w:rFonts w:ascii="宋体" w:hAnsi="宋体" w:cs="宋体"/>
          <w:sz w:val="24"/>
          <w:szCs w:val="24"/>
          <w:highlight w:val="none"/>
        </w:rPr>
        <w:t>脚本开发</w:t>
      </w:r>
      <w:r>
        <w:rPr>
          <w:rFonts w:hint="eastAsia" w:ascii="宋体" w:hAnsi="宋体" w:cs="宋体"/>
          <w:sz w:val="24"/>
          <w:szCs w:val="24"/>
          <w:highlight w:val="none"/>
        </w:rPr>
        <w:t>；</w:t>
      </w:r>
      <w:r>
        <w:rPr>
          <w:rFonts w:ascii="宋体" w:hAnsi="宋体" w:cs="宋体"/>
          <w:sz w:val="24"/>
          <w:szCs w:val="24"/>
          <w:highlight w:val="none"/>
        </w:rPr>
        <w:t>运行稳定</w:t>
      </w:r>
      <w:r>
        <w:rPr>
          <w:rFonts w:hint="eastAsia" w:ascii="宋体" w:hAnsi="宋体" w:cs="宋体"/>
          <w:sz w:val="24"/>
          <w:szCs w:val="24"/>
          <w:highlight w:val="none"/>
        </w:rPr>
        <w:t>，</w:t>
      </w:r>
      <w:r>
        <w:rPr>
          <w:rFonts w:ascii="宋体" w:hAnsi="宋体" w:cs="宋体"/>
          <w:sz w:val="24"/>
          <w:szCs w:val="24"/>
          <w:highlight w:val="none"/>
        </w:rPr>
        <w:t>支持365天不间断工作</w:t>
      </w:r>
      <w:r>
        <w:rPr>
          <w:rFonts w:hint="eastAsia" w:ascii="宋体" w:hAnsi="宋体" w:cs="宋体"/>
          <w:sz w:val="24"/>
          <w:szCs w:val="24"/>
          <w:highlight w:val="none"/>
        </w:rPr>
        <w:t>。</w:t>
      </w:r>
    </w:p>
    <w:p w14:paraId="42AB3C83">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w:t>
      </w:r>
      <w:r>
        <w:rPr>
          <w:rFonts w:ascii="宋体" w:hAnsi="宋体" w:cs="宋体"/>
          <w:sz w:val="24"/>
          <w:szCs w:val="24"/>
          <w:highlight w:val="none"/>
        </w:rPr>
        <w:t>性能指标</w:t>
      </w:r>
    </w:p>
    <w:p w14:paraId="3644878C">
      <w:pPr>
        <w:widowControl/>
        <w:spacing w:line="360" w:lineRule="auto"/>
        <w:ind w:firstLine="480" w:firstLineChars="200"/>
        <w:jc w:val="left"/>
        <w:rPr>
          <w:rFonts w:hint="eastAsia" w:ascii="宋体" w:hAnsi="宋体" w:cs="宋体"/>
          <w:sz w:val="24"/>
          <w:szCs w:val="24"/>
          <w:highlight w:val="none"/>
        </w:rPr>
      </w:pPr>
      <w:r>
        <w:rPr>
          <w:rFonts w:ascii="宋体" w:hAnsi="宋体" w:cs="宋体"/>
          <w:sz w:val="24"/>
          <w:szCs w:val="24"/>
          <w:highlight w:val="none"/>
        </w:rPr>
        <w:t>电源输入：AC220V</w:t>
      </w:r>
    </w:p>
    <w:p w14:paraId="32969533">
      <w:pPr>
        <w:widowControl/>
        <w:spacing w:line="360" w:lineRule="auto"/>
        <w:ind w:firstLine="480" w:firstLineChars="200"/>
        <w:jc w:val="left"/>
        <w:rPr>
          <w:rFonts w:hint="eastAsia" w:ascii="宋体" w:hAnsi="宋体" w:cs="宋体"/>
          <w:sz w:val="24"/>
          <w:szCs w:val="24"/>
          <w:highlight w:val="none"/>
        </w:rPr>
      </w:pPr>
      <w:r>
        <w:rPr>
          <w:rFonts w:ascii="宋体" w:hAnsi="宋体" w:cs="宋体"/>
          <w:sz w:val="24"/>
          <w:szCs w:val="24"/>
          <w:highlight w:val="none"/>
        </w:rPr>
        <w:t>待机功耗：&lt;2W</w:t>
      </w:r>
    </w:p>
    <w:p w14:paraId="4B87AFAB">
      <w:pPr>
        <w:widowControl/>
        <w:spacing w:line="360" w:lineRule="auto"/>
        <w:ind w:firstLine="480" w:firstLineChars="200"/>
        <w:jc w:val="left"/>
        <w:rPr>
          <w:rFonts w:hint="eastAsia" w:ascii="宋体" w:hAnsi="宋体" w:cs="宋体"/>
          <w:sz w:val="24"/>
          <w:szCs w:val="24"/>
          <w:highlight w:val="none"/>
        </w:rPr>
      </w:pPr>
      <w:r>
        <w:rPr>
          <w:rFonts w:ascii="宋体" w:hAnsi="宋体" w:cs="宋体"/>
          <w:sz w:val="24"/>
          <w:szCs w:val="24"/>
          <w:highlight w:val="none"/>
        </w:rPr>
        <w:t>以太网接口：2路10/100M自适应</w:t>
      </w:r>
    </w:p>
    <w:p w14:paraId="757DA337">
      <w:pPr>
        <w:widowControl/>
        <w:spacing w:line="360" w:lineRule="auto"/>
        <w:ind w:firstLine="480" w:firstLineChars="200"/>
        <w:jc w:val="left"/>
        <w:rPr>
          <w:rFonts w:hint="eastAsia" w:ascii="宋体" w:hAnsi="宋体" w:cs="宋体"/>
          <w:sz w:val="24"/>
          <w:szCs w:val="24"/>
          <w:highlight w:val="none"/>
        </w:rPr>
      </w:pPr>
      <w:r>
        <w:rPr>
          <w:rFonts w:ascii="宋体" w:hAnsi="宋体" w:cs="宋体"/>
          <w:sz w:val="24"/>
          <w:szCs w:val="24"/>
          <w:highlight w:val="none"/>
        </w:rPr>
        <w:t>4G接口：4G CAT1 全网通模块</w:t>
      </w:r>
    </w:p>
    <w:p w14:paraId="016E2E31">
      <w:pPr>
        <w:widowControl/>
        <w:spacing w:line="360" w:lineRule="auto"/>
        <w:ind w:firstLine="480" w:firstLineChars="200"/>
        <w:jc w:val="left"/>
        <w:rPr>
          <w:rFonts w:hint="eastAsia" w:ascii="宋体" w:hAnsi="宋体" w:cs="宋体"/>
          <w:sz w:val="24"/>
          <w:szCs w:val="24"/>
          <w:highlight w:val="none"/>
        </w:rPr>
      </w:pPr>
      <w:r>
        <w:rPr>
          <w:rFonts w:ascii="宋体" w:hAnsi="宋体" w:cs="宋体"/>
          <w:sz w:val="24"/>
          <w:szCs w:val="24"/>
          <w:highlight w:val="none"/>
        </w:rPr>
        <w:t>RS485接口：6路</w:t>
      </w:r>
    </w:p>
    <w:p w14:paraId="2ABFB7A2">
      <w:pPr>
        <w:widowControl/>
        <w:spacing w:line="360" w:lineRule="auto"/>
        <w:ind w:firstLine="480" w:firstLineChars="200"/>
        <w:jc w:val="left"/>
        <w:rPr>
          <w:rFonts w:hint="eastAsia" w:ascii="宋体" w:hAnsi="宋体" w:cs="宋体"/>
          <w:sz w:val="24"/>
          <w:szCs w:val="24"/>
          <w:highlight w:val="none"/>
        </w:rPr>
      </w:pPr>
      <w:r>
        <w:rPr>
          <w:rFonts w:ascii="宋体" w:hAnsi="宋体" w:cs="宋体"/>
          <w:sz w:val="24"/>
          <w:szCs w:val="24"/>
          <w:highlight w:val="none"/>
        </w:rPr>
        <w:t>工作温度：-10~85°C</w:t>
      </w:r>
    </w:p>
    <w:p w14:paraId="47B1266D">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（3）电磁兼容（EMC）要求</w:t>
      </w:r>
    </w:p>
    <w:p w14:paraId="7A4948E3">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符合GB/T17626.2-2018 电兼容试验和测量技术静电放电抗扰度要求</w:t>
      </w:r>
    </w:p>
    <w:p w14:paraId="10A717A8">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符合GB/T17626.3-2023 电兼容试验和测量技术射频电磁场辐射抗扰度要求</w:t>
      </w:r>
    </w:p>
    <w:p w14:paraId="5E6D36F0">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符合GB/T17626.4-2018 电兼容试验和测量技术电快速瞬变脉冲群抗扰度要求</w:t>
      </w:r>
    </w:p>
    <w:p w14:paraId="5B8545AA">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符合GB/T17626.5-2019 电兼容试验和测量技术浪涌(冲击)抗扰度要求</w:t>
      </w:r>
    </w:p>
    <w:p w14:paraId="2AC72166">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符合GB/T17626.6-2017 电磁兼容试验和测量技术射频场感应的传导骚扰抗扰度要求</w:t>
      </w:r>
    </w:p>
    <w:p w14:paraId="39777692">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符合GB/T17626.11-2023 电磁兼容 试验和测量技术 电压暂降、短时中断和电压变化的抗扰度要求</w:t>
      </w:r>
    </w:p>
    <w:p w14:paraId="340261E9">
      <w:pPr>
        <w:spacing w:line="360" w:lineRule="auto"/>
        <w:rPr>
          <w:rFonts w:hint="eastAsia" w:ascii="宋体" w:hAnsi="宋体"/>
          <w:b/>
          <w:sz w:val="24"/>
          <w:szCs w:val="24"/>
          <w:highlight w:val="none"/>
        </w:rPr>
      </w:pPr>
      <w:r>
        <w:rPr>
          <w:rFonts w:hint="eastAsia" w:ascii="宋体" w:hAnsi="宋体"/>
          <w:b/>
          <w:sz w:val="24"/>
          <w:szCs w:val="24"/>
          <w:highlight w:val="none"/>
        </w:rPr>
        <w:t>5）超声波水表</w:t>
      </w:r>
    </w:p>
    <w:p w14:paraId="30BC203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准确度等级：2级</w:t>
      </w:r>
    </w:p>
    <w:p w14:paraId="56C128B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防护等级：IP68（外供电IP65）</w:t>
      </w:r>
    </w:p>
    <w:p w14:paraId="68BAF7EF">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供电电源：3.6V锂电池</w:t>
      </w:r>
    </w:p>
    <w:p w14:paraId="7D6AC7F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电池寿命：6年</w:t>
      </w:r>
    </w:p>
    <w:p w14:paraId="55CAC38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数据通讯：支持移动、联通、电信各种NB-IoT网络及云平台</w:t>
      </w:r>
    </w:p>
    <w:p w14:paraId="7B2BF822">
      <w:pPr>
        <w:spacing w:line="360" w:lineRule="auto"/>
        <w:rPr>
          <w:rFonts w:hint="eastAsia" w:ascii="宋体" w:hAnsi="宋体"/>
          <w:b/>
          <w:sz w:val="24"/>
          <w:szCs w:val="24"/>
          <w:highlight w:val="none"/>
        </w:rPr>
      </w:pPr>
      <w:r>
        <w:rPr>
          <w:rFonts w:hint="eastAsia" w:ascii="宋体" w:hAnsi="宋体"/>
          <w:b/>
          <w:sz w:val="24"/>
          <w:szCs w:val="24"/>
          <w:highlight w:val="none"/>
        </w:rPr>
        <w:t>6）柜式分体空调控制器</w:t>
      </w:r>
    </w:p>
    <w:p w14:paraId="215067BB">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（1）内置空调红外码库，支持市面上主流分体空调，支持负荷监测、集中管控、空调软关机、数据上报等功能。</w:t>
      </w:r>
    </w:p>
    <w:p w14:paraId="04B4ED5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（2）性能指标：</w:t>
      </w:r>
    </w:p>
    <w:p w14:paraId="595F20AF">
      <w:pPr>
        <w:spacing w:line="360" w:lineRule="auto"/>
        <w:ind w:firstLine="480" w:firstLineChars="200"/>
        <w:rPr>
          <w:rFonts w:hint="eastAsia" w:ascii="宋体" w:hAnsi="宋体"/>
          <w:sz w:val="24"/>
          <w:szCs w:val="24"/>
          <w:highlight w:val="none"/>
        </w:rPr>
      </w:pPr>
      <w:r>
        <w:rPr>
          <w:rFonts w:ascii="宋体" w:hAnsi="宋体"/>
          <w:sz w:val="24"/>
          <w:szCs w:val="24"/>
          <w:highlight w:val="none"/>
        </w:rPr>
        <w:t>额定电压：220VAC(380VAC)</w:t>
      </w:r>
    </w:p>
    <w:p w14:paraId="3EF4987D">
      <w:pPr>
        <w:spacing w:line="360" w:lineRule="auto"/>
        <w:ind w:firstLine="480" w:firstLineChars="200"/>
        <w:rPr>
          <w:rFonts w:hint="eastAsia" w:ascii="宋体" w:hAnsi="宋体"/>
          <w:sz w:val="24"/>
          <w:szCs w:val="24"/>
          <w:highlight w:val="none"/>
        </w:rPr>
      </w:pPr>
      <w:r>
        <w:rPr>
          <w:rFonts w:ascii="宋体" w:hAnsi="宋体"/>
          <w:sz w:val="24"/>
          <w:szCs w:val="24"/>
          <w:highlight w:val="none"/>
        </w:rPr>
        <w:t>额定电流：5(60)A</w:t>
      </w:r>
    </w:p>
    <w:p w14:paraId="1FF1FF75">
      <w:pPr>
        <w:spacing w:line="360" w:lineRule="auto"/>
        <w:ind w:firstLine="480" w:firstLineChars="200"/>
        <w:rPr>
          <w:rFonts w:hint="eastAsia" w:ascii="宋体" w:hAnsi="宋体"/>
          <w:sz w:val="24"/>
          <w:szCs w:val="24"/>
          <w:highlight w:val="none"/>
        </w:rPr>
      </w:pPr>
      <w:r>
        <w:rPr>
          <w:rFonts w:ascii="宋体" w:hAnsi="宋体"/>
          <w:sz w:val="24"/>
          <w:szCs w:val="24"/>
          <w:highlight w:val="none"/>
        </w:rPr>
        <w:t>上行通信：4G(CAT</w:t>
      </w:r>
      <w:r>
        <w:rPr>
          <w:rFonts w:hint="eastAsia" w:ascii="宋体" w:hAnsi="宋体"/>
          <w:sz w:val="24"/>
          <w:szCs w:val="24"/>
          <w:highlight w:val="none"/>
        </w:rPr>
        <w:t>.</w:t>
      </w:r>
      <w:r>
        <w:rPr>
          <w:rFonts w:ascii="宋体" w:hAnsi="宋体"/>
          <w:sz w:val="24"/>
          <w:szCs w:val="24"/>
          <w:highlight w:val="none"/>
        </w:rPr>
        <w:t>1)</w:t>
      </w:r>
    </w:p>
    <w:p w14:paraId="75924EA6">
      <w:pPr>
        <w:spacing w:line="360" w:lineRule="auto"/>
        <w:ind w:firstLine="480" w:firstLineChars="200"/>
        <w:rPr>
          <w:rFonts w:hint="eastAsia" w:ascii="宋体" w:hAnsi="宋体"/>
          <w:sz w:val="24"/>
          <w:szCs w:val="24"/>
          <w:highlight w:val="none"/>
        </w:rPr>
      </w:pPr>
      <w:r>
        <w:rPr>
          <w:rFonts w:ascii="宋体" w:hAnsi="宋体"/>
          <w:sz w:val="24"/>
          <w:szCs w:val="24"/>
          <w:highlight w:val="none"/>
        </w:rPr>
        <w:t>计量精度：2级</w:t>
      </w:r>
    </w:p>
    <w:p w14:paraId="7082777A">
      <w:pPr>
        <w:spacing w:line="360" w:lineRule="auto"/>
        <w:ind w:firstLine="480" w:firstLineChars="200"/>
        <w:rPr>
          <w:rFonts w:hint="eastAsia" w:ascii="宋体" w:hAnsi="宋体"/>
          <w:sz w:val="24"/>
          <w:szCs w:val="24"/>
          <w:highlight w:val="none"/>
        </w:rPr>
      </w:pPr>
      <w:r>
        <w:rPr>
          <w:rFonts w:ascii="宋体" w:hAnsi="宋体"/>
          <w:sz w:val="24"/>
          <w:szCs w:val="24"/>
          <w:highlight w:val="none"/>
        </w:rPr>
        <w:t>工作温度：-10~60°C</w:t>
      </w:r>
    </w:p>
    <w:p w14:paraId="0E8690D1">
      <w:pPr>
        <w:spacing w:line="360" w:lineRule="auto"/>
        <w:rPr>
          <w:rFonts w:hint="eastAsia" w:ascii="宋体" w:hAnsi="宋体"/>
          <w:b/>
          <w:sz w:val="24"/>
          <w:szCs w:val="24"/>
          <w:highlight w:val="none"/>
        </w:rPr>
      </w:pPr>
      <w:r>
        <w:rPr>
          <w:rFonts w:hint="eastAsia" w:ascii="宋体" w:hAnsi="宋体"/>
          <w:b/>
          <w:sz w:val="24"/>
          <w:szCs w:val="24"/>
          <w:highlight w:val="none"/>
        </w:rPr>
        <w:t>7）壁挂式分体空调控制器</w:t>
      </w:r>
    </w:p>
    <w:p w14:paraId="344BBD4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（1）内置空调红外码库，支持市面上主流分体空调，支持负荷监测、集中管控、空调软关机、数据上报等功能。</w:t>
      </w:r>
    </w:p>
    <w:p w14:paraId="3852AD1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（2）性能指标：</w:t>
      </w:r>
    </w:p>
    <w:p w14:paraId="421FD020">
      <w:pPr>
        <w:spacing w:line="360" w:lineRule="auto"/>
        <w:ind w:firstLine="480" w:firstLineChars="200"/>
        <w:rPr>
          <w:rFonts w:hint="eastAsia" w:ascii="宋体" w:hAnsi="宋体"/>
          <w:sz w:val="24"/>
          <w:szCs w:val="24"/>
          <w:highlight w:val="none"/>
        </w:rPr>
      </w:pPr>
      <w:r>
        <w:rPr>
          <w:rFonts w:ascii="宋体" w:hAnsi="宋体"/>
          <w:sz w:val="24"/>
          <w:szCs w:val="24"/>
          <w:highlight w:val="none"/>
        </w:rPr>
        <w:t>额定电压：220VAC</w:t>
      </w:r>
    </w:p>
    <w:p w14:paraId="7F25CC50">
      <w:pPr>
        <w:spacing w:line="360" w:lineRule="auto"/>
        <w:ind w:firstLine="480" w:firstLineChars="200"/>
        <w:rPr>
          <w:rFonts w:hint="eastAsia" w:ascii="宋体" w:hAnsi="宋体"/>
          <w:sz w:val="24"/>
          <w:szCs w:val="24"/>
          <w:highlight w:val="none"/>
        </w:rPr>
      </w:pPr>
      <w:r>
        <w:rPr>
          <w:rFonts w:ascii="宋体" w:hAnsi="宋体"/>
          <w:sz w:val="24"/>
          <w:szCs w:val="24"/>
          <w:highlight w:val="none"/>
        </w:rPr>
        <w:t>额定电流：5(16)A</w:t>
      </w:r>
    </w:p>
    <w:p w14:paraId="7B475D30">
      <w:pPr>
        <w:spacing w:line="360" w:lineRule="auto"/>
        <w:ind w:firstLine="480" w:firstLineChars="200"/>
        <w:rPr>
          <w:rFonts w:hint="eastAsia" w:ascii="宋体" w:hAnsi="宋体"/>
          <w:sz w:val="24"/>
          <w:szCs w:val="24"/>
          <w:highlight w:val="none"/>
        </w:rPr>
      </w:pPr>
      <w:r>
        <w:rPr>
          <w:rFonts w:ascii="宋体" w:hAnsi="宋体"/>
          <w:sz w:val="24"/>
          <w:szCs w:val="24"/>
          <w:highlight w:val="none"/>
        </w:rPr>
        <w:t>上行通信：4G(CAT</w:t>
      </w:r>
      <w:r>
        <w:rPr>
          <w:rFonts w:hint="eastAsia" w:ascii="宋体" w:hAnsi="宋体"/>
          <w:sz w:val="24"/>
          <w:szCs w:val="24"/>
          <w:highlight w:val="none"/>
        </w:rPr>
        <w:t>.</w:t>
      </w:r>
      <w:r>
        <w:rPr>
          <w:rFonts w:ascii="宋体" w:hAnsi="宋体"/>
          <w:sz w:val="24"/>
          <w:szCs w:val="24"/>
          <w:highlight w:val="none"/>
        </w:rPr>
        <w:t>1)</w:t>
      </w:r>
    </w:p>
    <w:p w14:paraId="17B04E43">
      <w:pPr>
        <w:spacing w:line="360" w:lineRule="auto"/>
        <w:ind w:firstLine="480" w:firstLineChars="200"/>
        <w:rPr>
          <w:rFonts w:hint="eastAsia" w:ascii="宋体" w:hAnsi="宋体"/>
          <w:sz w:val="24"/>
          <w:szCs w:val="24"/>
          <w:highlight w:val="none"/>
        </w:rPr>
      </w:pPr>
      <w:r>
        <w:rPr>
          <w:rFonts w:ascii="宋体" w:hAnsi="宋体"/>
          <w:sz w:val="24"/>
          <w:szCs w:val="24"/>
          <w:highlight w:val="none"/>
        </w:rPr>
        <w:t>计量精度：2级</w:t>
      </w:r>
    </w:p>
    <w:p w14:paraId="1B381915">
      <w:pPr>
        <w:spacing w:line="360" w:lineRule="auto"/>
        <w:ind w:firstLine="480" w:firstLineChars="200"/>
        <w:rPr>
          <w:rFonts w:hint="eastAsia" w:ascii="宋体" w:hAnsi="宋体"/>
          <w:sz w:val="24"/>
          <w:szCs w:val="24"/>
          <w:highlight w:val="none"/>
        </w:rPr>
      </w:pPr>
      <w:r>
        <w:rPr>
          <w:rFonts w:ascii="宋体" w:hAnsi="宋体"/>
          <w:sz w:val="24"/>
          <w:szCs w:val="24"/>
          <w:highlight w:val="none"/>
        </w:rPr>
        <w:t>工作温度：-10~60°C</w:t>
      </w:r>
    </w:p>
    <w:p w14:paraId="6F2F988F">
      <w:pPr>
        <w:spacing w:line="360" w:lineRule="auto"/>
        <w:rPr>
          <w:rFonts w:hint="eastAsia" w:ascii="宋体" w:hAnsi="宋体"/>
          <w:b/>
          <w:sz w:val="24"/>
          <w:szCs w:val="24"/>
          <w:highlight w:val="none"/>
        </w:rPr>
      </w:pPr>
      <w:r>
        <w:rPr>
          <w:rFonts w:hint="eastAsia" w:ascii="宋体" w:hAnsi="宋体"/>
          <w:b/>
          <w:sz w:val="24"/>
          <w:szCs w:val="24"/>
          <w:highlight w:val="none"/>
        </w:rPr>
        <w:t>8）风机盘管末端控制器</w:t>
      </w:r>
    </w:p>
    <w:p w14:paraId="52B6CEEC">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（1）支持实时监测室内温度及运行状态、集中化批量管控、定制策略管理、运行统计和智能锁定等功能。</w:t>
      </w:r>
    </w:p>
    <w:p w14:paraId="559F5CDE">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（2）性能指标：</w:t>
      </w:r>
    </w:p>
    <w:p w14:paraId="2F7910C9">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电源输入：AC220V，50Hz</w:t>
      </w:r>
    </w:p>
    <w:p w14:paraId="383F0EC4">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待机功耗：≤2W</w:t>
      </w:r>
    </w:p>
    <w:p w14:paraId="21706CE9">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通信接口：内置4G CAT.1模块；</w:t>
      </w:r>
    </w:p>
    <w:p w14:paraId="0C36B42C">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工作温度：-10~60°C</w:t>
      </w:r>
    </w:p>
    <w:p w14:paraId="45958E27">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负载电流：≤2A(阻性负载) 或≤1A(感性负载)</w:t>
      </w:r>
    </w:p>
    <w:p w14:paraId="5932F528">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温度传感器：数字型传感器</w:t>
      </w:r>
    </w:p>
    <w:p w14:paraId="2D3C43EE">
      <w:pPr>
        <w:spacing w:line="360" w:lineRule="auto"/>
        <w:rPr>
          <w:rFonts w:hint="eastAsia" w:ascii="宋体" w:hAnsi="宋体"/>
          <w:b/>
          <w:sz w:val="24"/>
          <w:szCs w:val="24"/>
          <w:highlight w:val="none"/>
        </w:rPr>
      </w:pPr>
      <w:r>
        <w:rPr>
          <w:rFonts w:hint="eastAsia" w:ascii="宋体" w:hAnsi="宋体"/>
          <w:b/>
          <w:sz w:val="24"/>
          <w:szCs w:val="24"/>
          <w:highlight w:val="none"/>
        </w:rPr>
        <w:t>9）变风量控制箱</w:t>
      </w:r>
    </w:p>
    <w:tbl>
      <w:tblPr>
        <w:tblStyle w:val="22"/>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317"/>
        <w:gridCol w:w="2204"/>
        <w:gridCol w:w="6673"/>
      </w:tblGrid>
      <w:tr w14:paraId="42CE05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1727" w:type="pct"/>
            <w:gridSpan w:val="2"/>
            <w:shd w:val="clear" w:color="000000" w:fill="FFFFFF"/>
            <w:vAlign w:val="center"/>
          </w:tcPr>
          <w:p w14:paraId="3643F8D2">
            <w:pPr>
              <w:jc w:val="center"/>
              <w:rPr>
                <w:rFonts w:hint="eastAsia" w:ascii="宋体" w:hAnsi="宋体" w:cs="宋体"/>
                <w:b/>
                <w:bCs/>
                <w:highlight w:val="none"/>
              </w:rPr>
            </w:pPr>
            <w:r>
              <w:rPr>
                <w:rFonts w:hint="eastAsia" w:ascii="宋体" w:hAnsi="宋体" w:cs="宋体"/>
                <w:b/>
                <w:bCs/>
                <w:highlight w:val="none"/>
              </w:rPr>
              <w:t>技术参数</w:t>
            </w:r>
          </w:p>
        </w:tc>
        <w:tc>
          <w:tcPr>
            <w:tcW w:w="3273" w:type="pct"/>
            <w:shd w:val="clear" w:color="000000" w:fill="FFFFFF"/>
            <w:vAlign w:val="center"/>
          </w:tcPr>
          <w:p w14:paraId="3B3F8FBB">
            <w:pPr>
              <w:jc w:val="center"/>
              <w:rPr>
                <w:rFonts w:hint="eastAsia" w:ascii="宋体" w:hAnsi="宋体" w:cs="宋体"/>
                <w:b/>
                <w:bCs/>
                <w:highlight w:val="none"/>
              </w:rPr>
            </w:pPr>
            <w:r>
              <w:rPr>
                <w:rFonts w:hint="eastAsia" w:ascii="宋体" w:hAnsi="宋体" w:cs="宋体"/>
                <w:b/>
                <w:bCs/>
                <w:highlight w:val="none"/>
              </w:rPr>
              <w:t>指标</w:t>
            </w:r>
          </w:p>
        </w:tc>
      </w:tr>
      <w:tr w14:paraId="2F2DE1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restart"/>
            <w:shd w:val="clear" w:color="auto" w:fill="auto"/>
            <w:vAlign w:val="center"/>
          </w:tcPr>
          <w:p w14:paraId="561AAED2">
            <w:pPr>
              <w:jc w:val="center"/>
              <w:rPr>
                <w:rFonts w:hint="eastAsia" w:ascii="宋体" w:hAnsi="宋体" w:cs="宋体"/>
                <w:highlight w:val="none"/>
              </w:rPr>
            </w:pPr>
            <w:r>
              <w:rPr>
                <w:rFonts w:hint="eastAsia" w:ascii="宋体" w:hAnsi="宋体" w:cs="宋体"/>
                <w:highlight w:val="none"/>
              </w:rPr>
              <w:t>接口</w:t>
            </w:r>
          </w:p>
        </w:tc>
        <w:tc>
          <w:tcPr>
            <w:tcW w:w="1081" w:type="pct"/>
            <w:shd w:val="clear" w:color="000000" w:fill="FFFFFF"/>
            <w:vAlign w:val="center"/>
          </w:tcPr>
          <w:p w14:paraId="05B95E6B">
            <w:pPr>
              <w:jc w:val="center"/>
              <w:rPr>
                <w:rFonts w:hint="eastAsia" w:ascii="宋体" w:hAnsi="宋体" w:cs="宋体"/>
                <w:highlight w:val="none"/>
              </w:rPr>
            </w:pPr>
            <w:r>
              <w:rPr>
                <w:rFonts w:hint="eastAsia" w:ascii="宋体" w:hAnsi="宋体" w:cs="宋体"/>
                <w:highlight w:val="none"/>
              </w:rPr>
              <w:t>网络接口</w:t>
            </w:r>
          </w:p>
        </w:tc>
        <w:tc>
          <w:tcPr>
            <w:tcW w:w="3273" w:type="pct"/>
            <w:shd w:val="clear" w:color="000000" w:fill="FFFFFF"/>
            <w:vAlign w:val="center"/>
          </w:tcPr>
          <w:p w14:paraId="3E003BE4">
            <w:pPr>
              <w:rPr>
                <w:rFonts w:hint="eastAsia" w:ascii="宋体" w:hAnsi="宋体" w:cs="宋体"/>
                <w:highlight w:val="none"/>
              </w:rPr>
            </w:pPr>
            <w:r>
              <w:rPr>
                <w:rFonts w:hint="eastAsia" w:ascii="宋体" w:hAnsi="宋体" w:cs="宋体"/>
                <w:highlight w:val="none"/>
              </w:rPr>
              <w:t>支持ProfiNet/MODBUS-TCP</w:t>
            </w:r>
          </w:p>
        </w:tc>
      </w:tr>
      <w:tr w14:paraId="1C08F6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continue"/>
            <w:shd w:val="clear" w:color="auto" w:fill="auto"/>
            <w:vAlign w:val="center"/>
          </w:tcPr>
          <w:p w14:paraId="38F2D451">
            <w:pPr>
              <w:rPr>
                <w:rFonts w:hint="eastAsia" w:ascii="宋体" w:hAnsi="宋体" w:cs="宋体"/>
                <w:highlight w:val="none"/>
              </w:rPr>
            </w:pPr>
          </w:p>
        </w:tc>
        <w:tc>
          <w:tcPr>
            <w:tcW w:w="1081" w:type="pct"/>
            <w:shd w:val="clear" w:color="000000" w:fill="FFFFFF"/>
            <w:vAlign w:val="center"/>
          </w:tcPr>
          <w:p w14:paraId="3C633F3C">
            <w:pPr>
              <w:jc w:val="center"/>
              <w:rPr>
                <w:rFonts w:hint="eastAsia" w:ascii="宋体" w:hAnsi="宋体" w:cs="宋体"/>
                <w:highlight w:val="none"/>
              </w:rPr>
            </w:pPr>
            <w:r>
              <w:rPr>
                <w:rFonts w:hint="eastAsia" w:ascii="宋体" w:hAnsi="宋体" w:cs="宋体"/>
                <w:highlight w:val="none"/>
              </w:rPr>
              <w:t>RS485接口</w:t>
            </w:r>
          </w:p>
        </w:tc>
        <w:tc>
          <w:tcPr>
            <w:tcW w:w="3273" w:type="pct"/>
            <w:shd w:val="clear" w:color="000000" w:fill="FFFFFF"/>
            <w:vAlign w:val="center"/>
          </w:tcPr>
          <w:p w14:paraId="21EA8C50">
            <w:pPr>
              <w:rPr>
                <w:rFonts w:hint="eastAsia" w:ascii="宋体" w:hAnsi="宋体" w:cs="宋体"/>
                <w:highlight w:val="none"/>
              </w:rPr>
            </w:pPr>
            <w:r>
              <w:rPr>
                <w:rFonts w:hint="eastAsia" w:ascii="宋体" w:hAnsi="宋体" w:cs="宋体"/>
                <w:highlight w:val="none"/>
              </w:rPr>
              <w:t>1主1从，主站最多可带32个仪表</w:t>
            </w:r>
          </w:p>
        </w:tc>
      </w:tr>
      <w:tr w14:paraId="71BFA6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continue"/>
            <w:shd w:val="clear" w:color="auto" w:fill="auto"/>
            <w:vAlign w:val="center"/>
          </w:tcPr>
          <w:p w14:paraId="17F52A34">
            <w:pPr>
              <w:rPr>
                <w:rFonts w:hint="eastAsia" w:ascii="宋体" w:hAnsi="宋体" w:cs="宋体"/>
                <w:highlight w:val="none"/>
              </w:rPr>
            </w:pPr>
          </w:p>
        </w:tc>
        <w:tc>
          <w:tcPr>
            <w:tcW w:w="1081" w:type="pct"/>
            <w:shd w:val="clear" w:color="000000" w:fill="FFFFFF"/>
            <w:vAlign w:val="center"/>
          </w:tcPr>
          <w:p w14:paraId="4602B801">
            <w:pPr>
              <w:jc w:val="center"/>
              <w:rPr>
                <w:rFonts w:hint="eastAsia" w:ascii="宋体" w:hAnsi="宋体" w:cs="宋体"/>
                <w:highlight w:val="none"/>
              </w:rPr>
            </w:pPr>
            <w:r>
              <w:rPr>
                <w:rFonts w:hint="eastAsia" w:ascii="宋体" w:hAnsi="宋体" w:cs="宋体"/>
                <w:highlight w:val="none"/>
              </w:rPr>
              <w:t>传输</w:t>
            </w:r>
          </w:p>
        </w:tc>
        <w:tc>
          <w:tcPr>
            <w:tcW w:w="3273" w:type="pct"/>
            <w:shd w:val="clear" w:color="000000" w:fill="FFFFFF"/>
            <w:vAlign w:val="center"/>
          </w:tcPr>
          <w:p w14:paraId="21AE4293">
            <w:pPr>
              <w:rPr>
                <w:rFonts w:hint="eastAsia" w:ascii="宋体" w:hAnsi="宋体" w:cs="宋体"/>
                <w:highlight w:val="none"/>
              </w:rPr>
            </w:pPr>
            <w:r>
              <w:rPr>
                <w:rFonts w:hint="eastAsia" w:ascii="宋体" w:hAnsi="宋体" w:cs="宋体"/>
                <w:highlight w:val="none"/>
              </w:rPr>
              <w:t>接收/输出的RS485信号、MODBUS-RTU标准信号，</w:t>
            </w:r>
          </w:p>
        </w:tc>
      </w:tr>
      <w:tr w14:paraId="79D91B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continue"/>
            <w:shd w:val="clear" w:color="auto" w:fill="auto"/>
            <w:vAlign w:val="center"/>
          </w:tcPr>
          <w:p w14:paraId="4AC1784F">
            <w:pPr>
              <w:rPr>
                <w:rFonts w:hint="eastAsia" w:ascii="宋体" w:hAnsi="宋体" w:cs="宋体"/>
                <w:highlight w:val="none"/>
              </w:rPr>
            </w:pPr>
          </w:p>
        </w:tc>
        <w:tc>
          <w:tcPr>
            <w:tcW w:w="1081" w:type="pct"/>
            <w:shd w:val="clear" w:color="000000" w:fill="FFFFFF"/>
            <w:vAlign w:val="center"/>
          </w:tcPr>
          <w:p w14:paraId="2EDD0E16">
            <w:pPr>
              <w:jc w:val="center"/>
              <w:rPr>
                <w:rFonts w:hint="eastAsia" w:ascii="宋体" w:hAnsi="宋体" w:cs="宋体"/>
                <w:highlight w:val="none"/>
              </w:rPr>
            </w:pPr>
            <w:r>
              <w:rPr>
                <w:rFonts w:hint="eastAsia" w:ascii="宋体" w:hAnsi="宋体" w:cs="宋体"/>
                <w:highlight w:val="none"/>
              </w:rPr>
              <w:t>通讯波特率</w:t>
            </w:r>
          </w:p>
        </w:tc>
        <w:tc>
          <w:tcPr>
            <w:tcW w:w="3273" w:type="pct"/>
            <w:shd w:val="clear" w:color="000000" w:fill="FFFFFF"/>
            <w:vAlign w:val="center"/>
          </w:tcPr>
          <w:p w14:paraId="20E437ED">
            <w:pPr>
              <w:rPr>
                <w:rFonts w:hint="eastAsia" w:ascii="宋体" w:hAnsi="宋体" w:cs="宋体"/>
                <w:highlight w:val="none"/>
              </w:rPr>
            </w:pPr>
            <w:r>
              <w:rPr>
                <w:rFonts w:hint="eastAsia" w:ascii="宋体" w:hAnsi="宋体" w:cs="宋体"/>
                <w:highlight w:val="none"/>
              </w:rPr>
              <w:t>接收信号时：1200—115200bps（可选）   输出信号时：9600bps(不可选)</w:t>
            </w:r>
          </w:p>
        </w:tc>
      </w:tr>
      <w:tr w14:paraId="05A3A8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restart"/>
            <w:shd w:val="clear" w:color="auto" w:fill="auto"/>
            <w:vAlign w:val="center"/>
          </w:tcPr>
          <w:p w14:paraId="2B9929E4">
            <w:pPr>
              <w:jc w:val="center"/>
              <w:rPr>
                <w:rFonts w:hint="eastAsia" w:ascii="宋体" w:hAnsi="宋体" w:cs="宋体"/>
                <w:highlight w:val="none"/>
              </w:rPr>
            </w:pPr>
            <w:r>
              <w:rPr>
                <w:rFonts w:hint="eastAsia" w:ascii="宋体" w:hAnsi="宋体" w:cs="宋体"/>
                <w:highlight w:val="none"/>
              </w:rPr>
              <w:t>电压</w:t>
            </w:r>
          </w:p>
        </w:tc>
        <w:tc>
          <w:tcPr>
            <w:tcW w:w="1081" w:type="pct"/>
            <w:shd w:val="clear" w:color="000000" w:fill="FFFFFF"/>
            <w:vAlign w:val="center"/>
          </w:tcPr>
          <w:p w14:paraId="1CEFDF63">
            <w:pPr>
              <w:jc w:val="center"/>
              <w:rPr>
                <w:rFonts w:hint="eastAsia" w:ascii="宋体" w:hAnsi="宋体" w:cs="宋体"/>
                <w:highlight w:val="none"/>
              </w:rPr>
            </w:pPr>
            <w:r>
              <w:rPr>
                <w:rFonts w:hint="eastAsia" w:ascii="宋体" w:hAnsi="宋体" w:cs="宋体"/>
                <w:highlight w:val="none"/>
              </w:rPr>
              <w:t>额定值</w:t>
            </w:r>
          </w:p>
        </w:tc>
        <w:tc>
          <w:tcPr>
            <w:tcW w:w="3273" w:type="pct"/>
            <w:shd w:val="clear" w:color="000000" w:fill="FFFFFF"/>
            <w:vAlign w:val="center"/>
          </w:tcPr>
          <w:p w14:paraId="1ECAB24A">
            <w:pPr>
              <w:rPr>
                <w:rFonts w:hint="eastAsia" w:ascii="宋体" w:hAnsi="宋体" w:cs="宋体"/>
                <w:highlight w:val="none"/>
              </w:rPr>
            </w:pPr>
            <w:r>
              <w:rPr>
                <w:rFonts w:hint="eastAsia" w:ascii="宋体" w:hAnsi="宋体" w:cs="宋体"/>
                <w:highlight w:val="none"/>
              </w:rPr>
              <w:t>AC 220V</w:t>
            </w:r>
          </w:p>
        </w:tc>
      </w:tr>
      <w:tr w14:paraId="4E1791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continue"/>
            <w:shd w:val="clear" w:color="auto" w:fill="auto"/>
            <w:vAlign w:val="center"/>
          </w:tcPr>
          <w:p w14:paraId="59B322E1">
            <w:pPr>
              <w:rPr>
                <w:rFonts w:hint="eastAsia" w:ascii="宋体" w:hAnsi="宋体" w:cs="宋体"/>
                <w:highlight w:val="none"/>
              </w:rPr>
            </w:pPr>
          </w:p>
        </w:tc>
        <w:tc>
          <w:tcPr>
            <w:tcW w:w="1081" w:type="pct"/>
            <w:shd w:val="clear" w:color="000000" w:fill="FFFFFF"/>
            <w:vAlign w:val="center"/>
          </w:tcPr>
          <w:p w14:paraId="1700E17B">
            <w:pPr>
              <w:jc w:val="center"/>
              <w:rPr>
                <w:rFonts w:hint="eastAsia" w:ascii="宋体" w:hAnsi="宋体" w:cs="宋体"/>
                <w:highlight w:val="none"/>
              </w:rPr>
            </w:pPr>
            <w:r>
              <w:rPr>
                <w:rFonts w:hint="eastAsia" w:ascii="宋体" w:hAnsi="宋体" w:cs="宋体"/>
                <w:highlight w:val="none"/>
              </w:rPr>
              <w:t>功耗</w:t>
            </w:r>
          </w:p>
        </w:tc>
        <w:tc>
          <w:tcPr>
            <w:tcW w:w="3273" w:type="pct"/>
            <w:shd w:val="clear" w:color="000000" w:fill="FFFFFF"/>
            <w:vAlign w:val="center"/>
          </w:tcPr>
          <w:p w14:paraId="25944AE5">
            <w:pPr>
              <w:rPr>
                <w:rFonts w:hint="eastAsia" w:ascii="宋体" w:hAnsi="宋体" w:cs="宋体"/>
                <w:highlight w:val="none"/>
              </w:rPr>
            </w:pPr>
            <w:r>
              <w:rPr>
                <w:rFonts w:hint="eastAsia" w:ascii="宋体" w:hAnsi="宋体" w:cs="宋体"/>
                <w:highlight w:val="none"/>
              </w:rPr>
              <w:t>﹤800W</w:t>
            </w:r>
          </w:p>
        </w:tc>
      </w:tr>
      <w:tr w14:paraId="71A1C6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continue"/>
            <w:shd w:val="clear" w:color="auto" w:fill="auto"/>
            <w:vAlign w:val="center"/>
          </w:tcPr>
          <w:p w14:paraId="41752F32">
            <w:pPr>
              <w:rPr>
                <w:rFonts w:hint="eastAsia" w:ascii="宋体" w:hAnsi="宋体" w:cs="宋体"/>
                <w:highlight w:val="none"/>
              </w:rPr>
            </w:pPr>
          </w:p>
        </w:tc>
        <w:tc>
          <w:tcPr>
            <w:tcW w:w="1081" w:type="pct"/>
            <w:shd w:val="clear" w:color="000000" w:fill="FFFFFF"/>
            <w:vAlign w:val="center"/>
          </w:tcPr>
          <w:p w14:paraId="3B289569">
            <w:pPr>
              <w:jc w:val="center"/>
              <w:rPr>
                <w:rFonts w:hint="eastAsia" w:ascii="宋体" w:hAnsi="宋体" w:cs="宋体"/>
                <w:highlight w:val="none"/>
              </w:rPr>
            </w:pPr>
            <w:r>
              <w:rPr>
                <w:rFonts w:hint="eastAsia" w:ascii="宋体" w:hAnsi="宋体" w:cs="宋体"/>
                <w:highlight w:val="none"/>
              </w:rPr>
              <w:t>频率</w:t>
            </w:r>
          </w:p>
        </w:tc>
        <w:tc>
          <w:tcPr>
            <w:tcW w:w="3273" w:type="pct"/>
            <w:shd w:val="clear" w:color="000000" w:fill="FFFFFF"/>
            <w:vAlign w:val="center"/>
          </w:tcPr>
          <w:p w14:paraId="0DD6A866">
            <w:pPr>
              <w:rPr>
                <w:rFonts w:hint="eastAsia" w:ascii="宋体" w:hAnsi="宋体" w:cs="宋体"/>
                <w:highlight w:val="none"/>
              </w:rPr>
            </w:pPr>
            <w:r>
              <w:rPr>
                <w:rFonts w:hint="eastAsia" w:ascii="宋体" w:hAnsi="宋体" w:cs="宋体"/>
                <w:highlight w:val="none"/>
              </w:rPr>
              <w:t>50Hz</w:t>
            </w:r>
          </w:p>
        </w:tc>
      </w:tr>
      <w:tr w14:paraId="7044FD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restart"/>
            <w:shd w:val="clear" w:color="auto" w:fill="auto"/>
            <w:vAlign w:val="center"/>
          </w:tcPr>
          <w:p w14:paraId="2F6413BF">
            <w:pPr>
              <w:jc w:val="center"/>
              <w:rPr>
                <w:rFonts w:hint="eastAsia" w:ascii="宋体" w:hAnsi="宋体" w:cs="宋体"/>
                <w:highlight w:val="none"/>
              </w:rPr>
            </w:pPr>
            <w:r>
              <w:rPr>
                <w:rFonts w:hint="eastAsia" w:ascii="宋体" w:hAnsi="宋体" w:cs="宋体"/>
                <w:highlight w:val="none"/>
              </w:rPr>
              <w:t>数据采集</w:t>
            </w:r>
          </w:p>
        </w:tc>
        <w:tc>
          <w:tcPr>
            <w:tcW w:w="1081" w:type="pct"/>
            <w:shd w:val="clear" w:color="000000" w:fill="FFFFFF"/>
            <w:vAlign w:val="center"/>
          </w:tcPr>
          <w:p w14:paraId="7032BF69">
            <w:pPr>
              <w:jc w:val="center"/>
              <w:rPr>
                <w:rFonts w:hint="eastAsia" w:ascii="宋体" w:hAnsi="宋体" w:cs="宋体"/>
                <w:highlight w:val="none"/>
              </w:rPr>
            </w:pPr>
            <w:r>
              <w:rPr>
                <w:rFonts w:hint="eastAsia" w:ascii="宋体" w:hAnsi="宋体" w:cs="宋体"/>
                <w:highlight w:val="none"/>
              </w:rPr>
              <w:t>模式</w:t>
            </w:r>
          </w:p>
        </w:tc>
        <w:tc>
          <w:tcPr>
            <w:tcW w:w="3273" w:type="pct"/>
            <w:shd w:val="clear" w:color="000000" w:fill="FFFFFF"/>
            <w:vAlign w:val="center"/>
          </w:tcPr>
          <w:p w14:paraId="10C35B7F">
            <w:pPr>
              <w:rPr>
                <w:rFonts w:hint="eastAsia" w:ascii="宋体" w:hAnsi="宋体" w:cs="宋体"/>
                <w:highlight w:val="none"/>
              </w:rPr>
            </w:pPr>
            <w:r>
              <w:rPr>
                <w:rFonts w:hint="eastAsia" w:ascii="宋体" w:hAnsi="宋体" w:cs="宋体"/>
                <w:highlight w:val="none"/>
              </w:rPr>
              <w:t>4-20MA电流信号、0-10V电压信号、RS-485现场总线</w:t>
            </w:r>
          </w:p>
        </w:tc>
      </w:tr>
      <w:tr w14:paraId="2EEF96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continue"/>
            <w:shd w:val="clear" w:color="auto" w:fill="auto"/>
            <w:vAlign w:val="center"/>
          </w:tcPr>
          <w:p w14:paraId="4AC83781">
            <w:pPr>
              <w:rPr>
                <w:rFonts w:hint="eastAsia" w:ascii="宋体" w:hAnsi="宋体" w:cs="宋体"/>
                <w:highlight w:val="none"/>
              </w:rPr>
            </w:pPr>
          </w:p>
        </w:tc>
        <w:tc>
          <w:tcPr>
            <w:tcW w:w="1081" w:type="pct"/>
            <w:shd w:val="clear" w:color="000000" w:fill="FFFFFF"/>
            <w:vAlign w:val="center"/>
          </w:tcPr>
          <w:p w14:paraId="56EFA3D9">
            <w:pPr>
              <w:jc w:val="center"/>
              <w:rPr>
                <w:rFonts w:hint="eastAsia" w:ascii="宋体" w:hAnsi="宋体" w:cs="宋体"/>
                <w:highlight w:val="none"/>
              </w:rPr>
            </w:pPr>
            <w:r>
              <w:rPr>
                <w:rFonts w:hint="eastAsia" w:ascii="宋体" w:hAnsi="宋体" w:cs="宋体"/>
                <w:highlight w:val="none"/>
              </w:rPr>
              <w:t>周期</w:t>
            </w:r>
          </w:p>
        </w:tc>
        <w:tc>
          <w:tcPr>
            <w:tcW w:w="3273" w:type="pct"/>
            <w:shd w:val="clear" w:color="000000" w:fill="FFFFFF"/>
            <w:vAlign w:val="center"/>
          </w:tcPr>
          <w:p w14:paraId="5AD2C9EC">
            <w:pPr>
              <w:rPr>
                <w:rFonts w:hint="eastAsia" w:ascii="宋体" w:hAnsi="宋体" w:cs="宋体"/>
                <w:highlight w:val="none"/>
              </w:rPr>
            </w:pPr>
            <w:r>
              <w:rPr>
                <w:rFonts w:hint="eastAsia" w:ascii="宋体" w:hAnsi="宋体" w:cs="宋体"/>
                <w:highlight w:val="none"/>
              </w:rPr>
              <w:t>1秒～1天</w:t>
            </w:r>
          </w:p>
        </w:tc>
      </w:tr>
      <w:tr w14:paraId="5737B4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shd w:val="clear" w:color="000000" w:fill="FFFFFF"/>
            <w:vAlign w:val="center"/>
          </w:tcPr>
          <w:p w14:paraId="51FB37B6">
            <w:pPr>
              <w:jc w:val="center"/>
              <w:rPr>
                <w:rFonts w:hint="eastAsia" w:ascii="宋体" w:hAnsi="宋体" w:cs="宋体"/>
                <w:highlight w:val="none"/>
              </w:rPr>
            </w:pPr>
            <w:r>
              <w:rPr>
                <w:rFonts w:hint="eastAsia" w:ascii="宋体" w:hAnsi="宋体" w:cs="宋体"/>
                <w:highlight w:val="none"/>
              </w:rPr>
              <w:t>抗干扰性能</w:t>
            </w:r>
          </w:p>
        </w:tc>
        <w:tc>
          <w:tcPr>
            <w:tcW w:w="1081" w:type="pct"/>
            <w:shd w:val="clear" w:color="000000" w:fill="FFFFFF"/>
            <w:vAlign w:val="center"/>
          </w:tcPr>
          <w:p w14:paraId="24AD784A">
            <w:pPr>
              <w:jc w:val="center"/>
              <w:rPr>
                <w:rFonts w:hint="eastAsia" w:ascii="宋体" w:hAnsi="宋体" w:cs="宋体"/>
                <w:highlight w:val="none"/>
              </w:rPr>
            </w:pPr>
            <w:r>
              <w:rPr>
                <w:rFonts w:hint="eastAsia" w:ascii="宋体" w:hAnsi="宋体" w:cs="宋体"/>
                <w:highlight w:val="none"/>
              </w:rPr>
              <w:t>标准</w:t>
            </w:r>
          </w:p>
        </w:tc>
        <w:tc>
          <w:tcPr>
            <w:tcW w:w="3273" w:type="pct"/>
            <w:shd w:val="clear" w:color="000000" w:fill="FFFFFF"/>
            <w:vAlign w:val="center"/>
          </w:tcPr>
          <w:p w14:paraId="45B55E54">
            <w:pPr>
              <w:rPr>
                <w:rFonts w:hint="eastAsia" w:ascii="宋体" w:hAnsi="宋体" w:cs="宋体"/>
                <w:highlight w:val="none"/>
              </w:rPr>
            </w:pPr>
            <w:r>
              <w:rPr>
                <w:rFonts w:hint="eastAsia" w:ascii="宋体" w:hAnsi="宋体" w:cs="宋体"/>
                <w:highlight w:val="none"/>
              </w:rPr>
              <w:t>符合国标相关标准</w:t>
            </w:r>
          </w:p>
        </w:tc>
      </w:tr>
      <w:tr w14:paraId="020197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restart"/>
            <w:shd w:val="clear" w:color="auto" w:fill="auto"/>
            <w:vAlign w:val="center"/>
          </w:tcPr>
          <w:p w14:paraId="5045C59D">
            <w:pPr>
              <w:jc w:val="center"/>
              <w:rPr>
                <w:rFonts w:hint="eastAsia" w:ascii="宋体" w:hAnsi="宋体" w:cs="宋体"/>
                <w:highlight w:val="none"/>
              </w:rPr>
            </w:pPr>
            <w:r>
              <w:rPr>
                <w:rFonts w:hint="eastAsia" w:ascii="宋体" w:hAnsi="宋体" w:cs="宋体"/>
                <w:highlight w:val="none"/>
              </w:rPr>
              <w:t>环境</w:t>
            </w:r>
          </w:p>
        </w:tc>
        <w:tc>
          <w:tcPr>
            <w:tcW w:w="1081" w:type="pct"/>
            <w:shd w:val="clear" w:color="000000" w:fill="FFFFFF"/>
            <w:vAlign w:val="center"/>
          </w:tcPr>
          <w:p w14:paraId="0551039E">
            <w:pPr>
              <w:jc w:val="center"/>
              <w:rPr>
                <w:rFonts w:hint="eastAsia" w:ascii="宋体" w:hAnsi="宋体" w:cs="宋体"/>
                <w:highlight w:val="none"/>
              </w:rPr>
            </w:pPr>
            <w:r>
              <w:rPr>
                <w:rFonts w:hint="eastAsia" w:ascii="宋体" w:hAnsi="宋体" w:cs="宋体"/>
                <w:highlight w:val="none"/>
              </w:rPr>
              <w:t>温度</w:t>
            </w:r>
          </w:p>
        </w:tc>
        <w:tc>
          <w:tcPr>
            <w:tcW w:w="3273" w:type="pct"/>
            <w:shd w:val="clear" w:color="000000" w:fill="FFFFFF"/>
            <w:vAlign w:val="center"/>
          </w:tcPr>
          <w:p w14:paraId="075A071A">
            <w:pPr>
              <w:rPr>
                <w:rFonts w:hint="eastAsia" w:ascii="宋体" w:hAnsi="宋体" w:cs="宋体"/>
                <w:highlight w:val="none"/>
              </w:rPr>
            </w:pPr>
            <w:r>
              <w:rPr>
                <w:rFonts w:hint="eastAsia" w:ascii="宋体" w:hAnsi="宋体" w:cs="宋体"/>
                <w:highlight w:val="none"/>
              </w:rPr>
              <w:t>-10℃～+40℃（极限温度：-20℃～+60℃）</w:t>
            </w:r>
          </w:p>
        </w:tc>
      </w:tr>
      <w:tr w14:paraId="363884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continue"/>
            <w:shd w:val="clear" w:color="auto" w:fill="auto"/>
            <w:vAlign w:val="center"/>
          </w:tcPr>
          <w:p w14:paraId="2C93841D">
            <w:pPr>
              <w:rPr>
                <w:rFonts w:hint="eastAsia" w:ascii="宋体" w:hAnsi="宋体" w:cs="宋体"/>
                <w:highlight w:val="none"/>
              </w:rPr>
            </w:pPr>
          </w:p>
        </w:tc>
        <w:tc>
          <w:tcPr>
            <w:tcW w:w="1081" w:type="pct"/>
            <w:shd w:val="clear" w:color="000000" w:fill="FFFFFF"/>
            <w:vAlign w:val="center"/>
          </w:tcPr>
          <w:p w14:paraId="2B0C55EC">
            <w:pPr>
              <w:jc w:val="center"/>
              <w:rPr>
                <w:rFonts w:hint="eastAsia" w:ascii="宋体" w:hAnsi="宋体" w:cs="宋体"/>
                <w:highlight w:val="none"/>
              </w:rPr>
            </w:pPr>
            <w:r>
              <w:rPr>
                <w:rFonts w:hint="eastAsia" w:ascii="宋体" w:hAnsi="宋体" w:cs="宋体"/>
                <w:highlight w:val="none"/>
              </w:rPr>
              <w:t>湿度</w:t>
            </w:r>
          </w:p>
        </w:tc>
        <w:tc>
          <w:tcPr>
            <w:tcW w:w="3273" w:type="pct"/>
            <w:shd w:val="clear" w:color="000000" w:fill="FFFFFF"/>
            <w:vAlign w:val="center"/>
          </w:tcPr>
          <w:p w14:paraId="13CD5C09">
            <w:pPr>
              <w:rPr>
                <w:rFonts w:hint="eastAsia" w:ascii="宋体" w:hAnsi="宋体" w:cs="宋体"/>
                <w:highlight w:val="none"/>
              </w:rPr>
            </w:pPr>
            <w:r>
              <w:rPr>
                <w:rFonts w:hint="eastAsia" w:ascii="宋体" w:hAnsi="宋体" w:cs="宋体"/>
                <w:highlight w:val="none"/>
              </w:rPr>
              <w:t>≤75％（极限湿度：≤85%）</w:t>
            </w:r>
          </w:p>
        </w:tc>
      </w:tr>
      <w:tr w14:paraId="1314DD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restart"/>
            <w:shd w:val="clear" w:color="auto" w:fill="auto"/>
            <w:vAlign w:val="center"/>
          </w:tcPr>
          <w:p w14:paraId="5FAEC8BC">
            <w:pPr>
              <w:jc w:val="center"/>
              <w:rPr>
                <w:rFonts w:hint="eastAsia" w:ascii="宋体" w:hAnsi="宋体" w:cs="宋体"/>
                <w:highlight w:val="none"/>
              </w:rPr>
            </w:pPr>
            <w:r>
              <w:rPr>
                <w:rFonts w:hint="eastAsia" w:ascii="宋体" w:hAnsi="宋体" w:cs="宋体"/>
                <w:highlight w:val="none"/>
              </w:rPr>
              <w:t>功能</w:t>
            </w:r>
          </w:p>
        </w:tc>
        <w:tc>
          <w:tcPr>
            <w:tcW w:w="1081" w:type="pct"/>
            <w:shd w:val="clear" w:color="000000" w:fill="FFFFFF"/>
            <w:vAlign w:val="center"/>
          </w:tcPr>
          <w:p w14:paraId="5D8C3259">
            <w:pPr>
              <w:jc w:val="center"/>
              <w:rPr>
                <w:rFonts w:hint="eastAsia" w:ascii="宋体" w:hAnsi="宋体" w:cs="宋体"/>
                <w:highlight w:val="none"/>
              </w:rPr>
            </w:pPr>
            <w:r>
              <w:rPr>
                <w:rFonts w:hint="eastAsia" w:ascii="宋体" w:hAnsi="宋体" w:cs="宋体"/>
                <w:highlight w:val="none"/>
              </w:rPr>
              <w:t>运行控制</w:t>
            </w:r>
          </w:p>
        </w:tc>
        <w:tc>
          <w:tcPr>
            <w:tcW w:w="3273" w:type="pct"/>
            <w:shd w:val="clear" w:color="000000" w:fill="FFFFFF"/>
            <w:vAlign w:val="center"/>
          </w:tcPr>
          <w:p w14:paraId="5069D4F6">
            <w:pPr>
              <w:rPr>
                <w:rFonts w:hint="eastAsia" w:ascii="宋体" w:hAnsi="宋体" w:cs="宋体"/>
                <w:highlight w:val="none"/>
              </w:rPr>
            </w:pPr>
            <w:r>
              <w:rPr>
                <w:rFonts w:hint="eastAsia" w:ascii="宋体" w:hAnsi="宋体" w:cs="宋体"/>
                <w:highlight w:val="none"/>
              </w:rPr>
              <w:t>对风机进行启停控制</w:t>
            </w:r>
          </w:p>
        </w:tc>
      </w:tr>
      <w:tr w14:paraId="33E458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continue"/>
            <w:shd w:val="clear" w:color="auto" w:fill="auto"/>
            <w:vAlign w:val="center"/>
          </w:tcPr>
          <w:p w14:paraId="02DBA51E">
            <w:pPr>
              <w:rPr>
                <w:rFonts w:hint="eastAsia" w:ascii="宋体" w:hAnsi="宋体" w:cs="宋体"/>
                <w:highlight w:val="none"/>
              </w:rPr>
            </w:pPr>
          </w:p>
        </w:tc>
        <w:tc>
          <w:tcPr>
            <w:tcW w:w="1081" w:type="pct"/>
            <w:shd w:val="clear" w:color="000000" w:fill="FFFFFF"/>
            <w:vAlign w:val="center"/>
          </w:tcPr>
          <w:p w14:paraId="0497CA80">
            <w:pPr>
              <w:jc w:val="center"/>
              <w:rPr>
                <w:rFonts w:hint="eastAsia" w:ascii="宋体" w:hAnsi="宋体" w:cs="宋体"/>
                <w:highlight w:val="none"/>
              </w:rPr>
            </w:pPr>
            <w:r>
              <w:rPr>
                <w:rFonts w:hint="eastAsia" w:ascii="宋体" w:hAnsi="宋体" w:cs="宋体"/>
                <w:highlight w:val="none"/>
              </w:rPr>
              <w:t>数据采集</w:t>
            </w:r>
          </w:p>
        </w:tc>
        <w:tc>
          <w:tcPr>
            <w:tcW w:w="3273" w:type="pct"/>
            <w:shd w:val="clear" w:color="000000" w:fill="FFFFFF"/>
            <w:vAlign w:val="center"/>
          </w:tcPr>
          <w:p w14:paraId="62827776">
            <w:pPr>
              <w:rPr>
                <w:rFonts w:hint="eastAsia" w:ascii="宋体" w:hAnsi="宋体" w:cs="宋体"/>
                <w:highlight w:val="none"/>
              </w:rPr>
            </w:pPr>
            <w:r>
              <w:rPr>
                <w:rFonts w:hint="eastAsia" w:ascii="宋体" w:hAnsi="宋体" w:cs="宋体"/>
                <w:highlight w:val="none"/>
              </w:rPr>
              <w:t>采集现场空调机组各设备运行参数</w:t>
            </w:r>
          </w:p>
        </w:tc>
      </w:tr>
      <w:tr w14:paraId="44D5ED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 w:hRule="atLeast"/>
        </w:trPr>
        <w:tc>
          <w:tcPr>
            <w:tcW w:w="646" w:type="pct"/>
            <w:vMerge w:val="continue"/>
            <w:shd w:val="clear" w:color="auto" w:fill="auto"/>
            <w:vAlign w:val="center"/>
          </w:tcPr>
          <w:p w14:paraId="397F3E3F">
            <w:pPr>
              <w:rPr>
                <w:rFonts w:hint="eastAsia" w:ascii="宋体" w:hAnsi="宋体" w:cs="宋体"/>
                <w:highlight w:val="none"/>
              </w:rPr>
            </w:pPr>
          </w:p>
        </w:tc>
        <w:tc>
          <w:tcPr>
            <w:tcW w:w="1081" w:type="pct"/>
            <w:shd w:val="clear" w:color="000000" w:fill="FFFFFF"/>
            <w:vAlign w:val="center"/>
          </w:tcPr>
          <w:p w14:paraId="52D72568">
            <w:pPr>
              <w:jc w:val="center"/>
              <w:rPr>
                <w:rFonts w:hint="eastAsia" w:ascii="宋体" w:hAnsi="宋体" w:cs="宋体"/>
                <w:highlight w:val="none"/>
              </w:rPr>
            </w:pPr>
            <w:r>
              <w:rPr>
                <w:rFonts w:hint="eastAsia" w:ascii="宋体" w:hAnsi="宋体" w:cs="宋体"/>
                <w:highlight w:val="none"/>
              </w:rPr>
              <w:t>重点数据上传</w:t>
            </w:r>
          </w:p>
        </w:tc>
        <w:tc>
          <w:tcPr>
            <w:tcW w:w="3273" w:type="pct"/>
            <w:shd w:val="clear" w:color="000000" w:fill="FFFFFF"/>
            <w:vAlign w:val="center"/>
          </w:tcPr>
          <w:p w14:paraId="022BC725">
            <w:pPr>
              <w:rPr>
                <w:rFonts w:hint="eastAsia" w:ascii="宋体" w:hAnsi="宋体" w:cs="宋体"/>
                <w:highlight w:val="none"/>
              </w:rPr>
            </w:pPr>
            <w:r>
              <w:rPr>
                <w:rFonts w:hint="eastAsia" w:ascii="宋体" w:hAnsi="宋体" w:cs="宋体"/>
                <w:highlight w:val="none"/>
              </w:rPr>
              <w:t>将所有重要数据及设备运行数据实时上传节能监管平台</w:t>
            </w:r>
          </w:p>
        </w:tc>
      </w:tr>
    </w:tbl>
    <w:p w14:paraId="45B0FDE4">
      <w:pPr>
        <w:rPr>
          <w:rFonts w:hint="eastAsia" w:ascii="宋体" w:hAnsi="宋体"/>
          <w:szCs w:val="20"/>
          <w:highlight w:val="none"/>
        </w:rPr>
      </w:pPr>
    </w:p>
    <w:p w14:paraId="11542E52">
      <w:pPr>
        <w:spacing w:line="360" w:lineRule="auto"/>
        <w:rPr>
          <w:rFonts w:hint="eastAsia" w:ascii="宋体" w:hAnsi="宋体"/>
          <w:b/>
          <w:sz w:val="24"/>
          <w:szCs w:val="24"/>
          <w:highlight w:val="none"/>
        </w:rPr>
      </w:pPr>
      <w:r>
        <w:rPr>
          <w:rFonts w:hint="eastAsia" w:ascii="宋体" w:hAnsi="宋体"/>
          <w:b/>
          <w:sz w:val="24"/>
          <w:szCs w:val="24"/>
          <w:highlight w:val="none"/>
        </w:rPr>
        <w:t>10）循环泵变频柜</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5"/>
        <w:gridCol w:w="2206"/>
        <w:gridCol w:w="6673"/>
      </w:tblGrid>
      <w:tr w14:paraId="4A61D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27" w:type="pct"/>
            <w:gridSpan w:val="2"/>
            <w:vAlign w:val="center"/>
          </w:tcPr>
          <w:p w14:paraId="1CD3E517">
            <w:pPr>
              <w:jc w:val="center"/>
              <w:rPr>
                <w:rFonts w:hint="eastAsia" w:ascii="宋体" w:hAnsi="宋体" w:cs="宋体"/>
                <w:b/>
                <w:highlight w:val="none"/>
              </w:rPr>
            </w:pPr>
            <w:r>
              <w:rPr>
                <w:rFonts w:hint="eastAsia" w:ascii="宋体" w:hAnsi="宋体" w:cs="宋体"/>
                <w:b/>
                <w:highlight w:val="none"/>
              </w:rPr>
              <w:t>指标项</w:t>
            </w:r>
          </w:p>
        </w:tc>
        <w:tc>
          <w:tcPr>
            <w:tcW w:w="3273" w:type="pct"/>
            <w:vAlign w:val="center"/>
          </w:tcPr>
          <w:p w14:paraId="03FD6302">
            <w:pPr>
              <w:jc w:val="center"/>
              <w:rPr>
                <w:rFonts w:hint="eastAsia" w:ascii="宋体" w:hAnsi="宋体" w:cs="宋体"/>
                <w:b/>
                <w:highlight w:val="none"/>
              </w:rPr>
            </w:pPr>
            <w:r>
              <w:rPr>
                <w:rFonts w:hint="eastAsia" w:ascii="宋体" w:hAnsi="宋体" w:cs="宋体"/>
                <w:b/>
                <w:highlight w:val="none"/>
              </w:rPr>
              <w:t>技术要求</w:t>
            </w:r>
          </w:p>
        </w:tc>
      </w:tr>
      <w:tr w14:paraId="60077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restart"/>
            <w:vAlign w:val="center"/>
          </w:tcPr>
          <w:p w14:paraId="58E66911">
            <w:pPr>
              <w:jc w:val="center"/>
              <w:rPr>
                <w:rFonts w:hint="eastAsia" w:ascii="宋体" w:hAnsi="宋体" w:cs="宋体"/>
                <w:highlight w:val="none"/>
              </w:rPr>
            </w:pPr>
            <w:r>
              <w:rPr>
                <w:rFonts w:hint="eastAsia" w:ascii="宋体" w:hAnsi="宋体" w:cs="宋体"/>
                <w:highlight w:val="none"/>
              </w:rPr>
              <w:t>电压范围</w:t>
            </w:r>
          </w:p>
        </w:tc>
        <w:tc>
          <w:tcPr>
            <w:tcW w:w="1082" w:type="pct"/>
            <w:vMerge w:val="restart"/>
            <w:vAlign w:val="center"/>
          </w:tcPr>
          <w:p w14:paraId="709A4332">
            <w:pPr>
              <w:jc w:val="center"/>
              <w:rPr>
                <w:rFonts w:hint="eastAsia" w:ascii="宋体" w:hAnsi="宋体" w:cs="宋体"/>
                <w:highlight w:val="none"/>
              </w:rPr>
            </w:pPr>
            <w:r>
              <w:rPr>
                <w:rFonts w:hint="eastAsia" w:ascii="宋体" w:hAnsi="宋体" w:cs="宋体"/>
                <w:highlight w:val="none"/>
              </w:rPr>
              <w:t>输入</w:t>
            </w:r>
          </w:p>
        </w:tc>
        <w:tc>
          <w:tcPr>
            <w:tcW w:w="3273" w:type="pct"/>
            <w:vAlign w:val="center"/>
          </w:tcPr>
          <w:p w14:paraId="1E0A5C58">
            <w:pPr>
              <w:rPr>
                <w:rFonts w:hint="eastAsia" w:ascii="宋体" w:hAnsi="宋体" w:cs="宋体"/>
                <w:highlight w:val="none"/>
              </w:rPr>
            </w:pPr>
            <w:r>
              <w:rPr>
                <w:rFonts w:hint="eastAsia" w:ascii="宋体" w:hAnsi="宋体" w:cs="宋体"/>
                <w:highlight w:val="none"/>
              </w:rPr>
              <w:t>额定电压：380V~440V；</w:t>
            </w:r>
          </w:p>
        </w:tc>
      </w:tr>
      <w:tr w14:paraId="7DD75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17A11939">
            <w:pPr>
              <w:rPr>
                <w:rFonts w:hint="eastAsia" w:ascii="宋体" w:hAnsi="宋体" w:cs="宋体"/>
                <w:highlight w:val="none"/>
              </w:rPr>
            </w:pPr>
          </w:p>
        </w:tc>
        <w:tc>
          <w:tcPr>
            <w:tcW w:w="1082" w:type="pct"/>
            <w:vMerge w:val="continue"/>
            <w:vAlign w:val="center"/>
          </w:tcPr>
          <w:p w14:paraId="6EB57A1F">
            <w:pPr>
              <w:rPr>
                <w:rFonts w:hint="eastAsia" w:ascii="宋体" w:hAnsi="宋体" w:cs="宋体"/>
                <w:highlight w:val="none"/>
              </w:rPr>
            </w:pPr>
          </w:p>
        </w:tc>
        <w:tc>
          <w:tcPr>
            <w:tcW w:w="3273" w:type="pct"/>
            <w:vAlign w:val="center"/>
          </w:tcPr>
          <w:p w14:paraId="1C03C92F">
            <w:pPr>
              <w:rPr>
                <w:rFonts w:hint="eastAsia" w:ascii="宋体" w:hAnsi="宋体" w:cs="宋体"/>
                <w:highlight w:val="none"/>
              </w:rPr>
            </w:pPr>
            <w:r>
              <w:rPr>
                <w:rFonts w:hint="eastAsia" w:ascii="宋体" w:hAnsi="宋体" w:cs="宋体"/>
                <w:highlight w:val="none"/>
              </w:rPr>
              <w:t>频率：50HZ/60HZ；</w:t>
            </w:r>
          </w:p>
        </w:tc>
      </w:tr>
      <w:tr w14:paraId="358E1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08BA90C1">
            <w:pPr>
              <w:rPr>
                <w:rFonts w:hint="eastAsia" w:ascii="宋体" w:hAnsi="宋体" w:cs="宋体"/>
                <w:highlight w:val="none"/>
              </w:rPr>
            </w:pPr>
          </w:p>
        </w:tc>
        <w:tc>
          <w:tcPr>
            <w:tcW w:w="1082" w:type="pct"/>
            <w:vMerge w:val="continue"/>
            <w:vAlign w:val="center"/>
          </w:tcPr>
          <w:p w14:paraId="56325A5F">
            <w:pPr>
              <w:rPr>
                <w:rFonts w:hint="eastAsia" w:ascii="宋体" w:hAnsi="宋体" w:cs="宋体"/>
                <w:highlight w:val="none"/>
              </w:rPr>
            </w:pPr>
          </w:p>
        </w:tc>
        <w:tc>
          <w:tcPr>
            <w:tcW w:w="3273" w:type="pct"/>
            <w:vAlign w:val="center"/>
          </w:tcPr>
          <w:p w14:paraId="4BE8071A">
            <w:pPr>
              <w:rPr>
                <w:rFonts w:hint="eastAsia" w:ascii="宋体" w:hAnsi="宋体" w:cs="宋体"/>
                <w:highlight w:val="none"/>
              </w:rPr>
            </w:pPr>
            <w:r>
              <w:rPr>
                <w:rFonts w:hint="eastAsia" w:ascii="宋体" w:hAnsi="宋体" w:cs="宋体"/>
                <w:highlight w:val="none"/>
              </w:rPr>
              <w:t>允许电压工作范围：330V~480V；</w:t>
            </w:r>
          </w:p>
        </w:tc>
      </w:tr>
      <w:tr w14:paraId="4DCA8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17F1AC7A">
            <w:pPr>
              <w:rPr>
                <w:rFonts w:hint="eastAsia" w:ascii="宋体" w:hAnsi="宋体" w:cs="宋体"/>
                <w:highlight w:val="none"/>
              </w:rPr>
            </w:pPr>
          </w:p>
        </w:tc>
        <w:tc>
          <w:tcPr>
            <w:tcW w:w="1082" w:type="pct"/>
            <w:vMerge w:val="continue"/>
            <w:vAlign w:val="center"/>
          </w:tcPr>
          <w:p w14:paraId="774C2CB9">
            <w:pPr>
              <w:rPr>
                <w:rFonts w:hint="eastAsia" w:ascii="宋体" w:hAnsi="宋体" w:cs="宋体"/>
                <w:highlight w:val="none"/>
              </w:rPr>
            </w:pPr>
          </w:p>
        </w:tc>
        <w:tc>
          <w:tcPr>
            <w:tcW w:w="3273" w:type="pct"/>
            <w:vAlign w:val="center"/>
          </w:tcPr>
          <w:p w14:paraId="094684C4">
            <w:pPr>
              <w:rPr>
                <w:rFonts w:hint="eastAsia" w:ascii="宋体" w:hAnsi="宋体" w:cs="宋体"/>
                <w:highlight w:val="none"/>
              </w:rPr>
            </w:pPr>
            <w:r>
              <w:rPr>
                <w:rFonts w:hint="eastAsia" w:ascii="宋体" w:hAnsi="宋体" w:cs="宋体"/>
                <w:highlight w:val="none"/>
              </w:rPr>
              <w:t>电压失衡率：＜3%；</w:t>
            </w:r>
          </w:p>
        </w:tc>
      </w:tr>
      <w:tr w14:paraId="7B9A9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721B0475">
            <w:pPr>
              <w:rPr>
                <w:rFonts w:hint="eastAsia" w:ascii="宋体" w:hAnsi="宋体" w:cs="宋体"/>
                <w:highlight w:val="none"/>
              </w:rPr>
            </w:pPr>
          </w:p>
        </w:tc>
        <w:tc>
          <w:tcPr>
            <w:tcW w:w="1082" w:type="pct"/>
            <w:vMerge w:val="continue"/>
            <w:vAlign w:val="center"/>
          </w:tcPr>
          <w:p w14:paraId="07FD2158">
            <w:pPr>
              <w:rPr>
                <w:rFonts w:hint="eastAsia" w:ascii="宋体" w:hAnsi="宋体" w:cs="宋体"/>
                <w:highlight w:val="none"/>
              </w:rPr>
            </w:pPr>
          </w:p>
        </w:tc>
        <w:tc>
          <w:tcPr>
            <w:tcW w:w="3273" w:type="pct"/>
            <w:vAlign w:val="center"/>
          </w:tcPr>
          <w:p w14:paraId="05910ACC">
            <w:pPr>
              <w:rPr>
                <w:rFonts w:hint="eastAsia" w:ascii="宋体" w:hAnsi="宋体" w:cs="宋体"/>
                <w:highlight w:val="none"/>
              </w:rPr>
            </w:pPr>
            <w:r>
              <w:rPr>
                <w:rFonts w:hint="eastAsia" w:ascii="宋体" w:hAnsi="宋体" w:cs="宋体"/>
                <w:highlight w:val="none"/>
              </w:rPr>
              <w:t>频率：±5%</w:t>
            </w:r>
          </w:p>
        </w:tc>
      </w:tr>
      <w:tr w14:paraId="0E719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1ECFCD6F">
            <w:pPr>
              <w:rPr>
                <w:rFonts w:hint="eastAsia" w:ascii="宋体" w:hAnsi="宋体" w:cs="宋体"/>
                <w:highlight w:val="none"/>
              </w:rPr>
            </w:pPr>
          </w:p>
        </w:tc>
        <w:tc>
          <w:tcPr>
            <w:tcW w:w="1082" w:type="pct"/>
            <w:vMerge w:val="restart"/>
            <w:vAlign w:val="center"/>
          </w:tcPr>
          <w:p w14:paraId="6FA34051">
            <w:pPr>
              <w:jc w:val="center"/>
              <w:rPr>
                <w:rFonts w:hint="eastAsia" w:ascii="宋体" w:hAnsi="宋体" w:cs="宋体"/>
                <w:highlight w:val="none"/>
              </w:rPr>
            </w:pPr>
            <w:r>
              <w:rPr>
                <w:rFonts w:hint="eastAsia" w:ascii="宋体" w:hAnsi="宋体" w:cs="宋体"/>
                <w:highlight w:val="none"/>
              </w:rPr>
              <w:t>输出</w:t>
            </w:r>
          </w:p>
        </w:tc>
        <w:tc>
          <w:tcPr>
            <w:tcW w:w="3273" w:type="pct"/>
            <w:vAlign w:val="center"/>
          </w:tcPr>
          <w:p w14:paraId="76CDE9AC">
            <w:pPr>
              <w:rPr>
                <w:rFonts w:hint="eastAsia" w:ascii="宋体" w:hAnsi="宋体" w:cs="宋体"/>
                <w:highlight w:val="none"/>
              </w:rPr>
            </w:pPr>
            <w:r>
              <w:rPr>
                <w:rFonts w:hint="eastAsia" w:ascii="宋体" w:hAnsi="宋体" w:cs="宋体"/>
                <w:highlight w:val="none"/>
              </w:rPr>
              <w:t>额定电压：0~输入电压；</w:t>
            </w:r>
          </w:p>
        </w:tc>
      </w:tr>
      <w:tr w14:paraId="2ABA7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72787D88">
            <w:pPr>
              <w:rPr>
                <w:rFonts w:hint="eastAsia" w:ascii="宋体" w:hAnsi="宋体" w:cs="宋体"/>
                <w:highlight w:val="none"/>
              </w:rPr>
            </w:pPr>
          </w:p>
        </w:tc>
        <w:tc>
          <w:tcPr>
            <w:tcW w:w="1082" w:type="pct"/>
            <w:vMerge w:val="continue"/>
            <w:vAlign w:val="center"/>
          </w:tcPr>
          <w:p w14:paraId="508C6362">
            <w:pPr>
              <w:rPr>
                <w:rFonts w:hint="eastAsia" w:ascii="宋体" w:hAnsi="宋体" w:cs="宋体"/>
                <w:highlight w:val="none"/>
              </w:rPr>
            </w:pPr>
          </w:p>
        </w:tc>
        <w:tc>
          <w:tcPr>
            <w:tcW w:w="3273" w:type="pct"/>
            <w:vAlign w:val="center"/>
          </w:tcPr>
          <w:p w14:paraId="43BD6C55">
            <w:pPr>
              <w:rPr>
                <w:rFonts w:hint="eastAsia" w:ascii="宋体" w:hAnsi="宋体" w:cs="宋体"/>
                <w:highlight w:val="none"/>
              </w:rPr>
            </w:pPr>
            <w:r>
              <w:rPr>
                <w:rFonts w:hint="eastAsia" w:ascii="宋体" w:hAnsi="宋体" w:cs="宋体"/>
                <w:highlight w:val="none"/>
              </w:rPr>
              <w:t>频率：0HZ~500HZ；</w:t>
            </w:r>
          </w:p>
        </w:tc>
      </w:tr>
      <w:tr w14:paraId="42387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1B0263A0">
            <w:pPr>
              <w:rPr>
                <w:rFonts w:hint="eastAsia" w:ascii="宋体" w:hAnsi="宋体" w:cs="宋体"/>
                <w:highlight w:val="none"/>
              </w:rPr>
            </w:pPr>
          </w:p>
        </w:tc>
        <w:tc>
          <w:tcPr>
            <w:tcW w:w="1082" w:type="pct"/>
            <w:vMerge w:val="continue"/>
            <w:vAlign w:val="center"/>
          </w:tcPr>
          <w:p w14:paraId="2BFF9CC8">
            <w:pPr>
              <w:rPr>
                <w:rFonts w:hint="eastAsia" w:ascii="宋体" w:hAnsi="宋体" w:cs="宋体"/>
                <w:highlight w:val="none"/>
              </w:rPr>
            </w:pPr>
          </w:p>
        </w:tc>
        <w:tc>
          <w:tcPr>
            <w:tcW w:w="3273" w:type="pct"/>
            <w:vAlign w:val="center"/>
          </w:tcPr>
          <w:p w14:paraId="0F57ADEB">
            <w:pPr>
              <w:rPr>
                <w:rFonts w:hint="eastAsia" w:ascii="宋体" w:hAnsi="宋体" w:cs="宋体"/>
                <w:highlight w:val="none"/>
              </w:rPr>
            </w:pPr>
            <w:r>
              <w:rPr>
                <w:rFonts w:hint="eastAsia" w:ascii="宋体" w:hAnsi="宋体" w:cs="宋体"/>
                <w:highlight w:val="none"/>
              </w:rPr>
              <w:t>支持自动电压调整；支持自动限流功能；</w:t>
            </w:r>
          </w:p>
        </w:tc>
      </w:tr>
      <w:tr w14:paraId="56FB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43FFE334">
            <w:pPr>
              <w:rPr>
                <w:rFonts w:hint="eastAsia" w:ascii="宋体" w:hAnsi="宋体" w:cs="宋体"/>
                <w:highlight w:val="none"/>
              </w:rPr>
            </w:pPr>
          </w:p>
        </w:tc>
        <w:tc>
          <w:tcPr>
            <w:tcW w:w="1082" w:type="pct"/>
            <w:vMerge w:val="continue"/>
            <w:vAlign w:val="center"/>
          </w:tcPr>
          <w:p w14:paraId="4AC5FBC5">
            <w:pPr>
              <w:rPr>
                <w:rFonts w:hint="eastAsia" w:ascii="宋体" w:hAnsi="宋体" w:cs="宋体"/>
                <w:highlight w:val="none"/>
              </w:rPr>
            </w:pPr>
          </w:p>
        </w:tc>
        <w:tc>
          <w:tcPr>
            <w:tcW w:w="3273" w:type="pct"/>
            <w:vAlign w:val="center"/>
          </w:tcPr>
          <w:p w14:paraId="4A90A595">
            <w:pPr>
              <w:rPr>
                <w:rFonts w:hint="eastAsia" w:ascii="宋体" w:hAnsi="宋体" w:cs="宋体"/>
                <w:highlight w:val="none"/>
              </w:rPr>
            </w:pPr>
            <w:r>
              <w:rPr>
                <w:rFonts w:hint="eastAsia" w:ascii="宋体" w:hAnsi="宋体" w:cs="宋体"/>
                <w:highlight w:val="none"/>
              </w:rPr>
              <w:t>过载能力110%额定电流1分钟；150%额定电流1秒；</w:t>
            </w:r>
          </w:p>
        </w:tc>
      </w:tr>
      <w:tr w14:paraId="09FE9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restart"/>
            <w:vAlign w:val="center"/>
          </w:tcPr>
          <w:p w14:paraId="2177E12D">
            <w:pPr>
              <w:jc w:val="center"/>
              <w:rPr>
                <w:rFonts w:hint="eastAsia" w:ascii="宋体" w:hAnsi="宋体" w:cs="宋体"/>
                <w:highlight w:val="none"/>
              </w:rPr>
            </w:pPr>
            <w:r>
              <w:rPr>
                <w:rFonts w:hint="eastAsia" w:ascii="宋体" w:hAnsi="宋体" w:cs="宋体"/>
                <w:highlight w:val="none"/>
              </w:rPr>
              <w:t>主要变频器性能</w:t>
            </w:r>
          </w:p>
        </w:tc>
        <w:tc>
          <w:tcPr>
            <w:tcW w:w="1082" w:type="pct"/>
            <w:vAlign w:val="center"/>
          </w:tcPr>
          <w:p w14:paraId="3FFC7724">
            <w:pPr>
              <w:jc w:val="center"/>
              <w:rPr>
                <w:rFonts w:hint="eastAsia" w:ascii="宋体" w:hAnsi="宋体" w:cs="宋体"/>
                <w:highlight w:val="none"/>
              </w:rPr>
            </w:pPr>
            <w:r>
              <w:rPr>
                <w:rFonts w:hint="eastAsia" w:ascii="宋体" w:hAnsi="宋体" w:cs="宋体"/>
                <w:highlight w:val="none"/>
              </w:rPr>
              <w:t>起动转矩</w:t>
            </w:r>
          </w:p>
        </w:tc>
        <w:tc>
          <w:tcPr>
            <w:tcW w:w="3273" w:type="pct"/>
            <w:vAlign w:val="center"/>
          </w:tcPr>
          <w:p w14:paraId="2036A654">
            <w:pPr>
              <w:rPr>
                <w:rFonts w:hint="eastAsia" w:ascii="宋体" w:hAnsi="宋体" w:cs="宋体"/>
                <w:highlight w:val="none"/>
              </w:rPr>
            </w:pPr>
            <w:r>
              <w:rPr>
                <w:rFonts w:hint="eastAsia" w:ascii="宋体" w:hAnsi="宋体" w:cs="宋体"/>
                <w:highlight w:val="none"/>
              </w:rPr>
              <w:t>0.50HZ时150%额定转矩</w:t>
            </w:r>
          </w:p>
        </w:tc>
      </w:tr>
      <w:tr w14:paraId="6A72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275675E3">
            <w:pPr>
              <w:rPr>
                <w:rFonts w:hint="eastAsia" w:ascii="宋体" w:hAnsi="宋体" w:cs="宋体"/>
                <w:highlight w:val="none"/>
              </w:rPr>
            </w:pPr>
          </w:p>
        </w:tc>
        <w:tc>
          <w:tcPr>
            <w:tcW w:w="1082" w:type="pct"/>
            <w:vAlign w:val="center"/>
          </w:tcPr>
          <w:p w14:paraId="58E99263">
            <w:pPr>
              <w:jc w:val="center"/>
              <w:rPr>
                <w:rFonts w:hint="eastAsia" w:ascii="宋体" w:hAnsi="宋体" w:cs="宋体"/>
                <w:highlight w:val="none"/>
              </w:rPr>
            </w:pPr>
            <w:r>
              <w:rPr>
                <w:rFonts w:hint="eastAsia" w:ascii="宋体" w:hAnsi="宋体" w:cs="宋体"/>
                <w:highlight w:val="none"/>
              </w:rPr>
              <w:t>运行转速稳态精度</w:t>
            </w:r>
          </w:p>
        </w:tc>
        <w:tc>
          <w:tcPr>
            <w:tcW w:w="3273" w:type="pct"/>
            <w:vAlign w:val="center"/>
          </w:tcPr>
          <w:p w14:paraId="3AAC049A">
            <w:pPr>
              <w:rPr>
                <w:rFonts w:hint="eastAsia" w:ascii="宋体" w:hAnsi="宋体" w:cs="宋体"/>
                <w:highlight w:val="none"/>
              </w:rPr>
            </w:pPr>
            <w:r>
              <w:rPr>
                <w:rFonts w:hint="eastAsia" w:ascii="宋体" w:hAnsi="宋体" w:cs="宋体"/>
                <w:highlight w:val="none"/>
              </w:rPr>
              <w:t>≤±0.5%额定同步转速</w:t>
            </w:r>
          </w:p>
        </w:tc>
      </w:tr>
      <w:tr w14:paraId="4082D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32CE4228">
            <w:pPr>
              <w:rPr>
                <w:rFonts w:hint="eastAsia" w:ascii="宋体" w:hAnsi="宋体" w:cs="宋体"/>
                <w:highlight w:val="none"/>
              </w:rPr>
            </w:pPr>
          </w:p>
        </w:tc>
        <w:tc>
          <w:tcPr>
            <w:tcW w:w="1082" w:type="pct"/>
            <w:vMerge w:val="restart"/>
            <w:vAlign w:val="center"/>
          </w:tcPr>
          <w:p w14:paraId="6B9F74C8">
            <w:pPr>
              <w:jc w:val="center"/>
              <w:rPr>
                <w:rFonts w:hint="eastAsia" w:ascii="宋体" w:hAnsi="宋体" w:cs="宋体"/>
                <w:highlight w:val="none"/>
              </w:rPr>
            </w:pPr>
            <w:r>
              <w:rPr>
                <w:rFonts w:hint="eastAsia" w:ascii="宋体" w:hAnsi="宋体" w:cs="宋体"/>
                <w:highlight w:val="none"/>
              </w:rPr>
              <w:t>频率精度</w:t>
            </w:r>
          </w:p>
        </w:tc>
        <w:tc>
          <w:tcPr>
            <w:tcW w:w="3273" w:type="pct"/>
            <w:vAlign w:val="center"/>
          </w:tcPr>
          <w:p w14:paraId="03A98146">
            <w:pPr>
              <w:rPr>
                <w:rFonts w:hint="eastAsia" w:ascii="宋体" w:hAnsi="宋体" w:cs="宋体"/>
                <w:highlight w:val="none"/>
              </w:rPr>
            </w:pPr>
            <w:r>
              <w:rPr>
                <w:rFonts w:hint="eastAsia" w:ascii="宋体" w:hAnsi="宋体" w:cs="宋体"/>
                <w:highlight w:val="none"/>
              </w:rPr>
              <w:t>数字设定：最高频率×±0.01%；</w:t>
            </w:r>
          </w:p>
        </w:tc>
      </w:tr>
      <w:tr w14:paraId="1CF26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646B7FC7">
            <w:pPr>
              <w:rPr>
                <w:rFonts w:hint="eastAsia" w:ascii="宋体" w:hAnsi="宋体" w:cs="宋体"/>
                <w:highlight w:val="none"/>
              </w:rPr>
            </w:pPr>
          </w:p>
        </w:tc>
        <w:tc>
          <w:tcPr>
            <w:tcW w:w="1082" w:type="pct"/>
            <w:vMerge w:val="continue"/>
            <w:vAlign w:val="center"/>
          </w:tcPr>
          <w:p w14:paraId="27FFD0E3">
            <w:pPr>
              <w:rPr>
                <w:rFonts w:hint="eastAsia" w:ascii="宋体" w:hAnsi="宋体" w:cs="宋体"/>
                <w:highlight w:val="none"/>
              </w:rPr>
            </w:pPr>
          </w:p>
        </w:tc>
        <w:tc>
          <w:tcPr>
            <w:tcW w:w="3273" w:type="pct"/>
            <w:vAlign w:val="center"/>
          </w:tcPr>
          <w:p w14:paraId="383B3229">
            <w:pPr>
              <w:rPr>
                <w:rFonts w:hint="eastAsia" w:ascii="宋体" w:hAnsi="宋体" w:cs="宋体"/>
                <w:highlight w:val="none"/>
              </w:rPr>
            </w:pPr>
            <w:r>
              <w:rPr>
                <w:rFonts w:hint="eastAsia" w:ascii="宋体" w:hAnsi="宋体" w:cs="宋体"/>
                <w:highlight w:val="none"/>
              </w:rPr>
              <w:t>模拟设定：最高频率×±0.2%</w:t>
            </w:r>
          </w:p>
        </w:tc>
      </w:tr>
      <w:tr w14:paraId="14063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3CC77650">
            <w:pPr>
              <w:rPr>
                <w:rFonts w:hint="eastAsia" w:ascii="宋体" w:hAnsi="宋体" w:cs="宋体"/>
                <w:highlight w:val="none"/>
              </w:rPr>
            </w:pPr>
          </w:p>
        </w:tc>
        <w:tc>
          <w:tcPr>
            <w:tcW w:w="1082" w:type="pct"/>
            <w:vMerge w:val="restart"/>
            <w:vAlign w:val="center"/>
          </w:tcPr>
          <w:p w14:paraId="3B20B514">
            <w:pPr>
              <w:jc w:val="center"/>
              <w:rPr>
                <w:rFonts w:hint="eastAsia" w:ascii="宋体" w:hAnsi="宋体" w:cs="宋体"/>
                <w:highlight w:val="none"/>
              </w:rPr>
            </w:pPr>
            <w:r>
              <w:rPr>
                <w:rFonts w:hint="eastAsia" w:ascii="宋体" w:hAnsi="宋体" w:cs="宋体"/>
                <w:highlight w:val="none"/>
              </w:rPr>
              <w:t>数字分辨率</w:t>
            </w:r>
          </w:p>
        </w:tc>
        <w:tc>
          <w:tcPr>
            <w:tcW w:w="3273" w:type="pct"/>
            <w:vAlign w:val="center"/>
          </w:tcPr>
          <w:p w14:paraId="6D6F8866">
            <w:pPr>
              <w:rPr>
                <w:rFonts w:hint="eastAsia" w:ascii="宋体" w:hAnsi="宋体" w:cs="宋体"/>
                <w:highlight w:val="none"/>
              </w:rPr>
            </w:pPr>
            <w:r>
              <w:rPr>
                <w:rFonts w:hint="eastAsia" w:ascii="宋体" w:hAnsi="宋体" w:cs="宋体"/>
                <w:highlight w:val="none"/>
              </w:rPr>
              <w:t>数字设定：0.01HZ；</w:t>
            </w:r>
          </w:p>
        </w:tc>
      </w:tr>
      <w:tr w14:paraId="7443F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198B556C">
            <w:pPr>
              <w:rPr>
                <w:rFonts w:hint="eastAsia" w:ascii="宋体" w:hAnsi="宋体" w:cs="宋体"/>
                <w:highlight w:val="none"/>
              </w:rPr>
            </w:pPr>
          </w:p>
        </w:tc>
        <w:tc>
          <w:tcPr>
            <w:tcW w:w="1082" w:type="pct"/>
            <w:vMerge w:val="continue"/>
            <w:vAlign w:val="center"/>
          </w:tcPr>
          <w:p w14:paraId="4E5CA838">
            <w:pPr>
              <w:rPr>
                <w:rFonts w:hint="eastAsia" w:ascii="宋体" w:hAnsi="宋体" w:cs="宋体"/>
                <w:highlight w:val="none"/>
              </w:rPr>
            </w:pPr>
          </w:p>
        </w:tc>
        <w:tc>
          <w:tcPr>
            <w:tcW w:w="3273" w:type="pct"/>
            <w:vAlign w:val="center"/>
          </w:tcPr>
          <w:p w14:paraId="2E5A529B">
            <w:pPr>
              <w:rPr>
                <w:rFonts w:hint="eastAsia" w:ascii="宋体" w:hAnsi="宋体" w:cs="宋体"/>
                <w:highlight w:val="none"/>
              </w:rPr>
            </w:pPr>
            <w:r>
              <w:rPr>
                <w:rFonts w:hint="eastAsia" w:ascii="宋体" w:hAnsi="宋体" w:cs="宋体"/>
                <w:highlight w:val="none"/>
              </w:rPr>
              <w:t>模拟设定：最高频率×0.1%</w:t>
            </w:r>
          </w:p>
        </w:tc>
      </w:tr>
      <w:tr w14:paraId="57045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71B1534E">
            <w:pPr>
              <w:rPr>
                <w:rFonts w:hint="eastAsia" w:ascii="宋体" w:hAnsi="宋体" w:cs="宋体"/>
                <w:highlight w:val="none"/>
              </w:rPr>
            </w:pPr>
          </w:p>
        </w:tc>
        <w:tc>
          <w:tcPr>
            <w:tcW w:w="1082" w:type="pct"/>
            <w:vAlign w:val="center"/>
          </w:tcPr>
          <w:p w14:paraId="1C85347E">
            <w:pPr>
              <w:jc w:val="center"/>
              <w:rPr>
                <w:rFonts w:hint="eastAsia" w:ascii="宋体" w:hAnsi="宋体" w:cs="宋体"/>
                <w:highlight w:val="none"/>
              </w:rPr>
            </w:pPr>
            <w:r>
              <w:rPr>
                <w:rFonts w:hint="eastAsia" w:ascii="宋体" w:hAnsi="宋体" w:cs="宋体"/>
                <w:highlight w:val="none"/>
              </w:rPr>
              <w:t>转矩提升</w:t>
            </w:r>
          </w:p>
        </w:tc>
        <w:tc>
          <w:tcPr>
            <w:tcW w:w="3273" w:type="pct"/>
            <w:vAlign w:val="center"/>
          </w:tcPr>
          <w:p w14:paraId="1EDC60DA">
            <w:pPr>
              <w:rPr>
                <w:rFonts w:hint="eastAsia" w:ascii="宋体" w:hAnsi="宋体" w:cs="宋体"/>
                <w:highlight w:val="none"/>
              </w:rPr>
            </w:pPr>
            <w:r>
              <w:rPr>
                <w:rFonts w:hint="eastAsia" w:ascii="宋体" w:hAnsi="宋体" w:cs="宋体"/>
                <w:highlight w:val="none"/>
              </w:rPr>
              <w:t>自动转矩提升，手动转矩提升</w:t>
            </w:r>
          </w:p>
        </w:tc>
      </w:tr>
      <w:tr w14:paraId="35295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691C64F3">
            <w:pPr>
              <w:rPr>
                <w:rFonts w:hint="eastAsia" w:ascii="宋体" w:hAnsi="宋体" w:cs="宋体"/>
                <w:highlight w:val="none"/>
              </w:rPr>
            </w:pPr>
          </w:p>
        </w:tc>
        <w:tc>
          <w:tcPr>
            <w:tcW w:w="1082" w:type="pct"/>
            <w:vAlign w:val="center"/>
          </w:tcPr>
          <w:p w14:paraId="3DD721F2">
            <w:pPr>
              <w:jc w:val="center"/>
              <w:rPr>
                <w:rFonts w:hint="eastAsia" w:ascii="宋体" w:hAnsi="宋体" w:cs="宋体"/>
                <w:highlight w:val="none"/>
              </w:rPr>
            </w:pPr>
            <w:r>
              <w:rPr>
                <w:rFonts w:hint="eastAsia" w:ascii="宋体" w:hAnsi="宋体" w:cs="宋体"/>
                <w:highlight w:val="none"/>
              </w:rPr>
              <w:t>多段速运行</w:t>
            </w:r>
          </w:p>
        </w:tc>
        <w:tc>
          <w:tcPr>
            <w:tcW w:w="3273" w:type="pct"/>
            <w:vAlign w:val="center"/>
          </w:tcPr>
          <w:p w14:paraId="0B0C0B0F">
            <w:pPr>
              <w:rPr>
                <w:rFonts w:hint="eastAsia" w:ascii="宋体" w:hAnsi="宋体" w:cs="宋体"/>
                <w:highlight w:val="none"/>
              </w:rPr>
            </w:pPr>
            <w:r>
              <w:rPr>
                <w:rFonts w:hint="eastAsia" w:ascii="宋体" w:hAnsi="宋体" w:cs="宋体"/>
                <w:highlight w:val="none"/>
              </w:rPr>
              <w:t>支持通过内置PLC或控制端子实现多段速运行；</w:t>
            </w:r>
          </w:p>
        </w:tc>
      </w:tr>
      <w:tr w14:paraId="3C10A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55E327B6">
            <w:pPr>
              <w:rPr>
                <w:rFonts w:hint="eastAsia" w:ascii="宋体" w:hAnsi="宋体" w:cs="宋体"/>
                <w:highlight w:val="none"/>
              </w:rPr>
            </w:pPr>
          </w:p>
        </w:tc>
        <w:tc>
          <w:tcPr>
            <w:tcW w:w="1082" w:type="pct"/>
            <w:vAlign w:val="center"/>
          </w:tcPr>
          <w:p w14:paraId="3A685484">
            <w:pPr>
              <w:jc w:val="center"/>
              <w:rPr>
                <w:rFonts w:hint="eastAsia" w:ascii="宋体" w:hAnsi="宋体" w:cs="宋体"/>
                <w:highlight w:val="none"/>
              </w:rPr>
            </w:pPr>
            <w:r>
              <w:rPr>
                <w:rFonts w:hint="eastAsia" w:ascii="宋体" w:hAnsi="宋体" w:cs="宋体"/>
                <w:highlight w:val="none"/>
              </w:rPr>
              <w:t>控制系统</w:t>
            </w:r>
          </w:p>
        </w:tc>
        <w:tc>
          <w:tcPr>
            <w:tcW w:w="3273" w:type="pct"/>
            <w:vAlign w:val="center"/>
          </w:tcPr>
          <w:p w14:paraId="254E76D1">
            <w:pPr>
              <w:rPr>
                <w:rFonts w:hint="eastAsia" w:ascii="宋体" w:hAnsi="宋体" w:cs="宋体"/>
                <w:highlight w:val="none"/>
              </w:rPr>
            </w:pPr>
            <w:r>
              <w:rPr>
                <w:rFonts w:hint="eastAsia" w:ascii="宋体" w:hAnsi="宋体" w:cs="宋体"/>
                <w:highlight w:val="none"/>
              </w:rPr>
              <w:t>内置PI/PID构成闭环控制系统；</w:t>
            </w:r>
          </w:p>
        </w:tc>
      </w:tr>
      <w:tr w14:paraId="33863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0133E8B0">
            <w:pPr>
              <w:rPr>
                <w:rFonts w:hint="eastAsia" w:ascii="宋体" w:hAnsi="宋体" w:cs="宋体"/>
                <w:highlight w:val="none"/>
              </w:rPr>
            </w:pPr>
          </w:p>
        </w:tc>
        <w:tc>
          <w:tcPr>
            <w:tcW w:w="1082" w:type="pct"/>
            <w:vAlign w:val="center"/>
          </w:tcPr>
          <w:p w14:paraId="07DAB190">
            <w:pPr>
              <w:jc w:val="center"/>
              <w:rPr>
                <w:rFonts w:hint="eastAsia" w:ascii="宋体" w:hAnsi="宋体" w:cs="宋体"/>
                <w:highlight w:val="none"/>
              </w:rPr>
            </w:pPr>
            <w:r>
              <w:rPr>
                <w:rFonts w:hint="eastAsia" w:ascii="宋体" w:hAnsi="宋体" w:cs="宋体"/>
                <w:highlight w:val="none"/>
              </w:rPr>
              <w:t>V/F曲线</w:t>
            </w:r>
          </w:p>
        </w:tc>
        <w:tc>
          <w:tcPr>
            <w:tcW w:w="3273" w:type="pct"/>
            <w:vAlign w:val="center"/>
          </w:tcPr>
          <w:p w14:paraId="2D0517BF">
            <w:pPr>
              <w:rPr>
                <w:rFonts w:hint="eastAsia" w:ascii="宋体" w:hAnsi="宋体" w:cs="宋体"/>
                <w:highlight w:val="none"/>
              </w:rPr>
            </w:pPr>
            <w:r>
              <w:rPr>
                <w:rFonts w:hint="eastAsia" w:ascii="宋体" w:hAnsi="宋体" w:cs="宋体"/>
                <w:highlight w:val="none"/>
              </w:rPr>
              <w:t>支持线性、平方、自定义等；</w:t>
            </w:r>
          </w:p>
        </w:tc>
      </w:tr>
      <w:tr w14:paraId="348C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2D75D18F">
            <w:pPr>
              <w:rPr>
                <w:rFonts w:hint="eastAsia" w:ascii="宋体" w:hAnsi="宋体" w:cs="宋体"/>
                <w:highlight w:val="none"/>
              </w:rPr>
            </w:pPr>
          </w:p>
        </w:tc>
        <w:tc>
          <w:tcPr>
            <w:tcW w:w="1082" w:type="pct"/>
            <w:vAlign w:val="center"/>
          </w:tcPr>
          <w:p w14:paraId="4A22DDC4">
            <w:pPr>
              <w:jc w:val="center"/>
              <w:rPr>
                <w:rFonts w:hint="eastAsia" w:ascii="宋体" w:hAnsi="宋体" w:cs="宋体"/>
                <w:highlight w:val="none"/>
              </w:rPr>
            </w:pPr>
            <w:r>
              <w:rPr>
                <w:rFonts w:hint="eastAsia" w:ascii="宋体" w:hAnsi="宋体" w:cs="宋体"/>
                <w:highlight w:val="none"/>
              </w:rPr>
              <w:t>可编程控制链接</w:t>
            </w:r>
          </w:p>
        </w:tc>
        <w:tc>
          <w:tcPr>
            <w:tcW w:w="3273" w:type="pct"/>
            <w:vAlign w:val="center"/>
          </w:tcPr>
          <w:p w14:paraId="0888DE21">
            <w:pPr>
              <w:rPr>
                <w:rFonts w:hint="eastAsia" w:ascii="宋体" w:hAnsi="宋体" w:cs="宋体"/>
                <w:highlight w:val="none"/>
              </w:rPr>
            </w:pPr>
            <w:r>
              <w:rPr>
                <w:rFonts w:hint="eastAsia" w:ascii="宋体" w:hAnsi="宋体" w:cs="宋体"/>
                <w:highlight w:val="none"/>
              </w:rPr>
              <w:t>支持数字量输入输出，模拟量输入输出</w:t>
            </w:r>
          </w:p>
        </w:tc>
      </w:tr>
      <w:tr w14:paraId="56CC3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6C3477A7">
            <w:pPr>
              <w:rPr>
                <w:rFonts w:hint="eastAsia" w:ascii="宋体" w:hAnsi="宋体" w:cs="宋体"/>
                <w:highlight w:val="none"/>
              </w:rPr>
            </w:pPr>
          </w:p>
        </w:tc>
        <w:tc>
          <w:tcPr>
            <w:tcW w:w="1082" w:type="pct"/>
            <w:vAlign w:val="center"/>
          </w:tcPr>
          <w:p w14:paraId="29C4275F">
            <w:pPr>
              <w:jc w:val="center"/>
              <w:rPr>
                <w:rFonts w:hint="eastAsia" w:ascii="宋体" w:hAnsi="宋体" w:cs="宋体"/>
                <w:highlight w:val="none"/>
              </w:rPr>
            </w:pPr>
            <w:r>
              <w:rPr>
                <w:rFonts w:hint="eastAsia" w:ascii="宋体" w:hAnsi="宋体" w:cs="宋体"/>
                <w:highlight w:val="none"/>
              </w:rPr>
              <w:t>通讯</w:t>
            </w:r>
          </w:p>
        </w:tc>
        <w:tc>
          <w:tcPr>
            <w:tcW w:w="3273" w:type="pct"/>
            <w:vAlign w:val="center"/>
          </w:tcPr>
          <w:p w14:paraId="18552000">
            <w:pPr>
              <w:rPr>
                <w:rFonts w:hint="eastAsia" w:ascii="宋体" w:hAnsi="宋体" w:cs="宋体"/>
                <w:highlight w:val="none"/>
              </w:rPr>
            </w:pPr>
            <w:r>
              <w:rPr>
                <w:rFonts w:hint="eastAsia" w:ascii="宋体" w:hAnsi="宋体" w:cs="宋体"/>
                <w:highlight w:val="none"/>
              </w:rPr>
              <w:t>支持RS485通讯</w:t>
            </w:r>
          </w:p>
        </w:tc>
      </w:tr>
      <w:tr w14:paraId="1891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restart"/>
            <w:vAlign w:val="center"/>
          </w:tcPr>
          <w:p w14:paraId="6895442F">
            <w:pPr>
              <w:jc w:val="center"/>
              <w:rPr>
                <w:rFonts w:hint="eastAsia" w:ascii="宋体" w:hAnsi="宋体" w:cs="宋体"/>
                <w:highlight w:val="none"/>
              </w:rPr>
            </w:pPr>
            <w:r>
              <w:rPr>
                <w:rFonts w:hint="eastAsia" w:ascii="宋体" w:hAnsi="宋体" w:cs="宋体"/>
                <w:highlight w:val="none"/>
              </w:rPr>
              <w:t>环境参数</w:t>
            </w:r>
          </w:p>
        </w:tc>
        <w:tc>
          <w:tcPr>
            <w:tcW w:w="1082" w:type="pct"/>
            <w:vMerge w:val="restart"/>
            <w:vAlign w:val="center"/>
          </w:tcPr>
          <w:p w14:paraId="4D0018CC">
            <w:pPr>
              <w:jc w:val="center"/>
              <w:rPr>
                <w:rFonts w:hint="eastAsia" w:ascii="宋体" w:hAnsi="宋体" w:cs="宋体"/>
                <w:highlight w:val="none"/>
              </w:rPr>
            </w:pPr>
            <w:r>
              <w:rPr>
                <w:rFonts w:hint="eastAsia" w:ascii="宋体" w:hAnsi="宋体" w:cs="宋体"/>
                <w:highlight w:val="none"/>
              </w:rPr>
              <w:t>环境温湿度</w:t>
            </w:r>
          </w:p>
        </w:tc>
        <w:tc>
          <w:tcPr>
            <w:tcW w:w="3273" w:type="pct"/>
            <w:vAlign w:val="center"/>
          </w:tcPr>
          <w:p w14:paraId="75D047C5">
            <w:pPr>
              <w:rPr>
                <w:rFonts w:hint="eastAsia" w:ascii="宋体" w:hAnsi="宋体" w:cs="宋体"/>
                <w:highlight w:val="none"/>
              </w:rPr>
            </w:pPr>
            <w:r>
              <w:rPr>
                <w:rFonts w:hint="eastAsia" w:ascii="宋体" w:hAnsi="宋体" w:cs="宋体"/>
                <w:highlight w:val="none"/>
              </w:rPr>
              <w:t>-15~40℃；40~50℃需降额使用；</w:t>
            </w:r>
          </w:p>
        </w:tc>
      </w:tr>
      <w:tr w14:paraId="434F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6F9E4779">
            <w:pPr>
              <w:rPr>
                <w:rFonts w:hint="eastAsia" w:ascii="宋体" w:hAnsi="宋体" w:cs="宋体"/>
                <w:highlight w:val="none"/>
              </w:rPr>
            </w:pPr>
          </w:p>
        </w:tc>
        <w:tc>
          <w:tcPr>
            <w:tcW w:w="1082" w:type="pct"/>
            <w:vMerge w:val="continue"/>
            <w:vAlign w:val="center"/>
          </w:tcPr>
          <w:p w14:paraId="3BB67A28">
            <w:pPr>
              <w:rPr>
                <w:rFonts w:hint="eastAsia" w:ascii="宋体" w:hAnsi="宋体" w:cs="宋体"/>
                <w:highlight w:val="none"/>
              </w:rPr>
            </w:pPr>
          </w:p>
        </w:tc>
        <w:tc>
          <w:tcPr>
            <w:tcW w:w="3273" w:type="pct"/>
            <w:vAlign w:val="center"/>
          </w:tcPr>
          <w:p w14:paraId="3C621D52">
            <w:pPr>
              <w:rPr>
                <w:rFonts w:hint="eastAsia" w:ascii="宋体" w:hAnsi="宋体" w:cs="宋体"/>
                <w:highlight w:val="none"/>
              </w:rPr>
            </w:pPr>
            <w:r>
              <w:rPr>
                <w:rFonts w:hint="eastAsia" w:ascii="宋体" w:hAnsi="宋体" w:cs="宋体"/>
                <w:highlight w:val="none"/>
              </w:rPr>
              <w:t>相对湿度：小于95%（无冷凝）</w:t>
            </w:r>
          </w:p>
        </w:tc>
      </w:tr>
      <w:tr w14:paraId="1AC77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104E7493">
            <w:pPr>
              <w:rPr>
                <w:rFonts w:hint="eastAsia" w:ascii="宋体" w:hAnsi="宋体" w:cs="宋体"/>
                <w:highlight w:val="none"/>
              </w:rPr>
            </w:pPr>
          </w:p>
        </w:tc>
        <w:tc>
          <w:tcPr>
            <w:tcW w:w="1082" w:type="pct"/>
            <w:vAlign w:val="center"/>
          </w:tcPr>
          <w:p w14:paraId="007EDEA1">
            <w:pPr>
              <w:jc w:val="center"/>
              <w:rPr>
                <w:rFonts w:hint="eastAsia" w:ascii="宋体" w:hAnsi="宋体" w:cs="宋体"/>
                <w:highlight w:val="none"/>
              </w:rPr>
            </w:pPr>
            <w:r>
              <w:rPr>
                <w:rFonts w:hint="eastAsia" w:ascii="宋体" w:hAnsi="宋体" w:cs="宋体"/>
                <w:highlight w:val="none"/>
              </w:rPr>
              <w:t>防护等级</w:t>
            </w:r>
          </w:p>
        </w:tc>
        <w:tc>
          <w:tcPr>
            <w:tcW w:w="3273" w:type="pct"/>
            <w:vAlign w:val="center"/>
          </w:tcPr>
          <w:p w14:paraId="27B75B81">
            <w:pPr>
              <w:rPr>
                <w:rFonts w:hint="eastAsia" w:ascii="宋体" w:hAnsi="宋体" w:cs="宋体"/>
                <w:highlight w:val="none"/>
              </w:rPr>
            </w:pPr>
            <w:r>
              <w:rPr>
                <w:rFonts w:hint="eastAsia" w:ascii="宋体" w:hAnsi="宋体" w:cs="宋体"/>
                <w:highlight w:val="none"/>
              </w:rPr>
              <w:t>IP21或IP54</w:t>
            </w:r>
          </w:p>
        </w:tc>
      </w:tr>
      <w:tr w14:paraId="5C0DB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restart"/>
            <w:vAlign w:val="center"/>
          </w:tcPr>
          <w:p w14:paraId="7860AFBB">
            <w:pPr>
              <w:jc w:val="center"/>
              <w:rPr>
                <w:rFonts w:hint="eastAsia" w:ascii="宋体" w:hAnsi="宋体" w:cs="宋体"/>
                <w:highlight w:val="none"/>
              </w:rPr>
            </w:pPr>
            <w:r>
              <w:rPr>
                <w:rFonts w:hint="eastAsia" w:ascii="宋体" w:hAnsi="宋体" w:cs="宋体"/>
                <w:highlight w:val="none"/>
              </w:rPr>
              <w:t>控制模式</w:t>
            </w:r>
          </w:p>
        </w:tc>
        <w:tc>
          <w:tcPr>
            <w:tcW w:w="1082" w:type="pct"/>
            <w:vAlign w:val="center"/>
          </w:tcPr>
          <w:p w14:paraId="6DFBC4A8">
            <w:pPr>
              <w:jc w:val="center"/>
              <w:rPr>
                <w:rFonts w:hint="eastAsia" w:ascii="宋体" w:hAnsi="宋体" w:cs="宋体"/>
                <w:highlight w:val="none"/>
              </w:rPr>
            </w:pPr>
            <w:r>
              <w:rPr>
                <w:rFonts w:hint="eastAsia" w:ascii="宋体" w:hAnsi="宋体" w:cs="宋体"/>
                <w:highlight w:val="none"/>
              </w:rPr>
              <w:t>手动控制</w:t>
            </w:r>
          </w:p>
        </w:tc>
        <w:tc>
          <w:tcPr>
            <w:tcW w:w="3273" w:type="pct"/>
            <w:vAlign w:val="center"/>
          </w:tcPr>
          <w:p w14:paraId="51BC9423">
            <w:pPr>
              <w:rPr>
                <w:rFonts w:hint="eastAsia" w:ascii="宋体" w:hAnsi="宋体" w:cs="宋体"/>
                <w:highlight w:val="none"/>
              </w:rPr>
            </w:pPr>
            <w:r>
              <w:rPr>
                <w:rFonts w:hint="eastAsia" w:ascii="宋体" w:hAnsi="宋体" w:cs="宋体"/>
                <w:highlight w:val="none"/>
              </w:rPr>
              <w:t>支持现场变频调速、工频运行</w:t>
            </w:r>
          </w:p>
        </w:tc>
      </w:tr>
      <w:tr w14:paraId="012F3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6E18150D">
            <w:pPr>
              <w:rPr>
                <w:rFonts w:hint="eastAsia" w:ascii="宋体" w:hAnsi="宋体" w:cs="宋体"/>
                <w:highlight w:val="none"/>
              </w:rPr>
            </w:pPr>
          </w:p>
        </w:tc>
        <w:tc>
          <w:tcPr>
            <w:tcW w:w="1082" w:type="pct"/>
            <w:vMerge w:val="restart"/>
            <w:vAlign w:val="center"/>
          </w:tcPr>
          <w:p w14:paraId="47B109A4">
            <w:pPr>
              <w:jc w:val="center"/>
              <w:rPr>
                <w:rFonts w:hint="eastAsia" w:ascii="宋体" w:hAnsi="宋体" w:cs="宋体"/>
                <w:highlight w:val="none"/>
              </w:rPr>
            </w:pPr>
            <w:r>
              <w:rPr>
                <w:rFonts w:hint="eastAsia" w:ascii="宋体" w:hAnsi="宋体" w:cs="宋体"/>
                <w:highlight w:val="none"/>
              </w:rPr>
              <w:t>远程控制</w:t>
            </w:r>
          </w:p>
        </w:tc>
        <w:tc>
          <w:tcPr>
            <w:tcW w:w="3273" w:type="pct"/>
            <w:vAlign w:val="center"/>
          </w:tcPr>
          <w:p w14:paraId="514DBB3B">
            <w:pPr>
              <w:rPr>
                <w:rFonts w:hint="eastAsia" w:ascii="宋体" w:hAnsi="宋体" w:cs="宋体"/>
                <w:highlight w:val="none"/>
              </w:rPr>
            </w:pPr>
            <w:r>
              <w:rPr>
                <w:rFonts w:hint="eastAsia" w:ascii="宋体" w:hAnsi="宋体" w:cs="宋体"/>
                <w:highlight w:val="none"/>
              </w:rPr>
              <w:t>支持远程系统变频调速、自整定运行</w:t>
            </w:r>
          </w:p>
        </w:tc>
      </w:tr>
      <w:tr w14:paraId="1C64D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5" w:type="pct"/>
            <w:vMerge w:val="continue"/>
            <w:vAlign w:val="center"/>
          </w:tcPr>
          <w:p w14:paraId="27B52C9F">
            <w:pPr>
              <w:rPr>
                <w:rFonts w:hint="eastAsia" w:ascii="宋体" w:hAnsi="宋体" w:cs="宋体"/>
                <w:highlight w:val="none"/>
              </w:rPr>
            </w:pPr>
          </w:p>
        </w:tc>
        <w:tc>
          <w:tcPr>
            <w:tcW w:w="1082" w:type="pct"/>
            <w:vMerge w:val="continue"/>
            <w:vAlign w:val="center"/>
          </w:tcPr>
          <w:p w14:paraId="7BC27260">
            <w:pPr>
              <w:rPr>
                <w:rFonts w:hint="eastAsia" w:ascii="宋体" w:hAnsi="宋体" w:cs="宋体"/>
                <w:highlight w:val="none"/>
              </w:rPr>
            </w:pPr>
          </w:p>
        </w:tc>
        <w:tc>
          <w:tcPr>
            <w:tcW w:w="3273" w:type="pct"/>
            <w:vAlign w:val="center"/>
          </w:tcPr>
          <w:p w14:paraId="3A2644EA">
            <w:pPr>
              <w:rPr>
                <w:rFonts w:hint="eastAsia" w:ascii="宋体" w:hAnsi="宋体" w:cs="宋体"/>
                <w:highlight w:val="none"/>
              </w:rPr>
            </w:pPr>
            <w:r>
              <w:rPr>
                <w:rFonts w:hint="eastAsia" w:ascii="宋体" w:hAnsi="宋体" w:cs="宋体"/>
                <w:highlight w:val="none"/>
              </w:rPr>
              <w:t>支持恒压力或恒压差调节控制</w:t>
            </w:r>
          </w:p>
        </w:tc>
      </w:tr>
    </w:tbl>
    <w:p w14:paraId="0D541A65">
      <w:pPr>
        <w:rPr>
          <w:rFonts w:hint="eastAsia" w:ascii="宋体" w:hAnsi="宋体"/>
          <w:szCs w:val="20"/>
          <w:highlight w:val="none"/>
        </w:rPr>
      </w:pPr>
    </w:p>
    <w:p w14:paraId="35FE74D6">
      <w:pPr>
        <w:spacing w:line="360" w:lineRule="auto"/>
        <w:rPr>
          <w:rFonts w:hint="eastAsia" w:ascii="宋体" w:hAnsi="宋体"/>
          <w:b/>
          <w:sz w:val="24"/>
          <w:szCs w:val="24"/>
          <w:highlight w:val="none"/>
        </w:rPr>
      </w:pPr>
      <w:r>
        <w:rPr>
          <w:rFonts w:hint="eastAsia" w:ascii="宋体" w:hAnsi="宋体"/>
          <w:b/>
          <w:sz w:val="24"/>
          <w:szCs w:val="24"/>
          <w:highlight w:val="none"/>
        </w:rPr>
        <w:t>11）循环泵控制箱</w:t>
      </w:r>
    </w:p>
    <w:tbl>
      <w:tblPr>
        <w:tblStyle w:val="22"/>
        <w:tblW w:w="5000" w:type="pct"/>
        <w:tblInd w:w="0" w:type="dxa"/>
        <w:tblLayout w:type="autofit"/>
        <w:tblCellMar>
          <w:top w:w="0" w:type="dxa"/>
          <w:left w:w="108" w:type="dxa"/>
          <w:bottom w:w="0" w:type="dxa"/>
          <w:right w:w="108" w:type="dxa"/>
        </w:tblCellMar>
      </w:tblPr>
      <w:tblGrid>
        <w:gridCol w:w="1317"/>
        <w:gridCol w:w="2204"/>
        <w:gridCol w:w="6673"/>
      </w:tblGrid>
      <w:tr w14:paraId="1750C354">
        <w:tblPrEx>
          <w:tblCellMar>
            <w:top w:w="0" w:type="dxa"/>
            <w:left w:w="108" w:type="dxa"/>
            <w:bottom w:w="0" w:type="dxa"/>
            <w:right w:w="108" w:type="dxa"/>
          </w:tblCellMar>
        </w:tblPrEx>
        <w:trPr>
          <w:trHeight w:val="20" w:hRule="atLeast"/>
        </w:trPr>
        <w:tc>
          <w:tcPr>
            <w:tcW w:w="1727"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14:paraId="04FAB30C">
            <w:pPr>
              <w:jc w:val="center"/>
              <w:rPr>
                <w:rFonts w:hint="eastAsia" w:ascii="宋体" w:hAnsi="宋体" w:cs="宋体"/>
                <w:b/>
                <w:bCs/>
                <w:highlight w:val="none"/>
              </w:rPr>
            </w:pPr>
            <w:r>
              <w:rPr>
                <w:rFonts w:hint="eastAsia" w:ascii="宋体" w:hAnsi="宋体" w:cs="宋体"/>
                <w:b/>
                <w:bCs/>
                <w:highlight w:val="none"/>
              </w:rPr>
              <w:t>技术参数</w:t>
            </w:r>
          </w:p>
        </w:tc>
        <w:tc>
          <w:tcPr>
            <w:tcW w:w="3273" w:type="pct"/>
            <w:tcBorders>
              <w:top w:val="single" w:color="auto" w:sz="4" w:space="0"/>
              <w:left w:val="nil"/>
              <w:bottom w:val="single" w:color="auto" w:sz="4" w:space="0"/>
              <w:right w:val="single" w:color="auto" w:sz="4" w:space="0"/>
            </w:tcBorders>
            <w:shd w:val="clear" w:color="000000" w:fill="FFFFFF"/>
            <w:vAlign w:val="center"/>
          </w:tcPr>
          <w:p w14:paraId="2450627C">
            <w:pPr>
              <w:jc w:val="center"/>
              <w:rPr>
                <w:rFonts w:hint="eastAsia" w:ascii="宋体" w:hAnsi="宋体" w:cs="宋体"/>
                <w:b/>
                <w:bCs/>
                <w:highlight w:val="none"/>
              </w:rPr>
            </w:pPr>
            <w:r>
              <w:rPr>
                <w:rFonts w:hint="eastAsia" w:ascii="宋体" w:hAnsi="宋体" w:cs="宋体"/>
                <w:b/>
                <w:bCs/>
                <w:highlight w:val="none"/>
              </w:rPr>
              <w:t>指标</w:t>
            </w:r>
          </w:p>
        </w:tc>
      </w:tr>
      <w:tr w14:paraId="7A82ED92">
        <w:tblPrEx>
          <w:tblCellMar>
            <w:top w:w="0" w:type="dxa"/>
            <w:left w:w="108" w:type="dxa"/>
            <w:bottom w:w="0" w:type="dxa"/>
            <w:right w:w="108" w:type="dxa"/>
          </w:tblCellMar>
        </w:tblPrEx>
        <w:trPr>
          <w:trHeight w:val="20" w:hRule="atLeast"/>
        </w:trPr>
        <w:tc>
          <w:tcPr>
            <w:tcW w:w="646" w:type="pct"/>
            <w:vMerge w:val="restart"/>
            <w:tcBorders>
              <w:top w:val="nil"/>
              <w:left w:val="single" w:color="auto" w:sz="4" w:space="0"/>
              <w:bottom w:val="single" w:color="auto" w:sz="4" w:space="0"/>
              <w:right w:val="single" w:color="auto" w:sz="4" w:space="0"/>
            </w:tcBorders>
            <w:shd w:val="clear" w:color="auto" w:fill="auto"/>
            <w:vAlign w:val="center"/>
          </w:tcPr>
          <w:p w14:paraId="4E63882D">
            <w:pPr>
              <w:jc w:val="center"/>
              <w:rPr>
                <w:rFonts w:hint="eastAsia" w:ascii="宋体" w:hAnsi="宋体" w:cs="宋体"/>
                <w:highlight w:val="none"/>
              </w:rPr>
            </w:pPr>
            <w:r>
              <w:rPr>
                <w:rFonts w:hint="eastAsia" w:ascii="宋体" w:hAnsi="宋体" w:cs="宋体"/>
                <w:highlight w:val="none"/>
              </w:rPr>
              <w:t>接口</w:t>
            </w:r>
          </w:p>
        </w:tc>
        <w:tc>
          <w:tcPr>
            <w:tcW w:w="1081" w:type="pct"/>
            <w:tcBorders>
              <w:top w:val="nil"/>
              <w:left w:val="nil"/>
              <w:bottom w:val="single" w:color="auto" w:sz="4" w:space="0"/>
              <w:right w:val="single" w:color="auto" w:sz="4" w:space="0"/>
            </w:tcBorders>
            <w:shd w:val="clear" w:color="000000" w:fill="FFFFFF"/>
            <w:vAlign w:val="center"/>
          </w:tcPr>
          <w:p w14:paraId="4A0EFBF9">
            <w:pPr>
              <w:jc w:val="center"/>
              <w:rPr>
                <w:rFonts w:hint="eastAsia" w:ascii="宋体" w:hAnsi="宋体" w:cs="宋体"/>
                <w:highlight w:val="none"/>
              </w:rPr>
            </w:pPr>
            <w:r>
              <w:rPr>
                <w:rFonts w:hint="eastAsia" w:ascii="宋体" w:hAnsi="宋体" w:cs="宋体"/>
                <w:highlight w:val="none"/>
              </w:rPr>
              <w:t>网络接口</w:t>
            </w:r>
          </w:p>
        </w:tc>
        <w:tc>
          <w:tcPr>
            <w:tcW w:w="3273" w:type="pct"/>
            <w:tcBorders>
              <w:top w:val="nil"/>
              <w:left w:val="nil"/>
              <w:bottom w:val="single" w:color="auto" w:sz="4" w:space="0"/>
              <w:right w:val="single" w:color="auto" w:sz="4" w:space="0"/>
            </w:tcBorders>
            <w:shd w:val="clear" w:color="000000" w:fill="FFFFFF"/>
            <w:vAlign w:val="center"/>
          </w:tcPr>
          <w:p w14:paraId="1122B425">
            <w:pPr>
              <w:rPr>
                <w:rFonts w:hint="eastAsia" w:ascii="宋体" w:hAnsi="宋体" w:cs="宋体"/>
                <w:highlight w:val="none"/>
              </w:rPr>
            </w:pPr>
            <w:r>
              <w:rPr>
                <w:rFonts w:hint="eastAsia" w:ascii="宋体" w:hAnsi="宋体" w:cs="宋体"/>
                <w:highlight w:val="none"/>
              </w:rPr>
              <w:t>2 x 10/100 Base-T RJ-45</w:t>
            </w:r>
          </w:p>
        </w:tc>
      </w:tr>
      <w:tr w14:paraId="358DF820">
        <w:tblPrEx>
          <w:tblCellMar>
            <w:top w:w="0" w:type="dxa"/>
            <w:left w:w="108" w:type="dxa"/>
            <w:bottom w:w="0" w:type="dxa"/>
            <w:right w:w="108" w:type="dxa"/>
          </w:tblCellMar>
        </w:tblPrEx>
        <w:trPr>
          <w:trHeight w:val="20" w:hRule="atLeast"/>
        </w:trPr>
        <w:tc>
          <w:tcPr>
            <w:tcW w:w="646" w:type="pct"/>
            <w:vMerge w:val="continue"/>
            <w:tcBorders>
              <w:top w:val="nil"/>
              <w:left w:val="single" w:color="auto" w:sz="4" w:space="0"/>
              <w:bottom w:val="single" w:color="auto" w:sz="4" w:space="0"/>
              <w:right w:val="single" w:color="auto" w:sz="4" w:space="0"/>
            </w:tcBorders>
            <w:shd w:val="clear" w:color="auto" w:fill="auto"/>
            <w:vAlign w:val="center"/>
          </w:tcPr>
          <w:p w14:paraId="5ADEF2A5">
            <w:pPr>
              <w:rPr>
                <w:rFonts w:hint="eastAsia" w:ascii="宋体" w:hAnsi="宋体" w:cs="宋体"/>
                <w:highlight w:val="none"/>
              </w:rPr>
            </w:pPr>
          </w:p>
        </w:tc>
        <w:tc>
          <w:tcPr>
            <w:tcW w:w="1081" w:type="pct"/>
            <w:tcBorders>
              <w:top w:val="nil"/>
              <w:left w:val="nil"/>
              <w:bottom w:val="single" w:color="auto" w:sz="4" w:space="0"/>
              <w:right w:val="single" w:color="auto" w:sz="4" w:space="0"/>
            </w:tcBorders>
            <w:shd w:val="clear" w:color="000000" w:fill="FFFFFF"/>
            <w:vAlign w:val="center"/>
          </w:tcPr>
          <w:p w14:paraId="758DC9A1">
            <w:pPr>
              <w:jc w:val="center"/>
              <w:rPr>
                <w:rFonts w:hint="eastAsia" w:ascii="宋体" w:hAnsi="宋体" w:cs="宋体"/>
                <w:highlight w:val="none"/>
              </w:rPr>
            </w:pPr>
            <w:r>
              <w:rPr>
                <w:rFonts w:hint="eastAsia" w:ascii="宋体" w:hAnsi="宋体" w:cs="宋体"/>
                <w:highlight w:val="none"/>
              </w:rPr>
              <w:t>RS485接口</w:t>
            </w:r>
          </w:p>
        </w:tc>
        <w:tc>
          <w:tcPr>
            <w:tcW w:w="3273" w:type="pct"/>
            <w:tcBorders>
              <w:top w:val="nil"/>
              <w:left w:val="nil"/>
              <w:bottom w:val="single" w:color="auto" w:sz="4" w:space="0"/>
              <w:right w:val="single" w:color="auto" w:sz="4" w:space="0"/>
            </w:tcBorders>
            <w:shd w:val="clear" w:color="000000" w:fill="FFFFFF"/>
            <w:vAlign w:val="center"/>
          </w:tcPr>
          <w:p w14:paraId="26C6E03E">
            <w:pPr>
              <w:rPr>
                <w:rFonts w:hint="eastAsia" w:ascii="宋体" w:hAnsi="宋体" w:cs="宋体"/>
                <w:highlight w:val="none"/>
              </w:rPr>
            </w:pPr>
            <w:r>
              <w:rPr>
                <w:rFonts w:hint="eastAsia" w:ascii="宋体" w:hAnsi="宋体" w:cs="宋体"/>
                <w:highlight w:val="none"/>
              </w:rPr>
              <w:t>1 x RS485</w:t>
            </w:r>
          </w:p>
        </w:tc>
      </w:tr>
      <w:tr w14:paraId="5D9A2E70">
        <w:tblPrEx>
          <w:tblCellMar>
            <w:top w:w="0" w:type="dxa"/>
            <w:left w:w="108" w:type="dxa"/>
            <w:bottom w:w="0" w:type="dxa"/>
            <w:right w:w="108" w:type="dxa"/>
          </w:tblCellMar>
        </w:tblPrEx>
        <w:trPr>
          <w:trHeight w:val="20" w:hRule="atLeast"/>
        </w:trPr>
        <w:tc>
          <w:tcPr>
            <w:tcW w:w="646" w:type="pct"/>
            <w:vMerge w:val="continue"/>
            <w:tcBorders>
              <w:top w:val="nil"/>
              <w:left w:val="single" w:color="auto" w:sz="4" w:space="0"/>
              <w:bottom w:val="single" w:color="auto" w:sz="4" w:space="0"/>
              <w:right w:val="single" w:color="auto" w:sz="4" w:space="0"/>
            </w:tcBorders>
            <w:shd w:val="clear" w:color="auto" w:fill="auto"/>
            <w:vAlign w:val="center"/>
          </w:tcPr>
          <w:p w14:paraId="1D39EF51">
            <w:pPr>
              <w:rPr>
                <w:rFonts w:hint="eastAsia" w:ascii="宋体" w:hAnsi="宋体" w:cs="宋体"/>
                <w:highlight w:val="none"/>
              </w:rPr>
            </w:pPr>
          </w:p>
        </w:tc>
        <w:tc>
          <w:tcPr>
            <w:tcW w:w="1081" w:type="pct"/>
            <w:tcBorders>
              <w:top w:val="nil"/>
              <w:left w:val="nil"/>
              <w:bottom w:val="single" w:color="auto" w:sz="4" w:space="0"/>
              <w:right w:val="single" w:color="auto" w:sz="4" w:space="0"/>
            </w:tcBorders>
            <w:shd w:val="clear" w:color="000000" w:fill="FFFFFF"/>
            <w:vAlign w:val="center"/>
          </w:tcPr>
          <w:p w14:paraId="774C969C">
            <w:pPr>
              <w:jc w:val="center"/>
              <w:rPr>
                <w:rFonts w:hint="eastAsia" w:ascii="宋体" w:hAnsi="宋体" w:cs="宋体"/>
                <w:highlight w:val="none"/>
              </w:rPr>
            </w:pPr>
            <w:r>
              <w:rPr>
                <w:rFonts w:hint="eastAsia" w:ascii="宋体" w:hAnsi="宋体" w:cs="宋体"/>
                <w:highlight w:val="none"/>
              </w:rPr>
              <w:t>传输</w:t>
            </w:r>
          </w:p>
        </w:tc>
        <w:tc>
          <w:tcPr>
            <w:tcW w:w="3273" w:type="pct"/>
            <w:tcBorders>
              <w:top w:val="nil"/>
              <w:left w:val="nil"/>
              <w:bottom w:val="single" w:color="auto" w:sz="4" w:space="0"/>
              <w:right w:val="single" w:color="auto" w:sz="4" w:space="0"/>
            </w:tcBorders>
            <w:shd w:val="clear" w:color="000000" w:fill="FFFFFF"/>
            <w:vAlign w:val="center"/>
          </w:tcPr>
          <w:p w14:paraId="7CC58F7E">
            <w:pPr>
              <w:rPr>
                <w:rFonts w:hint="eastAsia" w:ascii="宋体" w:hAnsi="宋体" w:cs="宋体"/>
                <w:highlight w:val="none"/>
              </w:rPr>
            </w:pPr>
            <w:r>
              <w:rPr>
                <w:rFonts w:hint="eastAsia" w:ascii="宋体" w:hAnsi="宋体" w:cs="宋体"/>
                <w:highlight w:val="none"/>
              </w:rPr>
              <w:t>通过ProfiNet 数据传送到中央协调控制箱</w:t>
            </w:r>
          </w:p>
        </w:tc>
      </w:tr>
      <w:tr w14:paraId="49889539">
        <w:tblPrEx>
          <w:tblCellMar>
            <w:top w:w="0" w:type="dxa"/>
            <w:left w:w="108" w:type="dxa"/>
            <w:bottom w:w="0" w:type="dxa"/>
            <w:right w:w="108" w:type="dxa"/>
          </w:tblCellMar>
        </w:tblPrEx>
        <w:trPr>
          <w:trHeight w:val="20" w:hRule="atLeast"/>
        </w:trPr>
        <w:tc>
          <w:tcPr>
            <w:tcW w:w="646" w:type="pct"/>
            <w:vMerge w:val="restart"/>
            <w:tcBorders>
              <w:top w:val="nil"/>
              <w:left w:val="single" w:color="auto" w:sz="4" w:space="0"/>
              <w:bottom w:val="single" w:color="auto" w:sz="4" w:space="0"/>
              <w:right w:val="single" w:color="auto" w:sz="4" w:space="0"/>
            </w:tcBorders>
            <w:shd w:val="clear" w:color="auto" w:fill="auto"/>
            <w:vAlign w:val="center"/>
          </w:tcPr>
          <w:p w14:paraId="2652A547">
            <w:pPr>
              <w:jc w:val="center"/>
              <w:rPr>
                <w:rFonts w:hint="eastAsia" w:ascii="宋体" w:hAnsi="宋体" w:cs="宋体"/>
                <w:highlight w:val="none"/>
              </w:rPr>
            </w:pPr>
            <w:r>
              <w:rPr>
                <w:rFonts w:hint="eastAsia" w:ascii="宋体" w:hAnsi="宋体" w:cs="宋体"/>
                <w:highlight w:val="none"/>
              </w:rPr>
              <w:t>电压</w:t>
            </w:r>
          </w:p>
        </w:tc>
        <w:tc>
          <w:tcPr>
            <w:tcW w:w="1081" w:type="pct"/>
            <w:tcBorders>
              <w:top w:val="nil"/>
              <w:left w:val="nil"/>
              <w:bottom w:val="single" w:color="auto" w:sz="4" w:space="0"/>
              <w:right w:val="single" w:color="auto" w:sz="4" w:space="0"/>
            </w:tcBorders>
            <w:shd w:val="clear" w:color="000000" w:fill="FFFFFF"/>
            <w:vAlign w:val="center"/>
          </w:tcPr>
          <w:p w14:paraId="11DD1A5D">
            <w:pPr>
              <w:jc w:val="center"/>
              <w:rPr>
                <w:rFonts w:hint="eastAsia" w:ascii="宋体" w:hAnsi="宋体" w:cs="宋体"/>
                <w:highlight w:val="none"/>
              </w:rPr>
            </w:pPr>
            <w:r>
              <w:rPr>
                <w:rFonts w:hint="eastAsia" w:ascii="宋体" w:hAnsi="宋体" w:cs="宋体"/>
                <w:highlight w:val="none"/>
              </w:rPr>
              <w:t>额定值</w:t>
            </w:r>
          </w:p>
        </w:tc>
        <w:tc>
          <w:tcPr>
            <w:tcW w:w="3273" w:type="pct"/>
            <w:tcBorders>
              <w:top w:val="nil"/>
              <w:left w:val="nil"/>
              <w:bottom w:val="single" w:color="auto" w:sz="4" w:space="0"/>
              <w:right w:val="single" w:color="auto" w:sz="4" w:space="0"/>
            </w:tcBorders>
            <w:shd w:val="clear" w:color="000000" w:fill="FFFFFF"/>
            <w:vAlign w:val="center"/>
          </w:tcPr>
          <w:p w14:paraId="554FA8DE">
            <w:pPr>
              <w:rPr>
                <w:rFonts w:hint="eastAsia" w:ascii="宋体" w:hAnsi="宋体" w:cs="宋体"/>
                <w:highlight w:val="none"/>
              </w:rPr>
            </w:pPr>
            <w:r>
              <w:rPr>
                <w:rFonts w:hint="eastAsia" w:ascii="宋体" w:hAnsi="宋体" w:cs="宋体"/>
                <w:highlight w:val="none"/>
              </w:rPr>
              <w:t>AC  220V</w:t>
            </w:r>
          </w:p>
        </w:tc>
      </w:tr>
      <w:tr w14:paraId="14ECD1DD">
        <w:tblPrEx>
          <w:tblCellMar>
            <w:top w:w="0" w:type="dxa"/>
            <w:left w:w="108" w:type="dxa"/>
            <w:bottom w:w="0" w:type="dxa"/>
            <w:right w:w="108" w:type="dxa"/>
          </w:tblCellMar>
        </w:tblPrEx>
        <w:trPr>
          <w:trHeight w:val="20" w:hRule="atLeast"/>
        </w:trPr>
        <w:tc>
          <w:tcPr>
            <w:tcW w:w="646" w:type="pct"/>
            <w:vMerge w:val="continue"/>
            <w:tcBorders>
              <w:top w:val="nil"/>
              <w:left w:val="single" w:color="auto" w:sz="4" w:space="0"/>
              <w:bottom w:val="single" w:color="auto" w:sz="4" w:space="0"/>
              <w:right w:val="single" w:color="auto" w:sz="4" w:space="0"/>
            </w:tcBorders>
            <w:shd w:val="clear" w:color="auto" w:fill="auto"/>
            <w:vAlign w:val="center"/>
          </w:tcPr>
          <w:p w14:paraId="6809D159">
            <w:pPr>
              <w:rPr>
                <w:rFonts w:hint="eastAsia" w:ascii="宋体" w:hAnsi="宋体" w:cs="宋体"/>
                <w:highlight w:val="none"/>
              </w:rPr>
            </w:pPr>
          </w:p>
        </w:tc>
        <w:tc>
          <w:tcPr>
            <w:tcW w:w="1081" w:type="pct"/>
            <w:tcBorders>
              <w:top w:val="nil"/>
              <w:left w:val="nil"/>
              <w:bottom w:val="single" w:color="auto" w:sz="4" w:space="0"/>
              <w:right w:val="single" w:color="auto" w:sz="4" w:space="0"/>
            </w:tcBorders>
            <w:shd w:val="clear" w:color="000000" w:fill="FFFFFF"/>
            <w:vAlign w:val="center"/>
          </w:tcPr>
          <w:p w14:paraId="54439562">
            <w:pPr>
              <w:jc w:val="center"/>
              <w:rPr>
                <w:rFonts w:hint="eastAsia" w:ascii="宋体" w:hAnsi="宋体" w:cs="宋体"/>
                <w:highlight w:val="none"/>
              </w:rPr>
            </w:pPr>
            <w:r>
              <w:rPr>
                <w:rFonts w:hint="eastAsia" w:ascii="宋体" w:hAnsi="宋体" w:cs="宋体"/>
                <w:highlight w:val="none"/>
              </w:rPr>
              <w:t>功耗</w:t>
            </w:r>
          </w:p>
        </w:tc>
        <w:tc>
          <w:tcPr>
            <w:tcW w:w="3273" w:type="pct"/>
            <w:tcBorders>
              <w:top w:val="nil"/>
              <w:left w:val="nil"/>
              <w:bottom w:val="single" w:color="auto" w:sz="4" w:space="0"/>
              <w:right w:val="single" w:color="auto" w:sz="4" w:space="0"/>
            </w:tcBorders>
            <w:shd w:val="clear" w:color="000000" w:fill="FFFFFF"/>
            <w:vAlign w:val="center"/>
          </w:tcPr>
          <w:p w14:paraId="41EB9260">
            <w:pPr>
              <w:rPr>
                <w:rFonts w:hint="eastAsia" w:ascii="宋体" w:hAnsi="宋体" w:cs="宋体"/>
                <w:highlight w:val="none"/>
              </w:rPr>
            </w:pPr>
            <w:r>
              <w:rPr>
                <w:rFonts w:hint="eastAsia" w:ascii="宋体" w:hAnsi="宋体" w:cs="宋体"/>
                <w:highlight w:val="none"/>
              </w:rPr>
              <w:t>﹤100W</w:t>
            </w:r>
          </w:p>
        </w:tc>
      </w:tr>
      <w:tr w14:paraId="34637905">
        <w:tblPrEx>
          <w:tblCellMar>
            <w:top w:w="0" w:type="dxa"/>
            <w:left w:w="108" w:type="dxa"/>
            <w:bottom w:w="0" w:type="dxa"/>
            <w:right w:w="108" w:type="dxa"/>
          </w:tblCellMar>
        </w:tblPrEx>
        <w:trPr>
          <w:trHeight w:val="20" w:hRule="atLeast"/>
        </w:trPr>
        <w:tc>
          <w:tcPr>
            <w:tcW w:w="646" w:type="pct"/>
            <w:vMerge w:val="continue"/>
            <w:tcBorders>
              <w:top w:val="nil"/>
              <w:left w:val="single" w:color="auto" w:sz="4" w:space="0"/>
              <w:bottom w:val="single" w:color="auto" w:sz="4" w:space="0"/>
              <w:right w:val="single" w:color="auto" w:sz="4" w:space="0"/>
            </w:tcBorders>
            <w:shd w:val="clear" w:color="auto" w:fill="auto"/>
            <w:vAlign w:val="center"/>
          </w:tcPr>
          <w:p w14:paraId="2B319AE4">
            <w:pPr>
              <w:rPr>
                <w:rFonts w:hint="eastAsia" w:ascii="宋体" w:hAnsi="宋体" w:cs="宋体"/>
                <w:highlight w:val="none"/>
              </w:rPr>
            </w:pPr>
          </w:p>
        </w:tc>
        <w:tc>
          <w:tcPr>
            <w:tcW w:w="1081" w:type="pct"/>
            <w:tcBorders>
              <w:top w:val="nil"/>
              <w:left w:val="nil"/>
              <w:bottom w:val="single" w:color="auto" w:sz="4" w:space="0"/>
              <w:right w:val="single" w:color="auto" w:sz="4" w:space="0"/>
            </w:tcBorders>
            <w:shd w:val="clear" w:color="000000" w:fill="FFFFFF"/>
            <w:vAlign w:val="center"/>
          </w:tcPr>
          <w:p w14:paraId="3A5AB87C">
            <w:pPr>
              <w:jc w:val="center"/>
              <w:rPr>
                <w:rFonts w:hint="eastAsia" w:ascii="宋体" w:hAnsi="宋体" w:cs="宋体"/>
                <w:highlight w:val="none"/>
              </w:rPr>
            </w:pPr>
            <w:r>
              <w:rPr>
                <w:rFonts w:hint="eastAsia" w:ascii="宋体" w:hAnsi="宋体" w:cs="宋体"/>
                <w:highlight w:val="none"/>
              </w:rPr>
              <w:t>频率</w:t>
            </w:r>
          </w:p>
        </w:tc>
        <w:tc>
          <w:tcPr>
            <w:tcW w:w="3273" w:type="pct"/>
            <w:tcBorders>
              <w:top w:val="nil"/>
              <w:left w:val="nil"/>
              <w:bottom w:val="single" w:color="auto" w:sz="4" w:space="0"/>
              <w:right w:val="single" w:color="auto" w:sz="4" w:space="0"/>
            </w:tcBorders>
            <w:shd w:val="clear" w:color="000000" w:fill="FFFFFF"/>
            <w:vAlign w:val="center"/>
          </w:tcPr>
          <w:p w14:paraId="7C128732">
            <w:pPr>
              <w:rPr>
                <w:rFonts w:hint="eastAsia" w:ascii="宋体" w:hAnsi="宋体" w:cs="宋体"/>
                <w:highlight w:val="none"/>
              </w:rPr>
            </w:pPr>
            <w:r>
              <w:rPr>
                <w:rFonts w:hint="eastAsia" w:ascii="宋体" w:hAnsi="宋体" w:cs="宋体"/>
                <w:highlight w:val="none"/>
              </w:rPr>
              <w:t>50Hz</w:t>
            </w:r>
          </w:p>
        </w:tc>
      </w:tr>
      <w:tr w14:paraId="4C5BFBFA">
        <w:tblPrEx>
          <w:tblCellMar>
            <w:top w:w="0" w:type="dxa"/>
            <w:left w:w="108" w:type="dxa"/>
            <w:bottom w:w="0" w:type="dxa"/>
            <w:right w:w="108" w:type="dxa"/>
          </w:tblCellMar>
        </w:tblPrEx>
        <w:trPr>
          <w:trHeight w:val="20" w:hRule="atLeast"/>
        </w:trPr>
        <w:tc>
          <w:tcPr>
            <w:tcW w:w="646" w:type="pct"/>
            <w:vMerge w:val="restart"/>
            <w:tcBorders>
              <w:top w:val="nil"/>
              <w:left w:val="single" w:color="auto" w:sz="4" w:space="0"/>
              <w:bottom w:val="single" w:color="auto" w:sz="4" w:space="0"/>
              <w:right w:val="single" w:color="auto" w:sz="4" w:space="0"/>
            </w:tcBorders>
            <w:shd w:val="clear" w:color="auto" w:fill="auto"/>
            <w:vAlign w:val="center"/>
          </w:tcPr>
          <w:p w14:paraId="4A107BDA">
            <w:pPr>
              <w:jc w:val="center"/>
              <w:rPr>
                <w:rFonts w:hint="eastAsia" w:ascii="宋体" w:hAnsi="宋体" w:cs="宋体"/>
                <w:highlight w:val="none"/>
              </w:rPr>
            </w:pPr>
            <w:r>
              <w:rPr>
                <w:rFonts w:hint="eastAsia" w:ascii="宋体" w:hAnsi="宋体" w:cs="宋体"/>
                <w:highlight w:val="none"/>
              </w:rPr>
              <w:t>环境</w:t>
            </w:r>
          </w:p>
        </w:tc>
        <w:tc>
          <w:tcPr>
            <w:tcW w:w="1081" w:type="pct"/>
            <w:tcBorders>
              <w:top w:val="nil"/>
              <w:left w:val="nil"/>
              <w:bottom w:val="single" w:color="auto" w:sz="4" w:space="0"/>
              <w:right w:val="single" w:color="auto" w:sz="4" w:space="0"/>
            </w:tcBorders>
            <w:shd w:val="clear" w:color="000000" w:fill="FFFFFF"/>
            <w:vAlign w:val="center"/>
          </w:tcPr>
          <w:p w14:paraId="58FF045B">
            <w:pPr>
              <w:jc w:val="center"/>
              <w:rPr>
                <w:rFonts w:hint="eastAsia" w:ascii="宋体" w:hAnsi="宋体" w:cs="宋体"/>
                <w:highlight w:val="none"/>
              </w:rPr>
            </w:pPr>
            <w:r>
              <w:rPr>
                <w:rFonts w:hint="eastAsia" w:ascii="宋体" w:hAnsi="宋体" w:cs="宋体"/>
                <w:highlight w:val="none"/>
              </w:rPr>
              <w:t>温度</w:t>
            </w:r>
          </w:p>
        </w:tc>
        <w:tc>
          <w:tcPr>
            <w:tcW w:w="3273" w:type="pct"/>
            <w:tcBorders>
              <w:top w:val="nil"/>
              <w:left w:val="nil"/>
              <w:bottom w:val="single" w:color="auto" w:sz="4" w:space="0"/>
              <w:right w:val="single" w:color="auto" w:sz="4" w:space="0"/>
            </w:tcBorders>
            <w:shd w:val="clear" w:color="000000" w:fill="FFFFFF"/>
            <w:vAlign w:val="center"/>
          </w:tcPr>
          <w:p w14:paraId="4C8F5AFB">
            <w:pPr>
              <w:rPr>
                <w:rFonts w:hint="eastAsia" w:ascii="宋体" w:hAnsi="宋体" w:cs="宋体"/>
                <w:highlight w:val="none"/>
              </w:rPr>
            </w:pPr>
            <w:r>
              <w:rPr>
                <w:rFonts w:hint="eastAsia" w:ascii="宋体" w:hAnsi="宋体" w:cs="宋体"/>
                <w:highlight w:val="none"/>
              </w:rPr>
              <w:t>-10℃～+40℃（极限温度：-20℃～+60℃）</w:t>
            </w:r>
          </w:p>
        </w:tc>
      </w:tr>
      <w:tr w14:paraId="3518F589">
        <w:tblPrEx>
          <w:tblCellMar>
            <w:top w:w="0" w:type="dxa"/>
            <w:left w:w="108" w:type="dxa"/>
            <w:bottom w:w="0" w:type="dxa"/>
            <w:right w:w="108" w:type="dxa"/>
          </w:tblCellMar>
        </w:tblPrEx>
        <w:trPr>
          <w:trHeight w:val="20" w:hRule="atLeast"/>
        </w:trPr>
        <w:tc>
          <w:tcPr>
            <w:tcW w:w="646" w:type="pct"/>
            <w:vMerge w:val="continue"/>
            <w:tcBorders>
              <w:top w:val="nil"/>
              <w:left w:val="single" w:color="auto" w:sz="4" w:space="0"/>
              <w:bottom w:val="single" w:color="auto" w:sz="4" w:space="0"/>
              <w:right w:val="single" w:color="auto" w:sz="4" w:space="0"/>
            </w:tcBorders>
            <w:shd w:val="clear" w:color="auto" w:fill="auto"/>
            <w:vAlign w:val="center"/>
          </w:tcPr>
          <w:p w14:paraId="35475495">
            <w:pPr>
              <w:rPr>
                <w:rFonts w:hint="eastAsia" w:ascii="宋体" w:hAnsi="宋体" w:cs="宋体"/>
                <w:highlight w:val="none"/>
              </w:rPr>
            </w:pPr>
          </w:p>
        </w:tc>
        <w:tc>
          <w:tcPr>
            <w:tcW w:w="1081" w:type="pct"/>
            <w:tcBorders>
              <w:top w:val="nil"/>
              <w:left w:val="nil"/>
              <w:bottom w:val="single" w:color="auto" w:sz="4" w:space="0"/>
              <w:right w:val="single" w:color="auto" w:sz="4" w:space="0"/>
            </w:tcBorders>
            <w:shd w:val="clear" w:color="000000" w:fill="FFFFFF"/>
            <w:vAlign w:val="center"/>
          </w:tcPr>
          <w:p w14:paraId="46F32331">
            <w:pPr>
              <w:jc w:val="center"/>
              <w:rPr>
                <w:rFonts w:hint="eastAsia" w:ascii="宋体" w:hAnsi="宋体" w:cs="宋体"/>
                <w:highlight w:val="none"/>
              </w:rPr>
            </w:pPr>
            <w:r>
              <w:rPr>
                <w:rFonts w:hint="eastAsia" w:ascii="宋体" w:hAnsi="宋体" w:cs="宋体"/>
                <w:highlight w:val="none"/>
              </w:rPr>
              <w:t>湿度</w:t>
            </w:r>
          </w:p>
        </w:tc>
        <w:tc>
          <w:tcPr>
            <w:tcW w:w="3273" w:type="pct"/>
            <w:tcBorders>
              <w:top w:val="nil"/>
              <w:left w:val="nil"/>
              <w:bottom w:val="single" w:color="auto" w:sz="4" w:space="0"/>
              <w:right w:val="single" w:color="auto" w:sz="4" w:space="0"/>
            </w:tcBorders>
            <w:shd w:val="clear" w:color="000000" w:fill="FFFFFF"/>
            <w:vAlign w:val="center"/>
          </w:tcPr>
          <w:p w14:paraId="04667B83">
            <w:pPr>
              <w:rPr>
                <w:rFonts w:hint="eastAsia" w:ascii="宋体" w:hAnsi="宋体" w:cs="宋体"/>
                <w:highlight w:val="none"/>
              </w:rPr>
            </w:pPr>
            <w:r>
              <w:rPr>
                <w:rFonts w:hint="eastAsia" w:ascii="宋体" w:hAnsi="宋体" w:cs="宋体"/>
                <w:highlight w:val="none"/>
              </w:rPr>
              <w:t>≤75％（极限湿度：≤85%）</w:t>
            </w:r>
          </w:p>
        </w:tc>
      </w:tr>
      <w:tr w14:paraId="3B0012ED">
        <w:tblPrEx>
          <w:tblCellMar>
            <w:top w:w="0" w:type="dxa"/>
            <w:left w:w="108" w:type="dxa"/>
            <w:bottom w:w="0" w:type="dxa"/>
            <w:right w:w="108" w:type="dxa"/>
          </w:tblCellMar>
        </w:tblPrEx>
        <w:trPr>
          <w:trHeight w:val="20" w:hRule="atLeast"/>
        </w:trPr>
        <w:tc>
          <w:tcPr>
            <w:tcW w:w="646" w:type="pct"/>
            <w:vMerge w:val="restart"/>
            <w:tcBorders>
              <w:top w:val="nil"/>
              <w:left w:val="single" w:color="auto" w:sz="4" w:space="0"/>
              <w:bottom w:val="single" w:color="auto" w:sz="4" w:space="0"/>
              <w:right w:val="single" w:color="auto" w:sz="4" w:space="0"/>
            </w:tcBorders>
            <w:shd w:val="clear" w:color="auto" w:fill="auto"/>
            <w:vAlign w:val="center"/>
          </w:tcPr>
          <w:p w14:paraId="3110BBF8">
            <w:pPr>
              <w:jc w:val="center"/>
              <w:rPr>
                <w:rFonts w:hint="eastAsia" w:ascii="宋体" w:hAnsi="宋体" w:cs="宋体"/>
                <w:highlight w:val="none"/>
              </w:rPr>
            </w:pPr>
            <w:r>
              <w:rPr>
                <w:rFonts w:hint="eastAsia" w:ascii="宋体" w:hAnsi="宋体" w:cs="宋体"/>
                <w:highlight w:val="none"/>
              </w:rPr>
              <w:t>功能</w:t>
            </w:r>
          </w:p>
        </w:tc>
        <w:tc>
          <w:tcPr>
            <w:tcW w:w="1081" w:type="pct"/>
            <w:vMerge w:val="restart"/>
            <w:tcBorders>
              <w:top w:val="nil"/>
              <w:left w:val="single" w:color="auto" w:sz="4" w:space="0"/>
              <w:bottom w:val="single" w:color="auto" w:sz="4" w:space="0"/>
              <w:right w:val="single" w:color="auto" w:sz="4" w:space="0"/>
            </w:tcBorders>
            <w:shd w:val="clear" w:color="000000" w:fill="FFFFFF"/>
            <w:vAlign w:val="center"/>
          </w:tcPr>
          <w:p w14:paraId="25CE8E55">
            <w:pPr>
              <w:jc w:val="center"/>
              <w:rPr>
                <w:rFonts w:hint="eastAsia" w:ascii="宋体" w:hAnsi="宋体" w:cs="宋体"/>
                <w:highlight w:val="none"/>
              </w:rPr>
            </w:pPr>
            <w:r>
              <w:rPr>
                <w:rFonts w:hint="eastAsia" w:ascii="宋体" w:hAnsi="宋体" w:cs="宋体"/>
                <w:highlight w:val="none"/>
              </w:rPr>
              <w:t>设备运行监控</w:t>
            </w:r>
          </w:p>
        </w:tc>
        <w:tc>
          <w:tcPr>
            <w:tcW w:w="3273" w:type="pct"/>
            <w:tcBorders>
              <w:top w:val="nil"/>
              <w:left w:val="nil"/>
              <w:bottom w:val="single" w:color="auto" w:sz="4" w:space="0"/>
              <w:right w:val="single" w:color="auto" w:sz="4" w:space="0"/>
            </w:tcBorders>
            <w:shd w:val="clear" w:color="000000" w:fill="FFFFFF"/>
            <w:vAlign w:val="center"/>
          </w:tcPr>
          <w:p w14:paraId="0A044980">
            <w:pPr>
              <w:rPr>
                <w:rFonts w:hint="eastAsia" w:ascii="宋体" w:hAnsi="宋体" w:cs="宋体"/>
                <w:highlight w:val="none"/>
              </w:rPr>
            </w:pPr>
            <w:r>
              <w:rPr>
                <w:rFonts w:hint="eastAsia" w:ascii="宋体" w:hAnsi="宋体" w:cs="宋体"/>
                <w:highlight w:val="none"/>
              </w:rPr>
              <w:t>1、 对循环泵运行状态、故障报警等重要参数进行监视</w:t>
            </w:r>
          </w:p>
        </w:tc>
      </w:tr>
      <w:tr w14:paraId="766C1211">
        <w:tblPrEx>
          <w:tblCellMar>
            <w:top w:w="0" w:type="dxa"/>
            <w:left w:w="108" w:type="dxa"/>
            <w:bottom w:w="0" w:type="dxa"/>
            <w:right w:w="108" w:type="dxa"/>
          </w:tblCellMar>
        </w:tblPrEx>
        <w:trPr>
          <w:trHeight w:val="20" w:hRule="atLeast"/>
        </w:trPr>
        <w:tc>
          <w:tcPr>
            <w:tcW w:w="646" w:type="pct"/>
            <w:vMerge w:val="continue"/>
            <w:tcBorders>
              <w:top w:val="nil"/>
              <w:left w:val="single" w:color="auto" w:sz="4" w:space="0"/>
              <w:bottom w:val="single" w:color="auto" w:sz="4" w:space="0"/>
              <w:right w:val="single" w:color="auto" w:sz="4" w:space="0"/>
            </w:tcBorders>
            <w:shd w:val="clear" w:color="auto" w:fill="auto"/>
            <w:vAlign w:val="center"/>
          </w:tcPr>
          <w:p w14:paraId="279E833D">
            <w:pPr>
              <w:rPr>
                <w:rFonts w:hint="eastAsia" w:ascii="宋体" w:hAnsi="宋体" w:cs="宋体"/>
                <w:highlight w:val="none"/>
              </w:rPr>
            </w:pPr>
          </w:p>
        </w:tc>
        <w:tc>
          <w:tcPr>
            <w:tcW w:w="1081" w:type="pct"/>
            <w:vMerge w:val="continue"/>
            <w:tcBorders>
              <w:top w:val="nil"/>
              <w:left w:val="single" w:color="auto" w:sz="4" w:space="0"/>
              <w:bottom w:val="single" w:color="auto" w:sz="4" w:space="0"/>
              <w:right w:val="single" w:color="auto" w:sz="4" w:space="0"/>
            </w:tcBorders>
            <w:shd w:val="clear" w:color="auto" w:fill="auto"/>
            <w:vAlign w:val="center"/>
          </w:tcPr>
          <w:p w14:paraId="3A612C3C">
            <w:pPr>
              <w:rPr>
                <w:rFonts w:hint="eastAsia" w:ascii="宋体" w:hAnsi="宋体" w:cs="宋体"/>
                <w:highlight w:val="none"/>
              </w:rPr>
            </w:pPr>
          </w:p>
        </w:tc>
        <w:tc>
          <w:tcPr>
            <w:tcW w:w="3273" w:type="pct"/>
            <w:tcBorders>
              <w:top w:val="nil"/>
              <w:left w:val="nil"/>
              <w:bottom w:val="single" w:color="auto" w:sz="4" w:space="0"/>
              <w:right w:val="single" w:color="auto" w:sz="4" w:space="0"/>
            </w:tcBorders>
            <w:shd w:val="clear" w:color="000000" w:fill="FFFFFF"/>
            <w:vAlign w:val="center"/>
          </w:tcPr>
          <w:p w14:paraId="2D593A7C">
            <w:pPr>
              <w:rPr>
                <w:rFonts w:hint="eastAsia" w:ascii="宋体" w:hAnsi="宋体" w:cs="宋体"/>
                <w:highlight w:val="none"/>
              </w:rPr>
            </w:pPr>
            <w:r>
              <w:rPr>
                <w:rFonts w:hint="eastAsia" w:ascii="宋体" w:hAnsi="宋体" w:cs="宋体"/>
                <w:highlight w:val="none"/>
              </w:rPr>
              <w:t>2、通过控制策略控制循环泵的启停</w:t>
            </w:r>
          </w:p>
        </w:tc>
      </w:tr>
    </w:tbl>
    <w:p w14:paraId="2E606F62">
      <w:pPr>
        <w:rPr>
          <w:rFonts w:hint="eastAsia" w:ascii="宋体" w:hAnsi="宋体"/>
          <w:szCs w:val="20"/>
          <w:highlight w:val="none"/>
        </w:rPr>
      </w:pPr>
    </w:p>
    <w:p w14:paraId="19A9ED3C">
      <w:pPr>
        <w:spacing w:line="360" w:lineRule="auto"/>
        <w:rPr>
          <w:rFonts w:hint="eastAsia" w:ascii="宋体" w:hAnsi="宋体"/>
          <w:b/>
          <w:sz w:val="24"/>
          <w:szCs w:val="24"/>
          <w:highlight w:val="none"/>
        </w:rPr>
      </w:pPr>
      <w:r>
        <w:rPr>
          <w:rFonts w:hint="eastAsia" w:ascii="宋体" w:hAnsi="宋体"/>
          <w:b/>
          <w:sz w:val="24"/>
          <w:szCs w:val="24"/>
          <w:highlight w:val="none"/>
        </w:rPr>
        <w:t>12）风冷热泵控制箱</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2"/>
        <w:gridCol w:w="2302"/>
        <w:gridCol w:w="6640"/>
      </w:tblGrid>
      <w:tr w14:paraId="17227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43" w:type="pct"/>
            <w:gridSpan w:val="2"/>
            <w:shd w:val="clear" w:color="000000" w:fill="FFFFFF"/>
            <w:vAlign w:val="center"/>
          </w:tcPr>
          <w:p w14:paraId="016E7226">
            <w:pPr>
              <w:jc w:val="center"/>
              <w:rPr>
                <w:rFonts w:hint="eastAsia" w:ascii="宋体" w:hAnsi="宋体" w:cs="宋体"/>
                <w:b/>
                <w:bCs/>
                <w:highlight w:val="none"/>
              </w:rPr>
            </w:pPr>
            <w:r>
              <w:rPr>
                <w:rFonts w:hint="eastAsia" w:ascii="宋体" w:hAnsi="宋体" w:cs="宋体"/>
                <w:b/>
                <w:bCs/>
                <w:highlight w:val="none"/>
              </w:rPr>
              <w:t>技术参数</w:t>
            </w:r>
          </w:p>
        </w:tc>
        <w:tc>
          <w:tcPr>
            <w:tcW w:w="3257" w:type="pct"/>
            <w:shd w:val="clear" w:color="000000" w:fill="FFFFFF"/>
            <w:vAlign w:val="center"/>
          </w:tcPr>
          <w:p w14:paraId="79CF3816">
            <w:pPr>
              <w:jc w:val="center"/>
              <w:rPr>
                <w:rFonts w:hint="eastAsia" w:ascii="宋体" w:hAnsi="宋体" w:cs="宋体"/>
                <w:b/>
                <w:bCs/>
                <w:highlight w:val="none"/>
              </w:rPr>
            </w:pPr>
            <w:r>
              <w:rPr>
                <w:rFonts w:hint="eastAsia" w:ascii="宋体" w:hAnsi="宋体" w:cs="宋体"/>
                <w:b/>
                <w:bCs/>
                <w:highlight w:val="none"/>
              </w:rPr>
              <w:t>指标</w:t>
            </w:r>
          </w:p>
        </w:tc>
      </w:tr>
      <w:tr w14:paraId="3E83C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4" w:type="pct"/>
            <w:vMerge w:val="restart"/>
            <w:shd w:val="clear" w:color="auto" w:fill="auto"/>
            <w:vAlign w:val="center"/>
          </w:tcPr>
          <w:p w14:paraId="506BCA16">
            <w:pPr>
              <w:jc w:val="center"/>
              <w:rPr>
                <w:rFonts w:hint="eastAsia" w:ascii="宋体" w:hAnsi="宋体" w:cs="宋体"/>
                <w:sz w:val="24"/>
                <w:szCs w:val="24"/>
                <w:highlight w:val="none"/>
              </w:rPr>
            </w:pPr>
            <w:r>
              <w:rPr>
                <w:rFonts w:hint="eastAsia" w:ascii="宋体" w:hAnsi="宋体" w:cs="宋体"/>
                <w:sz w:val="24"/>
                <w:szCs w:val="24"/>
                <w:highlight w:val="none"/>
              </w:rPr>
              <w:t>接口</w:t>
            </w:r>
          </w:p>
        </w:tc>
        <w:tc>
          <w:tcPr>
            <w:tcW w:w="1129" w:type="pct"/>
            <w:shd w:val="clear" w:color="000000" w:fill="FFFFFF"/>
            <w:vAlign w:val="center"/>
          </w:tcPr>
          <w:p w14:paraId="15D41283">
            <w:pPr>
              <w:jc w:val="center"/>
              <w:rPr>
                <w:rFonts w:hint="eastAsia" w:ascii="宋体" w:hAnsi="宋体" w:cs="宋体"/>
                <w:sz w:val="24"/>
                <w:szCs w:val="24"/>
                <w:highlight w:val="none"/>
              </w:rPr>
            </w:pPr>
            <w:r>
              <w:rPr>
                <w:rFonts w:hint="eastAsia" w:ascii="宋体" w:hAnsi="宋体" w:cs="宋体"/>
                <w:sz w:val="24"/>
                <w:szCs w:val="24"/>
                <w:highlight w:val="none"/>
              </w:rPr>
              <w:t>网络接口</w:t>
            </w:r>
          </w:p>
        </w:tc>
        <w:tc>
          <w:tcPr>
            <w:tcW w:w="3257" w:type="pct"/>
            <w:shd w:val="clear" w:color="000000" w:fill="FFFFFF"/>
            <w:vAlign w:val="center"/>
          </w:tcPr>
          <w:p w14:paraId="59590C86">
            <w:pPr>
              <w:rPr>
                <w:rFonts w:hint="eastAsia" w:ascii="宋体" w:hAnsi="宋体" w:cs="宋体"/>
                <w:sz w:val="24"/>
                <w:szCs w:val="24"/>
                <w:highlight w:val="none"/>
              </w:rPr>
            </w:pPr>
            <w:r>
              <w:rPr>
                <w:rFonts w:hint="eastAsia" w:ascii="宋体" w:hAnsi="宋体" w:cs="宋体"/>
                <w:sz w:val="24"/>
                <w:szCs w:val="24"/>
                <w:highlight w:val="none"/>
              </w:rPr>
              <w:t>支持ProfiNet/MODBUS-TCP</w:t>
            </w:r>
          </w:p>
        </w:tc>
      </w:tr>
      <w:tr w14:paraId="5B91C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4" w:type="pct"/>
            <w:vMerge w:val="continue"/>
            <w:shd w:val="clear" w:color="auto" w:fill="auto"/>
            <w:vAlign w:val="center"/>
          </w:tcPr>
          <w:p w14:paraId="61FEE669">
            <w:pPr>
              <w:rPr>
                <w:rFonts w:hint="eastAsia" w:ascii="宋体" w:hAnsi="宋体" w:cs="宋体"/>
                <w:sz w:val="24"/>
                <w:szCs w:val="24"/>
                <w:highlight w:val="none"/>
              </w:rPr>
            </w:pPr>
          </w:p>
        </w:tc>
        <w:tc>
          <w:tcPr>
            <w:tcW w:w="1129" w:type="pct"/>
            <w:shd w:val="clear" w:color="000000" w:fill="FFFFFF"/>
            <w:vAlign w:val="center"/>
          </w:tcPr>
          <w:p w14:paraId="2001A669">
            <w:pPr>
              <w:jc w:val="center"/>
              <w:rPr>
                <w:rFonts w:hint="eastAsia" w:ascii="宋体" w:hAnsi="宋体" w:cs="宋体"/>
                <w:sz w:val="24"/>
                <w:szCs w:val="24"/>
                <w:highlight w:val="none"/>
              </w:rPr>
            </w:pPr>
            <w:r>
              <w:rPr>
                <w:rFonts w:hint="eastAsia" w:ascii="宋体" w:hAnsi="宋体" w:cs="宋体"/>
                <w:sz w:val="24"/>
                <w:szCs w:val="24"/>
                <w:highlight w:val="none"/>
              </w:rPr>
              <w:t>RS485接口</w:t>
            </w:r>
          </w:p>
        </w:tc>
        <w:tc>
          <w:tcPr>
            <w:tcW w:w="3257" w:type="pct"/>
            <w:shd w:val="clear" w:color="000000" w:fill="FFFFFF"/>
            <w:vAlign w:val="center"/>
          </w:tcPr>
          <w:p w14:paraId="31397E5D">
            <w:pPr>
              <w:rPr>
                <w:rFonts w:hint="eastAsia" w:ascii="宋体" w:hAnsi="宋体" w:cs="宋体"/>
                <w:sz w:val="24"/>
                <w:szCs w:val="24"/>
                <w:highlight w:val="none"/>
              </w:rPr>
            </w:pPr>
            <w:r>
              <w:rPr>
                <w:rFonts w:hint="eastAsia" w:ascii="宋体" w:hAnsi="宋体" w:cs="宋体"/>
                <w:sz w:val="24"/>
                <w:szCs w:val="24"/>
                <w:highlight w:val="none"/>
              </w:rPr>
              <w:t>1主1从，主站最多可带32个仪表</w:t>
            </w:r>
          </w:p>
        </w:tc>
      </w:tr>
      <w:tr w14:paraId="3648E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4" w:type="pct"/>
            <w:vMerge w:val="continue"/>
            <w:shd w:val="clear" w:color="auto" w:fill="auto"/>
            <w:vAlign w:val="center"/>
          </w:tcPr>
          <w:p w14:paraId="5B109031">
            <w:pPr>
              <w:rPr>
                <w:rFonts w:hint="eastAsia" w:ascii="宋体" w:hAnsi="宋体" w:cs="宋体"/>
                <w:sz w:val="24"/>
                <w:szCs w:val="24"/>
                <w:highlight w:val="none"/>
              </w:rPr>
            </w:pPr>
          </w:p>
        </w:tc>
        <w:tc>
          <w:tcPr>
            <w:tcW w:w="1129" w:type="pct"/>
            <w:shd w:val="clear" w:color="000000" w:fill="FFFFFF"/>
            <w:vAlign w:val="center"/>
          </w:tcPr>
          <w:p w14:paraId="0E0E91FC">
            <w:pPr>
              <w:jc w:val="center"/>
              <w:rPr>
                <w:rFonts w:hint="eastAsia" w:ascii="宋体" w:hAnsi="宋体" w:cs="宋体"/>
                <w:sz w:val="24"/>
                <w:szCs w:val="24"/>
                <w:highlight w:val="none"/>
              </w:rPr>
            </w:pPr>
            <w:r>
              <w:rPr>
                <w:rFonts w:hint="eastAsia" w:ascii="宋体" w:hAnsi="宋体" w:cs="宋体"/>
                <w:sz w:val="24"/>
                <w:szCs w:val="24"/>
                <w:highlight w:val="none"/>
              </w:rPr>
              <w:t>传输</w:t>
            </w:r>
          </w:p>
        </w:tc>
        <w:tc>
          <w:tcPr>
            <w:tcW w:w="3257" w:type="pct"/>
            <w:shd w:val="clear" w:color="000000" w:fill="FFFFFF"/>
            <w:vAlign w:val="center"/>
          </w:tcPr>
          <w:p w14:paraId="4B36392A">
            <w:pPr>
              <w:rPr>
                <w:rFonts w:hint="eastAsia" w:ascii="宋体" w:hAnsi="宋体" w:cs="宋体"/>
                <w:sz w:val="24"/>
                <w:szCs w:val="24"/>
                <w:highlight w:val="none"/>
              </w:rPr>
            </w:pPr>
            <w:r>
              <w:rPr>
                <w:rFonts w:hint="eastAsia" w:ascii="宋体" w:hAnsi="宋体" w:cs="宋体"/>
                <w:sz w:val="24"/>
                <w:szCs w:val="24"/>
                <w:highlight w:val="none"/>
              </w:rPr>
              <w:t>接收/输出的RS485信号、MODBUS-RTU标准信号，ProfiNet信号，支持4G，上传云平台</w:t>
            </w:r>
          </w:p>
        </w:tc>
      </w:tr>
      <w:tr w14:paraId="6A490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4" w:type="pct"/>
            <w:vMerge w:val="restart"/>
            <w:shd w:val="clear" w:color="auto" w:fill="auto"/>
            <w:vAlign w:val="center"/>
          </w:tcPr>
          <w:p w14:paraId="13245923">
            <w:pPr>
              <w:jc w:val="center"/>
              <w:rPr>
                <w:rFonts w:hint="eastAsia" w:ascii="宋体" w:hAnsi="宋体" w:cs="宋体"/>
                <w:sz w:val="24"/>
                <w:szCs w:val="24"/>
                <w:highlight w:val="none"/>
              </w:rPr>
            </w:pPr>
            <w:r>
              <w:rPr>
                <w:rFonts w:hint="eastAsia" w:ascii="宋体" w:hAnsi="宋体" w:cs="宋体"/>
                <w:sz w:val="24"/>
                <w:szCs w:val="24"/>
                <w:highlight w:val="none"/>
              </w:rPr>
              <w:t>电压</w:t>
            </w:r>
          </w:p>
        </w:tc>
        <w:tc>
          <w:tcPr>
            <w:tcW w:w="1129" w:type="pct"/>
            <w:shd w:val="clear" w:color="000000" w:fill="FFFFFF"/>
            <w:vAlign w:val="center"/>
          </w:tcPr>
          <w:p w14:paraId="30E1C429">
            <w:pPr>
              <w:jc w:val="center"/>
              <w:rPr>
                <w:rFonts w:hint="eastAsia" w:ascii="宋体" w:hAnsi="宋体" w:cs="宋体"/>
                <w:sz w:val="24"/>
                <w:szCs w:val="24"/>
                <w:highlight w:val="none"/>
              </w:rPr>
            </w:pPr>
            <w:r>
              <w:rPr>
                <w:rFonts w:hint="eastAsia" w:ascii="宋体" w:hAnsi="宋体" w:cs="宋体"/>
                <w:sz w:val="24"/>
                <w:szCs w:val="24"/>
                <w:highlight w:val="none"/>
              </w:rPr>
              <w:t>额定值</w:t>
            </w:r>
          </w:p>
        </w:tc>
        <w:tc>
          <w:tcPr>
            <w:tcW w:w="3257" w:type="pct"/>
            <w:shd w:val="clear" w:color="000000" w:fill="FFFFFF"/>
            <w:vAlign w:val="center"/>
          </w:tcPr>
          <w:p w14:paraId="141DB53C">
            <w:pPr>
              <w:rPr>
                <w:rFonts w:hint="eastAsia" w:ascii="宋体" w:hAnsi="宋体" w:cs="宋体"/>
                <w:sz w:val="24"/>
                <w:szCs w:val="24"/>
                <w:highlight w:val="none"/>
              </w:rPr>
            </w:pPr>
            <w:r>
              <w:rPr>
                <w:rFonts w:hint="eastAsia" w:ascii="宋体" w:hAnsi="宋体" w:cs="宋体"/>
                <w:sz w:val="24"/>
                <w:szCs w:val="24"/>
                <w:highlight w:val="none"/>
              </w:rPr>
              <w:t>AC  220V</w:t>
            </w:r>
          </w:p>
        </w:tc>
      </w:tr>
      <w:tr w14:paraId="04823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4" w:type="pct"/>
            <w:vMerge w:val="continue"/>
            <w:shd w:val="clear" w:color="auto" w:fill="auto"/>
            <w:vAlign w:val="center"/>
          </w:tcPr>
          <w:p w14:paraId="4511508A">
            <w:pPr>
              <w:rPr>
                <w:rFonts w:hint="eastAsia" w:ascii="宋体" w:hAnsi="宋体" w:cs="宋体"/>
                <w:sz w:val="24"/>
                <w:szCs w:val="24"/>
                <w:highlight w:val="none"/>
              </w:rPr>
            </w:pPr>
          </w:p>
        </w:tc>
        <w:tc>
          <w:tcPr>
            <w:tcW w:w="1129" w:type="pct"/>
            <w:shd w:val="clear" w:color="000000" w:fill="FFFFFF"/>
            <w:vAlign w:val="center"/>
          </w:tcPr>
          <w:p w14:paraId="5382C734">
            <w:pPr>
              <w:jc w:val="center"/>
              <w:rPr>
                <w:rFonts w:hint="eastAsia" w:ascii="宋体" w:hAnsi="宋体" w:cs="宋体"/>
                <w:sz w:val="24"/>
                <w:szCs w:val="24"/>
                <w:highlight w:val="none"/>
              </w:rPr>
            </w:pPr>
            <w:r>
              <w:rPr>
                <w:rFonts w:hint="eastAsia" w:ascii="宋体" w:hAnsi="宋体" w:cs="宋体"/>
                <w:sz w:val="24"/>
                <w:szCs w:val="24"/>
                <w:highlight w:val="none"/>
              </w:rPr>
              <w:t>功耗</w:t>
            </w:r>
          </w:p>
        </w:tc>
        <w:tc>
          <w:tcPr>
            <w:tcW w:w="3257" w:type="pct"/>
            <w:shd w:val="clear" w:color="000000" w:fill="FFFFFF"/>
            <w:vAlign w:val="center"/>
          </w:tcPr>
          <w:p w14:paraId="1AEFF7C3">
            <w:pPr>
              <w:rPr>
                <w:rFonts w:hint="eastAsia" w:ascii="宋体" w:hAnsi="宋体" w:cs="宋体"/>
                <w:sz w:val="24"/>
                <w:szCs w:val="24"/>
                <w:highlight w:val="none"/>
              </w:rPr>
            </w:pPr>
            <w:r>
              <w:rPr>
                <w:rFonts w:hint="eastAsia" w:ascii="宋体" w:hAnsi="宋体" w:cs="宋体"/>
                <w:sz w:val="24"/>
                <w:szCs w:val="24"/>
                <w:highlight w:val="none"/>
              </w:rPr>
              <w:t>﹤1000W</w:t>
            </w:r>
          </w:p>
        </w:tc>
      </w:tr>
      <w:tr w14:paraId="2AB1F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4" w:type="pct"/>
            <w:vMerge w:val="continue"/>
            <w:shd w:val="clear" w:color="auto" w:fill="auto"/>
            <w:vAlign w:val="center"/>
          </w:tcPr>
          <w:p w14:paraId="083BC639">
            <w:pPr>
              <w:rPr>
                <w:rFonts w:hint="eastAsia" w:ascii="宋体" w:hAnsi="宋体" w:cs="宋体"/>
                <w:sz w:val="24"/>
                <w:szCs w:val="24"/>
                <w:highlight w:val="none"/>
              </w:rPr>
            </w:pPr>
          </w:p>
        </w:tc>
        <w:tc>
          <w:tcPr>
            <w:tcW w:w="1129" w:type="pct"/>
            <w:shd w:val="clear" w:color="000000" w:fill="FFFFFF"/>
            <w:vAlign w:val="center"/>
          </w:tcPr>
          <w:p w14:paraId="27A90C8F">
            <w:pPr>
              <w:jc w:val="center"/>
              <w:rPr>
                <w:rFonts w:hint="eastAsia" w:ascii="宋体" w:hAnsi="宋体" w:cs="宋体"/>
                <w:sz w:val="24"/>
                <w:szCs w:val="24"/>
                <w:highlight w:val="none"/>
              </w:rPr>
            </w:pPr>
            <w:r>
              <w:rPr>
                <w:rFonts w:hint="eastAsia" w:ascii="宋体" w:hAnsi="宋体" w:cs="宋体"/>
                <w:sz w:val="24"/>
                <w:szCs w:val="24"/>
                <w:highlight w:val="none"/>
              </w:rPr>
              <w:t>频率</w:t>
            </w:r>
          </w:p>
        </w:tc>
        <w:tc>
          <w:tcPr>
            <w:tcW w:w="3257" w:type="pct"/>
            <w:shd w:val="clear" w:color="000000" w:fill="FFFFFF"/>
            <w:vAlign w:val="center"/>
          </w:tcPr>
          <w:p w14:paraId="1766F18D">
            <w:pPr>
              <w:rPr>
                <w:rFonts w:hint="eastAsia" w:ascii="宋体" w:hAnsi="宋体" w:cs="宋体"/>
                <w:sz w:val="24"/>
                <w:szCs w:val="24"/>
                <w:highlight w:val="none"/>
              </w:rPr>
            </w:pPr>
            <w:r>
              <w:rPr>
                <w:rFonts w:hint="eastAsia" w:ascii="宋体" w:hAnsi="宋体" w:cs="宋体"/>
                <w:sz w:val="24"/>
                <w:szCs w:val="24"/>
                <w:highlight w:val="none"/>
              </w:rPr>
              <w:t>50Hz</w:t>
            </w:r>
          </w:p>
        </w:tc>
      </w:tr>
      <w:tr w14:paraId="1F1B6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4" w:type="pct"/>
            <w:vMerge w:val="restart"/>
            <w:shd w:val="clear" w:color="auto" w:fill="auto"/>
            <w:vAlign w:val="center"/>
          </w:tcPr>
          <w:p w14:paraId="11D0E90B">
            <w:pPr>
              <w:jc w:val="center"/>
              <w:rPr>
                <w:rFonts w:hint="eastAsia" w:ascii="宋体" w:hAnsi="宋体" w:cs="宋体"/>
                <w:sz w:val="24"/>
                <w:szCs w:val="24"/>
                <w:highlight w:val="none"/>
              </w:rPr>
            </w:pPr>
            <w:r>
              <w:rPr>
                <w:rFonts w:hint="eastAsia" w:ascii="宋体" w:hAnsi="宋体" w:cs="宋体"/>
                <w:sz w:val="24"/>
                <w:szCs w:val="24"/>
                <w:highlight w:val="none"/>
              </w:rPr>
              <w:t>中央处理控制器</w:t>
            </w:r>
          </w:p>
        </w:tc>
        <w:tc>
          <w:tcPr>
            <w:tcW w:w="1129" w:type="pct"/>
            <w:shd w:val="clear" w:color="000000" w:fill="FFFFFF"/>
            <w:vAlign w:val="center"/>
          </w:tcPr>
          <w:p w14:paraId="5FDC49B9">
            <w:pPr>
              <w:jc w:val="center"/>
              <w:rPr>
                <w:rFonts w:hint="eastAsia" w:ascii="宋体" w:hAnsi="宋体" w:cs="宋体"/>
                <w:sz w:val="24"/>
                <w:szCs w:val="24"/>
                <w:highlight w:val="none"/>
              </w:rPr>
            </w:pPr>
            <w:r>
              <w:rPr>
                <w:rFonts w:hint="eastAsia" w:ascii="宋体" w:hAnsi="宋体" w:cs="宋体"/>
                <w:sz w:val="24"/>
                <w:szCs w:val="24"/>
                <w:highlight w:val="none"/>
              </w:rPr>
              <w:t>工业级处理器</w:t>
            </w:r>
          </w:p>
        </w:tc>
        <w:tc>
          <w:tcPr>
            <w:tcW w:w="3257" w:type="pct"/>
            <w:shd w:val="clear" w:color="000000" w:fill="FFFFFF"/>
            <w:vAlign w:val="center"/>
          </w:tcPr>
          <w:p w14:paraId="42F4CCC5">
            <w:pPr>
              <w:rPr>
                <w:rFonts w:hint="eastAsia" w:ascii="宋体" w:hAnsi="宋体" w:cs="宋体"/>
                <w:sz w:val="24"/>
                <w:szCs w:val="24"/>
                <w:highlight w:val="none"/>
              </w:rPr>
            </w:pPr>
            <w:r>
              <w:rPr>
                <w:rFonts w:hint="eastAsia" w:ascii="宋体" w:hAnsi="宋体" w:cs="宋体"/>
                <w:sz w:val="24"/>
                <w:szCs w:val="24"/>
                <w:highlight w:val="none"/>
              </w:rPr>
              <w:t>位处理速度不低于60纳秒</w:t>
            </w:r>
          </w:p>
        </w:tc>
      </w:tr>
      <w:tr w14:paraId="71F3F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4" w:type="pct"/>
            <w:vMerge w:val="continue"/>
            <w:shd w:val="clear" w:color="auto" w:fill="auto"/>
            <w:vAlign w:val="center"/>
          </w:tcPr>
          <w:p w14:paraId="46F76D48">
            <w:pPr>
              <w:rPr>
                <w:rFonts w:hint="eastAsia" w:ascii="宋体" w:hAnsi="宋体" w:cs="宋体"/>
                <w:sz w:val="24"/>
                <w:szCs w:val="24"/>
                <w:highlight w:val="none"/>
              </w:rPr>
            </w:pPr>
          </w:p>
        </w:tc>
        <w:tc>
          <w:tcPr>
            <w:tcW w:w="1129" w:type="pct"/>
            <w:shd w:val="clear" w:color="000000" w:fill="FFFFFF"/>
            <w:vAlign w:val="center"/>
          </w:tcPr>
          <w:p w14:paraId="0E5F74CF">
            <w:pPr>
              <w:jc w:val="center"/>
              <w:rPr>
                <w:rFonts w:hint="eastAsia" w:ascii="宋体" w:hAnsi="宋体" w:cs="宋体"/>
                <w:sz w:val="24"/>
                <w:szCs w:val="24"/>
                <w:highlight w:val="none"/>
              </w:rPr>
            </w:pPr>
            <w:r>
              <w:rPr>
                <w:rFonts w:hint="eastAsia" w:ascii="宋体" w:hAnsi="宋体" w:cs="宋体"/>
                <w:sz w:val="24"/>
                <w:szCs w:val="24"/>
                <w:highlight w:val="none"/>
              </w:rPr>
              <w:t>内存</w:t>
            </w:r>
          </w:p>
        </w:tc>
        <w:tc>
          <w:tcPr>
            <w:tcW w:w="3257" w:type="pct"/>
            <w:shd w:val="clear" w:color="000000" w:fill="FFFFFF"/>
            <w:vAlign w:val="center"/>
          </w:tcPr>
          <w:p w14:paraId="25F83AB4">
            <w:pPr>
              <w:rPr>
                <w:rFonts w:hint="eastAsia" w:ascii="宋体" w:hAnsi="宋体" w:cs="宋体"/>
                <w:sz w:val="24"/>
                <w:szCs w:val="24"/>
                <w:highlight w:val="none"/>
              </w:rPr>
            </w:pPr>
            <w:r>
              <w:rPr>
                <w:rFonts w:hint="eastAsia" w:ascii="宋体" w:hAnsi="宋体" w:cs="宋体"/>
                <w:sz w:val="24"/>
                <w:szCs w:val="24"/>
                <w:highlight w:val="none"/>
              </w:rPr>
              <w:t>内存明确区分程序区和用户数据区，保证内存的最大使用效率及程序的可维护性；</w:t>
            </w:r>
          </w:p>
        </w:tc>
      </w:tr>
      <w:tr w14:paraId="2B757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14" w:type="pct"/>
            <w:vMerge w:val="continue"/>
            <w:shd w:val="clear" w:color="auto" w:fill="auto"/>
            <w:vAlign w:val="center"/>
          </w:tcPr>
          <w:p w14:paraId="712DB2FA">
            <w:pPr>
              <w:rPr>
                <w:rFonts w:hint="eastAsia" w:ascii="宋体" w:hAnsi="宋体" w:cs="宋体"/>
                <w:sz w:val="24"/>
                <w:szCs w:val="24"/>
                <w:highlight w:val="none"/>
              </w:rPr>
            </w:pPr>
          </w:p>
        </w:tc>
        <w:tc>
          <w:tcPr>
            <w:tcW w:w="1129" w:type="pct"/>
            <w:vMerge w:val="restart"/>
            <w:shd w:val="clear" w:color="000000" w:fill="FFFFFF"/>
            <w:vAlign w:val="center"/>
          </w:tcPr>
          <w:p w14:paraId="71905428">
            <w:pPr>
              <w:jc w:val="center"/>
              <w:rPr>
                <w:rFonts w:hint="eastAsia" w:ascii="宋体" w:hAnsi="宋体" w:cs="宋体"/>
                <w:sz w:val="24"/>
                <w:szCs w:val="24"/>
                <w:highlight w:val="none"/>
              </w:rPr>
            </w:pPr>
            <w:r>
              <w:rPr>
                <w:rFonts w:hint="eastAsia" w:ascii="宋体" w:hAnsi="宋体" w:cs="宋体"/>
                <w:sz w:val="24"/>
                <w:szCs w:val="24"/>
                <w:highlight w:val="none"/>
              </w:rPr>
              <w:t>自诊断功能</w:t>
            </w:r>
          </w:p>
        </w:tc>
        <w:tc>
          <w:tcPr>
            <w:tcW w:w="3257" w:type="pct"/>
            <w:vMerge w:val="restart"/>
            <w:shd w:val="clear" w:color="000000" w:fill="FFFFFF"/>
            <w:vAlign w:val="center"/>
          </w:tcPr>
          <w:p w14:paraId="2E41BE30">
            <w:pPr>
              <w:rPr>
                <w:rFonts w:hint="eastAsia" w:ascii="宋体" w:hAnsi="宋体" w:cs="宋体"/>
                <w:sz w:val="24"/>
                <w:szCs w:val="24"/>
                <w:highlight w:val="none"/>
              </w:rPr>
            </w:pPr>
            <w:r>
              <w:rPr>
                <w:rFonts w:hint="eastAsia" w:ascii="宋体" w:hAnsi="宋体" w:cs="宋体"/>
                <w:sz w:val="24"/>
                <w:szCs w:val="24"/>
                <w:highlight w:val="none"/>
              </w:rPr>
              <w:t>可监视各模块及对应通道的实时系统诊断信息，即使处于停止状态也可进行系统诊断，系统诊断不占CPU程序资源</w:t>
            </w:r>
          </w:p>
        </w:tc>
      </w:tr>
      <w:tr w14:paraId="2D370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14" w:type="pct"/>
            <w:vMerge w:val="continue"/>
            <w:vAlign w:val="center"/>
          </w:tcPr>
          <w:p w14:paraId="4FCF0C19">
            <w:pPr>
              <w:rPr>
                <w:rFonts w:hint="eastAsia" w:ascii="宋体" w:hAnsi="宋体" w:cs="宋体"/>
                <w:sz w:val="24"/>
                <w:szCs w:val="24"/>
                <w:highlight w:val="none"/>
              </w:rPr>
            </w:pPr>
          </w:p>
        </w:tc>
        <w:tc>
          <w:tcPr>
            <w:tcW w:w="1129" w:type="pct"/>
            <w:vMerge w:val="continue"/>
            <w:vAlign w:val="center"/>
          </w:tcPr>
          <w:p w14:paraId="6DA3E457">
            <w:pPr>
              <w:rPr>
                <w:rFonts w:hint="eastAsia" w:ascii="宋体" w:hAnsi="宋体" w:cs="宋体"/>
                <w:sz w:val="24"/>
                <w:szCs w:val="24"/>
                <w:highlight w:val="none"/>
              </w:rPr>
            </w:pPr>
          </w:p>
        </w:tc>
        <w:tc>
          <w:tcPr>
            <w:tcW w:w="3257" w:type="pct"/>
            <w:vMerge w:val="continue"/>
            <w:vAlign w:val="center"/>
          </w:tcPr>
          <w:p w14:paraId="68DEA737">
            <w:pPr>
              <w:rPr>
                <w:rFonts w:hint="eastAsia" w:ascii="宋体" w:hAnsi="宋体" w:cs="宋体"/>
                <w:sz w:val="24"/>
                <w:szCs w:val="24"/>
                <w:highlight w:val="none"/>
              </w:rPr>
            </w:pPr>
          </w:p>
        </w:tc>
      </w:tr>
      <w:tr w14:paraId="4AA7B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4" w:type="pct"/>
            <w:vMerge w:val="restart"/>
            <w:shd w:val="clear" w:color="auto" w:fill="auto"/>
            <w:vAlign w:val="center"/>
          </w:tcPr>
          <w:p w14:paraId="503037BB">
            <w:pPr>
              <w:jc w:val="center"/>
              <w:rPr>
                <w:rFonts w:hint="eastAsia" w:ascii="宋体" w:hAnsi="宋体" w:cs="宋体"/>
                <w:sz w:val="24"/>
                <w:szCs w:val="24"/>
                <w:highlight w:val="none"/>
              </w:rPr>
            </w:pPr>
            <w:r>
              <w:rPr>
                <w:rFonts w:hint="eastAsia" w:ascii="宋体" w:hAnsi="宋体" w:cs="宋体"/>
                <w:sz w:val="24"/>
                <w:szCs w:val="24"/>
                <w:highlight w:val="none"/>
              </w:rPr>
              <w:t>环境</w:t>
            </w:r>
          </w:p>
        </w:tc>
        <w:tc>
          <w:tcPr>
            <w:tcW w:w="1129" w:type="pct"/>
            <w:shd w:val="clear" w:color="000000" w:fill="FFFFFF"/>
            <w:vAlign w:val="center"/>
          </w:tcPr>
          <w:p w14:paraId="7A6E1167">
            <w:pPr>
              <w:jc w:val="center"/>
              <w:rPr>
                <w:rFonts w:hint="eastAsia" w:ascii="宋体" w:hAnsi="宋体" w:cs="宋体"/>
                <w:sz w:val="24"/>
                <w:szCs w:val="24"/>
                <w:highlight w:val="none"/>
              </w:rPr>
            </w:pPr>
            <w:r>
              <w:rPr>
                <w:rFonts w:hint="eastAsia" w:ascii="宋体" w:hAnsi="宋体" w:cs="宋体"/>
                <w:sz w:val="24"/>
                <w:szCs w:val="24"/>
                <w:highlight w:val="none"/>
              </w:rPr>
              <w:t>温度</w:t>
            </w:r>
          </w:p>
        </w:tc>
        <w:tc>
          <w:tcPr>
            <w:tcW w:w="3257" w:type="pct"/>
            <w:shd w:val="clear" w:color="000000" w:fill="FFFFFF"/>
            <w:vAlign w:val="center"/>
          </w:tcPr>
          <w:p w14:paraId="0162601B">
            <w:pPr>
              <w:rPr>
                <w:rFonts w:hint="eastAsia" w:ascii="宋体" w:hAnsi="宋体" w:cs="宋体"/>
                <w:sz w:val="24"/>
                <w:szCs w:val="24"/>
                <w:highlight w:val="none"/>
              </w:rPr>
            </w:pPr>
            <w:r>
              <w:rPr>
                <w:rFonts w:hint="eastAsia" w:ascii="宋体" w:hAnsi="宋体" w:cs="宋体"/>
                <w:sz w:val="24"/>
                <w:szCs w:val="24"/>
                <w:highlight w:val="none"/>
              </w:rPr>
              <w:t>-10℃～+40℃（极限温度：-20℃～+60℃）</w:t>
            </w:r>
          </w:p>
        </w:tc>
      </w:tr>
      <w:tr w14:paraId="54901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4" w:type="pct"/>
            <w:vMerge w:val="continue"/>
            <w:shd w:val="clear" w:color="auto" w:fill="auto"/>
            <w:vAlign w:val="center"/>
          </w:tcPr>
          <w:p w14:paraId="7CECFE7A">
            <w:pPr>
              <w:rPr>
                <w:rFonts w:hint="eastAsia" w:ascii="宋体" w:hAnsi="宋体" w:cs="宋体"/>
                <w:sz w:val="24"/>
                <w:szCs w:val="24"/>
                <w:highlight w:val="none"/>
              </w:rPr>
            </w:pPr>
          </w:p>
        </w:tc>
        <w:tc>
          <w:tcPr>
            <w:tcW w:w="1129" w:type="pct"/>
            <w:shd w:val="clear" w:color="000000" w:fill="FFFFFF"/>
            <w:vAlign w:val="center"/>
          </w:tcPr>
          <w:p w14:paraId="671EA416">
            <w:pPr>
              <w:jc w:val="center"/>
              <w:rPr>
                <w:rFonts w:hint="eastAsia" w:ascii="宋体" w:hAnsi="宋体" w:cs="宋体"/>
                <w:sz w:val="24"/>
                <w:szCs w:val="24"/>
                <w:highlight w:val="none"/>
              </w:rPr>
            </w:pPr>
            <w:r>
              <w:rPr>
                <w:rFonts w:hint="eastAsia" w:ascii="宋体" w:hAnsi="宋体" w:cs="宋体"/>
                <w:sz w:val="24"/>
                <w:szCs w:val="24"/>
                <w:highlight w:val="none"/>
              </w:rPr>
              <w:t>湿度</w:t>
            </w:r>
          </w:p>
        </w:tc>
        <w:tc>
          <w:tcPr>
            <w:tcW w:w="3257" w:type="pct"/>
            <w:shd w:val="clear" w:color="000000" w:fill="FFFFFF"/>
            <w:vAlign w:val="center"/>
          </w:tcPr>
          <w:p w14:paraId="4259834A">
            <w:pPr>
              <w:rPr>
                <w:rFonts w:hint="eastAsia" w:ascii="宋体" w:hAnsi="宋体" w:cs="宋体"/>
                <w:sz w:val="24"/>
                <w:szCs w:val="24"/>
                <w:highlight w:val="none"/>
              </w:rPr>
            </w:pPr>
            <w:r>
              <w:rPr>
                <w:rFonts w:hint="eastAsia" w:ascii="宋体" w:hAnsi="宋体" w:cs="宋体"/>
                <w:sz w:val="24"/>
                <w:szCs w:val="24"/>
                <w:highlight w:val="none"/>
              </w:rPr>
              <w:t>≤75％（极限湿度：≤85%）</w:t>
            </w:r>
          </w:p>
        </w:tc>
      </w:tr>
      <w:tr w14:paraId="4149A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4" w:type="pct"/>
            <w:vMerge w:val="restart"/>
            <w:shd w:val="clear" w:color="auto" w:fill="auto"/>
            <w:vAlign w:val="center"/>
          </w:tcPr>
          <w:p w14:paraId="342D7E3C">
            <w:pPr>
              <w:jc w:val="center"/>
              <w:rPr>
                <w:rFonts w:hint="eastAsia" w:ascii="宋体" w:hAnsi="宋体" w:cs="宋体"/>
                <w:sz w:val="24"/>
                <w:szCs w:val="24"/>
                <w:highlight w:val="none"/>
              </w:rPr>
            </w:pPr>
            <w:r>
              <w:rPr>
                <w:rFonts w:hint="eastAsia" w:ascii="宋体" w:hAnsi="宋体" w:cs="宋体"/>
                <w:sz w:val="24"/>
                <w:szCs w:val="24"/>
                <w:highlight w:val="none"/>
              </w:rPr>
              <w:t>功能</w:t>
            </w:r>
          </w:p>
        </w:tc>
        <w:tc>
          <w:tcPr>
            <w:tcW w:w="1129" w:type="pct"/>
            <w:vMerge w:val="restart"/>
            <w:shd w:val="clear" w:color="000000" w:fill="FFFFFF"/>
            <w:vAlign w:val="center"/>
          </w:tcPr>
          <w:p w14:paraId="276573B7">
            <w:pPr>
              <w:jc w:val="center"/>
              <w:rPr>
                <w:rFonts w:hint="eastAsia" w:ascii="宋体" w:hAnsi="宋体" w:cs="宋体"/>
                <w:sz w:val="24"/>
                <w:szCs w:val="24"/>
                <w:highlight w:val="none"/>
              </w:rPr>
            </w:pPr>
            <w:r>
              <w:rPr>
                <w:rFonts w:hint="eastAsia" w:ascii="宋体" w:hAnsi="宋体" w:cs="宋体"/>
                <w:sz w:val="24"/>
                <w:szCs w:val="24"/>
                <w:highlight w:val="none"/>
              </w:rPr>
              <w:t>设备运行监控</w:t>
            </w:r>
          </w:p>
        </w:tc>
        <w:tc>
          <w:tcPr>
            <w:tcW w:w="3257" w:type="pct"/>
            <w:shd w:val="clear" w:color="000000" w:fill="FFFFFF"/>
            <w:vAlign w:val="center"/>
          </w:tcPr>
          <w:p w14:paraId="0E0E234D">
            <w:pPr>
              <w:rPr>
                <w:rFonts w:hint="eastAsia" w:ascii="宋体" w:hAnsi="宋体" w:cs="宋体"/>
                <w:sz w:val="24"/>
                <w:szCs w:val="24"/>
                <w:highlight w:val="none"/>
              </w:rPr>
            </w:pPr>
            <w:r>
              <w:rPr>
                <w:rFonts w:hint="eastAsia" w:ascii="宋体" w:hAnsi="宋体" w:cs="宋体"/>
                <w:sz w:val="24"/>
                <w:szCs w:val="24"/>
                <w:highlight w:val="none"/>
              </w:rPr>
              <w:t>1、 对风冷热泵主机运行状态、工作性能、故障报警、进出水温度等重要参数进行监视</w:t>
            </w:r>
          </w:p>
        </w:tc>
      </w:tr>
      <w:tr w14:paraId="2D8F8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4" w:type="pct"/>
            <w:vMerge w:val="continue"/>
            <w:shd w:val="clear" w:color="auto" w:fill="auto"/>
            <w:vAlign w:val="center"/>
          </w:tcPr>
          <w:p w14:paraId="32DB5890">
            <w:pPr>
              <w:rPr>
                <w:rFonts w:hint="eastAsia" w:ascii="宋体" w:hAnsi="宋体" w:cs="宋体"/>
                <w:sz w:val="24"/>
                <w:szCs w:val="24"/>
                <w:highlight w:val="none"/>
              </w:rPr>
            </w:pPr>
          </w:p>
        </w:tc>
        <w:tc>
          <w:tcPr>
            <w:tcW w:w="1129" w:type="pct"/>
            <w:vMerge w:val="continue"/>
            <w:shd w:val="clear" w:color="auto" w:fill="auto"/>
            <w:vAlign w:val="center"/>
          </w:tcPr>
          <w:p w14:paraId="037C9B2C">
            <w:pPr>
              <w:rPr>
                <w:rFonts w:hint="eastAsia" w:ascii="宋体" w:hAnsi="宋体" w:cs="宋体"/>
                <w:sz w:val="24"/>
                <w:szCs w:val="24"/>
                <w:highlight w:val="none"/>
              </w:rPr>
            </w:pPr>
          </w:p>
        </w:tc>
        <w:tc>
          <w:tcPr>
            <w:tcW w:w="3257" w:type="pct"/>
            <w:shd w:val="clear" w:color="000000" w:fill="FFFFFF"/>
            <w:vAlign w:val="center"/>
          </w:tcPr>
          <w:p w14:paraId="42A885B9">
            <w:pPr>
              <w:rPr>
                <w:rFonts w:hint="eastAsia" w:ascii="宋体" w:hAnsi="宋体" w:cs="宋体"/>
                <w:sz w:val="24"/>
                <w:szCs w:val="24"/>
                <w:highlight w:val="none"/>
              </w:rPr>
            </w:pPr>
            <w:r>
              <w:rPr>
                <w:rFonts w:hint="eastAsia" w:ascii="宋体" w:hAnsi="宋体" w:cs="宋体"/>
                <w:sz w:val="24"/>
                <w:szCs w:val="24"/>
                <w:highlight w:val="none"/>
              </w:rPr>
              <w:t>2、通过控制策略控制风冷热泵主机的启停以及循环泵的开启</w:t>
            </w:r>
          </w:p>
        </w:tc>
      </w:tr>
      <w:tr w14:paraId="1864A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4" w:type="pct"/>
            <w:vMerge w:val="continue"/>
            <w:shd w:val="clear" w:color="auto" w:fill="auto"/>
            <w:vAlign w:val="center"/>
          </w:tcPr>
          <w:p w14:paraId="41A5DDF6">
            <w:pPr>
              <w:rPr>
                <w:rFonts w:hint="eastAsia" w:ascii="宋体" w:hAnsi="宋体" w:cs="宋体"/>
                <w:sz w:val="24"/>
                <w:szCs w:val="24"/>
                <w:highlight w:val="none"/>
              </w:rPr>
            </w:pPr>
          </w:p>
        </w:tc>
        <w:tc>
          <w:tcPr>
            <w:tcW w:w="1129" w:type="pct"/>
            <w:shd w:val="clear" w:color="000000" w:fill="FFFFFF"/>
            <w:vAlign w:val="center"/>
          </w:tcPr>
          <w:p w14:paraId="7671EBB6">
            <w:pPr>
              <w:rPr>
                <w:rFonts w:hint="eastAsia" w:ascii="宋体" w:hAnsi="宋体" w:cs="宋体"/>
                <w:sz w:val="24"/>
                <w:szCs w:val="24"/>
                <w:highlight w:val="none"/>
              </w:rPr>
            </w:pPr>
            <w:r>
              <w:rPr>
                <w:rFonts w:hint="eastAsia" w:ascii="宋体" w:hAnsi="宋体" w:cs="宋体"/>
                <w:sz w:val="24"/>
                <w:szCs w:val="24"/>
                <w:highlight w:val="none"/>
              </w:rPr>
              <w:t>风冷热泵能源数据上报</w:t>
            </w:r>
          </w:p>
        </w:tc>
        <w:tc>
          <w:tcPr>
            <w:tcW w:w="3257" w:type="pct"/>
            <w:shd w:val="clear" w:color="000000" w:fill="FFFFFF"/>
            <w:vAlign w:val="center"/>
          </w:tcPr>
          <w:p w14:paraId="52B7D926">
            <w:pPr>
              <w:rPr>
                <w:rFonts w:hint="eastAsia" w:ascii="宋体" w:hAnsi="宋体" w:cs="宋体"/>
                <w:sz w:val="24"/>
                <w:szCs w:val="24"/>
                <w:highlight w:val="none"/>
              </w:rPr>
            </w:pPr>
            <w:r>
              <w:rPr>
                <w:rFonts w:hint="eastAsia" w:ascii="宋体" w:hAnsi="宋体" w:cs="宋体"/>
                <w:sz w:val="24"/>
                <w:szCs w:val="24"/>
                <w:highlight w:val="none"/>
              </w:rPr>
              <w:t>将所有能源能耗数据及设备运行数据实时上传节能监管平台</w:t>
            </w:r>
          </w:p>
        </w:tc>
      </w:tr>
    </w:tbl>
    <w:p w14:paraId="1E2B0135">
      <w:pPr>
        <w:rPr>
          <w:rFonts w:hint="eastAsia" w:ascii="宋体" w:hAnsi="宋体"/>
          <w:szCs w:val="20"/>
          <w:highlight w:val="none"/>
        </w:rPr>
      </w:pPr>
    </w:p>
    <w:p w14:paraId="678C5299">
      <w:pPr>
        <w:spacing w:line="360" w:lineRule="auto"/>
        <w:rPr>
          <w:rFonts w:hint="eastAsia" w:ascii="宋体" w:hAnsi="宋体"/>
          <w:b/>
          <w:sz w:val="24"/>
          <w:szCs w:val="24"/>
          <w:highlight w:val="none"/>
        </w:rPr>
      </w:pPr>
      <w:r>
        <w:rPr>
          <w:rFonts w:hint="eastAsia" w:ascii="宋体" w:hAnsi="宋体"/>
          <w:b/>
          <w:sz w:val="24"/>
          <w:szCs w:val="24"/>
          <w:highlight w:val="none"/>
        </w:rPr>
        <w:t>13）多联机空调网关</w:t>
      </w:r>
    </w:p>
    <w:p w14:paraId="1DBF78C0">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（1）支持市面上主流多联机空调系统，支持数据采集、数据上报、集中管控等功能。</w:t>
      </w:r>
    </w:p>
    <w:p w14:paraId="685A99F2">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（2）性能指标：</w:t>
      </w:r>
    </w:p>
    <w:p w14:paraId="23F058F6">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电源输入：DC12V</w:t>
      </w:r>
    </w:p>
    <w:p w14:paraId="17221C64">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待机功耗：&lt;2W</w:t>
      </w:r>
    </w:p>
    <w:p w14:paraId="1FB28C56">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以太网接口：1路10/100M以太网</w:t>
      </w:r>
    </w:p>
    <w:p w14:paraId="16FCDF7E">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4G接口：内置4G CAT.1通信模块</w:t>
      </w:r>
    </w:p>
    <w:p w14:paraId="517C19C9">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工作温度：-10~60°C</w:t>
      </w:r>
    </w:p>
    <w:p w14:paraId="48010E18">
      <w:pPr>
        <w:spacing w:line="360" w:lineRule="auto"/>
        <w:rPr>
          <w:rFonts w:hint="eastAsia" w:ascii="宋体" w:hAnsi="宋体"/>
          <w:b/>
          <w:sz w:val="24"/>
          <w:szCs w:val="24"/>
          <w:highlight w:val="none"/>
        </w:rPr>
      </w:pPr>
      <w:r>
        <w:rPr>
          <w:rFonts w:hint="eastAsia" w:ascii="宋体" w:hAnsi="宋体"/>
          <w:b/>
          <w:sz w:val="24"/>
          <w:szCs w:val="24"/>
          <w:highlight w:val="none"/>
        </w:rPr>
        <w:t>14）电计量控制器（大功率型）</w:t>
      </w:r>
    </w:p>
    <w:p w14:paraId="0A6A0085">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①支持电能监测、集中管控、数据上报等功能。</w:t>
      </w:r>
    </w:p>
    <w:p w14:paraId="786C8217">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②性能指标：</w:t>
      </w:r>
    </w:p>
    <w:p w14:paraId="30D8E2B6">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额定电压：220VAC(380VAC)</w:t>
      </w:r>
    </w:p>
    <w:p w14:paraId="45E3EA37">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额定电流：3*5(60)A</w:t>
      </w:r>
    </w:p>
    <w:p w14:paraId="4113B091">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继电器触点负载(阻性)：80A 250VAC</w:t>
      </w:r>
    </w:p>
    <w:p w14:paraId="4E39C07A">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上行通信：4G(CAT1)、1路RS485</w:t>
      </w:r>
    </w:p>
    <w:p w14:paraId="79459D52">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计量精度：2级</w:t>
      </w:r>
    </w:p>
    <w:p w14:paraId="6DDC0125">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工作温度：-10~60°C</w:t>
      </w:r>
    </w:p>
    <w:p w14:paraId="5395939C">
      <w:pPr>
        <w:spacing w:line="360" w:lineRule="auto"/>
        <w:rPr>
          <w:rFonts w:hint="eastAsia" w:ascii="宋体" w:hAnsi="宋体"/>
          <w:b/>
          <w:sz w:val="24"/>
          <w:szCs w:val="24"/>
          <w:highlight w:val="none"/>
        </w:rPr>
      </w:pPr>
      <w:r>
        <w:rPr>
          <w:rFonts w:hint="eastAsia" w:ascii="宋体" w:hAnsi="宋体"/>
          <w:b/>
          <w:sz w:val="24"/>
          <w:szCs w:val="24"/>
          <w:highlight w:val="none"/>
        </w:rPr>
        <w:t>15）电计量控制器（小功率插座型）</w:t>
      </w:r>
    </w:p>
    <w:p w14:paraId="459EDB4F">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①支持电能监测、集中管控、数据上报等功能。</w:t>
      </w:r>
    </w:p>
    <w:p w14:paraId="7AB5C3F5">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②性能指标：</w:t>
      </w:r>
    </w:p>
    <w:p w14:paraId="1909FE61">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额定电压：220VAC</w:t>
      </w:r>
    </w:p>
    <w:p w14:paraId="46841026">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额定电流：5(16)A</w:t>
      </w:r>
    </w:p>
    <w:p w14:paraId="658CB51E">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继电器触点负载(阻性)：16A 250VAC</w:t>
      </w:r>
    </w:p>
    <w:p w14:paraId="3DE79502">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上行通信：4G(CAT1)</w:t>
      </w:r>
    </w:p>
    <w:p w14:paraId="5C12F8C8">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计量精度：2级</w:t>
      </w:r>
    </w:p>
    <w:p w14:paraId="34FA4024">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工作温度：-10~60°C</w:t>
      </w:r>
    </w:p>
    <w:p w14:paraId="340DF440">
      <w:pPr>
        <w:numPr>
          <w:ilvl w:val="0"/>
          <w:numId w:val="1"/>
        </w:numPr>
        <w:spacing w:line="360" w:lineRule="auto"/>
        <w:ind w:firstLine="482"/>
        <w:outlineLvl w:val="1"/>
        <w:rPr>
          <w:rFonts w:hint="eastAsia" w:ascii="宋体" w:hAnsi="宋体"/>
          <w:sz w:val="24"/>
          <w:szCs w:val="24"/>
          <w:highlight w:val="none"/>
        </w:rPr>
      </w:pPr>
      <w:bookmarkStart w:id="195" w:name="_Toc1865324446"/>
      <w:r>
        <w:rPr>
          <w:rFonts w:hint="eastAsia" w:ascii="宋体" w:hAnsi="宋体"/>
          <w:b/>
          <w:sz w:val="24"/>
          <w:szCs w:val="24"/>
          <w:highlight w:val="none"/>
        </w:rPr>
        <w:t>项目验收要求</w:t>
      </w:r>
      <w:bookmarkEnd w:id="195"/>
    </w:p>
    <w:p w14:paraId="4DF08750">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 xml:space="preserve">双方按照如下标准和方式进行综合能源服务项目的验收： </w:t>
      </w:r>
    </w:p>
    <w:p w14:paraId="6A61C21C">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1.验收标准：符合国家或行业相关产品、设计、施工安装和验收规范、标准和要求，并提供相关符合国家规范要求的产品验收报告。</w:t>
      </w:r>
    </w:p>
    <w:p w14:paraId="1DCE5B17">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2.验收模式：合同签订后，中标人按项目要求开展进行实施，采购人可委托监理单位负责质量监督、问题处理和日常协调，并分批次共同对完成情况进行验收，监理费和第三方能源审计服务费由采购人负责。</w:t>
      </w:r>
    </w:p>
    <w:p w14:paraId="6108E864">
      <w:pPr>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3.验收期限：中标人按照项目实施周期要求按期完成相应工作后分批次提请验收，自提请验收之日起15日内，由采购人组织监理单位、公共机构等共同进行验收。</w:t>
      </w:r>
    </w:p>
    <w:p w14:paraId="5F2B25C4">
      <w:pPr>
        <w:spacing w:line="360" w:lineRule="auto"/>
        <w:ind w:firstLine="480" w:firstLineChars="200"/>
        <w:rPr>
          <w:rFonts w:hint="eastAsia" w:ascii="宋体" w:hAnsi="宋体"/>
          <w:sz w:val="24"/>
          <w:szCs w:val="24"/>
          <w:highlight w:val="none"/>
        </w:rPr>
      </w:pPr>
      <w:r>
        <w:rPr>
          <w:rFonts w:hint="eastAsia" w:ascii="宋体" w:hAnsi="宋体"/>
          <w:bCs/>
          <w:sz w:val="24"/>
          <w:szCs w:val="24"/>
          <w:highlight w:val="none"/>
        </w:rPr>
        <w:t>4.如验收结果达不到规定的验收标准的，中标人应负责整改并再次提请验收。采购人收到验收申请后，按照照本条前款规定的标准、模式、期限再次组织验收。</w:t>
      </w:r>
    </w:p>
    <w:p w14:paraId="7ACDEAAC">
      <w:pPr>
        <w:spacing w:line="360" w:lineRule="auto"/>
        <w:ind w:firstLine="482"/>
        <w:outlineLvl w:val="1"/>
        <w:rPr>
          <w:rFonts w:hint="eastAsia" w:ascii="宋体" w:hAnsi="宋体"/>
          <w:b/>
          <w:sz w:val="24"/>
          <w:szCs w:val="24"/>
          <w:highlight w:val="none"/>
        </w:rPr>
      </w:pPr>
      <w:bookmarkStart w:id="196" w:name="_Toc1541685016"/>
      <w:r>
        <w:rPr>
          <w:rFonts w:hint="eastAsia" w:ascii="宋体" w:hAnsi="宋体"/>
          <w:b/>
          <w:sz w:val="24"/>
          <w:szCs w:val="24"/>
          <w:highlight w:val="none"/>
        </w:rPr>
        <w:t>9.托管期内运维管理标准要求</w:t>
      </w:r>
      <w:bookmarkEnd w:id="196"/>
    </w:p>
    <w:p w14:paraId="03289FA2">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运维管理的基本要求为：</w:t>
      </w:r>
    </w:p>
    <w:p w14:paraId="060FEE88">
      <w:pPr>
        <w:numPr>
          <w:ilvl w:val="0"/>
          <w:numId w:val="2"/>
        </w:numPr>
        <w:spacing w:line="360" w:lineRule="auto"/>
        <w:ind w:firstLine="480"/>
        <w:rPr>
          <w:rFonts w:hint="eastAsia" w:ascii="宋体" w:hAnsi="宋体"/>
          <w:bCs/>
          <w:sz w:val="24"/>
          <w:szCs w:val="24"/>
          <w:highlight w:val="none"/>
        </w:rPr>
      </w:pPr>
      <w:r>
        <w:rPr>
          <w:rFonts w:hint="eastAsia" w:ascii="宋体" w:hAnsi="宋体"/>
          <w:bCs/>
          <w:sz w:val="24"/>
          <w:szCs w:val="24"/>
          <w:highlight w:val="none"/>
        </w:rPr>
        <w:t>通过专业化服务，助力客户实现可持续性绿色发展；</w:t>
      </w:r>
    </w:p>
    <w:p w14:paraId="11C87E1C">
      <w:pPr>
        <w:numPr>
          <w:ilvl w:val="0"/>
          <w:numId w:val="2"/>
        </w:numPr>
        <w:spacing w:line="360" w:lineRule="auto"/>
        <w:ind w:firstLine="480"/>
        <w:rPr>
          <w:rFonts w:hint="eastAsia" w:ascii="宋体" w:hAnsi="宋体"/>
          <w:bCs/>
          <w:sz w:val="24"/>
          <w:szCs w:val="24"/>
          <w:highlight w:val="none"/>
        </w:rPr>
      </w:pPr>
      <w:r>
        <w:rPr>
          <w:rFonts w:hint="eastAsia" w:ascii="宋体" w:hAnsi="宋体"/>
          <w:bCs/>
          <w:sz w:val="24"/>
          <w:szCs w:val="24"/>
          <w:highlight w:val="none"/>
        </w:rPr>
        <w:t>通过高品质运维实现既定管理节能收益；</w:t>
      </w:r>
    </w:p>
    <w:p w14:paraId="76D0AB50">
      <w:pPr>
        <w:numPr>
          <w:ilvl w:val="0"/>
          <w:numId w:val="2"/>
        </w:numPr>
        <w:spacing w:line="360" w:lineRule="auto"/>
        <w:ind w:firstLine="480"/>
        <w:rPr>
          <w:rFonts w:hint="eastAsia" w:ascii="宋体" w:hAnsi="宋体"/>
          <w:bCs/>
          <w:sz w:val="24"/>
          <w:szCs w:val="24"/>
          <w:highlight w:val="none"/>
        </w:rPr>
      </w:pPr>
      <w:r>
        <w:rPr>
          <w:rFonts w:hint="eastAsia" w:ascii="宋体" w:hAnsi="宋体"/>
          <w:bCs/>
          <w:sz w:val="24"/>
          <w:szCs w:val="24"/>
          <w:highlight w:val="none"/>
        </w:rPr>
        <w:t>响应及时，保证能源管理“一张网”平台和节能改造设备完好；</w:t>
      </w:r>
    </w:p>
    <w:p w14:paraId="35EE1641">
      <w:pPr>
        <w:numPr>
          <w:ilvl w:val="0"/>
          <w:numId w:val="2"/>
        </w:numPr>
        <w:spacing w:line="360" w:lineRule="auto"/>
        <w:ind w:firstLine="480"/>
        <w:rPr>
          <w:rFonts w:hint="eastAsia" w:ascii="宋体" w:hAnsi="宋体"/>
          <w:bCs/>
          <w:sz w:val="24"/>
          <w:szCs w:val="24"/>
          <w:highlight w:val="none"/>
        </w:rPr>
      </w:pPr>
      <w:r>
        <w:rPr>
          <w:rFonts w:hint="eastAsia" w:ascii="宋体" w:hAnsi="宋体"/>
          <w:bCs/>
          <w:sz w:val="24"/>
          <w:szCs w:val="24"/>
          <w:highlight w:val="none"/>
        </w:rPr>
        <w:t>充分利用AI等技术实现弹性管控，不能以牺牲业主基本用能需求为代价实现节能；</w:t>
      </w:r>
    </w:p>
    <w:p w14:paraId="7EC5574E">
      <w:pPr>
        <w:numPr>
          <w:ilvl w:val="0"/>
          <w:numId w:val="2"/>
        </w:numPr>
        <w:spacing w:line="360" w:lineRule="auto"/>
        <w:ind w:firstLine="480"/>
        <w:rPr>
          <w:rFonts w:hint="eastAsia" w:ascii="宋体" w:hAnsi="宋体"/>
          <w:bCs/>
          <w:sz w:val="24"/>
          <w:szCs w:val="24"/>
          <w:highlight w:val="none"/>
        </w:rPr>
      </w:pPr>
      <w:r>
        <w:rPr>
          <w:rFonts w:hint="eastAsia" w:ascii="宋体" w:hAnsi="宋体"/>
          <w:bCs/>
          <w:sz w:val="24"/>
          <w:szCs w:val="24"/>
          <w:highlight w:val="none"/>
        </w:rPr>
        <w:t>行使好能源管家职能，与业主良性互动，定期提交各类用能报告。</w:t>
      </w:r>
    </w:p>
    <w:p w14:paraId="7793E3D5">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中标人应根据上述基本要求提供《能源托管服务项目运维管理标准》。运维管理标准的执行需与能源管理“一张网”平台的系统功能对应。通过标准化和信息化融合的技术体系实现高品质运维管理。运维管理标准要明确本项目的组织管理架构、运维人员数量及岗位要求、项目实施阶段的工作、项目进入托管期后的日常管理工作如何开展等。</w:t>
      </w:r>
    </w:p>
    <w:p w14:paraId="79BA2309">
      <w:pPr>
        <w:spacing w:line="360" w:lineRule="auto"/>
        <w:ind w:firstLine="482"/>
        <w:outlineLvl w:val="1"/>
        <w:rPr>
          <w:rFonts w:hint="eastAsia" w:ascii="宋体" w:hAnsi="宋体"/>
          <w:b/>
          <w:sz w:val="24"/>
          <w:szCs w:val="24"/>
          <w:highlight w:val="none"/>
        </w:rPr>
      </w:pPr>
      <w:bookmarkStart w:id="197" w:name="_Toc1709862857"/>
      <w:r>
        <w:rPr>
          <w:rFonts w:hint="eastAsia" w:ascii="宋体" w:hAnsi="宋体"/>
          <w:b/>
          <w:sz w:val="24"/>
          <w:szCs w:val="24"/>
          <w:highlight w:val="none"/>
        </w:rPr>
        <w:t>10.施工组织要求</w:t>
      </w:r>
      <w:bookmarkEnd w:id="197"/>
    </w:p>
    <w:p w14:paraId="2C6347A2">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10.1人员组织</w:t>
      </w:r>
    </w:p>
    <w:p w14:paraId="5E7A746D">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供应商应为本项目配备经验丰富的项目团队，团队骨干成员应有能源系统管理、公共建筑节能改造、空调系统运维等相关经验。供应商应保证项目团队的主要人员的稳定性，在未经过采购人同意的情况下，供应商不得随意更换人员。采购人或供应商认为需要更换项目经理或项目团队成员时，均应提早两周向对方申明原因，供应商应同时提出新的符合合同要求的项目经理或项目团队成员人选，经采购人同意并办理交接手续后方可更换。</w:t>
      </w:r>
    </w:p>
    <w:p w14:paraId="23852AD0">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供应商应配备专业技术团队为本项目提供专业技术支持服务，同时专业技术团队应对采购人指派的操作人员进行适当的培训，以使其能承担相应的操作和设施维护要求。合同期内供应商应当确保其工作人员或者其聘请的第三方在项目实施、运行的整个过程中遵守采购人的相关规章制度。</w:t>
      </w:r>
    </w:p>
    <w:p w14:paraId="26E88BED">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供应商应配备专业技术团队为本项目提供专业技术支持服务，专业技术人员应来自不同的专业领域，其中运维保障团队应配备相关专业资格证书（如高压电工、低压电工、高处作业等）。</w:t>
      </w:r>
    </w:p>
    <w:p w14:paraId="5823B04A">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10.2进度管理</w:t>
      </w:r>
    </w:p>
    <w:p w14:paraId="680A56EC">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供应商应有详细计划，明确每个阶段的阶段目标、阶段交付物的成果、验收依据、双方的责任和义务等。节能改造实施方案经采购人同意，供应商应按项目方案文件规定的技术标准和要求以及本合同的规定，在规定时间内完成具体项目的方案设计、建设及验收。</w:t>
      </w:r>
    </w:p>
    <w:p w14:paraId="515CADE1">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10.3风险管理</w:t>
      </w:r>
    </w:p>
    <w:p w14:paraId="7DAD1940">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实际运行过程中，风险随时可能出现，供应商应根据项目实际情况加强风险管理，做好风险的识别，风险的量化分析，制定风险的应对预案。供应商应当确保其工作人员和其聘请的第三方严格遵守采购人有关施工场地安全和卫生等方面的规定，并听从采购人合理的现场指挥。</w:t>
      </w:r>
    </w:p>
    <w:p w14:paraId="3C607E4C">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10.4服务质量</w:t>
      </w:r>
    </w:p>
    <w:p w14:paraId="5AA8BF8F">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供应商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人合理的特有的施工、管理、质量要求。满足采购人对质量的要求。供应商应根据整个项目周期的工作计划，对阶段性工作成果进行审查和测试，并向项目单位提交阶段性工作成果。通过保证各阶段性成果的质量，最终保证整个项目的质量。供应商应针对项目制定详细的质量管理方案。</w:t>
      </w:r>
    </w:p>
    <w:p w14:paraId="3C27EB73">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10.5安全、文明及环保措施</w:t>
      </w:r>
    </w:p>
    <w:p w14:paraId="73670AB6">
      <w:pPr>
        <w:spacing w:line="360" w:lineRule="auto"/>
        <w:ind w:firstLine="480"/>
        <w:rPr>
          <w:rFonts w:hint="eastAsia" w:ascii="宋体" w:hAnsi="宋体"/>
          <w:bCs/>
          <w:sz w:val="24"/>
          <w:szCs w:val="24"/>
          <w:highlight w:val="none"/>
        </w:rPr>
      </w:pPr>
      <w:bookmarkStart w:id="198" w:name="_Toc308032008"/>
      <w:bookmarkStart w:id="199" w:name="_Toc308513313"/>
      <w:bookmarkStart w:id="200" w:name="_Toc448424458"/>
      <w:r>
        <w:rPr>
          <w:rFonts w:hint="eastAsia" w:ascii="宋体" w:hAnsi="宋体"/>
          <w:bCs/>
          <w:sz w:val="24"/>
          <w:szCs w:val="24"/>
          <w:highlight w:val="none"/>
        </w:rPr>
        <w:t>①安全文明目标</w:t>
      </w:r>
      <w:bookmarkEnd w:id="198"/>
      <w:bookmarkEnd w:id="199"/>
      <w:bookmarkEnd w:id="200"/>
    </w:p>
    <w:p w14:paraId="675795A0">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安全文明施工达到国家和地方有关安全生产的法律、法规、规范、标准和规程等的要求，施工现场不发生安全事故。</w:t>
      </w:r>
    </w:p>
    <w:p w14:paraId="08CA2B0C">
      <w:pPr>
        <w:spacing w:line="360" w:lineRule="auto"/>
        <w:ind w:firstLine="480"/>
        <w:rPr>
          <w:rFonts w:hint="eastAsia" w:ascii="宋体" w:hAnsi="宋体"/>
          <w:bCs/>
          <w:sz w:val="24"/>
          <w:szCs w:val="24"/>
          <w:highlight w:val="none"/>
        </w:rPr>
      </w:pPr>
      <w:bookmarkStart w:id="201" w:name="_Toc448424460"/>
      <w:r>
        <w:rPr>
          <w:rFonts w:hint="eastAsia" w:ascii="宋体" w:hAnsi="宋体"/>
          <w:bCs/>
          <w:sz w:val="24"/>
          <w:szCs w:val="24"/>
          <w:highlight w:val="none"/>
        </w:rPr>
        <w:t>②安全文明管理</w:t>
      </w:r>
      <w:bookmarkEnd w:id="201"/>
    </w:p>
    <w:p w14:paraId="77843D9F">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投标人须认真贯彻国家、地方政府和上级劳动保护、安全生产主管部门等颁发的有关安全生产、消防工作的法规、制度、方针、政策，严格执行有关劳动保护法规、条例、规定。</w:t>
      </w:r>
    </w:p>
    <w:p w14:paraId="5927DC76">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安全管理采用投标人负责制，投标人对施工现场和生活区的安全全面负责，施工期间投标人须负责参与工程施工的所有工作人员安全管理。投标人应时刻关注和采取适当措施保障所有在场工作人员的安全，保证工程施工安全，现场施工应当保持有条不紊，并建立应急预案；负责已完工部分工程的保护工作；应做好防雷电、防火等的安全防护工作；应负责提供照明、警卫、警告标志等安全防护措施，承担施工现场和施工人员的治安、环境卫生、防疫、外来人员暂住手续等管理工作和相关费用；若发生任何事故，均由投标人全部负责，与采购人无关，如因此造成采购人损失还应予赔偿。</w:t>
      </w:r>
    </w:p>
    <w:p w14:paraId="0BB17314">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③文明环保</w:t>
      </w:r>
    </w:p>
    <w:p w14:paraId="41BE3CA0">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投标人须遵守环保规范性文件，履行环保社会责任，采取合理的环境保护管理措施。</w:t>
      </w:r>
    </w:p>
    <w:p w14:paraId="4E788169">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10.6文档要求</w:t>
      </w:r>
    </w:p>
    <w:p w14:paraId="24D85EFF">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供应商应依照要求提供服务周期内的各类文档，除特别要求的文档，可采用电子文档的形式；供应商应按照采购人规定的文档格式、文档要求、提交周期准时提交相关文档；供应商应提供所有的文档，主要包括：各项问题分析报告、典型经验总结、系统数据报告、系统数据分析报告、系统的优化建议方案等；除了常规报告类的文档，供应商需按照服务要求提供相关技术方案等临时性文档，还应配合采购人进行相关项目验收的资料准备、各项规章制度的编制、完善等文档类工作。</w:t>
      </w:r>
    </w:p>
    <w:p w14:paraId="30BB61DB">
      <w:pPr>
        <w:spacing w:line="360" w:lineRule="auto"/>
        <w:ind w:firstLine="482"/>
        <w:outlineLvl w:val="1"/>
        <w:rPr>
          <w:rFonts w:hint="eastAsia" w:ascii="宋体" w:hAnsi="宋体"/>
          <w:b/>
          <w:sz w:val="24"/>
          <w:szCs w:val="24"/>
          <w:highlight w:val="none"/>
        </w:rPr>
      </w:pPr>
      <w:bookmarkStart w:id="202" w:name="_Toc38873445"/>
      <w:r>
        <w:rPr>
          <w:rFonts w:hint="eastAsia" w:ascii="宋体" w:hAnsi="宋体"/>
          <w:b/>
          <w:sz w:val="24"/>
          <w:szCs w:val="24"/>
          <w:highlight w:val="none"/>
        </w:rPr>
        <w:t>11.考核要求</w:t>
      </w:r>
      <w:bookmarkEnd w:id="202"/>
    </w:p>
    <w:p w14:paraId="0B182EA0">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服务人员：驻场人员数量不少于5人。</w:t>
      </w:r>
    </w:p>
    <w:p w14:paraId="17A7FFA3">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服务指标：项目服务满意率95%以上；能源消耗量、能源费用、峰谷电比等核心数据维持较好应用水平，并呈现持续改进态势。</w:t>
      </w:r>
    </w:p>
    <w:p w14:paraId="0DFC15E8">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服务时间：提供365天*24小时的不间断运维服务指导，为用户提供最灵活的用能体验。</w:t>
      </w:r>
    </w:p>
    <w:p w14:paraId="2626051B">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故障响应时间：设备发生故障应立即予以响应，2小时到达现场，8小时内修复，因特殊零配件原因48小时内修复，并持续协助故障的最终解答或解决。</w:t>
      </w:r>
    </w:p>
    <w:p w14:paraId="4925C4DB">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项目保障：建立健全项目相关组织构架、设备、系统、记录、创新、奖惩等各环节、多维度的规章制度，并执行到位。</w:t>
      </w:r>
    </w:p>
    <w:p w14:paraId="63F3A14E">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供暖、供冷质量：根据《江苏省公共机构节能管理办法》等规定，除有特殊温度要求的区域外，室内空调温度的设置，夏季不低于二十六摄氏度，冬季不高于二十摄氏度。</w:t>
      </w:r>
    </w:p>
    <w:p w14:paraId="7B235693">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供暖、供冷周期：</w:t>
      </w:r>
    </w:p>
    <w:p w14:paraId="34FCDCD8">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 xml:space="preserve">空调集中供冷条件如下： </w:t>
      </w:r>
    </w:p>
    <w:p w14:paraId="30B6E144">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 xml:space="preserve">a） 供冷开始条件：室外最高气温连续 3 天&gt;28 ℃或当天&gt;31 ℃； </w:t>
      </w:r>
    </w:p>
    <w:p w14:paraId="3A59E2A1">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 xml:space="preserve">b） 供冷结束条件：室外最高气温连续 3 天&lt;27 ℃或当天&lt;24 ℃； </w:t>
      </w:r>
    </w:p>
    <w:p w14:paraId="3BDDED69">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 xml:space="preserve">c） 供冷时，室内温度范围 26 ℃±2 ℃。 </w:t>
      </w:r>
    </w:p>
    <w:p w14:paraId="779A2951">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 xml:space="preserve">空调集中供暖条件如下： </w:t>
      </w:r>
    </w:p>
    <w:p w14:paraId="28B69DF7">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 xml:space="preserve">a） 供暖开始条件：室外最低气温连续 3 天&lt;13 ℃或当天&lt;10 ℃； </w:t>
      </w:r>
    </w:p>
    <w:p w14:paraId="65011EFB">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 xml:space="preserve">b） 供暖结束条件：室外最低气温连续 3 天&gt;17 ℃或当天&gt;20 ℃； </w:t>
      </w:r>
    </w:p>
    <w:p w14:paraId="0ECB2AA6">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 xml:space="preserve">c） 供暖时，室内温度范围 18 ℃±2 ℃。 </w:t>
      </w:r>
    </w:p>
    <w:p w14:paraId="34C6C6AC">
      <w:pPr>
        <w:spacing w:line="360" w:lineRule="auto"/>
        <w:ind w:firstLine="480"/>
        <w:rPr>
          <w:rFonts w:hint="eastAsia" w:ascii="宋体" w:hAnsi="宋体"/>
          <w:bCs/>
          <w:sz w:val="24"/>
          <w:szCs w:val="24"/>
          <w:highlight w:val="none"/>
        </w:rPr>
      </w:pPr>
      <w:r>
        <w:rPr>
          <w:rFonts w:hint="eastAsia" w:ascii="宋体" w:hAnsi="宋体" w:cs="宋体"/>
          <w:b/>
          <w:sz w:val="24"/>
          <w:szCs w:val="24"/>
          <w:highlight w:val="none"/>
          <w:u w:val="single"/>
        </w:rPr>
        <w:t>可按照本地气候情况和特殊用能需求进行另行约定</w:t>
      </w:r>
      <w:r>
        <w:rPr>
          <w:rFonts w:hint="eastAsia" w:ascii="宋体" w:hAnsi="宋体"/>
          <w:bCs/>
          <w:sz w:val="24"/>
          <w:szCs w:val="24"/>
          <w:highlight w:val="none"/>
        </w:rPr>
        <w:t>。</w:t>
      </w:r>
    </w:p>
    <w:p w14:paraId="0E6A3484">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质量要求：符合国家相关技术规范和要求。</w:t>
      </w:r>
    </w:p>
    <w:p w14:paraId="1F36CD16">
      <w:pPr>
        <w:spacing w:line="360" w:lineRule="auto"/>
        <w:ind w:firstLine="482"/>
        <w:outlineLvl w:val="1"/>
        <w:rPr>
          <w:rFonts w:hint="eastAsia" w:ascii="宋体" w:hAnsi="宋体"/>
          <w:b/>
          <w:sz w:val="24"/>
          <w:szCs w:val="24"/>
          <w:highlight w:val="none"/>
        </w:rPr>
      </w:pPr>
      <w:bookmarkStart w:id="203" w:name="_Toc510961427"/>
      <w:r>
        <w:rPr>
          <w:rFonts w:hint="eastAsia" w:ascii="宋体" w:hAnsi="宋体"/>
          <w:b/>
          <w:sz w:val="24"/>
          <w:szCs w:val="24"/>
          <w:highlight w:val="none"/>
        </w:rPr>
        <w:t>12.其他要求</w:t>
      </w:r>
      <w:bookmarkEnd w:id="203"/>
    </w:p>
    <w:p w14:paraId="5E291F8A">
      <w:pPr>
        <w:spacing w:line="360" w:lineRule="auto"/>
        <w:ind w:firstLine="480"/>
        <w:rPr>
          <w:rFonts w:hint="eastAsia" w:ascii="宋体" w:hAnsi="宋体" w:cs="宋体"/>
          <w:b/>
          <w:sz w:val="24"/>
          <w:szCs w:val="24"/>
          <w:highlight w:val="none"/>
          <w:u w:val="single"/>
        </w:rPr>
      </w:pPr>
      <w:r>
        <w:rPr>
          <w:rFonts w:hint="eastAsia" w:ascii="宋体" w:hAnsi="宋体"/>
          <w:bCs/>
          <w:sz w:val="24"/>
          <w:szCs w:val="24"/>
          <w:highlight w:val="none"/>
        </w:rPr>
        <w:t>12.1</w:t>
      </w:r>
      <w:r>
        <w:rPr>
          <w:rFonts w:hint="eastAsia" w:ascii="宋体" w:hAnsi="宋体" w:cs="宋体"/>
          <w:b/>
          <w:sz w:val="24"/>
          <w:szCs w:val="24"/>
          <w:highlight w:val="none"/>
          <w:u w:val="single"/>
        </w:rPr>
        <w:t>中标人新增设备的质量问题及维保工作由中标人负责。中标人委托设备生产厂家以及生产厂家指定的维保机构以外的第三方机构，负责维保及日常性维护等工作的，应当书面征得采购人同意。</w:t>
      </w:r>
    </w:p>
    <w:p w14:paraId="57AEB571">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12.2合同期满后，</w:t>
      </w:r>
      <w:r>
        <w:rPr>
          <w:rFonts w:hint="eastAsia"/>
          <w:sz w:val="24"/>
          <w:szCs w:val="20"/>
          <w:highlight w:val="none"/>
        </w:rPr>
        <w:t>中标人应将其投资形成的有形资产无偿向采购人移交，同时需移交投资、验收、运行等相关的全部文件资料。有形资产移交之前由中标人主导，采购人参与，双方共同对用能系统进行一次全面检修。合同内改造项目检修费用由中标人承担。</w:t>
      </w:r>
    </w:p>
    <w:p w14:paraId="0497A8C2">
      <w:pPr>
        <w:spacing w:line="360" w:lineRule="auto"/>
        <w:ind w:firstLine="420"/>
        <w:rPr>
          <w:rFonts w:hint="eastAsia" w:ascii="宋体" w:hAnsi="宋体"/>
          <w:bCs/>
          <w:sz w:val="24"/>
          <w:szCs w:val="24"/>
          <w:highlight w:val="none"/>
        </w:rPr>
      </w:pPr>
      <w:r>
        <w:rPr>
          <w:rFonts w:hint="eastAsia" w:ascii="宋体" w:hAnsi="宋体"/>
          <w:bCs/>
          <w:sz w:val="24"/>
          <w:szCs w:val="24"/>
          <w:highlight w:val="none"/>
        </w:rPr>
        <w:t>12.3中标人应为本项目配备经验丰富的项目团队，团队骨干成员应有能源系统管理、公共建筑节能改造、空调系统运维等相关经验。中标人应保证项目团队的主要人员的稳定性，在未经过采购人同意的情况下，中标人不得随意更换人员。采购人或中标人认为需要更换项目经理或项目团队成员时，均应提早两周向对方申明原因，中标人应同时提出新的符合合同要求的项目经理或项目团队成员人选，经采购人同意并办理交接手续后方可更换。</w:t>
      </w:r>
    </w:p>
    <w:p w14:paraId="0DF1BFC3">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12.4中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人合理的特有的施工、管理、质量要求。满足采购人对质量的要求。中标人应根据整个项目周期的工作计划，对阶段性工作成果进行审查和测试，并向项目单位提交阶段性工作成果。通过保证各阶段性成果的质量，最终保证整个项目的质量。中标人应针对项目制定详细的质量管理方案。</w:t>
      </w:r>
    </w:p>
    <w:p w14:paraId="63595FC1">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12.5中标人必须严格遵守采购人信息安全方面的要求。对于参与项目的人员均需要签订统一的信息保密协议。中标人应对以下信息进行保密，具体包括：项目信息：如业务流程、技术方案、业务数据（静态数据、动态数据、历史数据）、报表指标、技术指标、计算机软件、数据库、操作手册、技术资料等。保密信息既包括书面认定为保密或专有的，又包括口头给予，随即被书面确认为保密或专有的信息。保密信息存储介质包括但不限于纸质文档、电子文档、光盘、U盘、服务器等文档。</w:t>
      </w:r>
    </w:p>
    <w:bookmarkEnd w:id="180"/>
    <w:p w14:paraId="5CAF312D">
      <w:pPr>
        <w:widowControl/>
        <w:spacing w:line="336" w:lineRule="auto"/>
        <w:ind w:firstLine="482"/>
        <w:jc w:val="left"/>
        <w:rPr>
          <w:rFonts w:hint="eastAsia" w:ascii="宋体" w:hAnsi="宋体" w:cs="宋体"/>
          <w:b/>
          <w:bCs/>
          <w:sz w:val="24"/>
          <w:szCs w:val="24"/>
          <w:highlight w:val="none"/>
        </w:rPr>
      </w:pPr>
      <w:r>
        <w:rPr>
          <w:rFonts w:hint="eastAsia" w:ascii="宋体" w:hAnsi="宋体" w:cs="宋体"/>
          <w:b/>
          <w:bCs/>
          <w:sz w:val="24"/>
          <w:szCs w:val="24"/>
          <w:highlight w:val="none"/>
        </w:rPr>
        <w:t>采购标的对应的中小企业划分标准所属行业一览表</w:t>
      </w:r>
    </w:p>
    <w:tbl>
      <w:tblPr>
        <w:tblStyle w:val="22"/>
        <w:tblW w:w="9326"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4951"/>
        <w:gridCol w:w="3545"/>
      </w:tblGrid>
      <w:tr w14:paraId="65600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blCellSpacing w:w="0" w:type="dxa"/>
          <w:jc w:val="center"/>
        </w:trPr>
        <w:tc>
          <w:tcPr>
            <w:tcW w:w="830" w:type="dxa"/>
            <w:vAlign w:val="center"/>
          </w:tcPr>
          <w:p w14:paraId="24D7FF39">
            <w:pPr>
              <w:pStyle w:val="18"/>
              <w:spacing w:beforeAutospacing="0" w:afterAutospacing="0"/>
              <w:jc w:val="center"/>
              <w:rPr>
                <w:rFonts w:hint="eastAsia"/>
                <w:sz w:val="21"/>
                <w:szCs w:val="20"/>
                <w:highlight w:val="none"/>
              </w:rPr>
            </w:pPr>
            <w:r>
              <w:rPr>
                <w:rFonts w:hint="eastAsia"/>
                <w:sz w:val="21"/>
                <w:szCs w:val="20"/>
                <w:highlight w:val="none"/>
              </w:rPr>
              <w:t>序号</w:t>
            </w:r>
          </w:p>
        </w:tc>
        <w:tc>
          <w:tcPr>
            <w:tcW w:w="4951" w:type="dxa"/>
            <w:vAlign w:val="center"/>
          </w:tcPr>
          <w:p w14:paraId="50BE3E07">
            <w:pPr>
              <w:pStyle w:val="18"/>
              <w:spacing w:beforeAutospacing="0" w:afterAutospacing="0"/>
              <w:jc w:val="center"/>
              <w:rPr>
                <w:rFonts w:hint="eastAsia"/>
                <w:sz w:val="21"/>
                <w:szCs w:val="20"/>
                <w:highlight w:val="none"/>
              </w:rPr>
            </w:pPr>
            <w:r>
              <w:rPr>
                <w:rFonts w:hint="eastAsia"/>
                <w:sz w:val="21"/>
                <w:szCs w:val="20"/>
                <w:highlight w:val="none"/>
              </w:rPr>
              <w:t>采购标的</w:t>
            </w:r>
          </w:p>
        </w:tc>
        <w:tc>
          <w:tcPr>
            <w:tcW w:w="3545" w:type="dxa"/>
            <w:vAlign w:val="center"/>
          </w:tcPr>
          <w:p w14:paraId="474805E0">
            <w:pPr>
              <w:pStyle w:val="18"/>
              <w:spacing w:beforeAutospacing="0" w:afterAutospacing="0"/>
              <w:jc w:val="center"/>
              <w:rPr>
                <w:rFonts w:hint="eastAsia"/>
                <w:sz w:val="21"/>
                <w:szCs w:val="20"/>
                <w:highlight w:val="none"/>
              </w:rPr>
            </w:pPr>
            <w:r>
              <w:rPr>
                <w:rFonts w:hint="eastAsia"/>
                <w:sz w:val="21"/>
                <w:szCs w:val="20"/>
                <w:highlight w:val="none"/>
              </w:rPr>
              <w:t>对应中小企业划分标准所属行业</w:t>
            </w:r>
          </w:p>
        </w:tc>
      </w:tr>
      <w:tr w14:paraId="707D7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blCellSpacing w:w="0" w:type="dxa"/>
          <w:jc w:val="center"/>
        </w:trPr>
        <w:tc>
          <w:tcPr>
            <w:tcW w:w="830" w:type="dxa"/>
            <w:vAlign w:val="center"/>
          </w:tcPr>
          <w:p w14:paraId="31A753D2">
            <w:pPr>
              <w:pStyle w:val="18"/>
              <w:spacing w:beforeAutospacing="0" w:afterAutospacing="0"/>
              <w:jc w:val="center"/>
              <w:rPr>
                <w:rFonts w:hint="eastAsia"/>
                <w:sz w:val="21"/>
                <w:szCs w:val="20"/>
                <w:highlight w:val="none"/>
              </w:rPr>
            </w:pPr>
            <w:r>
              <w:rPr>
                <w:rFonts w:hint="eastAsia"/>
                <w:sz w:val="21"/>
                <w:szCs w:val="20"/>
                <w:highlight w:val="none"/>
              </w:rPr>
              <w:t>1</w:t>
            </w:r>
          </w:p>
        </w:tc>
        <w:tc>
          <w:tcPr>
            <w:tcW w:w="4951" w:type="dxa"/>
            <w:vAlign w:val="center"/>
          </w:tcPr>
          <w:p w14:paraId="4582E6D1">
            <w:pPr>
              <w:pStyle w:val="18"/>
              <w:spacing w:before="0" w:beforeAutospacing="0" w:after="0" w:afterAutospacing="0"/>
              <w:jc w:val="center"/>
              <w:rPr>
                <w:rFonts w:hint="eastAsia"/>
                <w:sz w:val="21"/>
                <w:szCs w:val="20"/>
                <w:highlight w:val="none"/>
              </w:rPr>
            </w:pPr>
            <w:r>
              <w:rPr>
                <w:rFonts w:hint="eastAsia"/>
                <w:highlight w:val="none"/>
              </w:rPr>
              <w:t>盐城市大丰区公共机构能源费用托管服务采购项目</w:t>
            </w:r>
          </w:p>
        </w:tc>
        <w:tc>
          <w:tcPr>
            <w:tcW w:w="3545" w:type="dxa"/>
            <w:vAlign w:val="center"/>
          </w:tcPr>
          <w:p w14:paraId="0026C369">
            <w:pPr>
              <w:pStyle w:val="18"/>
              <w:spacing w:beforeAutospacing="0" w:afterAutospacing="0"/>
              <w:jc w:val="center"/>
              <w:rPr>
                <w:rFonts w:hint="eastAsia"/>
                <w:sz w:val="21"/>
                <w:szCs w:val="20"/>
                <w:highlight w:val="none"/>
              </w:rPr>
            </w:pPr>
            <w:r>
              <w:rPr>
                <w:rFonts w:hint="eastAsia"/>
                <w:sz w:val="21"/>
                <w:szCs w:val="20"/>
                <w:highlight w:val="none"/>
              </w:rPr>
              <w:t>其他未列明行业</w:t>
            </w:r>
          </w:p>
        </w:tc>
      </w:tr>
    </w:tbl>
    <w:p w14:paraId="380677D6">
      <w:pPr>
        <w:jc w:val="left"/>
        <w:rPr>
          <w:b/>
          <w:sz w:val="44"/>
          <w:szCs w:val="44"/>
          <w:highlight w:val="none"/>
        </w:rPr>
      </w:pPr>
    </w:p>
    <w:p w14:paraId="6D6DDCE4">
      <w:pPr>
        <w:pageBreakBefore/>
        <w:spacing w:line="520" w:lineRule="exact"/>
        <w:jc w:val="center"/>
        <w:outlineLvl w:val="0"/>
        <w:rPr>
          <w:b/>
          <w:sz w:val="44"/>
          <w:szCs w:val="44"/>
          <w:highlight w:val="none"/>
        </w:rPr>
      </w:pPr>
      <w:bookmarkStart w:id="204" w:name="_Toc2089082883"/>
      <w:r>
        <w:rPr>
          <w:rFonts w:hint="eastAsia"/>
          <w:b/>
          <w:sz w:val="44"/>
          <w:szCs w:val="44"/>
          <w:highlight w:val="none"/>
        </w:rPr>
        <w:t>第四章  评标办法及评分标准</w:t>
      </w:r>
      <w:bookmarkEnd w:id="174"/>
      <w:bookmarkEnd w:id="175"/>
      <w:bookmarkEnd w:id="176"/>
      <w:bookmarkEnd w:id="204"/>
    </w:p>
    <w:p w14:paraId="35672814">
      <w:pPr>
        <w:rPr>
          <w:highlight w:val="none"/>
        </w:rPr>
      </w:pPr>
    </w:p>
    <w:p w14:paraId="64AA6C41">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一、定标原则</w:t>
      </w:r>
    </w:p>
    <w:p w14:paraId="2A8C8A5A">
      <w:pPr>
        <w:spacing w:line="360" w:lineRule="auto"/>
        <w:ind w:firstLine="480"/>
        <w:rPr>
          <w:rFonts w:hint="eastAsia" w:ascii="宋体" w:hAnsi="宋体" w:cs="宋体"/>
          <w:sz w:val="24"/>
          <w:szCs w:val="24"/>
          <w:highlight w:val="none"/>
        </w:rPr>
      </w:pPr>
      <w:r>
        <w:rPr>
          <w:rFonts w:hint="eastAsia" w:ascii="宋体" w:hAnsi="宋体" w:cs="宋体"/>
          <w:bCs/>
          <w:sz w:val="24"/>
          <w:szCs w:val="24"/>
          <w:highlight w:val="none"/>
        </w:rPr>
        <w:t>本项目采用</w:t>
      </w:r>
      <w:r>
        <w:rPr>
          <w:rFonts w:hint="eastAsia" w:ascii="宋体" w:hAnsi="宋体" w:cs="宋体"/>
          <w:bCs/>
          <w:sz w:val="24"/>
          <w:szCs w:val="24"/>
          <w:highlight w:val="none"/>
          <w:u w:val="single"/>
        </w:rPr>
        <w:t xml:space="preserve"> 综合评分</w:t>
      </w:r>
      <w:r>
        <w:rPr>
          <w:rFonts w:hint="eastAsia" w:ascii="宋体" w:hAnsi="宋体" w:cs="宋体"/>
          <w:bCs/>
          <w:sz w:val="24"/>
          <w:szCs w:val="24"/>
          <w:highlight w:val="none"/>
        </w:rPr>
        <w:t>法。</w:t>
      </w:r>
      <w:r>
        <w:rPr>
          <w:rFonts w:hint="eastAsia" w:ascii="宋体" w:hAnsi="宋体" w:cs="宋体"/>
          <w:sz w:val="24"/>
          <w:szCs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rPr>
          <w:rFonts w:hint="eastAsia" w:ascii="宋体" w:hAnsi="宋体" w:cs="宋体"/>
          <w:b/>
          <w:bCs/>
          <w:sz w:val="24"/>
          <w:szCs w:val="24"/>
          <w:highlight w:val="none"/>
        </w:rPr>
        <w:t>。</w:t>
      </w:r>
    </w:p>
    <w:p w14:paraId="7D47DB7D">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二、对投标文件的初审</w:t>
      </w:r>
    </w:p>
    <w:p w14:paraId="7097129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投标文件初审分为资格审查和符合性审查。</w:t>
      </w:r>
    </w:p>
    <w:p w14:paraId="45DA0C38">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2.1资格审查</w:t>
      </w:r>
    </w:p>
    <w:p w14:paraId="3C624C9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开标结束后，采购人或者采购代理机构依法对投标人的资格进行审查。</w:t>
      </w:r>
    </w:p>
    <w:p w14:paraId="763BD68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审查投标文件中的资格、资信证明文件等，以确定投标人是否具备投标资格。（资格审查需提供的材料详见《资格信誉等证明文件要求》）</w:t>
      </w:r>
    </w:p>
    <w:p w14:paraId="5705D819">
      <w:pPr>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2.2符合性审查</w:t>
      </w:r>
    </w:p>
    <w:p w14:paraId="3D7EA26D">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1.评标委员会对符合资格的投标人的投标文件进行符合性审查。</w:t>
      </w:r>
    </w:p>
    <w:p w14:paraId="4674688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2.依据招标文件的规定，从投标文件的有效性、完整性和对招标文件的响应程度进行审查，以确定其是否满足招标文件的实质性要求。</w:t>
      </w:r>
    </w:p>
    <w:p w14:paraId="729561AE">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3.明确响应的投标应该是与招标文件要求的全部条款、条件和规格相符，没有重大偏离或保留的投标。</w:t>
      </w:r>
    </w:p>
    <w:p w14:paraId="66720BE4">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p>
    <w:p w14:paraId="4526C2EE">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5.如果投标文件没有明确响应招标文件的要求，评标委员会将按无效投标处理，投标人不得通过修改或撤销不符合要求的偏离或保留而使其投标成为明确响应的投标。</w:t>
      </w:r>
    </w:p>
    <w:p w14:paraId="6153C58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6.评标委员会将对确定为明确响应的投标进行进一步审核，投标文件报价出现前后不一致的，除招标文件另有规定外，按照下列规定修正：</w:t>
      </w:r>
    </w:p>
    <w:p w14:paraId="69EF076D">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7.投标文件中开标一览表内容与投标文件中相应内容不一致的，以开标一览表为准；</w:t>
      </w:r>
    </w:p>
    <w:p w14:paraId="754F9DF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8.大写金额和小写金额不一致的，以大写金额为准；</w:t>
      </w:r>
    </w:p>
    <w:p w14:paraId="7FE9192A">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9.单价金额小数点或者百分比有明显错位的，以开标一览表的总价为准，并修改单价；</w:t>
      </w:r>
    </w:p>
    <w:p w14:paraId="3965A9F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10.总价金额与按单价汇总金额不一致的，以单价金额计算结果为准。</w:t>
      </w:r>
    </w:p>
    <w:p w14:paraId="16ABB9BD">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11.评标委员会将按上述修正错误的方法调整投标文件中的投标报价，修正后的报价应当采用书面形式，并加盖公章，或者由法定代表人或其授权的代表签字，经投标人确认后产生约束力，投标人不确认的，其投标无效。</w:t>
      </w:r>
    </w:p>
    <w:p w14:paraId="16FEB005">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B20B575">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45C0EA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14.非单一产品采购，采购人根据采购项目技术构成、产品价格比重等合理确定核心产品，并在招标文件中载明。多家投标人提供的核心产品品牌相同的按上述规定处理。</w:t>
      </w:r>
    </w:p>
    <w:p w14:paraId="35ECA596">
      <w:pPr>
        <w:widowControl/>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三、</w:t>
      </w:r>
      <w:r>
        <w:rPr>
          <w:rFonts w:hint="eastAsia" w:ascii="宋体" w:hAnsi="宋体" w:cs="宋体"/>
          <w:sz w:val="24"/>
          <w:szCs w:val="24"/>
          <w:highlight w:val="none"/>
        </w:rPr>
        <w:t>评分标准</w:t>
      </w:r>
    </w:p>
    <w:p w14:paraId="13886C3D">
      <w:pPr>
        <w:widowControl/>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3.1政府采购政策功能落实</w:t>
      </w:r>
    </w:p>
    <w:p w14:paraId="54B25ED0">
      <w:pPr>
        <w:widowControl/>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3.1.1、小微型企业价格扣除</w:t>
      </w:r>
    </w:p>
    <w:p w14:paraId="5BDD584A">
      <w:pPr>
        <w:widowControl/>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（1）本项目对小型和微型企业产品给予20%的扣除价格，用扣除后的价格参与评审。大中型企业与小微企业组成联合体或者大中型企业向小微企业分包的，给予6%的扣除价格，用扣除后的价格参与评审。</w:t>
      </w:r>
    </w:p>
    <w:p w14:paraId="20A1FB7F">
      <w:pPr>
        <w:widowControl/>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（2）供应商需按照采购文件的要求提供相应的《企业声明函》。</w:t>
      </w:r>
    </w:p>
    <w:p w14:paraId="5EB1834E">
      <w:pPr>
        <w:widowControl/>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（3）企业标准请参照《关于印发中小企业划型标准规定的通知》（工信部联企业[2011]300号）文件规定自行填写。</w:t>
      </w:r>
    </w:p>
    <w:p w14:paraId="48481644">
      <w:pPr>
        <w:widowControl/>
        <w:spacing w:line="360" w:lineRule="auto"/>
        <w:ind w:firstLine="482"/>
        <w:rPr>
          <w:rFonts w:hint="eastAsia" w:ascii="宋体" w:hAnsi="宋体" w:cs="宋体"/>
          <w:b/>
          <w:bCs/>
          <w:sz w:val="24"/>
          <w:szCs w:val="24"/>
          <w:highlight w:val="none"/>
        </w:rPr>
      </w:pPr>
      <w:r>
        <w:rPr>
          <w:rFonts w:hint="eastAsia" w:ascii="宋体" w:hAnsi="宋体" w:cs="宋体"/>
          <w:b/>
          <w:bCs/>
          <w:sz w:val="24"/>
          <w:szCs w:val="24"/>
          <w:highlight w:val="none"/>
        </w:rPr>
        <w:t>（4）在货物采购项目中，供应商提供的货物既有中小企业制造货物，也有大型企业制造货物的，不享受本办法规定的中小企业扶持政策。</w:t>
      </w:r>
    </w:p>
    <w:p w14:paraId="00005CD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3.1.2、残疾人福利单位价格扣除</w:t>
      </w:r>
    </w:p>
    <w:p w14:paraId="489F0B59">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（1）本项目对残疾人福利性单位视同小型、微型企业，给予20%的价格扣除，用扣除后的价格参与评审。</w:t>
      </w:r>
    </w:p>
    <w:p w14:paraId="5D0F86D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（2）残疾人福利单位需按照采购文件的要求提供《残疾人福利性单位声明函》。</w:t>
      </w:r>
    </w:p>
    <w:p w14:paraId="0A688BA9">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（3）残疾人福利单位标准请参照《关于促进残疾人就业政府采购政策的通知》（财库〔2017〕141号）。</w:t>
      </w:r>
    </w:p>
    <w:p w14:paraId="7B262FD9">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3.1.2、监狱和戒毒企业价格扣除</w:t>
      </w:r>
    </w:p>
    <w:p w14:paraId="4274B10C">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（1）本项目对监狱和戒毒企业（简称监狱企业）视同小型、微型企业，给予20%的价格扣除，用扣除后的价格参与评审。</w:t>
      </w:r>
    </w:p>
    <w:p w14:paraId="1AAFCB4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0EF51CE9">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（3）监狱企业标准请参照《关于政府采购支持监狱企业发展有关问题的通知》（财库[2014]68号）。</w:t>
      </w:r>
    </w:p>
    <w:p w14:paraId="7D9E81E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4.1、残疾人福利单位、监狱企业属于小型、微型企业的，不重复享受政策。</w:t>
      </w:r>
    </w:p>
    <w:p w14:paraId="48276A73">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3.2、评标标准</w:t>
      </w:r>
    </w:p>
    <w:tbl>
      <w:tblPr>
        <w:tblStyle w:val="22"/>
        <w:tblpPr w:leftFromText="180" w:rightFromText="180" w:vertAnchor="text" w:horzAnchor="page" w:tblpX="1609" w:tblpY="465"/>
        <w:tblOverlap w:val="never"/>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080"/>
        <w:gridCol w:w="642"/>
        <w:gridCol w:w="7067"/>
      </w:tblGrid>
      <w:tr w14:paraId="6CBB7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75" w:type="dxa"/>
            <w:shd w:val="clear" w:color="auto" w:fill="auto"/>
            <w:vAlign w:val="center"/>
          </w:tcPr>
          <w:p w14:paraId="241536D9">
            <w:pPr>
              <w:widowControl/>
              <w:jc w:val="center"/>
              <w:rPr>
                <w:rFonts w:hint="eastAsia" w:ascii="宋体" w:hAnsi="宋体" w:cs="宋体"/>
                <w:b/>
                <w:bCs/>
                <w:highlight w:val="none"/>
              </w:rPr>
            </w:pPr>
            <w:r>
              <w:rPr>
                <w:rFonts w:hint="eastAsia" w:ascii="宋体" w:hAnsi="宋体" w:cs="宋体"/>
                <w:b/>
                <w:bCs/>
                <w:highlight w:val="none"/>
              </w:rPr>
              <w:t>序号</w:t>
            </w:r>
          </w:p>
        </w:tc>
        <w:tc>
          <w:tcPr>
            <w:tcW w:w="1080" w:type="dxa"/>
            <w:shd w:val="clear" w:color="auto" w:fill="auto"/>
            <w:vAlign w:val="center"/>
          </w:tcPr>
          <w:p w14:paraId="0170FE90">
            <w:pPr>
              <w:widowControl/>
              <w:jc w:val="center"/>
              <w:rPr>
                <w:rFonts w:hint="eastAsia" w:ascii="宋体" w:hAnsi="宋体" w:cs="宋体"/>
                <w:b/>
                <w:bCs/>
                <w:highlight w:val="none"/>
              </w:rPr>
            </w:pPr>
            <w:r>
              <w:rPr>
                <w:rFonts w:hint="eastAsia" w:ascii="宋体" w:hAnsi="宋体" w:cs="宋体"/>
                <w:b/>
                <w:bCs/>
                <w:highlight w:val="none"/>
              </w:rPr>
              <w:t>评分因素</w:t>
            </w:r>
          </w:p>
        </w:tc>
        <w:tc>
          <w:tcPr>
            <w:tcW w:w="642" w:type="dxa"/>
            <w:shd w:val="clear" w:color="auto" w:fill="auto"/>
            <w:vAlign w:val="center"/>
          </w:tcPr>
          <w:p w14:paraId="61856A7B">
            <w:pPr>
              <w:widowControl/>
              <w:jc w:val="center"/>
              <w:rPr>
                <w:rFonts w:hint="eastAsia" w:ascii="宋体" w:hAnsi="宋体" w:cs="宋体"/>
                <w:b/>
                <w:bCs/>
                <w:highlight w:val="none"/>
              </w:rPr>
            </w:pPr>
            <w:r>
              <w:rPr>
                <w:rFonts w:hint="eastAsia" w:ascii="宋体" w:hAnsi="宋体" w:cs="宋体"/>
                <w:b/>
                <w:bCs/>
                <w:highlight w:val="none"/>
              </w:rPr>
              <w:t>分值</w:t>
            </w:r>
          </w:p>
        </w:tc>
        <w:tc>
          <w:tcPr>
            <w:tcW w:w="7067" w:type="dxa"/>
            <w:shd w:val="clear" w:color="auto" w:fill="auto"/>
            <w:vAlign w:val="center"/>
          </w:tcPr>
          <w:p w14:paraId="68B5573A">
            <w:pPr>
              <w:widowControl/>
              <w:jc w:val="center"/>
              <w:rPr>
                <w:rFonts w:hint="eastAsia" w:ascii="宋体" w:hAnsi="宋体" w:cs="宋体"/>
                <w:b/>
                <w:bCs/>
                <w:highlight w:val="none"/>
              </w:rPr>
            </w:pPr>
            <w:r>
              <w:rPr>
                <w:rFonts w:hint="eastAsia" w:ascii="宋体" w:hAnsi="宋体" w:cs="宋体"/>
                <w:b/>
                <w:bCs/>
                <w:highlight w:val="none"/>
              </w:rPr>
              <w:t>评分标准</w:t>
            </w:r>
          </w:p>
        </w:tc>
      </w:tr>
      <w:tr w14:paraId="4783C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75" w:type="dxa"/>
            <w:shd w:val="clear" w:color="auto" w:fill="auto"/>
            <w:vAlign w:val="center"/>
          </w:tcPr>
          <w:p w14:paraId="405112CE">
            <w:pPr>
              <w:widowControl/>
              <w:jc w:val="center"/>
              <w:rPr>
                <w:rFonts w:hint="eastAsia" w:ascii="宋体" w:hAnsi="宋体" w:cs="宋体"/>
                <w:b/>
                <w:bCs/>
                <w:highlight w:val="none"/>
              </w:rPr>
            </w:pPr>
            <w:r>
              <w:rPr>
                <w:rFonts w:hint="eastAsia" w:ascii="宋体" w:hAnsi="宋体" w:cs="宋体"/>
                <w:b/>
                <w:bCs/>
                <w:highlight w:val="none"/>
              </w:rPr>
              <w:t>一</w:t>
            </w:r>
          </w:p>
        </w:tc>
        <w:tc>
          <w:tcPr>
            <w:tcW w:w="8789" w:type="dxa"/>
            <w:gridSpan w:val="3"/>
            <w:shd w:val="clear" w:color="auto" w:fill="auto"/>
            <w:vAlign w:val="center"/>
          </w:tcPr>
          <w:p w14:paraId="192C8001">
            <w:pPr>
              <w:widowControl/>
              <w:jc w:val="left"/>
              <w:rPr>
                <w:rFonts w:hint="eastAsia" w:ascii="宋体" w:hAnsi="宋体" w:cs="宋体"/>
                <w:highlight w:val="none"/>
              </w:rPr>
            </w:pPr>
            <w:r>
              <w:rPr>
                <w:rFonts w:hint="eastAsia" w:ascii="宋体" w:hAnsi="宋体" w:cs="宋体"/>
                <w:highlight w:val="none"/>
              </w:rPr>
              <w:t>价格（10分）</w:t>
            </w:r>
          </w:p>
        </w:tc>
      </w:tr>
      <w:tr w14:paraId="345C6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75" w:type="dxa"/>
            <w:shd w:val="clear" w:color="auto" w:fill="auto"/>
            <w:vAlign w:val="center"/>
          </w:tcPr>
          <w:p w14:paraId="0EA3924F">
            <w:pPr>
              <w:widowControl/>
              <w:jc w:val="center"/>
              <w:rPr>
                <w:rFonts w:hint="eastAsia" w:ascii="宋体" w:hAnsi="宋体" w:cs="宋体"/>
                <w:b/>
                <w:bCs/>
                <w:highlight w:val="none"/>
              </w:rPr>
            </w:pPr>
            <w:r>
              <w:rPr>
                <w:rFonts w:hint="eastAsia" w:ascii="宋体" w:hAnsi="宋体" w:cs="宋体"/>
                <w:b/>
                <w:bCs/>
                <w:highlight w:val="none"/>
              </w:rPr>
              <w:t>1</w:t>
            </w:r>
          </w:p>
        </w:tc>
        <w:tc>
          <w:tcPr>
            <w:tcW w:w="1080" w:type="dxa"/>
            <w:shd w:val="clear" w:color="auto" w:fill="auto"/>
            <w:vAlign w:val="center"/>
          </w:tcPr>
          <w:p w14:paraId="4A1859FE">
            <w:pPr>
              <w:widowControl/>
              <w:jc w:val="center"/>
              <w:rPr>
                <w:rFonts w:hint="eastAsia" w:ascii="宋体" w:hAnsi="宋体" w:cs="宋体"/>
                <w:highlight w:val="none"/>
              </w:rPr>
            </w:pPr>
            <w:r>
              <w:rPr>
                <w:rFonts w:hint="eastAsia" w:ascii="宋体" w:hAnsi="宋体" w:cs="宋体"/>
                <w:highlight w:val="none"/>
              </w:rPr>
              <w:t>价格</w:t>
            </w:r>
          </w:p>
        </w:tc>
        <w:tc>
          <w:tcPr>
            <w:tcW w:w="642" w:type="dxa"/>
            <w:shd w:val="clear" w:color="auto" w:fill="auto"/>
            <w:vAlign w:val="center"/>
          </w:tcPr>
          <w:p w14:paraId="703058D9">
            <w:pPr>
              <w:widowControl/>
              <w:jc w:val="center"/>
              <w:rPr>
                <w:rFonts w:hint="eastAsia" w:ascii="宋体" w:hAnsi="宋体" w:cs="宋体"/>
                <w:highlight w:val="none"/>
              </w:rPr>
            </w:pPr>
            <w:r>
              <w:rPr>
                <w:rFonts w:hint="eastAsia" w:ascii="宋体" w:hAnsi="宋体" w:cs="宋体"/>
                <w:highlight w:val="none"/>
              </w:rPr>
              <w:t>10</w:t>
            </w:r>
          </w:p>
        </w:tc>
        <w:tc>
          <w:tcPr>
            <w:tcW w:w="7067" w:type="dxa"/>
            <w:shd w:val="clear" w:color="auto" w:fill="auto"/>
            <w:vAlign w:val="center"/>
          </w:tcPr>
          <w:p w14:paraId="2D914BAA">
            <w:pPr>
              <w:widowControl/>
              <w:ind w:firstLine="420" w:firstLineChars="200"/>
              <w:jc w:val="left"/>
              <w:rPr>
                <w:rFonts w:hint="eastAsia" w:ascii="宋体" w:hAnsi="宋体" w:cs="宋体"/>
                <w:highlight w:val="none"/>
              </w:rPr>
            </w:pPr>
            <w:r>
              <w:rPr>
                <w:rFonts w:hint="eastAsia" w:ascii="宋体" w:hAnsi="宋体" w:cs="宋体"/>
                <w:highlight w:val="none"/>
              </w:rPr>
              <w:t>满足招标文件要求且投标价格最低的投标报价为评标基准价，其价格分为满分。其他投标人的价格分统一按照下列公式计算：投标报价得分＝（评标基准价/投标报价）×分值。</w:t>
            </w:r>
          </w:p>
        </w:tc>
      </w:tr>
      <w:tr w14:paraId="14D7F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75" w:type="dxa"/>
            <w:shd w:val="clear" w:color="auto" w:fill="auto"/>
            <w:vAlign w:val="center"/>
          </w:tcPr>
          <w:p w14:paraId="24DFEB8B">
            <w:pPr>
              <w:widowControl/>
              <w:jc w:val="center"/>
              <w:rPr>
                <w:rFonts w:hint="eastAsia" w:ascii="宋体" w:hAnsi="宋体" w:cs="宋体"/>
                <w:highlight w:val="none"/>
              </w:rPr>
            </w:pPr>
            <w:r>
              <w:rPr>
                <w:rFonts w:hint="eastAsia" w:ascii="宋体" w:hAnsi="宋体" w:cs="宋体"/>
                <w:highlight w:val="none"/>
              </w:rPr>
              <w:t>二</w:t>
            </w:r>
          </w:p>
        </w:tc>
        <w:tc>
          <w:tcPr>
            <w:tcW w:w="8789" w:type="dxa"/>
            <w:gridSpan w:val="3"/>
            <w:shd w:val="clear" w:color="auto" w:fill="auto"/>
            <w:vAlign w:val="center"/>
          </w:tcPr>
          <w:p w14:paraId="08843817">
            <w:pPr>
              <w:widowControl/>
              <w:jc w:val="left"/>
              <w:rPr>
                <w:rFonts w:hint="eastAsia" w:ascii="宋体" w:hAnsi="宋体" w:cs="宋体"/>
                <w:highlight w:val="none"/>
              </w:rPr>
            </w:pPr>
            <w:r>
              <w:rPr>
                <w:rFonts w:hint="eastAsia" w:ascii="宋体" w:hAnsi="宋体" w:cs="宋体"/>
                <w:highlight w:val="none"/>
              </w:rPr>
              <w:t>综合实力（15分）</w:t>
            </w:r>
          </w:p>
        </w:tc>
      </w:tr>
      <w:tr w14:paraId="42A01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7" w:hRule="atLeast"/>
        </w:trPr>
        <w:tc>
          <w:tcPr>
            <w:tcW w:w="675" w:type="dxa"/>
            <w:shd w:val="clear" w:color="auto" w:fill="auto"/>
            <w:vAlign w:val="center"/>
          </w:tcPr>
          <w:p w14:paraId="2084E8E4">
            <w:pPr>
              <w:widowControl/>
              <w:jc w:val="center"/>
              <w:rPr>
                <w:rFonts w:hint="eastAsia" w:ascii="宋体" w:hAnsi="宋体" w:cs="宋体"/>
                <w:highlight w:val="none"/>
              </w:rPr>
            </w:pPr>
            <w:r>
              <w:rPr>
                <w:rFonts w:hint="eastAsia" w:ascii="宋体" w:hAnsi="宋体" w:cs="宋体"/>
                <w:highlight w:val="none"/>
              </w:rPr>
              <w:t>1</w:t>
            </w:r>
          </w:p>
        </w:tc>
        <w:tc>
          <w:tcPr>
            <w:tcW w:w="1080" w:type="dxa"/>
            <w:shd w:val="clear" w:color="auto" w:fill="auto"/>
            <w:vAlign w:val="center"/>
          </w:tcPr>
          <w:p w14:paraId="3C20198C">
            <w:pPr>
              <w:widowControl/>
              <w:jc w:val="center"/>
              <w:rPr>
                <w:rFonts w:hint="eastAsia" w:ascii="宋体" w:hAnsi="宋体" w:cs="宋体"/>
                <w:highlight w:val="none"/>
              </w:rPr>
            </w:pPr>
            <w:r>
              <w:rPr>
                <w:rFonts w:hint="eastAsia" w:ascii="宋体" w:hAnsi="宋体" w:cs="宋体"/>
                <w:highlight w:val="none"/>
              </w:rPr>
              <w:t>项目负责人业绩</w:t>
            </w:r>
          </w:p>
        </w:tc>
        <w:tc>
          <w:tcPr>
            <w:tcW w:w="642" w:type="dxa"/>
            <w:shd w:val="clear" w:color="auto" w:fill="auto"/>
            <w:vAlign w:val="center"/>
          </w:tcPr>
          <w:p w14:paraId="549A0253">
            <w:pPr>
              <w:widowControl/>
              <w:jc w:val="center"/>
              <w:rPr>
                <w:rFonts w:hint="eastAsia" w:ascii="宋体" w:hAnsi="宋体" w:cs="宋体"/>
                <w:highlight w:val="none"/>
              </w:rPr>
            </w:pPr>
            <w:r>
              <w:rPr>
                <w:rFonts w:hint="eastAsia" w:ascii="宋体" w:hAnsi="宋体" w:cs="宋体"/>
                <w:highlight w:val="none"/>
              </w:rPr>
              <w:t>5</w:t>
            </w:r>
          </w:p>
        </w:tc>
        <w:tc>
          <w:tcPr>
            <w:tcW w:w="7067" w:type="dxa"/>
            <w:shd w:val="clear" w:color="auto" w:fill="auto"/>
            <w:vAlign w:val="center"/>
          </w:tcPr>
          <w:p w14:paraId="7D6541CD">
            <w:pPr>
              <w:widowControl/>
              <w:ind w:firstLine="420" w:firstLineChars="200"/>
              <w:jc w:val="left"/>
              <w:rPr>
                <w:rFonts w:hint="eastAsia" w:ascii="宋体" w:hAnsi="宋体" w:cs="宋体"/>
                <w:highlight w:val="none"/>
              </w:rPr>
            </w:pPr>
            <w:r>
              <w:rPr>
                <w:rFonts w:hint="eastAsia" w:ascii="宋体" w:hAnsi="宋体" w:cs="宋体"/>
                <w:highlight w:val="none"/>
              </w:rPr>
              <w:t>投标人拟派项目负责人近四年以来具有以项目负责人的身份承担类似项目服务经验的，每有1个得2.5分，满分5分。</w:t>
            </w:r>
          </w:p>
          <w:p w14:paraId="7EA0AD1A">
            <w:pPr>
              <w:widowControl/>
              <w:ind w:firstLine="420" w:firstLineChars="200"/>
              <w:jc w:val="left"/>
              <w:rPr>
                <w:rFonts w:hint="eastAsia" w:ascii="宋体" w:hAnsi="宋体" w:cs="宋体"/>
                <w:highlight w:val="none"/>
              </w:rPr>
            </w:pPr>
            <w:r>
              <w:rPr>
                <w:rFonts w:hint="eastAsia" w:ascii="宋体" w:hAnsi="宋体" w:cs="宋体"/>
                <w:highlight w:val="none"/>
              </w:rPr>
              <w:t>注：①联合体各成员单位提供的业绩均予认可；②投标人提供的业绩如系联合体承接的，无论是联合体牵头人或成员单位其业绩均予认可，但项目负责人在业绩证明材料中要有所体现；③本招标文件要求的类似项目业绩，须提交的材料要求如下：</w:t>
            </w:r>
            <w:r>
              <w:rPr>
                <w:rFonts w:hint="eastAsia" w:ascii="宋体" w:hAnsi="宋体" w:cs="宋体"/>
                <w:highlight w:val="none"/>
                <w:u w:val="single"/>
              </w:rPr>
              <w:t>中标通知书（非招标/政府采购项目不需提供，但须提供发包人/招标人/采购人出具的加盖单位公章的直接发包证明/单一来源采购说明）、采购合同、履约验收证明扫描件，非招标/政府采购项目还须提供已经支付服务费用的增值税发票及银行汇款记录扫描件，否则业绩不予认可</w:t>
            </w:r>
            <w:r>
              <w:rPr>
                <w:rFonts w:hint="eastAsia" w:ascii="宋体" w:hAnsi="宋体" w:cs="宋体"/>
                <w:highlight w:val="none"/>
              </w:rPr>
              <w:t>。</w:t>
            </w:r>
          </w:p>
        </w:tc>
      </w:tr>
      <w:tr w14:paraId="11549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675" w:type="dxa"/>
            <w:shd w:val="clear" w:color="auto" w:fill="auto"/>
            <w:vAlign w:val="center"/>
          </w:tcPr>
          <w:p w14:paraId="3A516FF1">
            <w:pPr>
              <w:widowControl/>
              <w:jc w:val="center"/>
              <w:rPr>
                <w:rFonts w:hint="eastAsia" w:ascii="宋体" w:hAnsi="宋体" w:cs="宋体"/>
                <w:highlight w:val="none"/>
              </w:rPr>
            </w:pPr>
            <w:r>
              <w:rPr>
                <w:rFonts w:hint="eastAsia" w:ascii="宋体" w:hAnsi="宋体" w:cs="宋体"/>
                <w:highlight w:val="none"/>
              </w:rPr>
              <w:t>2</w:t>
            </w:r>
          </w:p>
        </w:tc>
        <w:tc>
          <w:tcPr>
            <w:tcW w:w="1080" w:type="dxa"/>
            <w:shd w:val="clear" w:color="auto" w:fill="auto"/>
            <w:vAlign w:val="center"/>
          </w:tcPr>
          <w:p w14:paraId="6A0F2468">
            <w:pPr>
              <w:widowControl/>
              <w:jc w:val="center"/>
              <w:rPr>
                <w:rFonts w:hint="eastAsia" w:ascii="宋体" w:hAnsi="宋体" w:cs="宋体"/>
                <w:highlight w:val="none"/>
              </w:rPr>
            </w:pPr>
            <w:r>
              <w:rPr>
                <w:rFonts w:hint="eastAsia" w:ascii="宋体" w:hAnsi="宋体" w:cs="宋体"/>
                <w:highlight w:val="none"/>
              </w:rPr>
              <w:t>产品性能与质量</w:t>
            </w:r>
          </w:p>
        </w:tc>
        <w:tc>
          <w:tcPr>
            <w:tcW w:w="642" w:type="dxa"/>
            <w:shd w:val="clear" w:color="auto" w:fill="auto"/>
            <w:vAlign w:val="center"/>
          </w:tcPr>
          <w:p w14:paraId="53F6E64D">
            <w:pPr>
              <w:widowControl/>
              <w:jc w:val="center"/>
              <w:rPr>
                <w:rFonts w:hint="eastAsia" w:ascii="宋体" w:hAnsi="宋体" w:cs="宋体"/>
                <w:highlight w:val="none"/>
              </w:rPr>
            </w:pPr>
            <w:r>
              <w:rPr>
                <w:rFonts w:hint="eastAsia" w:ascii="宋体" w:hAnsi="宋体" w:cs="宋体"/>
                <w:highlight w:val="none"/>
              </w:rPr>
              <w:t>5</w:t>
            </w:r>
          </w:p>
        </w:tc>
        <w:tc>
          <w:tcPr>
            <w:tcW w:w="7067" w:type="dxa"/>
            <w:shd w:val="clear" w:color="auto" w:fill="auto"/>
            <w:vAlign w:val="center"/>
          </w:tcPr>
          <w:p w14:paraId="163B7EBD">
            <w:pPr>
              <w:widowControl/>
              <w:ind w:firstLine="420" w:firstLineChars="200"/>
              <w:jc w:val="left"/>
              <w:rPr>
                <w:rFonts w:hint="eastAsia" w:ascii="宋体" w:hAnsi="宋体" w:cs="宋体"/>
                <w:highlight w:val="none"/>
              </w:rPr>
            </w:pPr>
            <w:r>
              <w:rPr>
                <w:rFonts w:hint="eastAsia" w:ascii="宋体" w:hAnsi="宋体" w:cs="宋体"/>
                <w:highlight w:val="none"/>
              </w:rPr>
              <w:t>投标人拟使用的核心产品(包括空调系统监控柜、智能数据网关、多联机网关、风机盘管控制器、分体空调控制器)具有第三方检测机构(具备CNAS或CMA资质)出具的检测报告，五个品项每提供1项得1分，本项最高5分，同一品项提供多份检测报告仅计算一项得分。</w:t>
            </w:r>
          </w:p>
        </w:tc>
      </w:tr>
      <w:tr w14:paraId="74520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675" w:type="dxa"/>
            <w:vMerge w:val="restart"/>
            <w:shd w:val="clear" w:color="auto" w:fill="auto"/>
            <w:vAlign w:val="center"/>
          </w:tcPr>
          <w:p w14:paraId="312B8C46">
            <w:pPr>
              <w:widowControl/>
              <w:jc w:val="center"/>
              <w:rPr>
                <w:rFonts w:hint="eastAsia" w:ascii="宋体" w:hAnsi="宋体" w:cs="宋体"/>
                <w:highlight w:val="none"/>
              </w:rPr>
            </w:pPr>
            <w:r>
              <w:rPr>
                <w:rFonts w:hint="eastAsia" w:ascii="宋体" w:hAnsi="宋体" w:cs="宋体"/>
                <w:highlight w:val="none"/>
              </w:rPr>
              <w:t>3</w:t>
            </w:r>
          </w:p>
        </w:tc>
        <w:tc>
          <w:tcPr>
            <w:tcW w:w="1080" w:type="dxa"/>
            <w:vMerge w:val="restart"/>
            <w:shd w:val="clear" w:color="auto" w:fill="auto"/>
            <w:vAlign w:val="center"/>
          </w:tcPr>
          <w:p w14:paraId="7BD527E0">
            <w:pPr>
              <w:widowControl/>
              <w:jc w:val="center"/>
              <w:rPr>
                <w:rFonts w:hint="eastAsia" w:ascii="宋体" w:hAnsi="宋体" w:cs="宋体"/>
                <w:highlight w:val="none"/>
              </w:rPr>
            </w:pPr>
            <w:r>
              <w:rPr>
                <w:rFonts w:hint="eastAsia" w:ascii="宋体" w:hAnsi="宋体" w:cs="宋体"/>
                <w:highlight w:val="none"/>
              </w:rPr>
              <w:t>企业能力认证</w:t>
            </w:r>
          </w:p>
        </w:tc>
        <w:tc>
          <w:tcPr>
            <w:tcW w:w="642" w:type="dxa"/>
            <w:shd w:val="clear" w:color="auto" w:fill="auto"/>
            <w:vAlign w:val="center"/>
          </w:tcPr>
          <w:p w14:paraId="3EFA54E4">
            <w:pPr>
              <w:widowControl/>
              <w:jc w:val="center"/>
              <w:rPr>
                <w:rFonts w:hint="eastAsia" w:ascii="宋体" w:hAnsi="宋体" w:cs="宋体"/>
                <w:highlight w:val="none"/>
              </w:rPr>
            </w:pPr>
            <w:r>
              <w:rPr>
                <w:rFonts w:hint="eastAsia" w:ascii="宋体" w:hAnsi="宋体" w:cs="宋体"/>
                <w:highlight w:val="none"/>
              </w:rPr>
              <w:t>2</w:t>
            </w:r>
          </w:p>
        </w:tc>
        <w:tc>
          <w:tcPr>
            <w:tcW w:w="7067" w:type="dxa"/>
            <w:shd w:val="clear" w:color="auto" w:fill="auto"/>
            <w:vAlign w:val="center"/>
          </w:tcPr>
          <w:p w14:paraId="20521603">
            <w:pPr>
              <w:widowControl/>
              <w:ind w:firstLine="420" w:firstLineChars="200"/>
              <w:jc w:val="left"/>
              <w:rPr>
                <w:rFonts w:hint="eastAsia" w:ascii="宋体" w:hAnsi="宋体" w:cs="宋体"/>
                <w:highlight w:val="none"/>
              </w:rPr>
            </w:pPr>
            <w:r>
              <w:rPr>
                <w:rFonts w:hint="eastAsia" w:ascii="宋体" w:hAnsi="宋体" w:cs="宋体"/>
                <w:highlight w:val="none"/>
              </w:rPr>
              <w:t>投标人具有有效期内的能源管理体系认证证书、信息安全管理体系认证证书，每具备一项得1分，满分2分，不提供不得分。</w:t>
            </w:r>
          </w:p>
          <w:p w14:paraId="0E6F5EEC">
            <w:pPr>
              <w:widowControl/>
              <w:ind w:firstLine="420" w:firstLineChars="200"/>
              <w:jc w:val="left"/>
              <w:rPr>
                <w:rFonts w:hint="eastAsia" w:ascii="宋体" w:hAnsi="宋体" w:cs="宋体"/>
                <w:highlight w:val="none"/>
              </w:rPr>
            </w:pPr>
            <w:r>
              <w:rPr>
                <w:rFonts w:hint="eastAsia" w:ascii="宋体" w:hAnsi="宋体" w:cs="宋体"/>
                <w:highlight w:val="none"/>
              </w:rPr>
              <w:t>注：需提供证书原件扫描件（确保证书在开标当天处于有效期内），同时还须提供该证书在“国家市场监督管理总局-全国认证认可信息公共服务平台”网站查询到的有效认证截图，否则不予认可。</w:t>
            </w:r>
          </w:p>
        </w:tc>
      </w:tr>
      <w:tr w14:paraId="0A4E4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trPr>
        <w:tc>
          <w:tcPr>
            <w:tcW w:w="675" w:type="dxa"/>
            <w:vMerge w:val="continue"/>
            <w:vAlign w:val="center"/>
          </w:tcPr>
          <w:p w14:paraId="272AE87C">
            <w:pPr>
              <w:widowControl/>
              <w:jc w:val="left"/>
              <w:rPr>
                <w:rFonts w:hint="eastAsia" w:ascii="宋体" w:hAnsi="宋体" w:cs="宋体"/>
                <w:highlight w:val="none"/>
              </w:rPr>
            </w:pPr>
          </w:p>
        </w:tc>
        <w:tc>
          <w:tcPr>
            <w:tcW w:w="1080" w:type="dxa"/>
            <w:vMerge w:val="continue"/>
            <w:vAlign w:val="center"/>
          </w:tcPr>
          <w:p w14:paraId="658C9E22">
            <w:pPr>
              <w:widowControl/>
              <w:jc w:val="left"/>
              <w:rPr>
                <w:rFonts w:hint="eastAsia" w:ascii="宋体" w:hAnsi="宋体" w:cs="宋体"/>
                <w:highlight w:val="none"/>
              </w:rPr>
            </w:pPr>
          </w:p>
        </w:tc>
        <w:tc>
          <w:tcPr>
            <w:tcW w:w="642" w:type="dxa"/>
            <w:shd w:val="clear" w:color="auto" w:fill="auto"/>
            <w:vAlign w:val="center"/>
          </w:tcPr>
          <w:p w14:paraId="63DDA0B7">
            <w:pPr>
              <w:widowControl/>
              <w:jc w:val="center"/>
              <w:rPr>
                <w:rFonts w:hint="eastAsia" w:ascii="宋体" w:hAnsi="宋体" w:cs="宋体"/>
                <w:highlight w:val="none"/>
              </w:rPr>
            </w:pPr>
            <w:r>
              <w:rPr>
                <w:rFonts w:hint="eastAsia" w:ascii="宋体" w:hAnsi="宋体" w:cs="宋体"/>
                <w:highlight w:val="none"/>
              </w:rPr>
              <w:t>3</w:t>
            </w:r>
          </w:p>
        </w:tc>
        <w:tc>
          <w:tcPr>
            <w:tcW w:w="7067" w:type="dxa"/>
            <w:shd w:val="clear" w:color="auto" w:fill="auto"/>
            <w:vAlign w:val="center"/>
          </w:tcPr>
          <w:p w14:paraId="2453DCAE">
            <w:pPr>
              <w:widowControl/>
              <w:ind w:firstLine="441" w:firstLineChars="210"/>
              <w:jc w:val="left"/>
              <w:rPr>
                <w:rFonts w:hint="eastAsia" w:ascii="宋体" w:hAnsi="宋体" w:cs="宋体"/>
                <w:highlight w:val="none"/>
              </w:rPr>
            </w:pPr>
            <w:r>
              <w:rPr>
                <w:rFonts w:hint="eastAsia" w:ascii="宋体" w:hAnsi="宋体" w:cs="宋体"/>
                <w:highlight w:val="none"/>
              </w:rPr>
              <w:t>投标人具有有效期内的合同能源管理服务认证证书、节能技术服务认证证书、综合能源服务认证证书，每具备一项得1分，满分3分，不提供不得分。</w:t>
            </w:r>
            <w:r>
              <w:rPr>
                <w:rFonts w:hint="eastAsia" w:ascii="宋体" w:hAnsi="宋体" w:cs="宋体"/>
                <w:highlight w:val="none"/>
              </w:rPr>
              <w:br w:type="textWrapping"/>
            </w:r>
            <w:r>
              <w:rPr>
                <w:rFonts w:hint="eastAsia" w:ascii="宋体" w:hAnsi="宋体" w:cs="宋体"/>
                <w:highlight w:val="none"/>
              </w:rPr>
              <w:t xml:space="preserve">    注：需提供证书原件扫描件（确保证书在开标当天处于有效期内），同时还须提供该证书在“国家市场监督管理总局-全国认证认可信息公共服务平台”网站查询到的有效认证截图，否则不予认可。</w:t>
            </w:r>
          </w:p>
        </w:tc>
      </w:tr>
      <w:tr w14:paraId="0CBB8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75" w:type="dxa"/>
            <w:shd w:val="clear" w:color="auto" w:fill="auto"/>
            <w:vAlign w:val="center"/>
          </w:tcPr>
          <w:p w14:paraId="4D950421">
            <w:pPr>
              <w:widowControl/>
              <w:jc w:val="center"/>
              <w:rPr>
                <w:rFonts w:hint="eastAsia" w:ascii="宋体" w:hAnsi="宋体" w:cs="宋体"/>
                <w:highlight w:val="none"/>
              </w:rPr>
            </w:pPr>
            <w:r>
              <w:rPr>
                <w:rFonts w:hint="eastAsia" w:ascii="宋体" w:hAnsi="宋体" w:cs="宋体"/>
                <w:highlight w:val="none"/>
              </w:rPr>
              <w:t>三</w:t>
            </w:r>
          </w:p>
        </w:tc>
        <w:tc>
          <w:tcPr>
            <w:tcW w:w="8789" w:type="dxa"/>
            <w:gridSpan w:val="3"/>
            <w:shd w:val="clear" w:color="auto" w:fill="auto"/>
            <w:vAlign w:val="center"/>
          </w:tcPr>
          <w:p w14:paraId="0A4D9AB1">
            <w:pPr>
              <w:widowControl/>
              <w:jc w:val="left"/>
              <w:rPr>
                <w:rFonts w:hint="eastAsia" w:ascii="宋体" w:hAnsi="宋体" w:cs="宋体"/>
                <w:highlight w:val="none"/>
              </w:rPr>
            </w:pPr>
            <w:r>
              <w:rPr>
                <w:rFonts w:hint="eastAsia" w:ascii="宋体" w:hAnsi="宋体" w:cs="宋体"/>
                <w:highlight w:val="none"/>
              </w:rPr>
              <w:t>人员配置（14分）</w:t>
            </w:r>
          </w:p>
        </w:tc>
      </w:tr>
      <w:tr w14:paraId="25545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675" w:type="dxa"/>
            <w:vMerge w:val="restart"/>
            <w:shd w:val="clear" w:color="auto" w:fill="auto"/>
            <w:vAlign w:val="center"/>
          </w:tcPr>
          <w:p w14:paraId="6A428E0C">
            <w:pPr>
              <w:widowControl/>
              <w:jc w:val="center"/>
              <w:rPr>
                <w:rFonts w:hint="eastAsia" w:ascii="宋体" w:hAnsi="宋体" w:cs="宋体"/>
                <w:highlight w:val="none"/>
              </w:rPr>
            </w:pPr>
            <w:r>
              <w:rPr>
                <w:rFonts w:hint="eastAsia" w:ascii="宋体" w:hAnsi="宋体" w:cs="宋体"/>
                <w:highlight w:val="none"/>
              </w:rPr>
              <w:t>1</w:t>
            </w:r>
          </w:p>
        </w:tc>
        <w:tc>
          <w:tcPr>
            <w:tcW w:w="1080" w:type="dxa"/>
            <w:vMerge w:val="restart"/>
            <w:shd w:val="clear" w:color="auto" w:fill="auto"/>
            <w:vAlign w:val="center"/>
          </w:tcPr>
          <w:p w14:paraId="386C8252">
            <w:pPr>
              <w:widowControl/>
              <w:jc w:val="center"/>
              <w:rPr>
                <w:rFonts w:hint="eastAsia" w:ascii="宋体" w:hAnsi="宋体" w:cs="宋体"/>
                <w:highlight w:val="none"/>
              </w:rPr>
            </w:pPr>
            <w:r>
              <w:rPr>
                <w:rFonts w:hint="eastAsia" w:ascii="宋体" w:hAnsi="宋体" w:cs="宋体"/>
                <w:highlight w:val="none"/>
              </w:rPr>
              <w:t>项目团队</w:t>
            </w:r>
          </w:p>
        </w:tc>
        <w:tc>
          <w:tcPr>
            <w:tcW w:w="642" w:type="dxa"/>
            <w:shd w:val="clear" w:color="auto" w:fill="auto"/>
            <w:vAlign w:val="center"/>
          </w:tcPr>
          <w:p w14:paraId="76AC4EBB">
            <w:pPr>
              <w:widowControl/>
              <w:jc w:val="center"/>
              <w:rPr>
                <w:rFonts w:hint="eastAsia" w:ascii="宋体" w:hAnsi="宋体" w:cs="宋体"/>
                <w:highlight w:val="none"/>
              </w:rPr>
            </w:pPr>
            <w:r>
              <w:rPr>
                <w:rFonts w:hint="eastAsia" w:ascii="宋体" w:hAnsi="宋体" w:cs="宋体"/>
                <w:highlight w:val="none"/>
              </w:rPr>
              <w:t>3</w:t>
            </w:r>
          </w:p>
        </w:tc>
        <w:tc>
          <w:tcPr>
            <w:tcW w:w="7067" w:type="dxa"/>
            <w:shd w:val="clear" w:color="auto" w:fill="auto"/>
            <w:vAlign w:val="center"/>
          </w:tcPr>
          <w:p w14:paraId="452AE050">
            <w:pPr>
              <w:widowControl/>
              <w:ind w:firstLine="420" w:firstLineChars="200"/>
              <w:jc w:val="left"/>
              <w:rPr>
                <w:rFonts w:hint="eastAsia" w:ascii="宋体" w:hAnsi="宋体" w:cs="宋体"/>
                <w:highlight w:val="none"/>
              </w:rPr>
            </w:pPr>
            <w:r>
              <w:rPr>
                <w:rFonts w:hint="eastAsia" w:ascii="宋体" w:hAnsi="宋体" w:cs="宋体"/>
                <w:highlight w:val="none"/>
              </w:rPr>
              <w:t>投标人拟派的项目负责人具有一级注册建造工程师（机电工程专业）且具有相应的安全生产知识考核合格证书（B证）得3分；不提供不得分。</w:t>
            </w:r>
            <w:r>
              <w:rPr>
                <w:rFonts w:hint="eastAsia" w:ascii="宋体" w:hAnsi="宋体" w:cs="宋体"/>
                <w:highlight w:val="none"/>
              </w:rPr>
              <w:br w:type="textWrapping"/>
            </w:r>
            <w:r>
              <w:rPr>
                <w:rFonts w:hint="eastAsia" w:ascii="宋体" w:hAnsi="宋体" w:cs="宋体"/>
                <w:highlight w:val="none"/>
              </w:rPr>
              <w:t xml:space="preserve">    注：须提供有效证书扫描件或复印件及投标截止日前半年内任意一个月投标人为其缴纳的社保证明扫描件或复印件，不提供不得分。</w:t>
            </w:r>
          </w:p>
        </w:tc>
      </w:tr>
      <w:tr w14:paraId="1D520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trPr>
        <w:tc>
          <w:tcPr>
            <w:tcW w:w="675" w:type="dxa"/>
            <w:vMerge w:val="continue"/>
            <w:vAlign w:val="center"/>
          </w:tcPr>
          <w:p w14:paraId="4DFC4CE0">
            <w:pPr>
              <w:widowControl/>
              <w:jc w:val="left"/>
              <w:rPr>
                <w:rFonts w:hint="eastAsia" w:ascii="宋体" w:hAnsi="宋体" w:cs="宋体"/>
                <w:highlight w:val="none"/>
              </w:rPr>
            </w:pPr>
          </w:p>
        </w:tc>
        <w:tc>
          <w:tcPr>
            <w:tcW w:w="1080" w:type="dxa"/>
            <w:vMerge w:val="continue"/>
            <w:vAlign w:val="center"/>
          </w:tcPr>
          <w:p w14:paraId="10FCA5D2">
            <w:pPr>
              <w:widowControl/>
              <w:jc w:val="left"/>
              <w:rPr>
                <w:rFonts w:hint="eastAsia" w:ascii="宋体" w:hAnsi="宋体" w:cs="宋体"/>
                <w:highlight w:val="none"/>
              </w:rPr>
            </w:pPr>
          </w:p>
        </w:tc>
        <w:tc>
          <w:tcPr>
            <w:tcW w:w="642" w:type="dxa"/>
            <w:shd w:val="clear" w:color="auto" w:fill="auto"/>
            <w:vAlign w:val="center"/>
          </w:tcPr>
          <w:p w14:paraId="435BE842">
            <w:pPr>
              <w:widowControl/>
              <w:jc w:val="center"/>
              <w:rPr>
                <w:rFonts w:hint="eastAsia" w:ascii="宋体" w:hAnsi="宋体" w:cs="宋体"/>
                <w:highlight w:val="none"/>
              </w:rPr>
            </w:pPr>
            <w:r>
              <w:rPr>
                <w:rFonts w:hint="eastAsia" w:ascii="宋体" w:hAnsi="宋体" w:cs="宋体"/>
                <w:highlight w:val="none"/>
              </w:rPr>
              <w:t>5</w:t>
            </w:r>
          </w:p>
        </w:tc>
        <w:tc>
          <w:tcPr>
            <w:tcW w:w="7067" w:type="dxa"/>
            <w:shd w:val="clear" w:color="auto" w:fill="auto"/>
            <w:vAlign w:val="center"/>
          </w:tcPr>
          <w:p w14:paraId="6D37EEAC">
            <w:pPr>
              <w:widowControl/>
              <w:ind w:firstLine="420" w:firstLineChars="200"/>
              <w:jc w:val="left"/>
              <w:rPr>
                <w:rFonts w:hint="eastAsia" w:ascii="宋体" w:hAnsi="宋体" w:cs="宋体"/>
                <w:highlight w:val="none"/>
              </w:rPr>
            </w:pPr>
            <w:r>
              <w:rPr>
                <w:rFonts w:hint="eastAsia" w:ascii="宋体" w:hAnsi="宋体" w:cs="宋体"/>
                <w:highlight w:val="none"/>
              </w:rPr>
              <w:t>投标人拟派的技术负责人具有一级注册建造工程师（机电工程专业）且具有相应的安全生产知识考核合格证书（B证）得2分，该技术负责人在此基础上具有高级工程师技术职称的得3分；具有工程师技术职称的得1.5分；不提供不得分。</w:t>
            </w:r>
            <w:r>
              <w:rPr>
                <w:rFonts w:hint="eastAsia" w:ascii="宋体" w:hAnsi="宋体" w:cs="宋体"/>
                <w:highlight w:val="none"/>
              </w:rPr>
              <w:br w:type="textWrapping"/>
            </w:r>
            <w:r>
              <w:rPr>
                <w:rFonts w:hint="eastAsia" w:ascii="宋体" w:hAnsi="宋体" w:cs="宋体"/>
                <w:highlight w:val="none"/>
              </w:rPr>
              <w:t xml:space="preserve">    注：须提供有效证书扫描件或复印件及投标截止日前半年内任意一个月投标人为其缴纳的社保证明扫描件或复印件，不提供不得分。</w:t>
            </w:r>
          </w:p>
        </w:tc>
      </w:tr>
      <w:tr w14:paraId="2312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trPr>
        <w:tc>
          <w:tcPr>
            <w:tcW w:w="675" w:type="dxa"/>
            <w:vMerge w:val="continue"/>
            <w:vAlign w:val="center"/>
          </w:tcPr>
          <w:p w14:paraId="35DDCC5A">
            <w:pPr>
              <w:widowControl/>
              <w:jc w:val="left"/>
              <w:rPr>
                <w:rFonts w:hint="eastAsia" w:ascii="宋体" w:hAnsi="宋体" w:cs="宋体"/>
                <w:highlight w:val="none"/>
              </w:rPr>
            </w:pPr>
          </w:p>
        </w:tc>
        <w:tc>
          <w:tcPr>
            <w:tcW w:w="1080" w:type="dxa"/>
            <w:vMerge w:val="continue"/>
            <w:vAlign w:val="center"/>
          </w:tcPr>
          <w:p w14:paraId="33A9A4D6">
            <w:pPr>
              <w:widowControl/>
              <w:jc w:val="left"/>
              <w:rPr>
                <w:rFonts w:hint="eastAsia" w:ascii="宋体" w:hAnsi="宋体" w:cs="宋体"/>
                <w:highlight w:val="none"/>
              </w:rPr>
            </w:pPr>
          </w:p>
        </w:tc>
        <w:tc>
          <w:tcPr>
            <w:tcW w:w="642" w:type="dxa"/>
            <w:shd w:val="clear" w:color="auto" w:fill="auto"/>
            <w:vAlign w:val="center"/>
          </w:tcPr>
          <w:p w14:paraId="0E88D935">
            <w:pPr>
              <w:widowControl/>
              <w:jc w:val="center"/>
              <w:rPr>
                <w:rFonts w:hint="eastAsia" w:ascii="宋体" w:hAnsi="宋体" w:cs="宋体"/>
                <w:highlight w:val="none"/>
              </w:rPr>
            </w:pPr>
            <w:r>
              <w:rPr>
                <w:rFonts w:hint="eastAsia" w:ascii="宋体" w:hAnsi="宋体" w:cs="宋体"/>
                <w:highlight w:val="none"/>
              </w:rPr>
              <w:t>6</w:t>
            </w:r>
          </w:p>
        </w:tc>
        <w:tc>
          <w:tcPr>
            <w:tcW w:w="7067" w:type="dxa"/>
            <w:shd w:val="clear" w:color="auto" w:fill="auto"/>
            <w:vAlign w:val="center"/>
          </w:tcPr>
          <w:p w14:paraId="00F130E0">
            <w:pPr>
              <w:widowControl/>
              <w:ind w:firstLine="420" w:firstLineChars="200"/>
              <w:jc w:val="left"/>
              <w:rPr>
                <w:rFonts w:hint="eastAsia" w:ascii="宋体" w:hAnsi="宋体" w:cs="宋体"/>
                <w:highlight w:val="none"/>
              </w:rPr>
            </w:pPr>
            <w:r>
              <w:rPr>
                <w:rFonts w:hint="eastAsia" w:ascii="宋体" w:hAnsi="宋体" w:cs="宋体"/>
                <w:highlight w:val="none"/>
              </w:rPr>
              <w:t>除项目负责人、技术负责人外，投标人拟派的其他团队成员持有包括电工作业、制冷与空调作业、高处作业、焊接与热切割作业等作业范围的特种作业操作证的，每提供一类得1.5分（同一人员持有多个类别仅计一次，每类仅需至少一人），满分6分。须提供有效证书复印件及投标截止日前半年内任意一个月投标人为其缴纳的社保证明复印件。</w:t>
            </w:r>
          </w:p>
        </w:tc>
      </w:tr>
      <w:tr w14:paraId="4E756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75" w:type="dxa"/>
            <w:shd w:val="clear" w:color="auto" w:fill="auto"/>
            <w:vAlign w:val="center"/>
          </w:tcPr>
          <w:p w14:paraId="6C375335">
            <w:pPr>
              <w:widowControl/>
              <w:jc w:val="center"/>
              <w:rPr>
                <w:rFonts w:hint="eastAsia" w:ascii="宋体" w:hAnsi="宋体" w:cs="宋体"/>
                <w:highlight w:val="none"/>
              </w:rPr>
            </w:pPr>
            <w:r>
              <w:rPr>
                <w:rFonts w:hint="eastAsia" w:ascii="宋体" w:hAnsi="宋体" w:cs="宋体"/>
                <w:highlight w:val="none"/>
              </w:rPr>
              <w:t>四</w:t>
            </w:r>
          </w:p>
        </w:tc>
        <w:tc>
          <w:tcPr>
            <w:tcW w:w="8789" w:type="dxa"/>
            <w:gridSpan w:val="3"/>
            <w:shd w:val="clear" w:color="auto" w:fill="auto"/>
            <w:vAlign w:val="center"/>
          </w:tcPr>
          <w:p w14:paraId="6C0B86E0">
            <w:pPr>
              <w:widowControl/>
              <w:jc w:val="left"/>
              <w:rPr>
                <w:rFonts w:hint="eastAsia" w:ascii="宋体" w:hAnsi="宋体" w:cs="宋体"/>
                <w:highlight w:val="none"/>
              </w:rPr>
            </w:pPr>
            <w:r>
              <w:rPr>
                <w:rFonts w:hint="eastAsia" w:ascii="宋体" w:hAnsi="宋体" w:cs="宋体"/>
                <w:highlight w:val="none"/>
              </w:rPr>
              <w:t>实施方案（60分）</w:t>
            </w:r>
          </w:p>
        </w:tc>
      </w:tr>
      <w:tr w14:paraId="2A10D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0" w:hRule="atLeast"/>
        </w:trPr>
        <w:tc>
          <w:tcPr>
            <w:tcW w:w="675" w:type="dxa"/>
            <w:vMerge w:val="restart"/>
            <w:shd w:val="clear" w:color="auto" w:fill="auto"/>
            <w:vAlign w:val="center"/>
          </w:tcPr>
          <w:p w14:paraId="022ADA74">
            <w:pPr>
              <w:widowControl/>
              <w:jc w:val="center"/>
              <w:rPr>
                <w:rFonts w:hint="eastAsia" w:ascii="宋体" w:hAnsi="宋体" w:cs="宋体"/>
                <w:highlight w:val="none"/>
              </w:rPr>
            </w:pPr>
            <w:r>
              <w:rPr>
                <w:rFonts w:hint="eastAsia" w:ascii="宋体" w:hAnsi="宋体" w:cs="宋体"/>
                <w:highlight w:val="none"/>
              </w:rPr>
              <w:t>1</w:t>
            </w:r>
          </w:p>
        </w:tc>
        <w:tc>
          <w:tcPr>
            <w:tcW w:w="1080" w:type="dxa"/>
            <w:vMerge w:val="restart"/>
            <w:shd w:val="clear" w:color="auto" w:fill="auto"/>
            <w:vAlign w:val="center"/>
          </w:tcPr>
          <w:p w14:paraId="338268D1">
            <w:pPr>
              <w:widowControl/>
              <w:jc w:val="center"/>
              <w:rPr>
                <w:rFonts w:hint="eastAsia" w:ascii="宋体" w:hAnsi="宋体" w:cs="宋体"/>
                <w:highlight w:val="none"/>
              </w:rPr>
            </w:pPr>
            <w:r>
              <w:rPr>
                <w:rFonts w:hint="eastAsia" w:ascii="宋体" w:hAnsi="宋体" w:cs="宋体"/>
                <w:highlight w:val="none"/>
              </w:rPr>
              <w:t>能源管理“一张网”平台建设方案）</w:t>
            </w:r>
          </w:p>
        </w:tc>
        <w:tc>
          <w:tcPr>
            <w:tcW w:w="642" w:type="dxa"/>
            <w:shd w:val="clear" w:color="auto" w:fill="auto"/>
            <w:vAlign w:val="center"/>
          </w:tcPr>
          <w:p w14:paraId="0AE9BD83">
            <w:pPr>
              <w:widowControl/>
              <w:jc w:val="center"/>
              <w:rPr>
                <w:rFonts w:hint="eastAsia" w:ascii="宋体" w:hAnsi="宋体" w:cs="宋体"/>
                <w:highlight w:val="none"/>
              </w:rPr>
            </w:pPr>
            <w:r>
              <w:rPr>
                <w:rFonts w:hint="eastAsia" w:ascii="宋体" w:hAnsi="宋体" w:cs="宋体"/>
                <w:highlight w:val="none"/>
              </w:rPr>
              <w:t>5</w:t>
            </w:r>
          </w:p>
        </w:tc>
        <w:tc>
          <w:tcPr>
            <w:tcW w:w="7067" w:type="dxa"/>
            <w:shd w:val="clear" w:color="auto" w:fill="auto"/>
            <w:vAlign w:val="center"/>
          </w:tcPr>
          <w:p w14:paraId="0F3B9D90">
            <w:pPr>
              <w:widowControl/>
              <w:ind w:firstLine="420" w:firstLineChars="200"/>
              <w:jc w:val="left"/>
              <w:rPr>
                <w:rFonts w:hint="eastAsia" w:ascii="宋体" w:hAnsi="宋体" w:cs="宋体"/>
                <w:highlight w:val="none"/>
              </w:rPr>
            </w:pPr>
            <w:r>
              <w:rPr>
                <w:rFonts w:hint="eastAsia" w:ascii="宋体" w:hAnsi="宋体" w:cs="宋体"/>
                <w:highlight w:val="none"/>
              </w:rPr>
              <w:t>根据投标人按照一张网平台的技术要求提供的详细的平台设计方案进行评审计分，内容包括：需求理解与分析、总体设计目标及原则、平台设计架构与技术路线等。</w:t>
            </w:r>
            <w:r>
              <w:rPr>
                <w:rFonts w:hint="eastAsia" w:ascii="宋体" w:hAnsi="宋体" w:cs="宋体"/>
                <w:highlight w:val="none"/>
              </w:rPr>
              <w:br w:type="textWrapping"/>
            </w:r>
            <w:r>
              <w:rPr>
                <w:rFonts w:hint="eastAsia" w:ascii="宋体" w:hAnsi="宋体" w:cs="宋体"/>
                <w:highlight w:val="none"/>
              </w:rPr>
              <w:t xml:space="preserve">    方案完整，科学合理，设计清晰详细，完全符合本项目需求，得5分；</w:t>
            </w:r>
            <w:r>
              <w:rPr>
                <w:rFonts w:hint="eastAsia" w:ascii="宋体" w:hAnsi="宋体" w:cs="宋体"/>
                <w:highlight w:val="none"/>
              </w:rPr>
              <w:br w:type="textWrapping"/>
            </w:r>
            <w:r>
              <w:rPr>
                <w:rFonts w:hint="eastAsia" w:ascii="宋体" w:hAnsi="宋体" w:cs="宋体"/>
                <w:highlight w:val="none"/>
              </w:rPr>
              <w:t xml:space="preserve">    方案较完整，较科学合理，设计较清晰详细，能够符合本项目需求，得3分；</w:t>
            </w:r>
            <w:r>
              <w:rPr>
                <w:rFonts w:hint="eastAsia" w:ascii="宋体" w:hAnsi="宋体" w:cs="宋体"/>
                <w:highlight w:val="none"/>
              </w:rPr>
              <w:br w:type="textWrapping"/>
            </w:r>
            <w:r>
              <w:rPr>
                <w:rFonts w:hint="eastAsia" w:ascii="宋体" w:hAnsi="宋体" w:cs="宋体"/>
                <w:highlight w:val="none"/>
              </w:rPr>
              <w:t xml:space="preserve">    方案完整性一般，科学合理性一般，设计清晰详细程度一般，能够基本符合本项目需求，得1分；</w:t>
            </w:r>
            <w:r>
              <w:rPr>
                <w:rFonts w:hint="eastAsia" w:ascii="宋体" w:hAnsi="宋体" w:cs="宋体"/>
                <w:highlight w:val="none"/>
              </w:rPr>
              <w:br w:type="textWrapping"/>
            </w:r>
            <w:r>
              <w:rPr>
                <w:rFonts w:hint="eastAsia" w:ascii="宋体" w:hAnsi="宋体" w:cs="宋体"/>
                <w:highlight w:val="none"/>
              </w:rPr>
              <w:t xml:space="preserve">    提供方案不符合要求或无方案的，不得分。</w:t>
            </w:r>
          </w:p>
        </w:tc>
      </w:tr>
      <w:tr w14:paraId="27A6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2" w:hRule="atLeast"/>
        </w:trPr>
        <w:tc>
          <w:tcPr>
            <w:tcW w:w="675" w:type="dxa"/>
            <w:vMerge w:val="continue"/>
            <w:vAlign w:val="center"/>
          </w:tcPr>
          <w:p w14:paraId="7FA6650F">
            <w:pPr>
              <w:widowControl/>
              <w:jc w:val="left"/>
              <w:rPr>
                <w:rFonts w:hint="eastAsia" w:ascii="宋体" w:hAnsi="宋体" w:cs="宋体"/>
                <w:highlight w:val="none"/>
              </w:rPr>
            </w:pPr>
          </w:p>
        </w:tc>
        <w:tc>
          <w:tcPr>
            <w:tcW w:w="1080" w:type="dxa"/>
            <w:vMerge w:val="continue"/>
            <w:vAlign w:val="center"/>
          </w:tcPr>
          <w:p w14:paraId="16A55D97">
            <w:pPr>
              <w:widowControl/>
              <w:jc w:val="left"/>
              <w:rPr>
                <w:rFonts w:hint="eastAsia" w:ascii="宋体" w:hAnsi="宋体" w:cs="宋体"/>
                <w:highlight w:val="none"/>
              </w:rPr>
            </w:pPr>
          </w:p>
        </w:tc>
        <w:tc>
          <w:tcPr>
            <w:tcW w:w="642" w:type="dxa"/>
            <w:shd w:val="clear" w:color="auto" w:fill="auto"/>
            <w:vAlign w:val="center"/>
          </w:tcPr>
          <w:p w14:paraId="67D1F344">
            <w:pPr>
              <w:widowControl/>
              <w:jc w:val="center"/>
              <w:rPr>
                <w:rFonts w:hint="eastAsia" w:ascii="宋体" w:hAnsi="宋体" w:cs="宋体"/>
                <w:highlight w:val="none"/>
              </w:rPr>
            </w:pPr>
            <w:r>
              <w:rPr>
                <w:rFonts w:hint="eastAsia" w:ascii="宋体" w:hAnsi="宋体" w:cs="宋体"/>
                <w:highlight w:val="none"/>
              </w:rPr>
              <w:t>10</w:t>
            </w:r>
          </w:p>
        </w:tc>
        <w:tc>
          <w:tcPr>
            <w:tcW w:w="7067" w:type="dxa"/>
            <w:shd w:val="clear" w:color="auto" w:fill="auto"/>
            <w:vAlign w:val="center"/>
          </w:tcPr>
          <w:p w14:paraId="06EA99BD">
            <w:pPr>
              <w:widowControl/>
              <w:ind w:firstLine="420" w:firstLineChars="200"/>
              <w:jc w:val="left"/>
              <w:rPr>
                <w:rFonts w:hint="eastAsia" w:ascii="宋体" w:hAnsi="宋体" w:cs="宋体"/>
                <w:highlight w:val="none"/>
              </w:rPr>
            </w:pPr>
            <w:r>
              <w:rPr>
                <w:rFonts w:hint="eastAsia" w:ascii="宋体" w:hAnsi="宋体" w:cs="宋体"/>
                <w:highlight w:val="none"/>
              </w:rPr>
              <w:t>根据投标人按照一张网平台的技术要求提供的详细的软件功能描述进行评审计分，内容包括：系统架构、系统部署、软件功能项实现等。</w:t>
            </w:r>
            <w:r>
              <w:rPr>
                <w:rFonts w:hint="eastAsia" w:ascii="宋体" w:hAnsi="宋体" w:cs="宋体"/>
                <w:highlight w:val="none"/>
              </w:rPr>
              <w:br w:type="textWrapping"/>
            </w:r>
            <w:r>
              <w:rPr>
                <w:rFonts w:hint="eastAsia" w:ascii="宋体" w:hAnsi="宋体" w:cs="宋体"/>
                <w:highlight w:val="none"/>
              </w:rPr>
              <w:t xml:space="preserve">    功能实用，描述清晰，图文并茂，功能截图能够佐证满足技术要求，完全符合本项目需求的，得10分；</w:t>
            </w:r>
            <w:r>
              <w:rPr>
                <w:rFonts w:hint="eastAsia" w:ascii="宋体" w:hAnsi="宋体" w:cs="宋体"/>
                <w:highlight w:val="none"/>
              </w:rPr>
              <w:br w:type="textWrapping"/>
            </w:r>
            <w:r>
              <w:rPr>
                <w:rFonts w:hint="eastAsia" w:ascii="宋体" w:hAnsi="宋体" w:cs="宋体"/>
                <w:highlight w:val="none"/>
              </w:rPr>
              <w:t>功能较实用，描述较清晰，有部分功能截图，能够符合本项目需求的，得7分；</w:t>
            </w:r>
            <w:r>
              <w:rPr>
                <w:rFonts w:hint="eastAsia" w:ascii="宋体" w:hAnsi="宋体" w:cs="宋体"/>
                <w:highlight w:val="none"/>
              </w:rPr>
              <w:br w:type="textWrapping"/>
            </w:r>
            <w:r>
              <w:rPr>
                <w:rFonts w:hint="eastAsia" w:ascii="宋体" w:hAnsi="宋体" w:cs="宋体"/>
                <w:highlight w:val="none"/>
              </w:rPr>
              <w:t xml:space="preserve">    功能一般，描述一般，无功能截图，能够基本符合本项目需求的，得3分；</w:t>
            </w:r>
            <w:r>
              <w:rPr>
                <w:rFonts w:hint="eastAsia" w:ascii="宋体" w:hAnsi="宋体" w:cs="宋体"/>
                <w:highlight w:val="none"/>
              </w:rPr>
              <w:br w:type="textWrapping"/>
            </w:r>
            <w:r>
              <w:rPr>
                <w:rFonts w:hint="eastAsia" w:ascii="宋体" w:hAnsi="宋体" w:cs="宋体"/>
                <w:highlight w:val="none"/>
              </w:rPr>
              <w:t xml:space="preserve">    提供方案不符合要求或无方案的，不得分。</w:t>
            </w:r>
          </w:p>
        </w:tc>
      </w:tr>
      <w:tr w14:paraId="17B4D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trPr>
        <w:tc>
          <w:tcPr>
            <w:tcW w:w="675" w:type="dxa"/>
            <w:vMerge w:val="continue"/>
            <w:vAlign w:val="center"/>
          </w:tcPr>
          <w:p w14:paraId="07B41259">
            <w:pPr>
              <w:widowControl/>
              <w:jc w:val="left"/>
              <w:rPr>
                <w:rFonts w:hint="eastAsia" w:ascii="宋体" w:hAnsi="宋体" w:cs="宋体"/>
                <w:highlight w:val="none"/>
              </w:rPr>
            </w:pPr>
          </w:p>
        </w:tc>
        <w:tc>
          <w:tcPr>
            <w:tcW w:w="1080" w:type="dxa"/>
            <w:shd w:val="clear" w:color="auto" w:fill="auto"/>
            <w:vAlign w:val="center"/>
          </w:tcPr>
          <w:p w14:paraId="70B970B9">
            <w:pPr>
              <w:widowControl/>
              <w:jc w:val="center"/>
              <w:rPr>
                <w:rFonts w:hint="eastAsia" w:ascii="宋体" w:hAnsi="宋体" w:cs="宋体"/>
                <w:highlight w:val="none"/>
              </w:rPr>
            </w:pPr>
            <w:r>
              <w:rPr>
                <w:rFonts w:hint="eastAsia" w:ascii="宋体" w:hAnsi="宋体" w:cs="宋体"/>
                <w:highlight w:val="none"/>
              </w:rPr>
              <w:t>现场能源管理计量与控制系统建设方案</w:t>
            </w:r>
          </w:p>
        </w:tc>
        <w:tc>
          <w:tcPr>
            <w:tcW w:w="642" w:type="dxa"/>
            <w:shd w:val="clear" w:color="auto" w:fill="auto"/>
            <w:vAlign w:val="center"/>
          </w:tcPr>
          <w:p w14:paraId="039B36AC">
            <w:pPr>
              <w:widowControl/>
              <w:jc w:val="center"/>
              <w:rPr>
                <w:rFonts w:hint="eastAsia" w:ascii="宋体" w:hAnsi="宋体" w:cs="宋体"/>
                <w:highlight w:val="none"/>
              </w:rPr>
            </w:pPr>
            <w:r>
              <w:rPr>
                <w:rFonts w:hint="eastAsia" w:ascii="宋体" w:hAnsi="宋体" w:cs="宋体"/>
                <w:highlight w:val="none"/>
              </w:rPr>
              <w:t>6</w:t>
            </w:r>
          </w:p>
        </w:tc>
        <w:tc>
          <w:tcPr>
            <w:tcW w:w="7067" w:type="dxa"/>
            <w:shd w:val="clear" w:color="auto" w:fill="auto"/>
            <w:vAlign w:val="center"/>
          </w:tcPr>
          <w:p w14:paraId="5435C30C">
            <w:pPr>
              <w:widowControl/>
              <w:ind w:firstLine="420" w:firstLineChars="200"/>
              <w:jc w:val="left"/>
              <w:rPr>
                <w:rFonts w:hint="eastAsia" w:ascii="宋体" w:hAnsi="宋体" w:cs="宋体"/>
                <w:highlight w:val="none"/>
              </w:rPr>
            </w:pPr>
            <w:r>
              <w:rPr>
                <w:rFonts w:hint="eastAsia" w:ascii="宋体" w:hAnsi="宋体" w:cs="宋体"/>
                <w:highlight w:val="none"/>
              </w:rPr>
              <w:t>根据投标人提供的提供现场能源管理计量与控制系统建设的设计原则，以及跟能源管理“一张网”平台无缝融合的技术方案进行评审计分：</w:t>
            </w:r>
          </w:p>
          <w:p w14:paraId="4F797C97">
            <w:pPr>
              <w:widowControl/>
              <w:ind w:firstLine="420" w:firstLineChars="200"/>
              <w:jc w:val="left"/>
              <w:rPr>
                <w:rFonts w:hint="eastAsia" w:ascii="宋体" w:hAnsi="宋体" w:cs="宋体"/>
                <w:highlight w:val="none"/>
              </w:rPr>
            </w:pPr>
            <w:r>
              <w:rPr>
                <w:rFonts w:hint="eastAsia" w:ascii="宋体" w:hAnsi="宋体" w:cs="宋体"/>
                <w:highlight w:val="none"/>
              </w:rPr>
              <w:t>原则合理科学，技术方案清晰详细，完全符合本项目需求，得6分；</w:t>
            </w:r>
          </w:p>
          <w:p w14:paraId="52A42CA6">
            <w:pPr>
              <w:widowControl/>
              <w:ind w:firstLine="420" w:firstLineChars="200"/>
              <w:jc w:val="left"/>
              <w:rPr>
                <w:rFonts w:hint="eastAsia" w:ascii="宋体" w:hAnsi="宋体" w:cs="宋体"/>
                <w:highlight w:val="none"/>
              </w:rPr>
            </w:pPr>
            <w:r>
              <w:rPr>
                <w:rFonts w:hint="eastAsia" w:ascii="宋体" w:hAnsi="宋体" w:cs="宋体"/>
                <w:highlight w:val="none"/>
              </w:rPr>
              <w:t>原则基本合理，技术方案较为清晰详细，能够符合本项目需求，得4分；</w:t>
            </w:r>
          </w:p>
          <w:p w14:paraId="2DAE92EB">
            <w:pPr>
              <w:widowControl/>
              <w:ind w:firstLine="420" w:firstLineChars="200"/>
              <w:jc w:val="left"/>
              <w:rPr>
                <w:rFonts w:hint="eastAsia" w:ascii="宋体" w:hAnsi="宋体" w:cs="宋体"/>
                <w:highlight w:val="none"/>
              </w:rPr>
            </w:pPr>
            <w:r>
              <w:rPr>
                <w:rFonts w:hint="eastAsia" w:ascii="宋体" w:hAnsi="宋体" w:cs="宋体"/>
                <w:highlight w:val="none"/>
              </w:rPr>
              <w:t>原则合理性一般，技术方案清晰详细程度一般，只能基本符合本项目需求，得2分；</w:t>
            </w:r>
          </w:p>
          <w:p w14:paraId="6534D2A2">
            <w:pPr>
              <w:widowControl/>
              <w:ind w:firstLine="420" w:firstLineChars="200"/>
              <w:jc w:val="left"/>
              <w:rPr>
                <w:rFonts w:hint="eastAsia" w:ascii="宋体" w:hAnsi="宋体" w:cs="宋体"/>
                <w:highlight w:val="none"/>
              </w:rPr>
            </w:pPr>
            <w:r>
              <w:rPr>
                <w:rFonts w:hint="eastAsia" w:ascii="宋体" w:hAnsi="宋体" w:cs="宋体"/>
                <w:highlight w:val="none"/>
              </w:rPr>
              <w:t>提供的原则和方案不符合招标文件要求或无方案的，不得分。</w:t>
            </w:r>
          </w:p>
        </w:tc>
      </w:tr>
      <w:tr w14:paraId="17CC6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7" w:hRule="atLeast"/>
        </w:trPr>
        <w:tc>
          <w:tcPr>
            <w:tcW w:w="675" w:type="dxa"/>
            <w:vMerge w:val="continue"/>
            <w:vAlign w:val="center"/>
          </w:tcPr>
          <w:p w14:paraId="7CC0B753">
            <w:pPr>
              <w:widowControl/>
              <w:jc w:val="left"/>
              <w:rPr>
                <w:rFonts w:hint="eastAsia" w:ascii="宋体" w:hAnsi="宋体" w:cs="宋体"/>
                <w:highlight w:val="none"/>
              </w:rPr>
            </w:pPr>
          </w:p>
        </w:tc>
        <w:tc>
          <w:tcPr>
            <w:tcW w:w="1080" w:type="dxa"/>
            <w:shd w:val="clear" w:color="auto" w:fill="auto"/>
            <w:vAlign w:val="center"/>
          </w:tcPr>
          <w:p w14:paraId="4253951A">
            <w:pPr>
              <w:widowControl/>
              <w:jc w:val="center"/>
              <w:rPr>
                <w:rFonts w:hint="eastAsia" w:ascii="宋体" w:hAnsi="宋体" w:cs="宋体"/>
                <w:highlight w:val="none"/>
              </w:rPr>
            </w:pPr>
            <w:r>
              <w:rPr>
                <w:rFonts w:hint="eastAsia" w:ascii="宋体" w:hAnsi="宋体" w:cs="宋体"/>
                <w:highlight w:val="none"/>
              </w:rPr>
              <w:t>节能改造技术方案</w:t>
            </w:r>
          </w:p>
        </w:tc>
        <w:tc>
          <w:tcPr>
            <w:tcW w:w="642" w:type="dxa"/>
            <w:shd w:val="clear" w:color="auto" w:fill="auto"/>
            <w:vAlign w:val="center"/>
          </w:tcPr>
          <w:p w14:paraId="4DBD13DE">
            <w:pPr>
              <w:widowControl/>
              <w:jc w:val="center"/>
              <w:rPr>
                <w:rFonts w:hint="eastAsia" w:ascii="宋体" w:hAnsi="宋体" w:cs="宋体"/>
                <w:highlight w:val="none"/>
              </w:rPr>
            </w:pPr>
            <w:r>
              <w:rPr>
                <w:rFonts w:hint="eastAsia" w:ascii="宋体" w:hAnsi="宋体" w:cs="宋体"/>
                <w:highlight w:val="none"/>
              </w:rPr>
              <w:t>8</w:t>
            </w:r>
          </w:p>
        </w:tc>
        <w:tc>
          <w:tcPr>
            <w:tcW w:w="7067" w:type="dxa"/>
            <w:shd w:val="clear" w:color="auto" w:fill="auto"/>
            <w:vAlign w:val="center"/>
          </w:tcPr>
          <w:p w14:paraId="1ED1DBBD">
            <w:pPr>
              <w:widowControl/>
              <w:ind w:firstLine="420" w:firstLineChars="200"/>
              <w:jc w:val="left"/>
              <w:rPr>
                <w:rFonts w:hint="eastAsia" w:ascii="宋体" w:hAnsi="宋体" w:cs="宋体"/>
                <w:highlight w:val="none"/>
              </w:rPr>
            </w:pPr>
            <w:r>
              <w:rPr>
                <w:rFonts w:hint="eastAsia" w:ascii="宋体" w:hAnsi="宋体" w:cs="宋体"/>
                <w:highlight w:val="none"/>
              </w:rPr>
              <w:t>针对节能改造招标要求，评标委员会根据投标人提供各项建设内容的提供改造设计原则和整体改造方案进行评审计分：</w:t>
            </w:r>
          </w:p>
          <w:p w14:paraId="75331BA0">
            <w:pPr>
              <w:widowControl/>
              <w:ind w:firstLine="420" w:firstLineChars="200"/>
              <w:jc w:val="left"/>
              <w:rPr>
                <w:rFonts w:hint="eastAsia" w:ascii="宋体" w:hAnsi="宋体" w:cs="宋体"/>
                <w:highlight w:val="none"/>
              </w:rPr>
            </w:pPr>
            <w:r>
              <w:rPr>
                <w:rFonts w:hint="eastAsia" w:ascii="宋体" w:hAnsi="宋体" w:cs="宋体"/>
                <w:highlight w:val="none"/>
              </w:rPr>
              <w:t>原则合理科学，技术方案清晰详细，完全符合本项目需求，得8分；</w:t>
            </w:r>
          </w:p>
          <w:p w14:paraId="4C852F31">
            <w:pPr>
              <w:widowControl/>
              <w:ind w:firstLine="420" w:firstLineChars="200"/>
              <w:jc w:val="left"/>
              <w:rPr>
                <w:rFonts w:hint="eastAsia" w:ascii="宋体" w:hAnsi="宋体" w:cs="宋体"/>
                <w:highlight w:val="none"/>
              </w:rPr>
            </w:pPr>
            <w:r>
              <w:rPr>
                <w:rFonts w:hint="eastAsia" w:ascii="宋体" w:hAnsi="宋体" w:cs="宋体"/>
                <w:highlight w:val="none"/>
              </w:rPr>
              <w:t>原则基本合理，技术方案较为清晰详细，能够符合本项目需求，得5分；</w:t>
            </w:r>
          </w:p>
          <w:p w14:paraId="7778A12E">
            <w:pPr>
              <w:widowControl/>
              <w:ind w:firstLine="420" w:firstLineChars="200"/>
              <w:jc w:val="left"/>
              <w:rPr>
                <w:rFonts w:hint="eastAsia" w:ascii="宋体" w:hAnsi="宋体" w:cs="宋体"/>
                <w:highlight w:val="none"/>
              </w:rPr>
            </w:pPr>
            <w:r>
              <w:rPr>
                <w:rFonts w:hint="eastAsia" w:ascii="宋体" w:hAnsi="宋体" w:cs="宋体"/>
                <w:highlight w:val="none"/>
              </w:rPr>
              <w:t>原则合理性一般，技术方案清晰详细程度一般，只能基本符合本项目需求，得2分；</w:t>
            </w:r>
          </w:p>
          <w:p w14:paraId="61FB60FF">
            <w:pPr>
              <w:widowControl/>
              <w:ind w:firstLine="420" w:firstLineChars="200"/>
              <w:jc w:val="left"/>
              <w:rPr>
                <w:rFonts w:hint="eastAsia" w:ascii="宋体" w:hAnsi="宋体" w:cs="宋体"/>
                <w:highlight w:val="none"/>
              </w:rPr>
            </w:pPr>
            <w:r>
              <w:rPr>
                <w:rFonts w:hint="eastAsia" w:ascii="宋体" w:hAnsi="宋体" w:cs="宋体"/>
                <w:highlight w:val="none"/>
              </w:rPr>
              <w:t>提供的原则和方案不符合要求或无方案的，不得分。</w:t>
            </w:r>
          </w:p>
        </w:tc>
      </w:tr>
      <w:tr w14:paraId="01166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2" w:hRule="atLeast"/>
        </w:trPr>
        <w:tc>
          <w:tcPr>
            <w:tcW w:w="675" w:type="dxa"/>
            <w:vMerge w:val="continue"/>
            <w:vAlign w:val="center"/>
          </w:tcPr>
          <w:p w14:paraId="5859B3B1">
            <w:pPr>
              <w:widowControl/>
              <w:jc w:val="left"/>
              <w:rPr>
                <w:rFonts w:hint="eastAsia" w:ascii="宋体" w:hAnsi="宋体" w:cs="宋体"/>
                <w:highlight w:val="none"/>
              </w:rPr>
            </w:pPr>
          </w:p>
        </w:tc>
        <w:tc>
          <w:tcPr>
            <w:tcW w:w="1080" w:type="dxa"/>
            <w:shd w:val="clear" w:color="auto" w:fill="auto"/>
            <w:vAlign w:val="center"/>
          </w:tcPr>
          <w:p w14:paraId="620588FE">
            <w:pPr>
              <w:widowControl/>
              <w:jc w:val="center"/>
              <w:rPr>
                <w:rFonts w:hint="eastAsia" w:ascii="宋体" w:hAnsi="宋体" w:cs="宋体"/>
                <w:highlight w:val="none"/>
              </w:rPr>
            </w:pPr>
            <w:r>
              <w:rPr>
                <w:rFonts w:hint="eastAsia" w:ascii="宋体" w:hAnsi="宋体" w:cs="宋体"/>
                <w:highlight w:val="none"/>
              </w:rPr>
              <w:t>施工组织管理方案</w:t>
            </w:r>
          </w:p>
        </w:tc>
        <w:tc>
          <w:tcPr>
            <w:tcW w:w="642" w:type="dxa"/>
            <w:shd w:val="clear" w:color="auto" w:fill="auto"/>
            <w:vAlign w:val="center"/>
          </w:tcPr>
          <w:p w14:paraId="1A1078D5">
            <w:pPr>
              <w:widowControl/>
              <w:jc w:val="center"/>
              <w:rPr>
                <w:rFonts w:hint="eastAsia" w:ascii="宋体" w:hAnsi="宋体" w:cs="宋体"/>
                <w:highlight w:val="none"/>
              </w:rPr>
            </w:pPr>
            <w:r>
              <w:rPr>
                <w:rFonts w:hint="eastAsia" w:ascii="宋体" w:hAnsi="宋体" w:cs="宋体"/>
                <w:highlight w:val="none"/>
              </w:rPr>
              <w:t>6</w:t>
            </w:r>
          </w:p>
        </w:tc>
        <w:tc>
          <w:tcPr>
            <w:tcW w:w="7067" w:type="dxa"/>
            <w:shd w:val="clear" w:color="auto" w:fill="auto"/>
            <w:vAlign w:val="center"/>
          </w:tcPr>
          <w:p w14:paraId="0A0353D8">
            <w:pPr>
              <w:widowControl/>
              <w:ind w:firstLine="420" w:firstLineChars="200"/>
              <w:jc w:val="left"/>
              <w:rPr>
                <w:rFonts w:hint="eastAsia" w:ascii="宋体" w:hAnsi="宋体" w:cs="宋体"/>
                <w:highlight w:val="none"/>
              </w:rPr>
            </w:pPr>
            <w:r>
              <w:rPr>
                <w:rFonts w:hint="eastAsia" w:ascii="宋体" w:hAnsi="宋体" w:cs="宋体"/>
                <w:highlight w:val="none"/>
              </w:rPr>
              <w:t>根据投标人提供的项目管理方案进行评审，内容包括总体进度计划、质量目标、人员组织管理、安全文明措施等。</w:t>
            </w:r>
          </w:p>
          <w:p w14:paraId="0924EF91">
            <w:pPr>
              <w:widowControl/>
              <w:ind w:firstLine="420" w:firstLineChars="200"/>
              <w:jc w:val="left"/>
              <w:rPr>
                <w:rFonts w:hint="eastAsia" w:ascii="宋体" w:hAnsi="宋体" w:cs="宋体"/>
                <w:highlight w:val="none"/>
              </w:rPr>
            </w:pPr>
            <w:r>
              <w:rPr>
                <w:rFonts w:hint="eastAsia" w:ascii="宋体" w:hAnsi="宋体" w:cs="宋体"/>
                <w:highlight w:val="none"/>
              </w:rPr>
              <w:t>1.内容描述详细到位、完整清晰、可操作性强的，得6分；</w:t>
            </w:r>
          </w:p>
          <w:p w14:paraId="4880FC42">
            <w:pPr>
              <w:widowControl/>
              <w:ind w:firstLine="420" w:firstLineChars="200"/>
              <w:jc w:val="left"/>
              <w:rPr>
                <w:rFonts w:hint="eastAsia" w:ascii="宋体" w:hAnsi="宋体" w:cs="宋体"/>
                <w:highlight w:val="none"/>
              </w:rPr>
            </w:pPr>
            <w:r>
              <w:rPr>
                <w:rFonts w:hint="eastAsia" w:ascii="宋体" w:hAnsi="宋体" w:cs="宋体"/>
                <w:highlight w:val="none"/>
              </w:rPr>
              <w:t>2.内容描述较详细、完整较清晰、可操作性较强的，得4分；</w:t>
            </w:r>
          </w:p>
          <w:p w14:paraId="4FE817F6">
            <w:pPr>
              <w:widowControl/>
              <w:ind w:firstLine="420" w:firstLineChars="200"/>
              <w:jc w:val="left"/>
              <w:rPr>
                <w:rFonts w:hint="eastAsia" w:ascii="宋体" w:hAnsi="宋体" w:cs="宋体"/>
                <w:highlight w:val="none"/>
              </w:rPr>
            </w:pPr>
            <w:r>
              <w:rPr>
                <w:rFonts w:hint="eastAsia" w:ascii="宋体" w:hAnsi="宋体" w:cs="宋体"/>
                <w:highlight w:val="none"/>
              </w:rPr>
              <w:t>3.内容简单提及的，得2分；</w:t>
            </w:r>
          </w:p>
          <w:p w14:paraId="0C1FBE64">
            <w:pPr>
              <w:widowControl/>
              <w:ind w:firstLine="420" w:firstLineChars="200"/>
              <w:jc w:val="left"/>
              <w:rPr>
                <w:rFonts w:hint="eastAsia" w:ascii="宋体" w:hAnsi="宋体" w:cs="宋体"/>
                <w:highlight w:val="none"/>
              </w:rPr>
            </w:pPr>
            <w:r>
              <w:rPr>
                <w:rFonts w:hint="eastAsia" w:ascii="宋体" w:hAnsi="宋体" w:cs="宋体"/>
                <w:highlight w:val="none"/>
              </w:rPr>
              <w:t>4.未提供内容不得分。</w:t>
            </w:r>
          </w:p>
        </w:tc>
      </w:tr>
      <w:tr w14:paraId="2D463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5" w:hRule="atLeast"/>
        </w:trPr>
        <w:tc>
          <w:tcPr>
            <w:tcW w:w="675" w:type="dxa"/>
            <w:vMerge w:val="continue"/>
            <w:vAlign w:val="center"/>
          </w:tcPr>
          <w:p w14:paraId="5F6CDC08">
            <w:pPr>
              <w:widowControl/>
              <w:jc w:val="left"/>
              <w:rPr>
                <w:rFonts w:hint="eastAsia" w:ascii="宋体" w:hAnsi="宋体" w:cs="宋体"/>
                <w:highlight w:val="none"/>
              </w:rPr>
            </w:pPr>
          </w:p>
        </w:tc>
        <w:tc>
          <w:tcPr>
            <w:tcW w:w="1080" w:type="dxa"/>
            <w:vMerge w:val="restart"/>
            <w:shd w:val="clear" w:color="auto" w:fill="auto"/>
            <w:vAlign w:val="center"/>
          </w:tcPr>
          <w:p w14:paraId="731EFC61">
            <w:pPr>
              <w:widowControl/>
              <w:jc w:val="center"/>
              <w:rPr>
                <w:rFonts w:hint="eastAsia" w:ascii="宋体" w:hAnsi="宋体" w:cs="宋体"/>
                <w:highlight w:val="none"/>
              </w:rPr>
            </w:pPr>
            <w:r>
              <w:rPr>
                <w:rFonts w:hint="eastAsia" w:ascii="宋体" w:hAnsi="宋体" w:cs="宋体"/>
                <w:highlight w:val="none"/>
              </w:rPr>
              <w:t>精细化运营服务方案</w:t>
            </w:r>
          </w:p>
        </w:tc>
        <w:tc>
          <w:tcPr>
            <w:tcW w:w="642" w:type="dxa"/>
            <w:shd w:val="clear" w:color="auto" w:fill="auto"/>
            <w:vAlign w:val="center"/>
          </w:tcPr>
          <w:p w14:paraId="5C29CFE9">
            <w:pPr>
              <w:widowControl/>
              <w:jc w:val="center"/>
              <w:rPr>
                <w:rFonts w:hint="eastAsia" w:ascii="宋体" w:hAnsi="宋体" w:cs="宋体"/>
                <w:highlight w:val="none"/>
              </w:rPr>
            </w:pPr>
            <w:r>
              <w:rPr>
                <w:rFonts w:hint="eastAsia" w:ascii="宋体" w:hAnsi="宋体" w:cs="宋体"/>
                <w:highlight w:val="none"/>
              </w:rPr>
              <w:t>8</w:t>
            </w:r>
          </w:p>
        </w:tc>
        <w:tc>
          <w:tcPr>
            <w:tcW w:w="7067" w:type="dxa"/>
            <w:shd w:val="clear" w:color="auto" w:fill="auto"/>
            <w:vAlign w:val="center"/>
          </w:tcPr>
          <w:p w14:paraId="0CC4F3BD">
            <w:pPr>
              <w:widowControl/>
              <w:ind w:firstLine="420" w:firstLineChars="200"/>
              <w:jc w:val="left"/>
              <w:rPr>
                <w:rFonts w:hint="eastAsia" w:ascii="宋体" w:hAnsi="宋体" w:cs="宋体"/>
                <w:highlight w:val="none"/>
              </w:rPr>
            </w:pPr>
            <w:r>
              <w:rPr>
                <w:rFonts w:hint="eastAsia" w:ascii="宋体" w:hAnsi="宋体" w:cs="宋体"/>
                <w:highlight w:val="none"/>
              </w:rPr>
              <w:t>根据投标人提供的满足招标要求《能源托管服务项目运维管理标准》进行评审计分。运维管理标准的执行需与能源管理“一张网”平台的信息化功能对应。通过标准化和信息化融合的技术体系实现高品质、精细化运营管理服务和技术培训：</w:t>
            </w:r>
          </w:p>
          <w:p w14:paraId="022B75AF">
            <w:pPr>
              <w:widowControl/>
              <w:ind w:firstLine="420" w:firstLineChars="200"/>
              <w:jc w:val="left"/>
              <w:rPr>
                <w:rFonts w:hint="eastAsia" w:ascii="宋体" w:hAnsi="宋体" w:cs="宋体"/>
                <w:highlight w:val="none"/>
              </w:rPr>
            </w:pPr>
            <w:r>
              <w:rPr>
                <w:rFonts w:hint="eastAsia" w:ascii="宋体" w:hAnsi="宋体" w:cs="宋体"/>
                <w:highlight w:val="none"/>
              </w:rPr>
              <w:t>服务流程清晰，服务内容及标准详细完整，完全符合本项目需求，得8分；</w:t>
            </w:r>
            <w:r>
              <w:rPr>
                <w:rFonts w:hint="eastAsia" w:ascii="宋体" w:hAnsi="宋体" w:cs="宋体"/>
                <w:highlight w:val="none"/>
              </w:rPr>
              <w:br w:type="textWrapping"/>
            </w:r>
            <w:r>
              <w:rPr>
                <w:rFonts w:hint="eastAsia" w:ascii="宋体" w:hAnsi="宋体" w:cs="宋体"/>
                <w:highlight w:val="none"/>
              </w:rPr>
              <w:t>服务流程较清晰，服务内容及标准较详细完整，能够符合本项目需求，得5分；</w:t>
            </w:r>
          </w:p>
          <w:p w14:paraId="2232776A">
            <w:pPr>
              <w:widowControl/>
              <w:ind w:firstLine="420" w:firstLineChars="200"/>
              <w:jc w:val="left"/>
              <w:rPr>
                <w:rFonts w:hint="eastAsia" w:ascii="宋体" w:hAnsi="宋体" w:cs="宋体"/>
                <w:highlight w:val="none"/>
              </w:rPr>
            </w:pPr>
            <w:r>
              <w:rPr>
                <w:rFonts w:hint="eastAsia" w:ascii="宋体" w:hAnsi="宋体" w:cs="宋体"/>
                <w:highlight w:val="none"/>
              </w:rPr>
              <w:t>服务流程一般，服务内容及标准一般，基本符合本项目需求，得2分；</w:t>
            </w:r>
          </w:p>
          <w:p w14:paraId="02495F61">
            <w:pPr>
              <w:widowControl/>
              <w:ind w:firstLine="420" w:firstLineChars="200"/>
              <w:jc w:val="left"/>
              <w:rPr>
                <w:rFonts w:hint="eastAsia" w:ascii="宋体" w:hAnsi="宋体" w:cs="宋体"/>
                <w:highlight w:val="none"/>
              </w:rPr>
            </w:pPr>
            <w:r>
              <w:rPr>
                <w:rFonts w:hint="eastAsia" w:ascii="宋体" w:hAnsi="宋体" w:cs="宋体"/>
                <w:highlight w:val="none"/>
              </w:rPr>
              <w:t>提供的组织体系和运营管理服务标准不符合要求或无标准的，不得分。</w:t>
            </w:r>
          </w:p>
        </w:tc>
      </w:tr>
      <w:tr w14:paraId="766CA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trPr>
        <w:tc>
          <w:tcPr>
            <w:tcW w:w="675" w:type="dxa"/>
            <w:vMerge w:val="continue"/>
            <w:vAlign w:val="center"/>
          </w:tcPr>
          <w:p w14:paraId="6ECE080B">
            <w:pPr>
              <w:widowControl/>
              <w:jc w:val="left"/>
              <w:rPr>
                <w:rFonts w:hint="eastAsia" w:ascii="宋体" w:hAnsi="宋体" w:cs="宋体"/>
                <w:highlight w:val="none"/>
              </w:rPr>
            </w:pPr>
          </w:p>
        </w:tc>
        <w:tc>
          <w:tcPr>
            <w:tcW w:w="1080" w:type="dxa"/>
            <w:vMerge w:val="continue"/>
            <w:vAlign w:val="center"/>
          </w:tcPr>
          <w:p w14:paraId="78270EC6">
            <w:pPr>
              <w:widowControl/>
              <w:jc w:val="left"/>
              <w:rPr>
                <w:rFonts w:hint="eastAsia" w:ascii="宋体" w:hAnsi="宋体" w:cs="宋体"/>
                <w:highlight w:val="none"/>
              </w:rPr>
            </w:pPr>
          </w:p>
        </w:tc>
        <w:tc>
          <w:tcPr>
            <w:tcW w:w="642" w:type="dxa"/>
            <w:shd w:val="clear" w:color="auto" w:fill="auto"/>
            <w:vAlign w:val="center"/>
          </w:tcPr>
          <w:p w14:paraId="4B6F81DC">
            <w:pPr>
              <w:widowControl/>
              <w:jc w:val="center"/>
              <w:rPr>
                <w:highlight w:val="none"/>
              </w:rPr>
            </w:pPr>
            <w:r>
              <w:rPr>
                <w:highlight w:val="none"/>
              </w:rPr>
              <w:t>6</w:t>
            </w:r>
          </w:p>
        </w:tc>
        <w:tc>
          <w:tcPr>
            <w:tcW w:w="7067" w:type="dxa"/>
            <w:shd w:val="clear" w:color="auto" w:fill="auto"/>
            <w:vAlign w:val="center"/>
          </w:tcPr>
          <w:p w14:paraId="379D870C">
            <w:pPr>
              <w:widowControl/>
              <w:ind w:firstLine="420" w:firstLineChars="200"/>
              <w:jc w:val="left"/>
              <w:rPr>
                <w:rFonts w:hint="eastAsia" w:ascii="宋体" w:hAnsi="宋体" w:cs="宋体"/>
                <w:highlight w:val="none"/>
              </w:rPr>
            </w:pPr>
            <w:r>
              <w:rPr>
                <w:rFonts w:hint="eastAsia" w:ascii="宋体" w:hAnsi="宋体" w:cs="宋体"/>
                <w:highlight w:val="none"/>
              </w:rPr>
              <w:t>根据投标人提供的信息化系统及设施设备运维服务方案进行评审计分：</w:t>
            </w:r>
          </w:p>
          <w:p w14:paraId="1D6EBE61">
            <w:pPr>
              <w:widowControl/>
              <w:ind w:firstLine="420" w:firstLineChars="200"/>
              <w:jc w:val="left"/>
              <w:rPr>
                <w:rFonts w:hint="eastAsia" w:ascii="宋体" w:hAnsi="宋体" w:cs="宋体"/>
                <w:highlight w:val="none"/>
              </w:rPr>
            </w:pPr>
            <w:r>
              <w:rPr>
                <w:rFonts w:hint="eastAsia" w:ascii="宋体" w:hAnsi="宋体" w:cs="宋体"/>
                <w:highlight w:val="none"/>
              </w:rPr>
              <w:t>方案内容描述详细到位、完整清晰、可操作性强的，得6分；</w:t>
            </w:r>
          </w:p>
          <w:p w14:paraId="39443259">
            <w:pPr>
              <w:widowControl/>
              <w:ind w:firstLine="420" w:firstLineChars="200"/>
              <w:jc w:val="left"/>
              <w:rPr>
                <w:rFonts w:hint="eastAsia" w:ascii="宋体" w:hAnsi="宋体" w:cs="宋体"/>
                <w:highlight w:val="none"/>
              </w:rPr>
            </w:pPr>
            <w:r>
              <w:rPr>
                <w:rFonts w:hint="eastAsia" w:ascii="宋体" w:hAnsi="宋体" w:cs="宋体"/>
                <w:highlight w:val="none"/>
              </w:rPr>
              <w:t>方案内容描述较详细、较完整清晰、可操作性较强的，得4分；</w:t>
            </w:r>
          </w:p>
          <w:p w14:paraId="78499F51">
            <w:pPr>
              <w:widowControl/>
              <w:ind w:firstLine="420" w:firstLineChars="200"/>
              <w:jc w:val="left"/>
              <w:rPr>
                <w:rFonts w:hint="eastAsia" w:ascii="宋体" w:hAnsi="宋体" w:cs="宋体"/>
                <w:highlight w:val="none"/>
              </w:rPr>
            </w:pPr>
            <w:r>
              <w:rPr>
                <w:rFonts w:hint="eastAsia" w:ascii="宋体" w:hAnsi="宋体" w:cs="宋体"/>
                <w:highlight w:val="none"/>
              </w:rPr>
              <w:t>方案内容描述一般、完整度一般、可操作性一般的，得2分；</w:t>
            </w:r>
          </w:p>
          <w:p w14:paraId="04C6E47E">
            <w:pPr>
              <w:widowControl/>
              <w:ind w:firstLine="420" w:firstLineChars="200"/>
              <w:jc w:val="left"/>
              <w:rPr>
                <w:rFonts w:hint="eastAsia" w:ascii="宋体" w:hAnsi="宋体" w:cs="宋体"/>
                <w:highlight w:val="none"/>
              </w:rPr>
            </w:pPr>
            <w:r>
              <w:rPr>
                <w:rFonts w:hint="eastAsia" w:ascii="宋体" w:hAnsi="宋体" w:cs="宋体"/>
                <w:highlight w:val="none"/>
              </w:rPr>
              <w:t>方案完全不符合实际或未提供方案的不得分。</w:t>
            </w:r>
          </w:p>
        </w:tc>
      </w:tr>
      <w:tr w14:paraId="726CA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675" w:type="dxa"/>
            <w:vMerge w:val="continue"/>
            <w:vAlign w:val="center"/>
          </w:tcPr>
          <w:p w14:paraId="675E46EC">
            <w:pPr>
              <w:widowControl/>
              <w:jc w:val="left"/>
              <w:rPr>
                <w:rFonts w:hint="eastAsia" w:ascii="宋体" w:hAnsi="宋体" w:cs="宋体"/>
                <w:highlight w:val="none"/>
              </w:rPr>
            </w:pPr>
          </w:p>
        </w:tc>
        <w:tc>
          <w:tcPr>
            <w:tcW w:w="1080" w:type="dxa"/>
            <w:vMerge w:val="continue"/>
            <w:vAlign w:val="center"/>
          </w:tcPr>
          <w:p w14:paraId="6C0C3A25">
            <w:pPr>
              <w:widowControl/>
              <w:jc w:val="left"/>
              <w:rPr>
                <w:rFonts w:hint="eastAsia" w:ascii="宋体" w:hAnsi="宋体" w:cs="宋体"/>
                <w:highlight w:val="none"/>
              </w:rPr>
            </w:pPr>
          </w:p>
        </w:tc>
        <w:tc>
          <w:tcPr>
            <w:tcW w:w="642" w:type="dxa"/>
            <w:shd w:val="clear" w:color="auto" w:fill="auto"/>
            <w:vAlign w:val="center"/>
          </w:tcPr>
          <w:p w14:paraId="04ED805E">
            <w:pPr>
              <w:widowControl/>
              <w:jc w:val="center"/>
              <w:rPr>
                <w:rFonts w:hint="eastAsia" w:ascii="宋体" w:hAnsi="宋体" w:cs="宋体"/>
                <w:highlight w:val="none"/>
              </w:rPr>
            </w:pPr>
            <w:r>
              <w:rPr>
                <w:rFonts w:hint="eastAsia" w:ascii="宋体" w:hAnsi="宋体" w:cs="宋体"/>
                <w:highlight w:val="none"/>
              </w:rPr>
              <w:t>5</w:t>
            </w:r>
          </w:p>
        </w:tc>
        <w:tc>
          <w:tcPr>
            <w:tcW w:w="7067" w:type="dxa"/>
            <w:shd w:val="clear" w:color="auto" w:fill="auto"/>
            <w:vAlign w:val="center"/>
          </w:tcPr>
          <w:p w14:paraId="2540B618">
            <w:pPr>
              <w:widowControl/>
              <w:ind w:firstLine="420" w:firstLineChars="200"/>
              <w:jc w:val="left"/>
              <w:rPr>
                <w:rFonts w:hint="eastAsia" w:ascii="宋体" w:hAnsi="宋体" w:cs="宋体"/>
                <w:highlight w:val="none"/>
              </w:rPr>
            </w:pPr>
            <w:r>
              <w:rPr>
                <w:rFonts w:hint="eastAsia" w:ascii="宋体" w:hAnsi="宋体" w:cs="宋体"/>
                <w:highlight w:val="none"/>
              </w:rPr>
              <w:t>根据投标人提供的按月度、季度、年度出具“能源网运行报告”模板进行评审计分：</w:t>
            </w:r>
          </w:p>
          <w:p w14:paraId="3AABB6E5">
            <w:pPr>
              <w:widowControl/>
              <w:ind w:firstLine="420" w:firstLineChars="200"/>
              <w:jc w:val="left"/>
              <w:rPr>
                <w:rFonts w:hint="eastAsia" w:ascii="宋体" w:hAnsi="宋体" w:cs="宋体"/>
                <w:highlight w:val="none"/>
              </w:rPr>
            </w:pPr>
            <w:r>
              <w:rPr>
                <w:rFonts w:hint="eastAsia" w:ascii="宋体" w:hAnsi="宋体" w:cs="宋体"/>
                <w:highlight w:val="none"/>
              </w:rPr>
              <w:t>模板内容详细到位、完整清晰的，实用性强的得5分；</w:t>
            </w:r>
          </w:p>
          <w:p w14:paraId="1EB8FB3E">
            <w:pPr>
              <w:widowControl/>
              <w:ind w:firstLine="420" w:firstLineChars="200"/>
              <w:jc w:val="left"/>
              <w:rPr>
                <w:rFonts w:hint="eastAsia" w:ascii="宋体" w:hAnsi="宋体" w:cs="宋体"/>
                <w:highlight w:val="none"/>
              </w:rPr>
            </w:pPr>
            <w:r>
              <w:rPr>
                <w:rFonts w:hint="eastAsia" w:ascii="宋体" w:hAnsi="宋体" w:cs="宋体"/>
                <w:highlight w:val="none"/>
              </w:rPr>
              <w:t>模板内容较详细、完整较清晰，实用性较强的得3分；</w:t>
            </w:r>
          </w:p>
          <w:p w14:paraId="14723E69">
            <w:pPr>
              <w:widowControl/>
              <w:ind w:firstLine="420" w:firstLineChars="200"/>
              <w:jc w:val="left"/>
              <w:rPr>
                <w:rFonts w:hint="eastAsia" w:ascii="宋体" w:hAnsi="宋体" w:cs="宋体"/>
                <w:highlight w:val="none"/>
              </w:rPr>
            </w:pPr>
            <w:r>
              <w:rPr>
                <w:rFonts w:hint="eastAsia" w:ascii="宋体" w:hAnsi="宋体" w:cs="宋体"/>
                <w:highlight w:val="none"/>
              </w:rPr>
              <w:t>模板内容简单提及、实用性较差的得1分；</w:t>
            </w:r>
          </w:p>
          <w:p w14:paraId="01366861">
            <w:pPr>
              <w:widowControl/>
              <w:ind w:firstLine="420" w:firstLineChars="200"/>
              <w:jc w:val="left"/>
              <w:rPr>
                <w:rFonts w:hint="eastAsia" w:ascii="宋体" w:hAnsi="宋体" w:cs="宋体"/>
                <w:highlight w:val="none"/>
              </w:rPr>
            </w:pPr>
            <w:r>
              <w:rPr>
                <w:rFonts w:hint="eastAsia" w:ascii="宋体" w:hAnsi="宋体" w:cs="宋体"/>
                <w:highlight w:val="none"/>
              </w:rPr>
              <w:t>其他情况不得分。</w:t>
            </w:r>
          </w:p>
        </w:tc>
      </w:tr>
      <w:tr w14:paraId="24E3D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2" w:hRule="atLeast"/>
        </w:trPr>
        <w:tc>
          <w:tcPr>
            <w:tcW w:w="675" w:type="dxa"/>
            <w:vMerge w:val="continue"/>
            <w:vAlign w:val="center"/>
          </w:tcPr>
          <w:p w14:paraId="22EA948B">
            <w:pPr>
              <w:widowControl/>
              <w:jc w:val="left"/>
              <w:rPr>
                <w:rFonts w:hint="eastAsia" w:ascii="宋体" w:hAnsi="宋体" w:cs="宋体"/>
                <w:highlight w:val="none"/>
              </w:rPr>
            </w:pPr>
          </w:p>
        </w:tc>
        <w:tc>
          <w:tcPr>
            <w:tcW w:w="1080" w:type="dxa"/>
            <w:shd w:val="clear" w:color="auto" w:fill="auto"/>
            <w:vAlign w:val="center"/>
          </w:tcPr>
          <w:p w14:paraId="169D8CF6">
            <w:pPr>
              <w:widowControl/>
              <w:jc w:val="center"/>
              <w:rPr>
                <w:rFonts w:hint="eastAsia" w:ascii="宋体" w:hAnsi="宋体" w:cs="宋体"/>
                <w:highlight w:val="none"/>
              </w:rPr>
            </w:pPr>
            <w:r>
              <w:rPr>
                <w:rFonts w:hint="eastAsia" w:ascii="宋体" w:hAnsi="宋体" w:cs="宋体"/>
                <w:highlight w:val="none"/>
              </w:rPr>
              <w:t>信息安全方案</w:t>
            </w:r>
          </w:p>
        </w:tc>
        <w:tc>
          <w:tcPr>
            <w:tcW w:w="642" w:type="dxa"/>
            <w:shd w:val="clear" w:color="auto" w:fill="auto"/>
            <w:vAlign w:val="center"/>
          </w:tcPr>
          <w:p w14:paraId="65376B2D">
            <w:pPr>
              <w:widowControl/>
              <w:jc w:val="center"/>
              <w:rPr>
                <w:rFonts w:hint="eastAsia" w:ascii="宋体" w:hAnsi="宋体" w:cs="宋体"/>
                <w:highlight w:val="none"/>
              </w:rPr>
            </w:pPr>
            <w:r>
              <w:rPr>
                <w:rFonts w:hint="eastAsia" w:ascii="宋体" w:hAnsi="宋体" w:cs="宋体"/>
                <w:highlight w:val="none"/>
              </w:rPr>
              <w:t>6</w:t>
            </w:r>
          </w:p>
        </w:tc>
        <w:tc>
          <w:tcPr>
            <w:tcW w:w="7067" w:type="dxa"/>
            <w:shd w:val="clear" w:color="auto" w:fill="auto"/>
            <w:vAlign w:val="center"/>
          </w:tcPr>
          <w:p w14:paraId="4F6D0BBF">
            <w:pPr>
              <w:widowControl/>
              <w:ind w:firstLine="420" w:firstLineChars="200"/>
              <w:jc w:val="left"/>
              <w:rPr>
                <w:rFonts w:hint="eastAsia" w:ascii="宋体" w:hAnsi="宋体" w:cs="宋体"/>
                <w:highlight w:val="none"/>
              </w:rPr>
            </w:pPr>
            <w:r>
              <w:rPr>
                <w:rFonts w:hint="eastAsia" w:ascii="宋体" w:hAnsi="宋体" w:cs="宋体"/>
                <w:highlight w:val="none"/>
              </w:rPr>
              <w:t>根据投标人提供的满足招标要求信息安全方案进行评审计分，提供针对本项目的数据保密及信息安全保障方案：</w:t>
            </w:r>
          </w:p>
          <w:p w14:paraId="5DA66CE2">
            <w:pPr>
              <w:widowControl/>
              <w:ind w:firstLine="420" w:firstLineChars="200"/>
              <w:jc w:val="left"/>
              <w:rPr>
                <w:rFonts w:hint="eastAsia" w:ascii="宋体" w:hAnsi="宋体" w:cs="宋体"/>
                <w:highlight w:val="none"/>
              </w:rPr>
            </w:pPr>
            <w:r>
              <w:rPr>
                <w:rFonts w:hint="eastAsia" w:ascii="宋体" w:hAnsi="宋体" w:cs="宋体"/>
                <w:highlight w:val="none"/>
              </w:rPr>
              <w:t>方案内容描述详细到位、完整清晰、可操作性强的，得6分；</w:t>
            </w:r>
          </w:p>
          <w:p w14:paraId="6CC951F9">
            <w:pPr>
              <w:widowControl/>
              <w:ind w:firstLine="420" w:firstLineChars="200"/>
              <w:jc w:val="left"/>
              <w:rPr>
                <w:rFonts w:hint="eastAsia" w:ascii="宋体" w:hAnsi="宋体" w:cs="宋体"/>
                <w:highlight w:val="none"/>
              </w:rPr>
            </w:pPr>
            <w:r>
              <w:rPr>
                <w:rFonts w:hint="eastAsia" w:ascii="宋体" w:hAnsi="宋体" w:cs="宋体"/>
                <w:highlight w:val="none"/>
              </w:rPr>
              <w:t>方案内容描述较详细、较完整清晰、可操作性较强的，得4分；</w:t>
            </w:r>
          </w:p>
          <w:p w14:paraId="01C4F5C3">
            <w:pPr>
              <w:widowControl/>
              <w:ind w:firstLine="420" w:firstLineChars="200"/>
              <w:jc w:val="left"/>
              <w:rPr>
                <w:rFonts w:hint="eastAsia" w:ascii="宋体" w:hAnsi="宋体" w:cs="宋体"/>
                <w:highlight w:val="none"/>
              </w:rPr>
            </w:pPr>
            <w:r>
              <w:rPr>
                <w:rFonts w:hint="eastAsia" w:ascii="宋体" w:hAnsi="宋体" w:cs="宋体"/>
                <w:highlight w:val="none"/>
              </w:rPr>
              <w:t>方案内容描述一般、完整清晰度一般、可操作性一般的，得2分；</w:t>
            </w:r>
          </w:p>
          <w:p w14:paraId="42A5B68D">
            <w:pPr>
              <w:widowControl/>
              <w:ind w:firstLine="420" w:firstLineChars="200"/>
              <w:jc w:val="left"/>
              <w:rPr>
                <w:rFonts w:hint="eastAsia" w:ascii="宋体" w:hAnsi="宋体" w:cs="宋体"/>
                <w:highlight w:val="none"/>
              </w:rPr>
            </w:pPr>
            <w:r>
              <w:rPr>
                <w:rFonts w:hint="eastAsia" w:ascii="宋体" w:hAnsi="宋体" w:cs="宋体"/>
                <w:highlight w:val="none"/>
              </w:rPr>
              <w:t>方案完全不符合实际或未提供方案的不得分。</w:t>
            </w:r>
          </w:p>
        </w:tc>
      </w:tr>
      <w:tr w14:paraId="5E833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75" w:type="dxa"/>
            <w:shd w:val="clear" w:color="auto" w:fill="auto"/>
            <w:vAlign w:val="center"/>
          </w:tcPr>
          <w:p w14:paraId="50017CD1">
            <w:pPr>
              <w:widowControl/>
              <w:jc w:val="center"/>
              <w:rPr>
                <w:rFonts w:hint="eastAsia" w:ascii="宋体" w:hAnsi="宋体" w:cs="宋体"/>
                <w:highlight w:val="none"/>
              </w:rPr>
            </w:pPr>
            <w:r>
              <w:rPr>
                <w:rFonts w:hint="eastAsia" w:ascii="宋体" w:hAnsi="宋体" w:cs="宋体"/>
                <w:highlight w:val="none"/>
              </w:rPr>
              <w:t>五</w:t>
            </w:r>
          </w:p>
        </w:tc>
        <w:tc>
          <w:tcPr>
            <w:tcW w:w="8789" w:type="dxa"/>
            <w:gridSpan w:val="3"/>
            <w:shd w:val="clear" w:color="auto" w:fill="auto"/>
            <w:vAlign w:val="center"/>
          </w:tcPr>
          <w:p w14:paraId="27DE2F8A">
            <w:pPr>
              <w:widowControl/>
              <w:jc w:val="left"/>
              <w:rPr>
                <w:rFonts w:hint="eastAsia" w:ascii="宋体" w:hAnsi="宋体" w:cs="宋体"/>
                <w:highlight w:val="none"/>
              </w:rPr>
            </w:pPr>
            <w:r>
              <w:rPr>
                <w:rFonts w:hint="eastAsia" w:ascii="宋体" w:hAnsi="宋体" w:cs="宋体"/>
                <w:highlight w:val="none"/>
              </w:rPr>
              <w:t>诚信投标（1分）</w:t>
            </w:r>
          </w:p>
        </w:tc>
      </w:tr>
      <w:tr w14:paraId="67424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5" w:type="dxa"/>
            <w:shd w:val="clear" w:color="auto" w:fill="auto"/>
            <w:vAlign w:val="center"/>
          </w:tcPr>
          <w:p w14:paraId="008F89C4">
            <w:pPr>
              <w:widowControl/>
              <w:jc w:val="center"/>
              <w:rPr>
                <w:rFonts w:hint="eastAsia" w:ascii="宋体" w:hAnsi="宋体" w:cs="宋体"/>
                <w:highlight w:val="none"/>
              </w:rPr>
            </w:pPr>
            <w:r>
              <w:rPr>
                <w:rFonts w:hint="eastAsia" w:ascii="宋体" w:hAnsi="宋体" w:cs="宋体"/>
                <w:highlight w:val="none"/>
              </w:rPr>
              <w:t>1</w:t>
            </w:r>
          </w:p>
        </w:tc>
        <w:tc>
          <w:tcPr>
            <w:tcW w:w="1080" w:type="dxa"/>
            <w:shd w:val="clear" w:color="auto" w:fill="auto"/>
            <w:vAlign w:val="center"/>
          </w:tcPr>
          <w:p w14:paraId="418F88D8">
            <w:pPr>
              <w:widowControl/>
              <w:jc w:val="center"/>
              <w:rPr>
                <w:rFonts w:hint="eastAsia" w:ascii="宋体" w:hAnsi="宋体" w:cs="宋体"/>
                <w:highlight w:val="none"/>
              </w:rPr>
            </w:pPr>
            <w:r>
              <w:rPr>
                <w:rFonts w:hint="eastAsia" w:ascii="宋体" w:hAnsi="宋体" w:cs="宋体"/>
                <w:highlight w:val="none"/>
              </w:rPr>
              <w:t>诚信投标</w:t>
            </w:r>
          </w:p>
        </w:tc>
        <w:tc>
          <w:tcPr>
            <w:tcW w:w="642" w:type="dxa"/>
            <w:shd w:val="clear" w:color="auto" w:fill="auto"/>
            <w:vAlign w:val="center"/>
          </w:tcPr>
          <w:p w14:paraId="3614FC81">
            <w:pPr>
              <w:widowControl/>
              <w:jc w:val="center"/>
              <w:rPr>
                <w:rFonts w:hint="eastAsia" w:ascii="宋体" w:hAnsi="宋体" w:cs="宋体"/>
                <w:highlight w:val="none"/>
              </w:rPr>
            </w:pPr>
            <w:r>
              <w:rPr>
                <w:rFonts w:hint="eastAsia" w:ascii="宋体" w:hAnsi="宋体" w:cs="宋体"/>
                <w:highlight w:val="none"/>
              </w:rPr>
              <w:t>1</w:t>
            </w:r>
          </w:p>
        </w:tc>
        <w:tc>
          <w:tcPr>
            <w:tcW w:w="7067" w:type="dxa"/>
            <w:shd w:val="clear" w:color="auto" w:fill="auto"/>
            <w:vAlign w:val="center"/>
          </w:tcPr>
          <w:p w14:paraId="21AF2CEC">
            <w:pPr>
              <w:widowControl/>
              <w:jc w:val="left"/>
              <w:rPr>
                <w:rFonts w:hint="eastAsia" w:ascii="宋体" w:hAnsi="宋体" w:cs="宋体"/>
                <w:highlight w:val="none"/>
              </w:rPr>
            </w:pPr>
            <w:r>
              <w:rPr>
                <w:rFonts w:hint="eastAsia" w:ascii="宋体" w:hAnsi="宋体" w:cs="宋体"/>
                <w:highlight w:val="none"/>
              </w:rPr>
              <w:t>投标人提供签字并盖章的《盐城市政府采购事前信用承诺书》的得1分</w:t>
            </w:r>
          </w:p>
        </w:tc>
      </w:tr>
    </w:tbl>
    <w:p w14:paraId="45FD393C">
      <w:pPr>
        <w:spacing w:line="360" w:lineRule="auto"/>
        <w:ind w:firstLine="480"/>
        <w:rPr>
          <w:rFonts w:hint="eastAsia" w:ascii="宋体" w:hAnsi="宋体" w:cs="宋体"/>
          <w:sz w:val="24"/>
          <w:szCs w:val="24"/>
          <w:highlight w:val="none"/>
        </w:rPr>
      </w:pPr>
    </w:p>
    <w:p w14:paraId="77DA354C">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注：本次投标，投标牵头方或者成员单位提供的人员配备与企业综合实力相关证明材料，评审时均予以认可。</w:t>
      </w:r>
    </w:p>
    <w:p w14:paraId="4171638A">
      <w:pPr>
        <w:spacing w:line="360" w:lineRule="auto"/>
        <w:ind w:firstLine="442"/>
        <w:rPr>
          <w:rFonts w:hint="eastAsia" w:ascii="宋体" w:hAnsi="宋体" w:cs="宋体"/>
          <w:sz w:val="24"/>
          <w:szCs w:val="24"/>
          <w:highlight w:val="none"/>
        </w:rPr>
      </w:pPr>
      <w:r>
        <w:rPr>
          <w:rFonts w:hint="eastAsia" w:ascii="宋体" w:hAnsi="宋体" w:cs="宋体"/>
          <w:b/>
          <w:bCs/>
          <w:sz w:val="24"/>
          <w:szCs w:val="24"/>
          <w:highlight w:val="none"/>
        </w:rPr>
        <w:t>四、评标程序</w:t>
      </w:r>
    </w:p>
    <w:p w14:paraId="09454CC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4.1 评标准备</w:t>
      </w:r>
    </w:p>
    <w:p w14:paraId="4FCA16B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4.1.1 评标委员会成员到达评标现场时应在签到表上签到（或通过门禁系统签到）以证明其出席。</w:t>
      </w:r>
    </w:p>
    <w:p w14:paraId="0A595BF4">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4.1.2 评标委员会成员首先推选一名评标委员会负责人，负责评标活动的组织领导工作。</w:t>
      </w:r>
    </w:p>
    <w:p w14:paraId="2B2D14C9">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4.1.3 招标人或招标代理机构应向评标委员会提供评标所需的信息和数据。评标委员会负责人应组织评标委员会成员认真研究招标文件，未在招标文件中规定的标准和方法不得作为评标的依据。</w:t>
      </w:r>
    </w:p>
    <w:p w14:paraId="6A4534E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4.2 初步评审</w:t>
      </w:r>
    </w:p>
    <w:p w14:paraId="5EFF3CE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4.2.1评标委员会依据本章第2.1 款规定的标准对投标文件进行初步评审。</w:t>
      </w:r>
    </w:p>
    <w:p w14:paraId="11CB6E64">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4.2.2投标文件不符合本章第2.1款评审标准的，属于重大偏差，视为未能对招标文件作出实质性响应，应当作为无效投标予以否决。</w:t>
      </w:r>
    </w:p>
    <w:p w14:paraId="35DDD8EC">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4.2.3对照投标人须知6.4款，投标文件有上述情况之一，视为未能对招标文件作出实质性响应，凡招标文件未明确标明无效标条款的，评标委员会不得作为判定无效投标的依据。</w:t>
      </w:r>
    </w:p>
    <w:p w14:paraId="191A23A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4.2.4 投标报价有算术错误的，评标委员会按以下原则对投标报价进行修正，修正的价格经投标人书面确认后具有约束力。</w:t>
      </w:r>
    </w:p>
    <w:p w14:paraId="6C54D40A">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(1）投标文件中的大写金额与小写金额不一致的，以大写金额为准；</w:t>
      </w:r>
    </w:p>
    <w:p w14:paraId="1949712A">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(2）总价金额与依据单价计算出的结果不一致的，以单价金额为准修正总价，但单价金额小数点有明显错误的除外。</w:t>
      </w:r>
    </w:p>
    <w:p w14:paraId="128553B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4.2.5只有通过初步评审的投标文件才能进入详细评审。</w:t>
      </w:r>
    </w:p>
    <w:p w14:paraId="037BC12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4.3 详细评审</w:t>
      </w:r>
    </w:p>
    <w:p w14:paraId="63882F4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4.3.1 在详细评审发现符合“无效标书条款”的，应当作为无效投标予以否决，其投标报价亦不作为评标基准价的依据。</w:t>
      </w:r>
    </w:p>
    <w:p w14:paraId="65E9138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4.3.2 评标委员会按本章第2.2款规定的量化因素和分值进行打分，并计算出综合评估得分。</w:t>
      </w:r>
    </w:p>
    <w:p w14:paraId="5A30F774">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4.3.3 评分分值计算保留小数点后两位，小数点后第三位“四舍五入”。</w:t>
      </w:r>
    </w:p>
    <w:p w14:paraId="29A3695D">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4.4 投标文件的澄清和补正</w:t>
      </w:r>
    </w:p>
    <w:p w14:paraId="26462EE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4.4.1 在评标过程中，评标委员会可以书面形式要求投标人对所提交投标文件中不明确的内容进行书面澄清或说明，或者对细微偏差进行补正。评标委员会不接受投标人主动提出的澄清、说明或补正。</w:t>
      </w:r>
    </w:p>
    <w:p w14:paraId="2C51E619">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4.4.2 澄清、说明和补正不得改变投标文件的实质性内容（算术性错误修正的除外）。投标人的书面澄清、说明和补正属于投标文件的组成部分。</w:t>
      </w:r>
    </w:p>
    <w:p w14:paraId="565F306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4.4.3 评标委员会对投标人提交的澄清、说明或补正有疑问的，可以要求投标人进一步澄清、说明或补正。</w:t>
      </w:r>
    </w:p>
    <w:p w14:paraId="359F6D06">
      <w:pPr>
        <w:spacing w:line="480" w:lineRule="exact"/>
        <w:ind w:firstLine="420"/>
        <w:rPr>
          <w:rFonts w:hint="eastAsia" w:ascii="宋体" w:hAnsi="宋体" w:cs="宋体"/>
          <w:sz w:val="24"/>
          <w:szCs w:val="24"/>
          <w:highlight w:val="none"/>
        </w:rPr>
      </w:pPr>
      <w:bookmarkStart w:id="205" w:name="_Toc29388469"/>
      <w:r>
        <w:rPr>
          <w:rFonts w:hint="eastAsia" w:ascii="宋体" w:hAnsi="宋体" w:cs="宋体"/>
          <w:sz w:val="24"/>
          <w:szCs w:val="24"/>
          <w:highlight w:val="none"/>
        </w:rPr>
        <w:t>4．5 通用评标规则</w:t>
      </w:r>
      <w:bookmarkEnd w:id="205"/>
    </w:p>
    <w:p w14:paraId="48F8FCED">
      <w:pPr>
        <w:spacing w:line="480" w:lineRule="exact"/>
        <w:ind w:firstLine="420"/>
        <w:rPr>
          <w:rFonts w:hint="eastAsia" w:ascii="宋体" w:hAnsi="宋体" w:cs="宋体"/>
          <w:sz w:val="24"/>
          <w:szCs w:val="24"/>
          <w:highlight w:val="none"/>
        </w:rPr>
      </w:pPr>
      <w:bookmarkStart w:id="206" w:name="_Toc29388470"/>
      <w:r>
        <w:rPr>
          <w:rFonts w:hint="eastAsia" w:ascii="宋体" w:hAnsi="宋体" w:cs="宋体"/>
          <w:sz w:val="24"/>
          <w:szCs w:val="24"/>
          <w:highlight w:val="none"/>
        </w:rPr>
        <w:t>4.5.1 评标程序</w:t>
      </w:r>
      <w:bookmarkEnd w:id="206"/>
    </w:p>
    <w:p w14:paraId="01BA7267">
      <w:pPr>
        <w:spacing w:line="480" w:lineRule="exact"/>
        <w:ind w:firstLine="420"/>
        <w:rPr>
          <w:rFonts w:hint="eastAsia" w:ascii="宋体" w:hAnsi="宋体" w:cs="宋体"/>
          <w:sz w:val="24"/>
          <w:szCs w:val="24"/>
          <w:highlight w:val="none"/>
        </w:rPr>
      </w:pPr>
      <w:r>
        <w:rPr>
          <w:rFonts w:hint="eastAsia" w:ascii="宋体" w:hAnsi="宋体" w:cs="宋体"/>
          <w:sz w:val="24"/>
          <w:szCs w:val="24"/>
          <w:highlight w:val="none"/>
        </w:rPr>
        <w:t>资信文件、商务文件应分别评审，评审后不得更改。</w:t>
      </w:r>
    </w:p>
    <w:p w14:paraId="3D26E20D">
      <w:pPr>
        <w:spacing w:line="480" w:lineRule="exact"/>
        <w:ind w:firstLine="420"/>
        <w:rPr>
          <w:rFonts w:hint="eastAsia" w:ascii="宋体" w:hAnsi="宋体" w:cs="宋体"/>
          <w:sz w:val="24"/>
          <w:szCs w:val="24"/>
          <w:highlight w:val="none"/>
        </w:rPr>
      </w:pPr>
      <w:bookmarkStart w:id="207" w:name="_Toc29388472"/>
      <w:r>
        <w:rPr>
          <w:rFonts w:hint="eastAsia" w:ascii="宋体" w:hAnsi="宋体" w:cs="宋体"/>
          <w:sz w:val="24"/>
          <w:szCs w:val="24"/>
          <w:highlight w:val="none"/>
        </w:rPr>
        <w:t>4.5.2计价文件评审规定</w:t>
      </w:r>
      <w:bookmarkEnd w:id="207"/>
    </w:p>
    <w:p w14:paraId="49A985DE">
      <w:pPr>
        <w:spacing w:line="480" w:lineRule="exact"/>
        <w:ind w:firstLine="420"/>
        <w:rPr>
          <w:rFonts w:hint="eastAsia" w:ascii="宋体" w:hAnsi="宋体" w:cs="宋体"/>
          <w:sz w:val="24"/>
          <w:szCs w:val="24"/>
          <w:highlight w:val="none"/>
        </w:rPr>
      </w:pPr>
      <w:r>
        <w:rPr>
          <w:rFonts w:hint="eastAsia" w:ascii="宋体" w:hAnsi="宋体" w:cs="宋体"/>
          <w:sz w:val="24"/>
          <w:szCs w:val="24"/>
          <w:highlight w:val="none"/>
        </w:rPr>
        <w:t>4.5.3评标委员会认为投标人的投标报价有可能低于其个别成本时，应当要求投标人以书面方式作出澄清，并提供相关证明材料后再进行认定。</w:t>
      </w:r>
    </w:p>
    <w:p w14:paraId="42D502FB">
      <w:pPr>
        <w:spacing w:line="480" w:lineRule="exact"/>
        <w:ind w:firstLine="420"/>
        <w:rPr>
          <w:rFonts w:hint="eastAsia" w:ascii="宋体" w:hAnsi="宋体" w:cs="宋体"/>
          <w:b/>
          <w:bCs/>
          <w:sz w:val="24"/>
          <w:szCs w:val="24"/>
          <w:highlight w:val="none"/>
        </w:rPr>
      </w:pPr>
      <w:r>
        <w:rPr>
          <w:rFonts w:hint="eastAsia" w:ascii="宋体" w:hAnsi="宋体" w:cs="宋体"/>
          <w:b/>
          <w:bCs/>
          <w:sz w:val="24"/>
          <w:szCs w:val="24"/>
          <w:highlight w:val="none"/>
        </w:rPr>
        <w:t>4.5.4</w:t>
      </w:r>
      <w:r>
        <w:rPr>
          <w:rFonts w:ascii="宋体" w:hAnsi="宋体" w:cs="宋体"/>
          <w:b/>
          <w:bCs/>
          <w:sz w:val="24"/>
          <w:szCs w:val="24"/>
          <w:highlight w:val="none"/>
        </w:rPr>
        <w:t>评审过程中出现下列情形之一的，评审委员会应当启动异常低价投标（响应）审查程序：</w:t>
      </w:r>
    </w:p>
    <w:p w14:paraId="52818683">
      <w:pPr>
        <w:spacing w:line="480" w:lineRule="exact"/>
        <w:ind w:firstLine="420"/>
        <w:rPr>
          <w:rFonts w:hint="eastAsia" w:ascii="宋体" w:hAnsi="宋体" w:cs="宋体"/>
          <w:b/>
          <w:bCs/>
          <w:sz w:val="24"/>
          <w:szCs w:val="24"/>
          <w:highlight w:val="none"/>
        </w:rPr>
      </w:pPr>
      <w:r>
        <w:rPr>
          <w:rFonts w:hint="eastAsia" w:ascii="宋体" w:hAnsi="宋体" w:cs="宋体"/>
          <w:b/>
          <w:bCs/>
          <w:sz w:val="24"/>
          <w:szCs w:val="24"/>
          <w:highlight w:val="none"/>
        </w:rPr>
        <w:t>4.5.5</w:t>
      </w:r>
      <w:r>
        <w:rPr>
          <w:rFonts w:ascii="宋体" w:hAnsi="宋体" w:cs="宋体"/>
          <w:b/>
          <w:bCs/>
          <w:sz w:val="24"/>
          <w:szCs w:val="24"/>
          <w:highlight w:val="none"/>
        </w:rPr>
        <w:t xml:space="preserve">投标（响应）报价低于采购项目预算 50% 的，即投标（响应）报价&lt;采购项目预算×50% ； </w:t>
      </w:r>
    </w:p>
    <w:p w14:paraId="3C57404D">
      <w:pPr>
        <w:spacing w:line="480" w:lineRule="exact"/>
        <w:ind w:firstLine="420"/>
        <w:rPr>
          <w:rFonts w:hint="eastAsia" w:ascii="宋体" w:hAnsi="宋体" w:cs="宋体"/>
          <w:b/>
          <w:bCs/>
          <w:sz w:val="24"/>
          <w:szCs w:val="24"/>
          <w:highlight w:val="none"/>
        </w:rPr>
      </w:pPr>
      <w:r>
        <w:rPr>
          <w:rFonts w:hint="eastAsia" w:ascii="宋体" w:hAnsi="宋体" w:cs="宋体"/>
          <w:b/>
          <w:bCs/>
          <w:sz w:val="24"/>
          <w:szCs w:val="24"/>
          <w:highlight w:val="none"/>
        </w:rPr>
        <w:t>4.5.6</w:t>
      </w:r>
      <w:r>
        <w:rPr>
          <w:rFonts w:ascii="宋体" w:hAnsi="宋体" w:cs="宋体"/>
          <w:b/>
          <w:bCs/>
          <w:sz w:val="24"/>
          <w:szCs w:val="24"/>
          <w:highlight w:val="none"/>
        </w:rPr>
        <w:t xml:space="preserve">投标（响应）报价低于采购项目最高限价 45% 的，即投标（响应）报价&lt;采购项目最高限价×45% ； </w:t>
      </w:r>
    </w:p>
    <w:p w14:paraId="52B761BC">
      <w:pPr>
        <w:spacing w:line="480" w:lineRule="exact"/>
        <w:ind w:firstLine="420"/>
        <w:rPr>
          <w:rFonts w:hint="eastAsia" w:ascii="宋体" w:hAnsi="宋体" w:cs="宋体"/>
          <w:b/>
          <w:bCs/>
          <w:sz w:val="24"/>
          <w:szCs w:val="24"/>
          <w:highlight w:val="none"/>
        </w:rPr>
      </w:pPr>
      <w:r>
        <w:rPr>
          <w:rFonts w:hint="eastAsia" w:ascii="宋体" w:hAnsi="宋体" w:cs="宋体"/>
          <w:b/>
          <w:bCs/>
          <w:sz w:val="24"/>
          <w:szCs w:val="24"/>
          <w:highlight w:val="none"/>
        </w:rPr>
        <w:t>4.5.7</w:t>
      </w:r>
      <w:r>
        <w:rPr>
          <w:rFonts w:ascii="宋体" w:hAnsi="宋体" w:cs="宋体"/>
          <w:b/>
          <w:bCs/>
          <w:sz w:val="24"/>
          <w:szCs w:val="24"/>
          <w:highlight w:val="none"/>
        </w:rPr>
        <w:t xml:space="preserve">评审委员会认定的供应商报价过低、有可能影响产品质量或者不能诚信履约的其他情形。 </w:t>
      </w:r>
    </w:p>
    <w:p w14:paraId="42993C4A">
      <w:pPr>
        <w:spacing w:line="480" w:lineRule="exact"/>
        <w:ind w:firstLine="420"/>
        <w:rPr>
          <w:rFonts w:hint="eastAsia" w:ascii="宋体" w:hAnsi="宋体" w:cs="宋体"/>
          <w:sz w:val="24"/>
          <w:szCs w:val="24"/>
          <w:highlight w:val="none"/>
        </w:rPr>
      </w:pPr>
      <w:r>
        <w:rPr>
          <w:rFonts w:hint="eastAsia" w:ascii="宋体" w:hAnsi="宋体" w:cs="宋体"/>
          <w:b/>
          <w:bCs/>
          <w:sz w:val="24"/>
          <w:szCs w:val="24"/>
          <w:highlight w:val="none"/>
        </w:rPr>
        <w:t>4.5.8</w:t>
      </w:r>
      <w:r>
        <w:rPr>
          <w:rFonts w:ascii="宋体" w:hAnsi="宋体" w:cs="宋体"/>
          <w:b/>
          <w:bCs/>
          <w:sz w:val="24"/>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bCs/>
          <w:sz w:val="24"/>
          <w:szCs w:val="24"/>
          <w:highlight w:val="none"/>
        </w:rPr>
        <w:t>，</w:t>
      </w:r>
      <w:r>
        <w:rPr>
          <w:rFonts w:ascii="宋体" w:hAnsi="宋体" w:cs="宋体"/>
          <w:b/>
          <w:bCs/>
          <w:sz w:val="24"/>
          <w:szCs w:val="24"/>
          <w:highlight w:val="none"/>
        </w:rPr>
        <w:t>评审委员会应当将其作为无效投标（响应）处理。审查相关情况应当在评审报告中进行记录。</w:t>
      </w:r>
    </w:p>
    <w:p w14:paraId="111DFE2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4.5.9 推荐中标候选人或直接确定中标人</w:t>
      </w:r>
    </w:p>
    <w:p w14:paraId="2DBAF4CE">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4.5.10 除投标人须知前附表授权直接确定中标人外，评标委员会在推荐中标候选人时，应遵照以下原则:</w:t>
      </w:r>
    </w:p>
    <w:p w14:paraId="313DC31C">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评标委员会按照最终得分由高至低的次序排列，并根据投标人须知前附表规定的中标候选人数量，将排序在前的投标人推荐为中标候选人。</w:t>
      </w:r>
    </w:p>
    <w:p w14:paraId="4140BD8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 xml:space="preserve">4.6 提交评标报告 </w:t>
      </w:r>
    </w:p>
    <w:p w14:paraId="72507FD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评标委员会完成评标后，应当向招标人提交书面评标报告。评标报告应当由全体评标委员会成员签字，并于评标结束时抄送有关行政监督部门。</w:t>
      </w:r>
    </w:p>
    <w:p w14:paraId="26E7210B">
      <w:pPr>
        <w:pStyle w:val="38"/>
        <w:spacing w:line="360" w:lineRule="auto"/>
        <w:rPr>
          <w:rFonts w:hint="eastAsia" w:ascii="宋体" w:hAnsi="宋体" w:cs="宋体"/>
          <w:sz w:val="24"/>
          <w:szCs w:val="24"/>
          <w:highlight w:val="none"/>
        </w:rPr>
      </w:pPr>
    </w:p>
    <w:p w14:paraId="462B9DF4">
      <w:pPr>
        <w:rPr>
          <w:rFonts w:hint="eastAsia" w:ascii="宋体" w:hAnsi="宋体" w:cs="宋体"/>
          <w:sz w:val="24"/>
          <w:szCs w:val="24"/>
          <w:highlight w:val="none"/>
        </w:rPr>
      </w:pPr>
    </w:p>
    <w:p w14:paraId="5D511285">
      <w:pPr>
        <w:rPr>
          <w:rFonts w:hint="eastAsia" w:ascii="宋体" w:hAnsi="宋体" w:cs="宋体"/>
          <w:sz w:val="24"/>
          <w:szCs w:val="24"/>
          <w:highlight w:val="none"/>
        </w:rPr>
      </w:pPr>
    </w:p>
    <w:p w14:paraId="6A065F5A">
      <w:pPr>
        <w:rPr>
          <w:rFonts w:hint="eastAsia" w:ascii="宋体" w:hAnsi="宋体" w:cs="宋体"/>
          <w:sz w:val="24"/>
          <w:szCs w:val="24"/>
          <w:highlight w:val="none"/>
        </w:rPr>
      </w:pPr>
    </w:p>
    <w:p w14:paraId="46018D87">
      <w:pPr>
        <w:rPr>
          <w:rFonts w:hint="eastAsia" w:ascii="宋体" w:hAnsi="宋体" w:cs="宋体"/>
          <w:sz w:val="24"/>
          <w:szCs w:val="24"/>
          <w:highlight w:val="none"/>
        </w:rPr>
      </w:pPr>
    </w:p>
    <w:bookmarkEnd w:id="177"/>
    <w:bookmarkEnd w:id="178"/>
    <w:p w14:paraId="6357E208">
      <w:pPr>
        <w:spacing w:line="420" w:lineRule="exact"/>
        <w:ind w:right="281"/>
        <w:rPr>
          <w:rFonts w:hint="eastAsia" w:ascii="宋体" w:hAnsi="宋体"/>
          <w:b/>
          <w:bCs/>
          <w:sz w:val="40"/>
          <w:szCs w:val="40"/>
          <w:highlight w:val="none"/>
        </w:rPr>
      </w:pPr>
      <w:bookmarkStart w:id="208" w:name="_Toc31592"/>
      <w:bookmarkStart w:id="209" w:name="_Toc32002"/>
    </w:p>
    <w:p w14:paraId="0D58398E">
      <w:pPr>
        <w:jc w:val="center"/>
        <w:rPr>
          <w:rFonts w:hint="eastAsia" w:ascii="宋体" w:hAnsi="宋体" w:cs="宋体"/>
          <w:b/>
          <w:bCs/>
          <w:sz w:val="36"/>
          <w:szCs w:val="36"/>
          <w:highlight w:val="none"/>
        </w:rPr>
      </w:pPr>
      <w:r>
        <w:rPr>
          <w:rFonts w:hint="eastAsia" w:ascii="宋体" w:hAnsi="宋体" w:cs="宋体"/>
          <w:b/>
          <w:bCs/>
          <w:sz w:val="36"/>
          <w:szCs w:val="36"/>
          <w:highlight w:val="none"/>
        </w:rPr>
        <w:br w:type="page"/>
      </w:r>
    </w:p>
    <w:p w14:paraId="47163125">
      <w:pPr>
        <w:pageBreakBefore/>
        <w:spacing w:line="520" w:lineRule="exact"/>
        <w:jc w:val="center"/>
        <w:outlineLvl w:val="0"/>
        <w:rPr>
          <w:b/>
          <w:sz w:val="44"/>
          <w:szCs w:val="44"/>
          <w:highlight w:val="none"/>
        </w:rPr>
      </w:pPr>
      <w:bookmarkStart w:id="210" w:name="_Toc2005869778"/>
      <w:r>
        <w:rPr>
          <w:rFonts w:hint="eastAsia"/>
          <w:b/>
          <w:sz w:val="44"/>
          <w:szCs w:val="44"/>
          <w:highlight w:val="none"/>
        </w:rPr>
        <w:t>第五章  合同条款及格式</w:t>
      </w:r>
      <w:bookmarkEnd w:id="210"/>
    </w:p>
    <w:p w14:paraId="3568FE24">
      <w:pPr>
        <w:widowControl/>
        <w:ind w:firstLine="480" w:firstLineChars="200"/>
        <w:jc w:val="left"/>
        <w:rPr>
          <w:rFonts w:hint="eastAsia" w:ascii="宋体" w:hAnsi="宋体" w:cs="宋体"/>
          <w:sz w:val="24"/>
          <w:szCs w:val="20"/>
          <w:highlight w:val="none"/>
        </w:rPr>
      </w:pPr>
    </w:p>
    <w:p w14:paraId="31060377">
      <w:pPr>
        <w:widowControl/>
        <w:ind w:firstLine="480" w:firstLineChars="200"/>
        <w:jc w:val="left"/>
        <w:rPr>
          <w:rFonts w:hint="eastAsia" w:ascii="宋体" w:hAnsi="宋体" w:cs="宋体"/>
          <w:sz w:val="24"/>
          <w:szCs w:val="20"/>
          <w:highlight w:val="none"/>
        </w:rPr>
      </w:pPr>
      <w:r>
        <w:rPr>
          <w:rFonts w:hint="eastAsia" w:ascii="宋体" w:hAnsi="宋体" w:cs="宋体"/>
          <w:sz w:val="24"/>
          <w:szCs w:val="20"/>
          <w:highlight w:val="none"/>
        </w:rPr>
        <w:t>本合同文本为国管局办公室 市场监管总局办公厅发布的《公共机构能源费用托管项目服务合同（示范文本）》，如遇和实际情况有不符之处，双方签订合同时根据实际情况修改。</w:t>
      </w:r>
    </w:p>
    <w:p w14:paraId="0781344E">
      <w:pPr>
        <w:spacing w:before="2"/>
        <w:rPr>
          <w:rFonts w:hint="eastAsia" w:ascii="宋体" w:hAnsi="宋体" w:cs="宋体"/>
          <w:highlight w:val="none"/>
        </w:rPr>
      </w:pPr>
    </w:p>
    <w:p w14:paraId="29DFA254">
      <w:pPr>
        <w:pStyle w:val="8"/>
        <w:spacing w:line="266" w:lineRule="auto"/>
        <w:rPr>
          <w:rFonts w:hint="eastAsia" w:ascii="宋体" w:hAnsi="宋体" w:eastAsia="宋体" w:cs="宋体"/>
          <w:highlight w:val="none"/>
        </w:rPr>
      </w:pPr>
    </w:p>
    <w:p w14:paraId="5A4444AB">
      <w:pPr>
        <w:pStyle w:val="8"/>
        <w:spacing w:line="266" w:lineRule="auto"/>
        <w:rPr>
          <w:rFonts w:hint="eastAsia" w:ascii="宋体" w:hAnsi="宋体" w:eastAsia="宋体" w:cs="宋体"/>
          <w:highlight w:val="none"/>
        </w:rPr>
      </w:pPr>
    </w:p>
    <w:p w14:paraId="44998FC8">
      <w:pPr>
        <w:pStyle w:val="8"/>
        <w:spacing w:line="266" w:lineRule="auto"/>
        <w:rPr>
          <w:rFonts w:hint="eastAsia" w:ascii="宋体" w:hAnsi="宋体" w:eastAsia="宋体" w:cs="宋体"/>
          <w:highlight w:val="none"/>
        </w:rPr>
      </w:pPr>
    </w:p>
    <w:p w14:paraId="702B5BEE">
      <w:pPr>
        <w:pStyle w:val="8"/>
        <w:spacing w:line="266" w:lineRule="auto"/>
        <w:rPr>
          <w:rFonts w:hint="eastAsia" w:ascii="宋体" w:hAnsi="宋体" w:eastAsia="宋体" w:cs="宋体"/>
          <w:highlight w:val="none"/>
        </w:rPr>
      </w:pPr>
    </w:p>
    <w:p w14:paraId="46196060">
      <w:pPr>
        <w:pStyle w:val="8"/>
        <w:spacing w:line="267" w:lineRule="auto"/>
        <w:rPr>
          <w:rFonts w:hint="eastAsia" w:ascii="宋体" w:hAnsi="宋体" w:eastAsia="宋体" w:cs="宋体"/>
          <w:highlight w:val="none"/>
        </w:rPr>
      </w:pPr>
    </w:p>
    <w:p w14:paraId="1AA0F956">
      <w:pPr>
        <w:pStyle w:val="8"/>
        <w:spacing w:line="267" w:lineRule="auto"/>
        <w:rPr>
          <w:rFonts w:hint="eastAsia" w:ascii="宋体" w:hAnsi="宋体" w:eastAsia="宋体" w:cs="宋体"/>
          <w:highlight w:val="none"/>
        </w:rPr>
      </w:pPr>
    </w:p>
    <w:p w14:paraId="6E69F3DE">
      <w:pPr>
        <w:spacing w:line="257" w:lineRule="auto"/>
        <w:ind w:left="2336" w:right="788" w:hanging="2336"/>
        <w:jc w:val="center"/>
        <w:rPr>
          <w:rFonts w:hint="eastAsia" w:ascii="宋体" w:hAnsi="宋体" w:cs="宋体"/>
          <w:sz w:val="52"/>
          <w:szCs w:val="52"/>
          <w:highlight w:val="none"/>
        </w:rPr>
      </w:pPr>
      <w:r>
        <w:rPr>
          <w:rFonts w:hint="eastAsia" w:ascii="宋体" w:hAnsi="宋体" w:cs="宋体"/>
          <w:b/>
          <w:bCs/>
          <w:spacing w:val="-7"/>
          <w:sz w:val="52"/>
          <w:szCs w:val="52"/>
          <w:highlight w:val="none"/>
        </w:rPr>
        <w:t>整县（区）公共机构能源费用托管项目框架协议</w:t>
      </w:r>
    </w:p>
    <w:p w14:paraId="34B697E1">
      <w:pPr>
        <w:spacing w:before="41" w:line="195" w:lineRule="auto"/>
        <w:ind w:left="2950"/>
        <w:rPr>
          <w:rFonts w:hint="eastAsia" w:ascii="宋体" w:hAnsi="宋体" w:cs="宋体"/>
          <w:sz w:val="47"/>
          <w:szCs w:val="47"/>
          <w:highlight w:val="none"/>
        </w:rPr>
      </w:pPr>
      <w:r>
        <w:rPr>
          <w:rFonts w:hint="eastAsia" w:ascii="宋体" w:hAnsi="宋体" w:cs="宋体"/>
          <w:spacing w:val="15"/>
          <w:sz w:val="47"/>
          <w:szCs w:val="47"/>
          <w:highlight w:val="none"/>
        </w:rPr>
        <w:t>（示范文本）</w:t>
      </w:r>
    </w:p>
    <w:p w14:paraId="5EDE2E10">
      <w:pPr>
        <w:spacing w:before="2"/>
        <w:rPr>
          <w:rFonts w:hint="eastAsia" w:ascii="宋体" w:hAnsi="宋体" w:cs="宋体"/>
          <w:highlight w:val="none"/>
        </w:rPr>
      </w:pPr>
    </w:p>
    <w:p w14:paraId="31D23592">
      <w:pPr>
        <w:spacing w:before="2"/>
        <w:rPr>
          <w:rFonts w:hint="eastAsia" w:ascii="宋体" w:hAnsi="宋体" w:cs="宋体"/>
          <w:highlight w:val="none"/>
        </w:rPr>
      </w:pPr>
    </w:p>
    <w:p w14:paraId="218B2335">
      <w:pPr>
        <w:spacing w:before="1"/>
        <w:rPr>
          <w:rFonts w:hint="eastAsia" w:ascii="宋体" w:hAnsi="宋体" w:cs="宋体"/>
          <w:highlight w:val="none"/>
        </w:rPr>
      </w:pPr>
    </w:p>
    <w:p w14:paraId="7DA0A9A4">
      <w:pPr>
        <w:spacing w:before="1"/>
        <w:rPr>
          <w:rFonts w:hint="eastAsia" w:ascii="宋体" w:hAnsi="宋体" w:cs="宋体"/>
          <w:highlight w:val="none"/>
        </w:rPr>
      </w:pPr>
    </w:p>
    <w:p w14:paraId="4C567418">
      <w:pPr>
        <w:spacing w:before="1"/>
        <w:rPr>
          <w:rFonts w:hint="eastAsia" w:ascii="宋体" w:hAnsi="宋体" w:cs="宋体"/>
          <w:highlight w:val="none"/>
        </w:rPr>
      </w:pPr>
    </w:p>
    <w:p w14:paraId="7CE7EC65">
      <w:pPr>
        <w:spacing w:before="1"/>
        <w:rPr>
          <w:rFonts w:hint="eastAsia" w:ascii="宋体" w:hAnsi="宋体" w:cs="宋体"/>
          <w:highlight w:val="none"/>
        </w:rPr>
      </w:pPr>
    </w:p>
    <w:p w14:paraId="7D0477A4">
      <w:pPr>
        <w:spacing w:before="1"/>
        <w:rPr>
          <w:rFonts w:hint="eastAsia" w:ascii="宋体" w:hAnsi="宋体" w:cs="宋体"/>
          <w:highlight w:val="none"/>
        </w:rPr>
      </w:pPr>
    </w:p>
    <w:p w14:paraId="48B1BF92">
      <w:pPr>
        <w:spacing w:before="1"/>
        <w:rPr>
          <w:rFonts w:hint="eastAsia" w:ascii="宋体" w:hAnsi="宋体" w:cs="宋体"/>
          <w:highlight w:val="none"/>
        </w:rPr>
      </w:pPr>
    </w:p>
    <w:p w14:paraId="494C5796">
      <w:pPr>
        <w:spacing w:before="1"/>
        <w:rPr>
          <w:rFonts w:hint="eastAsia" w:ascii="宋体" w:hAnsi="宋体" w:cs="宋体"/>
          <w:highlight w:val="none"/>
        </w:rPr>
      </w:pPr>
    </w:p>
    <w:p w14:paraId="578DD52C">
      <w:pPr>
        <w:spacing w:before="1"/>
        <w:rPr>
          <w:rFonts w:hint="eastAsia" w:ascii="宋体" w:hAnsi="宋体" w:cs="宋体"/>
          <w:highlight w:val="none"/>
        </w:rPr>
      </w:pPr>
    </w:p>
    <w:p w14:paraId="43CA761C">
      <w:pPr>
        <w:spacing w:before="80" w:line="294" w:lineRule="auto"/>
        <w:ind w:left="1759" w:right="403" w:firstLine="21"/>
        <w:rPr>
          <w:rFonts w:hint="eastAsia" w:ascii="宋体" w:hAnsi="宋体" w:cs="宋体"/>
          <w:b/>
          <w:bCs/>
          <w:spacing w:val="48"/>
          <w:sz w:val="35"/>
          <w:szCs w:val="35"/>
          <w:highlight w:val="none"/>
        </w:rPr>
      </w:pPr>
      <w:r>
        <w:rPr>
          <w:rFonts w:hint="eastAsia" w:ascii="宋体" w:hAnsi="宋体" w:cs="宋体"/>
          <w:b/>
          <w:bCs/>
          <w:spacing w:val="48"/>
          <w:sz w:val="35"/>
          <w:szCs w:val="35"/>
          <w:highlight w:val="none"/>
        </w:rPr>
        <w:t>国家机关事务管理局</w:t>
      </w:r>
    </w:p>
    <w:p w14:paraId="11687B3E">
      <w:pPr>
        <w:spacing w:before="80" w:line="294" w:lineRule="auto"/>
        <w:ind w:left="1759" w:right="403" w:firstLine="21"/>
        <w:rPr>
          <w:rFonts w:hint="eastAsia" w:ascii="宋体" w:hAnsi="宋体" w:cs="宋体"/>
          <w:sz w:val="35"/>
          <w:szCs w:val="35"/>
          <w:highlight w:val="none"/>
        </w:rPr>
      </w:pPr>
      <w:r>
        <w:rPr>
          <w:rFonts w:hint="eastAsia" w:ascii="宋体" w:hAnsi="宋体" w:cs="宋体"/>
          <w:b/>
          <w:bCs/>
          <w:spacing w:val="8"/>
          <w:sz w:val="35"/>
          <w:szCs w:val="35"/>
          <w:highlight w:val="none"/>
        </w:rPr>
        <w:t xml:space="preserve">国家市场监督管理总局        </w:t>
      </w:r>
      <w:r>
        <w:rPr>
          <w:rFonts w:hint="eastAsia" w:ascii="宋体" w:hAnsi="宋体" w:cs="宋体"/>
          <w:b/>
          <w:bCs/>
          <w:spacing w:val="-7"/>
          <w:sz w:val="35"/>
          <w:szCs w:val="35"/>
          <w:highlight w:val="none"/>
        </w:rPr>
        <w:t>制定</w:t>
      </w:r>
    </w:p>
    <w:p w14:paraId="0F6A2FAB">
      <w:pPr>
        <w:pStyle w:val="8"/>
        <w:spacing w:line="253" w:lineRule="auto"/>
        <w:rPr>
          <w:rFonts w:hint="eastAsia" w:ascii="宋体" w:hAnsi="宋体" w:eastAsia="宋体" w:cs="宋体"/>
          <w:highlight w:val="none"/>
        </w:rPr>
      </w:pPr>
    </w:p>
    <w:p w14:paraId="0C7983DF">
      <w:pPr>
        <w:pStyle w:val="8"/>
        <w:spacing w:line="254" w:lineRule="auto"/>
        <w:rPr>
          <w:rFonts w:hint="eastAsia" w:ascii="宋体" w:hAnsi="宋体" w:eastAsia="宋体" w:cs="宋体"/>
          <w:highlight w:val="none"/>
        </w:rPr>
      </w:pPr>
    </w:p>
    <w:p w14:paraId="602F135D">
      <w:pPr>
        <w:spacing w:before="114" w:line="211" w:lineRule="auto"/>
        <w:ind w:left="3167"/>
        <w:rPr>
          <w:rFonts w:hint="eastAsia" w:ascii="宋体" w:hAnsi="宋体" w:cs="宋体"/>
          <w:sz w:val="35"/>
          <w:szCs w:val="35"/>
          <w:highlight w:val="none"/>
        </w:rPr>
      </w:pPr>
      <w:r>
        <w:rPr>
          <w:rFonts w:hint="eastAsia" w:ascii="宋体" w:hAnsi="宋体" w:cs="宋体"/>
          <w:spacing w:val="6"/>
          <w:sz w:val="35"/>
          <w:szCs w:val="35"/>
          <w:highlight w:val="none"/>
        </w:rPr>
        <w:t>二〇二六年   月</w:t>
      </w:r>
    </w:p>
    <w:p w14:paraId="1C4E9D6D">
      <w:pPr>
        <w:rPr>
          <w:rFonts w:hint="eastAsia" w:ascii="宋体" w:hAnsi="宋体" w:cs="宋体"/>
          <w:spacing w:val="5"/>
          <w:position w:val="2"/>
          <w:highlight w:val="none"/>
        </w:rPr>
      </w:pPr>
      <w:r>
        <w:rPr>
          <w:rFonts w:hint="eastAsia" w:ascii="宋体" w:hAnsi="宋体" w:cs="宋体"/>
          <w:spacing w:val="5"/>
          <w:position w:val="2"/>
          <w:highlight w:val="none"/>
        </w:rPr>
        <w:br w:type="page"/>
      </w:r>
    </w:p>
    <w:p w14:paraId="1F8539A5">
      <w:pPr>
        <w:spacing w:before="140" w:line="566" w:lineRule="exact"/>
        <w:ind w:firstLine="220" w:firstLineChars="100"/>
        <w:jc w:val="center"/>
        <w:rPr>
          <w:rFonts w:hint="eastAsia" w:ascii="宋体" w:hAnsi="宋体" w:cs="宋体"/>
          <w:highlight w:val="none"/>
        </w:rPr>
      </w:pPr>
      <w:r>
        <w:rPr>
          <w:rFonts w:hint="eastAsia" w:ascii="宋体" w:hAnsi="宋体" w:cs="宋体"/>
          <w:spacing w:val="5"/>
          <w:position w:val="2"/>
          <w:highlight w:val="none"/>
        </w:rPr>
        <w:t>使用说明</w:t>
      </w:r>
    </w:p>
    <w:p w14:paraId="1B8825B3">
      <w:pPr>
        <w:pStyle w:val="8"/>
        <w:spacing w:line="288" w:lineRule="auto"/>
        <w:rPr>
          <w:rFonts w:hint="eastAsia" w:ascii="宋体" w:hAnsi="宋体" w:eastAsia="宋体" w:cs="宋体"/>
          <w:sz w:val="21"/>
          <w:szCs w:val="21"/>
          <w:highlight w:val="none"/>
        </w:rPr>
      </w:pPr>
    </w:p>
    <w:p w14:paraId="519F4F77">
      <w:pPr>
        <w:pStyle w:val="8"/>
        <w:spacing w:line="288" w:lineRule="auto"/>
        <w:rPr>
          <w:rFonts w:hint="eastAsia" w:ascii="宋体" w:hAnsi="宋体" w:eastAsia="宋体" w:cs="宋体"/>
          <w:sz w:val="21"/>
          <w:szCs w:val="21"/>
          <w:highlight w:val="none"/>
        </w:rPr>
      </w:pPr>
    </w:p>
    <w:p w14:paraId="75FDD1E6">
      <w:pPr>
        <w:pStyle w:val="8"/>
        <w:spacing w:before="101" w:line="333" w:lineRule="auto"/>
        <w:ind w:firstLine="686"/>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t>一、本框架协议供整县（</w:t>
      </w:r>
      <w:r>
        <w:rPr>
          <w:rFonts w:hint="eastAsia" w:ascii="宋体" w:hAnsi="宋体" w:eastAsia="宋体" w:cs="宋体"/>
          <w:spacing w:val="-49"/>
          <w:sz w:val="21"/>
          <w:szCs w:val="21"/>
          <w:highlight w:val="none"/>
        </w:rPr>
        <w:t xml:space="preserve"> </w:t>
      </w:r>
      <w:r>
        <w:rPr>
          <w:rFonts w:hint="eastAsia" w:ascii="宋体" w:hAnsi="宋体" w:eastAsia="宋体" w:cs="宋体"/>
          <w:spacing w:val="-10"/>
          <w:sz w:val="21"/>
          <w:szCs w:val="21"/>
          <w:highlight w:val="none"/>
        </w:rPr>
        <w:t>区）公共机构能源费用托管项</w:t>
      </w:r>
      <w:r>
        <w:rPr>
          <w:rFonts w:hint="eastAsia" w:ascii="宋体" w:hAnsi="宋体" w:eastAsia="宋体" w:cs="宋体"/>
          <w:spacing w:val="-69"/>
          <w:sz w:val="21"/>
          <w:szCs w:val="21"/>
          <w:highlight w:val="none"/>
        </w:rPr>
        <w:t xml:space="preserve"> </w:t>
      </w:r>
      <w:r>
        <w:rPr>
          <w:rFonts w:hint="eastAsia" w:ascii="宋体" w:hAnsi="宋体" w:eastAsia="宋体" w:cs="宋体"/>
          <w:spacing w:val="-10"/>
          <w:sz w:val="21"/>
          <w:szCs w:val="21"/>
          <w:highlight w:val="none"/>
        </w:rPr>
        <w:t>目中，</w:t>
      </w:r>
      <w:r>
        <w:rPr>
          <w:rFonts w:hint="eastAsia" w:ascii="宋体" w:hAnsi="宋体" w:eastAsia="宋体" w:cs="宋体"/>
          <w:spacing w:val="3"/>
          <w:sz w:val="21"/>
          <w:szCs w:val="21"/>
          <w:highlight w:val="none"/>
        </w:rPr>
        <w:t>负责组织开展政府采购的节能主管部门或牵头单位（</w:t>
      </w:r>
      <w:r>
        <w:rPr>
          <w:rFonts w:hint="eastAsia" w:ascii="宋体" w:hAnsi="宋体" w:eastAsia="宋体" w:cs="宋体"/>
          <w:spacing w:val="-45"/>
          <w:sz w:val="21"/>
          <w:szCs w:val="21"/>
          <w:highlight w:val="none"/>
        </w:rPr>
        <w:t xml:space="preserve"> </w:t>
      </w:r>
      <w:r>
        <w:rPr>
          <w:rFonts w:hint="eastAsia" w:ascii="宋体" w:hAnsi="宋体" w:eastAsia="宋体" w:cs="宋体"/>
          <w:spacing w:val="3"/>
          <w:sz w:val="21"/>
          <w:szCs w:val="21"/>
          <w:highlight w:val="none"/>
        </w:rPr>
        <w:t>甲方</w:t>
      </w:r>
      <w:r>
        <w:rPr>
          <w:rFonts w:hint="eastAsia" w:ascii="宋体" w:hAnsi="宋体" w:eastAsia="宋体" w:cs="宋体"/>
          <w:spacing w:val="-8"/>
          <w:sz w:val="21"/>
          <w:szCs w:val="21"/>
          <w:highlight w:val="none"/>
        </w:rPr>
        <w:t>），</w:t>
      </w:r>
      <w:r>
        <w:rPr>
          <w:rFonts w:hint="eastAsia" w:ascii="宋体" w:hAnsi="宋体" w:eastAsia="宋体" w:cs="宋体"/>
          <w:spacing w:val="3"/>
          <w:sz w:val="21"/>
          <w:szCs w:val="21"/>
          <w:highlight w:val="none"/>
        </w:rPr>
        <w:t>与</w:t>
      </w:r>
      <w:r>
        <w:rPr>
          <w:rFonts w:hint="eastAsia" w:ascii="宋体" w:hAnsi="宋体" w:eastAsia="宋体" w:cs="宋体"/>
          <w:spacing w:val="2"/>
          <w:sz w:val="21"/>
          <w:szCs w:val="21"/>
          <w:highlight w:val="none"/>
        </w:rPr>
        <w:t>中标的节能服务公司（</w:t>
      </w:r>
      <w:r>
        <w:rPr>
          <w:rFonts w:hint="eastAsia" w:ascii="宋体" w:hAnsi="宋体" w:eastAsia="宋体" w:cs="宋体"/>
          <w:spacing w:val="-39"/>
          <w:sz w:val="21"/>
          <w:szCs w:val="21"/>
          <w:highlight w:val="none"/>
        </w:rPr>
        <w:t xml:space="preserve"> </w:t>
      </w:r>
      <w:r>
        <w:rPr>
          <w:rFonts w:hint="eastAsia" w:ascii="宋体" w:hAnsi="宋体" w:eastAsia="宋体" w:cs="宋体"/>
          <w:spacing w:val="2"/>
          <w:sz w:val="21"/>
          <w:szCs w:val="21"/>
          <w:highlight w:val="none"/>
        </w:rPr>
        <w:t>乙方，含全部联合体成员单位）订立能源</w:t>
      </w:r>
      <w:r>
        <w:rPr>
          <w:rFonts w:hint="eastAsia" w:ascii="宋体" w:hAnsi="宋体" w:eastAsia="宋体" w:cs="宋体"/>
          <w:spacing w:val="6"/>
          <w:sz w:val="21"/>
          <w:szCs w:val="21"/>
          <w:highlight w:val="none"/>
        </w:rPr>
        <w:t>费用托管服务框架协议时参照使用。框架协议签订后，纳入托管</w:t>
      </w:r>
      <w:r>
        <w:rPr>
          <w:rFonts w:hint="eastAsia" w:ascii="宋体" w:hAnsi="宋体" w:eastAsia="宋体" w:cs="宋体"/>
          <w:spacing w:val="18"/>
          <w:sz w:val="21"/>
          <w:szCs w:val="21"/>
          <w:highlight w:val="none"/>
        </w:rPr>
        <w:t>范围的各个公共机构用能单位应当与节能服务</w:t>
      </w:r>
      <w:r>
        <w:rPr>
          <w:rFonts w:hint="eastAsia" w:ascii="宋体" w:hAnsi="宋体" w:eastAsia="宋体" w:cs="宋体"/>
          <w:spacing w:val="17"/>
          <w:sz w:val="21"/>
          <w:szCs w:val="21"/>
          <w:highlight w:val="none"/>
        </w:rPr>
        <w:t>公司就本单位具</w:t>
      </w:r>
      <w:r>
        <w:rPr>
          <w:rFonts w:hint="eastAsia" w:ascii="宋体" w:hAnsi="宋体" w:eastAsia="宋体" w:cs="宋体"/>
          <w:spacing w:val="-3"/>
          <w:sz w:val="21"/>
          <w:szCs w:val="21"/>
          <w:highlight w:val="none"/>
        </w:rPr>
        <w:t>体能源费用托管服务项</w:t>
      </w:r>
      <w:r>
        <w:rPr>
          <w:rFonts w:hint="eastAsia" w:ascii="宋体" w:hAnsi="宋体" w:eastAsia="宋体" w:cs="宋体"/>
          <w:spacing w:val="-54"/>
          <w:sz w:val="21"/>
          <w:szCs w:val="21"/>
          <w:highlight w:val="none"/>
        </w:rPr>
        <w:t xml:space="preserve"> </w:t>
      </w:r>
      <w:r>
        <w:rPr>
          <w:rFonts w:hint="eastAsia" w:ascii="宋体" w:hAnsi="宋体" w:eastAsia="宋体" w:cs="宋体"/>
          <w:spacing w:val="-3"/>
          <w:sz w:val="21"/>
          <w:szCs w:val="21"/>
          <w:highlight w:val="none"/>
        </w:rPr>
        <w:t>目（</w:t>
      </w:r>
      <w:r>
        <w:rPr>
          <w:rFonts w:hint="eastAsia" w:ascii="宋体" w:hAnsi="宋体" w:eastAsia="宋体" w:cs="宋体"/>
          <w:spacing w:val="-87"/>
          <w:sz w:val="21"/>
          <w:szCs w:val="21"/>
          <w:highlight w:val="none"/>
        </w:rPr>
        <w:t xml:space="preserve"> </w:t>
      </w:r>
      <w:r>
        <w:rPr>
          <w:rFonts w:hint="eastAsia" w:ascii="宋体" w:hAnsi="宋体" w:eastAsia="宋体" w:cs="宋体"/>
          <w:spacing w:val="-3"/>
          <w:sz w:val="21"/>
          <w:szCs w:val="21"/>
          <w:highlight w:val="none"/>
        </w:rPr>
        <w:t>子项</w:t>
      </w:r>
      <w:r>
        <w:rPr>
          <w:rFonts w:hint="eastAsia" w:ascii="宋体" w:hAnsi="宋体" w:eastAsia="宋体" w:cs="宋体"/>
          <w:spacing w:val="-68"/>
          <w:sz w:val="21"/>
          <w:szCs w:val="21"/>
          <w:highlight w:val="none"/>
        </w:rPr>
        <w:t xml:space="preserve"> </w:t>
      </w:r>
      <w:r>
        <w:rPr>
          <w:rFonts w:hint="eastAsia" w:ascii="宋体" w:hAnsi="宋体" w:eastAsia="宋体" w:cs="宋体"/>
          <w:spacing w:val="-3"/>
          <w:sz w:val="21"/>
          <w:szCs w:val="21"/>
          <w:highlight w:val="none"/>
        </w:rPr>
        <w:t>目）单独签订子合同，子合同可</w:t>
      </w:r>
      <w:r>
        <w:rPr>
          <w:rFonts w:hint="eastAsia" w:ascii="宋体" w:hAnsi="宋体" w:eastAsia="宋体" w:cs="宋体"/>
          <w:spacing w:val="22"/>
          <w:sz w:val="21"/>
          <w:szCs w:val="21"/>
          <w:highlight w:val="none"/>
        </w:rPr>
        <w:t>参考《公共机构能源费用托管项</w:t>
      </w:r>
      <w:r>
        <w:rPr>
          <w:rFonts w:hint="eastAsia" w:ascii="宋体" w:hAnsi="宋体" w:eastAsia="宋体" w:cs="宋体"/>
          <w:spacing w:val="-49"/>
          <w:sz w:val="21"/>
          <w:szCs w:val="21"/>
          <w:highlight w:val="none"/>
        </w:rPr>
        <w:t xml:space="preserve"> </w:t>
      </w:r>
      <w:r>
        <w:rPr>
          <w:rFonts w:hint="eastAsia" w:ascii="宋体" w:hAnsi="宋体" w:eastAsia="宋体" w:cs="宋体"/>
          <w:spacing w:val="22"/>
          <w:sz w:val="21"/>
          <w:szCs w:val="21"/>
          <w:highlight w:val="none"/>
        </w:rPr>
        <w:t>目服务合同（</w:t>
      </w:r>
      <w:r>
        <w:rPr>
          <w:rFonts w:hint="eastAsia" w:ascii="宋体" w:hAnsi="宋体" w:eastAsia="宋体" w:cs="宋体"/>
          <w:spacing w:val="-54"/>
          <w:sz w:val="21"/>
          <w:szCs w:val="21"/>
          <w:highlight w:val="none"/>
        </w:rPr>
        <w:t xml:space="preserve"> </w:t>
      </w:r>
      <w:r>
        <w:rPr>
          <w:rFonts w:hint="eastAsia" w:ascii="宋体" w:hAnsi="宋体" w:eastAsia="宋体" w:cs="宋体"/>
          <w:spacing w:val="21"/>
          <w:sz w:val="21"/>
          <w:szCs w:val="21"/>
          <w:highlight w:val="none"/>
        </w:rPr>
        <w:t>示范文本</w:t>
      </w:r>
      <w:r>
        <w:rPr>
          <w:rFonts w:hint="eastAsia" w:ascii="宋体" w:hAnsi="宋体" w:eastAsia="宋体" w:cs="宋体"/>
          <w:spacing w:val="-91"/>
          <w:sz w:val="21"/>
          <w:szCs w:val="21"/>
          <w:highlight w:val="none"/>
        </w:rPr>
        <w:t xml:space="preserve"> </w:t>
      </w:r>
      <w:r>
        <w:rPr>
          <w:rFonts w:hint="eastAsia" w:ascii="宋体" w:hAnsi="宋体" w:eastAsia="宋体" w:cs="宋体"/>
          <w:spacing w:val="21"/>
          <w:sz w:val="21"/>
          <w:szCs w:val="21"/>
          <w:highlight w:val="none"/>
        </w:rPr>
        <w:t>）》</w:t>
      </w:r>
      <w:r>
        <w:rPr>
          <w:rFonts w:hint="eastAsia" w:ascii="宋体" w:hAnsi="宋体" w:eastAsia="宋体" w:cs="宋体"/>
          <w:sz w:val="21"/>
          <w:szCs w:val="21"/>
          <w:highlight w:val="none"/>
        </w:rPr>
        <w:t xml:space="preserve"> </w:t>
      </w:r>
      <w:r>
        <w:rPr>
          <w:rFonts w:hint="eastAsia" w:ascii="宋体" w:hAnsi="宋体" w:eastAsia="宋体" w:cs="宋体"/>
          <w:spacing w:val="4"/>
          <w:sz w:val="21"/>
          <w:szCs w:val="21"/>
          <w:highlight w:val="none"/>
        </w:rPr>
        <w:t>（</w:t>
      </w:r>
      <w:r>
        <w:rPr>
          <w:rFonts w:hint="eastAsia" w:ascii="宋体" w:hAnsi="宋体" w:eastAsia="宋体" w:cs="宋体"/>
          <w:sz w:val="21"/>
          <w:szCs w:val="21"/>
          <w:highlight w:val="none"/>
        </w:rPr>
        <w:t>GF</w:t>
      </w:r>
      <w:r>
        <w:rPr>
          <w:rFonts w:hint="eastAsia" w:ascii="宋体" w:hAnsi="宋体" w:eastAsia="宋体" w:cs="宋体"/>
          <w:spacing w:val="4"/>
          <w:sz w:val="21"/>
          <w:szCs w:val="21"/>
          <w:highlight w:val="none"/>
        </w:rPr>
        <w:t xml:space="preserve">-2026-2621 </w:t>
      </w:r>
      <w:r>
        <w:rPr>
          <w:rFonts w:hint="eastAsia" w:ascii="宋体" w:hAnsi="宋体" w:eastAsia="宋体" w:cs="宋体"/>
          <w:spacing w:val="-34"/>
          <w:sz w:val="21"/>
          <w:szCs w:val="21"/>
          <w:highlight w:val="none"/>
        </w:rPr>
        <w:t>），</w:t>
      </w:r>
      <w:r>
        <w:rPr>
          <w:rFonts w:hint="eastAsia" w:ascii="宋体" w:hAnsi="宋体" w:eastAsia="宋体" w:cs="宋体"/>
          <w:spacing w:val="4"/>
          <w:sz w:val="21"/>
          <w:szCs w:val="21"/>
          <w:highlight w:val="none"/>
        </w:rPr>
        <w:t>并根据本框架协议已经约定的事项，修改、</w:t>
      </w:r>
      <w:r>
        <w:rPr>
          <w:rFonts w:hint="eastAsia" w:ascii="宋体" w:hAnsi="宋体" w:eastAsia="宋体" w:cs="宋体"/>
          <w:spacing w:val="2"/>
          <w:sz w:val="21"/>
          <w:szCs w:val="21"/>
          <w:highlight w:val="none"/>
        </w:rPr>
        <w:t>增补或删减相应条款，也可自行拟定。整县（</w:t>
      </w:r>
      <w:r>
        <w:rPr>
          <w:rFonts w:hint="eastAsia" w:ascii="宋体" w:hAnsi="宋体" w:eastAsia="宋体" w:cs="宋体"/>
          <w:spacing w:val="-40"/>
          <w:sz w:val="21"/>
          <w:szCs w:val="21"/>
          <w:highlight w:val="none"/>
        </w:rPr>
        <w:t xml:space="preserve"> </w:t>
      </w:r>
      <w:r>
        <w:rPr>
          <w:rFonts w:hint="eastAsia" w:ascii="宋体" w:hAnsi="宋体" w:eastAsia="宋体" w:cs="宋体"/>
          <w:spacing w:val="2"/>
          <w:sz w:val="21"/>
          <w:szCs w:val="21"/>
          <w:highlight w:val="none"/>
        </w:rPr>
        <w:t>区）公共机构能源</w:t>
      </w:r>
      <w:r>
        <w:rPr>
          <w:rFonts w:hint="eastAsia" w:ascii="宋体" w:hAnsi="宋体" w:eastAsia="宋体" w:cs="宋体"/>
          <w:spacing w:val="10"/>
          <w:sz w:val="21"/>
          <w:szCs w:val="21"/>
          <w:highlight w:val="none"/>
        </w:rPr>
        <w:t>费用托管项目也可以统一订立合同、不就子项目单独签订合同，</w:t>
      </w:r>
      <w:r>
        <w:rPr>
          <w:rFonts w:hint="eastAsia" w:ascii="宋体" w:hAnsi="宋体" w:eastAsia="宋体" w:cs="宋体"/>
          <w:spacing w:val="13"/>
          <w:sz w:val="21"/>
          <w:szCs w:val="21"/>
          <w:highlight w:val="none"/>
        </w:rPr>
        <w:t>可参考《公共机构能源费用托管项目服务合同（</w:t>
      </w:r>
      <w:r>
        <w:rPr>
          <w:rFonts w:hint="eastAsia" w:ascii="宋体" w:hAnsi="宋体" w:eastAsia="宋体" w:cs="宋体"/>
          <w:spacing w:val="-62"/>
          <w:sz w:val="21"/>
          <w:szCs w:val="21"/>
          <w:highlight w:val="none"/>
        </w:rPr>
        <w:t xml:space="preserve"> </w:t>
      </w:r>
      <w:r>
        <w:rPr>
          <w:rFonts w:hint="eastAsia" w:ascii="宋体" w:hAnsi="宋体" w:eastAsia="宋体" w:cs="宋体"/>
          <w:spacing w:val="13"/>
          <w:sz w:val="21"/>
          <w:szCs w:val="21"/>
          <w:highlight w:val="none"/>
        </w:rPr>
        <w:t>示范文本）</w:t>
      </w:r>
      <w:r>
        <w:rPr>
          <w:rFonts w:hint="eastAsia" w:ascii="宋体" w:hAnsi="宋体" w:eastAsia="宋体" w:cs="宋体"/>
          <w:spacing w:val="-72"/>
          <w:sz w:val="21"/>
          <w:szCs w:val="21"/>
          <w:highlight w:val="none"/>
        </w:rPr>
        <w:t xml:space="preserve"> </w:t>
      </w:r>
      <w:r>
        <w:rPr>
          <w:rFonts w:hint="eastAsia" w:ascii="宋体" w:hAnsi="宋体" w:eastAsia="宋体" w:cs="宋体"/>
          <w:spacing w:val="13"/>
          <w:sz w:val="21"/>
          <w:szCs w:val="21"/>
          <w:highlight w:val="none"/>
        </w:rPr>
        <w:t>》</w:t>
      </w:r>
      <w:r>
        <w:rPr>
          <w:rFonts w:hint="eastAsia" w:ascii="宋体" w:hAnsi="宋体" w:eastAsia="宋体" w:cs="宋体"/>
          <w:sz w:val="21"/>
          <w:szCs w:val="21"/>
          <w:highlight w:val="none"/>
        </w:rPr>
        <w:t xml:space="preserve"> </w:t>
      </w:r>
      <w:r>
        <w:rPr>
          <w:rFonts w:hint="eastAsia" w:ascii="宋体" w:hAnsi="宋体" w:eastAsia="宋体" w:cs="宋体"/>
          <w:spacing w:val="5"/>
          <w:sz w:val="21"/>
          <w:szCs w:val="21"/>
          <w:highlight w:val="none"/>
        </w:rPr>
        <w:t>（</w:t>
      </w:r>
      <w:r>
        <w:rPr>
          <w:rFonts w:hint="eastAsia" w:ascii="宋体" w:hAnsi="宋体" w:eastAsia="宋体" w:cs="宋体"/>
          <w:sz w:val="21"/>
          <w:szCs w:val="21"/>
          <w:highlight w:val="none"/>
        </w:rPr>
        <w:t>GF</w:t>
      </w:r>
      <w:r>
        <w:rPr>
          <w:rFonts w:hint="eastAsia" w:ascii="宋体" w:hAnsi="宋体" w:eastAsia="宋体" w:cs="宋体"/>
          <w:spacing w:val="5"/>
          <w:sz w:val="21"/>
          <w:szCs w:val="21"/>
          <w:highlight w:val="none"/>
        </w:rPr>
        <w:t>-2026-2621</w:t>
      </w:r>
      <w:r>
        <w:rPr>
          <w:rFonts w:hint="eastAsia" w:ascii="宋体" w:hAnsi="宋体" w:eastAsia="宋体" w:cs="宋体"/>
          <w:spacing w:val="-40"/>
          <w:sz w:val="21"/>
          <w:szCs w:val="21"/>
          <w:highlight w:val="none"/>
        </w:rPr>
        <w:t xml:space="preserve"> </w:t>
      </w:r>
      <w:r>
        <w:rPr>
          <w:rFonts w:hint="eastAsia" w:ascii="宋体" w:hAnsi="宋体" w:eastAsia="宋体" w:cs="宋体"/>
          <w:spacing w:val="5"/>
          <w:sz w:val="21"/>
          <w:szCs w:val="21"/>
          <w:highlight w:val="none"/>
        </w:rPr>
        <w:t>）自行拟定合同，不使用</w:t>
      </w:r>
      <w:r>
        <w:rPr>
          <w:rFonts w:hint="eastAsia" w:ascii="宋体" w:hAnsi="宋体" w:eastAsia="宋体" w:cs="宋体"/>
          <w:spacing w:val="4"/>
          <w:sz w:val="21"/>
          <w:szCs w:val="21"/>
          <w:highlight w:val="none"/>
        </w:rPr>
        <w:t>本框架协议。</w:t>
      </w:r>
    </w:p>
    <w:p w14:paraId="34645962">
      <w:pPr>
        <w:spacing w:before="2" w:line="332" w:lineRule="auto"/>
        <w:ind w:left="40" w:right="126" w:firstLine="640"/>
        <w:rPr>
          <w:rFonts w:hint="eastAsia" w:ascii="宋体" w:hAnsi="宋体" w:cs="宋体"/>
          <w:highlight w:val="none"/>
        </w:rPr>
      </w:pPr>
      <w:r>
        <w:rPr>
          <w:rFonts w:hint="eastAsia" w:ascii="宋体" w:hAnsi="宋体" w:cs="宋体"/>
          <w:spacing w:val="4"/>
          <w:highlight w:val="none"/>
        </w:rPr>
        <w:t>二、甲方、乙方在订立框架协议之前应审慎、全面核查对方</w:t>
      </w:r>
      <w:r>
        <w:rPr>
          <w:rFonts w:hint="eastAsia" w:ascii="宋体" w:hAnsi="宋体" w:cs="宋体"/>
          <w:spacing w:val="8"/>
          <w:highlight w:val="none"/>
        </w:rPr>
        <w:t>资质条件，确保双方均具备订立和履行合同的主体资格。</w:t>
      </w:r>
    </w:p>
    <w:p w14:paraId="68CB2D4E">
      <w:pPr>
        <w:spacing w:before="7" w:line="333" w:lineRule="auto"/>
        <w:ind w:left="26" w:right="126" w:firstLine="659"/>
        <w:rPr>
          <w:rFonts w:hint="eastAsia" w:ascii="宋体" w:hAnsi="宋体" w:cs="宋体"/>
          <w:highlight w:val="none"/>
        </w:rPr>
      </w:pPr>
      <w:r>
        <w:rPr>
          <w:rFonts w:hint="eastAsia" w:ascii="宋体" w:hAnsi="宋体" w:cs="宋体"/>
          <w:spacing w:val="4"/>
          <w:highlight w:val="none"/>
        </w:rPr>
        <w:t>三、甲方、乙方在使用本框架协议前应仔细阅读本框架协议</w:t>
      </w:r>
      <w:r>
        <w:rPr>
          <w:rFonts w:hint="eastAsia" w:ascii="宋体" w:hAnsi="宋体" w:cs="宋体"/>
          <w:spacing w:val="5"/>
          <w:highlight w:val="none"/>
        </w:rPr>
        <w:t>全部内容，并可以对本框架协议内容进行修改、增补或删减，但不得违反法律、行政法规的强制性规定，不得违背公序良俗，不</w:t>
      </w:r>
      <w:r>
        <w:rPr>
          <w:rFonts w:hint="eastAsia" w:ascii="宋体" w:hAnsi="宋体" w:cs="宋体"/>
          <w:spacing w:val="7"/>
          <w:highlight w:val="none"/>
        </w:rPr>
        <w:t>得违反政府采购相关规定。</w:t>
      </w:r>
    </w:p>
    <w:p w14:paraId="4B78DD02">
      <w:pPr>
        <w:spacing w:before="101" w:line="333" w:lineRule="auto"/>
        <w:ind w:right="126" w:firstLine="42"/>
        <w:rPr>
          <w:rFonts w:hint="eastAsia" w:ascii="宋体" w:hAnsi="宋体" w:cs="宋体"/>
          <w:highlight w:val="none"/>
        </w:rPr>
      </w:pPr>
      <w:r>
        <w:rPr>
          <w:rFonts w:hint="eastAsia" w:ascii="宋体" w:hAnsi="宋体" w:cs="宋体"/>
          <w:spacing w:val="3"/>
          <w:highlight w:val="none"/>
        </w:rPr>
        <w:t>四、本框架协议的相关条款中留有空白位置，供当事人自行</w:t>
      </w:r>
      <w:r>
        <w:rPr>
          <w:rFonts w:hint="eastAsia" w:ascii="宋体" w:hAnsi="宋体" w:cs="宋体"/>
          <w:spacing w:val="4"/>
          <w:highlight w:val="none"/>
        </w:rPr>
        <w:t>约定或者补充约定，相关条款中需要约定的内容较多、篇幅较长的，可以调整为协议附件。本框架协议“□”的部分供甲方、乙</w:t>
      </w:r>
      <w:r>
        <w:rPr>
          <w:rFonts w:hint="eastAsia" w:ascii="宋体" w:hAnsi="宋体" w:cs="宋体"/>
          <w:spacing w:val="6"/>
          <w:highlight w:val="none"/>
        </w:rPr>
        <w:t>方协商选择，共同约定或选择的，在空格处划</w:t>
      </w:r>
      <w:r>
        <w:rPr>
          <w:rFonts w:hint="eastAsia" w:ascii="宋体" w:hAnsi="宋体" w:cs="宋体"/>
          <w:spacing w:val="5"/>
          <w:highlight w:val="none"/>
        </w:rPr>
        <w:t>“√”；对于实际情况未发生或双方当事人不作约定时，请保留空格或在空格处划</w:t>
      </w:r>
      <w:r>
        <w:rPr>
          <w:rFonts w:hint="eastAsia" w:ascii="宋体" w:hAnsi="宋体" w:cs="宋体"/>
          <w:spacing w:val="-14"/>
          <w:highlight w:val="none"/>
        </w:rPr>
        <w:t>“</w:t>
      </w:r>
      <w:r>
        <w:rPr>
          <w:rFonts w:hint="eastAsia" w:ascii="宋体" w:hAnsi="宋体" w:cs="宋体"/>
          <w:spacing w:val="-64"/>
          <w:highlight w:val="none"/>
        </w:rPr>
        <w:t xml:space="preserve"> </w:t>
      </w:r>
      <w:r>
        <w:rPr>
          <w:rFonts w:hint="eastAsia" w:ascii="宋体" w:hAnsi="宋体" w:cs="宋体"/>
          <w:spacing w:val="-14"/>
          <w:highlight w:val="none"/>
        </w:rPr>
        <w:t>×”</w:t>
      </w:r>
      <w:r>
        <w:rPr>
          <w:rFonts w:hint="eastAsia" w:ascii="宋体" w:hAnsi="宋体" w:cs="宋体"/>
          <w:spacing w:val="-115"/>
          <w:highlight w:val="none"/>
        </w:rPr>
        <w:t xml:space="preserve"> </w:t>
      </w:r>
      <w:r>
        <w:rPr>
          <w:rFonts w:hint="eastAsia" w:ascii="宋体" w:hAnsi="宋体" w:cs="宋体"/>
          <w:spacing w:val="-14"/>
          <w:highlight w:val="none"/>
        </w:rPr>
        <w:t>,</w:t>
      </w:r>
      <w:r>
        <w:rPr>
          <w:rFonts w:hint="eastAsia" w:ascii="宋体" w:hAnsi="宋体" w:cs="宋体"/>
          <w:spacing w:val="116"/>
          <w:highlight w:val="none"/>
        </w:rPr>
        <w:t xml:space="preserve"> </w:t>
      </w:r>
      <w:r>
        <w:rPr>
          <w:rFonts w:hint="eastAsia" w:ascii="宋体" w:hAnsi="宋体" w:cs="宋体"/>
          <w:spacing w:val="-14"/>
          <w:highlight w:val="none"/>
        </w:rPr>
        <w:t>以示不予选择。</w:t>
      </w:r>
    </w:p>
    <w:p w14:paraId="6256102C">
      <w:pPr>
        <w:spacing w:before="3" w:line="333" w:lineRule="auto"/>
        <w:ind w:left="15" w:right="4" w:firstLine="648"/>
        <w:rPr>
          <w:rFonts w:hint="eastAsia" w:ascii="宋体" w:hAnsi="宋体" w:cs="宋体"/>
          <w:highlight w:val="none"/>
        </w:rPr>
      </w:pPr>
      <w:r>
        <w:rPr>
          <w:rFonts w:hint="eastAsia" w:ascii="宋体" w:hAnsi="宋体" w:cs="宋体"/>
          <w:spacing w:val="-3"/>
          <w:highlight w:val="none"/>
        </w:rPr>
        <w:t>五、本框架协议仅适用于公共机构能源费用托管事项；除水、</w:t>
      </w:r>
      <w:r>
        <w:rPr>
          <w:rFonts w:hint="eastAsia" w:ascii="宋体" w:hAnsi="宋体" w:cs="宋体"/>
          <w:spacing w:val="5"/>
          <w:highlight w:val="none"/>
        </w:rPr>
        <w:t>电、燃气、蒸汽、热力等纳入托管范围的能源资源系统发生的运维事项以外，不适用于其他未纳入托管范围的各类系统的运维事</w:t>
      </w:r>
      <w:r>
        <w:rPr>
          <w:rFonts w:hint="eastAsia" w:ascii="宋体" w:hAnsi="宋体" w:cs="宋体"/>
          <w:spacing w:val="6"/>
          <w:highlight w:val="none"/>
        </w:rPr>
        <w:t>项或其他物业事项。</w:t>
      </w:r>
    </w:p>
    <w:p w14:paraId="361E3EF9">
      <w:pPr>
        <w:spacing w:before="6" w:line="241" w:lineRule="auto"/>
        <w:ind w:firstLine="606" w:firstLineChars="300"/>
        <w:rPr>
          <w:rFonts w:hint="eastAsia" w:ascii="宋体" w:hAnsi="宋体" w:cs="宋体"/>
          <w:highlight w:val="none"/>
        </w:rPr>
      </w:pPr>
      <w:r>
        <w:rPr>
          <w:rFonts w:hint="eastAsia" w:ascii="宋体" w:hAnsi="宋体" w:cs="宋体"/>
          <w:spacing w:val="-4"/>
          <w:highlight w:val="none"/>
        </w:rPr>
        <w:t>六、本框架协议及相关附件中涉及的有关术语，其定义如下：</w:t>
      </w:r>
    </w:p>
    <w:p w14:paraId="42242574">
      <w:pPr>
        <w:spacing w:before="154" w:line="333" w:lineRule="auto"/>
        <w:ind w:left="11" w:right="128" w:firstLine="615"/>
        <w:rPr>
          <w:rFonts w:hint="eastAsia" w:ascii="宋体" w:hAnsi="宋体" w:cs="宋体"/>
          <w:highlight w:val="none"/>
        </w:rPr>
      </w:pPr>
      <w:r>
        <w:rPr>
          <w:rFonts w:hint="eastAsia" w:ascii="宋体" w:hAnsi="宋体" w:cs="宋体"/>
          <w:spacing w:val="3"/>
          <w:highlight w:val="none"/>
        </w:rPr>
        <w:t>（</w:t>
      </w:r>
      <w:r>
        <w:rPr>
          <w:rFonts w:hint="eastAsia" w:ascii="宋体" w:hAnsi="宋体" w:cs="宋体"/>
          <w:spacing w:val="-76"/>
          <w:highlight w:val="none"/>
        </w:rPr>
        <w:t xml:space="preserve"> </w:t>
      </w:r>
      <w:r>
        <w:rPr>
          <w:rFonts w:hint="eastAsia" w:ascii="宋体" w:hAnsi="宋体" w:cs="宋体"/>
          <w:spacing w:val="3"/>
          <w:highlight w:val="none"/>
        </w:rPr>
        <w:t>一）合同能源管理：指用能单位和节能服务</w:t>
      </w:r>
      <w:r>
        <w:rPr>
          <w:rFonts w:hint="eastAsia" w:ascii="宋体" w:hAnsi="宋体" w:cs="宋体"/>
          <w:spacing w:val="2"/>
          <w:highlight w:val="none"/>
        </w:rPr>
        <w:t>公司以契约形</w:t>
      </w:r>
      <w:r>
        <w:rPr>
          <w:rFonts w:hint="eastAsia" w:ascii="宋体" w:hAnsi="宋体" w:cs="宋体"/>
          <w:spacing w:val="5"/>
          <w:highlight w:val="none"/>
        </w:rPr>
        <w:t>式约定项目节能目标，节能服务公司为实现节能目标向用能单位提供服务，用能单位以合同约定的节能效益、节能服务费或能源</w:t>
      </w:r>
      <w:r>
        <w:rPr>
          <w:rFonts w:hint="eastAsia" w:ascii="宋体" w:hAnsi="宋体" w:cs="宋体"/>
          <w:spacing w:val="9"/>
          <w:highlight w:val="none"/>
        </w:rPr>
        <w:t>托管费支付节能服务公司的投入及合理利润的节能服务机制。</w:t>
      </w:r>
    </w:p>
    <w:p w14:paraId="2141C3C9">
      <w:pPr>
        <w:spacing w:before="3" w:line="333" w:lineRule="auto"/>
        <w:ind w:left="10" w:firstLine="616"/>
        <w:rPr>
          <w:rFonts w:hint="eastAsia" w:ascii="宋体" w:hAnsi="宋体" w:cs="宋体"/>
          <w:highlight w:val="none"/>
        </w:rPr>
      </w:pPr>
      <w:r>
        <w:rPr>
          <w:rFonts w:hint="eastAsia" w:ascii="宋体" w:hAnsi="宋体" w:cs="宋体"/>
          <w:spacing w:val="-4"/>
          <w:highlight w:val="none"/>
        </w:rPr>
        <w:t>（</w:t>
      </w:r>
      <w:r>
        <w:rPr>
          <w:rFonts w:hint="eastAsia" w:ascii="宋体" w:hAnsi="宋体" w:cs="宋体"/>
          <w:spacing w:val="-77"/>
          <w:highlight w:val="none"/>
        </w:rPr>
        <w:t xml:space="preserve"> </w:t>
      </w:r>
      <w:r>
        <w:rPr>
          <w:rFonts w:hint="eastAsia" w:ascii="宋体" w:hAnsi="宋体" w:cs="宋体"/>
          <w:spacing w:val="-4"/>
          <w:highlight w:val="none"/>
        </w:rPr>
        <w:t>二）整县（</w:t>
      </w:r>
      <w:r>
        <w:rPr>
          <w:rFonts w:hint="eastAsia" w:ascii="宋体" w:hAnsi="宋体" w:cs="宋体"/>
          <w:spacing w:val="-52"/>
          <w:highlight w:val="none"/>
        </w:rPr>
        <w:t xml:space="preserve"> </w:t>
      </w:r>
      <w:r>
        <w:rPr>
          <w:rFonts w:hint="eastAsia" w:ascii="宋体" w:hAnsi="宋体" w:cs="宋体"/>
          <w:spacing w:val="-4"/>
          <w:highlight w:val="none"/>
        </w:rPr>
        <w:t>区）能源费用托管：指甲方（</w:t>
      </w:r>
      <w:r>
        <w:rPr>
          <w:rFonts w:hint="eastAsia" w:ascii="宋体" w:hAnsi="宋体" w:cs="宋体"/>
          <w:spacing w:val="-79"/>
          <w:highlight w:val="none"/>
        </w:rPr>
        <w:t xml:space="preserve"> </w:t>
      </w:r>
      <w:r>
        <w:rPr>
          <w:rFonts w:hint="eastAsia" w:ascii="宋体" w:hAnsi="宋体" w:cs="宋体"/>
          <w:spacing w:val="-4"/>
          <w:highlight w:val="none"/>
        </w:rPr>
        <w:t>节能主管部门或</w:t>
      </w:r>
      <w:r>
        <w:rPr>
          <w:rFonts w:hint="eastAsia" w:ascii="宋体" w:hAnsi="宋体" w:cs="宋体"/>
          <w:spacing w:val="1"/>
          <w:highlight w:val="none"/>
        </w:rPr>
        <w:t>牵头单位）和用能单位委托乙方（节能服务公司</w:t>
      </w:r>
      <w:r>
        <w:rPr>
          <w:rFonts w:hint="eastAsia" w:ascii="宋体" w:hAnsi="宋体" w:cs="宋体"/>
          <w:spacing w:val="-31"/>
          <w:highlight w:val="none"/>
        </w:rPr>
        <w:t>），</w:t>
      </w:r>
      <w:r>
        <w:rPr>
          <w:rFonts w:hint="eastAsia" w:ascii="宋体" w:hAnsi="宋体" w:cs="宋体"/>
          <w:spacing w:val="1"/>
          <w:highlight w:val="none"/>
        </w:rPr>
        <w:t>进行电、气、</w:t>
      </w:r>
      <w:r>
        <w:rPr>
          <w:rFonts w:hint="eastAsia" w:ascii="宋体" w:hAnsi="宋体" w:cs="宋体"/>
          <w:spacing w:val="-1"/>
          <w:highlight w:val="none"/>
        </w:rPr>
        <w:t>煤、油、市政热力、集中供冷、水等能源资源系统的运</w:t>
      </w:r>
      <w:r>
        <w:rPr>
          <w:rFonts w:hint="eastAsia" w:ascii="宋体" w:hAnsi="宋体" w:cs="宋体"/>
          <w:spacing w:val="-2"/>
          <w:highlight w:val="none"/>
        </w:rPr>
        <w:t>行、管理、</w:t>
      </w:r>
      <w:r>
        <w:rPr>
          <w:rFonts w:hint="eastAsia" w:ascii="宋体" w:hAnsi="宋体" w:cs="宋体"/>
          <w:spacing w:val="5"/>
          <w:highlight w:val="none"/>
        </w:rPr>
        <w:t>维护和改造，并将根据能源基准确定的费用支付给节能服务公司作为托管费用，节能服务公司通过科学的管理运行和节能技术的</w:t>
      </w:r>
      <w:r>
        <w:rPr>
          <w:rFonts w:hint="eastAsia" w:ascii="宋体" w:hAnsi="宋体" w:cs="宋体"/>
          <w:spacing w:val="2"/>
          <w:highlight w:val="none"/>
        </w:rPr>
        <w:t>应用达到节约能源资源、减少费用支出等</w:t>
      </w:r>
      <w:r>
        <w:rPr>
          <w:rFonts w:hint="eastAsia" w:ascii="宋体" w:hAnsi="宋体" w:cs="宋体"/>
          <w:spacing w:val="-64"/>
          <w:highlight w:val="none"/>
        </w:rPr>
        <w:t xml:space="preserve"> </w:t>
      </w:r>
      <w:r>
        <w:rPr>
          <w:rFonts w:hint="eastAsia" w:ascii="宋体" w:hAnsi="宋体" w:cs="宋体"/>
          <w:spacing w:val="2"/>
          <w:highlight w:val="none"/>
        </w:rPr>
        <w:t>目的，获取合理的利润</w:t>
      </w:r>
      <w:r>
        <w:rPr>
          <w:rFonts w:hint="eastAsia" w:ascii="宋体" w:hAnsi="宋体" w:cs="宋体"/>
          <w:spacing w:val="7"/>
          <w:highlight w:val="none"/>
        </w:rPr>
        <w:t>的一种合同能源管理形式。</w:t>
      </w:r>
    </w:p>
    <w:p w14:paraId="3FADDE54">
      <w:pPr>
        <w:spacing w:before="100" w:line="333" w:lineRule="auto"/>
        <w:ind w:firstLine="648" w:firstLineChars="300"/>
        <w:rPr>
          <w:rFonts w:hint="eastAsia" w:ascii="宋体" w:hAnsi="宋体" w:cs="宋体"/>
          <w:highlight w:val="none"/>
        </w:rPr>
      </w:pPr>
      <w:r>
        <w:rPr>
          <w:rFonts w:hint="eastAsia" w:ascii="宋体" w:hAnsi="宋体" w:cs="宋体"/>
          <w:spacing w:val="3"/>
          <w:highlight w:val="none"/>
        </w:rPr>
        <w:t>（</w:t>
      </w:r>
      <w:r>
        <w:rPr>
          <w:rFonts w:hint="eastAsia" w:ascii="宋体" w:hAnsi="宋体" w:cs="宋体"/>
          <w:spacing w:val="-76"/>
          <w:highlight w:val="none"/>
        </w:rPr>
        <w:t xml:space="preserve"> </w:t>
      </w:r>
      <w:r>
        <w:rPr>
          <w:rFonts w:hint="eastAsia" w:ascii="宋体" w:hAnsi="宋体" w:cs="宋体"/>
          <w:spacing w:val="3"/>
          <w:highlight w:val="none"/>
        </w:rPr>
        <w:t>三）能源托管费用：指甲方、用能单位（具</w:t>
      </w:r>
      <w:r>
        <w:rPr>
          <w:rFonts w:hint="eastAsia" w:ascii="宋体" w:hAnsi="宋体" w:cs="宋体"/>
          <w:spacing w:val="2"/>
          <w:highlight w:val="none"/>
        </w:rPr>
        <w:t>体实施托管的</w:t>
      </w:r>
      <w:r>
        <w:rPr>
          <w:rFonts w:hint="eastAsia" w:ascii="宋体" w:hAnsi="宋体" w:cs="宋体"/>
          <w:spacing w:val="7"/>
          <w:highlight w:val="none"/>
        </w:rPr>
        <w:t>公共机构）与节能服务公司签订能源费用托管项目服务合同后，</w:t>
      </w:r>
      <w:r>
        <w:rPr>
          <w:rFonts w:hint="eastAsia" w:ascii="宋体" w:hAnsi="宋体" w:cs="宋体"/>
          <w:spacing w:val="5"/>
          <w:highlight w:val="none"/>
        </w:rPr>
        <w:t>根据能源基准确定的支付给节能服务公司的能源托管款项。既包</w:t>
      </w:r>
      <w:r>
        <w:rPr>
          <w:rFonts w:hint="eastAsia" w:ascii="宋体" w:hAnsi="宋体" w:cs="宋体"/>
          <w:spacing w:val="17"/>
          <w:highlight w:val="none"/>
        </w:rPr>
        <w:t>括按照托管范围内的能源基准和相应能源资源</w:t>
      </w:r>
      <w:r>
        <w:rPr>
          <w:rFonts w:hint="eastAsia" w:ascii="宋体" w:hAnsi="宋体" w:cs="宋体"/>
          <w:spacing w:val="16"/>
          <w:highlight w:val="none"/>
        </w:rPr>
        <w:t>单价测算得出的</w:t>
      </w:r>
      <w:r>
        <w:rPr>
          <w:rFonts w:hint="eastAsia" w:ascii="宋体" w:hAnsi="宋体" w:cs="宋体"/>
          <w:spacing w:val="14"/>
          <w:highlight w:val="none"/>
        </w:rPr>
        <w:t>能源资源费用</w:t>
      </w:r>
      <w:r>
        <w:rPr>
          <w:rFonts w:hint="eastAsia" w:ascii="宋体" w:hAnsi="宋体" w:cs="宋体"/>
          <w:spacing w:val="-78"/>
          <w:highlight w:val="none"/>
        </w:rPr>
        <w:t xml:space="preserve"> </w:t>
      </w:r>
      <w:r>
        <w:rPr>
          <w:rFonts w:hint="eastAsia" w:ascii="宋体" w:hAnsi="宋体" w:cs="宋体"/>
          <w:spacing w:val="14"/>
          <w:highlight w:val="none"/>
        </w:rPr>
        <w:t>，也可包括对托管范围内能源资源系统的运行管</w:t>
      </w:r>
      <w:r>
        <w:rPr>
          <w:rFonts w:hint="eastAsia" w:ascii="宋体" w:hAnsi="宋体" w:cs="宋体"/>
          <w:spacing w:val="5"/>
          <w:highlight w:val="none"/>
        </w:rPr>
        <w:t>理、维修维护等运维费用。具体范围以能源费用托管项目服务合同约定为准。</w:t>
      </w:r>
    </w:p>
    <w:p w14:paraId="5D107540">
      <w:pPr>
        <w:spacing w:before="2" w:line="333" w:lineRule="auto"/>
        <w:ind w:left="12" w:firstLine="601"/>
        <w:rPr>
          <w:rFonts w:hint="eastAsia" w:ascii="宋体" w:hAnsi="宋体" w:cs="宋体"/>
          <w:highlight w:val="none"/>
        </w:rPr>
      </w:pPr>
      <w:r>
        <w:rPr>
          <w:rFonts w:hint="eastAsia" w:ascii="宋体" w:hAnsi="宋体" w:cs="宋体"/>
          <w:spacing w:val="-1"/>
          <w:highlight w:val="none"/>
        </w:rPr>
        <w:t>（</w:t>
      </w:r>
      <w:r>
        <w:rPr>
          <w:rFonts w:hint="eastAsia" w:ascii="宋体" w:hAnsi="宋体" w:cs="宋体"/>
          <w:spacing w:val="-46"/>
          <w:highlight w:val="none"/>
        </w:rPr>
        <w:t xml:space="preserve"> </w:t>
      </w:r>
      <w:r>
        <w:rPr>
          <w:rFonts w:hint="eastAsia" w:ascii="宋体" w:hAnsi="宋体" w:cs="宋体"/>
          <w:spacing w:val="-1"/>
          <w:highlight w:val="none"/>
        </w:rPr>
        <w:t>四）能源托管期：指节能服务公司向</w:t>
      </w:r>
      <w:r>
        <w:rPr>
          <w:rFonts w:hint="eastAsia" w:ascii="宋体" w:hAnsi="宋体" w:cs="宋体"/>
          <w:spacing w:val="-87"/>
          <w:highlight w:val="none"/>
        </w:rPr>
        <w:t xml:space="preserve"> </w:t>
      </w:r>
      <w:r>
        <w:rPr>
          <w:rFonts w:hint="eastAsia" w:ascii="宋体" w:hAnsi="宋体" w:cs="宋体"/>
          <w:spacing w:val="-1"/>
          <w:highlight w:val="none"/>
        </w:rPr>
        <w:t>甲方、用能单位提供</w:t>
      </w:r>
      <w:r>
        <w:rPr>
          <w:rFonts w:hint="eastAsia" w:ascii="宋体" w:hAnsi="宋体" w:cs="宋体"/>
          <w:spacing w:val="5"/>
          <w:highlight w:val="none"/>
        </w:rPr>
        <w:t>能源费用托管服务，甲方或用能单位向节能服</w:t>
      </w:r>
      <w:r>
        <w:rPr>
          <w:rFonts w:hint="eastAsia" w:ascii="宋体" w:hAnsi="宋体" w:cs="宋体"/>
          <w:spacing w:val="4"/>
          <w:highlight w:val="none"/>
        </w:rPr>
        <w:t>务公司支付能源托管费用的期限。</w:t>
      </w:r>
    </w:p>
    <w:p w14:paraId="62DD4130">
      <w:pPr>
        <w:spacing w:line="334" w:lineRule="auto"/>
        <w:ind w:left="39" w:firstLine="574"/>
        <w:rPr>
          <w:rFonts w:hint="eastAsia" w:ascii="宋体" w:hAnsi="宋体" w:cs="宋体"/>
          <w:highlight w:val="none"/>
        </w:rPr>
      </w:pPr>
      <w:r>
        <w:rPr>
          <w:rFonts w:hint="eastAsia" w:ascii="宋体" w:hAnsi="宋体" w:cs="宋体"/>
          <w:spacing w:val="3"/>
          <w:highlight w:val="none"/>
        </w:rPr>
        <w:t>（</w:t>
      </w:r>
      <w:r>
        <w:rPr>
          <w:rFonts w:hint="eastAsia" w:ascii="宋体" w:hAnsi="宋体" w:cs="宋体"/>
          <w:spacing w:val="-82"/>
          <w:highlight w:val="none"/>
        </w:rPr>
        <w:t xml:space="preserve"> </w:t>
      </w:r>
      <w:r>
        <w:rPr>
          <w:rFonts w:hint="eastAsia" w:ascii="宋体" w:hAnsi="宋体" w:cs="宋体"/>
          <w:spacing w:val="3"/>
          <w:highlight w:val="none"/>
        </w:rPr>
        <w:t>五）用能单位：指依据本框架协议，纳入能源费用托管范</w:t>
      </w:r>
      <w:r>
        <w:rPr>
          <w:rFonts w:hint="eastAsia" w:ascii="宋体" w:hAnsi="宋体" w:cs="宋体"/>
          <w:highlight w:val="none"/>
        </w:rPr>
        <w:t>围的公共机构。</w:t>
      </w:r>
    </w:p>
    <w:p w14:paraId="25270CDA">
      <w:pPr>
        <w:spacing w:line="331" w:lineRule="auto"/>
        <w:ind w:left="4" w:firstLine="609"/>
        <w:rPr>
          <w:rFonts w:hint="eastAsia" w:ascii="宋体" w:hAnsi="宋体" w:cs="宋体"/>
          <w:highlight w:val="none"/>
        </w:rPr>
      </w:pPr>
      <w:r>
        <w:rPr>
          <w:rFonts w:hint="eastAsia" w:ascii="宋体" w:hAnsi="宋体" w:cs="宋体"/>
          <w:spacing w:val="3"/>
          <w:highlight w:val="none"/>
        </w:rPr>
        <w:t>（</w:t>
      </w:r>
      <w:r>
        <w:rPr>
          <w:rFonts w:hint="eastAsia" w:ascii="宋体" w:hAnsi="宋体" w:cs="宋体"/>
          <w:spacing w:val="-77"/>
          <w:highlight w:val="none"/>
        </w:rPr>
        <w:t xml:space="preserve"> </w:t>
      </w:r>
      <w:r>
        <w:rPr>
          <w:rFonts w:hint="eastAsia" w:ascii="宋体" w:hAnsi="宋体" w:cs="宋体"/>
          <w:spacing w:val="3"/>
          <w:highlight w:val="none"/>
        </w:rPr>
        <w:t>六）乙方新增设备：指能源费用托管项目下所</w:t>
      </w:r>
      <w:r>
        <w:rPr>
          <w:rFonts w:hint="eastAsia" w:ascii="宋体" w:hAnsi="宋体" w:cs="宋体"/>
          <w:spacing w:val="2"/>
          <w:highlight w:val="none"/>
        </w:rPr>
        <w:t>有由乙方采</w:t>
      </w:r>
      <w:r>
        <w:rPr>
          <w:rFonts w:hint="eastAsia" w:ascii="宋体" w:hAnsi="宋体" w:cs="宋体"/>
          <w:spacing w:val="8"/>
          <w:highlight w:val="none"/>
        </w:rPr>
        <w:t>购并安装的设备、设施和仪器等设备财产。</w:t>
      </w:r>
    </w:p>
    <w:p w14:paraId="07DDF4D0">
      <w:pPr>
        <w:spacing w:before="8" w:line="333" w:lineRule="auto"/>
        <w:ind w:left="12" w:firstLine="601"/>
        <w:rPr>
          <w:rFonts w:hint="eastAsia" w:ascii="宋体" w:hAnsi="宋体" w:cs="宋体"/>
          <w:highlight w:val="none"/>
        </w:rPr>
      </w:pPr>
      <w:r>
        <w:rPr>
          <w:rFonts w:hint="eastAsia" w:ascii="宋体" w:hAnsi="宋体" w:cs="宋体"/>
          <w:spacing w:val="3"/>
          <w:highlight w:val="none"/>
        </w:rPr>
        <w:t>（</w:t>
      </w:r>
      <w:r>
        <w:rPr>
          <w:rFonts w:hint="eastAsia" w:ascii="宋体" w:hAnsi="宋体" w:cs="宋体"/>
          <w:spacing w:val="-82"/>
          <w:highlight w:val="none"/>
        </w:rPr>
        <w:t xml:space="preserve"> </w:t>
      </w:r>
      <w:r>
        <w:rPr>
          <w:rFonts w:hint="eastAsia" w:ascii="宋体" w:hAnsi="宋体" w:cs="宋体"/>
          <w:spacing w:val="3"/>
          <w:highlight w:val="none"/>
        </w:rPr>
        <w:t>七）用能单位原有设备：指与项目建设或运行相关的，用</w:t>
      </w:r>
      <w:r>
        <w:rPr>
          <w:rFonts w:hint="eastAsia" w:ascii="宋体" w:hAnsi="宋体" w:cs="宋体"/>
          <w:spacing w:val="16"/>
          <w:highlight w:val="none"/>
        </w:rPr>
        <w:t>能单位自有的除乙方新增设备之外的其他所有设备设施及仪器</w:t>
      </w:r>
      <w:r>
        <w:rPr>
          <w:rFonts w:hint="eastAsia" w:ascii="宋体" w:hAnsi="宋体" w:cs="宋体"/>
          <w:spacing w:val="-1"/>
          <w:highlight w:val="none"/>
        </w:rPr>
        <w:t>等财产。</w:t>
      </w:r>
    </w:p>
    <w:p w14:paraId="595BFF08">
      <w:pPr>
        <w:spacing w:before="1" w:line="333" w:lineRule="auto"/>
        <w:ind w:firstLine="614"/>
        <w:rPr>
          <w:rFonts w:hint="eastAsia" w:ascii="宋体" w:hAnsi="宋体" w:cs="宋体"/>
          <w:highlight w:val="none"/>
        </w:rPr>
      </w:pPr>
      <w:r>
        <w:rPr>
          <w:rFonts w:hint="eastAsia" w:ascii="宋体" w:hAnsi="宋体" w:cs="宋体"/>
          <w:spacing w:val="2"/>
          <w:highlight w:val="none"/>
        </w:rPr>
        <w:t>（八）子项</w:t>
      </w:r>
      <w:r>
        <w:rPr>
          <w:rFonts w:hint="eastAsia" w:ascii="宋体" w:hAnsi="宋体" w:cs="宋体"/>
          <w:spacing w:val="-56"/>
          <w:highlight w:val="none"/>
        </w:rPr>
        <w:t xml:space="preserve"> </w:t>
      </w:r>
      <w:r>
        <w:rPr>
          <w:rFonts w:hint="eastAsia" w:ascii="宋体" w:hAnsi="宋体" w:cs="宋体"/>
          <w:spacing w:val="2"/>
          <w:highlight w:val="none"/>
        </w:rPr>
        <w:t>目：指在本项目范围内，节能服务公司根据各个</w:t>
      </w:r>
      <w:r>
        <w:rPr>
          <w:rFonts w:hint="eastAsia" w:ascii="宋体" w:hAnsi="宋体" w:cs="宋体"/>
          <w:spacing w:val="5"/>
          <w:highlight w:val="none"/>
        </w:rPr>
        <w:t>用能单位或办公区实际情况，分别提供能源费用托管服务的各个</w:t>
      </w:r>
      <w:r>
        <w:rPr>
          <w:rFonts w:hint="eastAsia" w:ascii="宋体" w:hAnsi="宋体" w:cs="宋体"/>
          <w:spacing w:val="-13"/>
          <w:highlight w:val="none"/>
        </w:rPr>
        <w:t>具体项</w:t>
      </w:r>
      <w:r>
        <w:rPr>
          <w:rFonts w:hint="eastAsia" w:ascii="宋体" w:hAnsi="宋体" w:cs="宋体"/>
          <w:spacing w:val="-70"/>
          <w:highlight w:val="none"/>
        </w:rPr>
        <w:t xml:space="preserve"> </w:t>
      </w:r>
      <w:r>
        <w:rPr>
          <w:rFonts w:hint="eastAsia" w:ascii="宋体" w:hAnsi="宋体" w:cs="宋体"/>
          <w:spacing w:val="-13"/>
          <w:highlight w:val="none"/>
        </w:rPr>
        <w:t>目。</w:t>
      </w:r>
    </w:p>
    <w:p w14:paraId="5578D490">
      <w:pPr>
        <w:pStyle w:val="8"/>
        <w:spacing w:line="265" w:lineRule="auto"/>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（九）子合同：依据本框架协议，用能单位与节能服务公司</w:t>
      </w:r>
      <w:r>
        <w:rPr>
          <w:rFonts w:hint="eastAsia" w:ascii="宋体" w:hAnsi="宋体" w:eastAsia="宋体" w:cs="宋体"/>
          <w:spacing w:val="8"/>
          <w:sz w:val="21"/>
          <w:szCs w:val="21"/>
          <w:highlight w:val="none"/>
        </w:rPr>
        <w:t>就子项目签订的具体能源费用托管项目服务合同。</w:t>
      </w:r>
    </w:p>
    <w:p w14:paraId="0264AEEA">
      <w:pPr>
        <w:spacing w:before="101" w:line="244" w:lineRule="auto"/>
        <w:ind w:left="5279"/>
        <w:rPr>
          <w:rFonts w:hint="eastAsia" w:ascii="宋体" w:hAnsi="宋体" w:cs="宋体"/>
          <w:spacing w:val="5"/>
          <w:highlight w:val="none"/>
        </w:rPr>
      </w:pPr>
      <w:r>
        <w:rPr>
          <w:rFonts w:hint="eastAsia" w:ascii="宋体" w:hAnsi="宋体" w:cs="宋体"/>
          <w:spacing w:val="5"/>
          <w:highlight w:val="none"/>
        </w:rPr>
        <w:br w:type="textWrapping"/>
      </w:r>
    </w:p>
    <w:p w14:paraId="3610E069">
      <w:pPr>
        <w:spacing w:before="101" w:line="244" w:lineRule="auto"/>
        <w:ind w:left="5279"/>
        <w:rPr>
          <w:rFonts w:hint="eastAsia" w:ascii="宋体" w:hAnsi="宋体" w:cs="宋体"/>
          <w:spacing w:val="5"/>
          <w:highlight w:val="none"/>
        </w:rPr>
      </w:pPr>
    </w:p>
    <w:p w14:paraId="68A55CE5">
      <w:pPr>
        <w:spacing w:before="101" w:line="244" w:lineRule="auto"/>
        <w:ind w:left="5279"/>
        <w:rPr>
          <w:rFonts w:hint="eastAsia" w:ascii="宋体" w:hAnsi="宋体" w:cs="宋体"/>
          <w:spacing w:val="5"/>
          <w:highlight w:val="none"/>
        </w:rPr>
      </w:pPr>
    </w:p>
    <w:p w14:paraId="5EE52A49">
      <w:pPr>
        <w:spacing w:before="101" w:line="244" w:lineRule="auto"/>
        <w:ind w:left="5279"/>
        <w:rPr>
          <w:rFonts w:hint="eastAsia" w:ascii="宋体" w:hAnsi="宋体" w:cs="宋体"/>
          <w:spacing w:val="5"/>
          <w:highlight w:val="none"/>
        </w:rPr>
      </w:pPr>
    </w:p>
    <w:p w14:paraId="204259CA">
      <w:pPr>
        <w:spacing w:before="101" w:line="244" w:lineRule="auto"/>
        <w:ind w:left="5279"/>
        <w:rPr>
          <w:rFonts w:hint="eastAsia" w:ascii="宋体" w:hAnsi="宋体" w:cs="宋体"/>
          <w:spacing w:val="5"/>
          <w:highlight w:val="none"/>
        </w:rPr>
      </w:pPr>
    </w:p>
    <w:p w14:paraId="48D1FEBB">
      <w:pPr>
        <w:spacing w:before="101" w:line="244" w:lineRule="auto"/>
        <w:ind w:left="5279"/>
        <w:rPr>
          <w:rFonts w:hint="eastAsia" w:ascii="宋体" w:hAnsi="宋体" w:cs="宋体"/>
          <w:spacing w:val="5"/>
          <w:highlight w:val="none"/>
        </w:rPr>
      </w:pPr>
    </w:p>
    <w:p w14:paraId="6FBB3BBB">
      <w:pPr>
        <w:spacing w:before="101" w:line="244" w:lineRule="auto"/>
        <w:ind w:left="5279"/>
        <w:rPr>
          <w:rFonts w:hint="eastAsia" w:ascii="宋体" w:hAnsi="宋体" w:cs="宋体"/>
          <w:spacing w:val="5"/>
          <w:highlight w:val="none"/>
        </w:rPr>
      </w:pPr>
    </w:p>
    <w:p w14:paraId="78444181">
      <w:pPr>
        <w:spacing w:before="101" w:line="244" w:lineRule="auto"/>
        <w:ind w:left="5279"/>
        <w:rPr>
          <w:rFonts w:hint="eastAsia" w:ascii="宋体" w:hAnsi="宋体" w:cs="宋体"/>
          <w:spacing w:val="5"/>
          <w:highlight w:val="none"/>
        </w:rPr>
      </w:pPr>
    </w:p>
    <w:p w14:paraId="2DC64957">
      <w:pPr>
        <w:spacing w:before="101" w:line="244" w:lineRule="auto"/>
        <w:ind w:left="5279"/>
        <w:rPr>
          <w:rFonts w:hint="eastAsia" w:ascii="宋体" w:hAnsi="宋体" w:cs="宋体"/>
          <w:spacing w:val="5"/>
          <w:highlight w:val="none"/>
        </w:rPr>
      </w:pPr>
    </w:p>
    <w:p w14:paraId="43345294">
      <w:pPr>
        <w:spacing w:before="101" w:line="244" w:lineRule="auto"/>
        <w:ind w:left="5279"/>
        <w:rPr>
          <w:rFonts w:hint="eastAsia" w:ascii="宋体" w:hAnsi="宋体" w:cs="宋体"/>
          <w:spacing w:val="5"/>
          <w:highlight w:val="none"/>
        </w:rPr>
      </w:pPr>
    </w:p>
    <w:p w14:paraId="11C8B871">
      <w:pPr>
        <w:spacing w:before="101" w:line="244" w:lineRule="auto"/>
        <w:ind w:left="5279"/>
        <w:rPr>
          <w:rFonts w:hint="eastAsia" w:ascii="宋体" w:hAnsi="宋体" w:cs="宋体"/>
          <w:spacing w:val="5"/>
          <w:highlight w:val="none"/>
        </w:rPr>
      </w:pPr>
    </w:p>
    <w:p w14:paraId="460C45EE">
      <w:pPr>
        <w:spacing w:before="101" w:line="244" w:lineRule="auto"/>
        <w:ind w:left="5279"/>
        <w:rPr>
          <w:rFonts w:hint="eastAsia" w:ascii="宋体" w:hAnsi="宋体" w:cs="宋体"/>
          <w:spacing w:val="5"/>
          <w:highlight w:val="none"/>
        </w:rPr>
      </w:pPr>
    </w:p>
    <w:p w14:paraId="07271508">
      <w:pPr>
        <w:spacing w:before="101" w:line="244" w:lineRule="auto"/>
        <w:ind w:left="5279"/>
        <w:rPr>
          <w:rFonts w:hint="eastAsia" w:ascii="宋体" w:hAnsi="宋体" w:cs="宋体"/>
          <w:spacing w:val="5"/>
          <w:highlight w:val="none"/>
        </w:rPr>
      </w:pPr>
    </w:p>
    <w:p w14:paraId="6BB9B3C1">
      <w:pPr>
        <w:spacing w:before="101" w:line="244" w:lineRule="auto"/>
        <w:ind w:left="5279"/>
        <w:rPr>
          <w:rFonts w:hint="eastAsia" w:ascii="宋体" w:hAnsi="宋体" w:cs="宋体"/>
          <w:spacing w:val="5"/>
          <w:highlight w:val="none"/>
        </w:rPr>
      </w:pPr>
    </w:p>
    <w:p w14:paraId="7EE05F88">
      <w:pPr>
        <w:spacing w:before="101" w:line="244" w:lineRule="auto"/>
        <w:ind w:left="5279"/>
        <w:rPr>
          <w:rFonts w:hint="eastAsia" w:ascii="宋体" w:hAnsi="宋体" w:cs="宋体"/>
          <w:spacing w:val="5"/>
          <w:highlight w:val="none"/>
        </w:rPr>
      </w:pPr>
    </w:p>
    <w:p w14:paraId="5AAD43C4">
      <w:pPr>
        <w:spacing w:before="101" w:line="244" w:lineRule="auto"/>
        <w:ind w:left="5279"/>
        <w:rPr>
          <w:rFonts w:hint="eastAsia" w:ascii="宋体" w:hAnsi="宋体" w:cs="宋体"/>
          <w:spacing w:val="5"/>
          <w:highlight w:val="none"/>
        </w:rPr>
      </w:pPr>
    </w:p>
    <w:p w14:paraId="537FB2FB">
      <w:pPr>
        <w:spacing w:before="101" w:line="244" w:lineRule="auto"/>
        <w:ind w:left="5279"/>
        <w:rPr>
          <w:rFonts w:hint="eastAsia" w:ascii="宋体" w:hAnsi="宋体" w:cs="宋体"/>
          <w:spacing w:val="5"/>
          <w:highlight w:val="none"/>
        </w:rPr>
      </w:pPr>
    </w:p>
    <w:p w14:paraId="0B3E4639">
      <w:pPr>
        <w:rPr>
          <w:rFonts w:hint="eastAsia" w:ascii="宋体" w:hAnsi="宋体" w:cs="宋体"/>
          <w:spacing w:val="5"/>
          <w:highlight w:val="none"/>
        </w:rPr>
      </w:pPr>
      <w:r>
        <w:rPr>
          <w:rFonts w:hint="eastAsia" w:ascii="宋体" w:hAnsi="宋体" w:cs="宋体"/>
          <w:spacing w:val="5"/>
          <w:highlight w:val="none"/>
        </w:rPr>
        <w:br w:type="page"/>
      </w:r>
    </w:p>
    <w:p w14:paraId="56EA7D04">
      <w:pPr>
        <w:spacing w:before="101" w:line="244" w:lineRule="auto"/>
        <w:ind w:left="5279"/>
        <w:rPr>
          <w:rFonts w:hint="eastAsia" w:ascii="宋体" w:hAnsi="宋体" w:cs="宋体"/>
          <w:highlight w:val="none"/>
        </w:rPr>
      </w:pPr>
      <w:r>
        <w:rPr>
          <w:rFonts w:hint="eastAsia" w:ascii="宋体" w:hAnsi="宋体" w:cs="宋体"/>
          <w:spacing w:val="5"/>
          <w:highlight w:val="none"/>
        </w:rPr>
        <w:t>合同编号：</w:t>
      </w:r>
      <w:r>
        <w:rPr>
          <w:rFonts w:hint="eastAsia" w:ascii="宋体" w:hAnsi="宋体" w:cs="宋体"/>
          <w:highlight w:val="none"/>
          <w:u w:val="single"/>
        </w:rPr>
        <w:t xml:space="preserve">             </w:t>
      </w:r>
    </w:p>
    <w:p w14:paraId="3290D576">
      <w:pPr>
        <w:spacing w:before="39" w:line="596" w:lineRule="exact"/>
        <w:jc w:val="center"/>
        <w:rPr>
          <w:rFonts w:hint="eastAsia" w:ascii="宋体" w:hAnsi="宋体" w:cs="宋体"/>
          <w:highlight w:val="none"/>
        </w:rPr>
      </w:pPr>
      <w:r>
        <w:rPr>
          <w:rFonts w:hint="eastAsia" w:ascii="宋体" w:hAnsi="宋体" w:cs="宋体"/>
          <w:b/>
          <w:bCs/>
          <w:spacing w:val="-14"/>
          <w:position w:val="2"/>
          <w:highlight w:val="none"/>
        </w:rPr>
        <w:t>整县（区）公共机构能源费用托管项目框架协议</w:t>
      </w:r>
    </w:p>
    <w:p w14:paraId="26AE73AF">
      <w:pPr>
        <w:spacing w:line="201" w:lineRule="exact"/>
        <w:rPr>
          <w:rFonts w:hint="eastAsia" w:ascii="宋体" w:hAnsi="宋体" w:cs="宋体"/>
          <w:highlight w:val="none"/>
        </w:rPr>
      </w:pPr>
    </w:p>
    <w:tbl>
      <w:tblPr>
        <w:tblStyle w:val="44"/>
        <w:tblW w:w="884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7"/>
        <w:gridCol w:w="2360"/>
        <w:gridCol w:w="2129"/>
        <w:gridCol w:w="1469"/>
        <w:gridCol w:w="2071"/>
      </w:tblGrid>
      <w:tr w14:paraId="24E6E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jc w:val="center"/>
        </w:trPr>
        <w:tc>
          <w:tcPr>
            <w:tcW w:w="817" w:type="dxa"/>
            <w:vMerge w:val="restart"/>
            <w:tcBorders>
              <w:bottom w:val="nil"/>
            </w:tcBorders>
            <w:textDirection w:val="tbRlV"/>
            <w:vAlign w:val="top"/>
          </w:tcPr>
          <w:p w14:paraId="3BA8639C">
            <w:pPr>
              <w:spacing w:before="255" w:line="236" w:lineRule="auto"/>
              <w:ind w:left="1032"/>
              <w:rPr>
                <w:rFonts w:hint="eastAsia" w:ascii="宋体" w:hAnsi="宋体" w:cs="宋体"/>
                <w:highlight w:val="none"/>
              </w:rPr>
            </w:pPr>
            <w:r>
              <w:rPr>
                <w:rFonts w:hint="eastAsia" w:ascii="宋体" w:hAnsi="宋体" w:cs="宋体"/>
                <w:color w:val="212529"/>
                <w:spacing w:val="7"/>
                <w:highlight w:val="none"/>
              </w:rPr>
              <w:t>甲方（节能主管部门或牵头单位）</w:t>
            </w:r>
          </w:p>
        </w:tc>
        <w:tc>
          <w:tcPr>
            <w:tcW w:w="2360" w:type="dxa"/>
            <w:vAlign w:val="top"/>
          </w:tcPr>
          <w:p w14:paraId="1D573886">
            <w:pPr>
              <w:spacing w:before="178" w:line="201" w:lineRule="auto"/>
              <w:ind w:left="701"/>
              <w:rPr>
                <w:rFonts w:hint="eastAsia" w:ascii="宋体" w:hAnsi="宋体" w:cs="宋体"/>
                <w:highlight w:val="none"/>
              </w:rPr>
            </w:pPr>
            <w:r>
              <w:rPr>
                <w:rFonts w:hint="eastAsia" w:ascii="宋体" w:hAnsi="宋体" w:cs="宋体"/>
                <w:color w:val="212529"/>
                <w:spacing w:val="-1"/>
                <w:highlight w:val="none"/>
              </w:rPr>
              <w:t>单位名称</w:t>
            </w:r>
          </w:p>
        </w:tc>
        <w:tc>
          <w:tcPr>
            <w:tcW w:w="5669" w:type="dxa"/>
            <w:gridSpan w:val="3"/>
            <w:vAlign w:val="top"/>
          </w:tcPr>
          <w:p w14:paraId="5151A544">
            <w:pPr>
              <w:pStyle w:val="45"/>
              <w:rPr>
                <w:rFonts w:hint="eastAsia" w:ascii="宋体" w:hAnsi="宋体" w:eastAsia="宋体" w:cs="宋体"/>
                <w:highlight w:val="none"/>
              </w:rPr>
            </w:pPr>
          </w:p>
        </w:tc>
      </w:tr>
      <w:tr w14:paraId="6BA9E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817" w:type="dxa"/>
            <w:vMerge w:val="continue"/>
            <w:tcBorders>
              <w:top w:val="nil"/>
              <w:bottom w:val="nil"/>
            </w:tcBorders>
            <w:textDirection w:val="tbRlV"/>
            <w:vAlign w:val="top"/>
          </w:tcPr>
          <w:p w14:paraId="57D8CADA">
            <w:pPr>
              <w:pStyle w:val="45"/>
              <w:rPr>
                <w:rFonts w:hint="eastAsia" w:ascii="宋体" w:hAnsi="宋体" w:eastAsia="宋体" w:cs="宋体"/>
                <w:highlight w:val="none"/>
              </w:rPr>
            </w:pPr>
          </w:p>
        </w:tc>
        <w:tc>
          <w:tcPr>
            <w:tcW w:w="2360" w:type="dxa"/>
            <w:vAlign w:val="top"/>
          </w:tcPr>
          <w:p w14:paraId="69F2281C">
            <w:pPr>
              <w:spacing w:before="175" w:line="201" w:lineRule="auto"/>
              <w:ind w:left="582"/>
              <w:rPr>
                <w:rFonts w:hint="eastAsia" w:ascii="宋体" w:hAnsi="宋体" w:cs="宋体"/>
                <w:highlight w:val="none"/>
              </w:rPr>
            </w:pPr>
            <w:r>
              <w:rPr>
                <w:rFonts w:hint="eastAsia" w:ascii="宋体" w:hAnsi="宋体" w:cs="宋体"/>
                <w:color w:val="212529"/>
                <w:spacing w:val="-2"/>
                <w:highlight w:val="none"/>
              </w:rPr>
              <w:t>法定代表人</w:t>
            </w:r>
          </w:p>
        </w:tc>
        <w:tc>
          <w:tcPr>
            <w:tcW w:w="2129" w:type="dxa"/>
            <w:vAlign w:val="top"/>
          </w:tcPr>
          <w:p w14:paraId="106E0AC0">
            <w:pPr>
              <w:pStyle w:val="45"/>
              <w:rPr>
                <w:rFonts w:hint="eastAsia" w:ascii="宋体" w:hAnsi="宋体" w:eastAsia="宋体" w:cs="宋体"/>
                <w:highlight w:val="none"/>
              </w:rPr>
            </w:pPr>
          </w:p>
        </w:tc>
        <w:tc>
          <w:tcPr>
            <w:tcW w:w="1469" w:type="dxa"/>
            <w:vAlign w:val="top"/>
          </w:tcPr>
          <w:p w14:paraId="00AC2EFA">
            <w:pPr>
              <w:spacing w:before="176" w:line="201" w:lineRule="auto"/>
              <w:ind w:left="139"/>
              <w:rPr>
                <w:rFonts w:hint="eastAsia" w:ascii="宋体" w:hAnsi="宋体" w:cs="宋体"/>
                <w:highlight w:val="none"/>
              </w:rPr>
            </w:pPr>
            <w:r>
              <w:rPr>
                <w:rFonts w:hint="eastAsia" w:ascii="宋体" w:hAnsi="宋体" w:cs="宋体"/>
                <w:color w:val="212529"/>
                <w:spacing w:val="-2"/>
                <w:highlight w:val="none"/>
              </w:rPr>
              <w:t>委托代理人</w:t>
            </w:r>
          </w:p>
        </w:tc>
        <w:tc>
          <w:tcPr>
            <w:tcW w:w="2071" w:type="dxa"/>
            <w:vAlign w:val="top"/>
          </w:tcPr>
          <w:p w14:paraId="35853CB7">
            <w:pPr>
              <w:pStyle w:val="45"/>
              <w:rPr>
                <w:rFonts w:hint="eastAsia" w:ascii="宋体" w:hAnsi="宋体" w:eastAsia="宋体" w:cs="宋体"/>
                <w:highlight w:val="none"/>
              </w:rPr>
            </w:pPr>
          </w:p>
        </w:tc>
      </w:tr>
      <w:tr w14:paraId="4BA53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17" w:type="dxa"/>
            <w:vMerge w:val="continue"/>
            <w:tcBorders>
              <w:top w:val="nil"/>
              <w:bottom w:val="nil"/>
            </w:tcBorders>
            <w:textDirection w:val="tbRlV"/>
            <w:vAlign w:val="top"/>
          </w:tcPr>
          <w:p w14:paraId="75DF5760">
            <w:pPr>
              <w:pStyle w:val="45"/>
              <w:rPr>
                <w:rFonts w:hint="eastAsia" w:ascii="宋体" w:hAnsi="宋体" w:eastAsia="宋体" w:cs="宋体"/>
                <w:highlight w:val="none"/>
              </w:rPr>
            </w:pPr>
          </w:p>
        </w:tc>
        <w:tc>
          <w:tcPr>
            <w:tcW w:w="2360" w:type="dxa"/>
            <w:vAlign w:val="top"/>
          </w:tcPr>
          <w:p w14:paraId="006E81D3">
            <w:pPr>
              <w:spacing w:before="175" w:line="201" w:lineRule="auto"/>
              <w:ind w:left="222"/>
              <w:rPr>
                <w:rFonts w:hint="eastAsia" w:ascii="宋体" w:hAnsi="宋体" w:cs="宋体"/>
                <w:highlight w:val="none"/>
              </w:rPr>
            </w:pPr>
            <w:r>
              <w:rPr>
                <w:rFonts w:hint="eastAsia" w:ascii="宋体" w:hAnsi="宋体" w:cs="宋体"/>
                <w:color w:val="212529"/>
                <w:spacing w:val="-1"/>
                <w:highlight w:val="none"/>
              </w:rPr>
              <w:t>联系人及手机号码</w:t>
            </w:r>
          </w:p>
        </w:tc>
        <w:tc>
          <w:tcPr>
            <w:tcW w:w="5669" w:type="dxa"/>
            <w:gridSpan w:val="3"/>
            <w:vAlign w:val="top"/>
          </w:tcPr>
          <w:p w14:paraId="1456EF83">
            <w:pPr>
              <w:pStyle w:val="45"/>
              <w:rPr>
                <w:rFonts w:hint="eastAsia" w:ascii="宋体" w:hAnsi="宋体" w:eastAsia="宋体" w:cs="宋体"/>
                <w:highlight w:val="none"/>
                <w:lang w:eastAsia="zh-CN"/>
              </w:rPr>
            </w:pPr>
          </w:p>
        </w:tc>
      </w:tr>
      <w:tr w14:paraId="618057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817" w:type="dxa"/>
            <w:vMerge w:val="continue"/>
            <w:tcBorders>
              <w:top w:val="nil"/>
              <w:bottom w:val="nil"/>
            </w:tcBorders>
            <w:textDirection w:val="tbRlV"/>
            <w:vAlign w:val="top"/>
          </w:tcPr>
          <w:p w14:paraId="0CDB2CBA">
            <w:pPr>
              <w:pStyle w:val="45"/>
              <w:rPr>
                <w:rFonts w:hint="eastAsia" w:ascii="宋体" w:hAnsi="宋体" w:eastAsia="宋体" w:cs="宋体"/>
                <w:highlight w:val="none"/>
              </w:rPr>
            </w:pPr>
          </w:p>
        </w:tc>
        <w:tc>
          <w:tcPr>
            <w:tcW w:w="2360" w:type="dxa"/>
            <w:vAlign w:val="top"/>
          </w:tcPr>
          <w:p w14:paraId="740D3BCB">
            <w:pPr>
              <w:spacing w:before="178" w:line="201" w:lineRule="auto"/>
              <w:ind w:left="702"/>
              <w:rPr>
                <w:rFonts w:hint="eastAsia" w:ascii="宋体" w:hAnsi="宋体" w:cs="宋体"/>
                <w:highlight w:val="none"/>
              </w:rPr>
            </w:pPr>
            <w:r>
              <w:rPr>
                <w:rFonts w:hint="eastAsia" w:ascii="宋体" w:hAnsi="宋体" w:cs="宋体"/>
                <w:color w:val="212529"/>
                <w:spacing w:val="-2"/>
                <w:highlight w:val="none"/>
              </w:rPr>
              <w:t>通讯地址</w:t>
            </w:r>
          </w:p>
        </w:tc>
        <w:tc>
          <w:tcPr>
            <w:tcW w:w="5669" w:type="dxa"/>
            <w:gridSpan w:val="3"/>
            <w:vAlign w:val="top"/>
          </w:tcPr>
          <w:p w14:paraId="3F0FE0D8">
            <w:pPr>
              <w:pStyle w:val="45"/>
              <w:rPr>
                <w:rFonts w:hint="eastAsia" w:ascii="宋体" w:hAnsi="宋体" w:eastAsia="宋体" w:cs="宋体"/>
                <w:highlight w:val="none"/>
              </w:rPr>
            </w:pPr>
          </w:p>
        </w:tc>
      </w:tr>
      <w:tr w14:paraId="3CD09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17" w:type="dxa"/>
            <w:vMerge w:val="continue"/>
            <w:tcBorders>
              <w:top w:val="nil"/>
              <w:bottom w:val="nil"/>
            </w:tcBorders>
            <w:textDirection w:val="tbRlV"/>
            <w:vAlign w:val="top"/>
          </w:tcPr>
          <w:p w14:paraId="5249F1D8">
            <w:pPr>
              <w:pStyle w:val="45"/>
              <w:rPr>
                <w:rFonts w:hint="eastAsia" w:ascii="宋体" w:hAnsi="宋体" w:eastAsia="宋体" w:cs="宋体"/>
                <w:highlight w:val="none"/>
              </w:rPr>
            </w:pPr>
          </w:p>
        </w:tc>
        <w:tc>
          <w:tcPr>
            <w:tcW w:w="2360" w:type="dxa"/>
            <w:vAlign w:val="top"/>
          </w:tcPr>
          <w:p w14:paraId="55D0067D">
            <w:pPr>
              <w:spacing w:before="178" w:line="200" w:lineRule="auto"/>
              <w:ind w:left="223"/>
              <w:rPr>
                <w:rFonts w:hint="eastAsia" w:ascii="宋体" w:hAnsi="宋体" w:cs="宋体"/>
                <w:highlight w:val="none"/>
              </w:rPr>
            </w:pPr>
            <w:r>
              <w:rPr>
                <w:rFonts w:hint="eastAsia" w:ascii="宋体" w:hAnsi="宋体" w:cs="宋体"/>
                <w:color w:val="212529"/>
                <w:spacing w:val="-1"/>
                <w:highlight w:val="none"/>
              </w:rPr>
              <w:t>统一社会信用代码</w:t>
            </w:r>
          </w:p>
        </w:tc>
        <w:tc>
          <w:tcPr>
            <w:tcW w:w="5669" w:type="dxa"/>
            <w:gridSpan w:val="3"/>
            <w:vAlign w:val="top"/>
          </w:tcPr>
          <w:p w14:paraId="010D4A81">
            <w:pPr>
              <w:pStyle w:val="45"/>
              <w:rPr>
                <w:rFonts w:hint="eastAsia" w:ascii="宋体" w:hAnsi="宋体" w:eastAsia="宋体" w:cs="宋体"/>
                <w:highlight w:val="none"/>
              </w:rPr>
            </w:pPr>
          </w:p>
        </w:tc>
      </w:tr>
      <w:tr w14:paraId="0262A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817" w:type="dxa"/>
            <w:vMerge w:val="continue"/>
            <w:tcBorders>
              <w:top w:val="nil"/>
              <w:bottom w:val="nil"/>
            </w:tcBorders>
            <w:textDirection w:val="tbRlV"/>
            <w:vAlign w:val="top"/>
          </w:tcPr>
          <w:p w14:paraId="28AF2F02">
            <w:pPr>
              <w:pStyle w:val="45"/>
              <w:rPr>
                <w:rFonts w:hint="eastAsia" w:ascii="宋体" w:hAnsi="宋体" w:eastAsia="宋体" w:cs="宋体"/>
                <w:highlight w:val="none"/>
              </w:rPr>
            </w:pPr>
          </w:p>
        </w:tc>
        <w:tc>
          <w:tcPr>
            <w:tcW w:w="2360" w:type="dxa"/>
            <w:vAlign w:val="top"/>
          </w:tcPr>
          <w:p w14:paraId="765CE4FC">
            <w:pPr>
              <w:spacing w:before="178" w:line="201" w:lineRule="auto"/>
              <w:ind w:left="964"/>
              <w:rPr>
                <w:rFonts w:hint="eastAsia" w:ascii="宋体" w:hAnsi="宋体" w:cs="宋体"/>
                <w:highlight w:val="none"/>
              </w:rPr>
            </w:pPr>
            <w:r>
              <w:rPr>
                <w:rFonts w:hint="eastAsia" w:ascii="宋体" w:hAnsi="宋体" w:cs="宋体"/>
                <w:color w:val="212529"/>
                <w:spacing w:val="-7"/>
                <w:w w:val="97"/>
                <w:highlight w:val="none"/>
              </w:rPr>
              <w:t>电话</w:t>
            </w:r>
          </w:p>
        </w:tc>
        <w:tc>
          <w:tcPr>
            <w:tcW w:w="2129" w:type="dxa"/>
            <w:vAlign w:val="top"/>
          </w:tcPr>
          <w:p w14:paraId="4B416DCF">
            <w:pPr>
              <w:pStyle w:val="45"/>
              <w:rPr>
                <w:rFonts w:hint="eastAsia" w:ascii="宋体" w:hAnsi="宋体" w:eastAsia="宋体" w:cs="宋体"/>
                <w:highlight w:val="none"/>
              </w:rPr>
            </w:pPr>
          </w:p>
        </w:tc>
        <w:tc>
          <w:tcPr>
            <w:tcW w:w="1469" w:type="dxa"/>
            <w:vAlign w:val="top"/>
          </w:tcPr>
          <w:p w14:paraId="63FEE508">
            <w:pPr>
              <w:spacing w:before="178" w:line="200" w:lineRule="auto"/>
              <w:ind w:left="496"/>
              <w:rPr>
                <w:rFonts w:hint="eastAsia" w:ascii="宋体" w:hAnsi="宋体" w:cs="宋体"/>
                <w:highlight w:val="none"/>
              </w:rPr>
            </w:pPr>
            <w:r>
              <w:rPr>
                <w:rFonts w:hint="eastAsia" w:ascii="宋体" w:hAnsi="宋体" w:cs="宋体"/>
                <w:color w:val="212529"/>
                <w:spacing w:val="-2"/>
                <w:highlight w:val="none"/>
              </w:rPr>
              <w:t>传真</w:t>
            </w:r>
          </w:p>
        </w:tc>
        <w:tc>
          <w:tcPr>
            <w:tcW w:w="2071" w:type="dxa"/>
            <w:vAlign w:val="top"/>
          </w:tcPr>
          <w:p w14:paraId="023ECA69">
            <w:pPr>
              <w:pStyle w:val="45"/>
              <w:rPr>
                <w:rFonts w:hint="eastAsia" w:ascii="宋体" w:hAnsi="宋体" w:eastAsia="宋体" w:cs="宋体"/>
                <w:highlight w:val="none"/>
              </w:rPr>
            </w:pPr>
          </w:p>
        </w:tc>
      </w:tr>
      <w:tr w14:paraId="0CB99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17" w:type="dxa"/>
            <w:vMerge w:val="continue"/>
            <w:tcBorders>
              <w:top w:val="nil"/>
              <w:bottom w:val="nil"/>
            </w:tcBorders>
            <w:textDirection w:val="tbRlV"/>
            <w:vAlign w:val="top"/>
          </w:tcPr>
          <w:p w14:paraId="3CDC2F6E">
            <w:pPr>
              <w:pStyle w:val="45"/>
              <w:rPr>
                <w:rFonts w:hint="eastAsia" w:ascii="宋体" w:hAnsi="宋体" w:eastAsia="宋体" w:cs="宋体"/>
                <w:highlight w:val="none"/>
              </w:rPr>
            </w:pPr>
          </w:p>
        </w:tc>
        <w:tc>
          <w:tcPr>
            <w:tcW w:w="2360" w:type="dxa"/>
            <w:vAlign w:val="top"/>
          </w:tcPr>
          <w:p w14:paraId="1FA42B7A">
            <w:pPr>
              <w:spacing w:before="178" w:line="201" w:lineRule="auto"/>
              <w:ind w:left="724"/>
              <w:rPr>
                <w:rFonts w:hint="eastAsia" w:ascii="宋体" w:hAnsi="宋体" w:cs="宋体"/>
                <w:highlight w:val="none"/>
              </w:rPr>
            </w:pPr>
            <w:r>
              <w:rPr>
                <w:rFonts w:hint="eastAsia" w:ascii="宋体" w:hAnsi="宋体" w:cs="宋体"/>
                <w:color w:val="212529"/>
                <w:spacing w:val="-7"/>
                <w:highlight w:val="none"/>
              </w:rPr>
              <w:t>电子邮箱</w:t>
            </w:r>
          </w:p>
        </w:tc>
        <w:tc>
          <w:tcPr>
            <w:tcW w:w="5669" w:type="dxa"/>
            <w:gridSpan w:val="3"/>
            <w:vAlign w:val="top"/>
          </w:tcPr>
          <w:p w14:paraId="1257C9DD">
            <w:pPr>
              <w:pStyle w:val="45"/>
              <w:rPr>
                <w:rFonts w:hint="eastAsia" w:ascii="宋体" w:hAnsi="宋体" w:eastAsia="宋体" w:cs="宋体"/>
                <w:highlight w:val="none"/>
              </w:rPr>
            </w:pPr>
          </w:p>
        </w:tc>
      </w:tr>
      <w:tr w14:paraId="21EC9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817" w:type="dxa"/>
            <w:vMerge w:val="continue"/>
            <w:tcBorders>
              <w:top w:val="nil"/>
              <w:bottom w:val="nil"/>
            </w:tcBorders>
            <w:textDirection w:val="tbRlV"/>
            <w:vAlign w:val="top"/>
          </w:tcPr>
          <w:p w14:paraId="11002D8B">
            <w:pPr>
              <w:pStyle w:val="45"/>
              <w:rPr>
                <w:rFonts w:hint="eastAsia" w:ascii="宋体" w:hAnsi="宋体" w:eastAsia="宋体" w:cs="宋体"/>
                <w:highlight w:val="none"/>
              </w:rPr>
            </w:pPr>
          </w:p>
        </w:tc>
        <w:tc>
          <w:tcPr>
            <w:tcW w:w="2360" w:type="dxa"/>
            <w:vAlign w:val="top"/>
          </w:tcPr>
          <w:p w14:paraId="09DAD429">
            <w:pPr>
              <w:spacing w:before="180" w:line="200" w:lineRule="auto"/>
              <w:ind w:left="706"/>
              <w:rPr>
                <w:rFonts w:hint="eastAsia" w:ascii="宋体" w:hAnsi="宋体" w:cs="宋体"/>
                <w:highlight w:val="none"/>
              </w:rPr>
            </w:pPr>
            <w:r>
              <w:rPr>
                <w:rFonts w:hint="eastAsia" w:ascii="宋体" w:hAnsi="宋体" w:cs="宋体"/>
                <w:color w:val="212529"/>
                <w:spacing w:val="-3"/>
                <w:highlight w:val="none"/>
              </w:rPr>
              <w:t>开户银行</w:t>
            </w:r>
          </w:p>
        </w:tc>
        <w:tc>
          <w:tcPr>
            <w:tcW w:w="5669" w:type="dxa"/>
            <w:gridSpan w:val="3"/>
            <w:vAlign w:val="top"/>
          </w:tcPr>
          <w:p w14:paraId="4E7B1EE2">
            <w:pPr>
              <w:pStyle w:val="45"/>
              <w:rPr>
                <w:rFonts w:hint="eastAsia" w:ascii="宋体" w:hAnsi="宋体" w:eastAsia="宋体" w:cs="宋体"/>
                <w:highlight w:val="none"/>
              </w:rPr>
            </w:pPr>
          </w:p>
        </w:tc>
      </w:tr>
      <w:tr w14:paraId="4751D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17" w:type="dxa"/>
            <w:vMerge w:val="continue"/>
            <w:tcBorders>
              <w:top w:val="nil"/>
              <w:bottom w:val="nil"/>
            </w:tcBorders>
            <w:textDirection w:val="tbRlV"/>
            <w:vAlign w:val="top"/>
          </w:tcPr>
          <w:p w14:paraId="11A405AA">
            <w:pPr>
              <w:pStyle w:val="45"/>
              <w:rPr>
                <w:rFonts w:hint="eastAsia" w:ascii="宋体" w:hAnsi="宋体" w:eastAsia="宋体" w:cs="宋体"/>
                <w:highlight w:val="none"/>
              </w:rPr>
            </w:pPr>
          </w:p>
        </w:tc>
        <w:tc>
          <w:tcPr>
            <w:tcW w:w="2360" w:type="dxa"/>
            <w:vAlign w:val="top"/>
          </w:tcPr>
          <w:p w14:paraId="6FF1AABF">
            <w:pPr>
              <w:spacing w:before="179" w:line="201" w:lineRule="auto"/>
              <w:ind w:left="941"/>
              <w:rPr>
                <w:rFonts w:hint="eastAsia" w:ascii="宋体" w:hAnsi="宋体" w:cs="宋体"/>
                <w:highlight w:val="none"/>
              </w:rPr>
            </w:pPr>
            <w:r>
              <w:rPr>
                <w:rFonts w:hint="eastAsia" w:ascii="宋体" w:hAnsi="宋体" w:cs="宋体"/>
                <w:color w:val="212529"/>
                <w:spacing w:val="-2"/>
                <w:highlight w:val="none"/>
              </w:rPr>
              <w:t>账号</w:t>
            </w:r>
          </w:p>
        </w:tc>
        <w:tc>
          <w:tcPr>
            <w:tcW w:w="5669" w:type="dxa"/>
            <w:gridSpan w:val="3"/>
            <w:vAlign w:val="top"/>
          </w:tcPr>
          <w:p w14:paraId="6BBADF77">
            <w:pPr>
              <w:pStyle w:val="45"/>
              <w:rPr>
                <w:rFonts w:hint="eastAsia" w:ascii="宋体" w:hAnsi="宋体" w:eastAsia="宋体" w:cs="宋体"/>
                <w:highlight w:val="none"/>
              </w:rPr>
            </w:pPr>
          </w:p>
        </w:tc>
      </w:tr>
      <w:tr w14:paraId="3015F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817" w:type="dxa"/>
            <w:vMerge w:val="continue"/>
            <w:tcBorders>
              <w:top w:val="nil"/>
            </w:tcBorders>
            <w:textDirection w:val="tbRlV"/>
            <w:vAlign w:val="top"/>
          </w:tcPr>
          <w:p w14:paraId="34ECCCB7">
            <w:pPr>
              <w:pStyle w:val="45"/>
              <w:rPr>
                <w:rFonts w:hint="eastAsia" w:ascii="宋体" w:hAnsi="宋体" w:eastAsia="宋体" w:cs="宋体"/>
                <w:highlight w:val="none"/>
              </w:rPr>
            </w:pPr>
          </w:p>
        </w:tc>
        <w:tc>
          <w:tcPr>
            <w:tcW w:w="2360" w:type="dxa"/>
            <w:vAlign w:val="top"/>
          </w:tcPr>
          <w:p w14:paraId="3B81059D">
            <w:pPr>
              <w:spacing w:before="179" w:line="201" w:lineRule="auto"/>
              <w:ind w:left="465"/>
              <w:rPr>
                <w:rFonts w:hint="eastAsia" w:ascii="宋体" w:hAnsi="宋体" w:cs="宋体"/>
                <w:highlight w:val="none"/>
              </w:rPr>
            </w:pPr>
            <w:r>
              <w:rPr>
                <w:rFonts w:hint="eastAsia" w:ascii="宋体" w:hAnsi="宋体" w:cs="宋体"/>
                <w:color w:val="212529"/>
                <w:spacing w:val="-2"/>
                <w:highlight w:val="none"/>
              </w:rPr>
              <w:t>纳税人识别号</w:t>
            </w:r>
          </w:p>
        </w:tc>
        <w:tc>
          <w:tcPr>
            <w:tcW w:w="5669" w:type="dxa"/>
            <w:gridSpan w:val="3"/>
            <w:vAlign w:val="top"/>
          </w:tcPr>
          <w:p w14:paraId="656E513F">
            <w:pPr>
              <w:pStyle w:val="45"/>
              <w:rPr>
                <w:rFonts w:hint="eastAsia" w:ascii="宋体" w:hAnsi="宋体" w:eastAsia="宋体" w:cs="宋体"/>
                <w:highlight w:val="none"/>
              </w:rPr>
            </w:pPr>
          </w:p>
        </w:tc>
      </w:tr>
      <w:tr w14:paraId="2CF2B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17" w:type="dxa"/>
            <w:vMerge w:val="restart"/>
            <w:tcBorders>
              <w:bottom w:val="nil"/>
            </w:tcBorders>
            <w:textDirection w:val="tbRlV"/>
            <w:vAlign w:val="top"/>
          </w:tcPr>
          <w:p w14:paraId="5A75A797">
            <w:pPr>
              <w:spacing w:before="255" w:line="228" w:lineRule="auto"/>
              <w:ind w:left="317"/>
              <w:rPr>
                <w:rFonts w:hint="eastAsia" w:ascii="宋体" w:hAnsi="宋体" w:cs="宋体"/>
                <w:highlight w:val="none"/>
              </w:rPr>
            </w:pPr>
            <w:r>
              <w:rPr>
                <w:rFonts w:hint="eastAsia" w:ascii="宋体" w:hAnsi="宋体" w:cs="宋体"/>
                <w:color w:val="212529"/>
                <w:spacing w:val="5"/>
                <w:highlight w:val="none"/>
              </w:rPr>
              <w:t>乙方（节能服务公司，含全部联合体成员单位）</w:t>
            </w:r>
          </w:p>
        </w:tc>
        <w:tc>
          <w:tcPr>
            <w:tcW w:w="2360" w:type="dxa"/>
            <w:vAlign w:val="top"/>
          </w:tcPr>
          <w:p w14:paraId="6DB9472B">
            <w:pPr>
              <w:spacing w:before="180" w:line="201" w:lineRule="auto"/>
              <w:ind w:left="701"/>
              <w:rPr>
                <w:rFonts w:hint="eastAsia" w:ascii="宋体" w:hAnsi="宋体" w:cs="宋体"/>
                <w:highlight w:val="none"/>
              </w:rPr>
            </w:pPr>
            <w:r>
              <w:rPr>
                <w:rFonts w:hint="eastAsia" w:ascii="宋体" w:hAnsi="宋体" w:cs="宋体"/>
                <w:color w:val="212529"/>
                <w:spacing w:val="-1"/>
                <w:highlight w:val="none"/>
              </w:rPr>
              <w:t>单位名称</w:t>
            </w:r>
          </w:p>
        </w:tc>
        <w:tc>
          <w:tcPr>
            <w:tcW w:w="5669" w:type="dxa"/>
            <w:gridSpan w:val="3"/>
            <w:vAlign w:val="top"/>
          </w:tcPr>
          <w:p w14:paraId="0B30DF53">
            <w:pPr>
              <w:pStyle w:val="45"/>
              <w:rPr>
                <w:rFonts w:hint="eastAsia" w:ascii="宋体" w:hAnsi="宋体" w:eastAsia="宋体" w:cs="宋体"/>
                <w:highlight w:val="none"/>
              </w:rPr>
            </w:pPr>
          </w:p>
        </w:tc>
      </w:tr>
      <w:tr w14:paraId="02025A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17" w:type="dxa"/>
            <w:vMerge w:val="continue"/>
            <w:tcBorders>
              <w:top w:val="nil"/>
              <w:bottom w:val="nil"/>
            </w:tcBorders>
            <w:textDirection w:val="tbRlV"/>
            <w:vAlign w:val="top"/>
          </w:tcPr>
          <w:p w14:paraId="5812135F">
            <w:pPr>
              <w:pStyle w:val="45"/>
              <w:rPr>
                <w:rFonts w:hint="eastAsia" w:ascii="宋体" w:hAnsi="宋体" w:eastAsia="宋体" w:cs="宋体"/>
                <w:highlight w:val="none"/>
              </w:rPr>
            </w:pPr>
          </w:p>
        </w:tc>
        <w:tc>
          <w:tcPr>
            <w:tcW w:w="2360" w:type="dxa"/>
            <w:vAlign w:val="top"/>
          </w:tcPr>
          <w:p w14:paraId="1EB565D5">
            <w:pPr>
              <w:spacing w:before="181" w:line="201" w:lineRule="auto"/>
              <w:ind w:left="582"/>
              <w:rPr>
                <w:rFonts w:hint="eastAsia" w:ascii="宋体" w:hAnsi="宋体" w:cs="宋体"/>
                <w:highlight w:val="none"/>
              </w:rPr>
            </w:pPr>
            <w:r>
              <w:rPr>
                <w:rFonts w:hint="eastAsia" w:ascii="宋体" w:hAnsi="宋体" w:cs="宋体"/>
                <w:color w:val="212529"/>
                <w:spacing w:val="-2"/>
                <w:highlight w:val="none"/>
              </w:rPr>
              <w:t>法定代表人</w:t>
            </w:r>
          </w:p>
        </w:tc>
        <w:tc>
          <w:tcPr>
            <w:tcW w:w="2129" w:type="dxa"/>
            <w:vAlign w:val="top"/>
          </w:tcPr>
          <w:p w14:paraId="4D540DAF">
            <w:pPr>
              <w:pStyle w:val="45"/>
              <w:rPr>
                <w:rFonts w:hint="eastAsia" w:ascii="宋体" w:hAnsi="宋体" w:eastAsia="宋体" w:cs="宋体"/>
                <w:highlight w:val="none"/>
              </w:rPr>
            </w:pPr>
          </w:p>
        </w:tc>
        <w:tc>
          <w:tcPr>
            <w:tcW w:w="1469" w:type="dxa"/>
            <w:vAlign w:val="top"/>
          </w:tcPr>
          <w:p w14:paraId="1F7D5474">
            <w:pPr>
              <w:spacing w:before="182" w:line="201" w:lineRule="auto"/>
              <w:ind w:left="139"/>
              <w:rPr>
                <w:rFonts w:hint="eastAsia" w:ascii="宋体" w:hAnsi="宋体" w:cs="宋体"/>
                <w:highlight w:val="none"/>
              </w:rPr>
            </w:pPr>
            <w:r>
              <w:rPr>
                <w:rFonts w:hint="eastAsia" w:ascii="宋体" w:hAnsi="宋体" w:cs="宋体"/>
                <w:color w:val="212529"/>
                <w:spacing w:val="-2"/>
                <w:highlight w:val="none"/>
              </w:rPr>
              <w:t>委托代理人</w:t>
            </w:r>
          </w:p>
        </w:tc>
        <w:tc>
          <w:tcPr>
            <w:tcW w:w="2071" w:type="dxa"/>
            <w:vAlign w:val="top"/>
          </w:tcPr>
          <w:p w14:paraId="2ED8EB2C">
            <w:pPr>
              <w:pStyle w:val="45"/>
              <w:rPr>
                <w:rFonts w:hint="eastAsia" w:ascii="宋体" w:hAnsi="宋体" w:eastAsia="宋体" w:cs="宋体"/>
                <w:highlight w:val="none"/>
              </w:rPr>
            </w:pPr>
          </w:p>
        </w:tc>
      </w:tr>
      <w:tr w14:paraId="3126C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17" w:type="dxa"/>
            <w:vMerge w:val="continue"/>
            <w:tcBorders>
              <w:top w:val="nil"/>
              <w:bottom w:val="nil"/>
            </w:tcBorders>
            <w:textDirection w:val="tbRlV"/>
            <w:vAlign w:val="top"/>
          </w:tcPr>
          <w:p w14:paraId="2E67E036">
            <w:pPr>
              <w:pStyle w:val="45"/>
              <w:rPr>
                <w:rFonts w:hint="eastAsia" w:ascii="宋体" w:hAnsi="宋体" w:eastAsia="宋体" w:cs="宋体"/>
                <w:highlight w:val="none"/>
              </w:rPr>
            </w:pPr>
          </w:p>
        </w:tc>
        <w:tc>
          <w:tcPr>
            <w:tcW w:w="2360" w:type="dxa"/>
            <w:vAlign w:val="top"/>
          </w:tcPr>
          <w:p w14:paraId="651C4C13">
            <w:pPr>
              <w:spacing w:before="180" w:line="201" w:lineRule="auto"/>
              <w:ind w:left="222"/>
              <w:rPr>
                <w:rFonts w:hint="eastAsia" w:ascii="宋体" w:hAnsi="宋体" w:cs="宋体"/>
                <w:highlight w:val="none"/>
              </w:rPr>
            </w:pPr>
            <w:r>
              <w:rPr>
                <w:rFonts w:hint="eastAsia" w:ascii="宋体" w:hAnsi="宋体" w:cs="宋体"/>
                <w:color w:val="212529"/>
                <w:spacing w:val="-1"/>
                <w:highlight w:val="none"/>
              </w:rPr>
              <w:t>联系人及手机号码</w:t>
            </w:r>
          </w:p>
        </w:tc>
        <w:tc>
          <w:tcPr>
            <w:tcW w:w="5669" w:type="dxa"/>
            <w:gridSpan w:val="3"/>
            <w:vAlign w:val="top"/>
          </w:tcPr>
          <w:p w14:paraId="2F5AEAD8">
            <w:pPr>
              <w:pStyle w:val="45"/>
              <w:rPr>
                <w:rFonts w:hint="eastAsia" w:ascii="宋体" w:hAnsi="宋体" w:eastAsia="宋体" w:cs="宋体"/>
                <w:highlight w:val="none"/>
              </w:rPr>
            </w:pPr>
          </w:p>
        </w:tc>
      </w:tr>
      <w:tr w14:paraId="73CC4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17" w:type="dxa"/>
            <w:vMerge w:val="continue"/>
            <w:tcBorders>
              <w:top w:val="nil"/>
              <w:bottom w:val="nil"/>
            </w:tcBorders>
            <w:textDirection w:val="tbRlV"/>
            <w:vAlign w:val="top"/>
          </w:tcPr>
          <w:p w14:paraId="0FC930D5">
            <w:pPr>
              <w:pStyle w:val="45"/>
              <w:rPr>
                <w:rFonts w:hint="eastAsia" w:ascii="宋体" w:hAnsi="宋体" w:eastAsia="宋体" w:cs="宋体"/>
                <w:highlight w:val="none"/>
              </w:rPr>
            </w:pPr>
          </w:p>
        </w:tc>
        <w:tc>
          <w:tcPr>
            <w:tcW w:w="2360" w:type="dxa"/>
            <w:vAlign w:val="top"/>
          </w:tcPr>
          <w:p w14:paraId="4B9D07DC">
            <w:pPr>
              <w:spacing w:before="181" w:line="201" w:lineRule="auto"/>
              <w:ind w:left="702"/>
              <w:rPr>
                <w:rFonts w:hint="eastAsia" w:ascii="宋体" w:hAnsi="宋体" w:cs="宋体"/>
                <w:highlight w:val="none"/>
              </w:rPr>
            </w:pPr>
            <w:r>
              <w:rPr>
                <w:rFonts w:hint="eastAsia" w:ascii="宋体" w:hAnsi="宋体" w:cs="宋体"/>
                <w:color w:val="212529"/>
                <w:spacing w:val="-2"/>
                <w:highlight w:val="none"/>
              </w:rPr>
              <w:t>通讯地址</w:t>
            </w:r>
          </w:p>
        </w:tc>
        <w:tc>
          <w:tcPr>
            <w:tcW w:w="5669" w:type="dxa"/>
            <w:gridSpan w:val="3"/>
            <w:vAlign w:val="top"/>
          </w:tcPr>
          <w:p w14:paraId="1F71FD5F">
            <w:pPr>
              <w:pStyle w:val="45"/>
              <w:rPr>
                <w:rFonts w:hint="eastAsia" w:ascii="宋体" w:hAnsi="宋体" w:eastAsia="宋体" w:cs="宋体"/>
                <w:highlight w:val="none"/>
              </w:rPr>
            </w:pPr>
          </w:p>
        </w:tc>
      </w:tr>
      <w:tr w14:paraId="6684D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17" w:type="dxa"/>
            <w:vMerge w:val="continue"/>
            <w:tcBorders>
              <w:top w:val="nil"/>
              <w:bottom w:val="nil"/>
            </w:tcBorders>
            <w:textDirection w:val="tbRlV"/>
            <w:vAlign w:val="top"/>
          </w:tcPr>
          <w:p w14:paraId="1C12AF0F">
            <w:pPr>
              <w:pStyle w:val="45"/>
              <w:rPr>
                <w:rFonts w:hint="eastAsia" w:ascii="宋体" w:hAnsi="宋体" w:eastAsia="宋体" w:cs="宋体"/>
                <w:highlight w:val="none"/>
              </w:rPr>
            </w:pPr>
          </w:p>
        </w:tc>
        <w:tc>
          <w:tcPr>
            <w:tcW w:w="2360" w:type="dxa"/>
            <w:vAlign w:val="top"/>
          </w:tcPr>
          <w:p w14:paraId="144D6322">
            <w:pPr>
              <w:spacing w:before="180" w:line="200" w:lineRule="auto"/>
              <w:ind w:left="223"/>
              <w:rPr>
                <w:rFonts w:hint="eastAsia" w:ascii="宋体" w:hAnsi="宋体" w:cs="宋体"/>
                <w:highlight w:val="none"/>
              </w:rPr>
            </w:pPr>
            <w:r>
              <w:rPr>
                <w:rFonts w:hint="eastAsia" w:ascii="宋体" w:hAnsi="宋体" w:cs="宋体"/>
                <w:color w:val="212529"/>
                <w:spacing w:val="-1"/>
                <w:highlight w:val="none"/>
              </w:rPr>
              <w:t>统一社会信用代码</w:t>
            </w:r>
          </w:p>
        </w:tc>
        <w:tc>
          <w:tcPr>
            <w:tcW w:w="5669" w:type="dxa"/>
            <w:gridSpan w:val="3"/>
            <w:vAlign w:val="top"/>
          </w:tcPr>
          <w:p w14:paraId="4E60E4AC">
            <w:pPr>
              <w:pStyle w:val="45"/>
              <w:rPr>
                <w:rFonts w:hint="eastAsia" w:ascii="宋体" w:hAnsi="宋体" w:eastAsia="宋体" w:cs="宋体"/>
                <w:highlight w:val="none"/>
              </w:rPr>
            </w:pPr>
          </w:p>
        </w:tc>
      </w:tr>
      <w:tr w14:paraId="4E693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17" w:type="dxa"/>
            <w:vMerge w:val="continue"/>
            <w:tcBorders>
              <w:top w:val="nil"/>
              <w:bottom w:val="nil"/>
            </w:tcBorders>
            <w:textDirection w:val="tbRlV"/>
            <w:vAlign w:val="top"/>
          </w:tcPr>
          <w:p w14:paraId="3A59C9C6">
            <w:pPr>
              <w:pStyle w:val="45"/>
              <w:rPr>
                <w:rFonts w:hint="eastAsia" w:ascii="宋体" w:hAnsi="宋体" w:eastAsia="宋体" w:cs="宋体"/>
                <w:highlight w:val="none"/>
              </w:rPr>
            </w:pPr>
          </w:p>
        </w:tc>
        <w:tc>
          <w:tcPr>
            <w:tcW w:w="2360" w:type="dxa"/>
            <w:vAlign w:val="top"/>
          </w:tcPr>
          <w:p w14:paraId="460B4D32">
            <w:pPr>
              <w:spacing w:before="182" w:line="201" w:lineRule="auto"/>
              <w:ind w:left="964"/>
              <w:rPr>
                <w:rFonts w:hint="eastAsia" w:ascii="宋体" w:hAnsi="宋体" w:cs="宋体"/>
                <w:highlight w:val="none"/>
              </w:rPr>
            </w:pPr>
            <w:r>
              <w:rPr>
                <w:rFonts w:hint="eastAsia" w:ascii="宋体" w:hAnsi="宋体" w:cs="宋体"/>
                <w:color w:val="212529"/>
                <w:spacing w:val="-7"/>
                <w:w w:val="97"/>
                <w:highlight w:val="none"/>
              </w:rPr>
              <w:t>电话</w:t>
            </w:r>
          </w:p>
        </w:tc>
        <w:tc>
          <w:tcPr>
            <w:tcW w:w="2129" w:type="dxa"/>
            <w:vAlign w:val="top"/>
          </w:tcPr>
          <w:p w14:paraId="0474C959">
            <w:pPr>
              <w:pStyle w:val="45"/>
              <w:rPr>
                <w:rFonts w:hint="eastAsia" w:ascii="宋体" w:hAnsi="宋体" w:eastAsia="宋体" w:cs="宋体"/>
                <w:highlight w:val="none"/>
              </w:rPr>
            </w:pPr>
          </w:p>
        </w:tc>
        <w:tc>
          <w:tcPr>
            <w:tcW w:w="1469" w:type="dxa"/>
            <w:vAlign w:val="top"/>
          </w:tcPr>
          <w:p w14:paraId="4C1D3F38">
            <w:pPr>
              <w:spacing w:before="182" w:line="200" w:lineRule="auto"/>
              <w:ind w:left="496"/>
              <w:rPr>
                <w:rFonts w:hint="eastAsia" w:ascii="宋体" w:hAnsi="宋体" w:cs="宋体"/>
                <w:highlight w:val="none"/>
              </w:rPr>
            </w:pPr>
            <w:r>
              <w:rPr>
                <w:rFonts w:hint="eastAsia" w:ascii="宋体" w:hAnsi="宋体" w:cs="宋体"/>
                <w:color w:val="212529"/>
                <w:spacing w:val="-2"/>
                <w:highlight w:val="none"/>
              </w:rPr>
              <w:t>传真</w:t>
            </w:r>
          </w:p>
        </w:tc>
        <w:tc>
          <w:tcPr>
            <w:tcW w:w="2071" w:type="dxa"/>
            <w:vAlign w:val="top"/>
          </w:tcPr>
          <w:p w14:paraId="1AF5602E">
            <w:pPr>
              <w:pStyle w:val="45"/>
              <w:rPr>
                <w:rFonts w:hint="eastAsia" w:ascii="宋体" w:hAnsi="宋体" w:eastAsia="宋体" w:cs="宋体"/>
                <w:highlight w:val="none"/>
              </w:rPr>
            </w:pPr>
          </w:p>
        </w:tc>
      </w:tr>
      <w:tr w14:paraId="16695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17" w:type="dxa"/>
            <w:vMerge w:val="continue"/>
            <w:tcBorders>
              <w:top w:val="nil"/>
              <w:bottom w:val="nil"/>
            </w:tcBorders>
            <w:textDirection w:val="tbRlV"/>
            <w:vAlign w:val="top"/>
          </w:tcPr>
          <w:p w14:paraId="56E3533A">
            <w:pPr>
              <w:pStyle w:val="45"/>
              <w:rPr>
                <w:rFonts w:hint="eastAsia" w:ascii="宋体" w:hAnsi="宋体" w:eastAsia="宋体" w:cs="宋体"/>
                <w:highlight w:val="none"/>
              </w:rPr>
            </w:pPr>
          </w:p>
        </w:tc>
        <w:tc>
          <w:tcPr>
            <w:tcW w:w="2360" w:type="dxa"/>
            <w:vAlign w:val="top"/>
          </w:tcPr>
          <w:p w14:paraId="2FC521D9">
            <w:pPr>
              <w:spacing w:before="181" w:line="201" w:lineRule="auto"/>
              <w:ind w:left="724"/>
              <w:rPr>
                <w:rFonts w:hint="eastAsia" w:ascii="宋体" w:hAnsi="宋体" w:cs="宋体"/>
                <w:highlight w:val="none"/>
              </w:rPr>
            </w:pPr>
            <w:r>
              <w:rPr>
                <w:rFonts w:hint="eastAsia" w:ascii="宋体" w:hAnsi="宋体" w:cs="宋体"/>
                <w:color w:val="212529"/>
                <w:spacing w:val="-7"/>
                <w:highlight w:val="none"/>
              </w:rPr>
              <w:t>电子邮箱</w:t>
            </w:r>
          </w:p>
        </w:tc>
        <w:tc>
          <w:tcPr>
            <w:tcW w:w="5669" w:type="dxa"/>
            <w:gridSpan w:val="3"/>
            <w:vAlign w:val="top"/>
          </w:tcPr>
          <w:p w14:paraId="4A9E902D">
            <w:pPr>
              <w:pStyle w:val="45"/>
              <w:rPr>
                <w:rFonts w:hint="eastAsia" w:ascii="宋体" w:hAnsi="宋体" w:eastAsia="宋体" w:cs="宋体"/>
                <w:highlight w:val="none"/>
              </w:rPr>
            </w:pPr>
          </w:p>
        </w:tc>
      </w:tr>
      <w:tr w14:paraId="71565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17" w:type="dxa"/>
            <w:vMerge w:val="continue"/>
            <w:tcBorders>
              <w:top w:val="nil"/>
              <w:bottom w:val="nil"/>
            </w:tcBorders>
            <w:textDirection w:val="tbRlV"/>
            <w:vAlign w:val="top"/>
          </w:tcPr>
          <w:p w14:paraId="3FBD887A">
            <w:pPr>
              <w:pStyle w:val="45"/>
              <w:rPr>
                <w:rFonts w:hint="eastAsia" w:ascii="宋体" w:hAnsi="宋体" w:eastAsia="宋体" w:cs="宋体"/>
                <w:highlight w:val="none"/>
              </w:rPr>
            </w:pPr>
          </w:p>
        </w:tc>
        <w:tc>
          <w:tcPr>
            <w:tcW w:w="2360" w:type="dxa"/>
            <w:vAlign w:val="top"/>
          </w:tcPr>
          <w:p w14:paraId="1AEB7FD3">
            <w:pPr>
              <w:spacing w:before="180" w:line="200" w:lineRule="auto"/>
              <w:ind w:left="706"/>
              <w:rPr>
                <w:rFonts w:hint="eastAsia" w:ascii="宋体" w:hAnsi="宋体" w:cs="宋体"/>
                <w:highlight w:val="none"/>
              </w:rPr>
            </w:pPr>
            <w:r>
              <w:rPr>
                <w:rFonts w:hint="eastAsia" w:ascii="宋体" w:hAnsi="宋体" w:cs="宋体"/>
                <w:color w:val="212529"/>
                <w:spacing w:val="-3"/>
                <w:highlight w:val="none"/>
              </w:rPr>
              <w:t>开户银行</w:t>
            </w:r>
          </w:p>
        </w:tc>
        <w:tc>
          <w:tcPr>
            <w:tcW w:w="5669" w:type="dxa"/>
            <w:gridSpan w:val="3"/>
            <w:vAlign w:val="top"/>
          </w:tcPr>
          <w:p w14:paraId="4A1F670C">
            <w:pPr>
              <w:pStyle w:val="45"/>
              <w:rPr>
                <w:rFonts w:hint="eastAsia" w:ascii="宋体" w:hAnsi="宋体" w:eastAsia="宋体" w:cs="宋体"/>
                <w:highlight w:val="none"/>
              </w:rPr>
            </w:pPr>
          </w:p>
        </w:tc>
      </w:tr>
      <w:tr w14:paraId="0D51D3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17" w:type="dxa"/>
            <w:vMerge w:val="continue"/>
            <w:tcBorders>
              <w:top w:val="nil"/>
              <w:bottom w:val="nil"/>
            </w:tcBorders>
            <w:textDirection w:val="tbRlV"/>
            <w:vAlign w:val="top"/>
          </w:tcPr>
          <w:p w14:paraId="316E48E9">
            <w:pPr>
              <w:pStyle w:val="45"/>
              <w:rPr>
                <w:rFonts w:hint="eastAsia" w:ascii="宋体" w:hAnsi="宋体" w:eastAsia="宋体" w:cs="宋体"/>
                <w:highlight w:val="none"/>
              </w:rPr>
            </w:pPr>
          </w:p>
        </w:tc>
        <w:tc>
          <w:tcPr>
            <w:tcW w:w="2360" w:type="dxa"/>
            <w:vAlign w:val="top"/>
          </w:tcPr>
          <w:p w14:paraId="531E06BF">
            <w:pPr>
              <w:spacing w:before="179" w:line="201" w:lineRule="auto"/>
              <w:ind w:left="941"/>
              <w:rPr>
                <w:rFonts w:hint="eastAsia" w:ascii="宋体" w:hAnsi="宋体" w:cs="宋体"/>
                <w:highlight w:val="none"/>
              </w:rPr>
            </w:pPr>
            <w:r>
              <w:rPr>
                <w:rFonts w:hint="eastAsia" w:ascii="宋体" w:hAnsi="宋体" w:cs="宋体"/>
                <w:color w:val="212529"/>
                <w:spacing w:val="-2"/>
                <w:highlight w:val="none"/>
              </w:rPr>
              <w:t>账号</w:t>
            </w:r>
          </w:p>
        </w:tc>
        <w:tc>
          <w:tcPr>
            <w:tcW w:w="5669" w:type="dxa"/>
            <w:gridSpan w:val="3"/>
            <w:vAlign w:val="top"/>
          </w:tcPr>
          <w:p w14:paraId="4ACA43E2">
            <w:pPr>
              <w:pStyle w:val="45"/>
              <w:rPr>
                <w:rFonts w:hint="eastAsia" w:ascii="宋体" w:hAnsi="宋体" w:eastAsia="宋体" w:cs="宋体"/>
                <w:highlight w:val="none"/>
              </w:rPr>
            </w:pPr>
          </w:p>
        </w:tc>
      </w:tr>
      <w:tr w14:paraId="1D205A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jc w:val="center"/>
        </w:trPr>
        <w:tc>
          <w:tcPr>
            <w:tcW w:w="817" w:type="dxa"/>
            <w:vMerge w:val="continue"/>
            <w:tcBorders>
              <w:top w:val="nil"/>
            </w:tcBorders>
            <w:textDirection w:val="tbRlV"/>
            <w:vAlign w:val="top"/>
          </w:tcPr>
          <w:p w14:paraId="3CF71FE9">
            <w:pPr>
              <w:pStyle w:val="45"/>
              <w:rPr>
                <w:rFonts w:hint="eastAsia" w:ascii="宋体" w:hAnsi="宋体" w:eastAsia="宋体" w:cs="宋体"/>
                <w:highlight w:val="none"/>
              </w:rPr>
            </w:pPr>
          </w:p>
        </w:tc>
        <w:tc>
          <w:tcPr>
            <w:tcW w:w="2360" w:type="dxa"/>
            <w:vAlign w:val="top"/>
          </w:tcPr>
          <w:p w14:paraId="44714C3D">
            <w:pPr>
              <w:spacing w:before="182" w:line="201" w:lineRule="auto"/>
              <w:ind w:left="465"/>
              <w:outlineLvl w:val="0"/>
              <w:rPr>
                <w:rFonts w:hint="eastAsia" w:ascii="宋体" w:hAnsi="宋体" w:cs="宋体"/>
                <w:highlight w:val="none"/>
              </w:rPr>
            </w:pPr>
            <w:bookmarkStart w:id="211" w:name="_Toc1455068240"/>
            <w:r>
              <w:rPr>
                <w:rFonts w:hint="eastAsia" w:ascii="宋体" w:hAnsi="宋体" w:cs="宋体"/>
                <w:color w:val="212529"/>
                <w:spacing w:val="-2"/>
                <w:highlight w:val="none"/>
              </w:rPr>
              <w:t>纳税人识别号</w:t>
            </w:r>
            <w:bookmarkEnd w:id="211"/>
          </w:p>
        </w:tc>
        <w:tc>
          <w:tcPr>
            <w:tcW w:w="5669" w:type="dxa"/>
            <w:gridSpan w:val="3"/>
            <w:vAlign w:val="top"/>
          </w:tcPr>
          <w:p w14:paraId="3B76725E">
            <w:pPr>
              <w:pStyle w:val="45"/>
              <w:rPr>
                <w:rFonts w:hint="eastAsia" w:ascii="宋体" w:hAnsi="宋体" w:eastAsia="宋体" w:cs="宋体"/>
                <w:highlight w:val="none"/>
              </w:rPr>
            </w:pPr>
          </w:p>
        </w:tc>
      </w:tr>
    </w:tbl>
    <w:p w14:paraId="3B7AECB9">
      <w:pPr>
        <w:pStyle w:val="5"/>
        <w:rPr>
          <w:rFonts w:hint="eastAsia" w:ascii="宋体" w:hAnsi="宋体" w:eastAsia="宋体" w:cs="宋体"/>
          <w:position w:val="1"/>
          <w:sz w:val="24"/>
          <w:szCs w:val="24"/>
          <w:highlight w:val="none"/>
        </w:rPr>
      </w:pPr>
      <w:bookmarkStart w:id="212" w:name="_Toc1935621291"/>
      <w:r>
        <w:rPr>
          <w:rFonts w:hint="eastAsia" w:ascii="宋体" w:hAnsi="宋体" w:eastAsia="宋体" w:cs="宋体"/>
          <w:position w:val="1"/>
          <w:sz w:val="24"/>
          <w:szCs w:val="24"/>
          <w:highlight w:val="none"/>
        </w:rPr>
        <w:t>第 1 节  订立依据</w:t>
      </w:r>
      <w:bookmarkEnd w:id="212"/>
    </w:p>
    <w:p w14:paraId="5DC33988">
      <w:pPr>
        <w:pStyle w:val="8"/>
        <w:spacing w:before="153" w:line="333" w:lineRule="auto"/>
        <w:ind w:firstLine="650"/>
        <w:rPr>
          <w:rFonts w:hint="eastAsia" w:ascii="宋体" w:hAnsi="宋体" w:eastAsia="宋体" w:cs="宋体"/>
          <w:sz w:val="24"/>
          <w:szCs w:val="24"/>
          <w:highlight w:val="none"/>
        </w:rPr>
      </w:pPr>
      <w:r>
        <w:rPr>
          <w:rFonts w:hint="eastAsia" w:ascii="宋体" w:hAnsi="宋体" w:eastAsia="宋体" w:cs="宋体"/>
          <w:sz w:val="24"/>
          <w:szCs w:val="24"/>
          <w:highlight w:val="none"/>
        </w:rPr>
        <w:t>1.1 鉴于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年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 甲方对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省（ 自治区、直辖市）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市（地、州、盟）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县（ 区）整县（ 区）公共机构能源费用托管服务项目进行了采购 ， 项目名称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。经评标委员会评审并经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确定，乙方</w:t>
      </w:r>
      <w:r>
        <w:rPr>
          <w:rFonts w:hint="eastAsia" w:ascii="宋体" w:hAnsi="宋体" w:eastAsia="宋体" w:cs="宋体"/>
          <w:sz w:val="24"/>
          <w:szCs w:val="24"/>
          <w:highlight w:val="none"/>
          <w:u w:val="single"/>
        </w:rPr>
        <w:t xml:space="preserve"> （ 以联合体方式中标的，含联合体全部成员） </w:t>
      </w:r>
      <w:r>
        <w:rPr>
          <w:rFonts w:hint="eastAsia" w:ascii="宋体" w:hAnsi="宋体" w:eastAsia="宋体" w:cs="宋体"/>
          <w:sz w:val="24"/>
          <w:szCs w:val="24"/>
          <w:highlight w:val="none"/>
        </w:rPr>
        <w:t xml:space="preserve"> 为该项 目中标供应商。</w:t>
      </w:r>
    </w:p>
    <w:p w14:paraId="6E4B0125">
      <w:pPr>
        <w:pStyle w:val="8"/>
        <w:spacing w:before="6" w:line="333" w:lineRule="auto"/>
        <w:ind w:left="3" w:right="72" w:firstLine="646"/>
        <w:rPr>
          <w:rFonts w:hint="eastAsia" w:ascii="宋体" w:hAnsi="宋体" w:eastAsia="宋体" w:cs="宋体"/>
          <w:sz w:val="24"/>
          <w:szCs w:val="24"/>
          <w:highlight w:val="none"/>
        </w:rPr>
      </w:pPr>
      <w:r>
        <w:rPr>
          <w:rFonts w:hint="eastAsia" w:ascii="宋体" w:hAnsi="宋体" w:eastAsia="宋体" w:cs="宋体"/>
          <w:sz w:val="24"/>
          <w:szCs w:val="24"/>
          <w:highlight w:val="none"/>
        </w:rPr>
        <w:t>1.2 甲乙双方按照政府采购文件确定的事项，经过平等协商，在真实、充分、全面地表达各自意愿的基础上，根据《中华人民共和国民法典》《中华人民共和国政府采购法》等法律法规的规定，达成如下协议，并由双方共同恪守。</w:t>
      </w:r>
    </w:p>
    <w:p w14:paraId="6D3939CA">
      <w:pPr>
        <w:pStyle w:val="8"/>
        <w:spacing w:line="453" w:lineRule="auto"/>
        <w:rPr>
          <w:rFonts w:hint="eastAsia" w:ascii="宋体" w:hAnsi="宋体" w:eastAsia="宋体" w:cs="宋体"/>
          <w:sz w:val="24"/>
          <w:szCs w:val="24"/>
          <w:highlight w:val="none"/>
        </w:rPr>
      </w:pPr>
    </w:p>
    <w:p w14:paraId="7A5D5F98">
      <w:pPr>
        <w:pStyle w:val="5"/>
        <w:rPr>
          <w:rFonts w:hint="eastAsia" w:ascii="宋体" w:hAnsi="宋体" w:eastAsia="宋体" w:cs="宋体"/>
          <w:sz w:val="24"/>
          <w:szCs w:val="24"/>
          <w:highlight w:val="none"/>
        </w:rPr>
      </w:pPr>
      <w:bookmarkStart w:id="213" w:name="_Toc1904753081"/>
      <w:r>
        <w:rPr>
          <w:rFonts w:hint="eastAsia" w:ascii="宋体" w:hAnsi="宋体" w:eastAsia="宋体" w:cs="宋体"/>
          <w:position w:val="1"/>
          <w:sz w:val="24"/>
          <w:szCs w:val="24"/>
          <w:highlight w:val="none"/>
        </w:rPr>
        <w:t>第 2 节  协议组成部分</w:t>
      </w:r>
      <w:bookmarkEnd w:id="213"/>
    </w:p>
    <w:p w14:paraId="6E12DB92">
      <w:pPr>
        <w:pStyle w:val="8"/>
        <w:spacing w:before="150" w:line="333" w:lineRule="auto"/>
        <w:ind w:left="5" w:right="115" w:firstLine="633"/>
        <w:rPr>
          <w:rFonts w:hint="eastAsia" w:ascii="宋体" w:hAnsi="宋体" w:eastAsia="宋体" w:cs="宋体"/>
          <w:sz w:val="24"/>
          <w:szCs w:val="24"/>
          <w:highlight w:val="none"/>
        </w:rPr>
      </w:pPr>
      <w:r>
        <w:rPr>
          <w:rFonts w:hint="eastAsia" w:ascii="宋体" w:hAnsi="宋体" w:eastAsia="宋体" w:cs="宋体"/>
          <w:sz w:val="24"/>
          <w:szCs w:val="24"/>
          <w:highlight w:val="none"/>
        </w:rPr>
        <w:t>2.1 下列文件为本框架协议的组成部分，并构成一个整体，需综合解释、相互补充。如果下列文件内容出现不一致的情形，那么在保证符合政府采购有关规定的前提下，组成本框架协议的多个文件的优先适用顺序如下：</w:t>
      </w:r>
    </w:p>
    <w:p w14:paraId="6258741D">
      <w:pPr>
        <w:pStyle w:val="8"/>
        <w:spacing w:before="2" w:line="333" w:lineRule="auto"/>
        <w:ind w:right="170" w:firstLine="617"/>
        <w:rPr>
          <w:rFonts w:hint="eastAsia" w:ascii="宋体" w:hAnsi="宋体" w:eastAsia="宋体" w:cs="宋体"/>
          <w:sz w:val="24"/>
          <w:szCs w:val="24"/>
          <w:highlight w:val="none"/>
        </w:rPr>
      </w:pPr>
      <w:r>
        <w:rPr>
          <w:rFonts w:hint="eastAsia" w:ascii="宋体" w:hAnsi="宋体" w:eastAsia="宋体" w:cs="宋体"/>
          <w:sz w:val="24"/>
          <w:szCs w:val="24"/>
          <w:highlight w:val="none"/>
        </w:rPr>
        <w:t>（ 1 ）本框架协议协议书及其补充协议、变更协议，包括上述协议的附件；</w:t>
      </w:r>
    </w:p>
    <w:p w14:paraId="28327E5C">
      <w:pPr>
        <w:pStyle w:val="8"/>
        <w:spacing w:before="2" w:line="333" w:lineRule="auto"/>
        <w:ind w:left="19" w:right="172" w:firstLine="598"/>
        <w:rPr>
          <w:rFonts w:hint="eastAsia" w:ascii="宋体" w:hAnsi="宋体" w:eastAsia="宋体" w:cs="宋体"/>
          <w:sz w:val="24"/>
          <w:szCs w:val="24"/>
          <w:highlight w:val="none"/>
        </w:rPr>
      </w:pPr>
      <w:r>
        <w:rPr>
          <w:rFonts w:hint="eastAsia" w:ascii="宋体" w:hAnsi="宋体" w:eastAsia="宋体" w:cs="宋体"/>
          <w:sz w:val="24"/>
          <w:szCs w:val="24"/>
          <w:highlight w:val="none"/>
        </w:rPr>
        <w:t>（2） 乙方为联合体中标的，联合体各方签署的关于本项 目约定联合体成员之间责任义务的合同；</w:t>
      </w:r>
    </w:p>
    <w:p w14:paraId="2940D99B">
      <w:pPr>
        <w:pStyle w:val="8"/>
        <w:spacing w:line="416" w:lineRule="exact"/>
        <w:ind w:left="617"/>
        <w:rPr>
          <w:rFonts w:hint="eastAsia" w:ascii="宋体" w:hAnsi="宋体" w:eastAsia="宋体" w:cs="宋体"/>
          <w:sz w:val="24"/>
          <w:szCs w:val="24"/>
          <w:highlight w:val="none"/>
        </w:rPr>
      </w:pPr>
      <w:r>
        <w:rPr>
          <w:rFonts w:hint="eastAsia" w:ascii="宋体" w:hAnsi="宋体" w:eastAsia="宋体" w:cs="宋体"/>
          <w:position w:val="2"/>
          <w:sz w:val="24"/>
          <w:szCs w:val="24"/>
          <w:highlight w:val="none"/>
        </w:rPr>
        <w:t>（3） 中标通知书；</w:t>
      </w:r>
    </w:p>
    <w:p w14:paraId="158C267A">
      <w:pPr>
        <w:pStyle w:val="8"/>
        <w:spacing w:before="101" w:line="416" w:lineRule="exact"/>
        <w:ind w:left="615"/>
        <w:rPr>
          <w:rFonts w:hint="eastAsia" w:ascii="宋体" w:hAnsi="宋体" w:eastAsia="宋体" w:cs="宋体"/>
          <w:position w:val="1"/>
          <w:sz w:val="24"/>
          <w:szCs w:val="24"/>
          <w:highlight w:val="none"/>
        </w:rPr>
      </w:pPr>
      <w:r>
        <w:rPr>
          <w:rFonts w:hint="eastAsia" w:ascii="宋体" w:hAnsi="宋体" w:eastAsia="宋体" w:cs="宋体"/>
          <w:position w:val="1"/>
          <w:sz w:val="24"/>
          <w:szCs w:val="24"/>
          <w:highlight w:val="none"/>
        </w:rPr>
        <w:t>（4）投标书及其附件（含澄清或者说明文件）；</w:t>
      </w:r>
    </w:p>
    <w:p w14:paraId="53FEC566">
      <w:pPr>
        <w:pStyle w:val="8"/>
        <w:spacing w:before="101" w:line="416" w:lineRule="exact"/>
        <w:ind w:left="615"/>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（5）招标文件（含澄清或者修改文件）；</w:t>
      </w:r>
    </w:p>
    <w:p w14:paraId="559D90CD">
      <w:pPr>
        <w:pStyle w:val="8"/>
        <w:spacing w:before="143" w:line="414" w:lineRule="exact"/>
        <w:ind w:left="615"/>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（6）其他相关采购文件；</w:t>
      </w:r>
    </w:p>
    <w:p w14:paraId="1F1EEF16">
      <w:pPr>
        <w:pStyle w:val="8"/>
        <w:spacing w:before="143" w:line="334" w:lineRule="auto"/>
        <w:ind w:left="7" w:firstLine="607"/>
        <w:rPr>
          <w:rFonts w:hint="eastAsia" w:ascii="宋体" w:hAnsi="宋体" w:eastAsia="宋体" w:cs="宋体"/>
          <w:sz w:val="24"/>
          <w:szCs w:val="24"/>
          <w:highlight w:val="none"/>
        </w:rPr>
      </w:pPr>
      <w:r>
        <w:rPr>
          <w:rFonts w:hint="eastAsia" w:ascii="宋体" w:hAnsi="宋体" w:eastAsia="宋体" w:cs="宋体"/>
          <w:sz w:val="24"/>
          <w:szCs w:val="24"/>
          <w:highlight w:val="none"/>
        </w:rPr>
        <w:t>（7）本框架协议中引用的国家和地方标准、规范及有关技术文件；</w:t>
      </w:r>
    </w:p>
    <w:p w14:paraId="63AE9C1C">
      <w:pPr>
        <w:pStyle w:val="8"/>
        <w:spacing w:line="416" w:lineRule="exact"/>
        <w:ind w:left="615"/>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（8）廉洁责任书；</w:t>
      </w:r>
    </w:p>
    <w:p w14:paraId="06777294">
      <w:pPr>
        <w:pStyle w:val="8"/>
        <w:spacing w:before="143" w:line="249"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（9）</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57FC43BB">
      <w:pPr>
        <w:pStyle w:val="8"/>
        <w:spacing w:before="143" w:line="415" w:lineRule="exact"/>
        <w:ind w:left="615"/>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（10）构成协议组成部分的其他文件。</w:t>
      </w:r>
    </w:p>
    <w:p w14:paraId="28C9BC79">
      <w:pPr>
        <w:pStyle w:val="8"/>
        <w:spacing w:before="143" w:line="334" w:lineRule="auto"/>
        <w:ind w:left="13" w:right="2" w:firstLine="621"/>
        <w:rPr>
          <w:rFonts w:hint="eastAsia" w:ascii="宋体" w:hAnsi="宋体" w:eastAsia="宋体" w:cs="宋体"/>
          <w:sz w:val="24"/>
          <w:szCs w:val="24"/>
          <w:highlight w:val="none"/>
        </w:rPr>
      </w:pPr>
      <w:r>
        <w:rPr>
          <w:rFonts w:hint="eastAsia" w:ascii="宋体" w:hAnsi="宋体" w:eastAsia="宋体" w:cs="宋体"/>
          <w:sz w:val="24"/>
          <w:szCs w:val="24"/>
          <w:highlight w:val="none"/>
        </w:rPr>
        <w:t>2.2 乙方应当依据本框架协议，为用能单位提供能源费用托管服务，并与用能单位签订子合同。</w:t>
      </w:r>
    </w:p>
    <w:p w14:paraId="7EA76A8E">
      <w:pPr>
        <w:pStyle w:val="8"/>
        <w:spacing w:line="416" w:lineRule="exact"/>
        <w:ind w:left="635"/>
        <w:rPr>
          <w:rFonts w:hint="eastAsia" w:ascii="宋体" w:hAnsi="宋体" w:eastAsia="宋体" w:cs="宋体"/>
          <w:sz w:val="24"/>
          <w:szCs w:val="24"/>
          <w:highlight w:val="none"/>
        </w:rPr>
      </w:pPr>
      <w:r>
        <w:rPr>
          <w:rFonts w:hint="eastAsia" w:ascii="宋体" w:hAnsi="宋体" w:eastAsia="宋体" w:cs="宋体"/>
          <w:position w:val="2"/>
          <w:sz w:val="24"/>
          <w:szCs w:val="24"/>
          <w:highlight w:val="none"/>
        </w:rPr>
        <w:t>2.3 标的。</w:t>
      </w:r>
    </w:p>
    <w:p w14:paraId="690092AA">
      <w:pPr>
        <w:pStyle w:val="8"/>
        <w:spacing w:before="143" w:line="334" w:lineRule="auto"/>
        <w:ind w:left="1" w:firstLine="634"/>
        <w:rPr>
          <w:rFonts w:hint="eastAsia" w:ascii="宋体" w:hAnsi="宋体" w:eastAsia="宋体" w:cs="宋体"/>
          <w:sz w:val="24"/>
          <w:szCs w:val="24"/>
          <w:highlight w:val="none"/>
        </w:rPr>
      </w:pPr>
      <w:r>
        <w:rPr>
          <w:rFonts w:hint="eastAsia" w:ascii="宋体" w:hAnsi="宋体" w:eastAsia="宋体" w:cs="宋体"/>
          <w:sz w:val="24"/>
          <w:szCs w:val="24"/>
          <w:highlight w:val="none"/>
        </w:rPr>
        <w:t>2.3.1 标的名称（政府采购项 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，政府采购项目编号：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23F66FF">
      <w:pPr>
        <w:pStyle w:val="8"/>
        <w:spacing w:before="2" w:line="333" w:lineRule="auto"/>
        <w:ind w:firstLine="63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 标的数量：为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县（ 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家用能单位提供能源费用托管服务。其中，党政机关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家，医疗卫生机构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家，教育机构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家，其他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家。用能单位名单为：</w:t>
      </w:r>
    </w:p>
    <w:p w14:paraId="6D92622A">
      <w:pPr>
        <w:pStyle w:val="8"/>
        <w:spacing w:before="1" w:line="261"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4E08C64A">
      <w:pPr>
        <w:pStyle w:val="8"/>
        <w:spacing w:before="120" w:line="263"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467C1A0">
      <w:pPr>
        <w:spacing w:before="274" w:line="219" w:lineRule="exact"/>
        <w:ind w:left="658"/>
        <w:rPr>
          <w:rFonts w:hint="eastAsia" w:ascii="宋体" w:hAnsi="宋体" w:cs="宋体"/>
          <w:sz w:val="24"/>
          <w:szCs w:val="24"/>
          <w:highlight w:val="none"/>
        </w:rPr>
      </w:pPr>
      <w:r>
        <w:rPr>
          <w:rFonts w:hint="eastAsia" w:ascii="宋体" w:hAnsi="宋体" w:cs="宋体"/>
          <w:position w:val="-13"/>
          <w:sz w:val="24"/>
          <w:szCs w:val="24"/>
          <w:highlight w:val="none"/>
        </w:rPr>
        <w:t>……</w:t>
      </w:r>
    </w:p>
    <w:p w14:paraId="409D641F">
      <w:pPr>
        <w:pStyle w:val="8"/>
        <w:spacing w:before="186" w:line="416" w:lineRule="exact"/>
        <w:ind w:left="635"/>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2.3.3 依据政府采购招标文件，双方约定标的质量为：</w:t>
      </w:r>
    </w:p>
    <w:p w14:paraId="6E4786F5">
      <w:pPr>
        <w:pStyle w:val="8"/>
        <w:spacing w:before="154" w:line="329" w:lineRule="auto"/>
        <w:ind w:left="11" w:firstLine="64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□整体节能降碳目标为：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，该目标为 □预期性目标 /  □核心履约目标。</w:t>
      </w:r>
    </w:p>
    <w:p w14:paraId="17720FEC">
      <w:pPr>
        <w:pStyle w:val="8"/>
        <w:ind w:firstLine="648" w:firstLineChars="270"/>
        <w:jc w:val="left"/>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□签订子合同的用能单位数量占2.3.2 中的用能单位数量比</w:t>
      </w:r>
      <w:r>
        <w:rPr>
          <w:rFonts w:hint="eastAsia" w:ascii="宋体" w:hAnsi="宋体" w:eastAsia="宋体" w:cs="宋体"/>
          <w:sz w:val="24"/>
          <w:szCs w:val="24"/>
          <w:highlight w:val="none"/>
        </w:rPr>
        <w:t>例不低于：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，该目标为 □预期性目标 /  □核心履约目标。</w:t>
      </w:r>
    </w:p>
    <w:p w14:paraId="6E4039B9">
      <w:pPr>
        <w:spacing w:before="155" w:line="242" w:lineRule="auto"/>
        <w:ind w:firstLine="648" w:firstLineChars="270"/>
        <w:jc w:val="left"/>
        <w:rPr>
          <w:rFonts w:hint="eastAsia" w:ascii="宋体" w:hAnsi="宋体" w:cs="宋体"/>
          <w:sz w:val="24"/>
          <w:szCs w:val="24"/>
          <w:highlight w:val="none"/>
        </w:rPr>
      </w:pPr>
      <w:r>
        <w:rPr>
          <w:rFonts w:hint="eastAsia" w:ascii="宋体" w:hAnsi="宋体" w:cs="宋体"/>
          <w:sz w:val="24"/>
          <w:szCs w:val="24"/>
          <w:highlight w:val="none"/>
        </w:rPr>
        <w:t>□对乙方实际投资额和持续改进节能设备的要求是：</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6311134A">
      <w:pPr>
        <w:spacing w:before="155" w:line="256" w:lineRule="auto"/>
        <w:ind w:right="11" w:firstLine="648" w:firstLineChars="270"/>
        <w:jc w:val="left"/>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50D4936A">
      <w:pPr>
        <w:spacing w:before="273" w:line="220" w:lineRule="exact"/>
        <w:ind w:left="674" w:firstLine="648" w:firstLineChars="270"/>
        <w:jc w:val="left"/>
        <w:rPr>
          <w:rFonts w:hint="eastAsia" w:ascii="宋体" w:hAnsi="宋体" w:cs="宋体"/>
          <w:sz w:val="24"/>
          <w:szCs w:val="24"/>
          <w:highlight w:val="none"/>
        </w:rPr>
      </w:pPr>
      <w:r>
        <w:rPr>
          <w:rFonts w:hint="eastAsia" w:ascii="宋体" w:hAnsi="宋体" w:cs="宋体"/>
          <w:position w:val="-13"/>
          <w:sz w:val="24"/>
          <w:szCs w:val="24"/>
          <w:highlight w:val="none"/>
        </w:rPr>
        <w:t>……</w:t>
      </w:r>
    </w:p>
    <w:p w14:paraId="6309F97E">
      <w:pPr>
        <w:pStyle w:val="8"/>
        <w:spacing w:before="185" w:line="334" w:lineRule="auto"/>
        <w:ind w:left="33" w:right="43" w:firstLine="648" w:firstLineChars="270"/>
        <w:rPr>
          <w:rFonts w:hint="eastAsia" w:ascii="宋体" w:hAnsi="宋体" w:eastAsia="宋体" w:cs="宋体"/>
          <w:sz w:val="24"/>
          <w:szCs w:val="24"/>
          <w:highlight w:val="none"/>
        </w:rPr>
      </w:pPr>
      <w:r>
        <w:rPr>
          <w:rFonts w:hint="eastAsia" w:ascii="宋体" w:hAnsi="宋体" w:eastAsia="宋体" w:cs="宋体"/>
          <w:sz w:val="24"/>
          <w:szCs w:val="24"/>
          <w:highlight w:val="none"/>
        </w:rPr>
        <w:t>2.4 本项目对托管范围内产生的碳资产、碳排放交易权等额外收益归属的约定为：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FC4DC45">
      <w:pPr>
        <w:pStyle w:val="8"/>
        <w:spacing w:before="2" w:line="333" w:lineRule="auto"/>
        <w:ind w:left="33" w:right="43" w:firstLine="648" w:firstLineChars="270"/>
        <w:rPr>
          <w:rFonts w:hint="eastAsia" w:ascii="宋体" w:hAnsi="宋体" w:eastAsia="宋体" w:cs="宋体"/>
          <w:sz w:val="24"/>
          <w:szCs w:val="24"/>
          <w:highlight w:val="none"/>
        </w:rPr>
      </w:pPr>
      <w:r>
        <w:rPr>
          <w:rFonts w:hint="eastAsia" w:ascii="宋体" w:hAnsi="宋体" w:eastAsia="宋体" w:cs="宋体"/>
          <w:sz w:val="24"/>
          <w:szCs w:val="24"/>
          <w:highlight w:val="none"/>
        </w:rPr>
        <w:t>2.5 本项 目 □要求 /  □不要求乙方出具履约保函。关于履约保函的具体约定为：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D35CB27">
      <w:pPr>
        <w:pStyle w:val="8"/>
        <w:spacing w:line="455" w:lineRule="auto"/>
        <w:rPr>
          <w:rFonts w:hint="eastAsia" w:ascii="宋体" w:hAnsi="宋体" w:eastAsia="宋体" w:cs="宋体"/>
          <w:sz w:val="24"/>
          <w:szCs w:val="24"/>
          <w:highlight w:val="none"/>
        </w:rPr>
      </w:pPr>
    </w:p>
    <w:p w14:paraId="4AB233A1">
      <w:pPr>
        <w:pStyle w:val="5"/>
        <w:rPr>
          <w:rFonts w:hint="eastAsia" w:ascii="宋体" w:hAnsi="宋体" w:eastAsia="宋体" w:cs="宋体"/>
          <w:sz w:val="24"/>
          <w:szCs w:val="24"/>
          <w:highlight w:val="none"/>
        </w:rPr>
      </w:pPr>
      <w:bookmarkStart w:id="214" w:name="_Toc646306538"/>
      <w:r>
        <w:rPr>
          <w:rFonts w:hint="eastAsia" w:ascii="宋体" w:hAnsi="宋体" w:eastAsia="宋体" w:cs="宋体"/>
          <w:position w:val="1"/>
          <w:sz w:val="24"/>
          <w:szCs w:val="24"/>
          <w:highlight w:val="none"/>
        </w:rPr>
        <w:t>第 3 节  托管期限</w:t>
      </w:r>
      <w:bookmarkEnd w:id="214"/>
    </w:p>
    <w:p w14:paraId="263BC666">
      <w:pPr>
        <w:pStyle w:val="8"/>
        <w:tabs>
          <w:tab w:val="left" w:pos="960"/>
        </w:tabs>
        <w:spacing w:before="147" w:line="334" w:lineRule="auto"/>
        <w:ind w:right="163" w:firstLine="6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本项目能源托管期为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个自然月（ 即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年</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 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日至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日止）。</w:t>
      </w:r>
    </w:p>
    <w:p w14:paraId="18119FA3">
      <w:pPr>
        <w:pStyle w:val="8"/>
        <w:spacing w:before="3" w:line="333" w:lineRule="auto"/>
        <w:ind w:left="27" w:right="117" w:firstLine="62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鉴于3.1 约定的能源托管期为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个自然月，本项 目乙方与用能单位签订子合同约定的能源托管期最长为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个自然月。</w:t>
      </w:r>
    </w:p>
    <w:p w14:paraId="44084C94">
      <w:pPr>
        <w:pStyle w:val="8"/>
        <w:spacing w:before="3" w:line="333" w:lineRule="auto"/>
        <w:ind w:left="27" w:right="117" w:firstLine="623"/>
        <w:rPr>
          <w:rFonts w:hint="eastAsia" w:ascii="宋体" w:hAnsi="宋体" w:eastAsia="宋体" w:cs="宋体"/>
          <w:sz w:val="24"/>
          <w:szCs w:val="24"/>
          <w:highlight w:val="none"/>
        </w:rPr>
      </w:pPr>
      <w:r>
        <w:rPr>
          <w:rFonts w:hint="eastAsia" w:ascii="宋体" w:hAnsi="宋体" w:eastAsia="宋体" w:cs="宋体"/>
          <w:sz w:val="24"/>
          <w:szCs w:val="24"/>
          <w:highlight w:val="none"/>
        </w:rPr>
        <w:t>3.3 本项目能源托管期的前        个自然月（ 即          年</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月       日至        年       月        日止），为项目筹备期，项目筹备期内，甲方应当督促各用能单位配合乙方开展前期工作；乙方应当与各用能单位制定各个子项 目的实施方案，并分别签署子合同。乙方在筹备期内已签署子合同的，可组织实施相关子项目并按照子合同约定收取托管费用。筹备期届满后，对于尚未签订子合同的用能单位，乙方不得再与其签订子合同。</w:t>
      </w:r>
    </w:p>
    <w:p w14:paraId="61B4A470">
      <w:pPr>
        <w:pStyle w:val="5"/>
        <w:rPr>
          <w:rFonts w:hint="eastAsia" w:ascii="宋体" w:hAnsi="宋体" w:eastAsia="宋体" w:cs="宋体"/>
          <w:sz w:val="24"/>
          <w:szCs w:val="24"/>
          <w:highlight w:val="none"/>
        </w:rPr>
      </w:pPr>
      <w:bookmarkStart w:id="215" w:name="_Toc501697640"/>
      <w:r>
        <w:rPr>
          <w:rFonts w:hint="eastAsia" w:ascii="宋体" w:hAnsi="宋体" w:eastAsia="宋体" w:cs="宋体"/>
          <w:position w:val="1"/>
          <w:sz w:val="24"/>
          <w:szCs w:val="24"/>
          <w:highlight w:val="none"/>
        </w:rPr>
        <w:t>第 4 节  托管内容</w:t>
      </w:r>
      <w:bookmarkEnd w:id="215"/>
    </w:p>
    <w:p w14:paraId="0FCCD849">
      <w:pPr>
        <w:pStyle w:val="8"/>
        <w:spacing w:before="148" w:line="335" w:lineRule="auto"/>
        <w:ind w:left="37" w:right="54" w:firstLine="610"/>
        <w:rPr>
          <w:rFonts w:hint="eastAsia" w:ascii="宋体" w:hAnsi="宋体" w:eastAsia="宋体" w:cs="宋体"/>
          <w:sz w:val="24"/>
          <w:szCs w:val="24"/>
          <w:highlight w:val="none"/>
        </w:rPr>
      </w:pPr>
      <w:r>
        <w:rPr>
          <w:rFonts w:hint="eastAsia" w:ascii="宋体" w:hAnsi="宋体" w:eastAsia="宋体" w:cs="宋体"/>
          <w:sz w:val="24"/>
          <w:szCs w:val="24"/>
          <w:highlight w:val="none"/>
        </w:rPr>
        <w:t>4.1 乙方与用能单位签订子合同，对各个子项目项下的相关能源费用实行承包制，其承包范围不得超出以下内容：</w:t>
      </w:r>
    </w:p>
    <w:p w14:paraId="1F2FEAB3">
      <w:pPr>
        <w:spacing w:before="3" w:line="243" w:lineRule="auto"/>
        <w:ind w:left="672"/>
        <w:rPr>
          <w:rFonts w:hint="eastAsia" w:ascii="宋体" w:hAnsi="宋体" w:cs="宋体"/>
          <w:sz w:val="24"/>
          <w:szCs w:val="24"/>
          <w:highlight w:val="none"/>
        </w:rPr>
      </w:pPr>
      <w:r>
        <w:rPr>
          <w:rFonts w:hint="eastAsia" w:ascii="宋体" w:hAnsi="宋体" w:cs="宋体"/>
          <w:sz w:val="24"/>
          <w:szCs w:val="24"/>
          <w:highlight w:val="none"/>
        </w:rPr>
        <w:t>□电费，具体约定如下：</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95CD6D1">
      <w:pPr>
        <w:spacing w:before="151" w:line="243" w:lineRule="auto"/>
        <w:ind w:left="672"/>
        <w:rPr>
          <w:rFonts w:hint="eastAsia" w:ascii="宋体" w:hAnsi="宋体" w:cs="宋体"/>
          <w:sz w:val="24"/>
          <w:szCs w:val="24"/>
          <w:highlight w:val="none"/>
        </w:rPr>
      </w:pPr>
      <w:r>
        <w:rPr>
          <w:rFonts w:hint="eastAsia" w:ascii="宋体" w:hAnsi="宋体" w:cs="宋体"/>
          <w:sz w:val="24"/>
          <w:szCs w:val="24"/>
          <w:highlight w:val="none"/>
        </w:rPr>
        <w:t>□蒸汽费，具体约定如下：</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2E4A5096">
      <w:pPr>
        <w:spacing w:before="153" w:line="243" w:lineRule="auto"/>
        <w:ind w:left="672"/>
        <w:rPr>
          <w:rFonts w:hint="eastAsia" w:ascii="宋体" w:hAnsi="宋体" w:cs="宋体"/>
          <w:sz w:val="24"/>
          <w:szCs w:val="24"/>
          <w:highlight w:val="none"/>
        </w:rPr>
      </w:pPr>
      <w:r>
        <w:rPr>
          <w:rFonts w:hint="eastAsia" w:ascii="宋体" w:hAnsi="宋体" w:cs="宋体"/>
          <w:sz w:val="24"/>
          <w:szCs w:val="24"/>
          <w:highlight w:val="none"/>
        </w:rPr>
        <w:t>□燃气费，具体约定如下：</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F12D797">
      <w:pPr>
        <w:spacing w:before="151" w:line="243" w:lineRule="auto"/>
        <w:ind w:left="672"/>
        <w:rPr>
          <w:rFonts w:hint="eastAsia" w:ascii="宋体" w:hAnsi="宋体" w:cs="宋体"/>
          <w:sz w:val="24"/>
          <w:szCs w:val="24"/>
          <w:highlight w:val="none"/>
        </w:rPr>
      </w:pPr>
      <w:r>
        <w:rPr>
          <w:rFonts w:hint="eastAsia" w:ascii="宋体" w:hAnsi="宋体" w:cs="宋体"/>
          <w:sz w:val="24"/>
          <w:szCs w:val="24"/>
          <w:highlight w:val="none"/>
        </w:rPr>
        <w:t>□水费，具体约定如下：</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26B4703A">
      <w:pPr>
        <w:spacing w:before="151" w:line="243" w:lineRule="auto"/>
        <w:ind w:left="672"/>
        <w:rPr>
          <w:rFonts w:hint="eastAsia" w:ascii="宋体" w:hAnsi="宋体" w:cs="宋体"/>
          <w:sz w:val="24"/>
          <w:szCs w:val="24"/>
          <w:highlight w:val="none"/>
        </w:rPr>
      </w:pPr>
      <w:r>
        <w:rPr>
          <w:rFonts w:hint="eastAsia" w:ascii="宋体" w:hAnsi="宋体" w:cs="宋体"/>
          <w:sz w:val="24"/>
          <w:szCs w:val="24"/>
          <w:highlight w:val="none"/>
        </w:rPr>
        <w:t>□热力费，具体约定如下：</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27F3086A">
      <w:pPr>
        <w:spacing w:before="154" w:line="242" w:lineRule="auto"/>
        <w:ind w:firstLine="720" w:firstLineChars="300"/>
        <w:jc w:val="left"/>
        <w:rPr>
          <w:rFonts w:hint="eastAsia" w:ascii="宋体" w:hAnsi="宋体" w:cs="宋体"/>
          <w:sz w:val="24"/>
          <w:szCs w:val="24"/>
          <w:highlight w:val="none"/>
        </w:rPr>
      </w:pPr>
      <w:r>
        <w:rPr>
          <w:rFonts w:hint="eastAsia" w:ascii="宋体" w:hAnsi="宋体" w:cs="宋体"/>
          <w:sz w:val="24"/>
          <w:szCs w:val="24"/>
          <w:highlight w:val="none"/>
        </w:rPr>
        <w:t>□纳入托管范围的能源资源系统的运维费，具体约定如下：</w:t>
      </w:r>
    </w:p>
    <w:p w14:paraId="35554FFB">
      <w:pPr>
        <w:pStyle w:val="8"/>
        <w:spacing w:line="268" w:lineRule="auto"/>
        <w:rPr>
          <w:rFonts w:hint="eastAsia" w:ascii="宋体" w:hAnsi="宋体" w:eastAsia="宋体" w:cs="宋体"/>
          <w:sz w:val="24"/>
          <w:szCs w:val="24"/>
          <w:highlight w:val="none"/>
        </w:rPr>
      </w:pPr>
    </w:p>
    <w:p w14:paraId="0C151250">
      <w:pPr>
        <w:tabs>
          <w:tab w:val="left" w:pos="5598"/>
        </w:tabs>
        <w:spacing w:before="101" w:line="97" w:lineRule="auto"/>
        <w:rPr>
          <w:rFonts w:hint="eastAsia" w:ascii="宋体" w:hAnsi="宋体" w:cs="宋体"/>
          <w:sz w:val="24"/>
          <w:szCs w:val="24"/>
          <w:highlight w:val="none"/>
        </w:rPr>
      </w:pPr>
      <w:r>
        <w:rPr>
          <w:rFonts w:hint="eastAsia" w:ascii="宋体" w:hAnsi="宋体" w:cs="宋体"/>
          <w:sz w:val="24"/>
          <w:szCs w:val="24"/>
          <w:highlight w:val="none"/>
          <w:u w:val="single"/>
        </w:rPr>
        <w:tab/>
      </w:r>
      <w:r>
        <w:rPr>
          <w:rFonts w:hint="eastAsia" w:ascii="宋体" w:hAnsi="宋体" w:cs="宋体"/>
          <w:sz w:val="24"/>
          <w:szCs w:val="24"/>
          <w:highlight w:val="none"/>
        </w:rPr>
        <w:t>。</w:t>
      </w:r>
    </w:p>
    <w:p w14:paraId="53BAC0D7">
      <w:pPr>
        <w:spacing w:before="178" w:line="242" w:lineRule="auto"/>
        <w:ind w:left="672"/>
        <w:rPr>
          <w:rFonts w:hint="eastAsia" w:ascii="宋体" w:hAnsi="宋体" w:cs="宋体"/>
          <w:sz w:val="24"/>
          <w:szCs w:val="24"/>
          <w:highlight w:val="none"/>
        </w:rPr>
      </w:pPr>
      <w:r>
        <w:rPr>
          <w:rFonts w:hint="eastAsia" w:ascii="宋体" w:hAnsi="宋体" w:cs="宋体"/>
          <w:sz w:val="24"/>
          <w:szCs w:val="24"/>
          <w:highlight w:val="none"/>
        </w:rPr>
        <w:t>□其他，具体约定如下：</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654987E9">
      <w:pPr>
        <w:pStyle w:val="8"/>
        <w:spacing w:before="145" w:line="417" w:lineRule="exact"/>
        <w:ind w:left="648"/>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4.2 乙方提供的其他服务内容包括：</w:t>
      </w:r>
    </w:p>
    <w:p w14:paraId="1935EE63">
      <w:pPr>
        <w:spacing w:before="153" w:line="333" w:lineRule="auto"/>
        <w:ind w:left="28" w:right="54" w:firstLine="643"/>
        <w:rPr>
          <w:rFonts w:hint="eastAsia" w:ascii="宋体" w:hAnsi="宋体" w:cs="宋体"/>
          <w:sz w:val="24"/>
          <w:szCs w:val="24"/>
          <w:highlight w:val="none"/>
        </w:rPr>
      </w:pPr>
      <w:r>
        <w:rPr>
          <w:rFonts w:hint="eastAsia" w:ascii="宋体" w:hAnsi="宋体" w:cs="宋体"/>
          <w:sz w:val="24"/>
          <w:szCs w:val="24"/>
          <w:highlight w:val="none"/>
        </w:rPr>
        <w:t>□能源资源智能化管理软件等信息化技术服务 ，具体约定为：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FBDF9AC">
      <w:pPr>
        <w:spacing w:before="3" w:line="256" w:lineRule="auto"/>
        <w:ind w:left="672"/>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5EEAF7F8">
      <w:pPr>
        <w:spacing w:before="274" w:line="219" w:lineRule="exact"/>
        <w:ind w:left="674"/>
        <w:rPr>
          <w:rFonts w:hint="eastAsia" w:ascii="宋体" w:hAnsi="宋体" w:cs="宋体"/>
          <w:sz w:val="24"/>
          <w:szCs w:val="24"/>
          <w:highlight w:val="none"/>
        </w:rPr>
      </w:pPr>
      <w:r>
        <w:rPr>
          <w:rFonts w:hint="eastAsia" w:ascii="宋体" w:hAnsi="宋体" w:cs="宋体"/>
          <w:position w:val="-13"/>
          <w:sz w:val="24"/>
          <w:szCs w:val="24"/>
          <w:highlight w:val="none"/>
        </w:rPr>
        <w:t>……</w:t>
      </w:r>
    </w:p>
    <w:p w14:paraId="07B72A3B">
      <w:pPr>
        <w:pStyle w:val="8"/>
        <w:spacing w:before="185" w:line="335" w:lineRule="auto"/>
        <w:ind w:left="31" w:right="54" w:firstLine="616"/>
        <w:rPr>
          <w:rFonts w:hint="eastAsia" w:ascii="宋体" w:hAnsi="宋体" w:eastAsia="宋体" w:cs="宋体"/>
          <w:sz w:val="24"/>
          <w:szCs w:val="24"/>
          <w:highlight w:val="none"/>
        </w:rPr>
      </w:pPr>
      <w:r>
        <w:rPr>
          <w:rFonts w:hint="eastAsia" w:ascii="宋体" w:hAnsi="宋体" w:eastAsia="宋体" w:cs="宋体"/>
          <w:sz w:val="24"/>
          <w:szCs w:val="24"/>
          <w:highlight w:val="none"/>
        </w:rPr>
        <w:t>4.3</w:t>
      </w:r>
      <w:r>
        <w:rPr>
          <w:rFonts w:hint="eastAsia" w:ascii="宋体" w:hAnsi="宋体" w:eastAsia="宋体" w:cs="宋体"/>
          <w:w w:val="101"/>
          <w:sz w:val="24"/>
          <w:szCs w:val="24"/>
          <w:highlight w:val="none"/>
        </w:rPr>
        <w:t xml:space="preserve"> </w:t>
      </w:r>
      <w:r>
        <w:rPr>
          <w:rFonts w:hint="eastAsia" w:ascii="宋体" w:hAnsi="宋体" w:eastAsia="宋体" w:cs="宋体"/>
          <w:sz w:val="24"/>
          <w:szCs w:val="24"/>
          <w:highlight w:val="none"/>
        </w:rPr>
        <w:t>甲方对本项 目以及各个子项目能源费用托管服务的基础性要求如下：</w:t>
      </w:r>
    </w:p>
    <w:p w14:paraId="6DFFF091">
      <w:pPr>
        <w:spacing w:before="7" w:line="332" w:lineRule="auto"/>
        <w:ind w:left="28" w:right="52" w:firstLine="643"/>
        <w:rPr>
          <w:rFonts w:hint="eastAsia" w:ascii="宋体" w:hAnsi="宋体" w:cs="宋体"/>
          <w:sz w:val="24"/>
          <w:szCs w:val="24"/>
          <w:highlight w:val="none"/>
        </w:rPr>
      </w:pPr>
      <w:r>
        <w:rPr>
          <w:rFonts w:hint="eastAsia" w:ascii="宋体" w:hAnsi="宋体" w:cs="宋体"/>
          <w:sz w:val="24"/>
          <w:szCs w:val="24"/>
          <w:highlight w:val="none"/>
        </w:rPr>
        <w:t>□确保纳入托管范围的能源资源系统正常安全运行，具体要求为：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59608E4B">
      <w:pPr>
        <w:spacing w:before="5" w:line="256" w:lineRule="auto"/>
        <w:ind w:left="672"/>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1D6C8CB0">
      <w:pPr>
        <w:pStyle w:val="5"/>
        <w:rPr>
          <w:rFonts w:hint="eastAsia" w:ascii="宋体" w:hAnsi="宋体" w:eastAsia="宋体"/>
          <w:sz w:val="24"/>
          <w:szCs w:val="24"/>
          <w:highlight w:val="none"/>
        </w:rPr>
      </w:pPr>
      <w:bookmarkStart w:id="216" w:name="_Toc1011437358"/>
      <w:r>
        <w:rPr>
          <w:rFonts w:hint="eastAsia" w:ascii="宋体" w:hAnsi="宋体" w:eastAsia="宋体"/>
          <w:sz w:val="24"/>
          <w:szCs w:val="24"/>
          <w:highlight w:val="none"/>
        </w:rPr>
        <w:t>第 5 节  项目实施与运营</w:t>
      </w:r>
      <w:bookmarkEnd w:id="216"/>
    </w:p>
    <w:p w14:paraId="59641BDB">
      <w:pPr>
        <w:pStyle w:val="8"/>
        <w:spacing w:before="147" w:line="334" w:lineRule="auto"/>
        <w:ind w:left="14" w:right="154" w:firstLine="619"/>
        <w:rPr>
          <w:rFonts w:hint="eastAsia" w:ascii="宋体" w:hAnsi="宋体" w:eastAsia="宋体" w:cs="宋体"/>
          <w:sz w:val="24"/>
          <w:szCs w:val="24"/>
          <w:highlight w:val="none"/>
        </w:rPr>
      </w:pPr>
      <w:r>
        <w:rPr>
          <w:rFonts w:hint="eastAsia" w:ascii="宋体" w:hAnsi="宋体" w:eastAsia="宋体" w:cs="宋体"/>
          <w:sz w:val="24"/>
          <w:szCs w:val="24"/>
          <w:highlight w:val="none"/>
        </w:rPr>
        <w:t>5.1 双方约定，各个子项目节能改造方案、节能改造验收、第三方评估等事项，具体工作程序和要求为：</w:t>
      </w:r>
    </w:p>
    <w:p w14:paraId="22CF3979">
      <w:pPr>
        <w:pStyle w:val="8"/>
        <w:spacing w:line="261"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2B0FE93">
      <w:pPr>
        <w:pStyle w:val="8"/>
        <w:spacing w:before="120" w:line="261"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40C244FB">
      <w:pPr>
        <w:spacing w:before="276" w:line="219" w:lineRule="exact"/>
        <w:ind w:left="658"/>
        <w:rPr>
          <w:rFonts w:hint="eastAsia" w:ascii="宋体" w:hAnsi="宋体" w:cs="宋体"/>
          <w:sz w:val="24"/>
          <w:szCs w:val="24"/>
          <w:highlight w:val="none"/>
        </w:rPr>
      </w:pPr>
      <w:r>
        <w:rPr>
          <w:rFonts w:hint="eastAsia" w:ascii="宋体" w:hAnsi="宋体" w:cs="宋体"/>
          <w:position w:val="-13"/>
          <w:sz w:val="24"/>
          <w:szCs w:val="24"/>
          <w:highlight w:val="none"/>
        </w:rPr>
        <w:t>……</w:t>
      </w:r>
    </w:p>
    <w:p w14:paraId="3A528327">
      <w:pPr>
        <w:pStyle w:val="8"/>
        <w:spacing w:before="187" w:line="416" w:lineRule="exact"/>
        <w:ind w:left="634"/>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5.2 项目整体验收。</w:t>
      </w:r>
    </w:p>
    <w:p w14:paraId="5E1252CC">
      <w:pPr>
        <w:pStyle w:val="8"/>
        <w:spacing w:before="142" w:line="248"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5.2.1 项目验收主体、条件和方式为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3ABDA45">
      <w:pPr>
        <w:pStyle w:val="8"/>
        <w:spacing w:before="143" w:line="334" w:lineRule="auto"/>
        <w:ind w:left="17" w:right="120" w:firstLine="617"/>
        <w:rPr>
          <w:rFonts w:hint="eastAsia" w:ascii="宋体" w:hAnsi="宋体" w:eastAsia="宋体" w:cs="宋体"/>
          <w:sz w:val="24"/>
          <w:szCs w:val="24"/>
          <w:highlight w:val="none"/>
        </w:rPr>
      </w:pPr>
      <w:r>
        <w:rPr>
          <w:rFonts w:hint="eastAsia" w:ascii="宋体" w:hAnsi="宋体" w:eastAsia="宋体" w:cs="宋体"/>
          <w:sz w:val="24"/>
          <w:szCs w:val="24"/>
          <w:highlight w:val="none"/>
        </w:rPr>
        <w:t>5.2.2 验收标准除本框架协议 2.3.3 约定，以及符合国家法律法规规定的强制性要求和标准外，还包括：</w:t>
      </w:r>
    </w:p>
    <w:p w14:paraId="5D959496">
      <w:pPr>
        <w:pStyle w:val="8"/>
        <w:spacing w:line="261"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D49A15F">
      <w:pPr>
        <w:pStyle w:val="8"/>
        <w:spacing w:before="120" w:line="263"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0F22CCD">
      <w:pPr>
        <w:spacing w:before="274" w:line="219" w:lineRule="exact"/>
        <w:ind w:left="658"/>
        <w:rPr>
          <w:rFonts w:hint="eastAsia" w:ascii="宋体" w:hAnsi="宋体" w:cs="宋体"/>
          <w:sz w:val="24"/>
          <w:szCs w:val="24"/>
          <w:highlight w:val="none"/>
        </w:rPr>
      </w:pPr>
      <w:r>
        <w:rPr>
          <w:rFonts w:hint="eastAsia" w:ascii="宋体" w:hAnsi="宋体" w:cs="宋体"/>
          <w:position w:val="-13"/>
          <w:sz w:val="24"/>
          <w:szCs w:val="24"/>
          <w:highlight w:val="none"/>
        </w:rPr>
        <w:t>……</w:t>
      </w:r>
    </w:p>
    <w:p w14:paraId="65B7F04C">
      <w:pPr>
        <w:pStyle w:val="8"/>
        <w:spacing w:before="189" w:line="333" w:lineRule="auto"/>
        <w:ind w:left="3" w:right="117"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t>5.2.3 未通过验收的，乙方应负责整改并再次提请验收。整改期限不超过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个自然月。整改完毕后再次组织验收。仍不能通过验收的，甲方有权解除本框架协议。</w:t>
      </w:r>
    </w:p>
    <w:p w14:paraId="18AED33E">
      <w:pPr>
        <w:pStyle w:val="8"/>
        <w:spacing w:line="415" w:lineRule="exact"/>
        <w:ind w:left="634"/>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5.3  乙方服务人员资质和能力。</w:t>
      </w:r>
    </w:p>
    <w:p w14:paraId="05D56157">
      <w:pPr>
        <w:pStyle w:val="8"/>
        <w:spacing w:before="143" w:line="334" w:lineRule="auto"/>
        <w:ind w:right="117" w:firstLine="634"/>
        <w:rPr>
          <w:rFonts w:hint="eastAsia" w:ascii="宋体" w:hAnsi="宋体" w:eastAsia="宋体" w:cs="宋体"/>
          <w:sz w:val="24"/>
          <w:szCs w:val="24"/>
          <w:highlight w:val="none"/>
        </w:rPr>
      </w:pPr>
      <w:r>
        <w:rPr>
          <w:rFonts w:hint="eastAsia" w:ascii="宋体" w:hAnsi="宋体" w:eastAsia="宋体" w:cs="宋体"/>
          <w:sz w:val="24"/>
          <w:szCs w:val="24"/>
          <w:highlight w:val="none"/>
        </w:rPr>
        <w:t>5.3.1 乙方为甲方提供服务的技术负责人等关键岗位人员与乙方在投标书中的承诺不符，经甲方通知整改后，仍无法提供具备相同资质条件人员的，甲方有权书面通知乙方后解除本框架协议。</w:t>
      </w:r>
    </w:p>
    <w:p w14:paraId="1613347D">
      <w:pPr>
        <w:spacing w:before="101" w:line="330" w:lineRule="auto"/>
        <w:ind w:left="10" w:right="117" w:hanging="7"/>
        <w:rPr>
          <w:rFonts w:hint="eastAsia" w:ascii="宋体" w:hAnsi="宋体" w:cs="宋体"/>
          <w:sz w:val="24"/>
          <w:szCs w:val="24"/>
          <w:highlight w:val="none"/>
        </w:rPr>
      </w:pPr>
      <w:r>
        <w:rPr>
          <w:rFonts w:hint="eastAsia" w:ascii="宋体" w:hAnsi="宋体" w:cs="宋体"/>
          <w:sz w:val="24"/>
          <w:szCs w:val="24"/>
          <w:highlight w:val="none"/>
        </w:rPr>
        <w:t>5.3.2 乙方保证从事本项 目的人员具备相应的职业资格和应有的素质，国家规定需持证上岗的工种必须持证上岗。如需调整项目负责人、项目技术负责人等关键管理人员，应当事先通报甲方，对甲方提出认为不适合的人员，乙方应作出相应调整。</w:t>
      </w:r>
    </w:p>
    <w:p w14:paraId="12B0B6A1">
      <w:pPr>
        <w:pStyle w:val="8"/>
        <w:spacing w:before="2" w:line="333" w:lineRule="auto"/>
        <w:ind w:left="8" w:right="117" w:firstLine="625"/>
        <w:rPr>
          <w:rFonts w:hint="eastAsia" w:ascii="宋体" w:hAnsi="宋体" w:eastAsia="宋体" w:cs="宋体"/>
          <w:sz w:val="24"/>
          <w:szCs w:val="24"/>
          <w:highlight w:val="none"/>
        </w:rPr>
      </w:pPr>
      <w:r>
        <w:rPr>
          <w:rFonts w:hint="eastAsia" w:ascii="宋体" w:hAnsi="宋体" w:eastAsia="宋体" w:cs="宋体"/>
          <w:sz w:val="24"/>
          <w:szCs w:val="24"/>
          <w:highlight w:val="none"/>
        </w:rPr>
        <w:t>5.3.3 乙方应确保其工作人员及其聘请的第三方人员在项 目实施、运营的整个过程中遵守相关法律法规，以及甲方的相关规章制度。</w:t>
      </w:r>
    </w:p>
    <w:p w14:paraId="54644991">
      <w:pPr>
        <w:pStyle w:val="8"/>
        <w:spacing w:line="420" w:lineRule="exact"/>
        <w:ind w:left="634"/>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5.4  资产管理。</w:t>
      </w:r>
    </w:p>
    <w:p w14:paraId="546CF2E3">
      <w:pPr>
        <w:pStyle w:val="8"/>
        <w:spacing w:before="145" w:line="333" w:lineRule="auto"/>
        <w:ind w:left="2" w:firstLine="631"/>
        <w:rPr>
          <w:rFonts w:hint="eastAsia" w:ascii="宋体" w:hAnsi="宋体" w:eastAsia="宋体" w:cs="宋体"/>
          <w:sz w:val="24"/>
          <w:szCs w:val="24"/>
          <w:highlight w:val="none"/>
        </w:rPr>
      </w:pPr>
      <w:r>
        <w:rPr>
          <w:rFonts w:hint="eastAsia" w:ascii="宋体" w:hAnsi="宋体" w:eastAsia="宋体" w:cs="宋体"/>
          <w:sz w:val="24"/>
          <w:szCs w:val="24"/>
          <w:highlight w:val="none"/>
        </w:rPr>
        <w:t>5.4.1 甲方及用能单位原有设备全部归甲方及用能单位所有。合同签订之日起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个自然 日 内，应由甲方、用能单位和乙方三方对原有设备进行现场盘点，共同签字确认原有设备盘点清单。能源托管期内，乙方新增设备归乙方所有，用能单位享有使用权；能源托管期结束且甲方及用能单位付清本框架协议约定的所有款项后，乙方新增设备归甲方或用能单位所有，在设备所有权移交时乙方应保证该部分设备正常运行。</w:t>
      </w:r>
    </w:p>
    <w:p w14:paraId="0E09D5C1">
      <w:pPr>
        <w:pStyle w:val="8"/>
        <w:spacing w:before="3" w:line="333" w:lineRule="auto"/>
        <w:ind w:right="117" w:firstLine="634"/>
        <w:rPr>
          <w:rFonts w:hint="eastAsia" w:ascii="宋体" w:hAnsi="宋体" w:eastAsia="宋体" w:cs="宋体"/>
          <w:sz w:val="24"/>
          <w:szCs w:val="24"/>
          <w:highlight w:val="none"/>
        </w:rPr>
      </w:pPr>
      <w:r>
        <w:rPr>
          <w:rFonts w:hint="eastAsia" w:ascii="宋体" w:hAnsi="宋体" w:eastAsia="宋体" w:cs="宋体"/>
          <w:sz w:val="24"/>
          <w:szCs w:val="24"/>
          <w:highlight w:val="none"/>
        </w:rPr>
        <w:t>5.4.2 能源托管期内，乙方应确保新增设备不被抵押、扣押或查封，也不得对外转让或转移，否则甲方有权要求乙方替换设备并要求乙方赔偿损失。</w:t>
      </w:r>
    </w:p>
    <w:p w14:paraId="3F24DEB6">
      <w:pPr>
        <w:pStyle w:val="8"/>
        <w:spacing w:before="3" w:line="333" w:lineRule="auto"/>
        <w:ind w:left="11" w:right="117" w:firstLine="623"/>
        <w:rPr>
          <w:rFonts w:hint="eastAsia" w:ascii="宋体" w:hAnsi="宋体" w:eastAsia="宋体" w:cs="宋体"/>
          <w:sz w:val="24"/>
          <w:szCs w:val="24"/>
          <w:highlight w:val="none"/>
        </w:rPr>
      </w:pPr>
      <w:r>
        <w:rPr>
          <w:rFonts w:hint="eastAsia" w:ascii="宋体" w:hAnsi="宋体" w:eastAsia="宋体" w:cs="宋体"/>
          <w:sz w:val="24"/>
          <w:szCs w:val="24"/>
          <w:highlight w:val="none"/>
        </w:rPr>
        <w:t>5.4.3 合同期满且甲方及用能单位付清全部应付款项后，双方应对项目资产进行清点造册，乙方将以下项目资产、档案无偿转让给甲方或用能单位：</w:t>
      </w:r>
    </w:p>
    <w:p w14:paraId="761E373C">
      <w:pPr>
        <w:spacing w:before="8" w:line="407" w:lineRule="exact"/>
        <w:ind w:left="655"/>
        <w:rPr>
          <w:rFonts w:hint="eastAsia" w:ascii="宋体" w:hAnsi="宋体" w:cs="宋体"/>
          <w:sz w:val="24"/>
          <w:szCs w:val="24"/>
          <w:highlight w:val="none"/>
        </w:rPr>
      </w:pPr>
      <w:r>
        <w:rPr>
          <w:rFonts w:hint="eastAsia" w:ascii="宋体" w:hAnsi="宋体" w:cs="宋体"/>
          <w:position w:val="1"/>
          <w:sz w:val="24"/>
          <w:szCs w:val="24"/>
          <w:highlight w:val="none"/>
        </w:rPr>
        <w:t>□项目全部资产。</w:t>
      </w:r>
    </w:p>
    <w:p w14:paraId="267CEDBB">
      <w:pPr>
        <w:spacing w:before="155"/>
        <w:ind w:left="655"/>
        <w:rPr>
          <w:rFonts w:hint="eastAsia" w:ascii="宋体" w:hAnsi="宋体" w:cs="宋体"/>
          <w:sz w:val="24"/>
          <w:szCs w:val="24"/>
          <w:highlight w:val="none"/>
        </w:rPr>
      </w:pPr>
      <w:r>
        <w:rPr>
          <w:rFonts w:hint="eastAsia" w:ascii="宋体" w:hAnsi="宋体" w:cs="宋体"/>
          <w:sz w:val="24"/>
          <w:szCs w:val="24"/>
          <w:highlight w:val="none"/>
        </w:rPr>
        <w:t>□各类管理档案、物料、工具、图纸资料等。</w:t>
      </w:r>
    </w:p>
    <w:p w14:paraId="4C1660FC">
      <w:pPr>
        <w:spacing w:before="156" w:line="256" w:lineRule="auto"/>
        <w:ind w:left="655"/>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DDEDF32">
      <w:pPr>
        <w:pStyle w:val="8"/>
        <w:spacing w:line="265" w:lineRule="auto"/>
        <w:rPr>
          <w:rFonts w:hint="eastAsia" w:ascii="宋体" w:hAnsi="宋体" w:eastAsia="宋体" w:cs="宋体"/>
          <w:sz w:val="24"/>
          <w:szCs w:val="24"/>
          <w:highlight w:val="none"/>
        </w:rPr>
      </w:pPr>
      <w:r>
        <w:rPr>
          <w:rFonts w:hint="eastAsia" w:ascii="宋体" w:hAnsi="宋体" w:eastAsia="宋体" w:cs="宋体"/>
          <w:position w:val="-13"/>
          <w:sz w:val="24"/>
          <w:szCs w:val="24"/>
          <w:highlight w:val="none"/>
        </w:rPr>
        <w:t>……</w:t>
      </w:r>
    </w:p>
    <w:p w14:paraId="5E57AEAB">
      <w:pPr>
        <w:spacing w:before="101" w:line="243"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移交上述项目资产、档案的期限约定为：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2FA9F2F2">
      <w:pPr>
        <w:pStyle w:val="8"/>
        <w:spacing w:before="142" w:line="334" w:lineRule="auto"/>
        <w:ind w:left="66" w:right="172" w:firstLine="567"/>
        <w:rPr>
          <w:rFonts w:hint="eastAsia" w:ascii="宋体" w:hAnsi="宋体" w:eastAsia="宋体" w:cs="宋体"/>
          <w:sz w:val="24"/>
          <w:szCs w:val="24"/>
          <w:highlight w:val="none"/>
        </w:rPr>
      </w:pPr>
      <w:r>
        <w:rPr>
          <w:rFonts w:hint="eastAsia" w:ascii="宋体" w:hAnsi="宋体" w:eastAsia="宋体" w:cs="宋体"/>
          <w:sz w:val="24"/>
          <w:szCs w:val="24"/>
          <w:highlight w:val="none"/>
        </w:rPr>
        <w:t>5.4.4 乙方应在移交 5.4.3 的资产、档案的同时，一并移交项目运行资料、知识产权许可等。</w:t>
      </w:r>
    </w:p>
    <w:p w14:paraId="481FA95D">
      <w:pPr>
        <w:pStyle w:val="8"/>
        <w:spacing w:before="2" w:line="333" w:lineRule="auto"/>
        <w:ind w:left="13" w:right="170" w:firstLine="619"/>
        <w:rPr>
          <w:rFonts w:hint="eastAsia" w:ascii="宋体" w:hAnsi="宋体" w:eastAsia="宋体" w:cs="宋体"/>
          <w:sz w:val="24"/>
          <w:szCs w:val="24"/>
          <w:highlight w:val="none"/>
        </w:rPr>
      </w:pPr>
      <w:r>
        <w:rPr>
          <w:rFonts w:hint="eastAsia" w:ascii="宋体" w:hAnsi="宋体" w:eastAsia="宋体" w:cs="宋体"/>
          <w:sz w:val="24"/>
          <w:szCs w:val="24"/>
          <w:highlight w:val="none"/>
        </w:rPr>
        <w:t>5.4.5 合同终止时 ，乙方应将借用、 占用的管理用房、能源系统相关资料等属于甲方或用能单位所有的财物及时完整地移交给甲方或用能单位。</w:t>
      </w:r>
    </w:p>
    <w:p w14:paraId="4D0894CD">
      <w:pPr>
        <w:pStyle w:val="8"/>
        <w:spacing w:before="2" w:line="333" w:lineRule="auto"/>
        <w:ind w:right="72" w:firstLine="633"/>
        <w:rPr>
          <w:rFonts w:hint="eastAsia" w:ascii="宋体" w:hAnsi="宋体" w:eastAsia="宋体" w:cs="宋体"/>
          <w:sz w:val="24"/>
          <w:szCs w:val="24"/>
          <w:highlight w:val="none"/>
        </w:rPr>
      </w:pPr>
      <w:r>
        <w:rPr>
          <w:rFonts w:hint="eastAsia" w:ascii="宋体" w:hAnsi="宋体" w:eastAsia="宋体" w:cs="宋体"/>
          <w:sz w:val="24"/>
          <w:szCs w:val="24"/>
          <w:highlight w:val="none"/>
        </w:rPr>
        <w:t>5.4.6 所有移交的内容都应有清单并由甲方或用能单位签收，全部手续完成后甲方或用能单位与乙方共同签署托管移交确认书。</w:t>
      </w:r>
    </w:p>
    <w:p w14:paraId="31018EC5">
      <w:pPr>
        <w:pStyle w:val="8"/>
        <w:spacing w:before="3" w:line="334" w:lineRule="auto"/>
        <w:ind w:left="3" w:right="170"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5.5 能源托管期内，乙方新增设备的质量问题及维保工作由乙方负责。乙方委托设备生产厂家以及生产厂家指定的维保机构以外的第三方机构，负责维保及 日常性维护等工作的，应当书面征得甲方同意。</w:t>
      </w:r>
    </w:p>
    <w:p w14:paraId="3588D1CD">
      <w:pPr>
        <w:pStyle w:val="8"/>
        <w:spacing w:line="447" w:lineRule="auto"/>
        <w:rPr>
          <w:rFonts w:hint="eastAsia" w:ascii="宋体" w:hAnsi="宋体" w:eastAsia="宋体" w:cs="宋体"/>
          <w:sz w:val="24"/>
          <w:szCs w:val="24"/>
          <w:highlight w:val="none"/>
        </w:rPr>
      </w:pPr>
    </w:p>
    <w:p w14:paraId="41189473">
      <w:pPr>
        <w:pStyle w:val="5"/>
        <w:rPr>
          <w:rFonts w:hint="eastAsia" w:ascii="宋体" w:hAnsi="宋体" w:eastAsia="宋体" w:cs="宋体"/>
          <w:sz w:val="24"/>
          <w:szCs w:val="24"/>
          <w:highlight w:val="none"/>
        </w:rPr>
      </w:pPr>
      <w:bookmarkStart w:id="217" w:name="_Toc1894609901"/>
      <w:r>
        <w:rPr>
          <w:rFonts w:hint="eastAsia" w:ascii="宋体" w:hAnsi="宋体" w:eastAsia="宋体" w:cs="宋体"/>
          <w:position w:val="1"/>
          <w:sz w:val="24"/>
          <w:szCs w:val="24"/>
          <w:highlight w:val="none"/>
        </w:rPr>
        <w:t>第 6 节  费用计算与支付</w:t>
      </w:r>
      <w:bookmarkEnd w:id="217"/>
    </w:p>
    <w:p w14:paraId="5951044E">
      <w:pPr>
        <w:pStyle w:val="8"/>
        <w:spacing w:before="149" w:line="323" w:lineRule="auto"/>
        <w:ind w:left="7" w:right="170" w:firstLine="62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总价为：¥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万元(人民币大写：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元整) ，此价格仅为暂估价。</w:t>
      </w:r>
    </w:p>
    <w:p w14:paraId="0D77C8D3">
      <w:pPr>
        <w:pStyle w:val="8"/>
        <w:spacing w:before="37" w:line="334" w:lineRule="auto"/>
        <w:ind w:left="8" w:right="170" w:firstLine="627"/>
        <w:rPr>
          <w:rFonts w:hint="eastAsia" w:ascii="宋体" w:hAnsi="宋体" w:eastAsia="宋体" w:cs="宋体"/>
          <w:sz w:val="24"/>
          <w:szCs w:val="24"/>
          <w:highlight w:val="none"/>
        </w:rPr>
      </w:pPr>
      <w:r>
        <w:rPr>
          <w:rFonts w:hint="eastAsia" w:ascii="宋体" w:hAnsi="宋体" w:eastAsia="宋体" w:cs="宋体"/>
          <w:sz w:val="24"/>
          <w:szCs w:val="24"/>
          <w:highlight w:val="none"/>
        </w:rPr>
        <w:t>6.1.1 各子项目托管费用 ，依据前期评估确定的能源基准计算，金额和具体约定为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3B2A502">
      <w:pPr>
        <w:spacing w:before="7" w:line="331" w:lineRule="auto"/>
        <w:ind w:left="29" w:right="170" w:firstLine="611"/>
        <w:rPr>
          <w:rFonts w:hint="eastAsia" w:ascii="宋体" w:hAnsi="宋体" w:cs="宋体"/>
          <w:sz w:val="24"/>
          <w:szCs w:val="24"/>
          <w:highlight w:val="none"/>
        </w:rPr>
      </w:pPr>
      <w:r>
        <w:rPr>
          <w:rFonts w:hint="eastAsia" w:ascii="宋体" w:hAnsi="宋体" w:cs="宋体"/>
          <w:sz w:val="24"/>
          <w:szCs w:val="24"/>
          <w:highlight w:val="none"/>
        </w:rPr>
        <w:t>各子项目签订子合同后，纳入费用结算范围，未签订子合同的用能单位不纳入费用结算范围。</w:t>
      </w:r>
    </w:p>
    <w:p w14:paraId="17DD2F44">
      <w:pPr>
        <w:pStyle w:val="8"/>
        <w:spacing w:line="414" w:lineRule="exact"/>
        <w:ind w:left="635"/>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6.1.2 各子项目托管费用调整执行以下规则：</w:t>
      </w:r>
    </w:p>
    <w:p w14:paraId="49635596">
      <w:pPr>
        <w:spacing w:before="101" w:line="242" w:lineRule="auto"/>
        <w:ind w:left="24"/>
        <w:rPr>
          <w:rFonts w:hint="eastAsia" w:ascii="宋体" w:hAnsi="宋体" w:cs="宋体"/>
          <w:sz w:val="24"/>
          <w:szCs w:val="24"/>
          <w:highlight w:val="none"/>
        </w:rPr>
      </w:pPr>
      <w:r>
        <w:rPr>
          <w:rFonts w:hint="eastAsia" w:ascii="宋体" w:hAnsi="宋体" w:cs="宋体"/>
          <w:position w:val="1"/>
          <w:sz w:val="24"/>
          <w:szCs w:val="24"/>
          <w:highlight w:val="none"/>
        </w:rPr>
        <w:t>□执行《公共机构能源费用托管实施规程》（JS/T 301-2024）</w:t>
      </w:r>
      <w:r>
        <w:rPr>
          <w:rFonts w:hint="eastAsia" w:ascii="宋体" w:hAnsi="宋体" w:cs="宋体"/>
          <w:sz w:val="24"/>
          <w:szCs w:val="24"/>
          <w:highlight w:val="none"/>
        </w:rPr>
        <w:t>附件《能源费用托管合同调整规则指引》。</w:t>
      </w:r>
    </w:p>
    <w:p w14:paraId="03F5FB38">
      <w:pPr>
        <w:spacing w:before="152"/>
        <w:ind w:left="654"/>
        <w:rPr>
          <w:rFonts w:hint="eastAsia" w:ascii="宋体" w:hAnsi="宋体" w:cs="宋体"/>
          <w:sz w:val="24"/>
          <w:szCs w:val="24"/>
          <w:highlight w:val="none"/>
        </w:rPr>
      </w:pPr>
      <w:r>
        <w:rPr>
          <w:rFonts w:hint="eastAsia" w:ascii="宋体" w:hAnsi="宋体" w:cs="宋体"/>
          <w:sz w:val="24"/>
          <w:szCs w:val="24"/>
          <w:highlight w:val="none"/>
        </w:rPr>
        <w:t>□在本框架协议附件中详细列示。</w:t>
      </w:r>
    </w:p>
    <w:p w14:paraId="0F63B0A3">
      <w:pPr>
        <w:spacing w:before="158"/>
        <w:ind w:left="654"/>
        <w:rPr>
          <w:rFonts w:hint="eastAsia" w:ascii="宋体" w:hAnsi="宋体" w:cs="宋体"/>
          <w:sz w:val="24"/>
          <w:szCs w:val="24"/>
          <w:highlight w:val="none"/>
        </w:rPr>
      </w:pPr>
      <w:r>
        <w:rPr>
          <w:rFonts w:hint="eastAsia" w:ascii="宋体" w:hAnsi="宋体" w:cs="宋体"/>
          <w:sz w:val="24"/>
          <w:szCs w:val="24"/>
          <w:highlight w:val="none"/>
        </w:rPr>
        <w:t>□在各子合同中单独约定。</w:t>
      </w:r>
    </w:p>
    <w:p w14:paraId="3E3EE9C1">
      <w:pPr>
        <w:pStyle w:val="8"/>
        <w:spacing w:before="148" w:line="247" w:lineRule="auto"/>
        <w:ind w:left="654"/>
        <w:rPr>
          <w:rFonts w:hint="eastAsia" w:ascii="宋体" w:hAnsi="宋体" w:eastAsia="宋体" w:cs="宋体"/>
          <w:sz w:val="24"/>
          <w:szCs w:val="24"/>
          <w:highlight w:val="none"/>
        </w:rPr>
      </w:pPr>
      <w:r>
        <w:rPr>
          <w:rFonts w:hint="eastAsia" w:ascii="宋体" w:hAnsi="宋体" w:eastAsia="宋体" w:cs="宋体"/>
          <w:sz w:val="24"/>
          <w:szCs w:val="24"/>
          <w:highlight w:val="none"/>
        </w:rPr>
        <w:t>□其他: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CA24FDE">
      <w:pPr>
        <w:pStyle w:val="8"/>
        <w:spacing w:before="143" w:line="334" w:lineRule="auto"/>
        <w:ind w:left="1" w:firstLine="634"/>
        <w:rPr>
          <w:rFonts w:hint="eastAsia" w:ascii="宋体" w:hAnsi="宋体" w:eastAsia="宋体" w:cs="宋体"/>
          <w:sz w:val="24"/>
          <w:szCs w:val="24"/>
          <w:highlight w:val="none"/>
        </w:rPr>
      </w:pPr>
      <w:r>
        <w:rPr>
          <w:rFonts w:hint="eastAsia" w:ascii="宋体" w:hAnsi="宋体" w:eastAsia="宋体" w:cs="宋体"/>
          <w:sz w:val="24"/>
          <w:szCs w:val="24"/>
          <w:highlight w:val="none"/>
        </w:rPr>
        <w:t>6.1.3 各子项目托管费用调整必须符合以下调整程序和前提条件：</w:t>
      </w:r>
    </w:p>
    <w:p w14:paraId="4480A69A">
      <w:pPr>
        <w:pStyle w:val="8"/>
        <w:spacing w:before="1" w:line="261" w:lineRule="auto"/>
        <w:ind w:left="614"/>
        <w:rPr>
          <w:rFonts w:hint="eastAsia" w:ascii="宋体" w:hAnsi="宋体" w:eastAsia="宋体" w:cs="宋体"/>
          <w:sz w:val="24"/>
          <w:szCs w:val="24"/>
          <w:highlight w:val="none"/>
        </w:rPr>
      </w:pPr>
      <w:r>
        <w:rPr>
          <w:rFonts w:hint="eastAsia" w:ascii="宋体" w:hAnsi="宋体" w:eastAsia="宋体" w:cs="宋体"/>
          <w:sz w:val="24"/>
          <w:szCs w:val="24"/>
          <w:highlight w:val="none"/>
        </w:rPr>
        <w:t>（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DA0038C">
      <w:pPr>
        <w:pStyle w:val="8"/>
        <w:spacing w:before="121" w:line="261" w:lineRule="auto"/>
        <w:ind w:left="614"/>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0E93A01">
      <w:pPr>
        <w:spacing w:before="276" w:line="219" w:lineRule="exact"/>
        <w:ind w:left="656"/>
        <w:rPr>
          <w:rFonts w:hint="eastAsia" w:ascii="宋体" w:hAnsi="宋体" w:cs="宋体"/>
          <w:sz w:val="24"/>
          <w:szCs w:val="24"/>
          <w:highlight w:val="none"/>
        </w:rPr>
      </w:pPr>
      <w:r>
        <w:rPr>
          <w:rFonts w:hint="eastAsia" w:ascii="宋体" w:hAnsi="宋体" w:cs="宋体"/>
          <w:position w:val="-13"/>
          <w:sz w:val="24"/>
          <w:szCs w:val="24"/>
          <w:highlight w:val="none"/>
        </w:rPr>
        <w:t>……</w:t>
      </w:r>
    </w:p>
    <w:p w14:paraId="6CB3AA69">
      <w:pPr>
        <w:pStyle w:val="8"/>
        <w:spacing w:before="187" w:line="334" w:lineRule="auto"/>
        <w:ind w:right="60" w:firstLine="635"/>
        <w:rPr>
          <w:rFonts w:hint="eastAsia" w:ascii="宋体" w:hAnsi="宋体" w:eastAsia="宋体" w:cs="宋体"/>
          <w:sz w:val="24"/>
          <w:szCs w:val="24"/>
          <w:highlight w:val="none"/>
        </w:rPr>
      </w:pPr>
      <w:r>
        <w:rPr>
          <w:rFonts w:hint="eastAsia" w:ascii="宋体" w:hAnsi="宋体" w:eastAsia="宋体" w:cs="宋体"/>
          <w:sz w:val="24"/>
          <w:szCs w:val="24"/>
          <w:highlight w:val="none"/>
        </w:rPr>
        <w:t>6.1.4 本项目依据节能降碳效果或节省费用幅度实施奖惩，具体为：</w:t>
      </w:r>
    </w:p>
    <w:p w14:paraId="1B5B7348">
      <w:pPr>
        <w:spacing w:before="7" w:line="333" w:lineRule="auto"/>
        <w:ind w:left="11" w:firstLine="643"/>
        <w:rPr>
          <w:rFonts w:hint="eastAsia" w:ascii="宋体" w:hAnsi="宋体" w:cs="宋体"/>
          <w:sz w:val="24"/>
          <w:szCs w:val="24"/>
          <w:highlight w:val="none"/>
        </w:rPr>
      </w:pPr>
      <w:r>
        <w:rPr>
          <w:rFonts w:hint="eastAsia" w:ascii="宋体" w:hAnsi="宋体" w:cs="宋体"/>
          <w:sz w:val="24"/>
          <w:szCs w:val="24"/>
          <w:highlight w:val="none"/>
        </w:rPr>
        <w:t xml:space="preserve">□依据本框架协议第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条约定的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目标，奖惩方式为：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655C6727">
      <w:pPr>
        <w:spacing w:before="1" w:line="256" w:lineRule="auto"/>
        <w:ind w:left="654"/>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45538C50">
      <w:pPr>
        <w:spacing w:before="276" w:line="219" w:lineRule="exact"/>
        <w:ind w:left="656"/>
        <w:rPr>
          <w:rFonts w:hint="eastAsia" w:ascii="宋体" w:hAnsi="宋体" w:cs="宋体"/>
          <w:sz w:val="24"/>
          <w:szCs w:val="24"/>
          <w:highlight w:val="none"/>
        </w:rPr>
      </w:pPr>
      <w:r>
        <w:rPr>
          <w:rFonts w:hint="eastAsia" w:ascii="宋体" w:hAnsi="宋体" w:cs="宋体"/>
          <w:position w:val="-13"/>
          <w:sz w:val="24"/>
          <w:szCs w:val="24"/>
          <w:highlight w:val="none"/>
        </w:rPr>
        <w:t>……</w:t>
      </w:r>
    </w:p>
    <w:p w14:paraId="5312DD27">
      <w:pPr>
        <w:pStyle w:val="8"/>
        <w:spacing w:before="187" w:line="412" w:lineRule="exact"/>
        <w:ind w:left="635"/>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6.1.5 对子合同约定的托管费用计算作出如下限制：</w:t>
      </w:r>
    </w:p>
    <w:p w14:paraId="137DEA32">
      <w:pPr>
        <w:pStyle w:val="8"/>
        <w:spacing w:before="148" w:line="261" w:lineRule="auto"/>
        <w:ind w:left="614"/>
        <w:rPr>
          <w:rFonts w:hint="eastAsia" w:ascii="宋体" w:hAnsi="宋体" w:eastAsia="宋体" w:cs="宋体"/>
          <w:sz w:val="24"/>
          <w:szCs w:val="24"/>
          <w:highlight w:val="none"/>
        </w:rPr>
      </w:pPr>
      <w:r>
        <w:rPr>
          <w:rFonts w:hint="eastAsia" w:ascii="宋体" w:hAnsi="宋体" w:eastAsia="宋体" w:cs="宋体"/>
          <w:sz w:val="24"/>
          <w:szCs w:val="24"/>
          <w:highlight w:val="none"/>
        </w:rPr>
        <w:t>（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2D262FD">
      <w:pPr>
        <w:pStyle w:val="8"/>
        <w:spacing w:before="120" w:line="263" w:lineRule="auto"/>
        <w:ind w:left="614"/>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A613180">
      <w:pPr>
        <w:spacing w:before="273" w:line="220" w:lineRule="exact"/>
        <w:ind w:left="656"/>
        <w:rPr>
          <w:rFonts w:hint="eastAsia" w:ascii="宋体" w:hAnsi="宋体" w:cs="宋体"/>
          <w:sz w:val="24"/>
          <w:szCs w:val="24"/>
          <w:highlight w:val="none"/>
        </w:rPr>
      </w:pPr>
      <w:r>
        <w:rPr>
          <w:rFonts w:hint="eastAsia" w:ascii="宋体" w:hAnsi="宋体" w:cs="宋体"/>
          <w:position w:val="-13"/>
          <w:sz w:val="24"/>
          <w:szCs w:val="24"/>
          <w:highlight w:val="none"/>
        </w:rPr>
        <w:t>……</w:t>
      </w:r>
    </w:p>
    <w:p w14:paraId="218FE98D">
      <w:pPr>
        <w:pStyle w:val="8"/>
        <w:spacing w:before="186" w:line="417" w:lineRule="exact"/>
        <w:ind w:left="635"/>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6.2 托管费用支付方式为：</w:t>
      </w:r>
    </w:p>
    <w:p w14:paraId="41E0A385">
      <w:pPr>
        <w:spacing w:before="153" w:line="241" w:lineRule="auto"/>
        <w:ind w:left="654"/>
        <w:rPr>
          <w:rFonts w:hint="eastAsia" w:ascii="宋体" w:hAnsi="宋体" w:cs="宋体"/>
          <w:sz w:val="24"/>
          <w:szCs w:val="24"/>
          <w:highlight w:val="none"/>
        </w:rPr>
      </w:pPr>
      <w:r>
        <w:rPr>
          <w:rFonts w:hint="eastAsia" w:ascii="宋体" w:hAnsi="宋体" w:cs="宋体"/>
          <w:sz w:val="24"/>
          <w:szCs w:val="24"/>
          <w:highlight w:val="none"/>
        </w:rPr>
        <w:t>□各用能单位各自支付费用。</w:t>
      </w:r>
    </w:p>
    <w:p w14:paraId="51AD04E2">
      <w:pPr>
        <w:spacing w:before="155" w:line="241" w:lineRule="auto"/>
        <w:ind w:left="654"/>
        <w:rPr>
          <w:rFonts w:hint="eastAsia" w:ascii="宋体" w:hAnsi="宋体" w:cs="宋体"/>
          <w:sz w:val="24"/>
          <w:szCs w:val="24"/>
          <w:highlight w:val="none"/>
        </w:rPr>
      </w:pPr>
      <w:r>
        <w:rPr>
          <w:rFonts w:hint="eastAsia" w:ascii="宋体" w:hAnsi="宋体" w:cs="宋体"/>
          <w:sz w:val="24"/>
          <w:szCs w:val="24"/>
          <w:highlight w:val="none"/>
        </w:rPr>
        <w:t>□甲方统一支付各用能单位费用。</w:t>
      </w:r>
    </w:p>
    <w:p w14:paraId="2EF90604">
      <w:pPr>
        <w:spacing w:before="101" w:line="242" w:lineRule="auto"/>
        <w:ind w:left="672"/>
        <w:rPr>
          <w:rFonts w:hint="eastAsia" w:ascii="宋体" w:hAnsi="宋体" w:cs="宋体"/>
          <w:sz w:val="24"/>
          <w:szCs w:val="24"/>
          <w:highlight w:val="none"/>
        </w:rPr>
      </w:pPr>
      <w:r>
        <w:rPr>
          <w:rFonts w:hint="eastAsia" w:ascii="宋体" w:hAnsi="宋体" w:cs="宋体"/>
          <w:sz w:val="24"/>
          <w:szCs w:val="24"/>
          <w:highlight w:val="none"/>
        </w:rPr>
        <w:t>□甲方统一支付部分费用，各用能单位支付其余费用。</w:t>
      </w:r>
    </w:p>
    <w:p w14:paraId="7D99DCAE">
      <w:pPr>
        <w:spacing w:before="101" w:line="242" w:lineRule="auto"/>
        <w:ind w:left="672"/>
        <w:rPr>
          <w:rFonts w:hint="eastAsia" w:ascii="宋体" w:hAnsi="宋体" w:cs="宋体"/>
          <w:sz w:val="24"/>
          <w:szCs w:val="24"/>
          <w:highlight w:val="none"/>
        </w:rPr>
      </w:pPr>
      <w:r>
        <w:rPr>
          <w:rFonts w:hint="eastAsia" w:ascii="宋体" w:hAnsi="宋体" w:cs="宋体"/>
          <w:sz w:val="24"/>
          <w:szCs w:val="24"/>
          <w:highlight w:val="none"/>
        </w:rPr>
        <w:t>□其他：</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470F16CE">
      <w:pPr>
        <w:pStyle w:val="8"/>
        <w:spacing w:before="144" w:line="415" w:lineRule="exact"/>
        <w:ind w:left="653"/>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6.3  费用结算。</w:t>
      </w:r>
    </w:p>
    <w:p w14:paraId="6A673691">
      <w:pPr>
        <w:pStyle w:val="8"/>
        <w:spacing w:before="144" w:line="249" w:lineRule="auto"/>
        <w:ind w:left="653"/>
        <w:rPr>
          <w:rFonts w:hint="eastAsia" w:ascii="宋体" w:hAnsi="宋体" w:eastAsia="宋体" w:cs="宋体"/>
          <w:sz w:val="24"/>
          <w:szCs w:val="24"/>
          <w:highlight w:val="none"/>
        </w:rPr>
      </w:pPr>
      <w:r>
        <w:rPr>
          <w:rFonts w:hint="eastAsia" w:ascii="宋体" w:hAnsi="宋体" w:eastAsia="宋体" w:cs="宋体"/>
          <w:sz w:val="24"/>
          <w:szCs w:val="24"/>
          <w:highlight w:val="none"/>
        </w:rPr>
        <w:t>6.3.1 支付条件的具体约定：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28BDAD1">
      <w:pPr>
        <w:pStyle w:val="8"/>
        <w:spacing w:before="143" w:line="247" w:lineRule="auto"/>
        <w:ind w:left="653"/>
        <w:rPr>
          <w:rFonts w:hint="eastAsia" w:ascii="宋体" w:hAnsi="宋体" w:eastAsia="宋体" w:cs="宋体"/>
          <w:sz w:val="24"/>
          <w:szCs w:val="24"/>
          <w:highlight w:val="none"/>
        </w:rPr>
      </w:pPr>
      <w:r>
        <w:rPr>
          <w:rFonts w:hint="eastAsia" w:ascii="宋体" w:hAnsi="宋体" w:eastAsia="宋体" w:cs="宋体"/>
          <w:sz w:val="24"/>
          <w:szCs w:val="24"/>
          <w:highlight w:val="none"/>
        </w:rPr>
        <w:t>6.3.2 结算周期和甲方付款时间的约定：</w:t>
      </w:r>
      <w:r>
        <w:rPr>
          <w:rFonts w:hint="eastAsia" w:ascii="宋体" w:hAnsi="宋体" w:eastAsia="宋体" w:cs="宋体"/>
          <w:sz w:val="24"/>
          <w:szCs w:val="24"/>
          <w:highlight w:val="none"/>
          <w:u w:val="single"/>
        </w:rPr>
        <w:t xml:space="preserve">              </w:t>
      </w:r>
    </w:p>
    <w:p w14:paraId="569B3150">
      <w:pPr>
        <w:pStyle w:val="8"/>
        <w:spacing w:line="268" w:lineRule="auto"/>
        <w:rPr>
          <w:rFonts w:hint="eastAsia" w:ascii="宋体" w:hAnsi="宋体" w:eastAsia="宋体" w:cs="宋体"/>
          <w:sz w:val="24"/>
          <w:szCs w:val="24"/>
          <w:highlight w:val="none"/>
        </w:rPr>
      </w:pPr>
    </w:p>
    <w:p w14:paraId="6CB88D07">
      <w:pPr>
        <w:tabs>
          <w:tab w:val="left" w:pos="7679"/>
        </w:tabs>
        <w:spacing w:before="100" w:line="97" w:lineRule="auto"/>
        <w:rPr>
          <w:rFonts w:hint="eastAsia" w:ascii="宋体" w:hAnsi="宋体" w:cs="宋体"/>
          <w:sz w:val="24"/>
          <w:szCs w:val="24"/>
          <w:highlight w:val="none"/>
        </w:rPr>
      </w:pPr>
      <w:r>
        <w:rPr>
          <w:rFonts w:hint="eastAsia" w:ascii="宋体" w:hAnsi="宋体" w:cs="宋体"/>
          <w:sz w:val="24"/>
          <w:szCs w:val="24"/>
          <w:highlight w:val="none"/>
          <w:u w:val="single"/>
        </w:rPr>
        <w:tab/>
      </w:r>
      <w:r>
        <w:rPr>
          <w:rFonts w:hint="eastAsia" w:ascii="宋体" w:hAnsi="宋体" w:cs="宋体"/>
          <w:sz w:val="24"/>
          <w:szCs w:val="24"/>
          <w:highlight w:val="none"/>
        </w:rPr>
        <w:t>。</w:t>
      </w:r>
    </w:p>
    <w:p w14:paraId="16024351">
      <w:pPr>
        <w:pStyle w:val="8"/>
        <w:spacing w:before="171" w:line="249" w:lineRule="auto"/>
        <w:ind w:left="653"/>
        <w:rPr>
          <w:rFonts w:hint="eastAsia" w:ascii="宋体" w:hAnsi="宋体" w:eastAsia="宋体" w:cs="宋体"/>
          <w:sz w:val="24"/>
          <w:szCs w:val="24"/>
          <w:highlight w:val="none"/>
        </w:rPr>
      </w:pPr>
      <w:r>
        <w:rPr>
          <w:rFonts w:hint="eastAsia" w:ascii="宋体" w:hAnsi="宋体" w:eastAsia="宋体" w:cs="宋体"/>
          <w:sz w:val="24"/>
          <w:szCs w:val="24"/>
          <w:highlight w:val="none"/>
        </w:rPr>
        <w:t>6.3.3</w:t>
      </w:r>
      <w:r>
        <w:rPr>
          <w:rFonts w:hint="eastAsia" w:ascii="宋体" w:hAnsi="宋体" w:eastAsia="宋体" w:cs="宋体"/>
          <w:w w:val="101"/>
          <w:sz w:val="24"/>
          <w:szCs w:val="24"/>
          <w:highlight w:val="none"/>
        </w:rPr>
        <w:t xml:space="preserve"> </w:t>
      </w:r>
      <w:r>
        <w:rPr>
          <w:rFonts w:hint="eastAsia" w:ascii="宋体" w:hAnsi="宋体" w:eastAsia="宋体" w:cs="宋体"/>
          <w:sz w:val="24"/>
          <w:szCs w:val="24"/>
          <w:highlight w:val="none"/>
        </w:rPr>
        <w:t>乙方开具发票的约定：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966CD12">
      <w:pPr>
        <w:pStyle w:val="8"/>
        <w:spacing w:before="171" w:line="249" w:lineRule="auto"/>
        <w:ind w:left="653"/>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6.3.4 本项 目 □不由乙方代缴水费、电费等能源资源费用 /</w:t>
      </w:r>
    </w:p>
    <w:p w14:paraId="093ED67E">
      <w:pPr>
        <w:pStyle w:val="8"/>
        <w:spacing w:before="145" w:line="335" w:lineRule="auto"/>
        <w:ind w:left="20" w:firstLine="11"/>
        <w:rPr>
          <w:rFonts w:hint="eastAsia" w:ascii="宋体" w:hAnsi="宋体" w:eastAsia="宋体" w:cs="宋体"/>
          <w:sz w:val="24"/>
          <w:szCs w:val="24"/>
          <w:highlight w:val="none"/>
        </w:rPr>
      </w:pPr>
      <w:r>
        <w:rPr>
          <w:rFonts w:hint="eastAsia" w:ascii="宋体" w:hAnsi="宋体" w:eastAsia="宋体" w:cs="宋体"/>
          <w:sz w:val="24"/>
          <w:szCs w:val="24"/>
          <w:highlight w:val="none"/>
        </w:rPr>
        <w:t>□由乙方代缴水费、电费等能源资源费用 /  □部分由乙方代缴水费、电费等能源资源费用，具体约定：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507D093">
      <w:pPr>
        <w:pStyle w:val="8"/>
        <w:spacing w:line="449" w:lineRule="auto"/>
        <w:rPr>
          <w:rFonts w:hint="eastAsia" w:ascii="宋体" w:hAnsi="宋体" w:eastAsia="宋体" w:cs="宋体"/>
          <w:sz w:val="24"/>
          <w:szCs w:val="24"/>
          <w:highlight w:val="none"/>
        </w:rPr>
      </w:pPr>
    </w:p>
    <w:p w14:paraId="25A4E2BD">
      <w:pPr>
        <w:pStyle w:val="5"/>
        <w:rPr>
          <w:rFonts w:hint="eastAsia" w:ascii="宋体" w:hAnsi="宋体" w:eastAsia="宋体" w:cs="宋体"/>
          <w:sz w:val="24"/>
          <w:szCs w:val="24"/>
          <w:highlight w:val="none"/>
        </w:rPr>
      </w:pPr>
      <w:bookmarkStart w:id="218" w:name="_Toc1968572038"/>
      <w:r>
        <w:rPr>
          <w:rFonts w:hint="eastAsia" w:ascii="宋体" w:hAnsi="宋体" w:eastAsia="宋体" w:cs="宋体"/>
          <w:position w:val="1"/>
          <w:sz w:val="24"/>
          <w:szCs w:val="24"/>
          <w:highlight w:val="none"/>
        </w:rPr>
        <w:t>第 7 节  双方的权利与义务</w:t>
      </w:r>
      <w:bookmarkEnd w:id="218"/>
    </w:p>
    <w:p w14:paraId="070DD32B">
      <w:pPr>
        <w:pStyle w:val="8"/>
        <w:spacing w:before="150" w:line="418" w:lineRule="exact"/>
        <w:ind w:left="652"/>
        <w:rPr>
          <w:rFonts w:hint="eastAsia" w:ascii="宋体" w:hAnsi="宋体" w:eastAsia="宋体" w:cs="宋体"/>
          <w:sz w:val="24"/>
          <w:szCs w:val="24"/>
          <w:highlight w:val="none"/>
        </w:rPr>
      </w:pPr>
      <w:r>
        <w:rPr>
          <w:rFonts w:hint="eastAsia" w:ascii="宋体" w:hAnsi="宋体" w:eastAsia="宋体" w:cs="宋体"/>
          <w:position w:val="2"/>
          <w:sz w:val="24"/>
          <w:szCs w:val="24"/>
          <w:highlight w:val="none"/>
        </w:rPr>
        <w:t>7.1 甲方的权利义务。</w:t>
      </w:r>
    </w:p>
    <w:p w14:paraId="7ABD0361">
      <w:pPr>
        <w:pStyle w:val="8"/>
        <w:spacing w:before="143" w:line="333" w:lineRule="auto"/>
        <w:ind w:left="16" w:firstLine="635"/>
        <w:rPr>
          <w:rFonts w:hint="eastAsia" w:ascii="宋体" w:hAnsi="宋体" w:eastAsia="宋体" w:cs="宋体"/>
          <w:sz w:val="24"/>
          <w:szCs w:val="24"/>
          <w:highlight w:val="none"/>
        </w:rPr>
      </w:pPr>
      <w:r>
        <w:rPr>
          <w:rFonts w:hint="eastAsia" w:ascii="宋体" w:hAnsi="宋体" w:eastAsia="宋体" w:cs="宋体"/>
          <w:sz w:val="24"/>
          <w:szCs w:val="24"/>
          <w:highlight w:val="none"/>
        </w:rPr>
        <w:t>7.1.1 有权对乙方履约质量、进度、安全进行监督检查，并提出书面整改意见。</w:t>
      </w:r>
    </w:p>
    <w:p w14:paraId="63220BFF">
      <w:pPr>
        <w:pStyle w:val="8"/>
        <w:spacing w:before="3" w:line="333" w:lineRule="auto"/>
        <w:ind w:left="16" w:firstLine="635"/>
        <w:rPr>
          <w:rFonts w:hint="eastAsia" w:ascii="宋体" w:hAnsi="宋体" w:eastAsia="宋体" w:cs="宋体"/>
          <w:sz w:val="24"/>
          <w:szCs w:val="24"/>
          <w:highlight w:val="none"/>
        </w:rPr>
      </w:pPr>
      <w:r>
        <w:rPr>
          <w:rFonts w:hint="eastAsia" w:ascii="宋体" w:hAnsi="宋体" w:eastAsia="宋体" w:cs="宋体"/>
          <w:sz w:val="24"/>
          <w:szCs w:val="24"/>
          <w:highlight w:val="none"/>
        </w:rPr>
        <w:t>7.1.2 因正常运行或服务保障需要 ，有权以书面通知的形式对乙方提出包括子项目在内的项目范围、边界条件等方面的合理调整建议，双方协商一致后签署补充协议。</w:t>
      </w:r>
    </w:p>
    <w:p w14:paraId="5A9EBC13">
      <w:pPr>
        <w:pStyle w:val="8"/>
        <w:spacing w:before="5" w:line="333" w:lineRule="auto"/>
        <w:ind w:left="25" w:firstLine="62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7.1.3 乙方出现严重违约或破产、解散、被吊销营业执照等情形时，有权书面通知乙方后单方接管项目现场及设施，并要求乙方在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个工作 日 内移交全部技术资料、钥匙、软件账号密码及运维手册等。</w:t>
      </w:r>
    </w:p>
    <w:p w14:paraId="4FAC1D3B">
      <w:pPr>
        <w:spacing w:before="101" w:line="330" w:lineRule="auto"/>
        <w:ind w:left="7" w:hanging="7"/>
        <w:rPr>
          <w:rFonts w:hint="eastAsia" w:ascii="宋体" w:hAnsi="宋体" w:cs="宋体"/>
          <w:sz w:val="24"/>
          <w:szCs w:val="24"/>
          <w:highlight w:val="none"/>
        </w:rPr>
      </w:pPr>
      <w:r>
        <w:rPr>
          <w:rFonts w:hint="eastAsia" w:ascii="宋体" w:hAnsi="宋体" w:cs="宋体"/>
          <w:sz w:val="24"/>
          <w:szCs w:val="24"/>
          <w:highlight w:val="none"/>
        </w:rPr>
        <w:t>7.1.4 根据项目方案的约定，组织各个用能单位为乙方或乙方聘请的第三方提供本项目节能改造所需要的资料、数据和现场条件，及时迁移清运纳入改造范围的原有设备，并为项 目的改造、维护、运营及检测、维修项目设施和设备提供必要的协助。</w:t>
      </w:r>
    </w:p>
    <w:p w14:paraId="2C136412">
      <w:pPr>
        <w:pStyle w:val="8"/>
        <w:spacing w:before="2" w:line="334" w:lineRule="auto"/>
        <w:ind w:left="64" w:right="126" w:firstLine="568"/>
        <w:rPr>
          <w:rFonts w:hint="eastAsia" w:ascii="宋体" w:hAnsi="宋体" w:eastAsia="宋体" w:cs="宋体"/>
          <w:sz w:val="24"/>
          <w:szCs w:val="24"/>
          <w:highlight w:val="none"/>
        </w:rPr>
      </w:pPr>
      <w:r>
        <w:rPr>
          <w:rFonts w:hint="eastAsia" w:ascii="宋体" w:hAnsi="宋体" w:eastAsia="宋体" w:cs="宋体"/>
          <w:sz w:val="24"/>
          <w:szCs w:val="24"/>
          <w:highlight w:val="none"/>
        </w:rPr>
        <w:t>7.1.5 组织各个用能单位办理需由甲方或用能单位办理的项目所需的：</w:t>
      </w:r>
    </w:p>
    <w:p w14:paraId="18199C45">
      <w:pPr>
        <w:spacing w:before="5" w:line="407" w:lineRule="exact"/>
        <w:ind w:left="653"/>
        <w:rPr>
          <w:rFonts w:hint="eastAsia" w:ascii="宋体" w:hAnsi="宋体" w:cs="宋体"/>
          <w:sz w:val="24"/>
          <w:szCs w:val="24"/>
          <w:highlight w:val="none"/>
        </w:rPr>
      </w:pPr>
      <w:r>
        <w:rPr>
          <w:rFonts w:hint="eastAsia" w:ascii="宋体" w:hAnsi="宋体" w:cs="宋体"/>
          <w:position w:val="1"/>
          <w:sz w:val="24"/>
          <w:szCs w:val="24"/>
          <w:highlight w:val="none"/>
        </w:rPr>
        <w:t>□政府许可。</w:t>
      </w:r>
    </w:p>
    <w:p w14:paraId="078BDDD0">
      <w:pPr>
        <w:spacing w:before="154" w:line="408" w:lineRule="exact"/>
        <w:ind w:left="653"/>
        <w:rPr>
          <w:rFonts w:hint="eastAsia" w:ascii="宋体" w:hAnsi="宋体" w:cs="宋体"/>
          <w:sz w:val="24"/>
          <w:szCs w:val="24"/>
          <w:highlight w:val="none"/>
        </w:rPr>
      </w:pPr>
      <w:r>
        <w:rPr>
          <w:rFonts w:hint="eastAsia" w:ascii="宋体" w:hAnsi="宋体" w:cs="宋体"/>
          <w:position w:val="1"/>
          <w:sz w:val="24"/>
          <w:szCs w:val="24"/>
          <w:highlight w:val="none"/>
        </w:rPr>
        <w:t>□备案。</w:t>
      </w:r>
    </w:p>
    <w:p w14:paraId="166D2C22">
      <w:pPr>
        <w:spacing w:before="150" w:line="408" w:lineRule="exact"/>
        <w:ind w:left="653"/>
        <w:rPr>
          <w:rFonts w:hint="eastAsia" w:ascii="宋体" w:hAnsi="宋体" w:cs="宋体"/>
          <w:sz w:val="24"/>
          <w:szCs w:val="24"/>
          <w:highlight w:val="none"/>
        </w:rPr>
      </w:pPr>
      <w:r>
        <w:rPr>
          <w:rFonts w:hint="eastAsia" w:ascii="宋体" w:hAnsi="宋体" w:cs="宋体"/>
          <w:position w:val="1"/>
          <w:sz w:val="24"/>
          <w:szCs w:val="24"/>
          <w:highlight w:val="none"/>
        </w:rPr>
        <w:t>□审批文件。</w:t>
      </w:r>
    </w:p>
    <w:p w14:paraId="7899F42F">
      <w:pPr>
        <w:spacing w:before="152" w:line="256" w:lineRule="auto"/>
        <w:ind w:left="653"/>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2B6B1176">
      <w:pPr>
        <w:spacing w:before="277" w:line="219" w:lineRule="exact"/>
        <w:ind w:left="655"/>
        <w:rPr>
          <w:rFonts w:hint="eastAsia" w:ascii="宋体" w:hAnsi="宋体" w:cs="宋体"/>
          <w:sz w:val="24"/>
          <w:szCs w:val="24"/>
          <w:highlight w:val="none"/>
        </w:rPr>
      </w:pPr>
      <w:r>
        <w:rPr>
          <w:rFonts w:hint="eastAsia" w:ascii="宋体" w:hAnsi="宋体" w:cs="宋体"/>
          <w:position w:val="-13"/>
          <w:sz w:val="24"/>
          <w:szCs w:val="24"/>
          <w:highlight w:val="none"/>
        </w:rPr>
        <w:t>……</w:t>
      </w:r>
    </w:p>
    <w:p w14:paraId="05F595F7">
      <w:pPr>
        <w:spacing w:before="196" w:line="330" w:lineRule="auto"/>
        <w:ind w:left="4" w:right="123" w:firstLine="642"/>
        <w:rPr>
          <w:rFonts w:hint="eastAsia" w:ascii="宋体" w:hAnsi="宋体" w:cs="宋体"/>
          <w:sz w:val="24"/>
          <w:szCs w:val="24"/>
          <w:highlight w:val="none"/>
        </w:rPr>
      </w:pPr>
      <w:r>
        <w:rPr>
          <w:rFonts w:hint="eastAsia" w:ascii="宋体" w:hAnsi="宋体" w:cs="宋体"/>
          <w:sz w:val="24"/>
          <w:szCs w:val="24"/>
          <w:highlight w:val="none"/>
        </w:rPr>
        <w:t>并协助乙方取得乙方为完成本项目节能改造、运行管理等阶段需自行申请的同类文件。</w:t>
      </w:r>
    </w:p>
    <w:p w14:paraId="09ECF4B0">
      <w:pPr>
        <w:pStyle w:val="8"/>
        <w:spacing w:before="3" w:line="333" w:lineRule="auto"/>
        <w:ind w:left="17" w:right="49" w:firstLine="615"/>
        <w:rPr>
          <w:rFonts w:hint="eastAsia" w:ascii="宋体" w:hAnsi="宋体" w:eastAsia="宋体" w:cs="宋体"/>
          <w:sz w:val="24"/>
          <w:szCs w:val="24"/>
          <w:highlight w:val="none"/>
        </w:rPr>
      </w:pPr>
      <w:r>
        <w:rPr>
          <w:rFonts w:hint="eastAsia" w:ascii="宋体" w:hAnsi="宋体" w:eastAsia="宋体" w:cs="宋体"/>
          <w:sz w:val="24"/>
          <w:szCs w:val="24"/>
          <w:highlight w:val="none"/>
        </w:rPr>
        <w:t>7.1.6 协助乙方向有关政府机构或组织申请可由乙方申请的与项目相关的补助、奖励、税收减免或其他可适用的优惠政策。</w:t>
      </w:r>
    </w:p>
    <w:p w14:paraId="085301BD">
      <w:pPr>
        <w:pStyle w:val="8"/>
        <w:spacing w:before="2" w:line="333" w:lineRule="auto"/>
        <w:ind w:left="18" w:right="124" w:firstLine="614"/>
        <w:rPr>
          <w:rFonts w:hint="eastAsia" w:ascii="宋体" w:hAnsi="宋体" w:eastAsia="宋体" w:cs="宋体"/>
          <w:sz w:val="24"/>
          <w:szCs w:val="24"/>
          <w:highlight w:val="none"/>
        </w:rPr>
      </w:pPr>
      <w:r>
        <w:rPr>
          <w:rFonts w:hint="eastAsia" w:ascii="宋体" w:hAnsi="宋体" w:eastAsia="宋体" w:cs="宋体"/>
          <w:sz w:val="24"/>
          <w:szCs w:val="24"/>
          <w:highlight w:val="none"/>
        </w:rPr>
        <w:t>7.1.7 与 乙方共同开展或配合甲乙双方认可的第三方开展节能量测算和评估。</w:t>
      </w:r>
    </w:p>
    <w:p w14:paraId="54AA225E">
      <w:pPr>
        <w:pStyle w:val="8"/>
        <w:spacing w:line="333" w:lineRule="auto"/>
        <w:ind w:right="124" w:firstLine="633"/>
        <w:rPr>
          <w:rFonts w:hint="eastAsia" w:ascii="宋体" w:hAnsi="宋体" w:eastAsia="宋体" w:cs="宋体"/>
          <w:sz w:val="24"/>
          <w:szCs w:val="24"/>
          <w:highlight w:val="none"/>
        </w:rPr>
      </w:pPr>
      <w:r>
        <w:rPr>
          <w:rFonts w:hint="eastAsia" w:ascii="宋体" w:hAnsi="宋体" w:eastAsia="宋体" w:cs="宋体"/>
          <w:sz w:val="24"/>
          <w:szCs w:val="24"/>
          <w:highlight w:val="none"/>
        </w:rPr>
        <w:t>7.1.8 根据项目方案约定进行项目试运行和验收，并提供确认试运行正常的验收文件。</w:t>
      </w:r>
    </w:p>
    <w:p w14:paraId="3B23A6E4">
      <w:pPr>
        <w:pStyle w:val="8"/>
        <w:spacing w:before="3" w:line="333" w:lineRule="auto"/>
        <w:ind w:left="4" w:right="123" w:firstLine="628"/>
        <w:rPr>
          <w:rFonts w:hint="eastAsia" w:ascii="宋体" w:hAnsi="宋体" w:eastAsia="宋体" w:cs="宋体"/>
          <w:sz w:val="24"/>
          <w:szCs w:val="24"/>
          <w:highlight w:val="none"/>
        </w:rPr>
      </w:pPr>
      <w:r>
        <w:rPr>
          <w:rFonts w:hint="eastAsia" w:ascii="宋体" w:hAnsi="宋体" w:eastAsia="宋体" w:cs="宋体"/>
          <w:sz w:val="24"/>
          <w:szCs w:val="24"/>
          <w:highlight w:val="none"/>
        </w:rPr>
        <w:t>7.1.9 如节能设施或设备发生故障、损坏或丢失，应在获知相应信息后，及时通知乙方，配合乙方对设备进行维修维护，并有义务采取必要措施防止损失扩大。</w:t>
      </w:r>
    </w:p>
    <w:p w14:paraId="45168A48">
      <w:pPr>
        <w:pStyle w:val="8"/>
        <w:spacing w:before="2" w:line="333" w:lineRule="auto"/>
        <w:ind w:left="29" w:right="126" w:firstLine="603"/>
        <w:rPr>
          <w:rFonts w:hint="eastAsia" w:ascii="宋体" w:hAnsi="宋体" w:eastAsia="宋体" w:cs="宋体"/>
          <w:sz w:val="24"/>
          <w:szCs w:val="24"/>
          <w:highlight w:val="none"/>
        </w:rPr>
      </w:pPr>
      <w:r>
        <w:rPr>
          <w:rFonts w:hint="eastAsia" w:ascii="宋体" w:hAnsi="宋体" w:eastAsia="宋体" w:cs="宋体"/>
          <w:sz w:val="24"/>
          <w:szCs w:val="24"/>
          <w:highlight w:val="none"/>
        </w:rPr>
        <w:t>7.1.10 将与项目有关的内部规章制度和特殊安全规定要求及时告知乙方或乙方聘请的第三方，并根据需要提供防护用品。</w:t>
      </w:r>
    </w:p>
    <w:p w14:paraId="2647FF0A">
      <w:pPr>
        <w:spacing w:before="101" w:line="242" w:lineRule="auto"/>
        <w:ind w:left="7"/>
        <w:rPr>
          <w:rFonts w:hint="eastAsia" w:ascii="宋体" w:hAnsi="宋体" w:cs="宋体"/>
          <w:sz w:val="24"/>
          <w:szCs w:val="24"/>
          <w:highlight w:val="none"/>
        </w:rPr>
      </w:pPr>
      <w:r>
        <w:rPr>
          <w:rFonts w:hint="eastAsia" w:ascii="宋体" w:hAnsi="宋体" w:cs="宋体"/>
          <w:position w:val="1"/>
          <w:sz w:val="24"/>
          <w:szCs w:val="24"/>
          <w:highlight w:val="none"/>
        </w:rPr>
        <w:t>7.1.11 开展节能宣传教育，使本项目相关人员提高节能意识、</w:t>
      </w:r>
      <w:r>
        <w:rPr>
          <w:rFonts w:hint="eastAsia" w:ascii="宋体" w:hAnsi="宋体" w:cs="宋体"/>
          <w:sz w:val="24"/>
          <w:szCs w:val="24"/>
          <w:highlight w:val="none"/>
        </w:rPr>
        <w:t>增长节能知识、增强节能能力。</w:t>
      </w:r>
    </w:p>
    <w:p w14:paraId="4B2234FA">
      <w:pPr>
        <w:pStyle w:val="8"/>
        <w:spacing w:before="143" w:line="334" w:lineRule="auto"/>
        <w:ind w:left="48" w:right="97" w:firstLine="589"/>
        <w:rPr>
          <w:rFonts w:hint="eastAsia" w:ascii="宋体" w:hAnsi="宋体" w:eastAsia="宋体" w:cs="宋体"/>
          <w:sz w:val="24"/>
          <w:szCs w:val="24"/>
          <w:highlight w:val="none"/>
        </w:rPr>
      </w:pPr>
      <w:r>
        <w:rPr>
          <w:rFonts w:hint="eastAsia" w:ascii="宋体" w:hAnsi="宋体" w:eastAsia="宋体" w:cs="宋体"/>
          <w:sz w:val="24"/>
          <w:szCs w:val="24"/>
          <w:highlight w:val="none"/>
        </w:rPr>
        <w:t>7.1.12 按照本框架协议的约定，及时向乙方或组织用能单位向乙方付款。</w:t>
      </w:r>
    </w:p>
    <w:p w14:paraId="121A40B3">
      <w:pPr>
        <w:pStyle w:val="8"/>
        <w:spacing w:line="333" w:lineRule="auto"/>
        <w:ind w:left="31" w:right="100" w:firstLine="607"/>
        <w:rPr>
          <w:rFonts w:hint="eastAsia" w:ascii="宋体" w:hAnsi="宋体" w:eastAsia="宋体" w:cs="宋体"/>
          <w:sz w:val="24"/>
          <w:szCs w:val="24"/>
          <w:highlight w:val="none"/>
        </w:rPr>
      </w:pPr>
      <w:r>
        <w:rPr>
          <w:rFonts w:hint="eastAsia" w:ascii="宋体" w:hAnsi="宋体" w:eastAsia="宋体" w:cs="宋体"/>
          <w:sz w:val="24"/>
          <w:szCs w:val="24"/>
          <w:highlight w:val="none"/>
        </w:rPr>
        <w:t>7.1.13 组织用能单位为乙方或乙方聘请的第三方现场办公人员提供必要的办公条件。</w:t>
      </w:r>
    </w:p>
    <w:p w14:paraId="38335040">
      <w:pPr>
        <w:pStyle w:val="8"/>
        <w:spacing w:before="2" w:line="333" w:lineRule="auto"/>
        <w:ind w:right="97" w:firstLine="638"/>
        <w:rPr>
          <w:rFonts w:hint="eastAsia" w:ascii="宋体" w:hAnsi="宋体" w:eastAsia="宋体" w:cs="宋体"/>
          <w:sz w:val="24"/>
          <w:szCs w:val="24"/>
          <w:highlight w:val="none"/>
        </w:rPr>
      </w:pPr>
      <w:r>
        <w:rPr>
          <w:rFonts w:hint="eastAsia" w:ascii="宋体" w:hAnsi="宋体" w:eastAsia="宋体" w:cs="宋体"/>
          <w:sz w:val="24"/>
          <w:szCs w:val="24"/>
          <w:highlight w:val="none"/>
        </w:rPr>
        <w:t>7.1.14 组织用能单位督导物业管理单位配合乙方执行节能降碳运行策略或节能管理办法，纠正物业管理单位能源资源浪费行为。</w:t>
      </w:r>
    </w:p>
    <w:p w14:paraId="54BF3B65">
      <w:pPr>
        <w:pStyle w:val="8"/>
        <w:spacing w:before="2" w:line="333" w:lineRule="auto"/>
        <w:ind w:left="5" w:right="97" w:firstLine="633"/>
        <w:rPr>
          <w:rFonts w:hint="eastAsia" w:ascii="宋体" w:hAnsi="宋体" w:eastAsia="宋体" w:cs="宋体"/>
          <w:sz w:val="24"/>
          <w:szCs w:val="24"/>
          <w:highlight w:val="none"/>
        </w:rPr>
      </w:pPr>
      <w:r>
        <w:rPr>
          <w:rFonts w:hint="eastAsia" w:ascii="宋体" w:hAnsi="宋体" w:eastAsia="宋体" w:cs="宋体"/>
          <w:sz w:val="24"/>
          <w:szCs w:val="24"/>
          <w:highlight w:val="none"/>
        </w:rPr>
        <w:t>7.1.15 组织用能单位协助乙方做好新增用能设备的统计、确认工作。</w:t>
      </w:r>
    </w:p>
    <w:p w14:paraId="0A18D2B0">
      <w:pPr>
        <w:pStyle w:val="8"/>
        <w:spacing w:line="416" w:lineRule="exact"/>
        <w:ind w:left="638"/>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7.2 乙方的权利义务。</w:t>
      </w:r>
    </w:p>
    <w:p w14:paraId="08F5CE92">
      <w:pPr>
        <w:pStyle w:val="8"/>
        <w:spacing w:before="146" w:line="333" w:lineRule="auto"/>
        <w:ind w:left="3" w:firstLine="634"/>
        <w:rPr>
          <w:rFonts w:hint="eastAsia" w:ascii="宋体" w:hAnsi="宋体" w:eastAsia="宋体" w:cs="宋体"/>
          <w:sz w:val="24"/>
          <w:szCs w:val="24"/>
          <w:highlight w:val="none"/>
        </w:rPr>
      </w:pPr>
      <w:r>
        <w:rPr>
          <w:rFonts w:hint="eastAsia" w:ascii="宋体" w:hAnsi="宋体" w:eastAsia="宋体" w:cs="宋体"/>
          <w:sz w:val="24"/>
          <w:szCs w:val="24"/>
          <w:highlight w:val="none"/>
        </w:rPr>
        <w:t>7.2.1  有权拒绝甲方或用能单位及其员工、关联方的违规指挥、强令冒险作业及超出合同约定的使用方式，并书面记录在案，因此造成的工期延误和额外成本由甲方承担。</w:t>
      </w:r>
    </w:p>
    <w:p w14:paraId="049F3E6D">
      <w:pPr>
        <w:pStyle w:val="8"/>
        <w:spacing w:before="2" w:line="333" w:lineRule="auto"/>
        <w:ind w:left="19" w:right="23" w:firstLine="618"/>
        <w:rPr>
          <w:rFonts w:hint="eastAsia" w:ascii="宋体" w:hAnsi="宋体" w:eastAsia="宋体" w:cs="宋体"/>
          <w:sz w:val="24"/>
          <w:szCs w:val="24"/>
          <w:highlight w:val="none"/>
        </w:rPr>
      </w:pPr>
      <w:r>
        <w:rPr>
          <w:rFonts w:hint="eastAsia" w:ascii="宋体" w:hAnsi="宋体" w:eastAsia="宋体" w:cs="宋体"/>
          <w:sz w:val="24"/>
          <w:szCs w:val="24"/>
          <w:highlight w:val="none"/>
        </w:rPr>
        <w:t>7.2.2  按照项目方案约定的技术标准和要求及本框架协议的约定，按时保质完成本项 目的方案设计、改造、运营以及维护。</w:t>
      </w:r>
    </w:p>
    <w:p w14:paraId="20A967C6">
      <w:pPr>
        <w:pStyle w:val="8"/>
        <w:spacing w:before="2" w:line="333" w:lineRule="auto"/>
        <w:ind w:left="3" w:right="100" w:firstLine="634"/>
        <w:rPr>
          <w:rFonts w:hint="eastAsia" w:ascii="宋体" w:hAnsi="宋体" w:eastAsia="宋体" w:cs="宋体"/>
          <w:sz w:val="24"/>
          <w:szCs w:val="24"/>
          <w:highlight w:val="none"/>
        </w:rPr>
      </w:pPr>
      <w:r>
        <w:rPr>
          <w:rFonts w:hint="eastAsia" w:ascii="宋体" w:hAnsi="宋体" w:eastAsia="宋体" w:cs="宋体"/>
          <w:sz w:val="24"/>
          <w:szCs w:val="24"/>
          <w:highlight w:val="none"/>
        </w:rPr>
        <w:t>7.2.3  根据相关法律法规的要求， 申请除应由甲方及用能单位申请之外的有关项 目的许可、备案、审批。</w:t>
      </w:r>
    </w:p>
    <w:p w14:paraId="1CCD9D96">
      <w:pPr>
        <w:pStyle w:val="8"/>
        <w:spacing w:before="3" w:line="333" w:lineRule="auto"/>
        <w:ind w:left="5" w:right="100" w:firstLine="633"/>
        <w:rPr>
          <w:rFonts w:hint="eastAsia" w:ascii="宋体" w:hAnsi="宋体" w:eastAsia="宋体" w:cs="宋体"/>
          <w:sz w:val="24"/>
          <w:szCs w:val="24"/>
          <w:highlight w:val="none"/>
        </w:rPr>
      </w:pPr>
      <w:r>
        <w:rPr>
          <w:rFonts w:hint="eastAsia" w:ascii="宋体" w:hAnsi="宋体" w:eastAsia="宋体" w:cs="宋体"/>
          <w:sz w:val="24"/>
          <w:szCs w:val="24"/>
          <w:highlight w:val="none"/>
        </w:rPr>
        <w:t>7.2.4  协助甲方及用能单位向有关政府机构或组织申请可由甲方申请的与项目相关的补助、奖励、税收减免或其他可适用的优惠政策。</w:t>
      </w:r>
    </w:p>
    <w:p w14:paraId="6AE5E5D7">
      <w:pPr>
        <w:spacing w:before="101" w:line="330" w:lineRule="auto"/>
        <w:ind w:left="20" w:hanging="14"/>
        <w:rPr>
          <w:rFonts w:hint="eastAsia" w:ascii="宋体" w:hAnsi="宋体" w:cs="宋体"/>
          <w:sz w:val="24"/>
          <w:szCs w:val="24"/>
          <w:highlight w:val="none"/>
        </w:rPr>
      </w:pPr>
      <w:r>
        <w:rPr>
          <w:rFonts w:hint="eastAsia" w:ascii="宋体" w:hAnsi="宋体" w:cs="宋体"/>
          <w:sz w:val="24"/>
          <w:szCs w:val="24"/>
          <w:highlight w:val="none"/>
        </w:rPr>
        <w:t>7.2.5  确保其工作人员和聘请的第三方安装和调试相关设备、设施符合国家、行业有关施工管理法律法规和相关技术标准规范要求，以及甲方及用能单位提出的合理施工、管理要求，遵守甲方及用能单位制度规定及合理的现场指挥。</w:t>
      </w:r>
    </w:p>
    <w:p w14:paraId="6CEE6A95">
      <w:pPr>
        <w:pStyle w:val="8"/>
        <w:spacing w:before="2" w:line="333" w:lineRule="auto"/>
        <w:ind w:left="37" w:right="63" w:firstLine="597"/>
        <w:rPr>
          <w:rFonts w:hint="eastAsia" w:ascii="宋体" w:hAnsi="宋体" w:eastAsia="宋体" w:cs="宋体"/>
          <w:sz w:val="24"/>
          <w:szCs w:val="24"/>
          <w:highlight w:val="none"/>
        </w:rPr>
      </w:pPr>
      <w:r>
        <w:rPr>
          <w:rFonts w:hint="eastAsia" w:ascii="宋体" w:hAnsi="宋体" w:eastAsia="宋体" w:cs="宋体"/>
          <w:sz w:val="24"/>
          <w:szCs w:val="24"/>
          <w:highlight w:val="none"/>
        </w:rPr>
        <w:t>7.2.6  对甲方及用能单位指派的操作人员进行适当的培训，以使其能承担必要的操作和设施维护要求。</w:t>
      </w:r>
    </w:p>
    <w:p w14:paraId="74D2DEE4">
      <w:pPr>
        <w:pStyle w:val="8"/>
        <w:spacing w:before="2" w:line="333" w:lineRule="auto"/>
        <w:ind w:left="24" w:firstLine="60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7.2.7  按照有关规定对设备进行操作、维护和保养、定期作出记录并妥善保存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年，并在甲方及用能单位合理要求范围内及时提供该记录。</w:t>
      </w:r>
    </w:p>
    <w:p w14:paraId="283BB16C">
      <w:pPr>
        <w:pStyle w:val="8"/>
        <w:spacing w:before="2" w:line="333" w:lineRule="auto"/>
        <w:ind w:firstLine="634"/>
        <w:rPr>
          <w:rFonts w:hint="eastAsia" w:ascii="宋体" w:hAnsi="宋体" w:eastAsia="宋体" w:cs="宋体"/>
          <w:sz w:val="24"/>
          <w:szCs w:val="24"/>
          <w:highlight w:val="none"/>
        </w:rPr>
      </w:pPr>
      <w:r>
        <w:rPr>
          <w:rFonts w:hint="eastAsia" w:ascii="宋体" w:hAnsi="宋体" w:eastAsia="宋体" w:cs="宋体"/>
          <w:sz w:val="24"/>
          <w:szCs w:val="24"/>
          <w:highlight w:val="none"/>
        </w:rPr>
        <w:t>7.2.8  在接到甲方及用能单位关于项目运行故障的通知后，在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的时间内做出响应，并根据合同约定及时完成相关维修或设备更换。</w:t>
      </w:r>
    </w:p>
    <w:p w14:paraId="5F36F6D3">
      <w:pPr>
        <w:pStyle w:val="8"/>
        <w:spacing w:before="2" w:line="333" w:lineRule="auto"/>
        <w:ind w:left="18" w:firstLine="615"/>
        <w:rPr>
          <w:rFonts w:hint="eastAsia" w:ascii="宋体" w:hAnsi="宋体" w:eastAsia="宋体" w:cs="宋体"/>
          <w:sz w:val="24"/>
          <w:szCs w:val="24"/>
          <w:highlight w:val="none"/>
        </w:rPr>
      </w:pPr>
      <w:r>
        <w:rPr>
          <w:rFonts w:hint="eastAsia" w:ascii="宋体" w:hAnsi="宋体" w:eastAsia="宋体" w:cs="宋体"/>
          <w:sz w:val="24"/>
          <w:szCs w:val="24"/>
          <w:highlight w:val="none"/>
        </w:rPr>
        <w:t>7.2.9  与 甲方及用能单位共同开展或配合甲乙双方认可的第三方机构开展节能量测算和评估。</w:t>
      </w:r>
    </w:p>
    <w:p w14:paraId="38F2C7CE">
      <w:pPr>
        <w:pStyle w:val="8"/>
        <w:spacing w:before="2" w:line="333" w:lineRule="auto"/>
        <w:ind w:left="2" w:firstLine="631"/>
        <w:rPr>
          <w:rFonts w:hint="eastAsia" w:ascii="宋体" w:hAnsi="宋体" w:eastAsia="宋体" w:cs="宋体"/>
          <w:sz w:val="24"/>
          <w:szCs w:val="24"/>
          <w:highlight w:val="none"/>
        </w:rPr>
      </w:pPr>
      <w:r>
        <w:rPr>
          <w:rFonts w:hint="eastAsia" w:ascii="宋体" w:hAnsi="宋体" w:eastAsia="宋体" w:cs="宋体"/>
          <w:sz w:val="24"/>
          <w:szCs w:val="24"/>
          <w:highlight w:val="none"/>
        </w:rPr>
        <w:t>7.2.10  建立健全数据安全管理制度，明确数据全生命周期各环节的管理要求；利用互联网等信息网络处理数据的，应当落实甲方及其管理部门明确的网络安全等级保护、关键信息基础设施安全保护、密码保护和保密等制度要求。</w:t>
      </w:r>
    </w:p>
    <w:p w14:paraId="3E9D4D18">
      <w:pPr>
        <w:pStyle w:val="8"/>
        <w:spacing w:line="414" w:lineRule="exact"/>
        <w:ind w:left="634"/>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7.2.11 配合甲方及用能单位开展节能宣传教育。</w:t>
      </w:r>
    </w:p>
    <w:p w14:paraId="7BE17954">
      <w:pPr>
        <w:pStyle w:val="8"/>
        <w:spacing w:line="300" w:lineRule="auto"/>
        <w:rPr>
          <w:rFonts w:hint="eastAsia" w:ascii="宋体" w:hAnsi="宋体" w:eastAsia="宋体" w:cs="宋体"/>
          <w:sz w:val="24"/>
          <w:szCs w:val="24"/>
          <w:highlight w:val="none"/>
        </w:rPr>
      </w:pPr>
    </w:p>
    <w:p w14:paraId="42E9C192">
      <w:pPr>
        <w:pStyle w:val="8"/>
        <w:spacing w:line="301" w:lineRule="auto"/>
        <w:rPr>
          <w:rFonts w:hint="eastAsia" w:ascii="宋体" w:hAnsi="宋体" w:eastAsia="宋体" w:cs="宋体"/>
          <w:sz w:val="24"/>
          <w:szCs w:val="24"/>
          <w:highlight w:val="none"/>
        </w:rPr>
      </w:pPr>
    </w:p>
    <w:p w14:paraId="03A3A4C0">
      <w:pPr>
        <w:pStyle w:val="5"/>
        <w:rPr>
          <w:rFonts w:hint="eastAsia" w:ascii="宋体" w:hAnsi="宋体" w:eastAsia="宋体" w:cs="宋体"/>
          <w:sz w:val="24"/>
          <w:szCs w:val="24"/>
          <w:highlight w:val="none"/>
        </w:rPr>
      </w:pPr>
      <w:bookmarkStart w:id="219" w:name="_Toc1657176984"/>
      <w:r>
        <w:rPr>
          <w:rFonts w:hint="eastAsia" w:ascii="宋体" w:hAnsi="宋体" w:eastAsia="宋体" w:cs="宋体"/>
          <w:position w:val="1"/>
          <w:sz w:val="24"/>
          <w:szCs w:val="24"/>
          <w:highlight w:val="none"/>
        </w:rPr>
        <w:t>第 8 节  协议的变更与解除</w:t>
      </w:r>
      <w:bookmarkEnd w:id="219"/>
    </w:p>
    <w:p w14:paraId="17EDE2E9">
      <w:pPr>
        <w:pStyle w:val="8"/>
        <w:spacing w:before="151" w:line="333" w:lineRule="auto"/>
        <w:ind w:left="3"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8.1 本框架协议继续履行将损害国家利益和社会公共利益的，双方当事人应当变更或者终止协议。有过错的一方应当承担赔偿责任，双方都有过错的，各自承担相应的责任。</w:t>
      </w:r>
    </w:p>
    <w:p w14:paraId="02378802">
      <w:pPr>
        <w:spacing w:before="101" w:line="330" w:lineRule="auto"/>
        <w:ind w:left="15" w:right="128" w:hanging="6"/>
        <w:rPr>
          <w:rFonts w:hint="eastAsia" w:ascii="宋体" w:hAnsi="宋体" w:cs="宋体"/>
          <w:sz w:val="24"/>
          <w:szCs w:val="24"/>
          <w:highlight w:val="none"/>
        </w:rPr>
      </w:pPr>
      <w:r>
        <w:rPr>
          <w:rFonts w:hint="eastAsia" w:ascii="宋体" w:hAnsi="宋体" w:cs="宋体"/>
          <w:position w:val="1"/>
          <w:sz w:val="24"/>
          <w:szCs w:val="24"/>
          <w:highlight w:val="none"/>
        </w:rPr>
        <w:t>8.2  在本框架协议期内，出现任何需要变更协议内容的客观</w:t>
      </w:r>
      <w:r>
        <w:rPr>
          <w:rFonts w:hint="eastAsia" w:ascii="宋体" w:hAnsi="宋体" w:cs="宋体"/>
          <w:sz w:val="24"/>
          <w:szCs w:val="24"/>
          <w:highlight w:val="none"/>
        </w:rPr>
        <w:t>情形，或一方提出变更协议的合理诉求，双方应重新协商，达成一致后签署补充协议对本框架协议内容进行变更。</w:t>
      </w:r>
    </w:p>
    <w:p w14:paraId="1F710621">
      <w:pPr>
        <w:pStyle w:val="8"/>
        <w:spacing w:before="4" w:line="333" w:lineRule="auto"/>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t>8.3  框架协议履行期间，如因国家、地方出台新法律、法规、强制性政策、行业监督新规，或行政主管部门政策重大调整，包括但不限于征收、征用、行政命令变更等，导致本框架协议全部或部分无法继续履行的，双方应本着公平原则重新协商。</w:t>
      </w:r>
    </w:p>
    <w:p w14:paraId="7AE8C7A8">
      <w:pPr>
        <w:pStyle w:val="8"/>
        <w:spacing w:line="413" w:lineRule="exact"/>
        <w:ind w:left="630"/>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8.4 本框架协议可依照第9 节（不可抗力）的约定解除。</w:t>
      </w:r>
    </w:p>
    <w:p w14:paraId="0A9D78D8">
      <w:pPr>
        <w:pStyle w:val="8"/>
        <w:spacing w:before="145" w:line="414" w:lineRule="exact"/>
        <w:ind w:left="630"/>
        <w:rPr>
          <w:rFonts w:hint="eastAsia" w:ascii="宋体" w:hAnsi="宋体" w:eastAsia="宋体" w:cs="宋体"/>
          <w:sz w:val="24"/>
          <w:szCs w:val="24"/>
          <w:highlight w:val="none"/>
        </w:rPr>
      </w:pPr>
      <w:r>
        <w:rPr>
          <w:rFonts w:hint="eastAsia" w:ascii="宋体" w:hAnsi="宋体" w:eastAsia="宋体" w:cs="宋体"/>
          <w:position w:val="2"/>
          <w:sz w:val="24"/>
          <w:szCs w:val="24"/>
          <w:highlight w:val="none"/>
        </w:rPr>
        <w:t>8.5  双方经协商一致可以解除本框架协议。</w:t>
      </w:r>
    </w:p>
    <w:p w14:paraId="18879B0A">
      <w:pPr>
        <w:pStyle w:val="8"/>
        <w:spacing w:before="145" w:line="416" w:lineRule="exact"/>
        <w:ind w:left="630"/>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8.6  出现以下违约情形的，乙方有权单方解除协议：</w:t>
      </w:r>
    </w:p>
    <w:p w14:paraId="17532A82">
      <w:pPr>
        <w:pStyle w:val="8"/>
        <w:spacing w:before="147" w:line="261" w:lineRule="auto"/>
        <w:ind w:left="611"/>
        <w:rPr>
          <w:rFonts w:hint="eastAsia" w:ascii="宋体" w:hAnsi="宋体" w:eastAsia="宋体" w:cs="宋体"/>
          <w:sz w:val="24"/>
          <w:szCs w:val="24"/>
          <w:highlight w:val="none"/>
        </w:rPr>
      </w:pPr>
      <w:r>
        <w:rPr>
          <w:rFonts w:hint="eastAsia" w:ascii="宋体" w:hAnsi="宋体" w:eastAsia="宋体" w:cs="宋体"/>
          <w:sz w:val="24"/>
          <w:szCs w:val="24"/>
          <w:highlight w:val="none"/>
        </w:rPr>
        <w:t>（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5D70CE71">
      <w:pPr>
        <w:pStyle w:val="8"/>
        <w:spacing w:before="121" w:line="261" w:lineRule="auto"/>
        <w:ind w:left="611"/>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57458FE">
      <w:pPr>
        <w:spacing w:before="276" w:line="219" w:lineRule="exact"/>
        <w:ind w:left="654"/>
        <w:rPr>
          <w:rFonts w:hint="eastAsia" w:ascii="宋体" w:hAnsi="宋体" w:cs="宋体"/>
          <w:sz w:val="24"/>
          <w:szCs w:val="24"/>
          <w:highlight w:val="none"/>
        </w:rPr>
      </w:pPr>
      <w:r>
        <w:rPr>
          <w:rFonts w:hint="eastAsia" w:ascii="宋体" w:hAnsi="宋体" w:cs="宋体"/>
          <w:position w:val="-13"/>
          <w:sz w:val="24"/>
          <w:szCs w:val="24"/>
          <w:highlight w:val="none"/>
        </w:rPr>
        <w:t>……</w:t>
      </w:r>
    </w:p>
    <w:p w14:paraId="501B2E34">
      <w:pPr>
        <w:pStyle w:val="8"/>
        <w:spacing w:before="186" w:line="414" w:lineRule="exact"/>
        <w:ind w:left="630"/>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8.7 出现以下违约情形的，甲方有权单方解除协议：</w:t>
      </w:r>
    </w:p>
    <w:p w14:paraId="10EDAEDB">
      <w:pPr>
        <w:pStyle w:val="8"/>
        <w:spacing w:before="146" w:line="261" w:lineRule="auto"/>
        <w:ind w:left="611"/>
        <w:rPr>
          <w:rFonts w:hint="eastAsia" w:ascii="宋体" w:hAnsi="宋体" w:eastAsia="宋体" w:cs="宋体"/>
          <w:sz w:val="24"/>
          <w:szCs w:val="24"/>
          <w:highlight w:val="none"/>
        </w:rPr>
      </w:pPr>
      <w:r>
        <w:rPr>
          <w:rFonts w:hint="eastAsia" w:ascii="宋体" w:hAnsi="宋体" w:eastAsia="宋体" w:cs="宋体"/>
          <w:sz w:val="24"/>
          <w:szCs w:val="24"/>
          <w:highlight w:val="none"/>
        </w:rPr>
        <w:t>（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18427DA">
      <w:pPr>
        <w:pStyle w:val="8"/>
        <w:spacing w:before="120" w:line="263" w:lineRule="auto"/>
        <w:ind w:left="611"/>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AEE5E28">
      <w:pPr>
        <w:spacing w:before="274" w:line="219" w:lineRule="exact"/>
        <w:ind w:left="654"/>
        <w:rPr>
          <w:rFonts w:hint="eastAsia" w:ascii="宋体" w:hAnsi="宋体" w:cs="宋体"/>
          <w:sz w:val="24"/>
          <w:szCs w:val="24"/>
          <w:highlight w:val="none"/>
        </w:rPr>
      </w:pPr>
      <w:r>
        <w:rPr>
          <w:rFonts w:hint="eastAsia" w:ascii="宋体" w:hAnsi="宋体" w:cs="宋体"/>
          <w:position w:val="-13"/>
          <w:sz w:val="24"/>
          <w:szCs w:val="24"/>
          <w:highlight w:val="none"/>
        </w:rPr>
        <w:t>……</w:t>
      </w:r>
    </w:p>
    <w:p w14:paraId="53910120">
      <w:pPr>
        <w:pStyle w:val="8"/>
        <w:spacing w:before="187" w:line="413" w:lineRule="exact"/>
        <w:ind w:left="630"/>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8.8 本框架协议解除后，对于子合同效力的约定：</w:t>
      </w:r>
    </w:p>
    <w:p w14:paraId="705DC14C">
      <w:pPr>
        <w:spacing w:before="156" w:line="243" w:lineRule="auto"/>
        <w:ind w:left="651"/>
        <w:rPr>
          <w:rFonts w:hint="eastAsia" w:ascii="宋体" w:hAnsi="宋体" w:cs="宋体"/>
          <w:sz w:val="24"/>
          <w:szCs w:val="24"/>
          <w:highlight w:val="none"/>
        </w:rPr>
      </w:pPr>
      <w:r>
        <w:rPr>
          <w:rFonts w:hint="eastAsia" w:ascii="宋体" w:hAnsi="宋体" w:cs="宋体"/>
          <w:sz w:val="24"/>
          <w:szCs w:val="24"/>
          <w:highlight w:val="none"/>
        </w:rPr>
        <w:t>□已签订的子合同依然有效，具体约定为：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p>
    <w:p w14:paraId="199B7E45">
      <w:pPr>
        <w:spacing w:before="151" w:line="243" w:lineRule="auto"/>
        <w:ind w:left="651"/>
        <w:rPr>
          <w:rFonts w:hint="eastAsia" w:ascii="宋体" w:hAnsi="宋体" w:cs="宋体"/>
          <w:sz w:val="24"/>
          <w:szCs w:val="24"/>
          <w:highlight w:val="none"/>
        </w:rPr>
      </w:pPr>
      <w:r>
        <w:rPr>
          <w:rFonts w:hint="eastAsia" w:ascii="宋体" w:hAnsi="宋体" w:cs="宋体"/>
          <w:sz w:val="24"/>
          <w:szCs w:val="24"/>
          <w:highlight w:val="none"/>
        </w:rPr>
        <w:t>□已签订的子合同部分条款有效，具体约定为：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1133017E">
      <w:pPr>
        <w:spacing w:before="153"/>
        <w:ind w:left="651"/>
        <w:rPr>
          <w:rFonts w:hint="eastAsia" w:ascii="宋体" w:hAnsi="宋体" w:cs="宋体"/>
          <w:sz w:val="24"/>
          <w:szCs w:val="24"/>
          <w:highlight w:val="none"/>
        </w:rPr>
      </w:pPr>
      <w:r>
        <w:rPr>
          <w:rFonts w:hint="eastAsia" w:ascii="宋体" w:hAnsi="宋体" w:cs="宋体"/>
          <w:sz w:val="24"/>
          <w:szCs w:val="24"/>
          <w:highlight w:val="none"/>
        </w:rPr>
        <w:t>□已签订的子合同一并解除，具体约定为：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2255BB97">
      <w:pPr>
        <w:spacing w:before="157"/>
        <w:ind w:left="645"/>
        <w:rPr>
          <w:rFonts w:hint="eastAsia" w:ascii="宋体" w:hAnsi="宋体" w:cs="宋体"/>
          <w:sz w:val="24"/>
          <w:szCs w:val="24"/>
          <w:highlight w:val="none"/>
        </w:rPr>
      </w:pPr>
      <w:r>
        <w:rPr>
          <w:rFonts w:hint="eastAsia" w:ascii="宋体" w:hAnsi="宋体" w:cs="宋体"/>
          <w:sz w:val="24"/>
          <w:szCs w:val="24"/>
          <w:highlight w:val="none"/>
        </w:rPr>
        <w:t>上述约定亦应当在子合同中重申。</w:t>
      </w:r>
    </w:p>
    <w:p w14:paraId="244C78DC">
      <w:pPr>
        <w:spacing w:before="101" w:line="241" w:lineRule="auto"/>
        <w:ind w:left="9"/>
        <w:rPr>
          <w:rFonts w:hint="eastAsia" w:ascii="宋体" w:hAnsi="宋体" w:cs="宋体"/>
          <w:sz w:val="24"/>
          <w:szCs w:val="24"/>
          <w:highlight w:val="none"/>
        </w:rPr>
      </w:pPr>
      <w:r>
        <w:rPr>
          <w:rFonts w:hint="eastAsia" w:ascii="宋体" w:hAnsi="宋体" w:cs="宋体"/>
          <w:sz w:val="24"/>
          <w:szCs w:val="24"/>
          <w:highlight w:val="none"/>
        </w:rPr>
        <w:t>8.9 本框架协议提前解除时，如乙方已完成或部分完成节能改造并通过验收，双方约定乙方新增设备的按照以下方式处理和补偿，以确保托管的能源资源系统正常运行：</w:t>
      </w:r>
    </w:p>
    <w:p w14:paraId="71E0C14D">
      <w:pPr>
        <w:pStyle w:val="8"/>
        <w:spacing w:before="146" w:line="261"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3B2761C">
      <w:pPr>
        <w:pStyle w:val="8"/>
        <w:spacing w:before="119" w:line="263"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5DCFD60">
      <w:pPr>
        <w:spacing w:before="273" w:line="220" w:lineRule="exact"/>
        <w:ind w:left="658"/>
        <w:rPr>
          <w:rFonts w:hint="eastAsia" w:ascii="宋体" w:hAnsi="宋体" w:cs="宋体"/>
          <w:sz w:val="24"/>
          <w:szCs w:val="24"/>
          <w:highlight w:val="none"/>
        </w:rPr>
      </w:pPr>
      <w:r>
        <w:rPr>
          <w:rFonts w:hint="eastAsia" w:ascii="宋体" w:hAnsi="宋体" w:cs="宋体"/>
          <w:position w:val="-13"/>
          <w:sz w:val="24"/>
          <w:szCs w:val="24"/>
          <w:highlight w:val="none"/>
        </w:rPr>
        <w:t>……</w:t>
      </w:r>
    </w:p>
    <w:p w14:paraId="56B0FBEC">
      <w:pPr>
        <w:pStyle w:val="8"/>
        <w:spacing w:before="188" w:line="334" w:lineRule="auto"/>
        <w:ind w:left="4" w:right="74"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8.10 本框架协议的解除不影响任意一方根据本框架协议或者相关的法律法规向对方寻求赔偿的权利，也不影响一方在协议解除前到期的付款、支付违约金等义务的履行。</w:t>
      </w:r>
    </w:p>
    <w:p w14:paraId="0AE144E9">
      <w:pPr>
        <w:pStyle w:val="8"/>
        <w:spacing w:line="449" w:lineRule="auto"/>
        <w:rPr>
          <w:rFonts w:hint="eastAsia" w:ascii="宋体" w:hAnsi="宋体" w:eastAsia="宋体" w:cs="宋体"/>
          <w:sz w:val="24"/>
          <w:szCs w:val="24"/>
          <w:highlight w:val="none"/>
        </w:rPr>
      </w:pPr>
    </w:p>
    <w:p w14:paraId="2AFCE92E">
      <w:pPr>
        <w:pStyle w:val="5"/>
        <w:rPr>
          <w:rFonts w:hint="eastAsia" w:ascii="宋体" w:hAnsi="宋体" w:eastAsia="宋体" w:cs="宋体"/>
          <w:sz w:val="24"/>
          <w:szCs w:val="24"/>
          <w:highlight w:val="none"/>
        </w:rPr>
      </w:pPr>
      <w:bookmarkStart w:id="220" w:name="_Toc1458152145"/>
      <w:r>
        <w:rPr>
          <w:rFonts w:hint="eastAsia" w:ascii="宋体" w:hAnsi="宋体" w:eastAsia="宋体" w:cs="宋体"/>
          <w:position w:val="1"/>
          <w:sz w:val="24"/>
          <w:szCs w:val="24"/>
          <w:highlight w:val="none"/>
        </w:rPr>
        <w:t>第 9 节  不可抗力</w:t>
      </w:r>
      <w:bookmarkEnd w:id="220"/>
    </w:p>
    <w:p w14:paraId="01B5BC94">
      <w:pPr>
        <w:pStyle w:val="8"/>
        <w:spacing w:before="153" w:line="333" w:lineRule="auto"/>
        <w:ind w:left="11" w:right="74" w:firstLine="623"/>
        <w:rPr>
          <w:rFonts w:hint="eastAsia" w:ascii="宋体" w:hAnsi="宋体" w:eastAsia="宋体" w:cs="宋体"/>
          <w:sz w:val="24"/>
          <w:szCs w:val="24"/>
          <w:highlight w:val="none"/>
        </w:rPr>
      </w:pPr>
      <w:r>
        <w:rPr>
          <w:rFonts w:hint="eastAsia" w:ascii="宋体" w:hAnsi="宋体" w:eastAsia="宋体" w:cs="宋体"/>
          <w:sz w:val="24"/>
          <w:szCs w:val="24"/>
          <w:highlight w:val="none"/>
        </w:rPr>
        <w:t>9.1 本框架协议项下的不可抗力是指不能预见、不能避免并不能克服的客观情况。但不包括一方资金短缺的事实，不包括项目所在地气温变化或能源结算价格调整的事实。</w:t>
      </w:r>
    </w:p>
    <w:p w14:paraId="227A31E0">
      <w:pPr>
        <w:pStyle w:val="8"/>
        <w:spacing w:before="4" w:line="334" w:lineRule="auto"/>
        <w:ind w:left="1" w:right="74" w:firstLine="633"/>
        <w:rPr>
          <w:rFonts w:hint="eastAsia" w:ascii="宋体" w:hAnsi="宋体" w:eastAsia="宋体" w:cs="宋体"/>
          <w:sz w:val="24"/>
          <w:szCs w:val="24"/>
          <w:highlight w:val="none"/>
        </w:rPr>
      </w:pPr>
      <w:r>
        <w:rPr>
          <w:rFonts w:hint="eastAsia" w:ascii="宋体" w:hAnsi="宋体" w:eastAsia="宋体" w:cs="宋体"/>
          <w:sz w:val="24"/>
          <w:szCs w:val="24"/>
          <w:highlight w:val="none"/>
        </w:rPr>
        <w:t>9.2 受不可抗力影响的一方应当及时向对方通报不能履行或不能完全履行的理由，以减轻给对方造成的损失，在提供不可抗力证明材料后，允许延期履行、部分履行或者不履行合同，并根据情况可部分或全部免予承担违约责任。</w:t>
      </w:r>
    </w:p>
    <w:p w14:paraId="38335886">
      <w:pPr>
        <w:spacing w:before="1" w:line="331" w:lineRule="auto"/>
        <w:ind w:left="9" w:firstLine="634"/>
        <w:rPr>
          <w:rFonts w:hint="eastAsia" w:ascii="宋体" w:hAnsi="宋体" w:cs="宋体"/>
          <w:sz w:val="24"/>
          <w:szCs w:val="24"/>
          <w:highlight w:val="none"/>
        </w:rPr>
      </w:pPr>
      <w:r>
        <w:rPr>
          <w:rFonts w:hint="eastAsia" w:ascii="宋体" w:hAnsi="宋体" w:cs="宋体"/>
          <w:sz w:val="24"/>
          <w:szCs w:val="24"/>
          <w:highlight w:val="none"/>
        </w:rPr>
        <w:t xml:space="preserve">任何一方由于不可抗力的原因不能履行合同的，应当及时通知对方，并在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日 内向对方提供发生不可抗力的证明材料。</w:t>
      </w:r>
    </w:p>
    <w:p w14:paraId="0C954234">
      <w:pPr>
        <w:pStyle w:val="8"/>
        <w:spacing w:before="1" w:line="333" w:lineRule="auto"/>
        <w:ind w:right="77" w:firstLine="634"/>
        <w:rPr>
          <w:rFonts w:hint="eastAsia" w:ascii="宋体" w:hAnsi="宋体" w:eastAsia="宋体" w:cs="宋体"/>
          <w:sz w:val="24"/>
          <w:szCs w:val="24"/>
          <w:highlight w:val="none"/>
        </w:rPr>
      </w:pPr>
      <w:r>
        <w:rPr>
          <w:rFonts w:hint="eastAsia" w:ascii="宋体" w:hAnsi="宋体" w:eastAsia="宋体" w:cs="宋体"/>
          <w:sz w:val="24"/>
          <w:szCs w:val="24"/>
          <w:highlight w:val="none"/>
        </w:rPr>
        <w:t>9.3 受影响方必须采取一切合理的措施，以消除或减轻不可抗力事件有关的影响。</w:t>
      </w:r>
    </w:p>
    <w:p w14:paraId="1AF8EA3E">
      <w:pPr>
        <w:spacing w:before="101" w:line="241" w:lineRule="auto"/>
        <w:ind w:left="12"/>
        <w:rPr>
          <w:rFonts w:hint="eastAsia" w:ascii="宋体" w:hAnsi="宋体" w:cs="宋体"/>
          <w:sz w:val="24"/>
          <w:szCs w:val="24"/>
          <w:highlight w:val="none"/>
        </w:rPr>
      </w:pPr>
      <w:r>
        <w:rPr>
          <w:rFonts w:hint="eastAsia" w:ascii="宋体" w:hAnsi="宋体" w:cs="宋体"/>
          <w:sz w:val="24"/>
          <w:szCs w:val="24"/>
          <w:highlight w:val="none"/>
        </w:rPr>
        <w:t>9.4 在不可抗力事件持续期间，受影响方的履行义务暂时中止，相应的义务履行期限相应顺延，并将不会对由此造成的损失或损坏承担责任。在不可抗力事件结束后，受影响方应该尽快恢复履行本框架协议项下的义务。</w:t>
      </w:r>
    </w:p>
    <w:p w14:paraId="737AFE54">
      <w:pPr>
        <w:pStyle w:val="8"/>
        <w:spacing w:before="146" w:line="334" w:lineRule="auto"/>
        <w:ind w:firstLine="63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9.5 如果因为不可抗力事件的影响，受影响方不能履行本框架协议项下的任何义务，而且非影响方在收到不可抗力通知后，受影响方不能履行义务持续时间达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个连续 日，且在此期间，双方没有能够谈判达成一项彼此可以接受的替代方式来执行本框架协议项下的项 目，任何一方可向另一方提供书面通知，解除本框架协议，而不需承担违约责任。</w:t>
      </w:r>
    </w:p>
    <w:p w14:paraId="369E0513">
      <w:pPr>
        <w:pStyle w:val="8"/>
        <w:spacing w:line="448" w:lineRule="auto"/>
        <w:rPr>
          <w:rFonts w:hint="eastAsia" w:ascii="宋体" w:hAnsi="宋体" w:eastAsia="宋体" w:cs="宋体"/>
          <w:sz w:val="24"/>
          <w:szCs w:val="24"/>
          <w:highlight w:val="none"/>
        </w:rPr>
      </w:pPr>
    </w:p>
    <w:p w14:paraId="3BC78279">
      <w:pPr>
        <w:pStyle w:val="5"/>
        <w:rPr>
          <w:rFonts w:hint="eastAsia" w:ascii="宋体" w:hAnsi="宋体" w:eastAsia="宋体" w:cs="宋体"/>
          <w:sz w:val="24"/>
          <w:szCs w:val="24"/>
          <w:highlight w:val="none"/>
        </w:rPr>
      </w:pPr>
      <w:bookmarkStart w:id="221" w:name="_Toc79721451"/>
      <w:r>
        <w:rPr>
          <w:rFonts w:hint="eastAsia" w:ascii="宋体" w:hAnsi="宋体" w:eastAsia="宋体" w:cs="宋体"/>
          <w:position w:val="1"/>
          <w:sz w:val="24"/>
          <w:szCs w:val="24"/>
          <w:highlight w:val="none"/>
        </w:rPr>
        <w:t>第 10 节  违约责任</w:t>
      </w:r>
      <w:bookmarkEnd w:id="221"/>
    </w:p>
    <w:p w14:paraId="6889FAE0">
      <w:pPr>
        <w:pStyle w:val="8"/>
        <w:spacing w:before="154" w:line="333" w:lineRule="auto"/>
        <w:ind w:left="14" w:right="54" w:firstLine="63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未按照协议约定向乙方支付款项的，应以欠付款项为基数，自迟延支付之日起至全额支付欠付款项止，按照每 日万分之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的比例向乙方支付违约金。</w:t>
      </w:r>
    </w:p>
    <w:p w14:paraId="17A4CF36">
      <w:pPr>
        <w:pStyle w:val="8"/>
        <w:spacing w:before="2" w:line="333" w:lineRule="auto"/>
        <w:ind w:right="54" w:firstLine="646"/>
        <w:rPr>
          <w:rFonts w:hint="eastAsia" w:ascii="宋体" w:hAnsi="宋体" w:eastAsia="宋体" w:cs="宋体"/>
          <w:sz w:val="24"/>
          <w:szCs w:val="24"/>
          <w:highlight w:val="none"/>
        </w:rPr>
      </w:pPr>
      <w:r>
        <w:rPr>
          <w:rFonts w:hint="eastAsia" w:ascii="宋体" w:hAnsi="宋体" w:eastAsia="宋体" w:cs="宋体"/>
          <w:sz w:val="24"/>
          <w:szCs w:val="24"/>
          <w:highlight w:val="none"/>
        </w:rPr>
        <w:t>10.2 除不可抗力、乙方原因外，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违反除 10.1 约定情形以外的其他义务，给乙方造成损失的，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应向乙方赔偿损失。</w:t>
      </w:r>
    </w:p>
    <w:p w14:paraId="15E72F86">
      <w:pPr>
        <w:pStyle w:val="8"/>
        <w:spacing w:before="2" w:line="333" w:lineRule="auto"/>
        <w:ind w:right="54" w:firstLine="6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除不可抗力、甲方或用能单位原因外，乙方未能按照本框架协议约定的时间和要求达到2.3.3 约定的核心履约目标时，乙方应按照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的标准，向 甲方支付违约金。</w:t>
      </w:r>
    </w:p>
    <w:p w14:paraId="48330880">
      <w:pPr>
        <w:pStyle w:val="8"/>
        <w:spacing w:before="2" w:line="333" w:lineRule="auto"/>
        <w:ind w:left="8" w:right="55" w:firstLine="63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除不可抗力、甲方或用能单位原因外，乙方违反除 10.3约定情形以外的其他义务，给甲方或用能单位造成损失的，乙方应向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赔偿实际损失。</w:t>
      </w:r>
    </w:p>
    <w:p w14:paraId="428772F4">
      <w:pPr>
        <w:pStyle w:val="8"/>
        <w:spacing w:before="101" w:line="261"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10.5 甲方违约出现8.6 的情形时，导致本框架协议解除的，按照以下方式计算违约金并赔偿乙方损失：</w:t>
      </w:r>
    </w:p>
    <w:p w14:paraId="7EB612E1">
      <w:pPr>
        <w:pStyle w:val="8"/>
        <w:spacing w:before="101" w:line="261"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4ECA15A2">
      <w:pPr>
        <w:pStyle w:val="8"/>
        <w:spacing w:before="120" w:line="261"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F6F8FE4">
      <w:pPr>
        <w:spacing w:before="276" w:line="219" w:lineRule="exact"/>
        <w:ind w:left="658"/>
        <w:rPr>
          <w:rFonts w:hint="eastAsia" w:ascii="宋体" w:hAnsi="宋体" w:cs="宋体"/>
          <w:sz w:val="24"/>
          <w:szCs w:val="24"/>
          <w:highlight w:val="none"/>
        </w:rPr>
      </w:pPr>
      <w:r>
        <w:rPr>
          <w:rFonts w:hint="eastAsia" w:ascii="宋体" w:hAnsi="宋体" w:cs="宋体"/>
          <w:position w:val="-13"/>
          <w:sz w:val="24"/>
          <w:szCs w:val="24"/>
          <w:highlight w:val="none"/>
        </w:rPr>
        <w:t>……</w:t>
      </w:r>
    </w:p>
    <w:p w14:paraId="626960D6">
      <w:pPr>
        <w:pStyle w:val="8"/>
        <w:spacing w:before="186" w:line="333" w:lineRule="auto"/>
        <w:ind w:left="1" w:right="148" w:firstLine="646"/>
        <w:rPr>
          <w:rFonts w:hint="eastAsia" w:ascii="宋体" w:hAnsi="宋体" w:eastAsia="宋体" w:cs="宋体"/>
          <w:sz w:val="24"/>
          <w:szCs w:val="24"/>
          <w:highlight w:val="none"/>
        </w:rPr>
      </w:pPr>
      <w:r>
        <w:rPr>
          <w:rFonts w:hint="eastAsia" w:ascii="宋体" w:hAnsi="宋体" w:eastAsia="宋体" w:cs="宋体"/>
          <w:sz w:val="24"/>
          <w:szCs w:val="24"/>
          <w:highlight w:val="none"/>
        </w:rPr>
        <w:t>10.6 乙方违约出现8.7 的情形时，导致本框架协议解除的，按照以下方式计算违约金并向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赔偿损失：</w:t>
      </w:r>
    </w:p>
    <w:p w14:paraId="38663780">
      <w:pPr>
        <w:pStyle w:val="8"/>
        <w:spacing w:before="1" w:line="262"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 1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11A18EE6">
      <w:pPr>
        <w:pStyle w:val="8"/>
        <w:spacing w:before="121" w:line="261" w:lineRule="auto"/>
        <w:ind w:left="615"/>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4255432C">
      <w:pPr>
        <w:spacing w:before="274" w:line="219" w:lineRule="exact"/>
        <w:ind w:left="658"/>
        <w:rPr>
          <w:rFonts w:hint="eastAsia" w:ascii="宋体" w:hAnsi="宋体" w:cs="宋体"/>
          <w:sz w:val="24"/>
          <w:szCs w:val="24"/>
          <w:highlight w:val="none"/>
        </w:rPr>
      </w:pPr>
      <w:r>
        <w:rPr>
          <w:rFonts w:hint="eastAsia" w:ascii="宋体" w:hAnsi="宋体" w:cs="宋体"/>
          <w:position w:val="-13"/>
          <w:sz w:val="24"/>
          <w:szCs w:val="24"/>
          <w:highlight w:val="none"/>
        </w:rPr>
        <w:t>……</w:t>
      </w:r>
    </w:p>
    <w:p w14:paraId="4C0F031A">
      <w:pPr>
        <w:pStyle w:val="8"/>
        <w:spacing w:before="185" w:line="334" w:lineRule="auto"/>
        <w:ind w:left="8" w:right="123" w:firstLine="639"/>
        <w:rPr>
          <w:rFonts w:hint="eastAsia" w:ascii="宋体" w:hAnsi="宋体" w:eastAsia="宋体" w:cs="宋体"/>
          <w:sz w:val="24"/>
          <w:szCs w:val="24"/>
          <w:highlight w:val="none"/>
        </w:rPr>
      </w:pPr>
      <w:r>
        <w:rPr>
          <w:rFonts w:hint="eastAsia" w:ascii="宋体" w:hAnsi="宋体" w:eastAsia="宋体" w:cs="宋体"/>
          <w:sz w:val="24"/>
          <w:szCs w:val="24"/>
          <w:highlight w:val="none"/>
        </w:rPr>
        <w:t>10.7</w:t>
      </w:r>
      <w:r>
        <w:rPr>
          <w:rFonts w:hint="eastAsia" w:ascii="宋体" w:hAnsi="宋体" w:eastAsia="宋体" w:cs="宋体"/>
          <w:w w:val="101"/>
          <w:sz w:val="24"/>
          <w:szCs w:val="24"/>
          <w:highlight w:val="none"/>
        </w:rPr>
        <w:t xml:space="preserve"> </w:t>
      </w:r>
      <w:r>
        <w:rPr>
          <w:rFonts w:hint="eastAsia" w:ascii="宋体" w:hAnsi="宋体" w:eastAsia="宋体" w:cs="宋体"/>
          <w:sz w:val="24"/>
          <w:szCs w:val="24"/>
          <w:highlight w:val="none"/>
        </w:rPr>
        <w:t>一方违约后，另一方应采取适当措施防止损失扩大，否则不得就扩大的损失请求赔偿。</w:t>
      </w:r>
    </w:p>
    <w:p w14:paraId="6EFA9BCD">
      <w:pPr>
        <w:pStyle w:val="8"/>
        <w:spacing w:line="454" w:lineRule="auto"/>
        <w:rPr>
          <w:rFonts w:hint="eastAsia" w:ascii="宋体" w:hAnsi="宋体" w:eastAsia="宋体" w:cs="宋体"/>
          <w:sz w:val="24"/>
          <w:szCs w:val="24"/>
          <w:highlight w:val="none"/>
        </w:rPr>
      </w:pPr>
    </w:p>
    <w:p w14:paraId="3A356C00">
      <w:pPr>
        <w:pStyle w:val="5"/>
        <w:rPr>
          <w:rFonts w:hint="eastAsia" w:ascii="宋体" w:hAnsi="宋体" w:eastAsia="宋体" w:cs="宋体"/>
          <w:sz w:val="24"/>
          <w:szCs w:val="24"/>
          <w:highlight w:val="none"/>
        </w:rPr>
      </w:pPr>
      <w:bookmarkStart w:id="222" w:name="_Toc1996114876"/>
      <w:r>
        <w:rPr>
          <w:rFonts w:hint="eastAsia" w:ascii="宋体" w:hAnsi="宋体" w:eastAsia="宋体" w:cs="宋体"/>
          <w:position w:val="1"/>
          <w:sz w:val="24"/>
          <w:szCs w:val="24"/>
          <w:highlight w:val="none"/>
        </w:rPr>
        <w:t>第 11 节  送达条款</w:t>
      </w:r>
      <w:bookmarkEnd w:id="222"/>
    </w:p>
    <w:p w14:paraId="36380837">
      <w:pPr>
        <w:pStyle w:val="8"/>
        <w:spacing w:before="153" w:line="333" w:lineRule="auto"/>
        <w:ind w:firstLine="648"/>
        <w:rPr>
          <w:rFonts w:hint="eastAsia" w:ascii="宋体" w:hAnsi="宋体" w:eastAsia="宋体" w:cs="宋体"/>
          <w:sz w:val="24"/>
          <w:szCs w:val="24"/>
          <w:highlight w:val="none"/>
        </w:rPr>
      </w:pPr>
      <w:r>
        <w:rPr>
          <w:rFonts w:hint="eastAsia" w:ascii="宋体" w:hAnsi="宋体" w:eastAsia="宋体" w:cs="宋体"/>
          <w:sz w:val="24"/>
          <w:szCs w:val="24"/>
          <w:highlight w:val="none"/>
        </w:rPr>
        <w:t>11.1 本框架协议中载明的通讯地址（含传真地址）均为有效送达地址。凡涉及本框架协议权利义务的所有通知、协议、函件、凭证、法律文书等，均应以书面形式作出，并仅可通过专人递交、邮寄、传真方式进行送达，其他形式不具备同等法律效力。</w:t>
      </w:r>
    </w:p>
    <w:p w14:paraId="2C9468D1">
      <w:pPr>
        <w:pStyle w:val="8"/>
        <w:spacing w:before="5" w:line="333" w:lineRule="auto"/>
        <w:ind w:left="1" w:right="123" w:firstLine="6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当协议一方的送达地址发生变更，或联系人预留的手机号码发生变更后，应在变更发生之日起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个工作 日 内书面通知协议其他方。因提供的送达地址不准确、送达地址变更未书面告知协议其他方，导致相关文书未能被受送达人实际接收的，直接送达的，相关文书留在该地址之日为送达之 日；邮寄送达的，文书被退回之日为送达之 日。</w:t>
      </w:r>
    </w:p>
    <w:p w14:paraId="2DBBB6D0">
      <w:pPr>
        <w:spacing w:before="101" w:line="332" w:lineRule="auto"/>
        <w:ind w:left="5" w:right="80" w:hanging="1"/>
        <w:rPr>
          <w:rFonts w:hint="eastAsia" w:ascii="宋体" w:hAnsi="宋体" w:cs="宋体"/>
          <w:sz w:val="24"/>
          <w:szCs w:val="24"/>
          <w:highlight w:val="none"/>
        </w:rPr>
      </w:pPr>
      <w:r>
        <w:rPr>
          <w:rFonts w:hint="eastAsia" w:ascii="宋体" w:hAnsi="宋体" w:cs="宋体"/>
          <w:position w:val="1"/>
          <w:sz w:val="24"/>
          <w:szCs w:val="24"/>
          <w:highlight w:val="none"/>
        </w:rPr>
        <w:t>11.3 前述送达适用范围包括协议履行、协议终止等非诉阶段</w:t>
      </w:r>
      <w:r>
        <w:rPr>
          <w:rFonts w:hint="eastAsia" w:ascii="宋体" w:hAnsi="宋体" w:cs="宋体"/>
          <w:sz w:val="24"/>
          <w:szCs w:val="24"/>
          <w:highlight w:val="none"/>
        </w:rPr>
        <w:t>和诉讼程序，包括但不限于诉前调解、一审、二审、再审、督促程序、实现担保物权程序、执行程序等各个诉讼阶段。</w:t>
      </w:r>
    </w:p>
    <w:p w14:paraId="6DA95308">
      <w:pPr>
        <w:pStyle w:val="8"/>
        <w:spacing w:line="452" w:lineRule="auto"/>
        <w:rPr>
          <w:rFonts w:hint="eastAsia" w:ascii="宋体" w:hAnsi="宋体" w:eastAsia="宋体" w:cs="宋体"/>
          <w:sz w:val="24"/>
          <w:szCs w:val="24"/>
          <w:highlight w:val="none"/>
        </w:rPr>
      </w:pPr>
    </w:p>
    <w:p w14:paraId="3777E06A">
      <w:pPr>
        <w:pStyle w:val="5"/>
        <w:rPr>
          <w:rFonts w:hint="eastAsia" w:ascii="宋体" w:hAnsi="宋体" w:eastAsia="宋体" w:cs="宋体"/>
          <w:sz w:val="24"/>
          <w:szCs w:val="24"/>
          <w:highlight w:val="none"/>
        </w:rPr>
      </w:pPr>
      <w:bookmarkStart w:id="223" w:name="_Toc713187498"/>
      <w:r>
        <w:rPr>
          <w:rFonts w:hint="eastAsia" w:ascii="宋体" w:hAnsi="宋体" w:eastAsia="宋体" w:cs="宋体"/>
          <w:position w:val="1"/>
          <w:sz w:val="24"/>
          <w:szCs w:val="24"/>
          <w:highlight w:val="none"/>
        </w:rPr>
        <w:t>第 12 节  其  他</w:t>
      </w:r>
      <w:bookmarkEnd w:id="223"/>
    </w:p>
    <w:p w14:paraId="5537699F">
      <w:pPr>
        <w:pStyle w:val="8"/>
        <w:spacing w:before="150" w:line="333" w:lineRule="auto"/>
        <w:ind w:left="3" w:right="83" w:firstLine="644"/>
        <w:rPr>
          <w:rFonts w:hint="eastAsia" w:ascii="宋体" w:hAnsi="宋体" w:eastAsia="宋体" w:cs="宋体"/>
          <w:sz w:val="24"/>
          <w:szCs w:val="24"/>
          <w:highlight w:val="none"/>
        </w:rPr>
      </w:pPr>
      <w:r>
        <w:rPr>
          <w:rFonts w:hint="eastAsia" w:ascii="宋体" w:hAnsi="宋体" w:eastAsia="宋体" w:cs="宋体"/>
          <w:sz w:val="24"/>
          <w:szCs w:val="24"/>
          <w:highlight w:val="none"/>
        </w:rPr>
        <w:t>12.1 有关协议的一切争议，各方应根据本框架协议约定的内容友好协商解决 ，协商不成时采取以下方式解决： □依法向人民法院提起诉讼 /  □向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仲裁委员会申请仲裁。</w:t>
      </w:r>
    </w:p>
    <w:p w14:paraId="5788A2B0">
      <w:pPr>
        <w:pStyle w:val="8"/>
        <w:spacing w:before="7" w:line="333" w:lineRule="auto"/>
        <w:ind w:firstLine="648"/>
        <w:rPr>
          <w:rFonts w:hint="eastAsia" w:ascii="宋体" w:hAnsi="宋体" w:eastAsia="宋体" w:cs="宋体"/>
          <w:sz w:val="24"/>
          <w:szCs w:val="24"/>
          <w:highlight w:val="none"/>
        </w:rPr>
      </w:pPr>
      <w:r>
        <w:rPr>
          <w:rFonts w:hint="eastAsia" w:ascii="宋体" w:hAnsi="宋体" w:eastAsia="宋体" w:cs="宋体"/>
          <w:sz w:val="24"/>
          <w:szCs w:val="24"/>
          <w:highlight w:val="none"/>
        </w:rPr>
        <w:t>12.2 除本框架协议约定外，协议各方不得基于任何原因和 目的向协议另一方及其经办人员或相关人员索要、收受、提供、给予协议约定外的任何利益，包括但不限于中介费、财务顾问费、咨询服务费、资金安排费、明扣、暗扣、现金、购物卡、实物、有价证券、旅游或其他非物质性利益等。甲方或乙方合作的第三方不得以合作方名义或以提供服务等理由向另一方或其他第三方收受其他费用。任何一方发现存在上述行为，可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部门举报（举报方式为：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378D434C">
      <w:pPr>
        <w:pStyle w:val="8"/>
        <w:spacing w:before="3" w:line="333" w:lineRule="auto"/>
        <w:ind w:left="2" w:right="80" w:firstLine="645"/>
        <w:rPr>
          <w:rFonts w:hint="eastAsia" w:ascii="宋体" w:hAnsi="宋体" w:eastAsia="宋体" w:cs="宋体"/>
          <w:sz w:val="24"/>
          <w:szCs w:val="24"/>
          <w:highlight w:val="none"/>
        </w:rPr>
      </w:pPr>
      <w:r>
        <w:rPr>
          <w:rFonts w:hint="eastAsia" w:ascii="宋体" w:hAnsi="宋体" w:eastAsia="宋体" w:cs="宋体"/>
          <w:sz w:val="24"/>
          <w:szCs w:val="24"/>
          <w:highlight w:val="none"/>
        </w:rPr>
        <w:t>12.3 乙方应保证所供设备、技术及工作成果不侵犯任何第三方知识产权；若发生第三方侵权索赔，乙方应承担全部责任。因履行本框架协议所产生的研究开发成果及其相关知识产权的权益归属由双方约定如下：</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F70CA5A">
      <w:pPr>
        <w:spacing w:before="101" w:line="332" w:lineRule="auto"/>
        <w:ind w:left="2" w:right="6" w:hanging="1"/>
        <w:rPr>
          <w:rFonts w:hint="eastAsia" w:ascii="宋体" w:hAnsi="宋体" w:cs="宋体"/>
          <w:sz w:val="24"/>
          <w:szCs w:val="24"/>
          <w:highlight w:val="none"/>
        </w:rPr>
      </w:pPr>
      <w:r>
        <w:rPr>
          <w:rFonts w:hint="eastAsia" w:ascii="宋体" w:hAnsi="宋体" w:cs="宋体"/>
          <w:sz w:val="24"/>
          <w:szCs w:val="24"/>
          <w:highlight w:val="none"/>
        </w:rPr>
        <w:t>12.4 一方由于签署或履行本框架协议了解、接触或获得的另一方资料、信息、报价等，非经另一方书面同意，不得向第三方泄露，否则应赔偿另一方由此受到的损失。但甲方因法律法规规定，负有公开、报备、披露等职责，或各方依据纪检监察、巡视巡察、审计、财政、国有资产、档案等有权机关履职要求，需配合调阅、报送、移交、公示相关资料的，不视为违反保密约定。一方依法履行上述职责前，应当在法律法规允许的范围内尽量提前告知另一方。</w:t>
      </w:r>
    </w:p>
    <w:p w14:paraId="1DF3E7EC">
      <w:pPr>
        <w:pStyle w:val="8"/>
        <w:spacing w:before="7" w:line="333" w:lineRule="auto"/>
        <w:ind w:firstLine="648"/>
        <w:rPr>
          <w:rFonts w:hint="eastAsia" w:ascii="宋体" w:hAnsi="宋体" w:eastAsia="宋体" w:cs="宋体"/>
          <w:sz w:val="24"/>
          <w:szCs w:val="24"/>
          <w:highlight w:val="none"/>
        </w:rPr>
      </w:pPr>
      <w:r>
        <w:rPr>
          <w:rFonts w:hint="eastAsia" w:ascii="宋体" w:hAnsi="宋体" w:eastAsia="宋体" w:cs="宋体"/>
          <w:sz w:val="24"/>
          <w:szCs w:val="24"/>
          <w:highlight w:val="none"/>
        </w:rPr>
        <w:t>12.5 甲乙双方在本框架协议订立、履行、变更、解除及终止全过程中，如因业务往来接触、知悉或掌握属于国家秘密范畴的信息、资料、文件、数据等内容，双方均应严格遵守《中华人民共和国保守国家秘密法》及相关法律法规、规章的强制性规定，全面履行法定保密义务。任何一方不得非法获取、记录、复制、存储、传递、泄露国家秘密，不得擅自向境内外任何机构、组织或个人提供国家秘密相关信息，亦不得利用所掌握的国家秘密谋取不正当利益。</w:t>
      </w:r>
    </w:p>
    <w:p w14:paraId="0291561A">
      <w:pPr>
        <w:pStyle w:val="8"/>
        <w:spacing w:before="2" w:line="333" w:lineRule="auto"/>
        <w:ind w:left="1" w:right="80" w:firstLine="646"/>
        <w:rPr>
          <w:rFonts w:hint="eastAsia" w:ascii="宋体" w:hAnsi="宋体" w:eastAsia="宋体" w:cs="宋体"/>
          <w:sz w:val="24"/>
          <w:szCs w:val="24"/>
          <w:highlight w:val="none"/>
        </w:rPr>
      </w:pPr>
      <w:r>
        <w:rPr>
          <w:rFonts w:hint="eastAsia" w:ascii="宋体" w:hAnsi="宋体" w:eastAsia="宋体" w:cs="宋体"/>
          <w:sz w:val="24"/>
          <w:szCs w:val="24"/>
          <w:highlight w:val="none"/>
        </w:rPr>
        <w:t>12.6 甲 乙双方约定 □不针对本项目额外购买保险 /  □按以下方式购买保险:</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。甲乙双方应协商避免重复投保，并及时告知对方已有的或准备进行的相关项 目、财产和人员的投保情况。</w:t>
      </w:r>
    </w:p>
    <w:p w14:paraId="25334F0E">
      <w:pPr>
        <w:pStyle w:val="8"/>
        <w:spacing w:before="2" w:line="333" w:lineRule="auto"/>
        <w:ind w:left="2" w:right="26" w:firstLine="64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12.7 本框架协议自双方法定代表人或授权代表签名并加盖公章或合同专用章之日起生效。本框架协议正本一式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份，双方各执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份，副本一式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份，双方各执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份，具有同等法律效力。</w:t>
      </w:r>
    </w:p>
    <w:p w14:paraId="2EB5BB35">
      <w:pPr>
        <w:pStyle w:val="8"/>
        <w:spacing w:line="248" w:lineRule="auto"/>
        <w:ind w:right="204"/>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12.8 甲乙双方约定的其他事项：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9430E7E">
      <w:pPr>
        <w:pStyle w:val="8"/>
        <w:spacing w:line="268" w:lineRule="auto"/>
        <w:rPr>
          <w:rFonts w:hint="eastAsia" w:ascii="宋体" w:hAnsi="宋体" w:eastAsia="宋体" w:cs="宋体"/>
          <w:sz w:val="24"/>
          <w:szCs w:val="24"/>
          <w:highlight w:val="none"/>
        </w:rPr>
      </w:pPr>
      <w:r>
        <w:rPr>
          <w:rFonts w:hint="eastAsia" w:ascii="宋体" w:hAnsi="宋体" w:eastAsia="宋体" w:cs="宋体"/>
          <w:spacing w:val="-2"/>
          <w:position w:val="1"/>
          <w:sz w:val="24"/>
          <w:szCs w:val="24"/>
          <w:highlight w:val="none"/>
        </w:rPr>
        <w:t>（</w:t>
      </w:r>
      <w:r>
        <w:rPr>
          <w:rFonts w:hint="eastAsia" w:ascii="宋体" w:hAnsi="宋体" w:eastAsia="宋体" w:cs="宋体"/>
          <w:spacing w:val="-55"/>
          <w:position w:val="1"/>
          <w:sz w:val="24"/>
          <w:szCs w:val="24"/>
          <w:highlight w:val="none"/>
        </w:rPr>
        <w:t xml:space="preserve"> </w:t>
      </w:r>
      <w:r>
        <w:rPr>
          <w:rFonts w:hint="eastAsia" w:ascii="宋体" w:hAnsi="宋体" w:eastAsia="宋体" w:cs="宋体"/>
          <w:spacing w:val="-2"/>
          <w:position w:val="1"/>
          <w:sz w:val="24"/>
          <w:szCs w:val="24"/>
          <w:highlight w:val="none"/>
        </w:rPr>
        <w:t>以下无正文）</w:t>
      </w:r>
    </w:p>
    <w:p w14:paraId="3168312A">
      <w:pPr>
        <w:pStyle w:val="8"/>
        <w:spacing w:line="268" w:lineRule="auto"/>
        <w:rPr>
          <w:rFonts w:hint="eastAsia" w:ascii="宋体" w:hAnsi="宋体" w:eastAsia="宋体" w:cs="宋体"/>
          <w:sz w:val="24"/>
          <w:szCs w:val="24"/>
          <w:highlight w:val="none"/>
        </w:rPr>
      </w:pPr>
    </w:p>
    <w:p w14:paraId="1CBB90CD">
      <w:pPr>
        <w:pStyle w:val="8"/>
        <w:spacing w:line="268" w:lineRule="auto"/>
        <w:rPr>
          <w:rFonts w:hint="eastAsia" w:ascii="宋体" w:hAnsi="宋体" w:eastAsia="宋体" w:cs="宋体"/>
          <w:sz w:val="24"/>
          <w:szCs w:val="24"/>
          <w:highlight w:val="none"/>
        </w:rPr>
      </w:pPr>
    </w:p>
    <w:p w14:paraId="08702A97">
      <w:pPr>
        <w:pStyle w:val="8"/>
        <w:spacing w:line="268" w:lineRule="auto"/>
        <w:rPr>
          <w:rFonts w:hint="eastAsia" w:ascii="宋体" w:hAnsi="宋体" w:eastAsia="宋体" w:cs="宋体"/>
          <w:sz w:val="24"/>
          <w:szCs w:val="24"/>
          <w:highlight w:val="none"/>
        </w:rPr>
      </w:pPr>
    </w:p>
    <w:p w14:paraId="31E2E46C">
      <w:pPr>
        <w:pStyle w:val="8"/>
        <w:spacing w:line="268" w:lineRule="auto"/>
        <w:rPr>
          <w:rFonts w:hint="eastAsia" w:ascii="宋体" w:hAnsi="宋体" w:eastAsia="宋体" w:cs="宋体"/>
          <w:sz w:val="24"/>
          <w:szCs w:val="24"/>
          <w:highlight w:val="none"/>
        </w:rPr>
      </w:pPr>
    </w:p>
    <w:p w14:paraId="02F951A1">
      <w:pPr>
        <w:pStyle w:val="8"/>
        <w:spacing w:line="268" w:lineRule="auto"/>
        <w:rPr>
          <w:rFonts w:hint="eastAsia" w:ascii="宋体" w:hAnsi="宋体" w:eastAsia="宋体" w:cs="宋体"/>
          <w:sz w:val="24"/>
          <w:szCs w:val="24"/>
          <w:highlight w:val="none"/>
        </w:rPr>
      </w:pPr>
    </w:p>
    <w:p w14:paraId="60D4C90F">
      <w:pPr>
        <w:pStyle w:val="8"/>
        <w:spacing w:line="269" w:lineRule="auto"/>
        <w:rPr>
          <w:rFonts w:hint="eastAsia" w:ascii="宋体" w:hAnsi="宋体" w:eastAsia="宋体" w:cs="宋体"/>
          <w:sz w:val="24"/>
          <w:szCs w:val="24"/>
          <w:highlight w:val="none"/>
        </w:rPr>
      </w:pPr>
    </w:p>
    <w:p w14:paraId="2506C6A2">
      <w:pPr>
        <w:pStyle w:val="8"/>
        <w:spacing w:line="269" w:lineRule="auto"/>
        <w:rPr>
          <w:rFonts w:hint="eastAsia" w:ascii="宋体" w:hAnsi="宋体" w:eastAsia="宋体" w:cs="宋体"/>
          <w:sz w:val="24"/>
          <w:szCs w:val="24"/>
          <w:highlight w:val="none"/>
        </w:rPr>
      </w:pPr>
    </w:p>
    <w:p w14:paraId="50F424BB">
      <w:pPr>
        <w:spacing w:before="101" w:line="408" w:lineRule="exact"/>
        <w:ind w:left="450"/>
        <w:rPr>
          <w:rFonts w:hint="eastAsia" w:ascii="宋体" w:hAnsi="宋体" w:cs="宋体"/>
          <w:sz w:val="24"/>
          <w:szCs w:val="24"/>
          <w:highlight w:val="none"/>
        </w:rPr>
      </w:pPr>
      <w:r>
        <w:rPr>
          <w:rFonts w:hint="eastAsia" w:ascii="宋体" w:hAnsi="宋体" w:cs="宋体"/>
          <w:spacing w:val="5"/>
          <w:position w:val="1"/>
          <w:sz w:val="24"/>
          <w:szCs w:val="24"/>
          <w:highlight w:val="none"/>
        </w:rPr>
        <w:t>甲方（盖章</w:t>
      </w:r>
      <w:r>
        <w:rPr>
          <w:rFonts w:hint="eastAsia" w:ascii="宋体" w:hAnsi="宋体" w:cs="宋体"/>
          <w:spacing w:val="-1"/>
          <w:position w:val="1"/>
          <w:sz w:val="24"/>
          <w:szCs w:val="24"/>
          <w:highlight w:val="none"/>
        </w:rPr>
        <w:t>）：</w:t>
      </w:r>
    </w:p>
    <w:p w14:paraId="43DE8753">
      <w:pPr>
        <w:pStyle w:val="8"/>
        <w:spacing w:before="143" w:line="335" w:lineRule="auto"/>
        <w:ind w:left="476" w:right="2805" w:hanging="57"/>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法定代表人 /  委托代理人（签名</w:t>
      </w:r>
      <w:r>
        <w:rPr>
          <w:rFonts w:hint="eastAsia" w:ascii="宋体" w:hAnsi="宋体" w:eastAsia="宋体" w:cs="宋体"/>
          <w:spacing w:val="-21"/>
          <w:sz w:val="24"/>
          <w:szCs w:val="24"/>
          <w:highlight w:val="none"/>
        </w:rPr>
        <w:t>）：</w:t>
      </w:r>
      <w:r>
        <w:rPr>
          <w:rFonts w:hint="eastAsia" w:ascii="宋体" w:hAnsi="宋体" w:eastAsia="宋体" w:cs="宋体"/>
          <w:spacing w:val="-25"/>
          <w:sz w:val="24"/>
          <w:szCs w:val="24"/>
          <w:highlight w:val="none"/>
        </w:rPr>
        <w:t>日期：</w:t>
      </w:r>
    </w:p>
    <w:p w14:paraId="2DAD9DE0">
      <w:pPr>
        <w:pStyle w:val="8"/>
        <w:spacing w:line="461" w:lineRule="auto"/>
        <w:rPr>
          <w:rFonts w:hint="eastAsia" w:ascii="宋体" w:hAnsi="宋体" w:eastAsia="宋体" w:cs="宋体"/>
          <w:sz w:val="24"/>
          <w:szCs w:val="24"/>
          <w:highlight w:val="none"/>
        </w:rPr>
      </w:pPr>
    </w:p>
    <w:p w14:paraId="453A52E7">
      <w:pPr>
        <w:spacing w:before="101" w:line="408" w:lineRule="exact"/>
        <w:ind w:left="440"/>
        <w:rPr>
          <w:rFonts w:hint="eastAsia" w:ascii="宋体" w:hAnsi="宋体" w:cs="宋体"/>
          <w:sz w:val="24"/>
          <w:szCs w:val="24"/>
          <w:highlight w:val="none"/>
        </w:rPr>
      </w:pPr>
      <w:r>
        <w:rPr>
          <w:rFonts w:hint="eastAsia" w:ascii="宋体" w:hAnsi="宋体" w:cs="宋体"/>
          <w:spacing w:val="7"/>
          <w:position w:val="1"/>
          <w:sz w:val="24"/>
          <w:szCs w:val="24"/>
          <w:highlight w:val="none"/>
        </w:rPr>
        <w:t>乙方（盖章</w:t>
      </w:r>
      <w:r>
        <w:rPr>
          <w:rFonts w:hint="eastAsia" w:ascii="宋体" w:hAnsi="宋体" w:cs="宋体"/>
          <w:spacing w:val="-1"/>
          <w:position w:val="1"/>
          <w:sz w:val="24"/>
          <w:szCs w:val="24"/>
          <w:highlight w:val="none"/>
        </w:rPr>
        <w:t>）：</w:t>
      </w:r>
    </w:p>
    <w:p w14:paraId="769C8B1A">
      <w:pPr>
        <w:pStyle w:val="8"/>
        <w:spacing w:before="141" w:line="335" w:lineRule="auto"/>
        <w:ind w:left="476" w:right="2805" w:hanging="57"/>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法定代表人 /  委托代理人（签名</w:t>
      </w:r>
      <w:r>
        <w:rPr>
          <w:rFonts w:hint="eastAsia" w:ascii="宋体" w:hAnsi="宋体" w:eastAsia="宋体" w:cs="宋体"/>
          <w:spacing w:val="-21"/>
          <w:sz w:val="24"/>
          <w:szCs w:val="24"/>
          <w:highlight w:val="none"/>
        </w:rPr>
        <w:t>）：</w:t>
      </w:r>
      <w:r>
        <w:rPr>
          <w:rFonts w:hint="eastAsia" w:ascii="宋体" w:hAnsi="宋体" w:eastAsia="宋体" w:cs="宋体"/>
          <w:spacing w:val="-25"/>
          <w:sz w:val="24"/>
          <w:szCs w:val="24"/>
          <w:highlight w:val="none"/>
        </w:rPr>
        <w:t>日期：</w:t>
      </w:r>
    </w:p>
    <w:p w14:paraId="4AD795E0">
      <w:pPr>
        <w:pStyle w:val="8"/>
        <w:spacing w:line="242" w:lineRule="auto"/>
        <w:rPr>
          <w:rFonts w:hint="eastAsia" w:ascii="宋体" w:hAnsi="宋体" w:eastAsia="宋体" w:cs="宋体"/>
          <w:highlight w:val="none"/>
        </w:rPr>
      </w:pPr>
    </w:p>
    <w:p w14:paraId="4AB3DF57">
      <w:pPr>
        <w:pStyle w:val="2"/>
        <w:rPr>
          <w:rFonts w:hint="eastAsia"/>
          <w:sz w:val="28"/>
          <w:szCs w:val="28"/>
          <w:highlight w:val="none"/>
        </w:rPr>
      </w:pPr>
      <w:r>
        <w:rPr>
          <w:rFonts w:hint="eastAsia"/>
          <w:highlight w:val="none"/>
        </w:rPr>
        <w:br w:type="page"/>
      </w:r>
    </w:p>
    <w:p w14:paraId="534D1E08">
      <w:pPr>
        <w:pStyle w:val="8"/>
        <w:spacing w:line="242" w:lineRule="auto"/>
        <w:rPr>
          <w:rFonts w:hint="eastAsia" w:ascii="宋体" w:hAnsi="宋体" w:eastAsia="宋体" w:cs="宋体"/>
          <w:highlight w:val="none"/>
        </w:rPr>
      </w:pPr>
    </w:p>
    <w:p w14:paraId="6887CDE6">
      <w:pPr>
        <w:pStyle w:val="8"/>
        <w:spacing w:line="242" w:lineRule="auto"/>
        <w:rPr>
          <w:rFonts w:hint="eastAsia" w:ascii="宋体" w:hAnsi="宋体" w:eastAsia="宋体" w:cs="宋体"/>
          <w:highlight w:val="none"/>
        </w:rPr>
      </w:pPr>
    </w:p>
    <w:p w14:paraId="06FDFA66">
      <w:pPr>
        <w:pStyle w:val="8"/>
        <w:spacing w:line="242" w:lineRule="auto"/>
        <w:rPr>
          <w:rFonts w:hint="eastAsia" w:ascii="宋体" w:hAnsi="宋体" w:eastAsia="宋体" w:cs="宋体"/>
          <w:highlight w:val="none"/>
        </w:rPr>
      </w:pPr>
    </w:p>
    <w:p w14:paraId="25AE28A0">
      <w:pPr>
        <w:pStyle w:val="8"/>
        <w:spacing w:line="242" w:lineRule="auto"/>
        <w:rPr>
          <w:rFonts w:hint="eastAsia" w:ascii="宋体" w:hAnsi="宋体" w:eastAsia="宋体" w:cs="宋体"/>
          <w:highlight w:val="none"/>
        </w:rPr>
      </w:pPr>
    </w:p>
    <w:p w14:paraId="50025396">
      <w:pPr>
        <w:pStyle w:val="8"/>
        <w:spacing w:line="242" w:lineRule="auto"/>
        <w:rPr>
          <w:rFonts w:hint="eastAsia" w:ascii="宋体" w:hAnsi="宋体" w:eastAsia="宋体" w:cs="宋体"/>
          <w:highlight w:val="none"/>
        </w:rPr>
      </w:pPr>
    </w:p>
    <w:p w14:paraId="7DF106E2">
      <w:pPr>
        <w:pStyle w:val="8"/>
        <w:spacing w:line="242" w:lineRule="auto"/>
        <w:rPr>
          <w:rFonts w:hint="eastAsia" w:ascii="宋体" w:hAnsi="宋体" w:eastAsia="宋体" w:cs="宋体"/>
          <w:highlight w:val="none"/>
        </w:rPr>
      </w:pPr>
    </w:p>
    <w:p w14:paraId="79582C2D">
      <w:pPr>
        <w:pStyle w:val="8"/>
        <w:spacing w:line="242" w:lineRule="auto"/>
        <w:rPr>
          <w:rFonts w:hint="eastAsia" w:ascii="宋体" w:hAnsi="宋体" w:eastAsia="宋体" w:cs="宋体"/>
          <w:highlight w:val="none"/>
        </w:rPr>
      </w:pPr>
    </w:p>
    <w:p w14:paraId="21C1D9A8">
      <w:pPr>
        <w:pStyle w:val="5"/>
        <w:rPr>
          <w:rFonts w:hint="eastAsia" w:ascii="宋体" w:hAnsi="宋体" w:eastAsia="宋体" w:cs="宋体"/>
          <w:sz w:val="24"/>
          <w:szCs w:val="20"/>
          <w:highlight w:val="none"/>
        </w:rPr>
      </w:pPr>
      <w:bookmarkStart w:id="224" w:name="_Toc1436044979"/>
      <w:r>
        <w:rPr>
          <w:rFonts w:hint="eastAsia" w:ascii="宋体" w:hAnsi="宋体" w:eastAsia="宋体" w:cs="宋体"/>
          <w:highlight w:val="none"/>
        </w:rPr>
        <w:t>采购子合同</w:t>
      </w:r>
      <w:bookmarkEnd w:id="224"/>
    </w:p>
    <w:p w14:paraId="62679BD5">
      <w:pPr>
        <w:widowControl/>
        <w:ind w:firstLine="480" w:firstLineChars="200"/>
        <w:jc w:val="left"/>
        <w:rPr>
          <w:rFonts w:hint="eastAsia" w:ascii="宋体" w:hAnsi="宋体" w:cs="宋体"/>
          <w:sz w:val="24"/>
          <w:szCs w:val="20"/>
          <w:highlight w:val="none"/>
        </w:rPr>
      </w:pPr>
      <w:r>
        <w:rPr>
          <w:rFonts w:hint="eastAsia" w:ascii="宋体" w:hAnsi="宋体" w:cs="宋体"/>
          <w:sz w:val="24"/>
          <w:szCs w:val="20"/>
          <w:highlight w:val="none"/>
        </w:rPr>
        <w:t>本合同文本为国管局办公室 市场监管总局办公厅发布的《公共机构能源费用托管项目服务合同（示范文本）》，如遇和实际情况有不符之处，双方签订合同时根据实际情况修改。</w:t>
      </w:r>
    </w:p>
    <w:p w14:paraId="42A76598">
      <w:pPr>
        <w:spacing w:before="2"/>
        <w:rPr>
          <w:rFonts w:hint="eastAsia" w:ascii="宋体" w:hAnsi="宋体" w:cs="宋体"/>
          <w:highlight w:val="none"/>
        </w:rPr>
      </w:pPr>
    </w:p>
    <w:p w14:paraId="2B2ABA41">
      <w:pPr>
        <w:spacing w:before="2"/>
        <w:rPr>
          <w:rFonts w:hint="eastAsia" w:ascii="宋体" w:hAnsi="宋体" w:cs="宋体"/>
          <w:highlight w:val="none"/>
        </w:rPr>
      </w:pPr>
    </w:p>
    <w:p w14:paraId="0CAFF3A0">
      <w:pPr>
        <w:spacing w:before="1"/>
        <w:rPr>
          <w:rFonts w:hint="eastAsia" w:ascii="宋体" w:hAnsi="宋体" w:cs="宋体"/>
          <w:highlight w:val="none"/>
        </w:rPr>
      </w:pPr>
    </w:p>
    <w:p w14:paraId="2755C582">
      <w:pPr>
        <w:spacing w:before="169" w:line="259" w:lineRule="auto"/>
        <w:ind w:left="1134" w:right="1047" w:firstLine="57"/>
        <w:rPr>
          <w:rFonts w:hint="eastAsia" w:ascii="宋体" w:hAnsi="宋体" w:cs="宋体"/>
          <w:b/>
          <w:bCs/>
          <w:spacing w:val="-7"/>
          <w:sz w:val="52"/>
          <w:szCs w:val="52"/>
          <w:highlight w:val="none"/>
        </w:rPr>
      </w:pPr>
      <w:r>
        <w:rPr>
          <w:rFonts w:hint="eastAsia" w:ascii="宋体" w:hAnsi="宋体" w:cs="宋体"/>
          <w:b/>
          <w:bCs/>
          <w:spacing w:val="-7"/>
          <w:sz w:val="52"/>
          <w:szCs w:val="52"/>
          <w:highlight w:val="none"/>
        </w:rPr>
        <w:t>公共机构能源费用托管项目</w:t>
      </w:r>
    </w:p>
    <w:p w14:paraId="303E6520">
      <w:pPr>
        <w:spacing w:before="169" w:line="259" w:lineRule="auto"/>
        <w:ind w:left="1134" w:right="1047" w:firstLine="57"/>
        <w:jc w:val="center"/>
        <w:rPr>
          <w:rFonts w:hint="eastAsia" w:ascii="宋体" w:hAnsi="宋体" w:cs="宋体"/>
          <w:b/>
          <w:bCs/>
          <w:spacing w:val="-7"/>
          <w:sz w:val="52"/>
          <w:szCs w:val="52"/>
          <w:highlight w:val="none"/>
        </w:rPr>
      </w:pPr>
      <w:r>
        <w:rPr>
          <w:rFonts w:hint="eastAsia" w:ascii="宋体" w:hAnsi="宋体" w:cs="宋体"/>
          <w:b/>
          <w:bCs/>
          <w:spacing w:val="-7"/>
          <w:sz w:val="52"/>
          <w:szCs w:val="52"/>
          <w:highlight w:val="none"/>
        </w:rPr>
        <w:t>服务合同</w:t>
      </w:r>
    </w:p>
    <w:p w14:paraId="209641FD">
      <w:pPr>
        <w:spacing w:before="169" w:line="259" w:lineRule="auto"/>
        <w:ind w:left="1134" w:right="1047" w:firstLine="57"/>
        <w:jc w:val="center"/>
        <w:rPr>
          <w:rFonts w:hint="eastAsia" w:ascii="宋体" w:hAnsi="宋体" w:cs="宋体"/>
          <w:b/>
          <w:bCs/>
          <w:spacing w:val="-7"/>
          <w:sz w:val="52"/>
          <w:szCs w:val="52"/>
          <w:highlight w:val="none"/>
        </w:rPr>
      </w:pPr>
      <w:r>
        <w:rPr>
          <w:rFonts w:hint="eastAsia" w:ascii="宋体" w:hAnsi="宋体" w:cs="宋体"/>
          <w:b/>
          <w:bCs/>
          <w:spacing w:val="-7"/>
          <w:sz w:val="52"/>
          <w:szCs w:val="52"/>
          <w:highlight w:val="none"/>
        </w:rPr>
        <w:t>（示范文本）</w:t>
      </w:r>
    </w:p>
    <w:p w14:paraId="6F5C7258">
      <w:pPr>
        <w:spacing w:before="1"/>
        <w:rPr>
          <w:rFonts w:hint="eastAsia" w:ascii="宋体" w:hAnsi="宋体" w:cs="宋体"/>
          <w:highlight w:val="none"/>
        </w:rPr>
      </w:pPr>
    </w:p>
    <w:p w14:paraId="3D5F847D">
      <w:pPr>
        <w:spacing w:before="1"/>
        <w:rPr>
          <w:rFonts w:hint="eastAsia" w:ascii="宋体" w:hAnsi="宋体" w:cs="宋体"/>
          <w:highlight w:val="none"/>
        </w:rPr>
      </w:pPr>
    </w:p>
    <w:p w14:paraId="066E1078">
      <w:pPr>
        <w:spacing w:before="1"/>
        <w:rPr>
          <w:rFonts w:hint="eastAsia" w:ascii="宋体" w:hAnsi="宋体" w:cs="宋体"/>
          <w:highlight w:val="none"/>
        </w:rPr>
      </w:pPr>
    </w:p>
    <w:p w14:paraId="6C496F1C">
      <w:pPr>
        <w:spacing w:before="1"/>
        <w:rPr>
          <w:rFonts w:hint="eastAsia" w:ascii="宋体" w:hAnsi="宋体" w:cs="宋体"/>
          <w:highlight w:val="none"/>
        </w:rPr>
      </w:pPr>
    </w:p>
    <w:p w14:paraId="6DBC5535">
      <w:pPr>
        <w:spacing w:before="1"/>
        <w:rPr>
          <w:rFonts w:hint="eastAsia" w:ascii="宋体" w:hAnsi="宋体" w:cs="宋体"/>
          <w:highlight w:val="none"/>
        </w:rPr>
      </w:pPr>
    </w:p>
    <w:p w14:paraId="59745330">
      <w:pPr>
        <w:pStyle w:val="8"/>
        <w:ind w:firstLine="2640" w:firstLineChars="800"/>
        <w:rPr>
          <w:rFonts w:hint="eastAsia" w:ascii="宋体" w:hAnsi="宋体" w:eastAsia="宋体" w:cs="宋体"/>
          <w:spacing w:val="5"/>
          <w:position w:val="2"/>
          <w:sz w:val="32"/>
          <w:szCs w:val="32"/>
          <w:highlight w:val="none"/>
        </w:rPr>
      </w:pPr>
      <w:r>
        <w:rPr>
          <w:rFonts w:hint="eastAsia" w:ascii="宋体" w:hAnsi="宋体" w:eastAsia="宋体" w:cs="宋体"/>
          <w:spacing w:val="5"/>
          <w:position w:val="2"/>
          <w:sz w:val="32"/>
          <w:szCs w:val="32"/>
          <w:highlight w:val="none"/>
        </w:rPr>
        <w:t>国家机关事务管理局</w:t>
      </w:r>
    </w:p>
    <w:p w14:paraId="6C7AE2F5">
      <w:pPr>
        <w:pStyle w:val="8"/>
        <w:jc w:val="center"/>
        <w:rPr>
          <w:rFonts w:hint="eastAsia" w:ascii="宋体" w:hAnsi="宋体" w:eastAsia="宋体" w:cs="宋体"/>
          <w:spacing w:val="5"/>
          <w:position w:val="2"/>
          <w:sz w:val="32"/>
          <w:szCs w:val="32"/>
          <w:highlight w:val="none"/>
        </w:rPr>
      </w:pPr>
      <w:r>
        <w:rPr>
          <w:rFonts w:hint="eastAsia" w:ascii="宋体" w:hAnsi="宋体" w:eastAsia="宋体" w:cs="宋体"/>
          <w:spacing w:val="5"/>
          <w:position w:val="2"/>
          <w:sz w:val="32"/>
          <w:szCs w:val="32"/>
          <w:highlight w:val="none"/>
        </w:rPr>
        <w:t>国家市场监督管理总局      制定</w:t>
      </w:r>
    </w:p>
    <w:p w14:paraId="7EFDE9C8">
      <w:pPr>
        <w:pStyle w:val="8"/>
        <w:rPr>
          <w:rFonts w:hint="eastAsia" w:ascii="宋体" w:hAnsi="宋体" w:eastAsia="宋体" w:cs="宋体"/>
          <w:spacing w:val="5"/>
          <w:position w:val="2"/>
          <w:sz w:val="43"/>
          <w:szCs w:val="43"/>
          <w:highlight w:val="none"/>
        </w:rPr>
      </w:pPr>
    </w:p>
    <w:p w14:paraId="27FD28F5">
      <w:pPr>
        <w:spacing w:before="1"/>
        <w:rPr>
          <w:rFonts w:hint="eastAsia" w:ascii="宋体" w:hAnsi="宋体" w:cs="宋体"/>
          <w:highlight w:val="none"/>
        </w:rPr>
      </w:pPr>
    </w:p>
    <w:p w14:paraId="5155A437">
      <w:pPr>
        <w:spacing w:before="1"/>
        <w:rPr>
          <w:rFonts w:hint="eastAsia" w:ascii="宋体" w:hAnsi="宋体" w:cs="宋体"/>
          <w:highlight w:val="none"/>
        </w:rPr>
      </w:pPr>
    </w:p>
    <w:p w14:paraId="641B3C8F">
      <w:pPr>
        <w:pStyle w:val="8"/>
        <w:jc w:val="center"/>
        <w:rPr>
          <w:rFonts w:hint="eastAsia" w:ascii="宋体" w:hAnsi="宋体" w:eastAsia="宋体" w:cs="宋体"/>
          <w:b/>
          <w:spacing w:val="5"/>
          <w:position w:val="2"/>
          <w:highlight w:val="none"/>
        </w:rPr>
      </w:pPr>
      <w:r>
        <w:rPr>
          <w:rFonts w:hint="eastAsia" w:ascii="宋体" w:hAnsi="宋体" w:eastAsia="宋体" w:cs="宋体"/>
          <w:spacing w:val="6"/>
          <w:sz w:val="35"/>
          <w:szCs w:val="35"/>
          <w:highlight w:val="none"/>
        </w:rPr>
        <w:t>二〇二六年    月</w:t>
      </w:r>
    </w:p>
    <w:p w14:paraId="5A9BAE5C">
      <w:pPr>
        <w:pStyle w:val="8"/>
        <w:jc w:val="center"/>
        <w:rPr>
          <w:rFonts w:hint="eastAsia" w:ascii="宋体" w:hAnsi="宋体" w:eastAsia="宋体" w:cs="宋体"/>
          <w:b/>
          <w:spacing w:val="5"/>
          <w:position w:val="2"/>
          <w:highlight w:val="none"/>
        </w:rPr>
      </w:pPr>
    </w:p>
    <w:p w14:paraId="4FD222AC">
      <w:pPr>
        <w:pStyle w:val="8"/>
        <w:rPr>
          <w:rFonts w:hint="eastAsia" w:ascii="宋体" w:hAnsi="宋体" w:eastAsia="宋体" w:cs="宋体"/>
          <w:b/>
          <w:spacing w:val="5"/>
          <w:position w:val="2"/>
          <w:highlight w:val="none"/>
        </w:rPr>
      </w:pPr>
    </w:p>
    <w:p w14:paraId="7E4AED4F">
      <w:pPr>
        <w:widowControl/>
        <w:jc w:val="left"/>
        <w:rPr>
          <w:rFonts w:hint="eastAsia" w:ascii="宋体" w:hAnsi="宋体" w:cs="宋体"/>
          <w:b/>
          <w:spacing w:val="5"/>
          <w:position w:val="2"/>
          <w:sz w:val="28"/>
          <w:szCs w:val="28"/>
          <w:highlight w:val="none"/>
        </w:rPr>
      </w:pPr>
    </w:p>
    <w:p w14:paraId="3364DA9C">
      <w:pPr>
        <w:pStyle w:val="8"/>
        <w:jc w:val="center"/>
        <w:rPr>
          <w:rFonts w:hint="eastAsia" w:ascii="宋体" w:hAnsi="宋体" w:eastAsia="宋体" w:cs="宋体"/>
          <w:b/>
          <w:highlight w:val="none"/>
        </w:rPr>
      </w:pPr>
      <w:r>
        <w:rPr>
          <w:rFonts w:hint="eastAsia" w:ascii="宋体" w:hAnsi="宋体" w:eastAsia="宋体" w:cs="宋体"/>
          <w:b/>
          <w:spacing w:val="5"/>
          <w:position w:val="2"/>
          <w:highlight w:val="none"/>
        </w:rPr>
        <w:t>使用说明</w:t>
      </w:r>
    </w:p>
    <w:p w14:paraId="621366D3">
      <w:pPr>
        <w:spacing w:before="100" w:line="300" w:lineRule="auto"/>
        <w:ind w:left="13" w:right="97" w:firstLine="659"/>
        <w:rPr>
          <w:rFonts w:hint="eastAsia" w:ascii="宋体" w:hAnsi="宋体" w:cs="宋体"/>
          <w:highlight w:val="none"/>
        </w:rPr>
      </w:pPr>
      <w:r>
        <w:rPr>
          <w:rFonts w:hint="eastAsia" w:ascii="宋体" w:hAnsi="宋体" w:cs="宋体"/>
          <w:highlight w:val="none"/>
        </w:rPr>
        <w:t>一、本合同示范文本供公共机构用能单位（</w:t>
      </w:r>
      <w:r>
        <w:rPr>
          <w:rFonts w:hint="eastAsia" w:ascii="宋体" w:hAnsi="宋体" w:cs="宋体"/>
          <w:spacing w:val="-48"/>
          <w:highlight w:val="none"/>
        </w:rPr>
        <w:t xml:space="preserve"> </w:t>
      </w:r>
      <w:r>
        <w:rPr>
          <w:rFonts w:hint="eastAsia" w:ascii="宋体" w:hAnsi="宋体" w:cs="宋体"/>
          <w:highlight w:val="none"/>
        </w:rPr>
        <w:t>甲方）就保</w:t>
      </w:r>
      <w:r>
        <w:rPr>
          <w:rFonts w:hint="eastAsia" w:ascii="宋体" w:hAnsi="宋体" w:cs="宋体"/>
          <w:spacing w:val="-1"/>
          <w:highlight w:val="none"/>
        </w:rPr>
        <w:t>障自</w:t>
      </w:r>
      <w:r>
        <w:rPr>
          <w:rFonts w:hint="eastAsia" w:ascii="宋体" w:hAnsi="宋体" w:cs="宋体"/>
          <w:spacing w:val="2"/>
          <w:highlight w:val="none"/>
        </w:rPr>
        <w:t>身运转的用能事项与节能服务公司（</w:t>
      </w:r>
      <w:r>
        <w:rPr>
          <w:rFonts w:hint="eastAsia" w:ascii="宋体" w:hAnsi="宋体" w:cs="宋体"/>
          <w:spacing w:val="-57"/>
          <w:highlight w:val="none"/>
        </w:rPr>
        <w:t xml:space="preserve"> </w:t>
      </w:r>
      <w:r>
        <w:rPr>
          <w:rFonts w:hint="eastAsia" w:ascii="宋体" w:hAnsi="宋体" w:cs="宋体"/>
          <w:spacing w:val="2"/>
          <w:highlight w:val="none"/>
        </w:rPr>
        <w:t>乙方，</w:t>
      </w:r>
      <w:r>
        <w:rPr>
          <w:rFonts w:hint="eastAsia" w:ascii="宋体" w:hAnsi="宋体" w:cs="宋体"/>
          <w:spacing w:val="1"/>
          <w:highlight w:val="none"/>
        </w:rPr>
        <w:t>含全部联合体成员单</w:t>
      </w:r>
      <w:r>
        <w:rPr>
          <w:rFonts w:hint="eastAsia" w:ascii="宋体" w:hAnsi="宋体" w:cs="宋体"/>
          <w:spacing w:val="8"/>
          <w:highlight w:val="none"/>
        </w:rPr>
        <w:t>位）订立能源费用托管项目服务合同时参照使用。</w:t>
      </w:r>
    </w:p>
    <w:p w14:paraId="3CCEEB5D">
      <w:pPr>
        <w:spacing w:before="2" w:line="300" w:lineRule="auto"/>
        <w:ind w:left="14" w:firstLine="653"/>
        <w:rPr>
          <w:rFonts w:hint="eastAsia" w:ascii="宋体" w:hAnsi="宋体" w:cs="宋体"/>
          <w:highlight w:val="none"/>
        </w:rPr>
      </w:pPr>
      <w:r>
        <w:rPr>
          <w:rFonts w:hint="eastAsia" w:ascii="宋体" w:hAnsi="宋体" w:cs="宋体"/>
          <w:spacing w:val="-4"/>
          <w:highlight w:val="none"/>
        </w:rPr>
        <w:t>二、甲方、乙方在使用本合同前应仔细阅读本合同全部内容，</w:t>
      </w:r>
      <w:r>
        <w:rPr>
          <w:rFonts w:hint="eastAsia" w:ascii="宋体" w:hAnsi="宋体" w:cs="宋体"/>
          <w:spacing w:val="8"/>
          <w:highlight w:val="none"/>
        </w:rPr>
        <w:t>并可以对本合同内容进行修改、增补或删减，但不得违反法律、</w:t>
      </w:r>
      <w:r>
        <w:rPr>
          <w:rFonts w:hint="eastAsia" w:ascii="宋体" w:hAnsi="宋体" w:cs="宋体"/>
          <w:spacing w:val="5"/>
          <w:highlight w:val="none"/>
        </w:rPr>
        <w:t>行政法规的强制性规定，不得违背公序良俗，不得违反政府采购</w:t>
      </w:r>
      <w:r>
        <w:rPr>
          <w:rFonts w:hint="eastAsia" w:ascii="宋体" w:hAnsi="宋体" w:cs="宋体"/>
          <w:spacing w:val="4"/>
          <w:highlight w:val="none"/>
        </w:rPr>
        <w:t>相关规定。</w:t>
      </w:r>
    </w:p>
    <w:p w14:paraId="71C50D6D">
      <w:pPr>
        <w:spacing w:before="2" w:line="300" w:lineRule="auto"/>
        <w:ind w:right="95" w:firstLine="672"/>
        <w:rPr>
          <w:rFonts w:hint="eastAsia" w:ascii="宋体" w:hAnsi="宋体" w:cs="宋体"/>
          <w:highlight w:val="none"/>
        </w:rPr>
      </w:pPr>
      <w:r>
        <w:rPr>
          <w:rFonts w:hint="eastAsia" w:ascii="宋体" w:hAnsi="宋体" w:cs="宋体"/>
          <w:spacing w:val="4"/>
          <w:highlight w:val="none"/>
        </w:rPr>
        <w:t>三、本合同示范文本的相关条款中留有空白位置，供当事人</w:t>
      </w:r>
      <w:r>
        <w:rPr>
          <w:rFonts w:hint="eastAsia" w:ascii="宋体" w:hAnsi="宋体" w:cs="宋体"/>
          <w:spacing w:val="5"/>
          <w:highlight w:val="none"/>
        </w:rPr>
        <w:t>自行约定或者补充约定，相关条款中需要约定的内容较多、篇幅</w:t>
      </w:r>
      <w:r>
        <w:rPr>
          <w:rFonts w:hint="eastAsia" w:ascii="宋体" w:hAnsi="宋体" w:cs="宋体"/>
          <w:spacing w:val="6"/>
          <w:highlight w:val="none"/>
        </w:rPr>
        <w:t>较长的，可以调整为合同附件。本合同“□”</w:t>
      </w:r>
      <w:r>
        <w:rPr>
          <w:rFonts w:hint="eastAsia" w:ascii="宋体" w:hAnsi="宋体" w:cs="宋体"/>
          <w:spacing w:val="5"/>
          <w:highlight w:val="none"/>
        </w:rPr>
        <w:t>的部分供甲方、乙</w:t>
      </w:r>
      <w:r>
        <w:rPr>
          <w:rFonts w:hint="eastAsia" w:ascii="宋体" w:hAnsi="宋体" w:cs="宋体"/>
          <w:spacing w:val="6"/>
          <w:highlight w:val="none"/>
        </w:rPr>
        <w:t>方协商选择，共同约定或选择的，在空格处划</w:t>
      </w:r>
      <w:r>
        <w:rPr>
          <w:rFonts w:hint="eastAsia" w:ascii="宋体" w:hAnsi="宋体" w:cs="宋体"/>
          <w:spacing w:val="5"/>
          <w:highlight w:val="none"/>
        </w:rPr>
        <w:t>“√”；对于实际情况未发生或双方当事人不作约定时，请保留空格或在空格处划</w:t>
      </w:r>
      <w:r>
        <w:rPr>
          <w:rFonts w:hint="eastAsia" w:ascii="宋体" w:hAnsi="宋体" w:cs="宋体"/>
          <w:spacing w:val="-14"/>
          <w:highlight w:val="none"/>
        </w:rPr>
        <w:t>“</w:t>
      </w:r>
      <w:r>
        <w:rPr>
          <w:rFonts w:hint="eastAsia" w:ascii="宋体" w:hAnsi="宋体" w:cs="宋体"/>
          <w:spacing w:val="-64"/>
          <w:highlight w:val="none"/>
        </w:rPr>
        <w:t xml:space="preserve"> </w:t>
      </w:r>
      <w:r>
        <w:rPr>
          <w:rFonts w:hint="eastAsia" w:ascii="宋体" w:hAnsi="宋体" w:cs="宋体"/>
          <w:spacing w:val="-14"/>
          <w:highlight w:val="none"/>
        </w:rPr>
        <w:t>×”</w:t>
      </w:r>
      <w:r>
        <w:rPr>
          <w:rFonts w:hint="eastAsia" w:ascii="宋体" w:hAnsi="宋体" w:cs="宋体"/>
          <w:spacing w:val="-115"/>
          <w:highlight w:val="none"/>
        </w:rPr>
        <w:t xml:space="preserve"> </w:t>
      </w:r>
      <w:r>
        <w:rPr>
          <w:rFonts w:hint="eastAsia" w:ascii="宋体" w:hAnsi="宋体" w:cs="宋体"/>
          <w:spacing w:val="-14"/>
          <w:highlight w:val="none"/>
        </w:rPr>
        <w:t>,</w:t>
      </w:r>
      <w:r>
        <w:rPr>
          <w:rFonts w:hint="eastAsia" w:ascii="宋体" w:hAnsi="宋体" w:cs="宋体"/>
          <w:spacing w:val="116"/>
          <w:highlight w:val="none"/>
        </w:rPr>
        <w:t xml:space="preserve"> </w:t>
      </w:r>
      <w:r>
        <w:rPr>
          <w:rFonts w:hint="eastAsia" w:ascii="宋体" w:hAnsi="宋体" w:cs="宋体"/>
          <w:spacing w:val="-14"/>
          <w:highlight w:val="none"/>
        </w:rPr>
        <w:t>以示不予选择。</w:t>
      </w:r>
    </w:p>
    <w:p w14:paraId="4A771C22">
      <w:pPr>
        <w:spacing w:before="3" w:line="300" w:lineRule="auto"/>
        <w:ind w:left="11" w:right="39" w:firstLine="684"/>
        <w:rPr>
          <w:rFonts w:hint="eastAsia" w:ascii="宋体" w:hAnsi="宋体" w:cs="宋体"/>
          <w:highlight w:val="none"/>
        </w:rPr>
      </w:pPr>
      <w:r>
        <w:rPr>
          <w:rFonts w:hint="eastAsia" w:ascii="宋体" w:hAnsi="宋体" w:cs="宋体"/>
          <w:spacing w:val="5"/>
          <w:highlight w:val="none"/>
        </w:rPr>
        <w:t>四、本合同示范文本仅适用于公共机构能源费用托管事项；除水、电、燃气、蒸汽、热力等纳入托管范围的能源资源系统发生的运维事项以外，不适用于其他未纳入托管范围的各类系统的</w:t>
      </w:r>
      <w:r>
        <w:rPr>
          <w:rFonts w:hint="eastAsia" w:ascii="宋体" w:hAnsi="宋体" w:cs="宋体"/>
          <w:spacing w:val="7"/>
          <w:highlight w:val="none"/>
        </w:rPr>
        <w:t>运维事项或其他物业事项。</w:t>
      </w:r>
    </w:p>
    <w:p w14:paraId="030F91F9">
      <w:pPr>
        <w:spacing w:before="6" w:line="300" w:lineRule="auto"/>
        <w:ind w:left="663"/>
        <w:rPr>
          <w:rFonts w:hint="eastAsia" w:ascii="宋体" w:hAnsi="宋体" w:cs="宋体"/>
          <w:highlight w:val="none"/>
        </w:rPr>
      </w:pPr>
      <w:r>
        <w:rPr>
          <w:rFonts w:hint="eastAsia" w:ascii="宋体" w:hAnsi="宋体" w:cs="宋体"/>
          <w:spacing w:val="8"/>
          <w:highlight w:val="none"/>
        </w:rPr>
        <w:t>五、本合同及相关附件中涉及的有关术语，其定义如下：</w:t>
      </w:r>
    </w:p>
    <w:p w14:paraId="74DF208C">
      <w:pPr>
        <w:spacing w:before="101" w:line="300" w:lineRule="auto"/>
        <w:ind w:left="210" w:leftChars="100" w:right="57" w:firstLine="429" w:firstLineChars="199"/>
        <w:rPr>
          <w:rFonts w:hint="eastAsia" w:ascii="宋体" w:hAnsi="宋体" w:cs="宋体"/>
          <w:highlight w:val="none"/>
        </w:rPr>
      </w:pPr>
      <w:r>
        <w:rPr>
          <w:rFonts w:hint="eastAsia" w:ascii="宋体" w:hAnsi="宋体" w:cs="宋体"/>
          <w:spacing w:val="3"/>
          <w:highlight w:val="none"/>
        </w:rPr>
        <w:t>（</w:t>
      </w:r>
      <w:r>
        <w:rPr>
          <w:rFonts w:hint="eastAsia" w:ascii="宋体" w:hAnsi="宋体" w:cs="宋体"/>
          <w:spacing w:val="-76"/>
          <w:highlight w:val="none"/>
        </w:rPr>
        <w:t xml:space="preserve"> </w:t>
      </w:r>
      <w:r>
        <w:rPr>
          <w:rFonts w:hint="eastAsia" w:ascii="宋体" w:hAnsi="宋体" w:cs="宋体"/>
          <w:spacing w:val="3"/>
          <w:highlight w:val="none"/>
        </w:rPr>
        <w:t>一）合同能源管理：指用能单位和节能服务</w:t>
      </w:r>
      <w:r>
        <w:rPr>
          <w:rFonts w:hint="eastAsia" w:ascii="宋体" w:hAnsi="宋体" w:cs="宋体"/>
          <w:spacing w:val="2"/>
          <w:highlight w:val="none"/>
        </w:rPr>
        <w:t>公司以契约形</w:t>
      </w:r>
      <w:r>
        <w:rPr>
          <w:rFonts w:hint="eastAsia" w:ascii="宋体" w:hAnsi="宋体" w:cs="宋体"/>
          <w:spacing w:val="4"/>
          <w:highlight w:val="none"/>
        </w:rPr>
        <w:t>式约定项目节能目标，节能服务公司为实现节能目标向用能单位</w:t>
      </w:r>
      <w:r>
        <w:rPr>
          <w:rFonts w:hint="eastAsia" w:ascii="宋体" w:hAnsi="宋体" w:cs="宋体"/>
          <w:spacing w:val="5"/>
          <w:highlight w:val="none"/>
        </w:rPr>
        <w:t>提供服务，用能单位以合同约定的节能效益、节能服务费或能源</w:t>
      </w:r>
      <w:r>
        <w:rPr>
          <w:rFonts w:hint="eastAsia" w:ascii="宋体" w:hAnsi="宋体" w:cs="宋体"/>
          <w:spacing w:val="9"/>
          <w:highlight w:val="none"/>
        </w:rPr>
        <w:t>托管费支付节能服务公司的投入及合理利润的节能服</w:t>
      </w:r>
      <w:r>
        <w:rPr>
          <w:rFonts w:hint="eastAsia" w:ascii="宋体" w:hAnsi="宋体" w:cs="宋体"/>
          <w:spacing w:val="8"/>
          <w:highlight w:val="none"/>
        </w:rPr>
        <w:t>务机制。</w:t>
      </w:r>
    </w:p>
    <w:p w14:paraId="4618B226">
      <w:pPr>
        <w:spacing w:before="4" w:line="300" w:lineRule="auto"/>
        <w:ind w:right="52" w:firstLine="615"/>
        <w:rPr>
          <w:rFonts w:hint="eastAsia" w:ascii="宋体" w:hAnsi="宋体" w:cs="宋体"/>
          <w:highlight w:val="none"/>
        </w:rPr>
      </w:pPr>
      <w:r>
        <w:rPr>
          <w:rFonts w:hint="eastAsia" w:ascii="宋体" w:hAnsi="宋体" w:cs="宋体"/>
          <w:spacing w:val="3"/>
          <w:highlight w:val="none"/>
        </w:rPr>
        <w:t>（</w:t>
      </w:r>
      <w:r>
        <w:rPr>
          <w:rFonts w:hint="eastAsia" w:ascii="宋体" w:hAnsi="宋体" w:cs="宋体"/>
          <w:spacing w:val="-82"/>
          <w:highlight w:val="none"/>
        </w:rPr>
        <w:t xml:space="preserve"> </w:t>
      </w:r>
      <w:r>
        <w:rPr>
          <w:rFonts w:hint="eastAsia" w:ascii="宋体" w:hAnsi="宋体" w:cs="宋体"/>
          <w:spacing w:val="3"/>
          <w:highlight w:val="none"/>
        </w:rPr>
        <w:t>二）能源费用托管：指用能单位委托节能服务公司</w:t>
      </w:r>
      <w:r>
        <w:rPr>
          <w:rFonts w:hint="eastAsia" w:ascii="宋体" w:hAnsi="宋体" w:cs="宋体"/>
          <w:spacing w:val="2"/>
          <w:highlight w:val="none"/>
        </w:rPr>
        <w:t>，进行</w:t>
      </w:r>
      <w:r>
        <w:rPr>
          <w:rFonts w:hint="eastAsia" w:ascii="宋体" w:hAnsi="宋体" w:cs="宋体"/>
          <w:spacing w:val="5"/>
          <w:highlight w:val="none"/>
        </w:rPr>
        <w:t>电、气、煤、油、市政热力、集中供冷、水等能源资源系统的运行、管理、维护和改造，用能单位将根据能源基准确定的费用支付给节能服务公司作为托管费用，节能服务公司通过科学的管理</w:t>
      </w:r>
      <w:r>
        <w:rPr>
          <w:rFonts w:hint="eastAsia" w:ascii="宋体" w:hAnsi="宋体" w:cs="宋体"/>
          <w:spacing w:val="13"/>
          <w:highlight w:val="none"/>
        </w:rPr>
        <w:t>运行和节能技术的应用达到节约能源资源、减少费用支出等</w:t>
      </w:r>
      <w:r>
        <w:rPr>
          <w:rFonts w:hint="eastAsia" w:ascii="宋体" w:hAnsi="宋体" w:cs="宋体"/>
          <w:spacing w:val="-50"/>
          <w:highlight w:val="none"/>
        </w:rPr>
        <w:t xml:space="preserve"> </w:t>
      </w:r>
      <w:r>
        <w:rPr>
          <w:rFonts w:hint="eastAsia" w:ascii="宋体" w:hAnsi="宋体" w:cs="宋体"/>
          <w:spacing w:val="13"/>
          <w:highlight w:val="none"/>
        </w:rPr>
        <w:t>目</w:t>
      </w:r>
      <w:r>
        <w:rPr>
          <w:rFonts w:hint="eastAsia" w:ascii="宋体" w:hAnsi="宋体" w:cs="宋体"/>
          <w:spacing w:val="8"/>
          <w:highlight w:val="none"/>
        </w:rPr>
        <w:t>的，获取合理的利润的一种合同能源管理形式。</w:t>
      </w:r>
    </w:p>
    <w:p w14:paraId="36DACA65">
      <w:pPr>
        <w:spacing w:before="5" w:line="300" w:lineRule="auto"/>
        <w:ind w:left="7" w:right="54" w:firstLine="607"/>
        <w:rPr>
          <w:rFonts w:hint="eastAsia" w:ascii="宋体" w:hAnsi="宋体" w:cs="宋体"/>
          <w:highlight w:val="none"/>
        </w:rPr>
      </w:pPr>
      <w:r>
        <w:rPr>
          <w:rFonts w:hint="eastAsia" w:ascii="宋体" w:hAnsi="宋体" w:cs="宋体"/>
          <w:spacing w:val="3"/>
          <w:highlight w:val="none"/>
        </w:rPr>
        <w:t>（</w:t>
      </w:r>
      <w:r>
        <w:rPr>
          <w:rFonts w:hint="eastAsia" w:ascii="宋体" w:hAnsi="宋体" w:cs="宋体"/>
          <w:spacing w:val="-76"/>
          <w:highlight w:val="none"/>
        </w:rPr>
        <w:t xml:space="preserve"> </w:t>
      </w:r>
      <w:r>
        <w:rPr>
          <w:rFonts w:hint="eastAsia" w:ascii="宋体" w:hAnsi="宋体" w:cs="宋体"/>
          <w:spacing w:val="3"/>
          <w:highlight w:val="none"/>
        </w:rPr>
        <w:t>三）能源托管费用：指甲乙双方签订能源费</w:t>
      </w:r>
      <w:r>
        <w:rPr>
          <w:rFonts w:hint="eastAsia" w:ascii="宋体" w:hAnsi="宋体" w:cs="宋体"/>
          <w:spacing w:val="2"/>
          <w:highlight w:val="none"/>
        </w:rPr>
        <w:t>用托管项目服</w:t>
      </w:r>
      <w:r>
        <w:rPr>
          <w:rFonts w:hint="eastAsia" w:ascii="宋体" w:hAnsi="宋体" w:cs="宋体"/>
          <w:spacing w:val="-6"/>
          <w:highlight w:val="none"/>
        </w:rPr>
        <w:t>务合同后，根据能源基准确定的甲方（用能单位）支付给乙方（节</w:t>
      </w:r>
      <w:r>
        <w:rPr>
          <w:rFonts w:hint="eastAsia" w:ascii="宋体" w:hAnsi="宋体" w:cs="宋体"/>
          <w:spacing w:val="5"/>
          <w:highlight w:val="none"/>
        </w:rPr>
        <w:t>能服务公司）的能源托管款项。既包括按照托管范围内</w:t>
      </w:r>
      <w:r>
        <w:rPr>
          <w:rFonts w:hint="eastAsia" w:ascii="宋体" w:hAnsi="宋体" w:cs="宋体"/>
          <w:spacing w:val="4"/>
          <w:highlight w:val="none"/>
        </w:rPr>
        <w:t>的能源基</w:t>
      </w:r>
      <w:r>
        <w:rPr>
          <w:rFonts w:hint="eastAsia" w:ascii="宋体" w:hAnsi="宋体" w:cs="宋体"/>
          <w:spacing w:val="5"/>
          <w:highlight w:val="none"/>
        </w:rPr>
        <w:t>准和相应能源资源单价测算得出的能源资源费用，也可包括对托</w:t>
      </w:r>
      <w:r>
        <w:rPr>
          <w:rFonts w:hint="eastAsia" w:ascii="宋体" w:hAnsi="宋体" w:cs="宋体"/>
          <w:spacing w:val="8"/>
          <w:highlight w:val="none"/>
        </w:rPr>
        <w:t>管范围内能源资源系统的运行管理、维修维护等运维费用。</w:t>
      </w:r>
    </w:p>
    <w:p w14:paraId="63219907">
      <w:pPr>
        <w:spacing w:before="5" w:line="300" w:lineRule="auto"/>
        <w:ind w:left="48" w:firstLine="566"/>
        <w:rPr>
          <w:rFonts w:hint="eastAsia" w:ascii="宋体" w:hAnsi="宋体" w:cs="宋体"/>
          <w:highlight w:val="none"/>
        </w:rPr>
      </w:pPr>
      <w:r>
        <w:rPr>
          <w:rFonts w:hint="eastAsia" w:ascii="宋体" w:hAnsi="宋体" w:cs="宋体"/>
          <w:highlight w:val="none"/>
        </w:rPr>
        <w:t>（</w:t>
      </w:r>
      <w:r>
        <w:rPr>
          <w:rFonts w:hint="eastAsia" w:ascii="宋体" w:hAnsi="宋体" w:cs="宋体"/>
          <w:spacing w:val="-39"/>
          <w:highlight w:val="none"/>
        </w:rPr>
        <w:t xml:space="preserve"> </w:t>
      </w:r>
      <w:r>
        <w:rPr>
          <w:rFonts w:hint="eastAsia" w:ascii="宋体" w:hAnsi="宋体" w:cs="宋体"/>
          <w:highlight w:val="none"/>
        </w:rPr>
        <w:t>四</w:t>
      </w:r>
      <w:r>
        <w:rPr>
          <w:rFonts w:hint="eastAsia" w:ascii="宋体" w:hAnsi="宋体" w:cs="宋体"/>
          <w:spacing w:val="-66"/>
          <w:highlight w:val="none"/>
        </w:rPr>
        <w:t xml:space="preserve"> </w:t>
      </w:r>
      <w:r>
        <w:rPr>
          <w:rFonts w:hint="eastAsia" w:ascii="宋体" w:hAnsi="宋体" w:cs="宋体"/>
          <w:highlight w:val="none"/>
        </w:rPr>
        <w:t>）能源托管期：指乙方向甲方提供能源费用托管服务，</w:t>
      </w:r>
      <w:r>
        <w:rPr>
          <w:rFonts w:hint="eastAsia" w:ascii="宋体" w:hAnsi="宋体" w:cs="宋体"/>
          <w:spacing w:val="5"/>
          <w:highlight w:val="none"/>
        </w:rPr>
        <w:t>甲方向乙方支付能源托管费用的期限。</w:t>
      </w:r>
    </w:p>
    <w:p w14:paraId="31B74A70">
      <w:pPr>
        <w:spacing w:before="2" w:line="300" w:lineRule="auto"/>
        <w:ind w:left="1" w:right="54" w:firstLine="614"/>
        <w:rPr>
          <w:rFonts w:hint="eastAsia" w:ascii="宋体" w:hAnsi="宋体" w:cs="宋体"/>
          <w:highlight w:val="none"/>
        </w:rPr>
      </w:pPr>
      <w:r>
        <w:rPr>
          <w:rFonts w:hint="eastAsia" w:ascii="宋体" w:hAnsi="宋体" w:cs="宋体"/>
          <w:spacing w:val="3"/>
          <w:highlight w:val="none"/>
        </w:rPr>
        <w:t>（</w:t>
      </w:r>
      <w:r>
        <w:rPr>
          <w:rFonts w:hint="eastAsia" w:ascii="宋体" w:hAnsi="宋体" w:cs="宋体"/>
          <w:spacing w:val="-82"/>
          <w:highlight w:val="none"/>
        </w:rPr>
        <w:t xml:space="preserve"> </w:t>
      </w:r>
      <w:r>
        <w:rPr>
          <w:rFonts w:hint="eastAsia" w:ascii="宋体" w:hAnsi="宋体" w:cs="宋体"/>
          <w:spacing w:val="3"/>
          <w:highlight w:val="none"/>
        </w:rPr>
        <w:t>五）乙方新增设备：指本项目下所有由乙方采购并安装的</w:t>
      </w:r>
      <w:r>
        <w:rPr>
          <w:rFonts w:hint="eastAsia" w:ascii="宋体" w:hAnsi="宋体" w:cs="宋体"/>
          <w:spacing w:val="7"/>
          <w:highlight w:val="none"/>
        </w:rPr>
        <w:t>设备、设施和仪器等设备财产。</w:t>
      </w:r>
    </w:p>
    <w:p w14:paraId="3923725D">
      <w:pPr>
        <w:spacing w:before="101" w:line="360" w:lineRule="auto"/>
        <w:jc w:val="center"/>
        <w:rPr>
          <w:rFonts w:hint="eastAsia" w:ascii="宋体" w:hAnsi="宋体" w:cs="宋体"/>
          <w:spacing w:val="6"/>
          <w:highlight w:val="none"/>
        </w:rPr>
      </w:pPr>
      <w:r>
        <w:rPr>
          <w:rFonts w:hint="eastAsia" w:ascii="宋体" w:hAnsi="宋体" w:cs="宋体"/>
          <w:spacing w:val="3"/>
          <w:highlight w:val="none"/>
        </w:rPr>
        <w:t xml:space="preserve">     （</w:t>
      </w:r>
      <w:r>
        <w:rPr>
          <w:rFonts w:hint="eastAsia" w:ascii="宋体" w:hAnsi="宋体" w:cs="宋体"/>
          <w:spacing w:val="-77"/>
          <w:highlight w:val="none"/>
        </w:rPr>
        <w:t xml:space="preserve"> </w:t>
      </w:r>
      <w:r>
        <w:rPr>
          <w:rFonts w:hint="eastAsia" w:ascii="宋体" w:hAnsi="宋体" w:cs="宋体"/>
          <w:spacing w:val="3"/>
          <w:highlight w:val="none"/>
        </w:rPr>
        <w:t>六）甲方原有设备：指与项目建设或运行相关</w:t>
      </w:r>
      <w:r>
        <w:rPr>
          <w:rFonts w:hint="eastAsia" w:ascii="宋体" w:hAnsi="宋体" w:cs="宋体"/>
          <w:spacing w:val="2"/>
          <w:highlight w:val="none"/>
        </w:rPr>
        <w:t>的，甲方自</w:t>
      </w:r>
      <w:r>
        <w:rPr>
          <w:rFonts w:hint="eastAsia" w:ascii="宋体" w:hAnsi="宋体" w:cs="宋体"/>
          <w:spacing w:val="8"/>
          <w:highlight w:val="none"/>
        </w:rPr>
        <w:t>有的除乙方新增设备之外的其他所有设备设施及仪器等财产。</w:t>
      </w:r>
    </w:p>
    <w:p w14:paraId="18BD8979">
      <w:pPr>
        <w:spacing w:before="101" w:line="244" w:lineRule="auto"/>
        <w:ind w:firstLine="5994" w:firstLineChars="2700"/>
        <w:rPr>
          <w:rFonts w:hint="eastAsia" w:ascii="宋体" w:hAnsi="宋体" w:cs="宋体"/>
          <w:spacing w:val="6"/>
          <w:highlight w:val="none"/>
        </w:rPr>
      </w:pPr>
    </w:p>
    <w:p w14:paraId="2C041E01">
      <w:pPr>
        <w:spacing w:before="101" w:line="244" w:lineRule="auto"/>
        <w:ind w:firstLine="5994" w:firstLineChars="2700"/>
        <w:rPr>
          <w:rFonts w:hint="eastAsia" w:ascii="宋体" w:hAnsi="宋体" w:cs="宋体"/>
          <w:spacing w:val="6"/>
          <w:highlight w:val="none"/>
        </w:rPr>
      </w:pPr>
    </w:p>
    <w:p w14:paraId="11CF4D77">
      <w:pPr>
        <w:spacing w:before="101" w:line="244" w:lineRule="auto"/>
        <w:ind w:firstLine="5994" w:firstLineChars="2700"/>
        <w:rPr>
          <w:rFonts w:hint="eastAsia" w:ascii="宋体" w:hAnsi="宋体" w:cs="宋体"/>
          <w:spacing w:val="6"/>
          <w:highlight w:val="none"/>
        </w:rPr>
      </w:pPr>
    </w:p>
    <w:p w14:paraId="24FD7009">
      <w:pPr>
        <w:rPr>
          <w:rFonts w:hint="eastAsia" w:ascii="宋体" w:hAnsi="宋体" w:cs="宋体"/>
          <w:spacing w:val="6"/>
          <w:highlight w:val="none"/>
        </w:rPr>
      </w:pPr>
      <w:r>
        <w:rPr>
          <w:rFonts w:hint="eastAsia" w:ascii="宋体" w:hAnsi="宋体" w:cs="宋体"/>
          <w:spacing w:val="6"/>
          <w:highlight w:val="none"/>
        </w:rPr>
        <w:br w:type="page"/>
      </w:r>
    </w:p>
    <w:p w14:paraId="11A05BA1">
      <w:pPr>
        <w:spacing w:before="101" w:line="244" w:lineRule="auto"/>
        <w:ind w:firstLine="5994" w:firstLineChars="2700"/>
        <w:rPr>
          <w:rFonts w:hint="eastAsia" w:ascii="宋体" w:hAnsi="宋体" w:cs="宋体"/>
          <w:highlight w:val="none"/>
        </w:rPr>
      </w:pPr>
      <w:r>
        <w:rPr>
          <w:rFonts w:hint="eastAsia" w:ascii="宋体" w:hAnsi="宋体" w:cs="宋体"/>
          <w:spacing w:val="6"/>
          <w:highlight w:val="none"/>
        </w:rPr>
        <w:t>合同编号：</w:t>
      </w:r>
      <w:r>
        <w:rPr>
          <w:rFonts w:hint="eastAsia" w:ascii="宋体" w:hAnsi="宋体" w:cs="宋体"/>
          <w:highlight w:val="none"/>
          <w:u w:val="single"/>
        </w:rPr>
        <w:t xml:space="preserve">              </w:t>
      </w:r>
    </w:p>
    <w:p w14:paraId="4E21F388">
      <w:pPr>
        <w:spacing w:before="41" w:line="226" w:lineRule="auto"/>
        <w:jc w:val="center"/>
        <w:rPr>
          <w:rFonts w:hint="eastAsia" w:ascii="宋体" w:hAnsi="宋体" w:cs="宋体"/>
          <w:sz w:val="32"/>
          <w:szCs w:val="32"/>
          <w:highlight w:val="none"/>
        </w:rPr>
      </w:pPr>
      <w:r>
        <w:rPr>
          <w:rFonts w:hint="eastAsia" w:ascii="宋体" w:hAnsi="宋体" w:cs="宋体"/>
          <w:b/>
          <w:bCs/>
          <w:spacing w:val="4"/>
          <w:sz w:val="32"/>
          <w:szCs w:val="32"/>
          <w:highlight w:val="none"/>
        </w:rPr>
        <w:t>公共机构能源费用托管项目服务合同</w:t>
      </w:r>
    </w:p>
    <w:p w14:paraId="7BDC2662">
      <w:pPr>
        <w:spacing w:before="6"/>
        <w:rPr>
          <w:rFonts w:hint="eastAsia" w:ascii="宋体" w:hAnsi="宋体" w:cs="宋体"/>
          <w:highlight w:val="none"/>
        </w:rPr>
      </w:pPr>
    </w:p>
    <w:tbl>
      <w:tblPr>
        <w:tblStyle w:val="22"/>
        <w:tblW w:w="887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7"/>
        <w:gridCol w:w="2474"/>
        <w:gridCol w:w="2489"/>
        <w:gridCol w:w="1319"/>
        <w:gridCol w:w="1771"/>
      </w:tblGrid>
      <w:tr w14:paraId="15C568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817" w:type="dxa"/>
            <w:vMerge w:val="restart"/>
            <w:tcBorders>
              <w:bottom w:val="nil"/>
            </w:tcBorders>
            <w:textDirection w:val="tbRlV"/>
          </w:tcPr>
          <w:p w14:paraId="0891F709">
            <w:pPr>
              <w:spacing w:before="255" w:line="236" w:lineRule="auto"/>
              <w:ind w:left="1873"/>
              <w:rPr>
                <w:rFonts w:hint="eastAsia" w:ascii="宋体" w:hAnsi="宋体" w:cs="宋体"/>
                <w:sz w:val="24"/>
                <w:szCs w:val="24"/>
                <w:highlight w:val="none"/>
              </w:rPr>
            </w:pPr>
            <w:r>
              <w:rPr>
                <w:rFonts w:hint="eastAsia" w:ascii="宋体" w:hAnsi="宋体" w:cs="宋体"/>
                <w:color w:val="212529"/>
                <w:spacing w:val="14"/>
                <w:sz w:val="24"/>
                <w:szCs w:val="24"/>
                <w:highlight w:val="none"/>
              </w:rPr>
              <w:t>甲方（用能单位）</w:t>
            </w:r>
          </w:p>
        </w:tc>
        <w:tc>
          <w:tcPr>
            <w:tcW w:w="2474" w:type="dxa"/>
          </w:tcPr>
          <w:p w14:paraId="087F39AB">
            <w:pPr>
              <w:spacing w:before="179" w:line="201" w:lineRule="auto"/>
              <w:ind w:left="756"/>
              <w:rPr>
                <w:rFonts w:hint="eastAsia" w:ascii="宋体" w:hAnsi="宋体" w:cs="宋体"/>
                <w:sz w:val="24"/>
                <w:szCs w:val="24"/>
                <w:highlight w:val="none"/>
              </w:rPr>
            </w:pPr>
            <w:r>
              <w:rPr>
                <w:rFonts w:hint="eastAsia" w:ascii="宋体" w:hAnsi="宋体" w:cs="宋体"/>
                <w:color w:val="212529"/>
                <w:spacing w:val="-1"/>
                <w:sz w:val="24"/>
                <w:szCs w:val="24"/>
                <w:highlight w:val="none"/>
              </w:rPr>
              <w:t>单位名称</w:t>
            </w:r>
          </w:p>
        </w:tc>
        <w:tc>
          <w:tcPr>
            <w:tcW w:w="5579" w:type="dxa"/>
            <w:gridSpan w:val="3"/>
          </w:tcPr>
          <w:p w14:paraId="43EAF306">
            <w:pPr>
              <w:pStyle w:val="45"/>
              <w:rPr>
                <w:rFonts w:hint="eastAsia" w:ascii="宋体" w:hAnsi="宋体" w:eastAsia="宋体" w:cs="宋体"/>
                <w:sz w:val="24"/>
                <w:szCs w:val="24"/>
                <w:highlight w:val="none"/>
              </w:rPr>
            </w:pPr>
          </w:p>
        </w:tc>
      </w:tr>
      <w:tr w14:paraId="634F69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17" w:type="dxa"/>
            <w:vMerge w:val="continue"/>
            <w:tcBorders>
              <w:top w:val="nil"/>
              <w:bottom w:val="nil"/>
            </w:tcBorders>
            <w:textDirection w:val="tbRlV"/>
          </w:tcPr>
          <w:p w14:paraId="0ADF4768">
            <w:pPr>
              <w:pStyle w:val="45"/>
              <w:rPr>
                <w:rFonts w:hint="eastAsia" w:ascii="宋体" w:hAnsi="宋体" w:eastAsia="宋体" w:cs="宋体"/>
                <w:sz w:val="24"/>
                <w:szCs w:val="24"/>
                <w:highlight w:val="none"/>
              </w:rPr>
            </w:pPr>
          </w:p>
        </w:tc>
        <w:tc>
          <w:tcPr>
            <w:tcW w:w="2474" w:type="dxa"/>
          </w:tcPr>
          <w:p w14:paraId="67CD17DB">
            <w:pPr>
              <w:spacing w:before="176" w:line="201" w:lineRule="auto"/>
              <w:ind w:left="638"/>
              <w:rPr>
                <w:rFonts w:hint="eastAsia" w:ascii="宋体" w:hAnsi="宋体" w:cs="宋体"/>
                <w:sz w:val="24"/>
                <w:szCs w:val="24"/>
                <w:highlight w:val="none"/>
              </w:rPr>
            </w:pPr>
            <w:r>
              <w:rPr>
                <w:rFonts w:hint="eastAsia" w:ascii="宋体" w:hAnsi="宋体" w:cs="宋体"/>
                <w:color w:val="212529"/>
                <w:spacing w:val="-2"/>
                <w:sz w:val="24"/>
                <w:szCs w:val="24"/>
                <w:highlight w:val="none"/>
              </w:rPr>
              <w:t>法定代表人</w:t>
            </w:r>
          </w:p>
        </w:tc>
        <w:tc>
          <w:tcPr>
            <w:tcW w:w="2489" w:type="dxa"/>
          </w:tcPr>
          <w:p w14:paraId="0F003B5E">
            <w:pPr>
              <w:pStyle w:val="45"/>
              <w:rPr>
                <w:rFonts w:hint="eastAsia" w:ascii="宋体" w:hAnsi="宋体" w:eastAsia="宋体" w:cs="宋体"/>
                <w:sz w:val="24"/>
                <w:szCs w:val="24"/>
                <w:highlight w:val="none"/>
              </w:rPr>
            </w:pPr>
          </w:p>
        </w:tc>
        <w:tc>
          <w:tcPr>
            <w:tcW w:w="1319" w:type="dxa"/>
          </w:tcPr>
          <w:p w14:paraId="01414521">
            <w:pPr>
              <w:spacing w:before="177" w:line="201" w:lineRule="auto"/>
              <w:ind w:left="66"/>
              <w:rPr>
                <w:rFonts w:hint="eastAsia" w:ascii="宋体" w:hAnsi="宋体" w:cs="宋体"/>
                <w:sz w:val="24"/>
                <w:szCs w:val="24"/>
                <w:highlight w:val="none"/>
              </w:rPr>
            </w:pPr>
            <w:r>
              <w:rPr>
                <w:rFonts w:hint="eastAsia" w:ascii="宋体" w:hAnsi="宋体" w:cs="宋体"/>
                <w:color w:val="212529"/>
                <w:spacing w:val="-2"/>
                <w:sz w:val="24"/>
                <w:szCs w:val="24"/>
                <w:highlight w:val="none"/>
              </w:rPr>
              <w:t>委托代理人</w:t>
            </w:r>
          </w:p>
        </w:tc>
        <w:tc>
          <w:tcPr>
            <w:tcW w:w="1771" w:type="dxa"/>
          </w:tcPr>
          <w:p w14:paraId="60400CC3">
            <w:pPr>
              <w:pStyle w:val="45"/>
              <w:rPr>
                <w:rFonts w:hint="eastAsia" w:ascii="宋体" w:hAnsi="宋体" w:eastAsia="宋体" w:cs="宋体"/>
                <w:sz w:val="24"/>
                <w:szCs w:val="24"/>
                <w:highlight w:val="none"/>
              </w:rPr>
            </w:pPr>
          </w:p>
        </w:tc>
      </w:tr>
      <w:tr w14:paraId="7D0D3A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17" w:type="dxa"/>
            <w:vMerge w:val="continue"/>
            <w:tcBorders>
              <w:top w:val="nil"/>
              <w:bottom w:val="nil"/>
            </w:tcBorders>
            <w:textDirection w:val="tbRlV"/>
          </w:tcPr>
          <w:p w14:paraId="3370F4FE">
            <w:pPr>
              <w:pStyle w:val="45"/>
              <w:rPr>
                <w:rFonts w:hint="eastAsia" w:ascii="宋体" w:hAnsi="宋体" w:eastAsia="宋体" w:cs="宋体"/>
                <w:sz w:val="24"/>
                <w:szCs w:val="24"/>
                <w:highlight w:val="none"/>
              </w:rPr>
            </w:pPr>
          </w:p>
        </w:tc>
        <w:tc>
          <w:tcPr>
            <w:tcW w:w="2474" w:type="dxa"/>
          </w:tcPr>
          <w:p w14:paraId="373468EB">
            <w:pPr>
              <w:spacing w:before="176" w:line="201" w:lineRule="auto"/>
              <w:ind w:left="277"/>
              <w:rPr>
                <w:rFonts w:hint="eastAsia" w:ascii="宋体" w:hAnsi="宋体" w:cs="宋体"/>
                <w:sz w:val="24"/>
                <w:szCs w:val="24"/>
                <w:highlight w:val="none"/>
              </w:rPr>
            </w:pPr>
            <w:r>
              <w:rPr>
                <w:rFonts w:hint="eastAsia" w:ascii="宋体" w:hAnsi="宋体" w:cs="宋体"/>
                <w:color w:val="212529"/>
                <w:spacing w:val="-1"/>
                <w:sz w:val="24"/>
                <w:szCs w:val="24"/>
                <w:highlight w:val="none"/>
              </w:rPr>
              <w:t>联系人及手机号码</w:t>
            </w:r>
          </w:p>
        </w:tc>
        <w:tc>
          <w:tcPr>
            <w:tcW w:w="5579" w:type="dxa"/>
            <w:gridSpan w:val="3"/>
          </w:tcPr>
          <w:p w14:paraId="14C89B05">
            <w:pPr>
              <w:pStyle w:val="45"/>
              <w:rPr>
                <w:rFonts w:hint="eastAsia" w:ascii="宋体" w:hAnsi="宋体" w:eastAsia="宋体" w:cs="宋体"/>
                <w:sz w:val="24"/>
                <w:szCs w:val="24"/>
                <w:highlight w:val="none"/>
              </w:rPr>
            </w:pPr>
          </w:p>
        </w:tc>
      </w:tr>
      <w:tr w14:paraId="7BDE9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17" w:type="dxa"/>
            <w:vMerge w:val="continue"/>
            <w:tcBorders>
              <w:top w:val="nil"/>
              <w:bottom w:val="nil"/>
            </w:tcBorders>
            <w:textDirection w:val="tbRlV"/>
          </w:tcPr>
          <w:p w14:paraId="3A3E7EE9">
            <w:pPr>
              <w:pStyle w:val="45"/>
              <w:rPr>
                <w:rFonts w:hint="eastAsia" w:ascii="宋体" w:hAnsi="宋体" w:eastAsia="宋体" w:cs="宋体"/>
                <w:sz w:val="24"/>
                <w:szCs w:val="24"/>
                <w:highlight w:val="none"/>
              </w:rPr>
            </w:pPr>
          </w:p>
        </w:tc>
        <w:tc>
          <w:tcPr>
            <w:tcW w:w="2474" w:type="dxa"/>
          </w:tcPr>
          <w:p w14:paraId="29E46134">
            <w:pPr>
              <w:spacing w:before="176" w:line="201" w:lineRule="auto"/>
              <w:ind w:left="758"/>
              <w:rPr>
                <w:rFonts w:hint="eastAsia" w:ascii="宋体" w:hAnsi="宋体" w:cs="宋体"/>
                <w:sz w:val="24"/>
                <w:szCs w:val="24"/>
                <w:highlight w:val="none"/>
              </w:rPr>
            </w:pPr>
            <w:r>
              <w:rPr>
                <w:rFonts w:hint="eastAsia" w:ascii="宋体" w:hAnsi="宋体" w:cs="宋体"/>
                <w:color w:val="212529"/>
                <w:spacing w:val="-2"/>
                <w:sz w:val="24"/>
                <w:szCs w:val="24"/>
                <w:highlight w:val="none"/>
              </w:rPr>
              <w:t>通讯地址</w:t>
            </w:r>
          </w:p>
        </w:tc>
        <w:tc>
          <w:tcPr>
            <w:tcW w:w="5579" w:type="dxa"/>
            <w:gridSpan w:val="3"/>
          </w:tcPr>
          <w:p w14:paraId="51129AFB">
            <w:pPr>
              <w:pStyle w:val="45"/>
              <w:rPr>
                <w:rFonts w:hint="eastAsia" w:ascii="宋体" w:hAnsi="宋体" w:eastAsia="宋体" w:cs="宋体"/>
                <w:sz w:val="24"/>
                <w:szCs w:val="24"/>
                <w:highlight w:val="none"/>
              </w:rPr>
            </w:pPr>
          </w:p>
        </w:tc>
      </w:tr>
      <w:tr w14:paraId="4B29F6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17" w:type="dxa"/>
            <w:vMerge w:val="continue"/>
            <w:tcBorders>
              <w:top w:val="nil"/>
              <w:bottom w:val="nil"/>
            </w:tcBorders>
            <w:textDirection w:val="tbRlV"/>
          </w:tcPr>
          <w:p w14:paraId="78748BF1">
            <w:pPr>
              <w:pStyle w:val="45"/>
              <w:rPr>
                <w:rFonts w:hint="eastAsia" w:ascii="宋体" w:hAnsi="宋体" w:eastAsia="宋体" w:cs="宋体"/>
                <w:sz w:val="24"/>
                <w:szCs w:val="24"/>
                <w:highlight w:val="none"/>
              </w:rPr>
            </w:pPr>
          </w:p>
        </w:tc>
        <w:tc>
          <w:tcPr>
            <w:tcW w:w="2474" w:type="dxa"/>
          </w:tcPr>
          <w:p w14:paraId="40FF5D3D">
            <w:pPr>
              <w:spacing w:before="179" w:line="200" w:lineRule="auto"/>
              <w:ind w:left="279"/>
              <w:rPr>
                <w:rFonts w:hint="eastAsia" w:ascii="宋体" w:hAnsi="宋体" w:cs="宋体"/>
                <w:sz w:val="24"/>
                <w:szCs w:val="24"/>
                <w:highlight w:val="none"/>
              </w:rPr>
            </w:pPr>
            <w:r>
              <w:rPr>
                <w:rFonts w:hint="eastAsia" w:ascii="宋体" w:hAnsi="宋体" w:cs="宋体"/>
                <w:color w:val="212529"/>
                <w:spacing w:val="-1"/>
                <w:sz w:val="24"/>
                <w:szCs w:val="24"/>
                <w:highlight w:val="none"/>
              </w:rPr>
              <w:t>统一社会信用代码</w:t>
            </w:r>
          </w:p>
        </w:tc>
        <w:tc>
          <w:tcPr>
            <w:tcW w:w="5579" w:type="dxa"/>
            <w:gridSpan w:val="3"/>
          </w:tcPr>
          <w:p w14:paraId="3C502CFA">
            <w:pPr>
              <w:pStyle w:val="45"/>
              <w:rPr>
                <w:rFonts w:hint="eastAsia" w:ascii="宋体" w:hAnsi="宋体" w:eastAsia="宋体" w:cs="宋体"/>
                <w:sz w:val="24"/>
                <w:szCs w:val="24"/>
                <w:highlight w:val="none"/>
              </w:rPr>
            </w:pPr>
          </w:p>
        </w:tc>
      </w:tr>
      <w:tr w14:paraId="3D54C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17" w:type="dxa"/>
            <w:vMerge w:val="continue"/>
            <w:tcBorders>
              <w:top w:val="nil"/>
              <w:bottom w:val="nil"/>
            </w:tcBorders>
            <w:textDirection w:val="tbRlV"/>
          </w:tcPr>
          <w:p w14:paraId="477E44E4">
            <w:pPr>
              <w:pStyle w:val="45"/>
              <w:rPr>
                <w:rFonts w:hint="eastAsia" w:ascii="宋体" w:hAnsi="宋体" w:eastAsia="宋体" w:cs="宋体"/>
                <w:sz w:val="24"/>
                <w:szCs w:val="24"/>
                <w:highlight w:val="none"/>
              </w:rPr>
            </w:pPr>
          </w:p>
        </w:tc>
        <w:tc>
          <w:tcPr>
            <w:tcW w:w="2474" w:type="dxa"/>
          </w:tcPr>
          <w:p w14:paraId="7B5A968D">
            <w:pPr>
              <w:spacing w:before="179" w:line="201" w:lineRule="auto"/>
              <w:ind w:left="1019"/>
              <w:rPr>
                <w:rFonts w:hint="eastAsia" w:ascii="宋体" w:hAnsi="宋体" w:cs="宋体"/>
                <w:sz w:val="24"/>
                <w:szCs w:val="24"/>
                <w:highlight w:val="none"/>
              </w:rPr>
            </w:pPr>
            <w:r>
              <w:rPr>
                <w:rFonts w:hint="eastAsia" w:ascii="宋体" w:hAnsi="宋体" w:cs="宋体"/>
                <w:color w:val="212529"/>
                <w:spacing w:val="-7"/>
                <w:w w:val="97"/>
                <w:sz w:val="24"/>
                <w:szCs w:val="24"/>
                <w:highlight w:val="none"/>
              </w:rPr>
              <w:t>电话</w:t>
            </w:r>
          </w:p>
        </w:tc>
        <w:tc>
          <w:tcPr>
            <w:tcW w:w="2489" w:type="dxa"/>
          </w:tcPr>
          <w:p w14:paraId="790D297E">
            <w:pPr>
              <w:pStyle w:val="45"/>
              <w:rPr>
                <w:rFonts w:hint="eastAsia" w:ascii="宋体" w:hAnsi="宋体" w:eastAsia="宋体" w:cs="宋体"/>
                <w:sz w:val="24"/>
                <w:szCs w:val="24"/>
                <w:highlight w:val="none"/>
              </w:rPr>
            </w:pPr>
          </w:p>
        </w:tc>
        <w:tc>
          <w:tcPr>
            <w:tcW w:w="1319" w:type="dxa"/>
          </w:tcPr>
          <w:p w14:paraId="6B2EC59C">
            <w:pPr>
              <w:spacing w:before="179" w:line="200" w:lineRule="auto"/>
              <w:ind w:left="423"/>
              <w:rPr>
                <w:rFonts w:hint="eastAsia" w:ascii="宋体" w:hAnsi="宋体" w:cs="宋体"/>
                <w:sz w:val="24"/>
                <w:szCs w:val="24"/>
                <w:highlight w:val="none"/>
              </w:rPr>
            </w:pPr>
            <w:r>
              <w:rPr>
                <w:rFonts w:hint="eastAsia" w:ascii="宋体" w:hAnsi="宋体" w:cs="宋体"/>
                <w:color w:val="212529"/>
                <w:spacing w:val="-2"/>
                <w:sz w:val="24"/>
                <w:szCs w:val="24"/>
                <w:highlight w:val="none"/>
              </w:rPr>
              <w:t>传真</w:t>
            </w:r>
          </w:p>
        </w:tc>
        <w:tc>
          <w:tcPr>
            <w:tcW w:w="1771" w:type="dxa"/>
          </w:tcPr>
          <w:p w14:paraId="60D49A7B">
            <w:pPr>
              <w:pStyle w:val="45"/>
              <w:rPr>
                <w:rFonts w:hint="eastAsia" w:ascii="宋体" w:hAnsi="宋体" w:eastAsia="宋体" w:cs="宋体"/>
                <w:sz w:val="24"/>
                <w:szCs w:val="24"/>
                <w:highlight w:val="none"/>
              </w:rPr>
            </w:pPr>
          </w:p>
        </w:tc>
      </w:tr>
      <w:tr w14:paraId="01248B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17" w:type="dxa"/>
            <w:vMerge w:val="continue"/>
            <w:tcBorders>
              <w:top w:val="nil"/>
              <w:bottom w:val="nil"/>
            </w:tcBorders>
            <w:textDirection w:val="tbRlV"/>
          </w:tcPr>
          <w:p w14:paraId="7C699128">
            <w:pPr>
              <w:pStyle w:val="45"/>
              <w:rPr>
                <w:rFonts w:hint="eastAsia" w:ascii="宋体" w:hAnsi="宋体" w:eastAsia="宋体" w:cs="宋体"/>
                <w:sz w:val="24"/>
                <w:szCs w:val="24"/>
                <w:highlight w:val="none"/>
              </w:rPr>
            </w:pPr>
          </w:p>
        </w:tc>
        <w:tc>
          <w:tcPr>
            <w:tcW w:w="2474" w:type="dxa"/>
          </w:tcPr>
          <w:p w14:paraId="07C7CFA9">
            <w:pPr>
              <w:spacing w:before="179" w:line="201" w:lineRule="auto"/>
              <w:ind w:left="779"/>
              <w:rPr>
                <w:rFonts w:hint="eastAsia" w:ascii="宋体" w:hAnsi="宋体" w:cs="宋体"/>
                <w:sz w:val="24"/>
                <w:szCs w:val="24"/>
                <w:highlight w:val="none"/>
              </w:rPr>
            </w:pPr>
            <w:r>
              <w:rPr>
                <w:rFonts w:hint="eastAsia" w:ascii="宋体" w:hAnsi="宋体" w:cs="宋体"/>
                <w:color w:val="212529"/>
                <w:spacing w:val="-7"/>
                <w:sz w:val="24"/>
                <w:szCs w:val="24"/>
                <w:highlight w:val="none"/>
              </w:rPr>
              <w:t>电子邮箱</w:t>
            </w:r>
          </w:p>
        </w:tc>
        <w:tc>
          <w:tcPr>
            <w:tcW w:w="5579" w:type="dxa"/>
            <w:gridSpan w:val="3"/>
          </w:tcPr>
          <w:p w14:paraId="4CF0DF7B">
            <w:pPr>
              <w:pStyle w:val="45"/>
              <w:rPr>
                <w:rFonts w:hint="eastAsia" w:ascii="宋体" w:hAnsi="宋体" w:eastAsia="宋体" w:cs="宋体"/>
                <w:sz w:val="24"/>
                <w:szCs w:val="24"/>
                <w:highlight w:val="none"/>
              </w:rPr>
            </w:pPr>
          </w:p>
        </w:tc>
      </w:tr>
      <w:tr w14:paraId="20EF2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17" w:type="dxa"/>
            <w:vMerge w:val="continue"/>
            <w:tcBorders>
              <w:top w:val="nil"/>
              <w:bottom w:val="nil"/>
            </w:tcBorders>
            <w:textDirection w:val="tbRlV"/>
          </w:tcPr>
          <w:p w14:paraId="187BA888">
            <w:pPr>
              <w:pStyle w:val="45"/>
              <w:rPr>
                <w:rFonts w:hint="eastAsia" w:ascii="宋体" w:hAnsi="宋体" w:eastAsia="宋体" w:cs="宋体"/>
                <w:sz w:val="24"/>
                <w:szCs w:val="24"/>
                <w:highlight w:val="none"/>
              </w:rPr>
            </w:pPr>
          </w:p>
        </w:tc>
        <w:tc>
          <w:tcPr>
            <w:tcW w:w="2474" w:type="dxa"/>
          </w:tcPr>
          <w:p w14:paraId="55537BBB">
            <w:pPr>
              <w:spacing w:before="178" w:line="200" w:lineRule="auto"/>
              <w:ind w:left="761"/>
              <w:rPr>
                <w:rFonts w:hint="eastAsia" w:ascii="宋体" w:hAnsi="宋体" w:cs="宋体"/>
                <w:sz w:val="24"/>
                <w:szCs w:val="24"/>
                <w:highlight w:val="none"/>
              </w:rPr>
            </w:pPr>
            <w:r>
              <w:rPr>
                <w:rFonts w:hint="eastAsia" w:ascii="宋体" w:hAnsi="宋体" w:cs="宋体"/>
                <w:color w:val="212529"/>
                <w:spacing w:val="-3"/>
                <w:sz w:val="24"/>
                <w:szCs w:val="24"/>
                <w:highlight w:val="none"/>
              </w:rPr>
              <w:t>开户银行</w:t>
            </w:r>
          </w:p>
        </w:tc>
        <w:tc>
          <w:tcPr>
            <w:tcW w:w="5579" w:type="dxa"/>
            <w:gridSpan w:val="3"/>
          </w:tcPr>
          <w:p w14:paraId="322D0077">
            <w:pPr>
              <w:pStyle w:val="45"/>
              <w:rPr>
                <w:rFonts w:hint="eastAsia" w:ascii="宋体" w:hAnsi="宋体" w:eastAsia="宋体" w:cs="宋体"/>
                <w:sz w:val="24"/>
                <w:szCs w:val="24"/>
                <w:highlight w:val="none"/>
              </w:rPr>
            </w:pPr>
          </w:p>
        </w:tc>
      </w:tr>
      <w:tr w14:paraId="5D5261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17" w:type="dxa"/>
            <w:vMerge w:val="continue"/>
            <w:tcBorders>
              <w:top w:val="nil"/>
              <w:bottom w:val="nil"/>
            </w:tcBorders>
            <w:textDirection w:val="tbRlV"/>
          </w:tcPr>
          <w:p w14:paraId="5067519B">
            <w:pPr>
              <w:pStyle w:val="45"/>
              <w:rPr>
                <w:rFonts w:hint="eastAsia" w:ascii="宋体" w:hAnsi="宋体" w:eastAsia="宋体" w:cs="宋体"/>
                <w:sz w:val="24"/>
                <w:szCs w:val="24"/>
                <w:highlight w:val="none"/>
              </w:rPr>
            </w:pPr>
          </w:p>
        </w:tc>
        <w:tc>
          <w:tcPr>
            <w:tcW w:w="2474" w:type="dxa"/>
          </w:tcPr>
          <w:p w14:paraId="3D1BFC3D">
            <w:pPr>
              <w:spacing w:before="180" w:line="201" w:lineRule="auto"/>
              <w:ind w:left="996"/>
              <w:rPr>
                <w:rFonts w:hint="eastAsia" w:ascii="宋体" w:hAnsi="宋体" w:cs="宋体"/>
                <w:sz w:val="24"/>
                <w:szCs w:val="24"/>
                <w:highlight w:val="none"/>
              </w:rPr>
            </w:pPr>
            <w:r>
              <w:rPr>
                <w:rFonts w:hint="eastAsia" w:ascii="宋体" w:hAnsi="宋体" w:cs="宋体"/>
                <w:color w:val="212529"/>
                <w:spacing w:val="-2"/>
                <w:sz w:val="24"/>
                <w:szCs w:val="24"/>
                <w:highlight w:val="none"/>
              </w:rPr>
              <w:t>账号</w:t>
            </w:r>
          </w:p>
        </w:tc>
        <w:tc>
          <w:tcPr>
            <w:tcW w:w="5579" w:type="dxa"/>
            <w:gridSpan w:val="3"/>
          </w:tcPr>
          <w:p w14:paraId="1995D156">
            <w:pPr>
              <w:pStyle w:val="45"/>
              <w:rPr>
                <w:rFonts w:hint="eastAsia" w:ascii="宋体" w:hAnsi="宋体" w:eastAsia="宋体" w:cs="宋体"/>
                <w:sz w:val="24"/>
                <w:szCs w:val="24"/>
                <w:highlight w:val="none"/>
              </w:rPr>
            </w:pPr>
          </w:p>
        </w:tc>
      </w:tr>
      <w:tr w14:paraId="410603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17" w:type="dxa"/>
            <w:vMerge w:val="continue"/>
            <w:tcBorders>
              <w:top w:val="nil"/>
            </w:tcBorders>
            <w:textDirection w:val="tbRlV"/>
          </w:tcPr>
          <w:p w14:paraId="7D876DBB">
            <w:pPr>
              <w:pStyle w:val="45"/>
              <w:rPr>
                <w:rFonts w:hint="eastAsia" w:ascii="宋体" w:hAnsi="宋体" w:eastAsia="宋体" w:cs="宋体"/>
                <w:sz w:val="24"/>
                <w:szCs w:val="24"/>
                <w:highlight w:val="none"/>
              </w:rPr>
            </w:pPr>
          </w:p>
        </w:tc>
        <w:tc>
          <w:tcPr>
            <w:tcW w:w="2474" w:type="dxa"/>
          </w:tcPr>
          <w:p w14:paraId="05C6DE1A">
            <w:pPr>
              <w:spacing w:before="180" w:line="201" w:lineRule="auto"/>
              <w:ind w:left="520"/>
              <w:rPr>
                <w:rFonts w:hint="eastAsia" w:ascii="宋体" w:hAnsi="宋体" w:cs="宋体"/>
                <w:sz w:val="24"/>
                <w:szCs w:val="24"/>
                <w:highlight w:val="none"/>
              </w:rPr>
            </w:pPr>
            <w:r>
              <w:rPr>
                <w:rFonts w:hint="eastAsia" w:ascii="宋体" w:hAnsi="宋体" w:cs="宋体"/>
                <w:color w:val="212529"/>
                <w:spacing w:val="-2"/>
                <w:sz w:val="24"/>
                <w:szCs w:val="24"/>
                <w:highlight w:val="none"/>
              </w:rPr>
              <w:t>纳税人识别号</w:t>
            </w:r>
          </w:p>
        </w:tc>
        <w:tc>
          <w:tcPr>
            <w:tcW w:w="5579" w:type="dxa"/>
            <w:gridSpan w:val="3"/>
          </w:tcPr>
          <w:p w14:paraId="6E48815A">
            <w:pPr>
              <w:pStyle w:val="45"/>
              <w:rPr>
                <w:rFonts w:hint="eastAsia" w:ascii="宋体" w:hAnsi="宋体" w:eastAsia="宋体" w:cs="宋体"/>
                <w:sz w:val="24"/>
                <w:szCs w:val="24"/>
                <w:highlight w:val="none"/>
              </w:rPr>
            </w:pPr>
          </w:p>
        </w:tc>
      </w:tr>
      <w:tr w14:paraId="1535E2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17" w:type="dxa"/>
            <w:vMerge w:val="restart"/>
            <w:tcBorders>
              <w:bottom w:val="nil"/>
            </w:tcBorders>
            <w:textDirection w:val="tbRlV"/>
          </w:tcPr>
          <w:p w14:paraId="6713214E">
            <w:pPr>
              <w:spacing w:before="255" w:line="228" w:lineRule="auto"/>
              <w:ind w:left="315"/>
              <w:rPr>
                <w:rFonts w:hint="eastAsia" w:ascii="宋体" w:hAnsi="宋体" w:cs="宋体"/>
                <w:sz w:val="24"/>
                <w:szCs w:val="24"/>
                <w:highlight w:val="none"/>
              </w:rPr>
            </w:pPr>
            <w:r>
              <w:rPr>
                <w:rFonts w:hint="eastAsia" w:ascii="宋体" w:hAnsi="宋体" w:cs="宋体"/>
                <w:color w:val="212529"/>
                <w:spacing w:val="5"/>
                <w:sz w:val="24"/>
                <w:szCs w:val="24"/>
                <w:highlight w:val="none"/>
              </w:rPr>
              <w:t>乙方（节能服务公司，含全部联合体成员单位）</w:t>
            </w:r>
          </w:p>
        </w:tc>
        <w:tc>
          <w:tcPr>
            <w:tcW w:w="2474" w:type="dxa"/>
          </w:tcPr>
          <w:p w14:paraId="16AB9472">
            <w:pPr>
              <w:spacing w:before="180" w:line="201" w:lineRule="auto"/>
              <w:ind w:left="756"/>
              <w:rPr>
                <w:rFonts w:hint="eastAsia" w:ascii="宋体" w:hAnsi="宋体" w:cs="宋体"/>
                <w:sz w:val="24"/>
                <w:szCs w:val="24"/>
                <w:highlight w:val="none"/>
              </w:rPr>
            </w:pPr>
            <w:r>
              <w:rPr>
                <w:rFonts w:hint="eastAsia" w:ascii="宋体" w:hAnsi="宋体" w:cs="宋体"/>
                <w:color w:val="212529"/>
                <w:spacing w:val="-1"/>
                <w:sz w:val="24"/>
                <w:szCs w:val="24"/>
                <w:highlight w:val="none"/>
              </w:rPr>
              <w:t>单位名称</w:t>
            </w:r>
          </w:p>
        </w:tc>
        <w:tc>
          <w:tcPr>
            <w:tcW w:w="5579" w:type="dxa"/>
            <w:gridSpan w:val="3"/>
          </w:tcPr>
          <w:p w14:paraId="16376AE4">
            <w:pPr>
              <w:pStyle w:val="45"/>
              <w:rPr>
                <w:rFonts w:hint="eastAsia" w:ascii="宋体" w:hAnsi="宋体" w:eastAsia="宋体" w:cs="宋体"/>
                <w:sz w:val="24"/>
                <w:szCs w:val="24"/>
                <w:highlight w:val="none"/>
              </w:rPr>
            </w:pPr>
          </w:p>
        </w:tc>
      </w:tr>
      <w:tr w14:paraId="08D2A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17" w:type="dxa"/>
            <w:vMerge w:val="continue"/>
            <w:tcBorders>
              <w:top w:val="nil"/>
              <w:bottom w:val="nil"/>
            </w:tcBorders>
            <w:textDirection w:val="tbRlV"/>
          </w:tcPr>
          <w:p w14:paraId="609266C4">
            <w:pPr>
              <w:pStyle w:val="45"/>
              <w:rPr>
                <w:rFonts w:hint="eastAsia" w:ascii="宋体" w:hAnsi="宋体" w:eastAsia="宋体" w:cs="宋体"/>
                <w:sz w:val="24"/>
                <w:szCs w:val="24"/>
                <w:highlight w:val="none"/>
              </w:rPr>
            </w:pPr>
          </w:p>
        </w:tc>
        <w:tc>
          <w:tcPr>
            <w:tcW w:w="2474" w:type="dxa"/>
          </w:tcPr>
          <w:p w14:paraId="26B83B18">
            <w:pPr>
              <w:spacing w:before="180" w:line="201" w:lineRule="auto"/>
              <w:ind w:left="638"/>
              <w:rPr>
                <w:rFonts w:hint="eastAsia" w:ascii="宋体" w:hAnsi="宋体" w:cs="宋体"/>
                <w:sz w:val="24"/>
                <w:szCs w:val="24"/>
                <w:highlight w:val="none"/>
              </w:rPr>
            </w:pPr>
            <w:r>
              <w:rPr>
                <w:rFonts w:hint="eastAsia" w:ascii="宋体" w:hAnsi="宋体" w:cs="宋体"/>
                <w:color w:val="212529"/>
                <w:spacing w:val="-2"/>
                <w:sz w:val="24"/>
                <w:szCs w:val="24"/>
                <w:highlight w:val="none"/>
              </w:rPr>
              <w:t>法定代表人</w:t>
            </w:r>
          </w:p>
        </w:tc>
        <w:tc>
          <w:tcPr>
            <w:tcW w:w="2489" w:type="dxa"/>
          </w:tcPr>
          <w:p w14:paraId="64FA9979">
            <w:pPr>
              <w:pStyle w:val="45"/>
              <w:rPr>
                <w:rFonts w:hint="eastAsia" w:ascii="宋体" w:hAnsi="宋体" w:eastAsia="宋体" w:cs="宋体"/>
                <w:sz w:val="24"/>
                <w:szCs w:val="24"/>
                <w:highlight w:val="none"/>
              </w:rPr>
            </w:pPr>
          </w:p>
        </w:tc>
        <w:tc>
          <w:tcPr>
            <w:tcW w:w="1319" w:type="dxa"/>
          </w:tcPr>
          <w:p w14:paraId="1986D0DC">
            <w:pPr>
              <w:spacing w:before="181" w:line="201" w:lineRule="auto"/>
              <w:ind w:left="66"/>
              <w:rPr>
                <w:rFonts w:hint="eastAsia" w:ascii="宋体" w:hAnsi="宋体" w:cs="宋体"/>
                <w:sz w:val="24"/>
                <w:szCs w:val="24"/>
                <w:highlight w:val="none"/>
              </w:rPr>
            </w:pPr>
            <w:r>
              <w:rPr>
                <w:rFonts w:hint="eastAsia" w:ascii="宋体" w:hAnsi="宋体" w:cs="宋体"/>
                <w:color w:val="212529"/>
                <w:spacing w:val="-2"/>
                <w:sz w:val="24"/>
                <w:szCs w:val="24"/>
                <w:highlight w:val="none"/>
              </w:rPr>
              <w:t>委托代理人</w:t>
            </w:r>
          </w:p>
        </w:tc>
        <w:tc>
          <w:tcPr>
            <w:tcW w:w="1771" w:type="dxa"/>
          </w:tcPr>
          <w:p w14:paraId="71FFD57D">
            <w:pPr>
              <w:pStyle w:val="45"/>
              <w:rPr>
                <w:rFonts w:hint="eastAsia" w:ascii="宋体" w:hAnsi="宋体" w:eastAsia="宋体" w:cs="宋体"/>
                <w:sz w:val="24"/>
                <w:szCs w:val="24"/>
                <w:highlight w:val="none"/>
              </w:rPr>
            </w:pPr>
          </w:p>
        </w:tc>
      </w:tr>
      <w:tr w14:paraId="5BBE9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17" w:type="dxa"/>
            <w:vMerge w:val="continue"/>
            <w:tcBorders>
              <w:top w:val="nil"/>
              <w:bottom w:val="nil"/>
            </w:tcBorders>
            <w:textDirection w:val="tbRlV"/>
          </w:tcPr>
          <w:p w14:paraId="098ECD90">
            <w:pPr>
              <w:pStyle w:val="45"/>
              <w:rPr>
                <w:rFonts w:hint="eastAsia" w:ascii="宋体" w:hAnsi="宋体" w:eastAsia="宋体" w:cs="宋体"/>
                <w:sz w:val="24"/>
                <w:szCs w:val="24"/>
                <w:highlight w:val="none"/>
              </w:rPr>
            </w:pPr>
          </w:p>
        </w:tc>
        <w:tc>
          <w:tcPr>
            <w:tcW w:w="2474" w:type="dxa"/>
          </w:tcPr>
          <w:p w14:paraId="28C85FD5">
            <w:pPr>
              <w:spacing w:before="181" w:line="201" w:lineRule="auto"/>
              <w:ind w:left="277"/>
              <w:rPr>
                <w:rFonts w:hint="eastAsia" w:ascii="宋体" w:hAnsi="宋体" w:cs="宋体"/>
                <w:sz w:val="24"/>
                <w:szCs w:val="24"/>
                <w:highlight w:val="none"/>
              </w:rPr>
            </w:pPr>
            <w:r>
              <w:rPr>
                <w:rFonts w:hint="eastAsia" w:ascii="宋体" w:hAnsi="宋体" w:cs="宋体"/>
                <w:color w:val="212529"/>
                <w:spacing w:val="-1"/>
                <w:sz w:val="24"/>
                <w:szCs w:val="24"/>
                <w:highlight w:val="none"/>
              </w:rPr>
              <w:t>联系人及手机号码</w:t>
            </w:r>
          </w:p>
        </w:tc>
        <w:tc>
          <w:tcPr>
            <w:tcW w:w="5579" w:type="dxa"/>
            <w:gridSpan w:val="3"/>
          </w:tcPr>
          <w:p w14:paraId="764F6BFB">
            <w:pPr>
              <w:pStyle w:val="45"/>
              <w:rPr>
                <w:rFonts w:hint="eastAsia" w:ascii="宋体" w:hAnsi="宋体" w:eastAsia="宋体" w:cs="宋体"/>
                <w:sz w:val="24"/>
                <w:szCs w:val="24"/>
                <w:highlight w:val="none"/>
              </w:rPr>
            </w:pPr>
          </w:p>
        </w:tc>
      </w:tr>
      <w:tr w14:paraId="49139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17" w:type="dxa"/>
            <w:vMerge w:val="continue"/>
            <w:tcBorders>
              <w:top w:val="nil"/>
              <w:bottom w:val="nil"/>
            </w:tcBorders>
            <w:textDirection w:val="tbRlV"/>
          </w:tcPr>
          <w:p w14:paraId="10E80505">
            <w:pPr>
              <w:pStyle w:val="45"/>
              <w:rPr>
                <w:rFonts w:hint="eastAsia" w:ascii="宋体" w:hAnsi="宋体" w:eastAsia="宋体" w:cs="宋体"/>
                <w:sz w:val="24"/>
                <w:szCs w:val="24"/>
                <w:highlight w:val="none"/>
              </w:rPr>
            </w:pPr>
          </w:p>
        </w:tc>
        <w:tc>
          <w:tcPr>
            <w:tcW w:w="2474" w:type="dxa"/>
          </w:tcPr>
          <w:p w14:paraId="4F6B5195">
            <w:pPr>
              <w:spacing w:before="182" w:line="201" w:lineRule="auto"/>
              <w:ind w:left="758"/>
              <w:rPr>
                <w:rFonts w:hint="eastAsia" w:ascii="宋体" w:hAnsi="宋体" w:cs="宋体"/>
                <w:sz w:val="24"/>
                <w:szCs w:val="24"/>
                <w:highlight w:val="none"/>
              </w:rPr>
            </w:pPr>
            <w:r>
              <w:rPr>
                <w:rFonts w:hint="eastAsia" w:ascii="宋体" w:hAnsi="宋体" w:cs="宋体"/>
                <w:color w:val="212529"/>
                <w:spacing w:val="-2"/>
                <w:sz w:val="24"/>
                <w:szCs w:val="24"/>
                <w:highlight w:val="none"/>
              </w:rPr>
              <w:t>通讯地址</w:t>
            </w:r>
          </w:p>
        </w:tc>
        <w:tc>
          <w:tcPr>
            <w:tcW w:w="5579" w:type="dxa"/>
            <w:gridSpan w:val="3"/>
          </w:tcPr>
          <w:p w14:paraId="6059F2BF">
            <w:pPr>
              <w:pStyle w:val="45"/>
              <w:rPr>
                <w:rFonts w:hint="eastAsia" w:ascii="宋体" w:hAnsi="宋体" w:eastAsia="宋体" w:cs="宋体"/>
                <w:sz w:val="24"/>
                <w:szCs w:val="24"/>
                <w:highlight w:val="none"/>
              </w:rPr>
            </w:pPr>
          </w:p>
        </w:tc>
      </w:tr>
      <w:tr w14:paraId="087A9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17" w:type="dxa"/>
            <w:vMerge w:val="continue"/>
            <w:tcBorders>
              <w:top w:val="nil"/>
              <w:bottom w:val="nil"/>
            </w:tcBorders>
            <w:textDirection w:val="tbRlV"/>
          </w:tcPr>
          <w:p w14:paraId="4139AC77">
            <w:pPr>
              <w:pStyle w:val="45"/>
              <w:rPr>
                <w:rFonts w:hint="eastAsia" w:ascii="宋体" w:hAnsi="宋体" w:eastAsia="宋体" w:cs="宋体"/>
                <w:sz w:val="24"/>
                <w:szCs w:val="24"/>
                <w:highlight w:val="none"/>
              </w:rPr>
            </w:pPr>
          </w:p>
        </w:tc>
        <w:tc>
          <w:tcPr>
            <w:tcW w:w="2474" w:type="dxa"/>
          </w:tcPr>
          <w:p w14:paraId="4ADD0A50">
            <w:pPr>
              <w:spacing w:before="181" w:line="200" w:lineRule="auto"/>
              <w:ind w:left="279"/>
              <w:rPr>
                <w:rFonts w:hint="eastAsia" w:ascii="宋体" w:hAnsi="宋体" w:cs="宋体"/>
                <w:sz w:val="24"/>
                <w:szCs w:val="24"/>
                <w:highlight w:val="none"/>
              </w:rPr>
            </w:pPr>
            <w:r>
              <w:rPr>
                <w:rFonts w:hint="eastAsia" w:ascii="宋体" w:hAnsi="宋体" w:cs="宋体"/>
                <w:color w:val="212529"/>
                <w:spacing w:val="-1"/>
                <w:sz w:val="24"/>
                <w:szCs w:val="24"/>
                <w:highlight w:val="none"/>
              </w:rPr>
              <w:t>统一社会信用代码</w:t>
            </w:r>
          </w:p>
        </w:tc>
        <w:tc>
          <w:tcPr>
            <w:tcW w:w="5579" w:type="dxa"/>
            <w:gridSpan w:val="3"/>
          </w:tcPr>
          <w:p w14:paraId="4A3BD423">
            <w:pPr>
              <w:pStyle w:val="45"/>
              <w:rPr>
                <w:rFonts w:hint="eastAsia" w:ascii="宋体" w:hAnsi="宋体" w:eastAsia="宋体" w:cs="宋体"/>
                <w:sz w:val="24"/>
                <w:szCs w:val="24"/>
                <w:highlight w:val="none"/>
              </w:rPr>
            </w:pPr>
          </w:p>
        </w:tc>
      </w:tr>
      <w:tr w14:paraId="7E0B2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17" w:type="dxa"/>
            <w:vMerge w:val="continue"/>
            <w:tcBorders>
              <w:top w:val="nil"/>
              <w:bottom w:val="nil"/>
            </w:tcBorders>
            <w:textDirection w:val="tbRlV"/>
          </w:tcPr>
          <w:p w14:paraId="32DA30E5">
            <w:pPr>
              <w:pStyle w:val="45"/>
              <w:rPr>
                <w:rFonts w:hint="eastAsia" w:ascii="宋体" w:hAnsi="宋体" w:eastAsia="宋体" w:cs="宋体"/>
                <w:sz w:val="24"/>
                <w:szCs w:val="24"/>
                <w:highlight w:val="none"/>
              </w:rPr>
            </w:pPr>
          </w:p>
        </w:tc>
        <w:tc>
          <w:tcPr>
            <w:tcW w:w="2474" w:type="dxa"/>
          </w:tcPr>
          <w:p w14:paraId="2FD92DCC">
            <w:pPr>
              <w:spacing w:before="181" w:line="201" w:lineRule="auto"/>
              <w:ind w:left="1019"/>
              <w:rPr>
                <w:rFonts w:hint="eastAsia" w:ascii="宋体" w:hAnsi="宋体" w:cs="宋体"/>
                <w:sz w:val="24"/>
                <w:szCs w:val="24"/>
                <w:highlight w:val="none"/>
              </w:rPr>
            </w:pPr>
            <w:r>
              <w:rPr>
                <w:rFonts w:hint="eastAsia" w:ascii="宋体" w:hAnsi="宋体" w:cs="宋体"/>
                <w:color w:val="212529"/>
                <w:spacing w:val="-7"/>
                <w:w w:val="97"/>
                <w:sz w:val="24"/>
                <w:szCs w:val="24"/>
                <w:highlight w:val="none"/>
              </w:rPr>
              <w:t>电话</w:t>
            </w:r>
          </w:p>
        </w:tc>
        <w:tc>
          <w:tcPr>
            <w:tcW w:w="2489" w:type="dxa"/>
          </w:tcPr>
          <w:p w14:paraId="12958237">
            <w:pPr>
              <w:pStyle w:val="45"/>
              <w:rPr>
                <w:rFonts w:hint="eastAsia" w:ascii="宋体" w:hAnsi="宋体" w:eastAsia="宋体" w:cs="宋体"/>
                <w:sz w:val="24"/>
                <w:szCs w:val="24"/>
                <w:highlight w:val="none"/>
              </w:rPr>
            </w:pPr>
          </w:p>
        </w:tc>
        <w:tc>
          <w:tcPr>
            <w:tcW w:w="1319" w:type="dxa"/>
          </w:tcPr>
          <w:p w14:paraId="0A63B7E8">
            <w:pPr>
              <w:spacing w:before="181" w:line="200" w:lineRule="auto"/>
              <w:ind w:left="423"/>
              <w:rPr>
                <w:rFonts w:hint="eastAsia" w:ascii="宋体" w:hAnsi="宋体" w:cs="宋体"/>
                <w:sz w:val="24"/>
                <w:szCs w:val="24"/>
                <w:highlight w:val="none"/>
              </w:rPr>
            </w:pPr>
            <w:r>
              <w:rPr>
                <w:rFonts w:hint="eastAsia" w:ascii="宋体" w:hAnsi="宋体" w:cs="宋体"/>
                <w:color w:val="212529"/>
                <w:spacing w:val="-2"/>
                <w:sz w:val="24"/>
                <w:szCs w:val="24"/>
                <w:highlight w:val="none"/>
              </w:rPr>
              <w:t>传真</w:t>
            </w:r>
          </w:p>
        </w:tc>
        <w:tc>
          <w:tcPr>
            <w:tcW w:w="1771" w:type="dxa"/>
          </w:tcPr>
          <w:p w14:paraId="27D118B6">
            <w:pPr>
              <w:pStyle w:val="45"/>
              <w:rPr>
                <w:rFonts w:hint="eastAsia" w:ascii="宋体" w:hAnsi="宋体" w:eastAsia="宋体" w:cs="宋体"/>
                <w:sz w:val="24"/>
                <w:szCs w:val="24"/>
                <w:highlight w:val="none"/>
              </w:rPr>
            </w:pPr>
          </w:p>
        </w:tc>
      </w:tr>
      <w:tr w14:paraId="2FD81A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17" w:type="dxa"/>
            <w:vMerge w:val="continue"/>
            <w:tcBorders>
              <w:top w:val="nil"/>
              <w:bottom w:val="nil"/>
            </w:tcBorders>
            <w:textDirection w:val="tbRlV"/>
          </w:tcPr>
          <w:p w14:paraId="23CE419B">
            <w:pPr>
              <w:pStyle w:val="45"/>
              <w:rPr>
                <w:rFonts w:hint="eastAsia" w:ascii="宋体" w:hAnsi="宋体" w:eastAsia="宋体" w:cs="宋体"/>
                <w:sz w:val="24"/>
                <w:szCs w:val="24"/>
                <w:highlight w:val="none"/>
              </w:rPr>
            </w:pPr>
          </w:p>
        </w:tc>
        <w:tc>
          <w:tcPr>
            <w:tcW w:w="2474" w:type="dxa"/>
          </w:tcPr>
          <w:p w14:paraId="257091ED">
            <w:pPr>
              <w:spacing w:before="182" w:line="201" w:lineRule="auto"/>
              <w:ind w:left="779"/>
              <w:rPr>
                <w:rFonts w:hint="eastAsia" w:ascii="宋体" w:hAnsi="宋体" w:cs="宋体"/>
                <w:sz w:val="24"/>
                <w:szCs w:val="24"/>
                <w:highlight w:val="none"/>
              </w:rPr>
            </w:pPr>
            <w:r>
              <w:rPr>
                <w:rFonts w:hint="eastAsia" w:ascii="宋体" w:hAnsi="宋体" w:cs="宋体"/>
                <w:color w:val="212529"/>
                <w:spacing w:val="-7"/>
                <w:sz w:val="24"/>
                <w:szCs w:val="24"/>
                <w:highlight w:val="none"/>
              </w:rPr>
              <w:t>电子邮箱</w:t>
            </w:r>
          </w:p>
        </w:tc>
        <w:tc>
          <w:tcPr>
            <w:tcW w:w="5579" w:type="dxa"/>
            <w:gridSpan w:val="3"/>
          </w:tcPr>
          <w:p w14:paraId="54C9C4F2">
            <w:pPr>
              <w:pStyle w:val="45"/>
              <w:rPr>
                <w:rFonts w:hint="eastAsia" w:ascii="宋体" w:hAnsi="宋体" w:eastAsia="宋体" w:cs="宋体"/>
                <w:sz w:val="24"/>
                <w:szCs w:val="24"/>
                <w:highlight w:val="none"/>
              </w:rPr>
            </w:pPr>
          </w:p>
        </w:tc>
      </w:tr>
      <w:tr w14:paraId="5495A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17" w:type="dxa"/>
            <w:vMerge w:val="continue"/>
            <w:tcBorders>
              <w:top w:val="nil"/>
              <w:bottom w:val="nil"/>
            </w:tcBorders>
            <w:textDirection w:val="tbRlV"/>
          </w:tcPr>
          <w:p w14:paraId="557B2F3C">
            <w:pPr>
              <w:pStyle w:val="45"/>
              <w:rPr>
                <w:rFonts w:hint="eastAsia" w:ascii="宋体" w:hAnsi="宋体" w:eastAsia="宋体" w:cs="宋体"/>
                <w:sz w:val="24"/>
                <w:szCs w:val="24"/>
                <w:highlight w:val="none"/>
              </w:rPr>
            </w:pPr>
          </w:p>
        </w:tc>
        <w:tc>
          <w:tcPr>
            <w:tcW w:w="2474" w:type="dxa"/>
          </w:tcPr>
          <w:p w14:paraId="0C2AD4CD">
            <w:pPr>
              <w:spacing w:before="181" w:line="200" w:lineRule="auto"/>
              <w:ind w:left="761"/>
              <w:rPr>
                <w:rFonts w:hint="eastAsia" w:ascii="宋体" w:hAnsi="宋体" w:cs="宋体"/>
                <w:sz w:val="24"/>
                <w:szCs w:val="24"/>
                <w:highlight w:val="none"/>
              </w:rPr>
            </w:pPr>
            <w:r>
              <w:rPr>
                <w:rFonts w:hint="eastAsia" w:ascii="宋体" w:hAnsi="宋体" w:cs="宋体"/>
                <w:color w:val="212529"/>
                <w:spacing w:val="-3"/>
                <w:sz w:val="24"/>
                <w:szCs w:val="24"/>
                <w:highlight w:val="none"/>
              </w:rPr>
              <w:t>开户银行</w:t>
            </w:r>
          </w:p>
        </w:tc>
        <w:tc>
          <w:tcPr>
            <w:tcW w:w="5579" w:type="dxa"/>
            <w:gridSpan w:val="3"/>
          </w:tcPr>
          <w:p w14:paraId="429AC8B1">
            <w:pPr>
              <w:pStyle w:val="45"/>
              <w:rPr>
                <w:rFonts w:hint="eastAsia" w:ascii="宋体" w:hAnsi="宋体" w:eastAsia="宋体" w:cs="宋体"/>
                <w:sz w:val="24"/>
                <w:szCs w:val="24"/>
                <w:highlight w:val="none"/>
              </w:rPr>
            </w:pPr>
          </w:p>
        </w:tc>
      </w:tr>
      <w:tr w14:paraId="13A4A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17" w:type="dxa"/>
            <w:vMerge w:val="continue"/>
            <w:tcBorders>
              <w:top w:val="nil"/>
              <w:bottom w:val="nil"/>
            </w:tcBorders>
            <w:textDirection w:val="tbRlV"/>
          </w:tcPr>
          <w:p w14:paraId="2061CDB4">
            <w:pPr>
              <w:pStyle w:val="45"/>
              <w:rPr>
                <w:rFonts w:hint="eastAsia" w:ascii="宋体" w:hAnsi="宋体" w:eastAsia="宋体" w:cs="宋体"/>
                <w:sz w:val="24"/>
                <w:szCs w:val="24"/>
                <w:highlight w:val="none"/>
              </w:rPr>
            </w:pPr>
          </w:p>
        </w:tc>
        <w:tc>
          <w:tcPr>
            <w:tcW w:w="2474" w:type="dxa"/>
          </w:tcPr>
          <w:p w14:paraId="44BA786E">
            <w:pPr>
              <w:spacing w:before="180" w:line="201" w:lineRule="auto"/>
              <w:ind w:left="996"/>
              <w:rPr>
                <w:rFonts w:hint="eastAsia" w:ascii="宋体" w:hAnsi="宋体" w:cs="宋体"/>
                <w:sz w:val="24"/>
                <w:szCs w:val="24"/>
                <w:highlight w:val="none"/>
              </w:rPr>
            </w:pPr>
            <w:r>
              <w:rPr>
                <w:rFonts w:hint="eastAsia" w:ascii="宋体" w:hAnsi="宋体" w:cs="宋体"/>
                <w:color w:val="212529"/>
                <w:spacing w:val="-2"/>
                <w:sz w:val="24"/>
                <w:szCs w:val="24"/>
                <w:highlight w:val="none"/>
              </w:rPr>
              <w:t>账号</w:t>
            </w:r>
          </w:p>
        </w:tc>
        <w:tc>
          <w:tcPr>
            <w:tcW w:w="5579" w:type="dxa"/>
            <w:gridSpan w:val="3"/>
          </w:tcPr>
          <w:p w14:paraId="3D90A96B">
            <w:pPr>
              <w:pStyle w:val="45"/>
              <w:rPr>
                <w:rFonts w:hint="eastAsia" w:ascii="宋体" w:hAnsi="宋体" w:eastAsia="宋体" w:cs="宋体"/>
                <w:sz w:val="24"/>
                <w:szCs w:val="24"/>
                <w:highlight w:val="none"/>
              </w:rPr>
            </w:pPr>
          </w:p>
        </w:tc>
      </w:tr>
      <w:tr w14:paraId="78A63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817" w:type="dxa"/>
            <w:vMerge w:val="continue"/>
            <w:tcBorders>
              <w:top w:val="nil"/>
            </w:tcBorders>
            <w:textDirection w:val="tbRlV"/>
          </w:tcPr>
          <w:p w14:paraId="14C961EE">
            <w:pPr>
              <w:pStyle w:val="45"/>
              <w:rPr>
                <w:rFonts w:hint="eastAsia" w:ascii="宋体" w:hAnsi="宋体" w:eastAsia="宋体" w:cs="宋体"/>
                <w:sz w:val="24"/>
                <w:szCs w:val="24"/>
                <w:highlight w:val="none"/>
              </w:rPr>
            </w:pPr>
          </w:p>
        </w:tc>
        <w:tc>
          <w:tcPr>
            <w:tcW w:w="2474" w:type="dxa"/>
          </w:tcPr>
          <w:p w14:paraId="6A99BA02">
            <w:pPr>
              <w:spacing w:before="180" w:line="201" w:lineRule="auto"/>
              <w:ind w:left="520"/>
              <w:rPr>
                <w:rFonts w:hint="eastAsia" w:ascii="宋体" w:hAnsi="宋体" w:cs="宋体"/>
                <w:sz w:val="24"/>
                <w:szCs w:val="24"/>
                <w:highlight w:val="none"/>
              </w:rPr>
            </w:pPr>
            <w:r>
              <w:rPr>
                <w:rFonts w:hint="eastAsia" w:ascii="宋体" w:hAnsi="宋体" w:cs="宋体"/>
                <w:color w:val="212529"/>
                <w:spacing w:val="-2"/>
                <w:sz w:val="24"/>
                <w:szCs w:val="24"/>
                <w:highlight w:val="none"/>
              </w:rPr>
              <w:t>纳税人识别号</w:t>
            </w:r>
          </w:p>
        </w:tc>
        <w:tc>
          <w:tcPr>
            <w:tcW w:w="5579" w:type="dxa"/>
            <w:gridSpan w:val="3"/>
          </w:tcPr>
          <w:p w14:paraId="09F04E81">
            <w:pPr>
              <w:pStyle w:val="45"/>
              <w:rPr>
                <w:rFonts w:hint="eastAsia" w:ascii="宋体" w:hAnsi="宋体" w:eastAsia="宋体" w:cs="宋体"/>
                <w:sz w:val="24"/>
                <w:szCs w:val="24"/>
                <w:highlight w:val="none"/>
              </w:rPr>
            </w:pPr>
          </w:p>
        </w:tc>
      </w:tr>
    </w:tbl>
    <w:p w14:paraId="17F3A846">
      <w:pPr>
        <w:rPr>
          <w:rFonts w:hint="eastAsia" w:ascii="宋体" w:hAnsi="宋体" w:cs="宋体"/>
          <w:highlight w:val="none"/>
        </w:rPr>
        <w:sectPr>
          <w:headerReference r:id="rId5" w:type="default"/>
          <w:footerReference r:id="rId6" w:type="default"/>
          <w:pgSz w:w="11906" w:h="16838"/>
          <w:pgMar w:top="2098" w:right="964" w:bottom="1985" w:left="964" w:header="0" w:footer="740" w:gutter="0"/>
          <w:pgNumType w:start="1"/>
          <w:cols w:space="720" w:num="1"/>
        </w:sectPr>
      </w:pPr>
    </w:p>
    <w:p w14:paraId="2DF3A375">
      <w:pPr>
        <w:widowControl/>
        <w:spacing w:line="360" w:lineRule="auto"/>
        <w:ind w:firstLine="482" w:firstLineChars="200"/>
        <w:jc w:val="center"/>
        <w:rPr>
          <w:b/>
          <w:bCs/>
          <w:sz w:val="24"/>
          <w:szCs w:val="24"/>
          <w:highlight w:val="none"/>
        </w:rPr>
      </w:pPr>
      <w:bookmarkStart w:id="225" w:name="_Toc39253420"/>
      <w:bookmarkStart w:id="226" w:name="_Toc16938559"/>
      <w:bookmarkStart w:id="227" w:name="OLE_LINK3"/>
      <w:bookmarkStart w:id="228" w:name="_Toc20823315"/>
      <w:bookmarkStart w:id="229" w:name="_Toc513029243"/>
      <w:bookmarkStart w:id="230" w:name="OLE_LINK4"/>
      <w:r>
        <w:rPr>
          <w:rFonts w:hint="eastAsia"/>
          <w:b/>
          <w:bCs/>
          <w:sz w:val="24"/>
          <w:szCs w:val="24"/>
          <w:highlight w:val="none"/>
        </w:rPr>
        <w:t>第 1 节  订立依据</w:t>
      </w:r>
      <w:bookmarkEnd w:id="225"/>
    </w:p>
    <w:p w14:paraId="346D3DFD">
      <w:pPr>
        <w:widowControl/>
        <w:spacing w:line="360" w:lineRule="auto"/>
        <w:ind w:firstLine="480" w:firstLineChars="200"/>
        <w:jc w:val="left"/>
        <w:rPr>
          <w:sz w:val="24"/>
          <w:szCs w:val="24"/>
          <w:highlight w:val="none"/>
        </w:rPr>
      </w:pPr>
      <w:r>
        <w:rPr>
          <w:rFonts w:hint="eastAsia"/>
          <w:sz w:val="24"/>
          <w:szCs w:val="24"/>
          <w:highlight w:val="none"/>
        </w:rPr>
        <w:t>1.1 鉴于</w:t>
      </w:r>
      <w:r>
        <w:rPr>
          <w:rFonts w:hint="eastAsia"/>
          <w:sz w:val="24"/>
          <w:szCs w:val="24"/>
          <w:highlight w:val="none"/>
          <w:u w:val="single"/>
        </w:rPr>
        <w:t xml:space="preserve">    </w:t>
      </w:r>
      <w:r>
        <w:rPr>
          <w:rFonts w:hint="eastAsia"/>
          <w:sz w:val="24"/>
          <w:szCs w:val="24"/>
          <w:highlight w:val="none"/>
        </w:rPr>
        <w:t xml:space="preserve"> 年</w:t>
      </w:r>
      <w:r>
        <w:rPr>
          <w:rFonts w:hint="eastAsia"/>
          <w:sz w:val="24"/>
          <w:szCs w:val="24"/>
          <w:highlight w:val="none"/>
          <w:u w:val="single"/>
        </w:rPr>
        <w:t xml:space="preserve">   </w:t>
      </w:r>
      <w:r>
        <w:rPr>
          <w:rFonts w:hint="eastAsia"/>
          <w:sz w:val="24"/>
          <w:szCs w:val="24"/>
          <w:highlight w:val="none"/>
        </w:rPr>
        <w:t xml:space="preserve"> 月</w:t>
      </w:r>
      <w:r>
        <w:rPr>
          <w:rFonts w:hint="eastAsia"/>
          <w:sz w:val="24"/>
          <w:szCs w:val="24"/>
          <w:highlight w:val="none"/>
          <w:u w:val="single"/>
        </w:rPr>
        <w:t xml:space="preserve">   </w:t>
      </w:r>
      <w:r>
        <w:rPr>
          <w:rFonts w:hint="eastAsia"/>
          <w:sz w:val="24"/>
          <w:szCs w:val="24"/>
          <w:highlight w:val="none"/>
        </w:rPr>
        <w:t xml:space="preserve"> 日，甲方对 </w:t>
      </w:r>
      <w:r>
        <w:rPr>
          <w:rFonts w:hint="eastAsia"/>
          <w:sz w:val="24"/>
          <w:szCs w:val="24"/>
          <w:highlight w:val="none"/>
          <w:u w:val="single"/>
        </w:rPr>
        <w:t xml:space="preserve">                </w:t>
      </w:r>
      <w:r>
        <w:rPr>
          <w:rFonts w:hint="eastAsia"/>
          <w:sz w:val="24"/>
          <w:szCs w:val="24"/>
          <w:highlight w:val="none"/>
        </w:rPr>
        <w:t xml:space="preserve"> 能源费用托管项 目（ 以下简称项 目）进行了采购，经评标委员会评审，确定乙方为该项 目中标供应商。</w:t>
      </w:r>
    </w:p>
    <w:p w14:paraId="39DD9544">
      <w:pPr>
        <w:widowControl/>
        <w:spacing w:line="360" w:lineRule="auto"/>
        <w:ind w:firstLine="480" w:firstLineChars="200"/>
        <w:jc w:val="left"/>
        <w:rPr>
          <w:sz w:val="24"/>
          <w:szCs w:val="24"/>
          <w:highlight w:val="none"/>
        </w:rPr>
      </w:pPr>
      <w:r>
        <w:rPr>
          <w:rFonts w:hint="eastAsia"/>
          <w:sz w:val="24"/>
          <w:szCs w:val="24"/>
          <w:highlight w:val="none"/>
        </w:rPr>
        <w:t>1.2 甲乙双方按照政府采购文件确定的事项，经过平等协商，在真实、充分、全面地表达各自意愿的基础上，根据《中华人民共和国民法典》《中华人民共和国政府采购法》等法律法规的规定，达成如下协议，并由双方共同恪守。</w:t>
      </w:r>
    </w:p>
    <w:p w14:paraId="0C0A496B">
      <w:pPr>
        <w:widowControl/>
        <w:spacing w:line="360" w:lineRule="auto"/>
        <w:ind w:firstLine="482" w:firstLineChars="200"/>
        <w:jc w:val="center"/>
        <w:rPr>
          <w:b/>
          <w:bCs/>
          <w:sz w:val="24"/>
          <w:szCs w:val="24"/>
          <w:highlight w:val="none"/>
        </w:rPr>
      </w:pPr>
      <w:bookmarkStart w:id="231" w:name="_Toc454750311"/>
      <w:r>
        <w:rPr>
          <w:rFonts w:hint="eastAsia"/>
          <w:b/>
          <w:bCs/>
          <w:sz w:val="24"/>
          <w:szCs w:val="24"/>
          <w:highlight w:val="none"/>
        </w:rPr>
        <w:t>第 2 节  项目概况</w:t>
      </w:r>
      <w:bookmarkEnd w:id="231"/>
    </w:p>
    <w:p w14:paraId="159A4679">
      <w:pPr>
        <w:widowControl/>
        <w:spacing w:line="360" w:lineRule="auto"/>
        <w:ind w:firstLine="480" w:firstLineChars="200"/>
        <w:jc w:val="left"/>
        <w:rPr>
          <w:sz w:val="24"/>
          <w:szCs w:val="24"/>
          <w:highlight w:val="none"/>
        </w:rPr>
      </w:pPr>
      <w:r>
        <w:rPr>
          <w:rFonts w:hint="eastAsia"/>
          <w:sz w:val="24"/>
          <w:szCs w:val="24"/>
          <w:highlight w:val="none"/>
        </w:rPr>
        <w:t>2.1 项目托管范围及其具体约定为：</w:t>
      </w:r>
    </w:p>
    <w:p w14:paraId="46EE79A2">
      <w:pPr>
        <w:widowControl/>
        <w:spacing w:line="360" w:lineRule="auto"/>
        <w:ind w:firstLine="480" w:firstLineChars="200"/>
        <w:jc w:val="left"/>
        <w:rPr>
          <w:sz w:val="24"/>
          <w:szCs w:val="24"/>
          <w:highlight w:val="none"/>
        </w:rPr>
      </w:pPr>
      <w:r>
        <w:rPr>
          <w:rFonts w:hint="eastAsia"/>
          <w:sz w:val="24"/>
          <w:szCs w:val="24"/>
          <w:highlight w:val="none"/>
        </w:rPr>
        <w:t>□电费，具体约定如下：</w:t>
      </w:r>
      <w:r>
        <w:rPr>
          <w:rFonts w:hint="eastAsia"/>
          <w:sz w:val="24"/>
          <w:szCs w:val="24"/>
          <w:highlight w:val="none"/>
          <w:u w:val="single"/>
        </w:rPr>
        <w:t xml:space="preserve">                            </w:t>
      </w:r>
      <w:r>
        <w:rPr>
          <w:rFonts w:hint="eastAsia"/>
          <w:sz w:val="24"/>
          <w:szCs w:val="24"/>
          <w:highlight w:val="none"/>
        </w:rPr>
        <w:t>。</w:t>
      </w:r>
    </w:p>
    <w:p w14:paraId="76F50E84">
      <w:pPr>
        <w:widowControl/>
        <w:spacing w:line="360" w:lineRule="auto"/>
        <w:ind w:firstLine="480" w:firstLineChars="200"/>
        <w:jc w:val="left"/>
        <w:rPr>
          <w:sz w:val="24"/>
          <w:szCs w:val="24"/>
          <w:highlight w:val="none"/>
        </w:rPr>
      </w:pPr>
      <w:r>
        <w:rPr>
          <w:rFonts w:hint="eastAsia"/>
          <w:sz w:val="24"/>
          <w:szCs w:val="24"/>
          <w:highlight w:val="none"/>
        </w:rPr>
        <w:t>□蒸汽费，具体约定如下：</w:t>
      </w:r>
      <w:r>
        <w:rPr>
          <w:rFonts w:hint="eastAsia"/>
          <w:sz w:val="24"/>
          <w:szCs w:val="24"/>
          <w:highlight w:val="none"/>
          <w:u w:val="single"/>
        </w:rPr>
        <w:t xml:space="preserve">                            </w:t>
      </w:r>
      <w:r>
        <w:rPr>
          <w:rFonts w:hint="eastAsia"/>
          <w:sz w:val="24"/>
          <w:szCs w:val="24"/>
          <w:highlight w:val="none"/>
        </w:rPr>
        <w:t>。</w:t>
      </w:r>
    </w:p>
    <w:p w14:paraId="747B419F">
      <w:pPr>
        <w:widowControl/>
        <w:spacing w:line="360" w:lineRule="auto"/>
        <w:ind w:firstLine="480" w:firstLineChars="200"/>
        <w:jc w:val="left"/>
        <w:rPr>
          <w:sz w:val="24"/>
          <w:szCs w:val="24"/>
          <w:highlight w:val="none"/>
        </w:rPr>
      </w:pPr>
      <w:r>
        <w:rPr>
          <w:rFonts w:hint="eastAsia"/>
          <w:sz w:val="24"/>
          <w:szCs w:val="24"/>
          <w:highlight w:val="none"/>
        </w:rPr>
        <w:t>□燃气费，具体约定如下：</w:t>
      </w:r>
      <w:r>
        <w:rPr>
          <w:rFonts w:hint="eastAsia"/>
          <w:sz w:val="24"/>
          <w:szCs w:val="24"/>
          <w:highlight w:val="none"/>
          <w:u w:val="single"/>
        </w:rPr>
        <w:t xml:space="preserve">                            </w:t>
      </w:r>
      <w:r>
        <w:rPr>
          <w:rFonts w:hint="eastAsia"/>
          <w:sz w:val="24"/>
          <w:szCs w:val="24"/>
          <w:highlight w:val="none"/>
        </w:rPr>
        <w:t>。</w:t>
      </w:r>
    </w:p>
    <w:p w14:paraId="75F13886">
      <w:pPr>
        <w:widowControl/>
        <w:spacing w:line="360" w:lineRule="auto"/>
        <w:ind w:firstLine="480" w:firstLineChars="200"/>
        <w:jc w:val="left"/>
        <w:rPr>
          <w:sz w:val="24"/>
          <w:szCs w:val="24"/>
          <w:highlight w:val="none"/>
          <w:u w:val="single"/>
        </w:rPr>
      </w:pPr>
      <w:r>
        <w:rPr>
          <w:rFonts w:hint="eastAsia"/>
          <w:sz w:val="24"/>
          <w:szCs w:val="24"/>
          <w:highlight w:val="none"/>
        </w:rPr>
        <w:t>□水费，具体约定如下：</w:t>
      </w:r>
      <w:r>
        <w:rPr>
          <w:rFonts w:hint="eastAsia"/>
          <w:sz w:val="24"/>
          <w:szCs w:val="24"/>
          <w:highlight w:val="none"/>
          <w:u w:val="single"/>
        </w:rPr>
        <w:t xml:space="preserve">                             </w:t>
      </w:r>
    </w:p>
    <w:p w14:paraId="20A7A89A">
      <w:pPr>
        <w:widowControl/>
        <w:spacing w:line="360" w:lineRule="auto"/>
        <w:ind w:firstLine="480" w:firstLineChars="200"/>
        <w:jc w:val="left"/>
        <w:rPr>
          <w:sz w:val="24"/>
          <w:szCs w:val="24"/>
          <w:highlight w:val="none"/>
        </w:rPr>
      </w:pPr>
      <w:r>
        <w:rPr>
          <w:rFonts w:hint="eastAsia"/>
          <w:sz w:val="24"/>
          <w:szCs w:val="24"/>
          <w:highlight w:val="none"/>
        </w:rPr>
        <w:t>□热力费，具体约定如下：</w:t>
      </w:r>
      <w:r>
        <w:rPr>
          <w:rFonts w:hint="eastAsia"/>
          <w:sz w:val="24"/>
          <w:szCs w:val="24"/>
          <w:highlight w:val="none"/>
          <w:u w:val="single"/>
        </w:rPr>
        <w:t xml:space="preserve">                            </w:t>
      </w:r>
      <w:r>
        <w:rPr>
          <w:rFonts w:hint="eastAsia"/>
          <w:sz w:val="24"/>
          <w:szCs w:val="24"/>
          <w:highlight w:val="none"/>
        </w:rPr>
        <w:t>。</w:t>
      </w:r>
    </w:p>
    <w:p w14:paraId="55EFE4F1">
      <w:pPr>
        <w:widowControl/>
        <w:spacing w:line="360" w:lineRule="auto"/>
        <w:ind w:firstLine="480" w:firstLineChars="200"/>
        <w:jc w:val="left"/>
        <w:rPr>
          <w:sz w:val="24"/>
          <w:szCs w:val="24"/>
          <w:highlight w:val="none"/>
        </w:rPr>
      </w:pPr>
      <w:r>
        <w:rPr>
          <w:rFonts w:hint="eastAsia"/>
          <w:sz w:val="24"/>
          <w:szCs w:val="24"/>
          <w:highlight w:val="none"/>
        </w:rPr>
        <w:t>□纳入托管范围的能源资源系统的运维费，具体约定如下：</w:t>
      </w:r>
    </w:p>
    <w:p w14:paraId="469956D8">
      <w:pPr>
        <w:widowControl/>
        <w:spacing w:line="360" w:lineRule="auto"/>
        <w:ind w:firstLine="480" w:firstLineChars="200"/>
        <w:jc w:val="left"/>
        <w:rPr>
          <w:sz w:val="24"/>
          <w:szCs w:val="24"/>
          <w:highlight w:val="none"/>
        </w:rPr>
      </w:pPr>
      <w:r>
        <w:rPr>
          <w:rFonts w:hint="eastAsia"/>
          <w:sz w:val="24"/>
          <w:szCs w:val="24"/>
          <w:highlight w:val="none"/>
          <w:u w:val="single"/>
        </w:rPr>
        <w:tab/>
      </w:r>
      <w:r>
        <w:rPr>
          <w:rFonts w:hint="eastAsia"/>
          <w:sz w:val="24"/>
          <w:szCs w:val="24"/>
          <w:highlight w:val="none"/>
        </w:rPr>
        <w:t>。</w:t>
      </w:r>
    </w:p>
    <w:p w14:paraId="280C261D">
      <w:pPr>
        <w:widowControl/>
        <w:spacing w:line="360" w:lineRule="auto"/>
        <w:ind w:firstLine="480" w:firstLineChars="200"/>
        <w:jc w:val="left"/>
        <w:rPr>
          <w:sz w:val="24"/>
          <w:szCs w:val="24"/>
          <w:highlight w:val="none"/>
        </w:rPr>
      </w:pPr>
      <w:r>
        <w:rPr>
          <w:rFonts w:hint="eastAsia"/>
          <w:sz w:val="24"/>
          <w:szCs w:val="24"/>
          <w:highlight w:val="none"/>
        </w:rPr>
        <w:t>□其他，具体约定如下：</w:t>
      </w:r>
      <w:r>
        <w:rPr>
          <w:rFonts w:hint="eastAsia"/>
          <w:sz w:val="24"/>
          <w:szCs w:val="24"/>
          <w:highlight w:val="none"/>
          <w:u w:val="single"/>
        </w:rPr>
        <w:t xml:space="preserve">                       </w:t>
      </w:r>
      <w:r>
        <w:rPr>
          <w:rFonts w:hint="eastAsia"/>
          <w:sz w:val="24"/>
          <w:szCs w:val="24"/>
          <w:highlight w:val="none"/>
        </w:rPr>
        <w:t>。</w:t>
      </w:r>
    </w:p>
    <w:p w14:paraId="4220AA80">
      <w:pPr>
        <w:widowControl/>
        <w:spacing w:line="360" w:lineRule="auto"/>
        <w:ind w:firstLine="480" w:firstLineChars="200"/>
        <w:jc w:val="left"/>
        <w:rPr>
          <w:sz w:val="24"/>
          <w:szCs w:val="24"/>
          <w:highlight w:val="none"/>
        </w:rPr>
      </w:pPr>
      <w:r>
        <w:rPr>
          <w:rFonts w:hint="eastAsia"/>
          <w:sz w:val="24"/>
          <w:szCs w:val="24"/>
          <w:highlight w:val="none"/>
        </w:rPr>
        <w:t>2.2 项目托管地点、区域、设备、服务的边界范围为：</w:t>
      </w:r>
    </w:p>
    <w:p w14:paraId="3095BFF9">
      <w:pPr>
        <w:widowControl/>
        <w:spacing w:line="360" w:lineRule="auto"/>
        <w:ind w:firstLine="480" w:firstLineChars="200"/>
        <w:jc w:val="left"/>
        <w:rPr>
          <w:sz w:val="24"/>
          <w:szCs w:val="24"/>
          <w:highlight w:val="none"/>
          <w:u w:val="single"/>
        </w:rPr>
      </w:pPr>
      <w:r>
        <w:rPr>
          <w:rFonts w:hint="eastAsia"/>
          <w:sz w:val="24"/>
          <w:szCs w:val="24"/>
          <w:highlight w:val="none"/>
        </w:rPr>
        <w:t>（ 1 ）</w:t>
      </w:r>
      <w:r>
        <w:rPr>
          <w:rFonts w:hint="eastAsia"/>
          <w:sz w:val="24"/>
          <w:szCs w:val="24"/>
          <w:highlight w:val="none"/>
          <w:u w:val="single"/>
        </w:rPr>
        <w:t xml:space="preserve">                                           </w:t>
      </w:r>
      <w:r>
        <w:rPr>
          <w:rFonts w:hint="eastAsia"/>
          <w:sz w:val="24"/>
          <w:szCs w:val="24"/>
          <w:highlight w:val="none"/>
        </w:rPr>
        <w:t>。 （2）</w:t>
      </w:r>
      <w:r>
        <w:rPr>
          <w:rFonts w:hint="eastAsia"/>
          <w:sz w:val="24"/>
          <w:szCs w:val="24"/>
          <w:highlight w:val="none"/>
          <w:u w:val="single"/>
        </w:rPr>
        <w:t xml:space="preserve">                                </w:t>
      </w:r>
    </w:p>
    <w:p w14:paraId="674E28EE">
      <w:pPr>
        <w:widowControl/>
        <w:spacing w:line="360" w:lineRule="auto"/>
        <w:ind w:firstLine="480" w:firstLineChars="200"/>
        <w:jc w:val="left"/>
        <w:rPr>
          <w:sz w:val="24"/>
          <w:szCs w:val="24"/>
          <w:highlight w:val="none"/>
        </w:rPr>
      </w:pPr>
      <w:r>
        <w:rPr>
          <w:rFonts w:hint="eastAsia"/>
          <w:sz w:val="24"/>
          <w:szCs w:val="24"/>
          <w:highlight w:val="none"/>
        </w:rPr>
        <w:t>……</w:t>
      </w:r>
    </w:p>
    <w:p w14:paraId="391A248E">
      <w:pPr>
        <w:widowControl/>
        <w:spacing w:line="360" w:lineRule="auto"/>
        <w:ind w:firstLine="480" w:firstLineChars="200"/>
        <w:jc w:val="left"/>
        <w:rPr>
          <w:sz w:val="24"/>
          <w:szCs w:val="24"/>
          <w:highlight w:val="none"/>
        </w:rPr>
      </w:pPr>
      <w:r>
        <w:rPr>
          <w:rFonts w:hint="eastAsia"/>
          <w:sz w:val="24"/>
          <w:szCs w:val="24"/>
          <w:highlight w:val="none"/>
        </w:rPr>
        <w:t>2.3 项目节能降碳目标为：</w:t>
      </w:r>
    </w:p>
    <w:p w14:paraId="27FE7AC9">
      <w:pPr>
        <w:widowControl/>
        <w:spacing w:line="360" w:lineRule="auto"/>
        <w:ind w:firstLine="480" w:firstLineChars="200"/>
        <w:jc w:val="left"/>
        <w:rPr>
          <w:sz w:val="24"/>
          <w:szCs w:val="24"/>
          <w:highlight w:val="none"/>
        </w:rPr>
      </w:pPr>
      <w:r>
        <w:rPr>
          <w:rFonts w:hint="eastAsia"/>
          <w:sz w:val="24"/>
          <w:szCs w:val="24"/>
          <w:highlight w:val="none"/>
        </w:rPr>
        <w:t>□节能量：</w:t>
      </w:r>
      <w:r>
        <w:rPr>
          <w:rFonts w:hint="eastAsia"/>
          <w:sz w:val="24"/>
          <w:szCs w:val="24"/>
          <w:highlight w:val="none"/>
          <w:u w:val="single"/>
        </w:rPr>
        <w:t xml:space="preserve">    </w:t>
      </w:r>
      <w:r>
        <w:rPr>
          <w:rFonts w:hint="eastAsia"/>
          <w:sz w:val="24"/>
          <w:szCs w:val="24"/>
          <w:highlight w:val="none"/>
        </w:rPr>
        <w:t>，该目标为□预期性目标/□核心履约目标。</w:t>
      </w:r>
    </w:p>
    <w:p w14:paraId="18C3FA18">
      <w:pPr>
        <w:widowControl/>
        <w:spacing w:line="360" w:lineRule="auto"/>
        <w:ind w:firstLine="480" w:firstLineChars="200"/>
        <w:jc w:val="left"/>
        <w:rPr>
          <w:sz w:val="24"/>
          <w:szCs w:val="24"/>
          <w:highlight w:val="none"/>
        </w:rPr>
      </w:pPr>
      <w:r>
        <w:rPr>
          <w:rFonts w:hint="eastAsia"/>
          <w:sz w:val="24"/>
          <w:szCs w:val="24"/>
          <w:highlight w:val="none"/>
        </w:rPr>
        <w:t>□节能率：</w:t>
      </w:r>
      <w:r>
        <w:rPr>
          <w:rFonts w:hint="eastAsia"/>
          <w:sz w:val="24"/>
          <w:szCs w:val="24"/>
          <w:highlight w:val="none"/>
          <w:u w:val="single"/>
        </w:rPr>
        <w:t xml:space="preserve">    </w:t>
      </w:r>
      <w:r>
        <w:rPr>
          <w:rFonts w:hint="eastAsia"/>
          <w:sz w:val="24"/>
          <w:szCs w:val="24"/>
          <w:highlight w:val="none"/>
        </w:rPr>
        <w:t>，该目标为□预期性目标/□核心履约目标。</w:t>
      </w:r>
    </w:p>
    <w:p w14:paraId="465088C1">
      <w:pPr>
        <w:widowControl/>
        <w:spacing w:line="360" w:lineRule="auto"/>
        <w:ind w:firstLine="480" w:firstLineChars="200"/>
        <w:jc w:val="left"/>
        <w:rPr>
          <w:sz w:val="24"/>
          <w:szCs w:val="24"/>
          <w:highlight w:val="none"/>
        </w:rPr>
      </w:pPr>
      <w:r>
        <w:rPr>
          <w:rFonts w:hint="eastAsia"/>
          <w:sz w:val="24"/>
          <w:szCs w:val="24"/>
          <w:highlight w:val="none"/>
        </w:rPr>
        <w:t>□降低碳排放量：</w:t>
      </w:r>
      <w:r>
        <w:rPr>
          <w:rFonts w:hint="eastAsia"/>
          <w:sz w:val="24"/>
          <w:szCs w:val="24"/>
          <w:highlight w:val="none"/>
          <w:u w:val="single"/>
        </w:rPr>
        <w:t xml:space="preserve">                     </w:t>
      </w:r>
      <w:r>
        <w:rPr>
          <w:rFonts w:hint="eastAsia"/>
          <w:sz w:val="24"/>
          <w:szCs w:val="24"/>
          <w:highlight w:val="none"/>
        </w:rPr>
        <w:t xml:space="preserve"> ，□按照《公共机构碳排放核算指南》（JS/T 303—2026） /  □按照 </w:t>
      </w:r>
      <w:r>
        <w:rPr>
          <w:rFonts w:hint="eastAsia"/>
          <w:sz w:val="24"/>
          <w:szCs w:val="24"/>
          <w:highlight w:val="none"/>
          <w:u w:val="single"/>
        </w:rPr>
        <w:t xml:space="preserve">      </w:t>
      </w:r>
      <w:r>
        <w:rPr>
          <w:rFonts w:hint="eastAsia"/>
          <w:sz w:val="24"/>
          <w:szCs w:val="24"/>
          <w:highlight w:val="none"/>
        </w:rPr>
        <w:t xml:space="preserve"> 计算。该目标为□预期性目标/□核心履约目标。</w:t>
      </w:r>
    </w:p>
    <w:p w14:paraId="4C0D7178">
      <w:pPr>
        <w:widowControl/>
        <w:spacing w:line="360" w:lineRule="auto"/>
        <w:ind w:firstLine="480" w:firstLineChars="200"/>
        <w:jc w:val="left"/>
        <w:rPr>
          <w:sz w:val="24"/>
          <w:szCs w:val="24"/>
          <w:highlight w:val="none"/>
        </w:rPr>
      </w:pPr>
      <w:r>
        <w:rPr>
          <w:rFonts w:hint="eastAsia"/>
          <w:sz w:val="24"/>
          <w:szCs w:val="24"/>
          <w:highlight w:val="none"/>
        </w:rPr>
        <w:t xml:space="preserve">□ </w:t>
      </w:r>
      <w:r>
        <w:rPr>
          <w:rFonts w:hint="eastAsia"/>
          <w:sz w:val="24"/>
          <w:szCs w:val="24"/>
          <w:highlight w:val="none"/>
          <w:u w:val="single"/>
        </w:rPr>
        <w:t xml:space="preserve">                                    </w:t>
      </w:r>
      <w:r>
        <w:rPr>
          <w:rFonts w:hint="eastAsia"/>
          <w:sz w:val="24"/>
          <w:szCs w:val="24"/>
          <w:highlight w:val="none"/>
        </w:rPr>
        <w:t>。</w:t>
      </w:r>
    </w:p>
    <w:p w14:paraId="16B0AB8D">
      <w:pPr>
        <w:widowControl/>
        <w:spacing w:line="360" w:lineRule="auto"/>
        <w:ind w:firstLine="480" w:firstLineChars="200"/>
        <w:jc w:val="left"/>
        <w:rPr>
          <w:sz w:val="24"/>
          <w:szCs w:val="24"/>
          <w:highlight w:val="none"/>
        </w:rPr>
      </w:pPr>
      <w:r>
        <w:rPr>
          <w:rFonts w:hint="eastAsia"/>
          <w:sz w:val="24"/>
          <w:szCs w:val="24"/>
          <w:highlight w:val="none"/>
        </w:rPr>
        <w:t>……</w:t>
      </w:r>
    </w:p>
    <w:p w14:paraId="1704BA47">
      <w:pPr>
        <w:widowControl/>
        <w:spacing w:line="360" w:lineRule="auto"/>
        <w:ind w:firstLine="480" w:firstLineChars="200"/>
        <w:jc w:val="left"/>
        <w:rPr>
          <w:sz w:val="24"/>
          <w:szCs w:val="24"/>
          <w:highlight w:val="none"/>
        </w:rPr>
      </w:pPr>
      <w:r>
        <w:rPr>
          <w:rFonts w:hint="eastAsia"/>
          <w:sz w:val="24"/>
          <w:szCs w:val="24"/>
          <w:highlight w:val="none"/>
        </w:rPr>
        <w:t xml:space="preserve">2.4 本项目预期总投资 </w:t>
      </w:r>
      <w:r>
        <w:rPr>
          <w:rFonts w:hint="eastAsia"/>
          <w:sz w:val="24"/>
          <w:szCs w:val="24"/>
          <w:highlight w:val="none"/>
          <w:u w:val="single"/>
        </w:rPr>
        <w:t xml:space="preserve">        </w:t>
      </w:r>
      <w:r>
        <w:rPr>
          <w:rFonts w:hint="eastAsia"/>
          <w:sz w:val="24"/>
          <w:szCs w:val="24"/>
          <w:highlight w:val="none"/>
        </w:rPr>
        <w:t xml:space="preserve"> 万元，上述投资为依据乙方投标书确定的预期性投资。实际投资规模上限由乙方自行控制，能源托管期内的经济效益风险由乙方自行承担。</w:t>
      </w:r>
    </w:p>
    <w:p w14:paraId="26DA8F55">
      <w:pPr>
        <w:widowControl/>
        <w:spacing w:line="360" w:lineRule="auto"/>
        <w:ind w:firstLine="480" w:firstLineChars="200"/>
        <w:jc w:val="left"/>
        <w:rPr>
          <w:sz w:val="24"/>
          <w:szCs w:val="24"/>
          <w:highlight w:val="none"/>
        </w:rPr>
      </w:pPr>
      <w:r>
        <w:rPr>
          <w:rFonts w:hint="eastAsia"/>
          <w:sz w:val="24"/>
          <w:szCs w:val="24"/>
          <w:highlight w:val="none"/>
        </w:rPr>
        <w:t>2.4.1 本项 目 □不设定最低投资额作为核心履约目标 / □乙方实际投资额不低于</w:t>
      </w:r>
      <w:r>
        <w:rPr>
          <w:rFonts w:hint="eastAsia"/>
          <w:sz w:val="24"/>
          <w:szCs w:val="24"/>
          <w:highlight w:val="none"/>
          <w:u w:val="single"/>
        </w:rPr>
        <w:t xml:space="preserve">        </w:t>
      </w:r>
      <w:r>
        <w:rPr>
          <w:rFonts w:hint="eastAsia"/>
          <w:sz w:val="24"/>
          <w:szCs w:val="24"/>
          <w:highlight w:val="none"/>
        </w:rPr>
        <w:t xml:space="preserve"> 万元，其中，项目前期一次性投资不低于</w:t>
      </w:r>
      <w:r>
        <w:rPr>
          <w:rFonts w:hint="eastAsia"/>
          <w:sz w:val="24"/>
          <w:szCs w:val="24"/>
          <w:highlight w:val="none"/>
          <w:u w:val="single"/>
        </w:rPr>
        <w:t xml:space="preserve">      </w:t>
      </w:r>
      <w:r>
        <w:rPr>
          <w:rFonts w:hint="eastAsia"/>
          <w:sz w:val="24"/>
          <w:szCs w:val="24"/>
          <w:highlight w:val="none"/>
        </w:rPr>
        <w:t xml:space="preserve"> 万元，托管期内持续性投资不低于</w:t>
      </w:r>
      <w:r>
        <w:rPr>
          <w:rFonts w:hint="eastAsia"/>
          <w:sz w:val="24"/>
          <w:szCs w:val="24"/>
          <w:highlight w:val="none"/>
          <w:u w:val="single"/>
        </w:rPr>
        <w:t xml:space="preserve">      </w:t>
      </w:r>
      <w:r>
        <w:rPr>
          <w:rFonts w:hint="eastAsia"/>
          <w:sz w:val="24"/>
          <w:szCs w:val="24"/>
          <w:highlight w:val="none"/>
        </w:rPr>
        <w:t xml:space="preserve"> 万元。</w:t>
      </w:r>
    </w:p>
    <w:p w14:paraId="40D75501">
      <w:pPr>
        <w:widowControl/>
        <w:spacing w:line="360" w:lineRule="auto"/>
        <w:ind w:firstLine="480" w:firstLineChars="200"/>
        <w:jc w:val="left"/>
        <w:rPr>
          <w:sz w:val="24"/>
          <w:szCs w:val="24"/>
          <w:highlight w:val="none"/>
        </w:rPr>
      </w:pPr>
      <w:r>
        <w:rPr>
          <w:rFonts w:hint="eastAsia"/>
          <w:sz w:val="24"/>
          <w:szCs w:val="24"/>
          <w:highlight w:val="none"/>
        </w:rPr>
        <w:t>2.4.2 本项目投资额的核定方式为：</w:t>
      </w:r>
      <w:r>
        <w:rPr>
          <w:rFonts w:hint="eastAsia"/>
          <w:sz w:val="24"/>
          <w:szCs w:val="24"/>
          <w:highlight w:val="none"/>
          <w:u w:val="single"/>
        </w:rPr>
        <w:t xml:space="preserve">               </w:t>
      </w:r>
      <w:r>
        <w:rPr>
          <w:rFonts w:hint="eastAsia"/>
          <w:sz w:val="24"/>
          <w:szCs w:val="24"/>
          <w:highlight w:val="none"/>
        </w:rPr>
        <w:t>。</w:t>
      </w:r>
    </w:p>
    <w:p w14:paraId="5FF638CA">
      <w:pPr>
        <w:widowControl/>
        <w:spacing w:line="360" w:lineRule="auto"/>
        <w:ind w:firstLine="480" w:firstLineChars="200"/>
        <w:jc w:val="left"/>
        <w:rPr>
          <w:sz w:val="24"/>
          <w:szCs w:val="24"/>
          <w:highlight w:val="none"/>
        </w:rPr>
      </w:pPr>
      <w:r>
        <w:rPr>
          <w:rFonts w:hint="eastAsia"/>
          <w:sz w:val="24"/>
          <w:szCs w:val="24"/>
          <w:highlight w:val="none"/>
        </w:rPr>
        <w:t>2.5 本项 目能源基准为：</w:t>
      </w:r>
      <w:r>
        <w:rPr>
          <w:rFonts w:hint="eastAsia"/>
          <w:sz w:val="24"/>
          <w:szCs w:val="24"/>
          <w:highlight w:val="none"/>
          <w:u w:val="single"/>
        </w:rPr>
        <w:t xml:space="preserve">               </w:t>
      </w:r>
      <w:r>
        <w:rPr>
          <w:rFonts w:hint="eastAsia"/>
          <w:sz w:val="24"/>
          <w:szCs w:val="24"/>
          <w:highlight w:val="none"/>
        </w:rPr>
        <w:t>。</w:t>
      </w:r>
    </w:p>
    <w:p w14:paraId="1B8B3476">
      <w:pPr>
        <w:widowControl/>
        <w:spacing w:line="360" w:lineRule="auto"/>
        <w:ind w:firstLine="480" w:firstLineChars="200"/>
        <w:jc w:val="left"/>
        <w:rPr>
          <w:sz w:val="24"/>
          <w:szCs w:val="24"/>
          <w:highlight w:val="none"/>
        </w:rPr>
      </w:pPr>
      <w:r>
        <w:rPr>
          <w:rFonts w:hint="eastAsia"/>
          <w:sz w:val="24"/>
          <w:szCs w:val="24"/>
          <w:highlight w:val="none"/>
        </w:rPr>
        <w:t>2.6 本项目能源托管期为：</w:t>
      </w:r>
      <w:r>
        <w:rPr>
          <w:rFonts w:hint="eastAsia"/>
          <w:sz w:val="24"/>
          <w:szCs w:val="24"/>
          <w:highlight w:val="none"/>
          <w:u w:val="single"/>
        </w:rPr>
        <w:t xml:space="preserve"> 托管期为10年 。自项目验收之日起的次月1号进入托管期</w:t>
      </w:r>
      <w:r>
        <w:rPr>
          <w:rFonts w:hint="eastAsia"/>
          <w:sz w:val="24"/>
          <w:szCs w:val="24"/>
          <w:highlight w:val="none"/>
        </w:rPr>
        <w:t xml:space="preserve"> 。乙方应当在合同签订之日起 </w:t>
      </w:r>
      <w:r>
        <w:rPr>
          <w:rFonts w:hint="eastAsia"/>
          <w:sz w:val="24"/>
          <w:szCs w:val="24"/>
          <w:highlight w:val="none"/>
          <w:u w:val="single"/>
        </w:rPr>
        <w:t xml:space="preserve"> 240 </w:t>
      </w:r>
      <w:r>
        <w:rPr>
          <w:rFonts w:hint="eastAsia"/>
          <w:sz w:val="24"/>
          <w:szCs w:val="24"/>
          <w:highlight w:val="none"/>
        </w:rPr>
        <w:t xml:space="preserve"> 个自然天内完成集中节能改造，最迟在2027年4月30日前完成验收。甲方场地无法进场施工导致改造滞后的，改造周期相应顺延，不视作乙方违约。通过验收后进入运行管理阶段。</w:t>
      </w:r>
    </w:p>
    <w:p w14:paraId="7FC0912F">
      <w:pPr>
        <w:widowControl/>
        <w:spacing w:line="360" w:lineRule="auto"/>
        <w:ind w:firstLine="480" w:firstLineChars="200"/>
        <w:jc w:val="left"/>
        <w:rPr>
          <w:sz w:val="24"/>
          <w:szCs w:val="24"/>
          <w:highlight w:val="none"/>
        </w:rPr>
      </w:pPr>
      <w:r>
        <w:rPr>
          <w:rFonts w:hint="eastAsia"/>
          <w:sz w:val="24"/>
          <w:szCs w:val="24"/>
          <w:highlight w:val="none"/>
        </w:rPr>
        <w:t>2.7 本项目对托管范围内产生的碳资产、碳排放交易权等额外收益归属的约定为：</w:t>
      </w:r>
      <w:r>
        <w:rPr>
          <w:rFonts w:hint="eastAsia"/>
          <w:sz w:val="24"/>
          <w:szCs w:val="24"/>
          <w:highlight w:val="none"/>
          <w:u w:val="single"/>
        </w:rPr>
        <w:t xml:space="preserve">                         </w:t>
      </w:r>
      <w:r>
        <w:rPr>
          <w:rFonts w:hint="eastAsia"/>
          <w:sz w:val="24"/>
          <w:szCs w:val="24"/>
          <w:highlight w:val="none"/>
        </w:rPr>
        <w:t>。</w:t>
      </w:r>
    </w:p>
    <w:p w14:paraId="66AD4255">
      <w:pPr>
        <w:widowControl/>
        <w:spacing w:line="360" w:lineRule="auto"/>
        <w:ind w:firstLine="480" w:firstLineChars="200"/>
        <w:jc w:val="left"/>
        <w:rPr>
          <w:sz w:val="24"/>
          <w:szCs w:val="24"/>
          <w:highlight w:val="none"/>
        </w:rPr>
      </w:pPr>
      <w:r>
        <w:rPr>
          <w:rFonts w:hint="eastAsia"/>
          <w:sz w:val="24"/>
          <w:szCs w:val="24"/>
          <w:highlight w:val="none"/>
        </w:rPr>
        <w:t>2.8 因履行本合同所产生的研究开发成果及其相关知识产权的权益归属的约定为：</w:t>
      </w:r>
      <w:r>
        <w:rPr>
          <w:rFonts w:hint="eastAsia"/>
          <w:sz w:val="24"/>
          <w:szCs w:val="24"/>
          <w:highlight w:val="none"/>
          <w:u w:val="single"/>
        </w:rPr>
        <w:t xml:space="preserve">                         </w:t>
      </w:r>
      <w:r>
        <w:rPr>
          <w:rFonts w:hint="eastAsia"/>
          <w:sz w:val="24"/>
          <w:szCs w:val="24"/>
          <w:highlight w:val="none"/>
        </w:rPr>
        <w:t>。</w:t>
      </w:r>
    </w:p>
    <w:p w14:paraId="75539062">
      <w:pPr>
        <w:widowControl/>
        <w:spacing w:line="360" w:lineRule="auto"/>
        <w:ind w:firstLine="482" w:firstLineChars="200"/>
        <w:jc w:val="center"/>
        <w:rPr>
          <w:b/>
          <w:bCs/>
          <w:sz w:val="24"/>
          <w:szCs w:val="24"/>
          <w:highlight w:val="none"/>
        </w:rPr>
      </w:pPr>
      <w:bookmarkStart w:id="232" w:name="_Toc94177304"/>
      <w:r>
        <w:rPr>
          <w:rFonts w:hint="eastAsia"/>
          <w:b/>
          <w:bCs/>
          <w:sz w:val="24"/>
          <w:szCs w:val="24"/>
          <w:highlight w:val="none"/>
        </w:rPr>
        <w:t>第 3 节  项目实施与运营</w:t>
      </w:r>
      <w:bookmarkEnd w:id="232"/>
    </w:p>
    <w:p w14:paraId="0D621CB7">
      <w:pPr>
        <w:widowControl/>
        <w:spacing w:line="360" w:lineRule="auto"/>
        <w:ind w:firstLine="480" w:firstLineChars="200"/>
        <w:jc w:val="left"/>
        <w:rPr>
          <w:sz w:val="24"/>
          <w:szCs w:val="24"/>
          <w:highlight w:val="none"/>
        </w:rPr>
      </w:pPr>
      <w:r>
        <w:rPr>
          <w:rFonts w:hint="eastAsia"/>
          <w:sz w:val="24"/>
          <w:szCs w:val="24"/>
          <w:highlight w:val="none"/>
        </w:rPr>
        <w:t>3.1 乙方负责托管能源资源系统的节能改造，用以提高能源资源利用效率、降低能源资源支出等费用。</w:t>
      </w:r>
    </w:p>
    <w:p w14:paraId="49406031">
      <w:pPr>
        <w:widowControl/>
        <w:spacing w:line="360" w:lineRule="auto"/>
        <w:ind w:firstLine="480" w:firstLineChars="200"/>
        <w:jc w:val="left"/>
        <w:rPr>
          <w:sz w:val="24"/>
          <w:szCs w:val="24"/>
          <w:highlight w:val="none"/>
        </w:rPr>
      </w:pPr>
      <w:r>
        <w:rPr>
          <w:rFonts w:hint="eastAsia"/>
          <w:sz w:val="24"/>
          <w:szCs w:val="24"/>
          <w:highlight w:val="none"/>
        </w:rPr>
        <w:t xml:space="preserve">3.2 本项目节能改造方案由 </w:t>
      </w:r>
      <w:r>
        <w:rPr>
          <w:rFonts w:hint="eastAsia"/>
          <w:sz w:val="24"/>
          <w:szCs w:val="24"/>
          <w:highlight w:val="none"/>
          <w:u w:val="single"/>
        </w:rPr>
        <w:t xml:space="preserve">           </w:t>
      </w:r>
      <w:r>
        <w:rPr>
          <w:rFonts w:hint="eastAsia"/>
          <w:sz w:val="24"/>
          <w:szCs w:val="24"/>
          <w:highlight w:val="none"/>
        </w:rPr>
        <w:t xml:space="preserve"> 负责编制，并经双方确认。节能改造方案编制内容和要求为：</w:t>
      </w:r>
      <w:r>
        <w:rPr>
          <w:rFonts w:hint="eastAsia"/>
          <w:sz w:val="24"/>
          <w:szCs w:val="24"/>
          <w:highlight w:val="none"/>
          <w:u w:val="single"/>
        </w:rPr>
        <w:t xml:space="preserve">         </w:t>
      </w:r>
      <w:r>
        <w:rPr>
          <w:rFonts w:hint="eastAsia"/>
          <w:sz w:val="24"/>
          <w:szCs w:val="24"/>
          <w:highlight w:val="none"/>
        </w:rPr>
        <w:t>。</w:t>
      </w:r>
    </w:p>
    <w:p w14:paraId="355F0330">
      <w:pPr>
        <w:widowControl/>
        <w:spacing w:line="360" w:lineRule="auto"/>
        <w:ind w:firstLine="480" w:firstLineChars="200"/>
        <w:jc w:val="left"/>
        <w:rPr>
          <w:sz w:val="24"/>
          <w:szCs w:val="24"/>
          <w:highlight w:val="none"/>
        </w:rPr>
      </w:pPr>
      <w:r>
        <w:rPr>
          <w:rFonts w:hint="eastAsia"/>
          <w:sz w:val="24"/>
          <w:szCs w:val="24"/>
          <w:highlight w:val="none"/>
        </w:rPr>
        <w:t>3.3 依据本项 目 □招标文件 /  □乙方投标书，乙方提供的节能改造，主要包括：</w:t>
      </w:r>
    </w:p>
    <w:tbl>
      <w:tblPr>
        <w:tblStyle w:val="22"/>
        <w:tblW w:w="8715" w:type="dxa"/>
        <w:tblInd w:w="170"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0" w:type="dxa"/>
          <w:left w:w="0" w:type="dxa"/>
          <w:bottom w:w="0" w:type="dxa"/>
          <w:right w:w="0" w:type="dxa"/>
        </w:tblCellMar>
      </w:tblPr>
      <w:tblGrid>
        <w:gridCol w:w="1249"/>
        <w:gridCol w:w="1241"/>
        <w:gridCol w:w="1242"/>
        <w:gridCol w:w="1243"/>
        <w:gridCol w:w="1242"/>
        <w:gridCol w:w="1243"/>
        <w:gridCol w:w="1255"/>
      </w:tblGrid>
      <w:tr w14:paraId="2C604EA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933" w:hRule="atLeast"/>
        </w:trPr>
        <w:tc>
          <w:tcPr>
            <w:tcW w:w="1249" w:type="dxa"/>
            <w:tcBorders>
              <w:top w:val="single" w:color="231F20" w:sz="4" w:space="0"/>
              <w:left w:val="single" w:color="231F20" w:sz="4" w:space="0"/>
              <w:bottom w:val="single" w:color="231F20" w:sz="4" w:space="0"/>
              <w:right w:val="single" w:color="231F20" w:sz="2" w:space="0"/>
            </w:tcBorders>
          </w:tcPr>
          <w:p w14:paraId="14FCD703">
            <w:pPr>
              <w:widowControl/>
              <w:spacing w:line="360" w:lineRule="auto"/>
              <w:ind w:firstLine="480" w:firstLineChars="200"/>
              <w:jc w:val="left"/>
              <w:rPr>
                <w:sz w:val="24"/>
                <w:szCs w:val="24"/>
                <w:highlight w:val="none"/>
              </w:rPr>
            </w:pPr>
          </w:p>
          <w:p w14:paraId="6AB50F25">
            <w:pPr>
              <w:widowControl/>
              <w:spacing w:line="360" w:lineRule="auto"/>
              <w:ind w:firstLine="480" w:firstLineChars="200"/>
              <w:jc w:val="left"/>
              <w:rPr>
                <w:sz w:val="24"/>
                <w:szCs w:val="24"/>
                <w:highlight w:val="none"/>
              </w:rPr>
            </w:pPr>
            <w:r>
              <w:rPr>
                <w:rFonts w:hint="eastAsia"/>
                <w:sz w:val="24"/>
                <w:szCs w:val="24"/>
                <w:highlight w:val="none"/>
              </w:rPr>
              <w:t>序号</w:t>
            </w:r>
          </w:p>
        </w:tc>
        <w:tc>
          <w:tcPr>
            <w:tcW w:w="1241" w:type="dxa"/>
            <w:tcBorders>
              <w:top w:val="single" w:color="231F20" w:sz="4" w:space="0"/>
              <w:left w:val="single" w:color="231F20" w:sz="2" w:space="0"/>
              <w:bottom w:val="single" w:color="231F20" w:sz="4" w:space="0"/>
              <w:right w:val="single" w:color="231F20" w:sz="2" w:space="0"/>
            </w:tcBorders>
          </w:tcPr>
          <w:p w14:paraId="5BA8D86E">
            <w:pPr>
              <w:widowControl/>
              <w:spacing w:line="360" w:lineRule="auto"/>
              <w:ind w:firstLine="480" w:firstLineChars="200"/>
              <w:jc w:val="left"/>
              <w:rPr>
                <w:sz w:val="24"/>
                <w:szCs w:val="24"/>
                <w:highlight w:val="none"/>
              </w:rPr>
            </w:pPr>
          </w:p>
          <w:p w14:paraId="40B33C19">
            <w:pPr>
              <w:widowControl/>
              <w:spacing w:line="360" w:lineRule="auto"/>
              <w:ind w:firstLine="480" w:firstLineChars="200"/>
              <w:jc w:val="left"/>
              <w:rPr>
                <w:sz w:val="24"/>
                <w:szCs w:val="24"/>
                <w:highlight w:val="none"/>
              </w:rPr>
            </w:pPr>
            <w:r>
              <w:rPr>
                <w:rFonts w:hint="eastAsia"/>
                <w:sz w:val="24"/>
                <w:szCs w:val="24"/>
                <w:highlight w:val="none"/>
              </w:rPr>
              <w:t>改造地点</w:t>
            </w:r>
          </w:p>
        </w:tc>
        <w:tc>
          <w:tcPr>
            <w:tcW w:w="1241" w:type="dxa"/>
            <w:tcBorders>
              <w:top w:val="single" w:color="231F20" w:sz="4" w:space="0"/>
              <w:left w:val="single" w:color="231F20" w:sz="2" w:space="0"/>
              <w:bottom w:val="single" w:color="231F20" w:sz="4" w:space="0"/>
              <w:right w:val="single" w:color="231F20" w:sz="2" w:space="0"/>
            </w:tcBorders>
          </w:tcPr>
          <w:p w14:paraId="23994F06">
            <w:pPr>
              <w:widowControl/>
              <w:spacing w:line="360" w:lineRule="auto"/>
              <w:ind w:firstLine="480" w:firstLineChars="200"/>
              <w:jc w:val="left"/>
              <w:rPr>
                <w:sz w:val="24"/>
                <w:szCs w:val="24"/>
                <w:highlight w:val="none"/>
              </w:rPr>
            </w:pPr>
          </w:p>
          <w:p w14:paraId="3CB47C19">
            <w:pPr>
              <w:widowControl/>
              <w:spacing w:line="360" w:lineRule="auto"/>
              <w:ind w:firstLine="480" w:firstLineChars="200"/>
              <w:jc w:val="left"/>
              <w:rPr>
                <w:sz w:val="24"/>
                <w:szCs w:val="24"/>
                <w:highlight w:val="none"/>
              </w:rPr>
            </w:pPr>
            <w:r>
              <w:rPr>
                <w:rFonts w:hint="eastAsia"/>
                <w:sz w:val="24"/>
                <w:szCs w:val="24"/>
                <w:highlight w:val="none"/>
              </w:rPr>
              <w:t>改造内容</w:t>
            </w:r>
          </w:p>
        </w:tc>
        <w:tc>
          <w:tcPr>
            <w:tcW w:w="1242" w:type="dxa"/>
            <w:tcBorders>
              <w:top w:val="single" w:color="231F20" w:sz="4" w:space="0"/>
              <w:left w:val="single" w:color="231F20" w:sz="2" w:space="0"/>
              <w:bottom w:val="single" w:color="231F20" w:sz="4" w:space="0"/>
              <w:right w:val="single" w:color="231F20" w:sz="4" w:space="0"/>
            </w:tcBorders>
          </w:tcPr>
          <w:p w14:paraId="2CAEAF66">
            <w:pPr>
              <w:widowControl/>
              <w:spacing w:line="360" w:lineRule="auto"/>
              <w:ind w:firstLine="480" w:firstLineChars="200"/>
              <w:jc w:val="left"/>
              <w:rPr>
                <w:sz w:val="24"/>
                <w:szCs w:val="24"/>
                <w:highlight w:val="none"/>
              </w:rPr>
            </w:pPr>
          </w:p>
          <w:p w14:paraId="654175A5">
            <w:pPr>
              <w:widowControl/>
              <w:spacing w:line="360" w:lineRule="auto"/>
              <w:ind w:firstLine="480" w:firstLineChars="200"/>
              <w:jc w:val="left"/>
              <w:rPr>
                <w:sz w:val="24"/>
                <w:szCs w:val="24"/>
                <w:highlight w:val="none"/>
              </w:rPr>
            </w:pPr>
            <w:r>
              <w:rPr>
                <w:rFonts w:hint="eastAsia"/>
                <w:sz w:val="24"/>
                <w:szCs w:val="24"/>
                <w:highlight w:val="none"/>
              </w:rPr>
              <w:t>设备类型</w:t>
            </w:r>
          </w:p>
        </w:tc>
        <w:tc>
          <w:tcPr>
            <w:tcW w:w="1241" w:type="dxa"/>
            <w:tcBorders>
              <w:top w:val="single" w:color="231F20" w:sz="4" w:space="0"/>
              <w:left w:val="single" w:color="231F20" w:sz="4" w:space="0"/>
              <w:bottom w:val="single" w:color="231F20" w:sz="4" w:space="0"/>
              <w:right w:val="single" w:color="231F20" w:sz="4" w:space="0"/>
            </w:tcBorders>
          </w:tcPr>
          <w:p w14:paraId="1178A325">
            <w:pPr>
              <w:widowControl/>
              <w:spacing w:line="360" w:lineRule="auto"/>
              <w:ind w:firstLine="480" w:firstLineChars="200"/>
              <w:jc w:val="left"/>
              <w:rPr>
                <w:sz w:val="24"/>
                <w:szCs w:val="24"/>
                <w:highlight w:val="none"/>
              </w:rPr>
            </w:pPr>
          </w:p>
          <w:p w14:paraId="662C9BB7">
            <w:pPr>
              <w:widowControl/>
              <w:spacing w:line="360" w:lineRule="auto"/>
              <w:ind w:firstLine="480" w:firstLineChars="200"/>
              <w:jc w:val="left"/>
              <w:rPr>
                <w:sz w:val="24"/>
                <w:szCs w:val="24"/>
                <w:highlight w:val="none"/>
              </w:rPr>
            </w:pPr>
            <w:r>
              <w:rPr>
                <w:rFonts w:hint="eastAsia"/>
                <w:sz w:val="24"/>
                <w:szCs w:val="24"/>
                <w:highlight w:val="none"/>
              </w:rPr>
              <w:t>设备数量</w:t>
            </w:r>
          </w:p>
        </w:tc>
        <w:tc>
          <w:tcPr>
            <w:tcW w:w="1242" w:type="dxa"/>
            <w:tcBorders>
              <w:top w:val="single" w:color="231F20" w:sz="4" w:space="0"/>
              <w:left w:val="single" w:color="231F20" w:sz="4" w:space="0"/>
              <w:bottom w:val="single" w:color="231F20" w:sz="4" w:space="0"/>
              <w:right w:val="single" w:color="231F20" w:sz="4" w:space="0"/>
            </w:tcBorders>
          </w:tcPr>
          <w:p w14:paraId="5B4428C7">
            <w:pPr>
              <w:widowControl/>
              <w:spacing w:line="360" w:lineRule="auto"/>
              <w:ind w:firstLine="480" w:firstLineChars="200"/>
              <w:jc w:val="left"/>
              <w:rPr>
                <w:sz w:val="24"/>
                <w:szCs w:val="24"/>
                <w:highlight w:val="none"/>
              </w:rPr>
            </w:pPr>
            <w:r>
              <w:rPr>
                <w:rFonts w:hint="eastAsia"/>
                <w:sz w:val="24"/>
                <w:szCs w:val="24"/>
                <w:highlight w:val="none"/>
              </w:rPr>
              <w:t>预计节能量</w:t>
            </w:r>
          </w:p>
        </w:tc>
        <w:tc>
          <w:tcPr>
            <w:tcW w:w="1254" w:type="dxa"/>
            <w:tcBorders>
              <w:top w:val="single" w:color="231F20" w:sz="4" w:space="0"/>
              <w:left w:val="single" w:color="231F20" w:sz="4" w:space="0"/>
              <w:bottom w:val="single" w:color="231F20" w:sz="4" w:space="0"/>
              <w:right w:val="single" w:color="231F20" w:sz="4" w:space="0"/>
            </w:tcBorders>
          </w:tcPr>
          <w:p w14:paraId="7F375FA5">
            <w:pPr>
              <w:widowControl/>
              <w:spacing w:line="360" w:lineRule="auto"/>
              <w:ind w:firstLine="480" w:firstLineChars="200"/>
              <w:jc w:val="left"/>
              <w:rPr>
                <w:sz w:val="24"/>
                <w:szCs w:val="24"/>
                <w:highlight w:val="none"/>
              </w:rPr>
            </w:pPr>
            <w:r>
              <w:rPr>
                <w:rFonts w:hint="eastAsia"/>
                <w:sz w:val="24"/>
                <w:szCs w:val="24"/>
                <w:highlight w:val="none"/>
              </w:rPr>
              <w:t>预计降低</w:t>
            </w:r>
          </w:p>
          <w:p w14:paraId="3A92AC42">
            <w:pPr>
              <w:widowControl/>
              <w:spacing w:line="360" w:lineRule="auto"/>
              <w:ind w:firstLine="480" w:firstLineChars="200"/>
              <w:jc w:val="left"/>
              <w:rPr>
                <w:sz w:val="24"/>
                <w:szCs w:val="24"/>
                <w:highlight w:val="none"/>
              </w:rPr>
            </w:pPr>
            <w:r>
              <w:rPr>
                <w:rFonts w:hint="eastAsia"/>
                <w:sz w:val="24"/>
                <w:szCs w:val="24"/>
                <w:highlight w:val="none"/>
              </w:rPr>
              <w:t>二氧化碳排放量</w:t>
            </w:r>
          </w:p>
        </w:tc>
      </w:tr>
      <w:tr w14:paraId="5876443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353" w:hRule="atLeast"/>
        </w:trPr>
        <w:tc>
          <w:tcPr>
            <w:tcW w:w="1249" w:type="dxa"/>
            <w:tcBorders>
              <w:top w:val="single" w:color="231F20" w:sz="4" w:space="0"/>
              <w:left w:val="single" w:color="231F20" w:sz="4" w:space="0"/>
              <w:bottom w:val="single" w:color="231F20" w:sz="2" w:space="0"/>
              <w:right w:val="single" w:color="231F20" w:sz="2" w:space="0"/>
            </w:tcBorders>
          </w:tcPr>
          <w:p w14:paraId="54EAD5D2">
            <w:pPr>
              <w:widowControl/>
              <w:spacing w:line="360" w:lineRule="auto"/>
              <w:ind w:firstLine="480" w:firstLineChars="200"/>
              <w:jc w:val="left"/>
              <w:rPr>
                <w:sz w:val="24"/>
                <w:szCs w:val="24"/>
                <w:highlight w:val="none"/>
              </w:rPr>
            </w:pPr>
            <w:r>
              <w:rPr>
                <w:rFonts w:hint="eastAsia"/>
                <w:sz w:val="24"/>
                <w:szCs w:val="24"/>
                <w:highlight w:val="none"/>
              </w:rPr>
              <w:t>1</w:t>
            </w:r>
          </w:p>
        </w:tc>
        <w:tc>
          <w:tcPr>
            <w:tcW w:w="1241" w:type="dxa"/>
            <w:tcBorders>
              <w:top w:val="single" w:color="231F20" w:sz="4" w:space="0"/>
              <w:left w:val="single" w:color="231F20" w:sz="2" w:space="0"/>
              <w:bottom w:val="single" w:color="231F20" w:sz="2" w:space="0"/>
              <w:right w:val="single" w:color="231F20" w:sz="2" w:space="0"/>
            </w:tcBorders>
          </w:tcPr>
          <w:p w14:paraId="0C61D7C8">
            <w:pPr>
              <w:widowControl/>
              <w:spacing w:line="360" w:lineRule="auto"/>
              <w:ind w:firstLine="480" w:firstLineChars="200"/>
              <w:jc w:val="left"/>
              <w:rPr>
                <w:sz w:val="24"/>
                <w:szCs w:val="24"/>
                <w:highlight w:val="none"/>
              </w:rPr>
            </w:pPr>
          </w:p>
        </w:tc>
        <w:tc>
          <w:tcPr>
            <w:tcW w:w="1241" w:type="dxa"/>
            <w:tcBorders>
              <w:top w:val="single" w:color="231F20" w:sz="4" w:space="0"/>
              <w:left w:val="single" w:color="231F20" w:sz="2" w:space="0"/>
              <w:bottom w:val="single" w:color="231F20" w:sz="2" w:space="0"/>
              <w:right w:val="single" w:color="231F20" w:sz="2" w:space="0"/>
            </w:tcBorders>
          </w:tcPr>
          <w:p w14:paraId="0FDF91C3">
            <w:pPr>
              <w:widowControl/>
              <w:spacing w:line="360" w:lineRule="auto"/>
              <w:ind w:firstLine="480" w:firstLineChars="200"/>
              <w:jc w:val="left"/>
              <w:rPr>
                <w:sz w:val="24"/>
                <w:szCs w:val="24"/>
                <w:highlight w:val="none"/>
              </w:rPr>
            </w:pPr>
          </w:p>
        </w:tc>
        <w:tc>
          <w:tcPr>
            <w:tcW w:w="1242" w:type="dxa"/>
            <w:tcBorders>
              <w:top w:val="single" w:color="231F20" w:sz="4" w:space="0"/>
              <w:left w:val="single" w:color="231F20" w:sz="2" w:space="0"/>
              <w:bottom w:val="single" w:color="231F20" w:sz="2" w:space="0"/>
              <w:right w:val="single" w:color="231F20" w:sz="4" w:space="0"/>
            </w:tcBorders>
          </w:tcPr>
          <w:p w14:paraId="7F52E221">
            <w:pPr>
              <w:widowControl/>
              <w:spacing w:line="360" w:lineRule="auto"/>
              <w:ind w:firstLine="480" w:firstLineChars="200"/>
              <w:jc w:val="left"/>
              <w:rPr>
                <w:sz w:val="24"/>
                <w:szCs w:val="24"/>
                <w:highlight w:val="none"/>
              </w:rPr>
            </w:pPr>
          </w:p>
        </w:tc>
        <w:tc>
          <w:tcPr>
            <w:tcW w:w="1241" w:type="dxa"/>
            <w:tcBorders>
              <w:top w:val="single" w:color="231F20" w:sz="4" w:space="0"/>
              <w:left w:val="single" w:color="231F20" w:sz="4" w:space="0"/>
              <w:bottom w:val="single" w:color="231F20" w:sz="2" w:space="0"/>
              <w:right w:val="single" w:color="231F20" w:sz="4" w:space="0"/>
            </w:tcBorders>
          </w:tcPr>
          <w:p w14:paraId="76C43061">
            <w:pPr>
              <w:widowControl/>
              <w:spacing w:line="360" w:lineRule="auto"/>
              <w:ind w:firstLine="480" w:firstLineChars="200"/>
              <w:jc w:val="left"/>
              <w:rPr>
                <w:sz w:val="24"/>
                <w:szCs w:val="24"/>
                <w:highlight w:val="none"/>
              </w:rPr>
            </w:pPr>
          </w:p>
        </w:tc>
        <w:tc>
          <w:tcPr>
            <w:tcW w:w="1242" w:type="dxa"/>
            <w:tcBorders>
              <w:top w:val="single" w:color="231F20" w:sz="4" w:space="0"/>
              <w:left w:val="single" w:color="231F20" w:sz="4" w:space="0"/>
              <w:bottom w:val="single" w:color="231F20" w:sz="2" w:space="0"/>
              <w:right w:val="single" w:color="231F20" w:sz="4" w:space="0"/>
            </w:tcBorders>
          </w:tcPr>
          <w:p w14:paraId="3F7D33E7">
            <w:pPr>
              <w:widowControl/>
              <w:spacing w:line="360" w:lineRule="auto"/>
              <w:ind w:firstLine="480" w:firstLineChars="200"/>
              <w:jc w:val="left"/>
              <w:rPr>
                <w:sz w:val="24"/>
                <w:szCs w:val="24"/>
                <w:highlight w:val="none"/>
              </w:rPr>
            </w:pPr>
          </w:p>
        </w:tc>
        <w:tc>
          <w:tcPr>
            <w:tcW w:w="1254" w:type="dxa"/>
            <w:tcBorders>
              <w:top w:val="single" w:color="231F20" w:sz="4" w:space="0"/>
              <w:left w:val="single" w:color="231F20" w:sz="4" w:space="0"/>
              <w:bottom w:val="single" w:color="231F20" w:sz="2" w:space="0"/>
              <w:right w:val="single" w:color="231F20" w:sz="4" w:space="0"/>
            </w:tcBorders>
          </w:tcPr>
          <w:p w14:paraId="6B5B5090">
            <w:pPr>
              <w:widowControl/>
              <w:spacing w:line="360" w:lineRule="auto"/>
              <w:ind w:firstLine="480" w:firstLineChars="200"/>
              <w:jc w:val="left"/>
              <w:rPr>
                <w:sz w:val="24"/>
                <w:szCs w:val="24"/>
                <w:highlight w:val="none"/>
              </w:rPr>
            </w:pPr>
          </w:p>
        </w:tc>
      </w:tr>
      <w:tr w14:paraId="0D719E3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52" w:hRule="atLeast"/>
        </w:trPr>
        <w:tc>
          <w:tcPr>
            <w:tcW w:w="1249" w:type="dxa"/>
            <w:tcBorders>
              <w:top w:val="single" w:color="231F20" w:sz="2" w:space="0"/>
              <w:left w:val="single" w:color="231F20" w:sz="4" w:space="0"/>
              <w:bottom w:val="single" w:color="231F20" w:sz="2" w:space="0"/>
              <w:right w:val="single" w:color="231F20" w:sz="2" w:space="0"/>
            </w:tcBorders>
          </w:tcPr>
          <w:p w14:paraId="73B434B6">
            <w:pPr>
              <w:widowControl/>
              <w:spacing w:line="360" w:lineRule="auto"/>
              <w:ind w:firstLine="480" w:firstLineChars="200"/>
              <w:jc w:val="left"/>
              <w:rPr>
                <w:sz w:val="24"/>
                <w:szCs w:val="24"/>
                <w:highlight w:val="none"/>
              </w:rPr>
            </w:pPr>
            <w:r>
              <w:rPr>
                <w:rFonts w:hint="eastAsia"/>
                <w:sz w:val="24"/>
                <w:szCs w:val="24"/>
                <w:highlight w:val="none"/>
              </w:rPr>
              <w:t>2</w:t>
            </w:r>
          </w:p>
        </w:tc>
        <w:tc>
          <w:tcPr>
            <w:tcW w:w="1241" w:type="dxa"/>
            <w:tcBorders>
              <w:top w:val="single" w:color="231F20" w:sz="2" w:space="0"/>
              <w:left w:val="single" w:color="231F20" w:sz="2" w:space="0"/>
              <w:bottom w:val="single" w:color="231F20" w:sz="2" w:space="0"/>
              <w:right w:val="single" w:color="231F20" w:sz="2" w:space="0"/>
            </w:tcBorders>
          </w:tcPr>
          <w:p w14:paraId="62648E4A">
            <w:pPr>
              <w:widowControl/>
              <w:spacing w:line="360" w:lineRule="auto"/>
              <w:ind w:firstLine="480" w:firstLineChars="200"/>
              <w:jc w:val="left"/>
              <w:rPr>
                <w:sz w:val="24"/>
                <w:szCs w:val="24"/>
                <w:highlight w:val="none"/>
              </w:rPr>
            </w:pPr>
          </w:p>
        </w:tc>
        <w:tc>
          <w:tcPr>
            <w:tcW w:w="1241" w:type="dxa"/>
            <w:tcBorders>
              <w:top w:val="single" w:color="231F20" w:sz="2" w:space="0"/>
              <w:left w:val="single" w:color="231F20" w:sz="2" w:space="0"/>
              <w:bottom w:val="single" w:color="231F20" w:sz="2" w:space="0"/>
              <w:right w:val="single" w:color="231F20" w:sz="2" w:space="0"/>
            </w:tcBorders>
          </w:tcPr>
          <w:p w14:paraId="6FB52138">
            <w:pPr>
              <w:widowControl/>
              <w:spacing w:line="360" w:lineRule="auto"/>
              <w:ind w:firstLine="480" w:firstLineChars="200"/>
              <w:jc w:val="left"/>
              <w:rPr>
                <w:sz w:val="24"/>
                <w:szCs w:val="24"/>
                <w:highlight w:val="none"/>
              </w:rPr>
            </w:pPr>
          </w:p>
        </w:tc>
        <w:tc>
          <w:tcPr>
            <w:tcW w:w="1242" w:type="dxa"/>
            <w:tcBorders>
              <w:top w:val="single" w:color="231F20" w:sz="2" w:space="0"/>
              <w:left w:val="single" w:color="231F20" w:sz="2" w:space="0"/>
              <w:bottom w:val="single" w:color="231F20" w:sz="2" w:space="0"/>
              <w:right w:val="single" w:color="231F20" w:sz="4" w:space="0"/>
            </w:tcBorders>
          </w:tcPr>
          <w:p w14:paraId="33125188">
            <w:pPr>
              <w:widowControl/>
              <w:spacing w:line="360" w:lineRule="auto"/>
              <w:ind w:firstLine="480" w:firstLineChars="200"/>
              <w:jc w:val="left"/>
              <w:rPr>
                <w:sz w:val="24"/>
                <w:szCs w:val="24"/>
                <w:highlight w:val="none"/>
              </w:rPr>
            </w:pPr>
          </w:p>
        </w:tc>
        <w:tc>
          <w:tcPr>
            <w:tcW w:w="1241" w:type="dxa"/>
            <w:tcBorders>
              <w:top w:val="single" w:color="231F20" w:sz="2" w:space="0"/>
              <w:left w:val="single" w:color="231F20" w:sz="4" w:space="0"/>
              <w:bottom w:val="single" w:color="231F20" w:sz="2" w:space="0"/>
              <w:right w:val="single" w:color="231F20" w:sz="4" w:space="0"/>
            </w:tcBorders>
          </w:tcPr>
          <w:p w14:paraId="60A59143">
            <w:pPr>
              <w:widowControl/>
              <w:spacing w:line="360" w:lineRule="auto"/>
              <w:ind w:firstLine="480" w:firstLineChars="200"/>
              <w:jc w:val="left"/>
              <w:rPr>
                <w:sz w:val="24"/>
                <w:szCs w:val="24"/>
                <w:highlight w:val="none"/>
              </w:rPr>
            </w:pPr>
          </w:p>
        </w:tc>
        <w:tc>
          <w:tcPr>
            <w:tcW w:w="1242" w:type="dxa"/>
            <w:tcBorders>
              <w:top w:val="single" w:color="231F20" w:sz="2" w:space="0"/>
              <w:left w:val="single" w:color="231F20" w:sz="4" w:space="0"/>
              <w:bottom w:val="single" w:color="231F20" w:sz="2" w:space="0"/>
              <w:right w:val="single" w:color="231F20" w:sz="4" w:space="0"/>
            </w:tcBorders>
          </w:tcPr>
          <w:p w14:paraId="114D8DE2">
            <w:pPr>
              <w:widowControl/>
              <w:spacing w:line="360" w:lineRule="auto"/>
              <w:ind w:firstLine="480" w:firstLineChars="200"/>
              <w:jc w:val="left"/>
              <w:rPr>
                <w:sz w:val="24"/>
                <w:szCs w:val="24"/>
                <w:highlight w:val="none"/>
              </w:rPr>
            </w:pPr>
          </w:p>
        </w:tc>
        <w:tc>
          <w:tcPr>
            <w:tcW w:w="1254" w:type="dxa"/>
            <w:tcBorders>
              <w:top w:val="single" w:color="231F20" w:sz="2" w:space="0"/>
              <w:left w:val="single" w:color="231F20" w:sz="4" w:space="0"/>
              <w:bottom w:val="single" w:color="231F20" w:sz="2" w:space="0"/>
              <w:right w:val="single" w:color="231F20" w:sz="4" w:space="0"/>
            </w:tcBorders>
          </w:tcPr>
          <w:p w14:paraId="6C327B34">
            <w:pPr>
              <w:widowControl/>
              <w:spacing w:line="360" w:lineRule="auto"/>
              <w:ind w:firstLine="480" w:firstLineChars="200"/>
              <w:jc w:val="left"/>
              <w:rPr>
                <w:sz w:val="24"/>
                <w:szCs w:val="24"/>
                <w:highlight w:val="none"/>
              </w:rPr>
            </w:pPr>
          </w:p>
        </w:tc>
      </w:tr>
      <w:tr w14:paraId="344BD9E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363" w:hRule="atLeast"/>
        </w:trPr>
        <w:tc>
          <w:tcPr>
            <w:tcW w:w="1249" w:type="dxa"/>
            <w:tcBorders>
              <w:top w:val="single" w:color="231F20" w:sz="2" w:space="0"/>
              <w:left w:val="single" w:color="231F20" w:sz="4" w:space="0"/>
              <w:bottom w:val="single" w:color="231F20" w:sz="4" w:space="0"/>
              <w:right w:val="single" w:color="231F20" w:sz="2" w:space="0"/>
            </w:tcBorders>
          </w:tcPr>
          <w:p w14:paraId="3E177DFE">
            <w:pPr>
              <w:widowControl/>
              <w:spacing w:line="360" w:lineRule="auto"/>
              <w:ind w:firstLine="480" w:firstLineChars="200"/>
              <w:jc w:val="left"/>
              <w:rPr>
                <w:sz w:val="24"/>
                <w:szCs w:val="24"/>
                <w:highlight w:val="none"/>
              </w:rPr>
            </w:pPr>
            <w:r>
              <w:rPr>
                <w:rFonts w:hint="eastAsia"/>
                <w:sz w:val="24"/>
                <w:szCs w:val="24"/>
                <w:highlight w:val="none"/>
              </w:rPr>
              <w:t>……</w:t>
            </w:r>
          </w:p>
          <w:p w14:paraId="61A72C12">
            <w:pPr>
              <w:widowControl/>
              <w:spacing w:line="360" w:lineRule="auto"/>
              <w:ind w:firstLine="480" w:firstLineChars="200"/>
              <w:jc w:val="left"/>
              <w:rPr>
                <w:sz w:val="24"/>
                <w:szCs w:val="24"/>
                <w:highlight w:val="none"/>
              </w:rPr>
            </w:pPr>
          </w:p>
        </w:tc>
        <w:tc>
          <w:tcPr>
            <w:tcW w:w="1241" w:type="dxa"/>
            <w:tcBorders>
              <w:top w:val="single" w:color="231F20" w:sz="2" w:space="0"/>
              <w:left w:val="single" w:color="231F20" w:sz="2" w:space="0"/>
              <w:bottom w:val="single" w:color="231F20" w:sz="4" w:space="0"/>
              <w:right w:val="single" w:color="231F20" w:sz="2" w:space="0"/>
            </w:tcBorders>
          </w:tcPr>
          <w:p w14:paraId="1174CE3C">
            <w:pPr>
              <w:widowControl/>
              <w:spacing w:line="360" w:lineRule="auto"/>
              <w:ind w:firstLine="480" w:firstLineChars="200"/>
              <w:jc w:val="left"/>
              <w:rPr>
                <w:sz w:val="24"/>
                <w:szCs w:val="24"/>
                <w:highlight w:val="none"/>
              </w:rPr>
            </w:pPr>
          </w:p>
        </w:tc>
        <w:tc>
          <w:tcPr>
            <w:tcW w:w="1241" w:type="dxa"/>
            <w:tcBorders>
              <w:top w:val="single" w:color="231F20" w:sz="2" w:space="0"/>
              <w:left w:val="single" w:color="231F20" w:sz="2" w:space="0"/>
              <w:bottom w:val="single" w:color="231F20" w:sz="4" w:space="0"/>
              <w:right w:val="single" w:color="231F20" w:sz="2" w:space="0"/>
            </w:tcBorders>
          </w:tcPr>
          <w:p w14:paraId="701F5CDE">
            <w:pPr>
              <w:widowControl/>
              <w:spacing w:line="360" w:lineRule="auto"/>
              <w:ind w:firstLine="480" w:firstLineChars="200"/>
              <w:jc w:val="left"/>
              <w:rPr>
                <w:sz w:val="24"/>
                <w:szCs w:val="24"/>
                <w:highlight w:val="none"/>
              </w:rPr>
            </w:pPr>
          </w:p>
        </w:tc>
        <w:tc>
          <w:tcPr>
            <w:tcW w:w="1242" w:type="dxa"/>
            <w:tcBorders>
              <w:top w:val="single" w:color="231F20" w:sz="2" w:space="0"/>
              <w:left w:val="single" w:color="231F20" w:sz="2" w:space="0"/>
              <w:bottom w:val="single" w:color="231F20" w:sz="4" w:space="0"/>
              <w:right w:val="single" w:color="231F20" w:sz="4" w:space="0"/>
            </w:tcBorders>
          </w:tcPr>
          <w:p w14:paraId="3BB82AA2">
            <w:pPr>
              <w:widowControl/>
              <w:spacing w:line="360" w:lineRule="auto"/>
              <w:ind w:firstLine="480" w:firstLineChars="200"/>
              <w:jc w:val="left"/>
              <w:rPr>
                <w:sz w:val="24"/>
                <w:szCs w:val="24"/>
                <w:highlight w:val="none"/>
              </w:rPr>
            </w:pPr>
          </w:p>
        </w:tc>
        <w:tc>
          <w:tcPr>
            <w:tcW w:w="1241" w:type="dxa"/>
            <w:tcBorders>
              <w:top w:val="single" w:color="231F20" w:sz="2" w:space="0"/>
              <w:left w:val="single" w:color="231F20" w:sz="4" w:space="0"/>
              <w:bottom w:val="single" w:color="231F20" w:sz="4" w:space="0"/>
              <w:right w:val="single" w:color="231F20" w:sz="4" w:space="0"/>
            </w:tcBorders>
          </w:tcPr>
          <w:p w14:paraId="71059395">
            <w:pPr>
              <w:widowControl/>
              <w:spacing w:line="360" w:lineRule="auto"/>
              <w:ind w:firstLine="480" w:firstLineChars="200"/>
              <w:jc w:val="left"/>
              <w:rPr>
                <w:sz w:val="24"/>
                <w:szCs w:val="24"/>
                <w:highlight w:val="none"/>
              </w:rPr>
            </w:pPr>
          </w:p>
        </w:tc>
        <w:tc>
          <w:tcPr>
            <w:tcW w:w="1242" w:type="dxa"/>
            <w:tcBorders>
              <w:top w:val="single" w:color="231F20" w:sz="2" w:space="0"/>
              <w:left w:val="single" w:color="231F20" w:sz="4" w:space="0"/>
              <w:bottom w:val="single" w:color="231F20" w:sz="4" w:space="0"/>
              <w:right w:val="single" w:color="231F20" w:sz="4" w:space="0"/>
            </w:tcBorders>
          </w:tcPr>
          <w:p w14:paraId="2283F453">
            <w:pPr>
              <w:widowControl/>
              <w:spacing w:line="360" w:lineRule="auto"/>
              <w:ind w:firstLine="480" w:firstLineChars="200"/>
              <w:jc w:val="left"/>
              <w:rPr>
                <w:sz w:val="24"/>
                <w:szCs w:val="24"/>
                <w:highlight w:val="none"/>
              </w:rPr>
            </w:pPr>
          </w:p>
        </w:tc>
        <w:tc>
          <w:tcPr>
            <w:tcW w:w="1254" w:type="dxa"/>
            <w:tcBorders>
              <w:top w:val="single" w:color="231F20" w:sz="2" w:space="0"/>
              <w:left w:val="single" w:color="231F20" w:sz="4" w:space="0"/>
              <w:bottom w:val="single" w:color="231F20" w:sz="4" w:space="0"/>
              <w:right w:val="single" w:color="231F20" w:sz="4" w:space="0"/>
            </w:tcBorders>
          </w:tcPr>
          <w:p w14:paraId="01FE2F7D">
            <w:pPr>
              <w:widowControl/>
              <w:spacing w:line="360" w:lineRule="auto"/>
              <w:ind w:firstLine="480" w:firstLineChars="200"/>
              <w:jc w:val="left"/>
              <w:rPr>
                <w:sz w:val="24"/>
                <w:szCs w:val="24"/>
                <w:highlight w:val="none"/>
              </w:rPr>
            </w:pPr>
          </w:p>
        </w:tc>
      </w:tr>
    </w:tbl>
    <w:p w14:paraId="6098C362">
      <w:pPr>
        <w:widowControl/>
        <w:spacing w:line="360" w:lineRule="auto"/>
        <w:ind w:firstLine="480" w:firstLineChars="200"/>
        <w:jc w:val="left"/>
        <w:rPr>
          <w:sz w:val="24"/>
          <w:szCs w:val="24"/>
          <w:highlight w:val="none"/>
        </w:rPr>
      </w:pPr>
      <w:r>
        <w:rPr>
          <w:rFonts w:hint="eastAsia"/>
          <w:sz w:val="24"/>
          <w:szCs w:val="24"/>
          <w:highlight w:val="none"/>
        </w:rPr>
        <w:t>3.4 项目整体验收。</w:t>
      </w:r>
    </w:p>
    <w:p w14:paraId="068C82F4">
      <w:pPr>
        <w:widowControl/>
        <w:spacing w:line="360" w:lineRule="auto"/>
        <w:ind w:firstLine="480" w:firstLineChars="200"/>
        <w:jc w:val="left"/>
        <w:rPr>
          <w:sz w:val="24"/>
          <w:szCs w:val="24"/>
          <w:highlight w:val="none"/>
        </w:rPr>
      </w:pPr>
      <w:r>
        <w:rPr>
          <w:rFonts w:hint="eastAsia"/>
          <w:sz w:val="24"/>
          <w:szCs w:val="24"/>
          <w:highlight w:val="none"/>
        </w:rPr>
        <w:t>3.4.1 本项目节能改造启动验收的条件为：</w:t>
      </w:r>
      <w:r>
        <w:rPr>
          <w:rFonts w:hint="eastAsia"/>
          <w:sz w:val="24"/>
          <w:szCs w:val="24"/>
          <w:highlight w:val="none"/>
          <w:u w:val="single"/>
        </w:rPr>
        <w:t xml:space="preserve">        </w:t>
      </w:r>
      <w:r>
        <w:rPr>
          <w:rFonts w:hint="eastAsia"/>
          <w:sz w:val="24"/>
          <w:szCs w:val="24"/>
          <w:highlight w:val="none"/>
        </w:rPr>
        <w:t>。</w:t>
      </w:r>
    </w:p>
    <w:p w14:paraId="2FBE71A9">
      <w:pPr>
        <w:widowControl/>
        <w:spacing w:line="360" w:lineRule="auto"/>
        <w:ind w:firstLine="480" w:firstLineChars="200"/>
        <w:jc w:val="left"/>
        <w:rPr>
          <w:sz w:val="24"/>
          <w:szCs w:val="24"/>
          <w:highlight w:val="none"/>
        </w:rPr>
      </w:pPr>
      <w:r>
        <w:rPr>
          <w:rFonts w:hint="eastAsia"/>
          <w:sz w:val="24"/>
          <w:szCs w:val="24"/>
          <w:highlight w:val="none"/>
        </w:rPr>
        <w:t xml:space="preserve">达到验收条件后，应由 </w:t>
      </w:r>
      <w:r>
        <w:rPr>
          <w:rFonts w:hint="eastAsia"/>
          <w:sz w:val="24"/>
          <w:szCs w:val="24"/>
          <w:highlight w:val="none"/>
          <w:u w:val="single"/>
        </w:rPr>
        <w:t xml:space="preserve">        </w:t>
      </w:r>
      <w:r>
        <w:rPr>
          <w:rFonts w:hint="eastAsia"/>
          <w:sz w:val="24"/>
          <w:szCs w:val="24"/>
          <w:highlight w:val="none"/>
        </w:rPr>
        <w:t xml:space="preserve"> 按照如下标准和方式进行本项目节能改造的验收：</w:t>
      </w:r>
      <w:r>
        <w:rPr>
          <w:rFonts w:hint="eastAsia"/>
          <w:sz w:val="24"/>
          <w:szCs w:val="24"/>
          <w:highlight w:val="none"/>
          <w:u w:val="single"/>
        </w:rPr>
        <w:t xml:space="preserve">                             </w:t>
      </w:r>
      <w:r>
        <w:rPr>
          <w:rFonts w:hint="eastAsia"/>
          <w:sz w:val="24"/>
          <w:szCs w:val="24"/>
          <w:highlight w:val="none"/>
        </w:rPr>
        <w:t>。</w:t>
      </w:r>
    </w:p>
    <w:p w14:paraId="78DD9660">
      <w:pPr>
        <w:widowControl/>
        <w:spacing w:line="360" w:lineRule="auto"/>
        <w:ind w:firstLine="480" w:firstLineChars="200"/>
        <w:jc w:val="left"/>
        <w:rPr>
          <w:sz w:val="24"/>
          <w:szCs w:val="24"/>
          <w:highlight w:val="none"/>
        </w:rPr>
      </w:pPr>
      <w:r>
        <w:rPr>
          <w:rFonts w:hint="eastAsia"/>
          <w:sz w:val="24"/>
          <w:szCs w:val="24"/>
          <w:highlight w:val="none"/>
        </w:rPr>
        <w:t>验收完成后</w:t>
      </w:r>
      <w:r>
        <w:rPr>
          <w:rFonts w:hint="eastAsia"/>
          <w:sz w:val="24"/>
          <w:szCs w:val="24"/>
          <w:highlight w:val="none"/>
          <w:u w:val="single"/>
        </w:rPr>
        <w:t xml:space="preserve">       </w:t>
      </w:r>
      <w:r>
        <w:rPr>
          <w:rFonts w:hint="eastAsia"/>
          <w:sz w:val="24"/>
          <w:szCs w:val="24"/>
          <w:highlight w:val="none"/>
        </w:rPr>
        <w:t xml:space="preserve"> 应当形成验收报告，验收报告应根据双方确认的项目方案，载明设备质量、安装工艺、开展的节能改造和服务内容、运行状况、服务符合性、改造节能目标是否实现、验收是否合格以及验收时间等内容。</w:t>
      </w:r>
    </w:p>
    <w:p w14:paraId="761361C1">
      <w:pPr>
        <w:widowControl/>
        <w:spacing w:line="360" w:lineRule="auto"/>
        <w:ind w:firstLine="480" w:firstLineChars="200"/>
        <w:jc w:val="left"/>
        <w:rPr>
          <w:sz w:val="24"/>
          <w:szCs w:val="24"/>
          <w:highlight w:val="none"/>
        </w:rPr>
      </w:pPr>
      <w:r>
        <w:rPr>
          <w:rFonts w:hint="eastAsia"/>
          <w:sz w:val="24"/>
          <w:szCs w:val="24"/>
          <w:highlight w:val="none"/>
        </w:rPr>
        <w:t xml:space="preserve">3.4.2 验收不合格的，应当自验收不合格之日书面通知乙方，说明具体不合格事项，并要求乙方在 </w:t>
      </w:r>
      <w:r>
        <w:rPr>
          <w:rFonts w:hint="eastAsia"/>
          <w:sz w:val="24"/>
          <w:szCs w:val="24"/>
          <w:highlight w:val="none"/>
          <w:u w:val="single"/>
        </w:rPr>
        <w:t xml:space="preserve">         </w:t>
      </w:r>
      <w:r>
        <w:rPr>
          <w:rFonts w:hint="eastAsia"/>
          <w:sz w:val="24"/>
          <w:szCs w:val="24"/>
          <w:highlight w:val="none"/>
        </w:rPr>
        <w:t xml:space="preserve"> 个工作 日 内完成整改并重新提交验收 ；乙方逾期未整改或整改后验收仍不合格的，甲方有权拒付相应款项直至解除合同，因此产生的全部损失由乙方承担。</w:t>
      </w:r>
    </w:p>
    <w:p w14:paraId="53A6C3F8">
      <w:pPr>
        <w:widowControl/>
        <w:spacing w:line="360" w:lineRule="auto"/>
        <w:ind w:firstLine="480" w:firstLineChars="200"/>
        <w:jc w:val="left"/>
        <w:rPr>
          <w:sz w:val="24"/>
          <w:szCs w:val="24"/>
          <w:highlight w:val="none"/>
        </w:rPr>
      </w:pPr>
      <w:r>
        <w:rPr>
          <w:rFonts w:hint="eastAsia"/>
          <w:sz w:val="24"/>
          <w:szCs w:val="24"/>
          <w:highlight w:val="none"/>
        </w:rPr>
        <w:t>3.5 项目验收合格后，乙方开展以下运行管理服务：</w:t>
      </w:r>
    </w:p>
    <w:p w14:paraId="07F3BBAD">
      <w:pPr>
        <w:widowControl/>
        <w:spacing w:line="360" w:lineRule="auto"/>
        <w:ind w:firstLine="480" w:firstLineChars="200"/>
        <w:jc w:val="left"/>
        <w:rPr>
          <w:sz w:val="24"/>
          <w:szCs w:val="24"/>
          <w:highlight w:val="none"/>
        </w:rPr>
      </w:pPr>
      <w:r>
        <w:rPr>
          <w:rFonts w:hint="eastAsia"/>
          <w:sz w:val="24"/>
          <w:szCs w:val="24"/>
          <w:highlight w:val="none"/>
        </w:rPr>
        <w:t>□能源资源智能化管理软件等信息化技术服务 ，具体约定为：</w:t>
      </w:r>
      <w:r>
        <w:rPr>
          <w:rFonts w:hint="eastAsia"/>
          <w:sz w:val="24"/>
          <w:szCs w:val="24"/>
          <w:highlight w:val="none"/>
          <w:u w:val="single"/>
        </w:rPr>
        <w:t xml:space="preserve">                                          </w:t>
      </w:r>
      <w:r>
        <w:rPr>
          <w:rFonts w:hint="eastAsia"/>
          <w:sz w:val="24"/>
          <w:szCs w:val="24"/>
          <w:highlight w:val="none"/>
        </w:rPr>
        <w:t>。</w:t>
      </w:r>
    </w:p>
    <w:p w14:paraId="5D4D3E09">
      <w:pPr>
        <w:widowControl/>
        <w:spacing w:line="360" w:lineRule="auto"/>
        <w:ind w:firstLine="480" w:firstLineChars="200"/>
        <w:jc w:val="left"/>
        <w:rPr>
          <w:sz w:val="24"/>
          <w:szCs w:val="24"/>
          <w:highlight w:val="none"/>
        </w:rPr>
      </w:pPr>
      <w:r>
        <w:rPr>
          <w:rFonts w:hint="eastAsia"/>
          <w:sz w:val="24"/>
          <w:szCs w:val="24"/>
          <w:highlight w:val="none"/>
        </w:rPr>
        <w:t>□托管能源资源系统运维服务，界面划分为：</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rPr>
        <w:t xml:space="preserve"> , 具体约定为：</w:t>
      </w:r>
      <w:r>
        <w:rPr>
          <w:rFonts w:hint="eastAsia"/>
          <w:sz w:val="24"/>
          <w:szCs w:val="24"/>
          <w:highlight w:val="none"/>
          <w:u w:val="single"/>
        </w:rPr>
        <w:t xml:space="preserve">                            。</w:t>
      </w:r>
      <w:r>
        <w:rPr>
          <w:rFonts w:hint="eastAsia"/>
          <w:sz w:val="24"/>
          <w:szCs w:val="24"/>
          <w:highlight w:val="none"/>
        </w:rPr>
        <w:t xml:space="preserve">□ </w:t>
      </w:r>
      <w:r>
        <w:rPr>
          <w:rFonts w:hint="eastAsia"/>
          <w:sz w:val="24"/>
          <w:szCs w:val="24"/>
          <w:highlight w:val="none"/>
          <w:u w:val="single"/>
        </w:rPr>
        <w:t xml:space="preserve">                                             </w:t>
      </w:r>
      <w:r>
        <w:rPr>
          <w:rFonts w:hint="eastAsia"/>
          <w:sz w:val="24"/>
          <w:szCs w:val="24"/>
          <w:highlight w:val="none"/>
        </w:rPr>
        <w:t>。</w:t>
      </w:r>
    </w:p>
    <w:p w14:paraId="7C98884F">
      <w:pPr>
        <w:widowControl/>
        <w:spacing w:line="360" w:lineRule="auto"/>
        <w:ind w:firstLine="480" w:firstLineChars="200"/>
        <w:jc w:val="left"/>
        <w:rPr>
          <w:sz w:val="24"/>
          <w:szCs w:val="24"/>
          <w:highlight w:val="none"/>
        </w:rPr>
      </w:pPr>
      <w:r>
        <w:rPr>
          <w:rFonts w:hint="eastAsia"/>
          <w:sz w:val="24"/>
          <w:szCs w:val="24"/>
          <w:highlight w:val="none"/>
        </w:rPr>
        <w:t>……</w:t>
      </w:r>
    </w:p>
    <w:p w14:paraId="3C43AD84">
      <w:pPr>
        <w:widowControl/>
        <w:spacing w:line="360" w:lineRule="auto"/>
        <w:ind w:firstLine="480" w:firstLineChars="200"/>
        <w:jc w:val="left"/>
        <w:rPr>
          <w:sz w:val="24"/>
          <w:szCs w:val="24"/>
          <w:highlight w:val="none"/>
        </w:rPr>
      </w:pPr>
      <w:r>
        <w:rPr>
          <w:rFonts w:hint="eastAsia"/>
          <w:sz w:val="24"/>
          <w:szCs w:val="24"/>
          <w:highlight w:val="none"/>
        </w:rPr>
        <w:t>3.5.1 乙方应以全面节能降碳为目标 ，编制托管能源资源系统节能降碳运行策略，经甲方论证同意后实施，协助甲方建立完善节能管理体系。</w:t>
      </w:r>
    </w:p>
    <w:p w14:paraId="5F736B41">
      <w:pPr>
        <w:widowControl/>
        <w:spacing w:line="360" w:lineRule="auto"/>
        <w:ind w:firstLine="480" w:firstLineChars="200"/>
        <w:jc w:val="left"/>
        <w:rPr>
          <w:sz w:val="24"/>
          <w:szCs w:val="24"/>
          <w:highlight w:val="none"/>
        </w:rPr>
      </w:pPr>
      <w:r>
        <w:rPr>
          <w:rFonts w:hint="eastAsia"/>
          <w:sz w:val="24"/>
          <w:szCs w:val="24"/>
          <w:highlight w:val="none"/>
        </w:rPr>
        <w:t>3.5.2 甲方应积极配合乙方进行建筑的节能运行，并督导物业管理单位等有关单位严格执行。乙方应配合甲方对相关人员开展节能宣传、培训工作，以保证节能降碳目标的实现。</w:t>
      </w:r>
    </w:p>
    <w:p w14:paraId="03885F0A">
      <w:pPr>
        <w:widowControl/>
        <w:spacing w:line="360" w:lineRule="auto"/>
        <w:ind w:firstLine="480" w:firstLineChars="200"/>
        <w:jc w:val="left"/>
        <w:rPr>
          <w:sz w:val="24"/>
          <w:szCs w:val="24"/>
          <w:highlight w:val="none"/>
        </w:rPr>
      </w:pPr>
      <w:r>
        <w:rPr>
          <w:rFonts w:hint="eastAsia"/>
          <w:sz w:val="24"/>
          <w:szCs w:val="24"/>
          <w:highlight w:val="none"/>
        </w:rPr>
        <w:t>3.6 甲方对托管能源资源系统的供能要求和乙方运行管理服务的质量、方式及响应时间要求为：</w:t>
      </w:r>
    </w:p>
    <w:p w14:paraId="1E2910DF">
      <w:pPr>
        <w:widowControl/>
        <w:spacing w:line="360" w:lineRule="auto"/>
        <w:ind w:firstLine="480" w:firstLineChars="200"/>
        <w:jc w:val="left"/>
        <w:rPr>
          <w:sz w:val="24"/>
          <w:szCs w:val="24"/>
          <w:highlight w:val="none"/>
        </w:rPr>
      </w:pPr>
      <w:r>
        <w:rPr>
          <w:rFonts w:hint="eastAsia"/>
          <w:sz w:val="24"/>
          <w:szCs w:val="24"/>
          <w:highlight w:val="none"/>
        </w:rPr>
        <w:t>（  1 ）</w:t>
      </w:r>
      <w:r>
        <w:rPr>
          <w:rFonts w:hint="eastAsia"/>
          <w:sz w:val="24"/>
          <w:szCs w:val="24"/>
          <w:highlight w:val="none"/>
          <w:u w:val="single"/>
        </w:rPr>
        <w:t xml:space="preserve">                                          </w:t>
      </w:r>
      <w:r>
        <w:rPr>
          <w:rFonts w:hint="eastAsia"/>
          <w:sz w:val="24"/>
          <w:szCs w:val="24"/>
          <w:highlight w:val="none"/>
        </w:rPr>
        <w:t>。</w:t>
      </w:r>
    </w:p>
    <w:p w14:paraId="06AD9046">
      <w:pPr>
        <w:widowControl/>
        <w:spacing w:line="360" w:lineRule="auto"/>
        <w:ind w:firstLine="480" w:firstLineChars="200"/>
        <w:jc w:val="left"/>
        <w:rPr>
          <w:sz w:val="24"/>
          <w:szCs w:val="24"/>
          <w:highlight w:val="none"/>
        </w:rPr>
      </w:pPr>
      <w:r>
        <w:rPr>
          <w:rFonts w:hint="eastAsia"/>
          <w:sz w:val="24"/>
          <w:szCs w:val="24"/>
          <w:highlight w:val="none"/>
        </w:rPr>
        <w:t>（2）</w:t>
      </w:r>
      <w:r>
        <w:rPr>
          <w:rFonts w:hint="eastAsia"/>
          <w:sz w:val="24"/>
          <w:szCs w:val="24"/>
          <w:highlight w:val="none"/>
          <w:u w:val="single"/>
        </w:rPr>
        <w:t xml:space="preserve">                                          </w:t>
      </w:r>
      <w:r>
        <w:rPr>
          <w:rFonts w:hint="eastAsia"/>
          <w:sz w:val="24"/>
          <w:szCs w:val="24"/>
          <w:highlight w:val="none"/>
        </w:rPr>
        <w:t>。</w:t>
      </w:r>
    </w:p>
    <w:p w14:paraId="20FCDDFF">
      <w:pPr>
        <w:widowControl/>
        <w:spacing w:line="360" w:lineRule="auto"/>
        <w:ind w:firstLine="480" w:firstLineChars="200"/>
        <w:jc w:val="left"/>
        <w:rPr>
          <w:sz w:val="24"/>
          <w:szCs w:val="24"/>
          <w:highlight w:val="none"/>
        </w:rPr>
      </w:pPr>
      <w:r>
        <w:rPr>
          <w:rFonts w:hint="eastAsia"/>
          <w:sz w:val="24"/>
          <w:szCs w:val="24"/>
          <w:highlight w:val="none"/>
        </w:rPr>
        <w:t>……</w:t>
      </w:r>
    </w:p>
    <w:p w14:paraId="7F2546EF">
      <w:pPr>
        <w:widowControl/>
        <w:spacing w:line="360" w:lineRule="auto"/>
        <w:ind w:firstLine="480" w:firstLineChars="200"/>
        <w:jc w:val="left"/>
        <w:rPr>
          <w:sz w:val="24"/>
          <w:szCs w:val="24"/>
          <w:highlight w:val="none"/>
        </w:rPr>
      </w:pPr>
      <w:r>
        <w:rPr>
          <w:rFonts w:hint="eastAsia"/>
          <w:sz w:val="24"/>
          <w:szCs w:val="24"/>
          <w:highlight w:val="none"/>
        </w:rPr>
        <w:t>3.7 本项目对能耗的计量认定、节能降碳效果评估的范围、方式和频次为：</w:t>
      </w:r>
      <w:r>
        <w:rPr>
          <w:rFonts w:hint="eastAsia"/>
          <w:sz w:val="24"/>
          <w:szCs w:val="24"/>
          <w:highlight w:val="none"/>
          <w:u w:val="single"/>
        </w:rPr>
        <w:t xml:space="preserve">                               </w:t>
      </w:r>
      <w:r>
        <w:rPr>
          <w:rFonts w:hint="eastAsia"/>
          <w:sz w:val="24"/>
          <w:szCs w:val="24"/>
          <w:highlight w:val="none"/>
        </w:rPr>
        <w:t>。</w:t>
      </w:r>
    </w:p>
    <w:p w14:paraId="364FD1B4">
      <w:pPr>
        <w:widowControl/>
        <w:spacing w:line="360" w:lineRule="auto"/>
        <w:ind w:firstLine="480" w:firstLineChars="200"/>
        <w:jc w:val="left"/>
        <w:rPr>
          <w:sz w:val="24"/>
          <w:szCs w:val="24"/>
          <w:highlight w:val="none"/>
        </w:rPr>
      </w:pPr>
      <w:r>
        <w:rPr>
          <w:rFonts w:hint="eastAsia"/>
          <w:sz w:val="24"/>
          <w:szCs w:val="24"/>
          <w:highlight w:val="none"/>
        </w:rPr>
        <w:t>3.8 资产管理。</w:t>
      </w:r>
    </w:p>
    <w:p w14:paraId="2C1E436C">
      <w:pPr>
        <w:widowControl/>
        <w:spacing w:line="360" w:lineRule="auto"/>
        <w:ind w:firstLine="480" w:firstLineChars="200"/>
        <w:jc w:val="left"/>
        <w:rPr>
          <w:sz w:val="24"/>
          <w:szCs w:val="24"/>
          <w:highlight w:val="none"/>
        </w:rPr>
      </w:pPr>
      <w:r>
        <w:rPr>
          <w:rFonts w:hint="eastAsia"/>
          <w:sz w:val="24"/>
          <w:szCs w:val="24"/>
          <w:highlight w:val="none"/>
        </w:rPr>
        <w:t>3.8.1 甲方原有设备全部归甲方所有。能源托管期内 ，乙方新增设备归乙方所有，甲方享有使用权；能源托管期结束且甲方付清本合同约定的所有款项后，乙方新增设备归甲方所有。在设备所有权移交时，乙方应保证移交的设备正常运行。</w:t>
      </w:r>
    </w:p>
    <w:p w14:paraId="6503F65C">
      <w:pPr>
        <w:widowControl/>
        <w:spacing w:line="360" w:lineRule="auto"/>
        <w:ind w:firstLine="480" w:firstLineChars="200"/>
        <w:jc w:val="left"/>
        <w:rPr>
          <w:sz w:val="24"/>
          <w:szCs w:val="24"/>
          <w:highlight w:val="none"/>
        </w:rPr>
      </w:pPr>
      <w:r>
        <w:rPr>
          <w:rFonts w:hint="eastAsia"/>
          <w:sz w:val="24"/>
          <w:szCs w:val="24"/>
          <w:highlight w:val="none"/>
        </w:rPr>
        <w:t>3.8.2 能源托管期内，乙方应确保新增设备不被抵押、扣押或查封，也不得对外转让或转移，否则甲方有权要求乙方替换设备并要求乙方赔偿损失。</w:t>
      </w:r>
    </w:p>
    <w:p w14:paraId="4C023E91">
      <w:pPr>
        <w:widowControl/>
        <w:spacing w:line="360" w:lineRule="auto"/>
        <w:ind w:firstLine="480" w:firstLineChars="200"/>
        <w:jc w:val="left"/>
        <w:rPr>
          <w:sz w:val="24"/>
          <w:szCs w:val="24"/>
          <w:highlight w:val="none"/>
        </w:rPr>
      </w:pPr>
      <w:r>
        <w:rPr>
          <w:rFonts w:hint="eastAsia"/>
          <w:sz w:val="24"/>
          <w:szCs w:val="24"/>
          <w:highlight w:val="none"/>
        </w:rPr>
        <w:t xml:space="preserve">3.8.3 合同签订之日起 </w:t>
      </w:r>
      <w:r>
        <w:rPr>
          <w:rFonts w:hint="eastAsia"/>
          <w:sz w:val="24"/>
          <w:szCs w:val="24"/>
          <w:highlight w:val="none"/>
          <w:u w:val="single"/>
        </w:rPr>
        <w:t xml:space="preserve">     </w:t>
      </w:r>
      <w:r>
        <w:rPr>
          <w:rFonts w:hint="eastAsia"/>
          <w:sz w:val="24"/>
          <w:szCs w:val="24"/>
          <w:highlight w:val="none"/>
        </w:rPr>
        <w:t xml:space="preserve"> 个自然日内，应由甲乙双方对甲方原有设备进行现场盘点，共同签字确认原有设备盘点清单。</w:t>
      </w:r>
    </w:p>
    <w:p w14:paraId="7D4DD11E">
      <w:pPr>
        <w:widowControl/>
        <w:spacing w:line="360" w:lineRule="auto"/>
        <w:ind w:firstLine="480" w:firstLineChars="200"/>
        <w:jc w:val="left"/>
        <w:rPr>
          <w:sz w:val="24"/>
          <w:szCs w:val="24"/>
          <w:highlight w:val="none"/>
        </w:rPr>
      </w:pPr>
      <w:r>
        <w:rPr>
          <w:rFonts w:hint="eastAsia"/>
          <w:sz w:val="24"/>
          <w:szCs w:val="24"/>
          <w:highlight w:val="none"/>
        </w:rPr>
        <w:t>3.8.4 合同期满且甲方付清全部应付款项后，双方应对项 目资产进行清点造册，乙方将以下项目资产、档案无偿移交给甲方：</w:t>
      </w:r>
    </w:p>
    <w:p w14:paraId="52D69391">
      <w:pPr>
        <w:widowControl/>
        <w:spacing w:line="360" w:lineRule="auto"/>
        <w:ind w:firstLine="480" w:firstLineChars="200"/>
        <w:jc w:val="left"/>
        <w:rPr>
          <w:sz w:val="24"/>
          <w:szCs w:val="24"/>
          <w:highlight w:val="none"/>
        </w:rPr>
      </w:pPr>
      <w:r>
        <w:rPr>
          <w:rFonts w:hint="eastAsia"/>
          <w:sz w:val="24"/>
          <w:szCs w:val="24"/>
          <w:highlight w:val="none"/>
        </w:rPr>
        <w:t>（1）乙方新增设备。</w:t>
      </w:r>
    </w:p>
    <w:p w14:paraId="442E408D">
      <w:pPr>
        <w:widowControl/>
        <w:spacing w:line="360" w:lineRule="auto"/>
        <w:ind w:firstLine="480" w:firstLineChars="200"/>
        <w:jc w:val="left"/>
        <w:rPr>
          <w:sz w:val="24"/>
          <w:szCs w:val="24"/>
          <w:highlight w:val="none"/>
        </w:rPr>
      </w:pPr>
      <w:r>
        <w:rPr>
          <w:rFonts w:hint="eastAsia"/>
          <w:sz w:val="24"/>
          <w:szCs w:val="24"/>
          <w:highlight w:val="none"/>
        </w:rPr>
        <w:t>（2）各类管理档案、物料、工具、图纸资料等。</w:t>
      </w:r>
    </w:p>
    <w:p w14:paraId="484BBC60">
      <w:pPr>
        <w:widowControl/>
        <w:spacing w:line="360" w:lineRule="auto"/>
        <w:ind w:firstLine="480" w:firstLineChars="200"/>
        <w:jc w:val="left"/>
        <w:rPr>
          <w:sz w:val="24"/>
          <w:szCs w:val="24"/>
          <w:highlight w:val="none"/>
        </w:rPr>
      </w:pPr>
      <w:r>
        <w:rPr>
          <w:rFonts w:hint="eastAsia"/>
          <w:sz w:val="24"/>
          <w:szCs w:val="24"/>
          <w:highlight w:val="none"/>
        </w:rPr>
        <w:t>（ 3 ）</w:t>
      </w:r>
      <w:r>
        <w:rPr>
          <w:rFonts w:hint="eastAsia"/>
          <w:sz w:val="24"/>
          <w:szCs w:val="24"/>
          <w:highlight w:val="none"/>
          <w:u w:val="single"/>
        </w:rPr>
        <w:t xml:space="preserve">                                            </w:t>
      </w:r>
      <w:r>
        <w:rPr>
          <w:rFonts w:hint="eastAsia"/>
          <w:sz w:val="24"/>
          <w:szCs w:val="24"/>
          <w:highlight w:val="none"/>
        </w:rPr>
        <w:t>。</w:t>
      </w:r>
    </w:p>
    <w:p w14:paraId="75AF5724">
      <w:pPr>
        <w:widowControl/>
        <w:spacing w:line="360" w:lineRule="auto"/>
        <w:ind w:firstLine="480" w:firstLineChars="200"/>
        <w:jc w:val="left"/>
        <w:rPr>
          <w:sz w:val="24"/>
          <w:szCs w:val="24"/>
          <w:highlight w:val="none"/>
        </w:rPr>
      </w:pPr>
      <w:r>
        <w:rPr>
          <w:rFonts w:hint="eastAsia"/>
          <w:sz w:val="24"/>
          <w:szCs w:val="24"/>
          <w:highlight w:val="none"/>
        </w:rPr>
        <w:t>……</w:t>
      </w:r>
    </w:p>
    <w:p w14:paraId="03DC109C">
      <w:pPr>
        <w:widowControl/>
        <w:spacing w:line="360" w:lineRule="auto"/>
        <w:ind w:firstLine="480" w:firstLineChars="200"/>
        <w:jc w:val="left"/>
        <w:rPr>
          <w:sz w:val="24"/>
          <w:szCs w:val="24"/>
          <w:highlight w:val="none"/>
        </w:rPr>
      </w:pPr>
      <w:r>
        <w:rPr>
          <w:rFonts w:hint="eastAsia"/>
          <w:sz w:val="24"/>
          <w:szCs w:val="24"/>
          <w:highlight w:val="none"/>
        </w:rPr>
        <w:t>移交上述项目资产、档案的期限约定为：</w:t>
      </w:r>
      <w:r>
        <w:rPr>
          <w:rFonts w:hint="eastAsia"/>
          <w:sz w:val="24"/>
          <w:szCs w:val="24"/>
          <w:highlight w:val="none"/>
          <w:u w:val="single"/>
        </w:rPr>
        <w:t xml:space="preserve">              </w:t>
      </w:r>
      <w:r>
        <w:rPr>
          <w:rFonts w:hint="eastAsia"/>
          <w:sz w:val="24"/>
          <w:szCs w:val="24"/>
          <w:highlight w:val="none"/>
        </w:rPr>
        <w:t>。</w:t>
      </w:r>
    </w:p>
    <w:p w14:paraId="675CB366">
      <w:pPr>
        <w:widowControl/>
        <w:spacing w:line="360" w:lineRule="auto"/>
        <w:ind w:firstLine="480" w:firstLineChars="200"/>
        <w:jc w:val="left"/>
        <w:rPr>
          <w:sz w:val="24"/>
          <w:szCs w:val="24"/>
          <w:highlight w:val="none"/>
        </w:rPr>
      </w:pPr>
      <w:r>
        <w:rPr>
          <w:rFonts w:hint="eastAsia"/>
          <w:sz w:val="24"/>
          <w:szCs w:val="24"/>
          <w:highlight w:val="none"/>
        </w:rPr>
        <w:t>3.8.5 乙方应在移交 3.8.4 的资产、档案的同时，一并移交项目运行资料、知识产权许可等。所有移交的内容都应有清单并由甲方签收，全部手续完成后甲乙双方签署托管移交确认书。</w:t>
      </w:r>
    </w:p>
    <w:p w14:paraId="1DADDF65">
      <w:pPr>
        <w:widowControl/>
        <w:spacing w:line="360" w:lineRule="auto"/>
        <w:ind w:firstLine="480" w:firstLineChars="200"/>
        <w:jc w:val="left"/>
        <w:rPr>
          <w:sz w:val="24"/>
          <w:szCs w:val="24"/>
          <w:highlight w:val="none"/>
        </w:rPr>
      </w:pPr>
      <w:r>
        <w:rPr>
          <w:rFonts w:hint="eastAsia"/>
          <w:sz w:val="24"/>
          <w:szCs w:val="24"/>
          <w:highlight w:val="none"/>
        </w:rPr>
        <w:t>3.8.6 合同终止时，乙方应将借用、占用的管理用房、能源系统相关资料等属于甲方所有的财物及时完整地移交给甲方。</w:t>
      </w:r>
    </w:p>
    <w:p w14:paraId="5EEDC977">
      <w:pPr>
        <w:widowControl/>
        <w:spacing w:line="360" w:lineRule="auto"/>
        <w:ind w:firstLine="480" w:firstLineChars="200"/>
        <w:jc w:val="left"/>
        <w:rPr>
          <w:sz w:val="24"/>
          <w:szCs w:val="24"/>
          <w:highlight w:val="none"/>
        </w:rPr>
      </w:pPr>
      <w:r>
        <w:rPr>
          <w:rFonts w:hint="eastAsia"/>
          <w:sz w:val="24"/>
          <w:szCs w:val="24"/>
          <w:highlight w:val="none"/>
        </w:rPr>
        <w:t>3.8.7 能源托管期内，乙方新增设备的设备质量问题及维保工作由乙方负责。乙方委托设备生产厂家及其指定的维保厂家以外的第三方机构，负责维保及 日常性维护等工作的，应当书面征得甲方同意。</w:t>
      </w:r>
    </w:p>
    <w:p w14:paraId="0532C6AD">
      <w:pPr>
        <w:widowControl/>
        <w:spacing w:line="360" w:lineRule="auto"/>
        <w:ind w:firstLine="480" w:firstLineChars="200"/>
        <w:jc w:val="left"/>
        <w:rPr>
          <w:sz w:val="24"/>
          <w:szCs w:val="24"/>
          <w:highlight w:val="none"/>
        </w:rPr>
      </w:pPr>
      <w:r>
        <w:rPr>
          <w:rFonts w:hint="eastAsia"/>
          <w:sz w:val="24"/>
          <w:szCs w:val="24"/>
          <w:highlight w:val="none"/>
        </w:rPr>
        <w:t>3.8.8 验收完成后 ， 甲方原有设备因自然老化、达到使用年限发生损失的，责任由甲方自行承担；因乙方使用不当造成设备损失的, 乙方承担相应责任。</w:t>
      </w:r>
    </w:p>
    <w:p w14:paraId="3DD7EB1D">
      <w:pPr>
        <w:widowControl/>
        <w:spacing w:line="360" w:lineRule="auto"/>
        <w:ind w:firstLine="480" w:firstLineChars="200"/>
        <w:jc w:val="left"/>
        <w:rPr>
          <w:sz w:val="24"/>
          <w:szCs w:val="24"/>
          <w:highlight w:val="none"/>
        </w:rPr>
      </w:pPr>
      <w:r>
        <w:rPr>
          <w:rFonts w:hint="eastAsia"/>
          <w:sz w:val="24"/>
          <w:szCs w:val="24"/>
          <w:highlight w:val="none"/>
        </w:rPr>
        <w:t>双方对设备损失的原因存在争议的，采取以下方式进行技术鉴定：</w:t>
      </w:r>
      <w:r>
        <w:rPr>
          <w:rFonts w:hint="eastAsia"/>
          <w:sz w:val="24"/>
          <w:szCs w:val="24"/>
          <w:highlight w:val="none"/>
          <w:u w:val="single"/>
        </w:rPr>
        <w:t xml:space="preserve">                                        </w:t>
      </w:r>
      <w:r>
        <w:rPr>
          <w:rFonts w:hint="eastAsia"/>
          <w:sz w:val="24"/>
          <w:szCs w:val="24"/>
          <w:highlight w:val="none"/>
        </w:rPr>
        <w:t>。</w:t>
      </w:r>
    </w:p>
    <w:p w14:paraId="358C2921">
      <w:pPr>
        <w:widowControl/>
        <w:spacing w:line="360" w:lineRule="auto"/>
        <w:ind w:firstLine="480" w:firstLineChars="200"/>
        <w:jc w:val="left"/>
        <w:rPr>
          <w:sz w:val="24"/>
          <w:szCs w:val="24"/>
          <w:highlight w:val="none"/>
        </w:rPr>
      </w:pPr>
      <w:r>
        <w:rPr>
          <w:rFonts w:hint="eastAsia"/>
          <w:sz w:val="24"/>
          <w:szCs w:val="24"/>
          <w:highlight w:val="none"/>
        </w:rPr>
        <w:t>3.9 验收完成后，在不影响甲方正常运行的前提下，双方为优化托管方案、提高节能效益，可以对项目进行进一步优化，优化方案的节能降碳效果应当优于原方案，经双方确认后实施。</w:t>
      </w:r>
    </w:p>
    <w:p w14:paraId="4A24947E">
      <w:pPr>
        <w:widowControl/>
        <w:spacing w:line="360" w:lineRule="auto"/>
        <w:ind w:firstLine="482" w:firstLineChars="200"/>
        <w:jc w:val="center"/>
        <w:rPr>
          <w:b/>
          <w:bCs/>
          <w:sz w:val="24"/>
          <w:szCs w:val="24"/>
          <w:highlight w:val="none"/>
        </w:rPr>
      </w:pPr>
      <w:bookmarkStart w:id="233" w:name="_Toc142500489"/>
      <w:r>
        <w:rPr>
          <w:rFonts w:hint="eastAsia"/>
          <w:b/>
          <w:bCs/>
          <w:sz w:val="24"/>
          <w:szCs w:val="24"/>
          <w:highlight w:val="none"/>
        </w:rPr>
        <w:t>第 4 节  费用计算与支付</w:t>
      </w:r>
      <w:bookmarkEnd w:id="233"/>
    </w:p>
    <w:p w14:paraId="75306AAF">
      <w:pPr>
        <w:widowControl/>
        <w:spacing w:line="360" w:lineRule="auto"/>
        <w:ind w:firstLine="480" w:firstLineChars="200"/>
        <w:jc w:val="left"/>
        <w:rPr>
          <w:sz w:val="24"/>
          <w:szCs w:val="24"/>
          <w:highlight w:val="none"/>
        </w:rPr>
      </w:pPr>
      <w:r>
        <w:rPr>
          <w:rFonts w:hint="eastAsia"/>
          <w:sz w:val="24"/>
          <w:szCs w:val="24"/>
          <w:highlight w:val="none"/>
        </w:rPr>
        <w:t>4.1 乙方应按照本合同约定，在能源托管期内协助甲方进行能源资源系统的运行管理，按照本合同约定的托管范围，享有通过托管节省费用的收益 ，承担上述实际能源资源费用超支的风险。</w:t>
      </w:r>
    </w:p>
    <w:p w14:paraId="13C3998D">
      <w:pPr>
        <w:widowControl/>
        <w:spacing w:line="360" w:lineRule="auto"/>
        <w:ind w:firstLine="480" w:firstLineChars="200"/>
        <w:jc w:val="left"/>
        <w:rPr>
          <w:sz w:val="24"/>
          <w:szCs w:val="24"/>
          <w:highlight w:val="none"/>
        </w:rPr>
      </w:pPr>
      <w:r>
        <w:rPr>
          <w:rFonts w:hint="eastAsia"/>
          <w:sz w:val="24"/>
          <w:szCs w:val="24"/>
          <w:highlight w:val="none"/>
        </w:rPr>
        <w:t>4.2 托管费用为¥</w:t>
      </w:r>
      <w:r>
        <w:rPr>
          <w:rFonts w:hint="eastAsia"/>
          <w:sz w:val="24"/>
          <w:szCs w:val="24"/>
          <w:highlight w:val="none"/>
          <w:u w:val="single"/>
        </w:rPr>
        <w:t xml:space="preserve">             </w:t>
      </w:r>
      <w:r>
        <w:rPr>
          <w:rFonts w:hint="eastAsia"/>
          <w:sz w:val="24"/>
          <w:szCs w:val="24"/>
          <w:highlight w:val="none"/>
        </w:rPr>
        <w:t xml:space="preserve"> 万元(人民币大写：</w:t>
      </w:r>
      <w:r>
        <w:rPr>
          <w:rFonts w:hint="eastAsia"/>
          <w:sz w:val="24"/>
          <w:szCs w:val="24"/>
          <w:highlight w:val="none"/>
          <w:u w:val="single"/>
        </w:rPr>
        <w:t xml:space="preserve">         </w:t>
      </w:r>
      <w:r>
        <w:rPr>
          <w:rFonts w:hint="eastAsia"/>
          <w:sz w:val="24"/>
          <w:szCs w:val="24"/>
          <w:highlight w:val="none"/>
        </w:rPr>
        <w:t xml:space="preserve"> 元整，此价格为暂估价)。实际托管费用在本合同2.5 约定的能源基准基础上，按照乙方投标价</w:t>
      </w:r>
      <w:r>
        <w:rPr>
          <w:rFonts w:hint="eastAsia"/>
          <w:sz w:val="24"/>
          <w:szCs w:val="24"/>
          <w:highlight w:val="none"/>
          <w:u w:val="single"/>
        </w:rPr>
        <w:t xml:space="preserve">                 </w:t>
      </w:r>
      <w:r>
        <w:rPr>
          <w:rFonts w:hint="eastAsia"/>
          <w:sz w:val="24"/>
          <w:szCs w:val="24"/>
          <w:highlight w:val="none"/>
        </w:rPr>
        <w:t xml:space="preserve"> 计算，但双方约定据实结算的部分除外。托管费用还要依据本合同4.3 约定的奖惩方式进行调整。</w:t>
      </w:r>
    </w:p>
    <w:p w14:paraId="6B9D650B">
      <w:pPr>
        <w:widowControl/>
        <w:spacing w:line="360" w:lineRule="auto"/>
        <w:ind w:firstLine="480" w:firstLineChars="200"/>
        <w:jc w:val="left"/>
        <w:rPr>
          <w:sz w:val="24"/>
          <w:szCs w:val="24"/>
          <w:highlight w:val="none"/>
        </w:rPr>
      </w:pPr>
      <w:r>
        <w:rPr>
          <w:rFonts w:hint="eastAsia"/>
          <w:sz w:val="24"/>
          <w:szCs w:val="24"/>
          <w:highlight w:val="none"/>
        </w:rPr>
        <w:t>4.2.1 双方约定，单独安装计量表具、据实结算的费用包括：</w:t>
      </w:r>
    </w:p>
    <w:p w14:paraId="76687A19">
      <w:pPr>
        <w:widowControl/>
        <w:spacing w:line="360" w:lineRule="auto"/>
        <w:ind w:firstLine="480" w:firstLineChars="200"/>
        <w:jc w:val="left"/>
        <w:rPr>
          <w:sz w:val="24"/>
          <w:szCs w:val="24"/>
          <w:highlight w:val="none"/>
        </w:rPr>
      </w:pPr>
      <w:r>
        <w:rPr>
          <w:rFonts w:hint="eastAsia"/>
          <w:sz w:val="24"/>
          <w:szCs w:val="24"/>
          <w:highlight w:val="none"/>
        </w:rPr>
        <w:t>（  1 ）</w:t>
      </w:r>
      <w:r>
        <w:rPr>
          <w:rFonts w:hint="eastAsia"/>
          <w:sz w:val="24"/>
          <w:szCs w:val="24"/>
          <w:highlight w:val="none"/>
          <w:u w:val="single"/>
        </w:rPr>
        <w:t xml:space="preserve">                                            </w:t>
      </w:r>
      <w:r>
        <w:rPr>
          <w:rFonts w:hint="eastAsia"/>
          <w:sz w:val="24"/>
          <w:szCs w:val="24"/>
          <w:highlight w:val="none"/>
        </w:rPr>
        <w:t>。</w:t>
      </w:r>
    </w:p>
    <w:p w14:paraId="13BF8AF5">
      <w:pPr>
        <w:widowControl/>
        <w:spacing w:line="360" w:lineRule="auto"/>
        <w:ind w:firstLine="480" w:firstLineChars="200"/>
        <w:jc w:val="left"/>
        <w:rPr>
          <w:sz w:val="24"/>
          <w:szCs w:val="24"/>
          <w:highlight w:val="none"/>
        </w:rPr>
      </w:pPr>
      <w:r>
        <w:rPr>
          <w:rFonts w:hint="eastAsia"/>
          <w:sz w:val="24"/>
          <w:szCs w:val="24"/>
          <w:highlight w:val="none"/>
        </w:rPr>
        <w:t>（2）</w:t>
      </w:r>
      <w:r>
        <w:rPr>
          <w:rFonts w:hint="eastAsia"/>
          <w:sz w:val="24"/>
          <w:szCs w:val="24"/>
          <w:highlight w:val="none"/>
          <w:u w:val="single"/>
        </w:rPr>
        <w:t xml:space="preserve">                                           </w:t>
      </w:r>
      <w:r>
        <w:rPr>
          <w:rFonts w:hint="eastAsia"/>
          <w:sz w:val="24"/>
          <w:szCs w:val="24"/>
          <w:highlight w:val="none"/>
        </w:rPr>
        <w:t>。</w:t>
      </w:r>
    </w:p>
    <w:p w14:paraId="485CEF76">
      <w:pPr>
        <w:widowControl/>
        <w:spacing w:line="360" w:lineRule="auto"/>
        <w:ind w:firstLine="480" w:firstLineChars="200"/>
        <w:jc w:val="left"/>
        <w:rPr>
          <w:sz w:val="24"/>
          <w:szCs w:val="24"/>
          <w:highlight w:val="none"/>
        </w:rPr>
      </w:pPr>
      <w:r>
        <w:rPr>
          <w:rFonts w:hint="eastAsia"/>
          <w:sz w:val="24"/>
          <w:szCs w:val="24"/>
          <w:highlight w:val="none"/>
        </w:rPr>
        <w:t>……</w:t>
      </w:r>
    </w:p>
    <w:p w14:paraId="4068A54B">
      <w:pPr>
        <w:widowControl/>
        <w:spacing w:line="360" w:lineRule="auto"/>
        <w:ind w:firstLine="480" w:firstLineChars="200"/>
        <w:jc w:val="left"/>
        <w:rPr>
          <w:sz w:val="24"/>
          <w:szCs w:val="24"/>
          <w:highlight w:val="none"/>
        </w:rPr>
      </w:pPr>
      <w:r>
        <w:rPr>
          <w:rFonts w:hint="eastAsia"/>
          <w:sz w:val="24"/>
          <w:szCs w:val="24"/>
          <w:highlight w:val="none"/>
        </w:rPr>
        <w:t>4.2.2 能源基准中托管量的后续调整，按照以下方式实施：</w:t>
      </w:r>
    </w:p>
    <w:p w14:paraId="2C3A9583">
      <w:pPr>
        <w:widowControl/>
        <w:spacing w:line="360" w:lineRule="auto"/>
        <w:ind w:firstLine="480" w:firstLineChars="200"/>
        <w:jc w:val="left"/>
        <w:rPr>
          <w:sz w:val="24"/>
          <w:szCs w:val="24"/>
          <w:highlight w:val="none"/>
        </w:rPr>
      </w:pPr>
      <w:r>
        <w:rPr>
          <w:rFonts w:hint="eastAsia"/>
          <w:sz w:val="24"/>
          <w:szCs w:val="24"/>
          <w:highlight w:val="none"/>
        </w:rPr>
        <w:t>□执行《公共机构能源费用托管实施规程》（JS/T 301-2024）附件《能源费用托管合同调整规则指引》。</w:t>
      </w:r>
    </w:p>
    <w:p w14:paraId="080A78FA">
      <w:pPr>
        <w:widowControl/>
        <w:spacing w:line="360" w:lineRule="auto"/>
        <w:ind w:firstLine="480" w:firstLineChars="200"/>
        <w:jc w:val="left"/>
        <w:rPr>
          <w:sz w:val="24"/>
          <w:szCs w:val="24"/>
          <w:highlight w:val="none"/>
        </w:rPr>
      </w:pPr>
      <w:r>
        <w:rPr>
          <w:rFonts w:hint="eastAsia"/>
          <w:sz w:val="24"/>
          <w:szCs w:val="24"/>
          <w:highlight w:val="none"/>
        </w:rPr>
        <w:t xml:space="preserve">□其他: </w:t>
      </w:r>
      <w:r>
        <w:rPr>
          <w:rFonts w:hint="eastAsia"/>
          <w:sz w:val="24"/>
          <w:szCs w:val="24"/>
          <w:highlight w:val="none"/>
          <w:u w:val="single"/>
        </w:rPr>
        <w:t xml:space="preserve">                                       </w:t>
      </w:r>
      <w:r>
        <w:rPr>
          <w:rFonts w:hint="eastAsia"/>
          <w:sz w:val="24"/>
          <w:szCs w:val="24"/>
          <w:highlight w:val="none"/>
        </w:rPr>
        <w:t>。</w:t>
      </w:r>
    </w:p>
    <w:p w14:paraId="58929D09">
      <w:pPr>
        <w:widowControl/>
        <w:spacing w:line="360" w:lineRule="auto"/>
        <w:ind w:firstLine="480" w:firstLineChars="200"/>
        <w:jc w:val="left"/>
        <w:rPr>
          <w:sz w:val="24"/>
          <w:szCs w:val="24"/>
          <w:highlight w:val="none"/>
        </w:rPr>
      </w:pPr>
      <w:r>
        <w:rPr>
          <w:rFonts w:hint="eastAsia"/>
          <w:sz w:val="24"/>
          <w:szCs w:val="24"/>
          <w:highlight w:val="none"/>
        </w:rPr>
        <w:t>4.2.3 本项目能源结算价格为：□基准期（年）能源价格/□固定能源价格/□能源托管期内实时能源价格/□加权平均能源价格，加权方式为：</w:t>
      </w:r>
      <w:r>
        <w:rPr>
          <w:rFonts w:hint="eastAsia"/>
          <w:sz w:val="24"/>
          <w:szCs w:val="24"/>
          <w:highlight w:val="none"/>
          <w:u w:val="single"/>
        </w:rPr>
        <w:t xml:space="preserve">                             </w:t>
      </w:r>
      <w:r>
        <w:rPr>
          <w:rFonts w:hint="eastAsia"/>
          <w:sz w:val="24"/>
          <w:szCs w:val="24"/>
          <w:highlight w:val="none"/>
        </w:rPr>
        <w:t>。</w:t>
      </w:r>
    </w:p>
    <w:p w14:paraId="364FC3F0">
      <w:pPr>
        <w:widowControl/>
        <w:spacing w:line="360" w:lineRule="auto"/>
        <w:ind w:firstLine="480" w:firstLineChars="200"/>
        <w:jc w:val="left"/>
        <w:rPr>
          <w:sz w:val="24"/>
          <w:szCs w:val="24"/>
          <w:highlight w:val="none"/>
        </w:rPr>
      </w:pPr>
      <w:r>
        <w:rPr>
          <w:rFonts w:hint="eastAsia"/>
          <w:sz w:val="24"/>
          <w:szCs w:val="24"/>
          <w:highlight w:val="none"/>
        </w:rPr>
        <w:t xml:space="preserve">    4.2.4 能源价格发生较大变化时，调整方法及其触发条件为：</w:t>
      </w:r>
    </w:p>
    <w:p w14:paraId="1A653378">
      <w:pPr>
        <w:widowControl/>
        <w:spacing w:line="360" w:lineRule="auto"/>
        <w:ind w:firstLine="480" w:firstLineChars="200"/>
        <w:jc w:val="left"/>
        <w:rPr>
          <w:sz w:val="24"/>
          <w:szCs w:val="24"/>
          <w:highlight w:val="none"/>
        </w:rPr>
      </w:pPr>
      <w:r>
        <w:rPr>
          <w:rFonts w:hint="eastAsia"/>
          <w:sz w:val="24"/>
          <w:szCs w:val="24"/>
          <w:highlight w:val="none"/>
        </w:rPr>
        <w:t>（1）</w:t>
      </w:r>
      <w:r>
        <w:rPr>
          <w:rFonts w:hint="eastAsia"/>
          <w:sz w:val="24"/>
          <w:szCs w:val="24"/>
          <w:highlight w:val="none"/>
          <w:u w:val="single"/>
        </w:rPr>
        <w:t xml:space="preserve">                                           。</w:t>
      </w:r>
      <w:r>
        <w:rPr>
          <w:rFonts w:hint="eastAsia"/>
          <w:sz w:val="24"/>
          <w:szCs w:val="24"/>
          <w:highlight w:val="none"/>
        </w:rPr>
        <w:t>（2）</w:t>
      </w:r>
      <w:r>
        <w:rPr>
          <w:rFonts w:hint="eastAsia"/>
          <w:sz w:val="24"/>
          <w:szCs w:val="24"/>
          <w:highlight w:val="none"/>
          <w:u w:val="single"/>
        </w:rPr>
        <w:t xml:space="preserve">                                           </w:t>
      </w:r>
      <w:r>
        <w:rPr>
          <w:rFonts w:hint="eastAsia"/>
          <w:sz w:val="24"/>
          <w:szCs w:val="24"/>
          <w:highlight w:val="none"/>
        </w:rPr>
        <w:t>。</w:t>
      </w:r>
    </w:p>
    <w:p w14:paraId="307B76EB">
      <w:pPr>
        <w:widowControl/>
        <w:spacing w:line="360" w:lineRule="auto"/>
        <w:ind w:firstLine="480" w:firstLineChars="200"/>
        <w:jc w:val="left"/>
        <w:rPr>
          <w:sz w:val="24"/>
          <w:szCs w:val="24"/>
          <w:highlight w:val="none"/>
        </w:rPr>
      </w:pPr>
      <w:r>
        <w:rPr>
          <w:rFonts w:hint="eastAsia"/>
          <w:sz w:val="24"/>
          <w:szCs w:val="24"/>
          <w:highlight w:val="none"/>
        </w:rPr>
        <w:t>……</w:t>
      </w:r>
    </w:p>
    <w:p w14:paraId="714F5C62">
      <w:pPr>
        <w:widowControl/>
        <w:spacing w:line="360" w:lineRule="auto"/>
        <w:ind w:firstLine="480" w:firstLineChars="200"/>
        <w:jc w:val="left"/>
        <w:rPr>
          <w:sz w:val="24"/>
          <w:szCs w:val="24"/>
          <w:highlight w:val="none"/>
        </w:rPr>
      </w:pPr>
      <w:r>
        <w:rPr>
          <w:rFonts w:hint="eastAsia"/>
          <w:sz w:val="24"/>
          <w:szCs w:val="24"/>
          <w:highlight w:val="none"/>
        </w:rPr>
        <w:t>4.2.5 在托管量和能源结算价格调整期间 ，不得因调整幅度未确认而迟延支付原托管费用。</w:t>
      </w:r>
    </w:p>
    <w:p w14:paraId="703428C7">
      <w:pPr>
        <w:widowControl/>
        <w:spacing w:line="360" w:lineRule="auto"/>
        <w:ind w:firstLine="480" w:firstLineChars="200"/>
        <w:jc w:val="left"/>
        <w:rPr>
          <w:sz w:val="24"/>
          <w:szCs w:val="24"/>
          <w:highlight w:val="none"/>
        </w:rPr>
      </w:pPr>
      <w:r>
        <w:rPr>
          <w:rFonts w:hint="eastAsia"/>
          <w:sz w:val="24"/>
          <w:szCs w:val="24"/>
          <w:highlight w:val="none"/>
        </w:rPr>
        <w:t>4.3 本项目依据节能降碳效果或节省费用幅度实施奖惩，具体为：</w:t>
      </w:r>
    </w:p>
    <w:p w14:paraId="0BDA5F32">
      <w:pPr>
        <w:widowControl/>
        <w:spacing w:line="360" w:lineRule="auto"/>
        <w:ind w:firstLine="480" w:firstLineChars="200"/>
        <w:jc w:val="left"/>
        <w:rPr>
          <w:sz w:val="24"/>
          <w:szCs w:val="24"/>
          <w:highlight w:val="none"/>
        </w:rPr>
      </w:pPr>
      <w:r>
        <w:rPr>
          <w:rFonts w:hint="eastAsia"/>
          <w:sz w:val="24"/>
          <w:szCs w:val="24"/>
          <w:highlight w:val="none"/>
        </w:rPr>
        <w:t xml:space="preserve">□依据本合同第 </w:t>
      </w:r>
      <w:r>
        <w:rPr>
          <w:rFonts w:hint="eastAsia"/>
          <w:sz w:val="24"/>
          <w:szCs w:val="24"/>
          <w:highlight w:val="none"/>
          <w:u w:val="single"/>
        </w:rPr>
        <w:t xml:space="preserve">   </w:t>
      </w:r>
      <w:r>
        <w:rPr>
          <w:rFonts w:hint="eastAsia"/>
          <w:sz w:val="24"/>
          <w:szCs w:val="24"/>
          <w:highlight w:val="none"/>
        </w:rPr>
        <w:t xml:space="preserve"> 条约定的</w:t>
      </w:r>
      <w:r>
        <w:rPr>
          <w:rFonts w:hint="eastAsia"/>
          <w:sz w:val="24"/>
          <w:szCs w:val="24"/>
          <w:highlight w:val="none"/>
          <w:u w:val="single"/>
        </w:rPr>
        <w:t xml:space="preserve">   </w:t>
      </w:r>
      <w:r>
        <w:rPr>
          <w:rFonts w:hint="eastAsia"/>
          <w:sz w:val="24"/>
          <w:szCs w:val="24"/>
          <w:highlight w:val="none"/>
        </w:rPr>
        <w:t xml:space="preserve"> 目标，奖惩方式为：</w:t>
      </w:r>
      <w:r>
        <w:rPr>
          <w:rFonts w:hint="eastAsia"/>
          <w:sz w:val="24"/>
          <w:szCs w:val="24"/>
          <w:highlight w:val="none"/>
          <w:u w:val="single"/>
        </w:rPr>
        <w:t xml:space="preserve">   </w:t>
      </w:r>
      <w:r>
        <w:rPr>
          <w:rFonts w:hint="eastAsia"/>
          <w:sz w:val="24"/>
          <w:szCs w:val="24"/>
          <w:highlight w:val="none"/>
        </w:rPr>
        <w:t xml:space="preserve">。 □ </w:t>
      </w:r>
      <w:r>
        <w:rPr>
          <w:rFonts w:hint="eastAsia"/>
          <w:sz w:val="24"/>
          <w:szCs w:val="24"/>
          <w:highlight w:val="none"/>
          <w:u w:val="single"/>
        </w:rPr>
        <w:t xml:space="preserve">                                           </w:t>
      </w:r>
      <w:r>
        <w:rPr>
          <w:rFonts w:hint="eastAsia"/>
          <w:sz w:val="24"/>
          <w:szCs w:val="24"/>
          <w:highlight w:val="none"/>
        </w:rPr>
        <w:t>。</w:t>
      </w:r>
    </w:p>
    <w:p w14:paraId="01CA9B2E">
      <w:pPr>
        <w:widowControl/>
        <w:spacing w:line="360" w:lineRule="auto"/>
        <w:ind w:firstLine="480" w:firstLineChars="200"/>
        <w:jc w:val="left"/>
        <w:rPr>
          <w:sz w:val="24"/>
          <w:szCs w:val="24"/>
          <w:highlight w:val="none"/>
        </w:rPr>
      </w:pPr>
      <w:r>
        <w:rPr>
          <w:rFonts w:hint="eastAsia"/>
          <w:sz w:val="24"/>
          <w:szCs w:val="24"/>
          <w:highlight w:val="none"/>
        </w:rPr>
        <w:t>……</w:t>
      </w:r>
    </w:p>
    <w:p w14:paraId="0842760F">
      <w:pPr>
        <w:widowControl/>
        <w:spacing w:line="360" w:lineRule="auto"/>
        <w:ind w:firstLine="480" w:firstLineChars="200"/>
        <w:jc w:val="left"/>
        <w:rPr>
          <w:sz w:val="24"/>
          <w:szCs w:val="24"/>
          <w:highlight w:val="none"/>
        </w:rPr>
      </w:pPr>
      <w:r>
        <w:rPr>
          <w:rFonts w:hint="eastAsia"/>
          <w:sz w:val="24"/>
          <w:szCs w:val="24"/>
          <w:highlight w:val="none"/>
        </w:rPr>
        <w:t>4.4 本项目托管费用结算周期为：按照□年度/□季度 /  □月结算。</w:t>
      </w:r>
    </w:p>
    <w:p w14:paraId="4159608A">
      <w:pPr>
        <w:widowControl/>
        <w:spacing w:line="360" w:lineRule="auto"/>
        <w:ind w:firstLine="480" w:firstLineChars="200"/>
        <w:jc w:val="left"/>
        <w:rPr>
          <w:sz w:val="24"/>
          <w:szCs w:val="24"/>
          <w:highlight w:val="none"/>
        </w:rPr>
      </w:pPr>
      <w:r>
        <w:rPr>
          <w:rFonts w:hint="eastAsia"/>
          <w:sz w:val="24"/>
          <w:szCs w:val="24"/>
          <w:highlight w:val="none"/>
        </w:rPr>
        <w:t>4.4.1 乙方向甲方开具发票的要求和时限为：</w:t>
      </w:r>
      <w:r>
        <w:rPr>
          <w:rFonts w:hint="eastAsia"/>
          <w:sz w:val="24"/>
          <w:szCs w:val="24"/>
          <w:highlight w:val="none"/>
          <w:u w:val="single"/>
        </w:rPr>
        <w:t xml:space="preserve">              </w:t>
      </w:r>
    </w:p>
    <w:p w14:paraId="2F3FFF72">
      <w:pPr>
        <w:widowControl/>
        <w:spacing w:line="360" w:lineRule="auto"/>
        <w:ind w:firstLine="480" w:firstLineChars="200"/>
        <w:jc w:val="left"/>
        <w:rPr>
          <w:sz w:val="24"/>
          <w:szCs w:val="24"/>
          <w:highlight w:val="none"/>
        </w:rPr>
      </w:pPr>
      <w:r>
        <w:rPr>
          <w:rFonts w:hint="eastAsia"/>
          <w:sz w:val="24"/>
          <w:szCs w:val="24"/>
          <w:highlight w:val="none"/>
          <w:u w:val="single"/>
        </w:rPr>
        <w:tab/>
      </w:r>
      <w:r>
        <w:rPr>
          <w:rFonts w:hint="eastAsia"/>
          <w:sz w:val="24"/>
          <w:szCs w:val="24"/>
          <w:highlight w:val="none"/>
        </w:rPr>
        <w:t>。</w:t>
      </w:r>
    </w:p>
    <w:p w14:paraId="4AE90D49">
      <w:pPr>
        <w:widowControl/>
        <w:spacing w:line="360" w:lineRule="auto"/>
        <w:ind w:firstLine="480" w:firstLineChars="200"/>
        <w:jc w:val="left"/>
        <w:rPr>
          <w:sz w:val="24"/>
          <w:szCs w:val="24"/>
          <w:highlight w:val="none"/>
        </w:rPr>
      </w:pPr>
      <w:r>
        <w:rPr>
          <w:rFonts w:hint="eastAsia"/>
          <w:sz w:val="24"/>
          <w:szCs w:val="24"/>
          <w:highlight w:val="none"/>
        </w:rPr>
        <w:t>4.4.2 甲方向乙方支付托管费用的要求和时限为：</w:t>
      </w:r>
      <w:r>
        <w:rPr>
          <w:rFonts w:hint="eastAsia"/>
          <w:sz w:val="24"/>
          <w:szCs w:val="24"/>
          <w:highlight w:val="none"/>
          <w:u w:val="single"/>
        </w:rPr>
        <w:t xml:space="preserve">         </w:t>
      </w:r>
    </w:p>
    <w:p w14:paraId="4F8AB6DA">
      <w:pPr>
        <w:widowControl/>
        <w:spacing w:line="360" w:lineRule="auto"/>
        <w:ind w:firstLine="480" w:firstLineChars="200"/>
        <w:jc w:val="left"/>
        <w:rPr>
          <w:sz w:val="24"/>
          <w:szCs w:val="24"/>
          <w:highlight w:val="none"/>
        </w:rPr>
      </w:pPr>
      <w:r>
        <w:rPr>
          <w:rFonts w:hint="eastAsia"/>
          <w:sz w:val="24"/>
          <w:szCs w:val="24"/>
          <w:highlight w:val="none"/>
          <w:u w:val="single"/>
        </w:rPr>
        <w:tab/>
      </w:r>
      <w:r>
        <w:rPr>
          <w:rFonts w:hint="eastAsia"/>
          <w:sz w:val="24"/>
          <w:szCs w:val="24"/>
          <w:highlight w:val="none"/>
        </w:rPr>
        <w:t>。</w:t>
      </w:r>
    </w:p>
    <w:p w14:paraId="35B72980">
      <w:pPr>
        <w:widowControl/>
        <w:spacing w:line="360" w:lineRule="auto"/>
        <w:ind w:firstLine="480" w:firstLineChars="200"/>
        <w:jc w:val="left"/>
        <w:rPr>
          <w:sz w:val="24"/>
          <w:szCs w:val="24"/>
          <w:highlight w:val="none"/>
        </w:rPr>
      </w:pPr>
      <w:r>
        <w:rPr>
          <w:rFonts w:hint="eastAsia"/>
          <w:sz w:val="24"/>
          <w:szCs w:val="24"/>
          <w:highlight w:val="none"/>
        </w:rPr>
        <w:t>4.5 本项目□不由乙方代缴水费、电费等能源资源费用/□由乙方代缴水费、电费等能源资源费用，乙方应按照规定的缴费时间，向收取水费、电费等能源资源费用的公共事业服务单位缴费。</w:t>
      </w:r>
    </w:p>
    <w:p w14:paraId="3D98F7A7">
      <w:pPr>
        <w:widowControl/>
        <w:spacing w:line="360" w:lineRule="auto"/>
        <w:ind w:firstLine="482" w:firstLineChars="200"/>
        <w:jc w:val="center"/>
        <w:rPr>
          <w:b/>
          <w:bCs/>
          <w:sz w:val="24"/>
          <w:szCs w:val="24"/>
          <w:highlight w:val="none"/>
        </w:rPr>
      </w:pPr>
      <w:bookmarkStart w:id="234" w:name="_Toc561452218"/>
      <w:r>
        <w:rPr>
          <w:rFonts w:hint="eastAsia"/>
          <w:b/>
          <w:bCs/>
          <w:sz w:val="24"/>
          <w:szCs w:val="24"/>
          <w:highlight w:val="none"/>
        </w:rPr>
        <w:t>第 5 节  双方的权利与义务</w:t>
      </w:r>
      <w:bookmarkEnd w:id="234"/>
    </w:p>
    <w:p w14:paraId="2DED95A9">
      <w:pPr>
        <w:widowControl/>
        <w:spacing w:line="360" w:lineRule="auto"/>
        <w:ind w:firstLine="480" w:firstLineChars="200"/>
        <w:jc w:val="left"/>
        <w:rPr>
          <w:sz w:val="24"/>
          <w:szCs w:val="24"/>
          <w:highlight w:val="none"/>
        </w:rPr>
      </w:pPr>
      <w:r>
        <w:rPr>
          <w:rFonts w:hint="eastAsia"/>
          <w:sz w:val="24"/>
          <w:szCs w:val="24"/>
          <w:highlight w:val="none"/>
        </w:rPr>
        <w:t>5.1 甲方的权利义务。</w:t>
      </w:r>
    </w:p>
    <w:p w14:paraId="796FBE73">
      <w:pPr>
        <w:widowControl/>
        <w:spacing w:line="360" w:lineRule="auto"/>
        <w:ind w:firstLine="480" w:firstLineChars="200"/>
        <w:jc w:val="left"/>
        <w:rPr>
          <w:sz w:val="24"/>
          <w:szCs w:val="24"/>
          <w:highlight w:val="none"/>
        </w:rPr>
      </w:pPr>
      <w:r>
        <w:rPr>
          <w:rFonts w:hint="eastAsia"/>
          <w:sz w:val="24"/>
          <w:szCs w:val="24"/>
          <w:highlight w:val="none"/>
        </w:rPr>
        <w:t>5.1.1 有权对乙方履约质量、进度、安全进行监督检查，并提出书面整改意见。</w:t>
      </w:r>
    </w:p>
    <w:p w14:paraId="255E21F2">
      <w:pPr>
        <w:widowControl/>
        <w:spacing w:line="360" w:lineRule="auto"/>
        <w:ind w:firstLine="480" w:firstLineChars="200"/>
        <w:jc w:val="left"/>
        <w:rPr>
          <w:sz w:val="24"/>
          <w:szCs w:val="24"/>
          <w:highlight w:val="none"/>
        </w:rPr>
      </w:pPr>
      <w:r>
        <w:rPr>
          <w:rFonts w:hint="eastAsia"/>
          <w:sz w:val="24"/>
          <w:szCs w:val="24"/>
          <w:highlight w:val="none"/>
        </w:rPr>
        <w:t>5.1.2 因正常运行需要 ，有权以书面通知的形式对乙方提出项 目范围、边界条件等方面的合理调整建议，双方协商一致后签署补充协议。</w:t>
      </w:r>
    </w:p>
    <w:p w14:paraId="5C62EDEA">
      <w:pPr>
        <w:widowControl/>
        <w:spacing w:line="360" w:lineRule="auto"/>
        <w:ind w:firstLine="480" w:firstLineChars="200"/>
        <w:jc w:val="left"/>
        <w:rPr>
          <w:sz w:val="24"/>
          <w:szCs w:val="24"/>
          <w:highlight w:val="none"/>
        </w:rPr>
      </w:pPr>
      <w:r>
        <w:rPr>
          <w:rFonts w:hint="eastAsia"/>
          <w:sz w:val="24"/>
          <w:szCs w:val="24"/>
          <w:highlight w:val="none"/>
        </w:rPr>
        <w:t xml:space="preserve">5.1.3 乙方出现严重违约或破产、解散、被吊销营业执照等情形时，有权书面通知乙方后单方接管项目现场及设施，并要求乙方在 </w:t>
      </w:r>
      <w:r>
        <w:rPr>
          <w:rFonts w:hint="eastAsia"/>
          <w:sz w:val="24"/>
          <w:szCs w:val="24"/>
          <w:highlight w:val="none"/>
          <w:u w:val="single"/>
        </w:rPr>
        <w:t xml:space="preserve">            </w:t>
      </w:r>
      <w:r>
        <w:rPr>
          <w:rFonts w:hint="eastAsia"/>
          <w:sz w:val="24"/>
          <w:szCs w:val="24"/>
          <w:highlight w:val="none"/>
        </w:rPr>
        <w:t xml:space="preserve"> 个工作 日 内移交全部技术资料、钥匙、软件账号密码及运维手册等。</w:t>
      </w:r>
    </w:p>
    <w:p w14:paraId="1C82E5BC">
      <w:pPr>
        <w:widowControl/>
        <w:spacing w:line="360" w:lineRule="auto"/>
        <w:ind w:firstLine="480" w:firstLineChars="200"/>
        <w:jc w:val="left"/>
        <w:rPr>
          <w:sz w:val="24"/>
          <w:szCs w:val="24"/>
          <w:highlight w:val="none"/>
        </w:rPr>
      </w:pPr>
      <w:r>
        <w:rPr>
          <w:rFonts w:hint="eastAsia"/>
          <w:sz w:val="24"/>
          <w:szCs w:val="24"/>
          <w:highlight w:val="none"/>
        </w:rPr>
        <w:t>5.1.4 根据项目方案的约定，为乙方或乙方聘请的第三方提供本项目节能改造所需要的资料、数据和现场条件，及时迁移清运纳入改造范围的原有设备设施，并为项 目的改造、维护、运营及检测、维修项目设施设备提供必要的协助。</w:t>
      </w:r>
    </w:p>
    <w:p w14:paraId="134E4B0A">
      <w:pPr>
        <w:widowControl/>
        <w:spacing w:line="360" w:lineRule="auto"/>
        <w:ind w:firstLine="480" w:firstLineChars="200"/>
        <w:jc w:val="left"/>
        <w:rPr>
          <w:sz w:val="24"/>
          <w:szCs w:val="24"/>
          <w:highlight w:val="none"/>
        </w:rPr>
      </w:pPr>
      <w:r>
        <w:rPr>
          <w:rFonts w:hint="eastAsia"/>
          <w:sz w:val="24"/>
          <w:szCs w:val="24"/>
          <w:highlight w:val="none"/>
        </w:rPr>
        <w:t>5.1.5 组织办理需由甲方办理的项目所需的：</w:t>
      </w:r>
    </w:p>
    <w:p w14:paraId="6B26897D">
      <w:pPr>
        <w:widowControl/>
        <w:spacing w:line="360" w:lineRule="auto"/>
        <w:ind w:firstLine="480" w:firstLineChars="200"/>
        <w:jc w:val="left"/>
        <w:rPr>
          <w:sz w:val="24"/>
          <w:szCs w:val="24"/>
          <w:highlight w:val="none"/>
        </w:rPr>
      </w:pPr>
      <w:r>
        <w:rPr>
          <w:rFonts w:hint="eastAsia"/>
          <w:sz w:val="24"/>
          <w:szCs w:val="24"/>
          <w:highlight w:val="none"/>
        </w:rPr>
        <w:t>□政府许可。</w:t>
      </w:r>
    </w:p>
    <w:p w14:paraId="1A5A361C">
      <w:pPr>
        <w:widowControl/>
        <w:spacing w:line="360" w:lineRule="auto"/>
        <w:ind w:firstLine="480" w:firstLineChars="200"/>
        <w:jc w:val="left"/>
        <w:rPr>
          <w:sz w:val="24"/>
          <w:szCs w:val="24"/>
          <w:highlight w:val="none"/>
        </w:rPr>
      </w:pPr>
      <w:r>
        <w:rPr>
          <w:rFonts w:hint="eastAsia"/>
          <w:sz w:val="24"/>
          <w:szCs w:val="24"/>
          <w:highlight w:val="none"/>
        </w:rPr>
        <w:t>□备案。</w:t>
      </w:r>
    </w:p>
    <w:p w14:paraId="1C48E9C9">
      <w:pPr>
        <w:widowControl/>
        <w:spacing w:line="360" w:lineRule="auto"/>
        <w:ind w:firstLine="480" w:firstLineChars="200"/>
        <w:jc w:val="left"/>
        <w:rPr>
          <w:sz w:val="24"/>
          <w:szCs w:val="24"/>
          <w:highlight w:val="none"/>
        </w:rPr>
      </w:pPr>
      <w:r>
        <w:rPr>
          <w:rFonts w:hint="eastAsia"/>
          <w:sz w:val="24"/>
          <w:szCs w:val="24"/>
          <w:highlight w:val="none"/>
        </w:rPr>
        <w:t>□审批文件。</w:t>
      </w:r>
    </w:p>
    <w:p w14:paraId="46C531D6">
      <w:pPr>
        <w:widowControl/>
        <w:spacing w:line="360" w:lineRule="auto"/>
        <w:ind w:firstLine="480" w:firstLineChars="200"/>
        <w:jc w:val="left"/>
        <w:rPr>
          <w:sz w:val="24"/>
          <w:szCs w:val="24"/>
          <w:highlight w:val="none"/>
        </w:rPr>
      </w:pPr>
      <w:r>
        <w:rPr>
          <w:rFonts w:hint="eastAsia"/>
          <w:sz w:val="24"/>
          <w:szCs w:val="24"/>
          <w:highlight w:val="none"/>
        </w:rPr>
        <w:t xml:space="preserve">□ </w:t>
      </w:r>
      <w:r>
        <w:rPr>
          <w:rFonts w:hint="eastAsia"/>
          <w:sz w:val="24"/>
          <w:szCs w:val="24"/>
          <w:highlight w:val="none"/>
          <w:u w:val="single"/>
        </w:rPr>
        <w:t xml:space="preserve">                  </w:t>
      </w:r>
      <w:r>
        <w:rPr>
          <w:rFonts w:hint="eastAsia"/>
          <w:sz w:val="24"/>
          <w:szCs w:val="24"/>
          <w:highlight w:val="none"/>
        </w:rPr>
        <w:t>。</w:t>
      </w:r>
    </w:p>
    <w:p w14:paraId="54986800">
      <w:pPr>
        <w:widowControl/>
        <w:spacing w:line="360" w:lineRule="auto"/>
        <w:ind w:firstLine="480" w:firstLineChars="200"/>
        <w:jc w:val="left"/>
        <w:rPr>
          <w:sz w:val="24"/>
          <w:szCs w:val="24"/>
          <w:highlight w:val="none"/>
        </w:rPr>
      </w:pPr>
      <w:r>
        <w:rPr>
          <w:rFonts w:hint="eastAsia"/>
          <w:sz w:val="24"/>
          <w:szCs w:val="24"/>
          <w:highlight w:val="none"/>
        </w:rPr>
        <w:t>……</w:t>
      </w:r>
    </w:p>
    <w:p w14:paraId="13FD7E18">
      <w:pPr>
        <w:widowControl/>
        <w:spacing w:line="360" w:lineRule="auto"/>
        <w:ind w:firstLine="480" w:firstLineChars="200"/>
        <w:jc w:val="left"/>
        <w:rPr>
          <w:sz w:val="24"/>
          <w:szCs w:val="24"/>
          <w:highlight w:val="none"/>
        </w:rPr>
      </w:pPr>
      <w:r>
        <w:rPr>
          <w:rFonts w:hint="eastAsia"/>
          <w:sz w:val="24"/>
          <w:szCs w:val="24"/>
          <w:highlight w:val="none"/>
        </w:rPr>
        <w:t>并协助乙方取得乙方为完成本项目节能改造、运行管理等阶段需自行申请的同类文件。</w:t>
      </w:r>
    </w:p>
    <w:p w14:paraId="45DC6948">
      <w:pPr>
        <w:widowControl/>
        <w:spacing w:line="360" w:lineRule="auto"/>
        <w:ind w:firstLine="480" w:firstLineChars="200"/>
        <w:jc w:val="left"/>
        <w:rPr>
          <w:sz w:val="24"/>
          <w:szCs w:val="24"/>
          <w:highlight w:val="none"/>
        </w:rPr>
      </w:pPr>
      <w:r>
        <w:rPr>
          <w:rFonts w:hint="eastAsia"/>
          <w:sz w:val="24"/>
          <w:szCs w:val="24"/>
          <w:highlight w:val="none"/>
        </w:rPr>
        <w:t>5.1.6 协助乙方向有关政府机构或组织申请可由乙方申请的与项目相关的补助、奖励、税收减免或其他可适用的优惠政策。</w:t>
      </w:r>
    </w:p>
    <w:p w14:paraId="17639DC8">
      <w:pPr>
        <w:widowControl/>
        <w:spacing w:line="360" w:lineRule="auto"/>
        <w:ind w:firstLine="480" w:firstLineChars="200"/>
        <w:jc w:val="left"/>
        <w:rPr>
          <w:sz w:val="24"/>
          <w:szCs w:val="24"/>
          <w:highlight w:val="none"/>
        </w:rPr>
      </w:pPr>
      <w:r>
        <w:rPr>
          <w:rFonts w:hint="eastAsia"/>
          <w:sz w:val="24"/>
          <w:szCs w:val="24"/>
          <w:highlight w:val="none"/>
        </w:rPr>
        <w:t>5.1.7 与 乙方共同开展或配合双方认可的第三方机构开展节能量测算和评估。</w:t>
      </w:r>
    </w:p>
    <w:p w14:paraId="7B326357">
      <w:pPr>
        <w:widowControl/>
        <w:spacing w:line="360" w:lineRule="auto"/>
        <w:ind w:firstLine="480" w:firstLineChars="200"/>
        <w:jc w:val="left"/>
        <w:rPr>
          <w:sz w:val="24"/>
          <w:szCs w:val="24"/>
          <w:highlight w:val="none"/>
        </w:rPr>
      </w:pPr>
      <w:r>
        <w:rPr>
          <w:rFonts w:hint="eastAsia"/>
          <w:sz w:val="24"/>
          <w:szCs w:val="24"/>
          <w:highlight w:val="none"/>
        </w:rPr>
        <w:t>5.1.8 根据项目方案约定进行项目试运行和验收。</w:t>
      </w:r>
    </w:p>
    <w:p w14:paraId="18360EF1">
      <w:pPr>
        <w:widowControl/>
        <w:spacing w:line="360" w:lineRule="auto"/>
        <w:ind w:firstLine="480" w:firstLineChars="200"/>
        <w:jc w:val="left"/>
        <w:rPr>
          <w:sz w:val="24"/>
          <w:szCs w:val="24"/>
          <w:highlight w:val="none"/>
        </w:rPr>
      </w:pPr>
      <w:r>
        <w:rPr>
          <w:rFonts w:hint="eastAsia"/>
          <w:sz w:val="24"/>
          <w:szCs w:val="24"/>
          <w:highlight w:val="none"/>
        </w:rPr>
        <w:t>5.1.9 能源托管期内，如托管范围内的用能设施或设备发生故障、损坏或丢失，应在获知相应信息后，及时通知乙方，配合乙方对设备进行维修维护 ，并有义务采取必要措施防止损失扩大。</w:t>
      </w:r>
    </w:p>
    <w:p w14:paraId="13CCF397">
      <w:pPr>
        <w:widowControl/>
        <w:spacing w:line="360" w:lineRule="auto"/>
        <w:ind w:firstLine="480" w:firstLineChars="200"/>
        <w:jc w:val="left"/>
        <w:rPr>
          <w:sz w:val="24"/>
          <w:szCs w:val="24"/>
          <w:highlight w:val="none"/>
        </w:rPr>
      </w:pPr>
      <w:r>
        <w:rPr>
          <w:rFonts w:hint="eastAsia"/>
          <w:sz w:val="24"/>
          <w:szCs w:val="24"/>
          <w:highlight w:val="none"/>
        </w:rPr>
        <w:t>5.1.10 将与项目有关的内部规章制度和特殊安全规定要求及时告知乙方或乙方聘请的第三方，并根据需要提供防护用品。</w:t>
      </w:r>
    </w:p>
    <w:p w14:paraId="76291E69">
      <w:pPr>
        <w:widowControl/>
        <w:spacing w:line="360" w:lineRule="auto"/>
        <w:ind w:firstLine="480" w:firstLineChars="200"/>
        <w:jc w:val="left"/>
        <w:rPr>
          <w:sz w:val="24"/>
          <w:szCs w:val="24"/>
          <w:highlight w:val="none"/>
        </w:rPr>
      </w:pPr>
      <w:r>
        <w:rPr>
          <w:rFonts w:hint="eastAsia"/>
          <w:sz w:val="24"/>
          <w:szCs w:val="24"/>
          <w:highlight w:val="none"/>
        </w:rPr>
        <w:t>5.1.11 开展节能宣传教育，使本项目相关人员提高节能意识、增长节能知识、增强节能能力。</w:t>
      </w:r>
    </w:p>
    <w:p w14:paraId="328DA2E0">
      <w:pPr>
        <w:widowControl/>
        <w:spacing w:line="360" w:lineRule="auto"/>
        <w:ind w:firstLine="480" w:firstLineChars="200"/>
        <w:jc w:val="left"/>
        <w:rPr>
          <w:sz w:val="24"/>
          <w:szCs w:val="24"/>
          <w:highlight w:val="none"/>
        </w:rPr>
      </w:pPr>
      <w:r>
        <w:rPr>
          <w:rFonts w:hint="eastAsia"/>
          <w:sz w:val="24"/>
          <w:szCs w:val="24"/>
          <w:highlight w:val="none"/>
        </w:rPr>
        <w:t>5.1.12 按照本合同的约定，及时向乙方付款。</w:t>
      </w:r>
    </w:p>
    <w:p w14:paraId="3B2E1A0E">
      <w:pPr>
        <w:widowControl/>
        <w:spacing w:line="360" w:lineRule="auto"/>
        <w:ind w:firstLine="480" w:firstLineChars="200"/>
        <w:jc w:val="left"/>
        <w:rPr>
          <w:sz w:val="24"/>
          <w:szCs w:val="24"/>
          <w:highlight w:val="none"/>
        </w:rPr>
      </w:pPr>
      <w:r>
        <w:rPr>
          <w:rFonts w:hint="eastAsia"/>
          <w:sz w:val="24"/>
          <w:szCs w:val="24"/>
          <w:highlight w:val="none"/>
        </w:rPr>
        <w:t>5.1.13 为乙方或乙方聘请的第三方现场办公人员提供必要的办公条件。</w:t>
      </w:r>
    </w:p>
    <w:p w14:paraId="26300CF8">
      <w:pPr>
        <w:widowControl/>
        <w:spacing w:line="360" w:lineRule="auto"/>
        <w:ind w:firstLine="480" w:firstLineChars="200"/>
        <w:jc w:val="left"/>
        <w:rPr>
          <w:sz w:val="24"/>
          <w:szCs w:val="24"/>
          <w:highlight w:val="none"/>
        </w:rPr>
      </w:pPr>
      <w:r>
        <w:rPr>
          <w:rFonts w:hint="eastAsia"/>
          <w:sz w:val="24"/>
          <w:szCs w:val="24"/>
          <w:highlight w:val="none"/>
        </w:rPr>
        <w:t>5.1.14 督导物业管理单位配合乙方执行节能运行策略或节能管理办法，纠正物业管理单位能源资源浪费行为。</w:t>
      </w:r>
    </w:p>
    <w:p w14:paraId="0A9D3CF8">
      <w:pPr>
        <w:widowControl/>
        <w:spacing w:line="360" w:lineRule="auto"/>
        <w:ind w:firstLine="480" w:firstLineChars="200"/>
        <w:jc w:val="left"/>
        <w:rPr>
          <w:sz w:val="24"/>
          <w:szCs w:val="24"/>
          <w:highlight w:val="none"/>
        </w:rPr>
      </w:pPr>
      <w:r>
        <w:rPr>
          <w:rFonts w:hint="eastAsia"/>
          <w:sz w:val="24"/>
          <w:szCs w:val="24"/>
          <w:highlight w:val="none"/>
        </w:rPr>
        <w:t>5.1.15 协助乙方做好新增用能设备的统计、确认工作。</w:t>
      </w:r>
    </w:p>
    <w:p w14:paraId="58A091D8">
      <w:pPr>
        <w:widowControl/>
        <w:spacing w:line="360" w:lineRule="auto"/>
        <w:ind w:firstLine="480" w:firstLineChars="200"/>
        <w:jc w:val="left"/>
        <w:rPr>
          <w:sz w:val="24"/>
          <w:szCs w:val="24"/>
          <w:highlight w:val="none"/>
        </w:rPr>
      </w:pPr>
      <w:r>
        <w:rPr>
          <w:rFonts w:hint="eastAsia"/>
          <w:sz w:val="24"/>
          <w:szCs w:val="24"/>
          <w:highlight w:val="none"/>
        </w:rPr>
        <w:t>5.2 乙方的权利义务。</w:t>
      </w:r>
    </w:p>
    <w:p w14:paraId="528117A9">
      <w:pPr>
        <w:widowControl/>
        <w:spacing w:line="360" w:lineRule="auto"/>
        <w:ind w:firstLine="480" w:firstLineChars="200"/>
        <w:jc w:val="left"/>
        <w:rPr>
          <w:sz w:val="24"/>
          <w:szCs w:val="24"/>
          <w:highlight w:val="none"/>
        </w:rPr>
      </w:pPr>
      <w:r>
        <w:rPr>
          <w:rFonts w:hint="eastAsia"/>
          <w:sz w:val="24"/>
          <w:szCs w:val="24"/>
          <w:highlight w:val="none"/>
        </w:rPr>
        <w:t>5.2.1 有权拒绝甲方及其员工、关联方的违规指挥、强令冒险作业及超出合同约定的使用方式，并书面记录在案，因此造成的工期延误和额外成本由甲方承担。</w:t>
      </w:r>
    </w:p>
    <w:p w14:paraId="37045A27">
      <w:pPr>
        <w:widowControl/>
        <w:spacing w:line="360" w:lineRule="auto"/>
        <w:ind w:firstLine="480" w:firstLineChars="200"/>
        <w:jc w:val="left"/>
        <w:rPr>
          <w:sz w:val="24"/>
          <w:szCs w:val="24"/>
          <w:highlight w:val="none"/>
        </w:rPr>
      </w:pPr>
      <w:r>
        <w:rPr>
          <w:rFonts w:hint="eastAsia"/>
          <w:sz w:val="24"/>
          <w:szCs w:val="24"/>
          <w:highlight w:val="none"/>
        </w:rPr>
        <w:t>5.2.2 按照项目方案约定的技术标准和要求及本合同的约定，按时保质完成本项 目的方案设计、改造、运营以及维护。</w:t>
      </w:r>
    </w:p>
    <w:p w14:paraId="40D062AA">
      <w:pPr>
        <w:widowControl/>
        <w:spacing w:line="360" w:lineRule="auto"/>
        <w:ind w:firstLine="480" w:firstLineChars="200"/>
        <w:jc w:val="left"/>
        <w:rPr>
          <w:sz w:val="24"/>
          <w:szCs w:val="24"/>
          <w:highlight w:val="none"/>
        </w:rPr>
      </w:pPr>
      <w:r>
        <w:rPr>
          <w:rFonts w:hint="eastAsia"/>
          <w:sz w:val="24"/>
          <w:szCs w:val="24"/>
          <w:highlight w:val="none"/>
        </w:rPr>
        <w:t>5.2.3 根据相关法律法规的要求， 申请除应由甲方申请之外的有关项 目的许可、备案、审批。</w:t>
      </w:r>
    </w:p>
    <w:p w14:paraId="7B4E9D86">
      <w:pPr>
        <w:widowControl/>
        <w:spacing w:line="360" w:lineRule="auto"/>
        <w:ind w:firstLine="480" w:firstLineChars="200"/>
        <w:jc w:val="left"/>
        <w:rPr>
          <w:sz w:val="24"/>
          <w:szCs w:val="24"/>
          <w:highlight w:val="none"/>
        </w:rPr>
      </w:pPr>
      <w:r>
        <w:rPr>
          <w:rFonts w:hint="eastAsia"/>
          <w:sz w:val="24"/>
          <w:szCs w:val="24"/>
          <w:highlight w:val="none"/>
        </w:rPr>
        <w:t>5.2.4 协助甲方向有关政府机构或组织申请可由甲方申请的与项目相关的补助、奖励、税收减免或其他可适用的优惠政策。</w:t>
      </w:r>
    </w:p>
    <w:p w14:paraId="6DD14227">
      <w:pPr>
        <w:widowControl/>
        <w:spacing w:line="360" w:lineRule="auto"/>
        <w:ind w:firstLine="480" w:firstLineChars="200"/>
        <w:jc w:val="left"/>
        <w:rPr>
          <w:sz w:val="24"/>
          <w:szCs w:val="24"/>
          <w:highlight w:val="none"/>
        </w:rPr>
      </w:pPr>
      <w:r>
        <w:rPr>
          <w:rFonts w:hint="eastAsia"/>
          <w:sz w:val="24"/>
          <w:szCs w:val="24"/>
          <w:highlight w:val="none"/>
        </w:rPr>
        <w:t>5.2.5 确保其工作人员和聘请的第三方安装和调试相关设备、设施符合国家、行业有关施工管理法律法规和相关技术标准规范要求，以及甲方提出的合理施工、管理要求，遵守甲方制度规定及合理的现场指挥。</w:t>
      </w:r>
    </w:p>
    <w:p w14:paraId="149B25CB">
      <w:pPr>
        <w:widowControl/>
        <w:spacing w:line="360" w:lineRule="auto"/>
        <w:ind w:firstLine="480" w:firstLineChars="200"/>
        <w:jc w:val="left"/>
        <w:rPr>
          <w:sz w:val="24"/>
          <w:szCs w:val="24"/>
          <w:highlight w:val="none"/>
        </w:rPr>
      </w:pPr>
      <w:r>
        <w:rPr>
          <w:rFonts w:hint="eastAsia"/>
          <w:sz w:val="24"/>
          <w:szCs w:val="24"/>
          <w:highlight w:val="none"/>
        </w:rPr>
        <w:t>5.2.6 对甲方指派的操作人员进行适当的培训 ，以使其能承担必要的操作和设施维护要求。</w:t>
      </w:r>
    </w:p>
    <w:p w14:paraId="21FE9A72">
      <w:pPr>
        <w:widowControl/>
        <w:spacing w:line="360" w:lineRule="auto"/>
        <w:ind w:firstLine="480" w:firstLineChars="200"/>
        <w:jc w:val="left"/>
        <w:rPr>
          <w:sz w:val="24"/>
          <w:szCs w:val="24"/>
          <w:highlight w:val="none"/>
        </w:rPr>
      </w:pPr>
      <w:r>
        <w:rPr>
          <w:rFonts w:hint="eastAsia"/>
          <w:sz w:val="24"/>
          <w:szCs w:val="24"/>
          <w:highlight w:val="none"/>
        </w:rPr>
        <w:t xml:space="preserve">5.2.7 按照有关规定对设备进行操作、维护和保养、定期作出记录并妥善保存 </w:t>
      </w:r>
      <w:r>
        <w:rPr>
          <w:rFonts w:hint="eastAsia"/>
          <w:sz w:val="24"/>
          <w:szCs w:val="24"/>
          <w:highlight w:val="none"/>
          <w:u w:val="single"/>
        </w:rPr>
        <w:t xml:space="preserve">         </w:t>
      </w:r>
      <w:r>
        <w:rPr>
          <w:rFonts w:hint="eastAsia"/>
          <w:sz w:val="24"/>
          <w:szCs w:val="24"/>
          <w:highlight w:val="none"/>
        </w:rPr>
        <w:t xml:space="preserve"> 年，并在甲方合理要求范围内及时提供该记录。</w:t>
      </w:r>
    </w:p>
    <w:p w14:paraId="41C2ECA9">
      <w:pPr>
        <w:widowControl/>
        <w:spacing w:line="360" w:lineRule="auto"/>
        <w:ind w:firstLine="480" w:firstLineChars="200"/>
        <w:jc w:val="left"/>
        <w:rPr>
          <w:sz w:val="24"/>
          <w:szCs w:val="24"/>
          <w:highlight w:val="none"/>
        </w:rPr>
      </w:pPr>
      <w:r>
        <w:rPr>
          <w:rFonts w:hint="eastAsia"/>
          <w:sz w:val="24"/>
          <w:szCs w:val="24"/>
          <w:highlight w:val="none"/>
        </w:rPr>
        <w:t>5.2.8 在接到甲方关于项目运行故障的通知后</w:t>
      </w:r>
      <w:r>
        <w:rPr>
          <w:rFonts w:hint="eastAsia"/>
          <w:sz w:val="24"/>
          <w:szCs w:val="24"/>
          <w:highlight w:val="none"/>
          <w:u w:val="single"/>
        </w:rPr>
        <w:t xml:space="preserve">       </w:t>
      </w:r>
      <w:r>
        <w:rPr>
          <w:rFonts w:hint="eastAsia"/>
          <w:sz w:val="24"/>
          <w:szCs w:val="24"/>
          <w:highlight w:val="none"/>
        </w:rPr>
        <w:t xml:space="preserve"> 的时间内做出响应，并根据本合同约定及时完成相关维修或设备更换。</w:t>
      </w:r>
    </w:p>
    <w:p w14:paraId="3CFFF9BE">
      <w:pPr>
        <w:widowControl/>
        <w:spacing w:line="360" w:lineRule="auto"/>
        <w:ind w:firstLine="480" w:firstLineChars="200"/>
        <w:jc w:val="left"/>
        <w:rPr>
          <w:sz w:val="24"/>
          <w:szCs w:val="24"/>
          <w:highlight w:val="none"/>
        </w:rPr>
      </w:pPr>
      <w:r>
        <w:rPr>
          <w:rFonts w:hint="eastAsia"/>
          <w:sz w:val="24"/>
          <w:szCs w:val="24"/>
          <w:highlight w:val="none"/>
        </w:rPr>
        <w:t>5.2.9 与 甲方共同开展或配合双方认可的第三方机构开展节能量测算和评估。</w:t>
      </w:r>
    </w:p>
    <w:p w14:paraId="437ED2DC">
      <w:pPr>
        <w:widowControl/>
        <w:spacing w:line="360" w:lineRule="auto"/>
        <w:ind w:firstLine="480" w:firstLineChars="200"/>
        <w:jc w:val="left"/>
        <w:rPr>
          <w:sz w:val="24"/>
          <w:szCs w:val="24"/>
          <w:highlight w:val="none"/>
        </w:rPr>
      </w:pPr>
      <w:r>
        <w:rPr>
          <w:rFonts w:hint="eastAsia"/>
          <w:sz w:val="24"/>
          <w:szCs w:val="24"/>
          <w:highlight w:val="none"/>
        </w:rPr>
        <w:t>5.2.10 确保纳入托管范围的能源资源系统及设备的正常安全运行。</w:t>
      </w:r>
    </w:p>
    <w:p w14:paraId="72FC6D3C">
      <w:pPr>
        <w:widowControl/>
        <w:spacing w:line="360" w:lineRule="auto"/>
        <w:ind w:firstLine="480" w:firstLineChars="200"/>
        <w:jc w:val="left"/>
        <w:rPr>
          <w:sz w:val="24"/>
          <w:szCs w:val="24"/>
          <w:highlight w:val="none"/>
        </w:rPr>
      </w:pPr>
      <w:r>
        <w:rPr>
          <w:rFonts w:hint="eastAsia"/>
          <w:sz w:val="24"/>
          <w:szCs w:val="24"/>
          <w:highlight w:val="none"/>
        </w:rPr>
        <w:t>5.2.11 建立健全数据安全管理制度，明确数据全生命周期各环节的管理要求；利用互联网等信息网络处理数据的，应当落实甲方及其管理部门明确的网络安全等级保护、关键信息基础设施安全保护、密码保护和保密等制度要求。</w:t>
      </w:r>
    </w:p>
    <w:p w14:paraId="7855D723">
      <w:pPr>
        <w:widowControl/>
        <w:spacing w:line="360" w:lineRule="auto"/>
        <w:ind w:firstLine="480" w:firstLineChars="200"/>
        <w:jc w:val="left"/>
        <w:rPr>
          <w:sz w:val="24"/>
          <w:szCs w:val="24"/>
          <w:highlight w:val="none"/>
        </w:rPr>
      </w:pPr>
      <w:r>
        <w:rPr>
          <w:rFonts w:hint="eastAsia"/>
          <w:sz w:val="24"/>
          <w:szCs w:val="24"/>
          <w:highlight w:val="none"/>
        </w:rPr>
        <w:t>5.2.12 配合甲方开展节能宣传教育。</w:t>
      </w:r>
    </w:p>
    <w:p w14:paraId="2B1023D3">
      <w:pPr>
        <w:widowControl/>
        <w:spacing w:line="360" w:lineRule="auto"/>
        <w:ind w:firstLine="482" w:firstLineChars="200"/>
        <w:jc w:val="center"/>
        <w:rPr>
          <w:b/>
          <w:bCs/>
          <w:sz w:val="24"/>
          <w:szCs w:val="24"/>
          <w:highlight w:val="none"/>
        </w:rPr>
      </w:pPr>
      <w:bookmarkStart w:id="235" w:name="_Toc284283008"/>
      <w:r>
        <w:rPr>
          <w:rFonts w:hint="eastAsia"/>
          <w:b/>
          <w:bCs/>
          <w:sz w:val="24"/>
          <w:szCs w:val="24"/>
          <w:highlight w:val="none"/>
        </w:rPr>
        <w:t>第 6 节  合同的变更与解除</w:t>
      </w:r>
      <w:bookmarkEnd w:id="235"/>
    </w:p>
    <w:p w14:paraId="1E214F05">
      <w:pPr>
        <w:widowControl/>
        <w:spacing w:line="360" w:lineRule="auto"/>
        <w:ind w:firstLine="480" w:firstLineChars="200"/>
        <w:jc w:val="left"/>
        <w:rPr>
          <w:sz w:val="24"/>
          <w:szCs w:val="24"/>
          <w:highlight w:val="none"/>
        </w:rPr>
      </w:pPr>
      <w:r>
        <w:rPr>
          <w:rFonts w:hint="eastAsia"/>
          <w:sz w:val="24"/>
          <w:szCs w:val="24"/>
          <w:highlight w:val="none"/>
        </w:rPr>
        <w:t>6.1 本合同继续履行将损害国家利益和社会公共利益的，双方当事人应当变更或者终止合同。有过错的一方应当承担赔偿责任，双方都有过错的，各自承担相应的责任。</w:t>
      </w:r>
    </w:p>
    <w:p w14:paraId="5550CBE4">
      <w:pPr>
        <w:widowControl/>
        <w:spacing w:line="360" w:lineRule="auto"/>
        <w:ind w:firstLine="480" w:firstLineChars="200"/>
        <w:jc w:val="left"/>
        <w:rPr>
          <w:sz w:val="24"/>
          <w:szCs w:val="24"/>
          <w:highlight w:val="none"/>
        </w:rPr>
      </w:pPr>
      <w:r>
        <w:rPr>
          <w:rFonts w:hint="eastAsia"/>
          <w:sz w:val="24"/>
          <w:szCs w:val="24"/>
          <w:highlight w:val="none"/>
        </w:rPr>
        <w:t>6.2 在本合同期内，出现任何需要变更合同内容的客观情形，或一方提出变更合同的合理诉求，双方应重新协商，达成一致后签署补充协议对本合同内容进行变更。</w:t>
      </w:r>
    </w:p>
    <w:p w14:paraId="6BC21C3E">
      <w:pPr>
        <w:widowControl/>
        <w:spacing w:line="360" w:lineRule="auto"/>
        <w:ind w:firstLine="480" w:firstLineChars="200"/>
        <w:jc w:val="left"/>
        <w:rPr>
          <w:sz w:val="24"/>
          <w:szCs w:val="24"/>
          <w:highlight w:val="none"/>
        </w:rPr>
      </w:pPr>
      <w:r>
        <w:rPr>
          <w:rFonts w:hint="eastAsia"/>
          <w:sz w:val="24"/>
          <w:szCs w:val="24"/>
          <w:highlight w:val="none"/>
        </w:rPr>
        <w:t>6.3 双方经协商一致可以解除本合同。</w:t>
      </w:r>
    </w:p>
    <w:p w14:paraId="1828CDD2">
      <w:pPr>
        <w:widowControl/>
        <w:spacing w:line="360" w:lineRule="auto"/>
        <w:ind w:firstLine="480" w:firstLineChars="200"/>
        <w:jc w:val="left"/>
        <w:rPr>
          <w:sz w:val="24"/>
          <w:szCs w:val="24"/>
          <w:highlight w:val="none"/>
        </w:rPr>
      </w:pPr>
      <w:r>
        <w:rPr>
          <w:rFonts w:hint="eastAsia"/>
          <w:sz w:val="24"/>
          <w:szCs w:val="24"/>
          <w:highlight w:val="none"/>
        </w:rPr>
        <w:t>6.4 合同提前解除时，如乙方已完成或部分完成节能改造并通过验收，双方约定乙方新增设备的处理方式和补偿方式：</w:t>
      </w:r>
    </w:p>
    <w:p w14:paraId="54881F40">
      <w:pPr>
        <w:widowControl/>
        <w:spacing w:line="360" w:lineRule="auto"/>
        <w:ind w:firstLine="480" w:firstLineChars="200"/>
        <w:jc w:val="left"/>
        <w:rPr>
          <w:sz w:val="24"/>
          <w:szCs w:val="24"/>
          <w:highlight w:val="none"/>
        </w:rPr>
      </w:pPr>
      <w:r>
        <w:rPr>
          <w:rFonts w:hint="eastAsia"/>
          <w:sz w:val="24"/>
          <w:szCs w:val="24"/>
          <w:highlight w:val="none"/>
        </w:rPr>
        <w:t>（1 ）</w:t>
      </w:r>
      <w:r>
        <w:rPr>
          <w:rFonts w:hint="eastAsia"/>
          <w:sz w:val="24"/>
          <w:szCs w:val="24"/>
          <w:highlight w:val="none"/>
          <w:u w:val="single"/>
        </w:rPr>
        <w:t xml:space="preserve">                                             </w:t>
      </w:r>
      <w:r>
        <w:rPr>
          <w:rFonts w:hint="eastAsia"/>
          <w:sz w:val="24"/>
          <w:szCs w:val="24"/>
          <w:highlight w:val="none"/>
        </w:rPr>
        <w:t>。（2）</w:t>
      </w:r>
      <w:r>
        <w:rPr>
          <w:rFonts w:hint="eastAsia"/>
          <w:sz w:val="24"/>
          <w:szCs w:val="24"/>
          <w:highlight w:val="none"/>
          <w:u w:val="single"/>
        </w:rPr>
        <w:t xml:space="preserve">                                               </w:t>
      </w:r>
      <w:r>
        <w:rPr>
          <w:rFonts w:hint="eastAsia"/>
          <w:sz w:val="24"/>
          <w:szCs w:val="24"/>
          <w:highlight w:val="none"/>
        </w:rPr>
        <w:t>。</w:t>
      </w:r>
    </w:p>
    <w:p w14:paraId="0118E7F4">
      <w:pPr>
        <w:widowControl/>
        <w:spacing w:line="360" w:lineRule="auto"/>
        <w:ind w:firstLine="480" w:firstLineChars="200"/>
        <w:jc w:val="left"/>
        <w:rPr>
          <w:sz w:val="24"/>
          <w:szCs w:val="24"/>
          <w:highlight w:val="none"/>
        </w:rPr>
      </w:pPr>
      <w:r>
        <w:rPr>
          <w:rFonts w:hint="eastAsia"/>
          <w:sz w:val="24"/>
          <w:szCs w:val="24"/>
          <w:highlight w:val="none"/>
        </w:rPr>
        <w:t>……</w:t>
      </w:r>
    </w:p>
    <w:p w14:paraId="4ABD41EA">
      <w:pPr>
        <w:widowControl/>
        <w:spacing w:line="360" w:lineRule="auto"/>
        <w:ind w:firstLine="482" w:firstLineChars="200"/>
        <w:jc w:val="center"/>
        <w:rPr>
          <w:b/>
          <w:bCs/>
          <w:sz w:val="24"/>
          <w:szCs w:val="24"/>
          <w:highlight w:val="none"/>
        </w:rPr>
      </w:pPr>
      <w:bookmarkStart w:id="236" w:name="_Toc1940884528"/>
      <w:r>
        <w:rPr>
          <w:rFonts w:hint="eastAsia"/>
          <w:b/>
          <w:bCs/>
          <w:sz w:val="24"/>
          <w:szCs w:val="24"/>
          <w:highlight w:val="none"/>
        </w:rPr>
        <w:t>第 7 节  违约责任</w:t>
      </w:r>
      <w:bookmarkEnd w:id="236"/>
    </w:p>
    <w:p w14:paraId="1C741135">
      <w:pPr>
        <w:widowControl/>
        <w:spacing w:line="360" w:lineRule="auto"/>
        <w:ind w:firstLine="480" w:firstLineChars="200"/>
        <w:jc w:val="left"/>
        <w:rPr>
          <w:sz w:val="24"/>
          <w:szCs w:val="24"/>
          <w:highlight w:val="none"/>
        </w:rPr>
      </w:pPr>
      <w:r>
        <w:rPr>
          <w:rFonts w:hint="eastAsia"/>
          <w:sz w:val="24"/>
          <w:szCs w:val="24"/>
          <w:highlight w:val="none"/>
        </w:rPr>
        <w:t xml:space="preserve">7.1 甲方未按照合同约定向乙方支付款项的，应以欠付款项为基数，自迟延支付之日起至全额支付欠付款项止，按照每 日万分之 </w:t>
      </w:r>
      <w:r>
        <w:rPr>
          <w:rFonts w:hint="eastAsia"/>
          <w:sz w:val="24"/>
          <w:szCs w:val="24"/>
          <w:highlight w:val="none"/>
          <w:u w:val="single"/>
        </w:rPr>
        <w:t xml:space="preserve">     </w:t>
      </w:r>
      <w:r>
        <w:rPr>
          <w:rFonts w:hint="eastAsia"/>
          <w:sz w:val="24"/>
          <w:szCs w:val="24"/>
          <w:highlight w:val="none"/>
        </w:rPr>
        <w:t xml:space="preserve"> 的比例向乙方支付违约金。</w:t>
      </w:r>
    </w:p>
    <w:p w14:paraId="1353121C">
      <w:pPr>
        <w:widowControl/>
        <w:spacing w:line="360" w:lineRule="auto"/>
        <w:ind w:firstLine="480" w:firstLineChars="200"/>
        <w:jc w:val="left"/>
        <w:rPr>
          <w:sz w:val="24"/>
          <w:szCs w:val="24"/>
          <w:highlight w:val="none"/>
        </w:rPr>
      </w:pPr>
      <w:r>
        <w:rPr>
          <w:rFonts w:hint="eastAsia"/>
          <w:sz w:val="24"/>
          <w:szCs w:val="24"/>
          <w:highlight w:val="none"/>
        </w:rPr>
        <w:t xml:space="preserve">7.2 除不可抗力、乙方原因外， 甲方违反本合同除7.1约定情形以外的其他义务，尚未构成根本违约的，乙方可向甲方发出提示函，甲方应在 </w:t>
      </w:r>
      <w:r>
        <w:rPr>
          <w:rFonts w:hint="eastAsia"/>
          <w:sz w:val="24"/>
          <w:szCs w:val="24"/>
          <w:highlight w:val="none"/>
          <w:u w:val="single"/>
        </w:rPr>
        <w:t xml:space="preserve">     </w:t>
      </w:r>
      <w:r>
        <w:rPr>
          <w:rFonts w:hint="eastAsia"/>
          <w:sz w:val="24"/>
          <w:szCs w:val="24"/>
          <w:highlight w:val="none"/>
        </w:rPr>
        <w:t xml:space="preserve"> 个工作 日 内予以纠正或补救。如甲方逾期未纠正或补救，给乙方造成损失的， 甲方应向乙方赔偿损失，并继续履行合同义务。</w:t>
      </w:r>
    </w:p>
    <w:p w14:paraId="6F70E59D">
      <w:pPr>
        <w:widowControl/>
        <w:spacing w:line="360" w:lineRule="auto"/>
        <w:ind w:firstLine="480" w:firstLineChars="200"/>
        <w:jc w:val="left"/>
        <w:rPr>
          <w:sz w:val="24"/>
          <w:szCs w:val="24"/>
          <w:highlight w:val="none"/>
        </w:rPr>
      </w:pPr>
      <w:r>
        <w:rPr>
          <w:rFonts w:hint="eastAsia"/>
          <w:sz w:val="24"/>
          <w:szCs w:val="24"/>
          <w:highlight w:val="none"/>
        </w:rPr>
        <w:t>7.3 出现以下违约情形的，乙方有权单方解除合同，并要求甲方赔偿实际损失：</w:t>
      </w:r>
    </w:p>
    <w:p w14:paraId="1E925268">
      <w:pPr>
        <w:widowControl/>
        <w:spacing w:line="360" w:lineRule="auto"/>
        <w:ind w:firstLine="480" w:firstLineChars="200"/>
        <w:jc w:val="left"/>
        <w:rPr>
          <w:sz w:val="24"/>
          <w:szCs w:val="24"/>
          <w:highlight w:val="none"/>
        </w:rPr>
      </w:pPr>
      <w:r>
        <w:rPr>
          <w:rFonts w:hint="eastAsia"/>
          <w:sz w:val="24"/>
          <w:szCs w:val="24"/>
          <w:highlight w:val="none"/>
        </w:rPr>
        <w:t>（1）</w:t>
      </w:r>
      <w:r>
        <w:rPr>
          <w:rFonts w:hint="eastAsia"/>
          <w:sz w:val="24"/>
          <w:szCs w:val="24"/>
          <w:highlight w:val="none"/>
          <w:u w:val="single"/>
        </w:rPr>
        <w:t xml:space="preserve">                              </w:t>
      </w:r>
      <w:r>
        <w:rPr>
          <w:rFonts w:hint="eastAsia"/>
          <w:sz w:val="24"/>
          <w:szCs w:val="24"/>
          <w:highlight w:val="none"/>
        </w:rPr>
        <w:t>。 （ 2 ）</w:t>
      </w:r>
      <w:r>
        <w:rPr>
          <w:rFonts w:hint="eastAsia"/>
          <w:sz w:val="24"/>
          <w:szCs w:val="24"/>
          <w:highlight w:val="none"/>
          <w:u w:val="single"/>
        </w:rPr>
        <w:t xml:space="preserve">                                             </w:t>
      </w:r>
      <w:r>
        <w:rPr>
          <w:rFonts w:hint="eastAsia"/>
          <w:sz w:val="24"/>
          <w:szCs w:val="24"/>
          <w:highlight w:val="none"/>
        </w:rPr>
        <w:t>。</w:t>
      </w:r>
    </w:p>
    <w:p w14:paraId="4B4126E6">
      <w:pPr>
        <w:widowControl/>
        <w:spacing w:line="360" w:lineRule="auto"/>
        <w:ind w:firstLine="480" w:firstLineChars="200"/>
        <w:jc w:val="left"/>
        <w:rPr>
          <w:sz w:val="24"/>
          <w:szCs w:val="24"/>
          <w:highlight w:val="none"/>
        </w:rPr>
      </w:pPr>
      <w:r>
        <w:rPr>
          <w:rFonts w:hint="eastAsia"/>
          <w:sz w:val="24"/>
          <w:szCs w:val="24"/>
          <w:highlight w:val="none"/>
        </w:rPr>
        <w:t>……</w:t>
      </w:r>
    </w:p>
    <w:p w14:paraId="44283DDC">
      <w:pPr>
        <w:widowControl/>
        <w:spacing w:line="360" w:lineRule="auto"/>
        <w:ind w:firstLine="480" w:firstLineChars="200"/>
        <w:jc w:val="left"/>
        <w:rPr>
          <w:sz w:val="24"/>
          <w:szCs w:val="24"/>
          <w:highlight w:val="none"/>
        </w:rPr>
      </w:pPr>
      <w:r>
        <w:rPr>
          <w:rFonts w:hint="eastAsia"/>
          <w:sz w:val="24"/>
          <w:szCs w:val="24"/>
          <w:highlight w:val="none"/>
        </w:rPr>
        <w:t>7.4 除不可抗力、甲方原因外，乙方未能按照本合同约定的时间和要求达到2.3约定的核心履约目标时，乙方应按照的标准，向甲方支付违约金。</w:t>
      </w:r>
    </w:p>
    <w:p w14:paraId="63E2EDFF">
      <w:pPr>
        <w:widowControl/>
        <w:spacing w:line="360" w:lineRule="auto"/>
        <w:ind w:firstLine="480" w:firstLineChars="200"/>
        <w:jc w:val="left"/>
        <w:rPr>
          <w:sz w:val="24"/>
          <w:szCs w:val="24"/>
          <w:highlight w:val="none"/>
        </w:rPr>
      </w:pPr>
      <w:r>
        <w:rPr>
          <w:rFonts w:hint="eastAsia"/>
          <w:sz w:val="24"/>
          <w:szCs w:val="24"/>
          <w:highlight w:val="none"/>
        </w:rPr>
        <w:t xml:space="preserve">7.5 除不可抗力、甲方原因外，乙方违反除7.4约定情形以外的其他义务，尚未构成根本违约的，甲方有权书面通知乙方整改，要求乙方在 </w:t>
      </w:r>
      <w:r>
        <w:rPr>
          <w:rFonts w:hint="eastAsia"/>
          <w:sz w:val="24"/>
          <w:szCs w:val="24"/>
          <w:highlight w:val="none"/>
          <w:u w:val="single"/>
        </w:rPr>
        <w:t xml:space="preserve">       </w:t>
      </w:r>
      <w:r>
        <w:rPr>
          <w:rFonts w:hint="eastAsia"/>
          <w:sz w:val="24"/>
          <w:szCs w:val="24"/>
          <w:highlight w:val="none"/>
        </w:rPr>
        <w:t xml:space="preserve"> 个工作日 内完成整改。如乙方逾期未整改或整改不达标，给甲方造成损失的，乙方应向甲方赔偿实际损失，并继续履行合同义务。</w:t>
      </w:r>
    </w:p>
    <w:p w14:paraId="18499FA3">
      <w:pPr>
        <w:widowControl/>
        <w:spacing w:line="360" w:lineRule="auto"/>
        <w:ind w:firstLine="480" w:firstLineChars="200"/>
        <w:jc w:val="left"/>
        <w:rPr>
          <w:sz w:val="24"/>
          <w:szCs w:val="24"/>
          <w:highlight w:val="none"/>
        </w:rPr>
      </w:pPr>
      <w:r>
        <w:rPr>
          <w:rFonts w:hint="eastAsia"/>
          <w:sz w:val="24"/>
          <w:szCs w:val="24"/>
          <w:highlight w:val="none"/>
        </w:rPr>
        <w:t>7.6 出现以下违约情形的， 甲方有权单方解除合同，并要求乙方赔偿实际损失：</w:t>
      </w:r>
    </w:p>
    <w:p w14:paraId="08E426CA">
      <w:pPr>
        <w:widowControl/>
        <w:spacing w:line="360" w:lineRule="auto"/>
        <w:ind w:firstLine="480" w:firstLineChars="200"/>
        <w:jc w:val="left"/>
        <w:rPr>
          <w:sz w:val="24"/>
          <w:szCs w:val="24"/>
          <w:highlight w:val="none"/>
        </w:rPr>
      </w:pPr>
      <w:r>
        <w:rPr>
          <w:rFonts w:hint="eastAsia"/>
          <w:sz w:val="24"/>
          <w:szCs w:val="24"/>
          <w:highlight w:val="none"/>
          <w:u w:val="single"/>
        </w:rPr>
        <w:t xml:space="preserve"> （1）                       </w:t>
      </w:r>
      <w:r>
        <w:rPr>
          <w:rFonts w:hint="eastAsia"/>
          <w:sz w:val="24"/>
          <w:szCs w:val="24"/>
          <w:highlight w:val="none"/>
        </w:rPr>
        <w:t>。 （2）</w:t>
      </w:r>
      <w:r>
        <w:rPr>
          <w:rFonts w:hint="eastAsia"/>
          <w:sz w:val="24"/>
          <w:szCs w:val="24"/>
          <w:highlight w:val="none"/>
          <w:u w:val="single"/>
        </w:rPr>
        <w:t xml:space="preserve"> 乙方                                             </w:t>
      </w:r>
      <w:r>
        <w:rPr>
          <w:rFonts w:hint="eastAsia"/>
          <w:sz w:val="24"/>
          <w:szCs w:val="24"/>
          <w:highlight w:val="none"/>
        </w:rPr>
        <w:t>。</w:t>
      </w:r>
    </w:p>
    <w:p w14:paraId="1A9C1D29">
      <w:pPr>
        <w:widowControl/>
        <w:spacing w:line="360" w:lineRule="auto"/>
        <w:ind w:firstLine="480" w:firstLineChars="200"/>
        <w:jc w:val="left"/>
        <w:rPr>
          <w:sz w:val="24"/>
          <w:szCs w:val="24"/>
          <w:highlight w:val="none"/>
        </w:rPr>
      </w:pPr>
      <w:r>
        <w:rPr>
          <w:rFonts w:hint="eastAsia"/>
          <w:sz w:val="24"/>
          <w:szCs w:val="24"/>
          <w:highlight w:val="none"/>
        </w:rPr>
        <w:t>……</w:t>
      </w:r>
    </w:p>
    <w:p w14:paraId="74D85C97">
      <w:pPr>
        <w:widowControl/>
        <w:spacing w:line="360" w:lineRule="auto"/>
        <w:ind w:firstLine="480" w:firstLineChars="200"/>
        <w:jc w:val="left"/>
        <w:rPr>
          <w:sz w:val="24"/>
          <w:szCs w:val="24"/>
          <w:highlight w:val="none"/>
        </w:rPr>
      </w:pPr>
      <w:r>
        <w:rPr>
          <w:rFonts w:hint="eastAsia"/>
          <w:sz w:val="24"/>
          <w:szCs w:val="24"/>
          <w:highlight w:val="none"/>
        </w:rPr>
        <w:t>7.7 一方违约后，另一方应采取适当措施防止损失扩大，否则不得就扩大的损失请求赔偿。</w:t>
      </w:r>
    </w:p>
    <w:p w14:paraId="769FF605">
      <w:pPr>
        <w:widowControl/>
        <w:spacing w:line="360" w:lineRule="auto"/>
        <w:ind w:firstLine="482" w:firstLineChars="200"/>
        <w:jc w:val="center"/>
        <w:rPr>
          <w:b/>
          <w:bCs/>
          <w:sz w:val="24"/>
          <w:szCs w:val="24"/>
          <w:highlight w:val="none"/>
        </w:rPr>
      </w:pPr>
      <w:bookmarkStart w:id="237" w:name="_Toc169664166"/>
      <w:r>
        <w:rPr>
          <w:rFonts w:hint="eastAsia"/>
          <w:b/>
          <w:bCs/>
          <w:sz w:val="24"/>
          <w:szCs w:val="24"/>
          <w:highlight w:val="none"/>
        </w:rPr>
        <w:t>第 8 节  合同的生效及其他</w:t>
      </w:r>
      <w:bookmarkEnd w:id="237"/>
    </w:p>
    <w:p w14:paraId="01252624">
      <w:pPr>
        <w:widowControl/>
        <w:spacing w:line="360" w:lineRule="auto"/>
        <w:ind w:firstLine="480" w:firstLineChars="200"/>
        <w:jc w:val="left"/>
        <w:rPr>
          <w:sz w:val="24"/>
          <w:szCs w:val="24"/>
          <w:highlight w:val="none"/>
        </w:rPr>
      </w:pPr>
      <w:r>
        <w:rPr>
          <w:rFonts w:hint="eastAsia"/>
          <w:sz w:val="24"/>
          <w:szCs w:val="24"/>
          <w:highlight w:val="none"/>
        </w:rPr>
        <w:t>8.1 甲乙双方在订立、履行本合同过程中所知悉的对方财务信息、技术信息、经营信息、运营活动、公司计划等信息均为商业秘密，无论本合同是否有效、履行或解除，未经资料和文件提供方的书面同意，另一方不得向任何第三方泄露该商业秘密的全部或部分内容，也不得自行或许可任何第三方使用。但甲方因法律法规规定，负有公开、报备、披露等职责，或双方依据纪检监察、巡视巡察、审计、财政、国有资产、档案等有权机关履职要求，需配合调阅、报送、移交、公示相关资料的，不视为违反保密约定。一方依法履行上述职责前，应当在法律法规允许的范围内尽量提前告知另一方。</w:t>
      </w:r>
    </w:p>
    <w:p w14:paraId="05C13545">
      <w:pPr>
        <w:widowControl/>
        <w:spacing w:line="360" w:lineRule="auto"/>
        <w:ind w:firstLine="480" w:firstLineChars="200"/>
        <w:jc w:val="left"/>
        <w:rPr>
          <w:sz w:val="24"/>
          <w:szCs w:val="24"/>
          <w:highlight w:val="none"/>
        </w:rPr>
      </w:pPr>
      <w:r>
        <w:rPr>
          <w:rFonts w:hint="eastAsia"/>
          <w:sz w:val="24"/>
          <w:szCs w:val="24"/>
          <w:highlight w:val="none"/>
        </w:rPr>
        <w:t>8.2 甲乙双方在本合同订立、履行、变更、解除及终止全过程中，如因业务往来接触、知悉或掌握属于国家秘密范畴的信息、资料、文件、数据等内容，双方均应严格遵守《中华人民共和国保守国家秘密法》及相关法律法规、规章的强制性规定，全面履行法定保密义务。任何一方不得非法获取、记录、复制、存储、传递、泄露国家秘密，不得擅自向境内外任何机构、组织或个人提供国家秘密相关信息，亦不得利用所掌握的国家秘密谋取不正当利益。</w:t>
      </w:r>
    </w:p>
    <w:p w14:paraId="4F5284ED">
      <w:pPr>
        <w:widowControl/>
        <w:spacing w:line="360" w:lineRule="auto"/>
        <w:ind w:firstLine="480" w:firstLineChars="200"/>
        <w:jc w:val="left"/>
        <w:rPr>
          <w:sz w:val="24"/>
          <w:szCs w:val="24"/>
          <w:highlight w:val="none"/>
        </w:rPr>
      </w:pPr>
      <w:r>
        <w:rPr>
          <w:rFonts w:hint="eastAsia"/>
          <w:sz w:val="24"/>
          <w:szCs w:val="24"/>
          <w:highlight w:val="none"/>
        </w:rPr>
        <w:t xml:space="preserve">8.3 除本合同约定外，合同双方不得基于任何原因和 目的向合同另一方及其经办人员或相关人员索要、收受、提供、给予合同约定外的任何利益，包括但不限于中介费、财务顾问费、咨询服务费、资金安排费、明扣、暗扣、现金、购物卡、实物、有价证券、旅游或其他非物质性利益等。甲方合作的第三方不得以甲方名义或以与甲方合作、为甲方提供服务等理由向乙方或其他第三方收受其他费用。如乙方发现存在上述行为，可向 </w:t>
      </w:r>
      <w:r>
        <w:rPr>
          <w:rFonts w:hint="eastAsia"/>
          <w:sz w:val="24"/>
          <w:szCs w:val="24"/>
          <w:highlight w:val="none"/>
          <w:u w:val="single"/>
        </w:rPr>
        <w:t xml:space="preserve">         </w:t>
      </w:r>
      <w:r>
        <w:rPr>
          <w:rFonts w:hint="eastAsia"/>
          <w:sz w:val="24"/>
          <w:szCs w:val="24"/>
          <w:highlight w:val="none"/>
        </w:rPr>
        <w:t xml:space="preserve"> 部门举报（举报方式为：</w:t>
      </w:r>
      <w:r>
        <w:rPr>
          <w:rFonts w:hint="eastAsia"/>
          <w:sz w:val="24"/>
          <w:szCs w:val="24"/>
          <w:highlight w:val="none"/>
          <w:u w:val="single"/>
        </w:rPr>
        <w:t xml:space="preserve">                      </w:t>
      </w:r>
      <w:r>
        <w:rPr>
          <w:rFonts w:hint="eastAsia"/>
          <w:sz w:val="24"/>
          <w:szCs w:val="24"/>
          <w:highlight w:val="none"/>
        </w:rPr>
        <w:t xml:space="preserve"> ），甲方有义务对举报人信息严格保密。</w:t>
      </w:r>
    </w:p>
    <w:p w14:paraId="033641A7">
      <w:pPr>
        <w:widowControl/>
        <w:spacing w:line="360" w:lineRule="auto"/>
        <w:ind w:firstLine="480" w:firstLineChars="200"/>
        <w:jc w:val="left"/>
        <w:rPr>
          <w:sz w:val="24"/>
          <w:szCs w:val="24"/>
          <w:highlight w:val="none"/>
        </w:rPr>
      </w:pPr>
      <w:r>
        <w:rPr>
          <w:rFonts w:hint="eastAsia"/>
          <w:sz w:val="24"/>
          <w:szCs w:val="24"/>
          <w:highlight w:val="none"/>
        </w:rPr>
        <w:t>8.4 乙方应保证所供设备、技术及工作成果不侵犯任何第三方知识产权；若发生第三方侵权索赔，乙方应承担全部责任。</w:t>
      </w:r>
    </w:p>
    <w:p w14:paraId="144685AD">
      <w:pPr>
        <w:widowControl/>
        <w:spacing w:line="360" w:lineRule="auto"/>
        <w:ind w:firstLine="480" w:firstLineChars="200"/>
        <w:jc w:val="left"/>
        <w:rPr>
          <w:sz w:val="24"/>
          <w:szCs w:val="24"/>
          <w:highlight w:val="none"/>
        </w:rPr>
      </w:pPr>
      <w:r>
        <w:rPr>
          <w:rFonts w:hint="eastAsia"/>
          <w:sz w:val="24"/>
          <w:szCs w:val="24"/>
          <w:highlight w:val="none"/>
        </w:rPr>
        <w:t>8.5 本框架协议项下的不可抗力是指不能预见、不能避免并不能克服的客观情况。但不包括一方资金短缺的事实，不包括项目所在地气温变化或能源结算价格调整的事实。</w:t>
      </w:r>
    </w:p>
    <w:p w14:paraId="564E9E93">
      <w:pPr>
        <w:widowControl/>
        <w:spacing w:line="360" w:lineRule="auto"/>
        <w:ind w:firstLine="480" w:firstLineChars="200"/>
        <w:jc w:val="left"/>
        <w:rPr>
          <w:sz w:val="24"/>
          <w:szCs w:val="24"/>
          <w:highlight w:val="none"/>
        </w:rPr>
      </w:pPr>
      <w:r>
        <w:rPr>
          <w:rFonts w:hint="eastAsia"/>
          <w:sz w:val="24"/>
          <w:szCs w:val="24"/>
          <w:highlight w:val="none"/>
        </w:rPr>
        <w:t>受不可抗力影响的一方应当及时向对方通报不能履行或不能完全履行的理由，以减轻给对方造成的损失，在提供不可抗力证明材料后，允许延期履行、部分履行或者不履行合同，并根据情况可部分或全部免予承担违约责任。</w:t>
      </w:r>
    </w:p>
    <w:p w14:paraId="20D397DD">
      <w:pPr>
        <w:widowControl/>
        <w:spacing w:line="360" w:lineRule="auto"/>
        <w:ind w:firstLine="480" w:firstLineChars="200"/>
        <w:jc w:val="left"/>
        <w:rPr>
          <w:sz w:val="24"/>
          <w:szCs w:val="24"/>
          <w:highlight w:val="none"/>
        </w:rPr>
      </w:pPr>
      <w:r>
        <w:rPr>
          <w:rFonts w:hint="eastAsia"/>
          <w:sz w:val="24"/>
          <w:szCs w:val="24"/>
          <w:highlight w:val="none"/>
        </w:rPr>
        <w:t xml:space="preserve">任何一方由于不可抗力的原因不能履行合同的，应当及时通知对方，并在 </w:t>
      </w:r>
      <w:r>
        <w:rPr>
          <w:rFonts w:hint="eastAsia"/>
          <w:sz w:val="24"/>
          <w:szCs w:val="24"/>
          <w:highlight w:val="none"/>
          <w:u w:val="single"/>
        </w:rPr>
        <w:t xml:space="preserve">      </w:t>
      </w:r>
      <w:r>
        <w:rPr>
          <w:rFonts w:hint="eastAsia"/>
          <w:sz w:val="24"/>
          <w:szCs w:val="24"/>
          <w:highlight w:val="none"/>
        </w:rPr>
        <w:t xml:space="preserve"> 日 内向对方提供发生不可抗力的证明材料。</w:t>
      </w:r>
    </w:p>
    <w:p w14:paraId="1D3344A5">
      <w:pPr>
        <w:widowControl/>
        <w:spacing w:line="360" w:lineRule="auto"/>
        <w:ind w:firstLine="480" w:firstLineChars="200"/>
        <w:jc w:val="left"/>
        <w:rPr>
          <w:sz w:val="24"/>
          <w:szCs w:val="24"/>
          <w:highlight w:val="none"/>
        </w:rPr>
      </w:pPr>
      <w:r>
        <w:rPr>
          <w:rFonts w:hint="eastAsia"/>
          <w:sz w:val="24"/>
          <w:szCs w:val="24"/>
          <w:highlight w:val="none"/>
        </w:rPr>
        <w:t>8.6 合同履行期间，如因国家、地方出台新法律、法规、强制性政策、行业监督新规，或行政主管部门政策重大调整，包括但不限于征收、征用、行政命令变更等，导致本合同全部或部分无法继续履行的，双方应本着公平原则重新协商。</w:t>
      </w:r>
    </w:p>
    <w:p w14:paraId="2FF42F4B">
      <w:pPr>
        <w:widowControl/>
        <w:spacing w:line="360" w:lineRule="auto"/>
        <w:ind w:firstLine="480" w:firstLineChars="200"/>
        <w:jc w:val="left"/>
        <w:rPr>
          <w:sz w:val="24"/>
          <w:szCs w:val="24"/>
          <w:highlight w:val="none"/>
        </w:rPr>
      </w:pPr>
      <w:r>
        <w:rPr>
          <w:rFonts w:hint="eastAsia"/>
          <w:sz w:val="24"/>
          <w:szCs w:val="24"/>
          <w:highlight w:val="none"/>
        </w:rPr>
        <w:t>8.7 因本合同的履行、解释、违约、终止、效力等引起的任何争议，双方应友好协商解决。协商不成时采取以下方式解决：</w:t>
      </w:r>
    </w:p>
    <w:p w14:paraId="67536851">
      <w:pPr>
        <w:widowControl/>
        <w:spacing w:line="360" w:lineRule="auto"/>
        <w:ind w:firstLine="480" w:firstLineChars="200"/>
        <w:jc w:val="left"/>
        <w:rPr>
          <w:sz w:val="24"/>
          <w:szCs w:val="24"/>
          <w:highlight w:val="none"/>
        </w:rPr>
      </w:pPr>
      <w:r>
        <w:rPr>
          <w:rFonts w:hint="eastAsia"/>
          <w:sz w:val="24"/>
          <w:szCs w:val="24"/>
          <w:highlight w:val="none"/>
        </w:rPr>
        <w:t xml:space="preserve">□依法向 </w:t>
      </w:r>
      <w:r>
        <w:rPr>
          <w:rFonts w:hint="eastAsia"/>
          <w:sz w:val="24"/>
          <w:szCs w:val="24"/>
          <w:highlight w:val="none"/>
          <w:u w:val="single"/>
        </w:rPr>
        <w:t xml:space="preserve">          </w:t>
      </w:r>
      <w:r>
        <w:rPr>
          <w:rFonts w:hint="eastAsia"/>
          <w:sz w:val="24"/>
          <w:szCs w:val="24"/>
          <w:highlight w:val="none"/>
        </w:rPr>
        <w:t xml:space="preserve"> 人民法院提起诉讼 /  □向 </w:t>
      </w:r>
      <w:r>
        <w:rPr>
          <w:rFonts w:hint="eastAsia"/>
          <w:sz w:val="24"/>
          <w:szCs w:val="24"/>
          <w:highlight w:val="none"/>
          <w:u w:val="single"/>
        </w:rPr>
        <w:t xml:space="preserve">         </w:t>
      </w:r>
      <w:r>
        <w:rPr>
          <w:rFonts w:hint="eastAsia"/>
          <w:sz w:val="24"/>
          <w:szCs w:val="24"/>
          <w:highlight w:val="none"/>
        </w:rPr>
        <w:t xml:space="preserve"> 仲裁委员会申请仲裁。</w:t>
      </w:r>
    </w:p>
    <w:p w14:paraId="2AEEA647">
      <w:pPr>
        <w:widowControl/>
        <w:spacing w:line="360" w:lineRule="auto"/>
        <w:ind w:firstLine="480" w:firstLineChars="200"/>
        <w:jc w:val="left"/>
        <w:rPr>
          <w:sz w:val="24"/>
          <w:szCs w:val="24"/>
          <w:highlight w:val="none"/>
        </w:rPr>
      </w:pPr>
      <w:r>
        <w:rPr>
          <w:rFonts w:hint="eastAsia"/>
          <w:sz w:val="24"/>
          <w:szCs w:val="24"/>
          <w:highlight w:val="none"/>
        </w:rPr>
        <w:t>8.8  送达。</w:t>
      </w:r>
    </w:p>
    <w:p w14:paraId="542AB943">
      <w:pPr>
        <w:widowControl/>
        <w:spacing w:line="360" w:lineRule="auto"/>
        <w:ind w:firstLine="480" w:firstLineChars="200"/>
        <w:jc w:val="left"/>
        <w:rPr>
          <w:sz w:val="24"/>
          <w:szCs w:val="24"/>
          <w:highlight w:val="none"/>
        </w:rPr>
      </w:pPr>
      <w:r>
        <w:rPr>
          <w:rFonts w:hint="eastAsia"/>
          <w:sz w:val="24"/>
          <w:szCs w:val="24"/>
          <w:highlight w:val="none"/>
        </w:rPr>
        <w:t>8.8.1 双方在本合同中填写的通讯地址（含传真地址）均为有效送达地址。凡涉及本合同权利义务的所有通知、协议、函件、凭证、法律文书等，均应以书面形式作出，并仅可通过专人递交、邮寄、传真方式进行送达，其他形式不具备同等法律效力。</w:t>
      </w:r>
    </w:p>
    <w:p w14:paraId="7C2732DF">
      <w:pPr>
        <w:widowControl/>
        <w:spacing w:line="360" w:lineRule="auto"/>
        <w:ind w:firstLine="480" w:firstLineChars="200"/>
        <w:jc w:val="left"/>
        <w:rPr>
          <w:sz w:val="24"/>
          <w:szCs w:val="24"/>
          <w:highlight w:val="none"/>
        </w:rPr>
      </w:pPr>
      <w:r>
        <w:rPr>
          <w:rFonts w:hint="eastAsia"/>
          <w:sz w:val="24"/>
          <w:szCs w:val="24"/>
          <w:highlight w:val="none"/>
        </w:rPr>
        <w:t xml:space="preserve">8.8.2 当合同一方的送达地址发生变更后 ，应在变更发生之日起 </w:t>
      </w:r>
      <w:r>
        <w:rPr>
          <w:rFonts w:hint="eastAsia"/>
          <w:sz w:val="24"/>
          <w:szCs w:val="24"/>
          <w:highlight w:val="none"/>
          <w:u w:val="single"/>
        </w:rPr>
        <w:t xml:space="preserve">     </w:t>
      </w:r>
      <w:r>
        <w:rPr>
          <w:rFonts w:hint="eastAsia"/>
          <w:sz w:val="24"/>
          <w:szCs w:val="24"/>
          <w:highlight w:val="none"/>
        </w:rPr>
        <w:t xml:space="preserve"> 个工作 日 内书面通知合同其他方。因提供的送达地址不准确、送达地址变更未书面告知合同其他方，导致相关文书未能被受送达人实际接收的，直接送达的，相关文书留在该地址之日为送达之 日；邮寄送达的，文书被退回之日为送达之 日。</w:t>
      </w:r>
    </w:p>
    <w:p w14:paraId="7DB06466">
      <w:pPr>
        <w:widowControl/>
        <w:spacing w:line="360" w:lineRule="auto"/>
        <w:ind w:firstLine="480" w:firstLineChars="200"/>
        <w:jc w:val="left"/>
        <w:rPr>
          <w:sz w:val="24"/>
          <w:szCs w:val="24"/>
          <w:highlight w:val="none"/>
        </w:rPr>
      </w:pPr>
      <w:r>
        <w:rPr>
          <w:rFonts w:hint="eastAsia"/>
          <w:sz w:val="24"/>
          <w:szCs w:val="24"/>
          <w:highlight w:val="none"/>
        </w:rPr>
        <w:t>8.8.3 前述送达适用范围包括合同履行、合同终止等非诉阶段和诉讼程序。</w:t>
      </w:r>
    </w:p>
    <w:p w14:paraId="455FB11C">
      <w:pPr>
        <w:widowControl/>
        <w:spacing w:line="360" w:lineRule="auto"/>
        <w:ind w:firstLine="480" w:firstLineChars="200"/>
        <w:jc w:val="left"/>
        <w:rPr>
          <w:sz w:val="24"/>
          <w:szCs w:val="24"/>
          <w:highlight w:val="none"/>
        </w:rPr>
      </w:pPr>
      <w:r>
        <w:rPr>
          <w:rFonts w:hint="eastAsia"/>
          <w:sz w:val="24"/>
          <w:szCs w:val="24"/>
          <w:highlight w:val="none"/>
        </w:rPr>
        <w:t>8.9 保险。</w:t>
      </w:r>
    </w:p>
    <w:p w14:paraId="29E87733">
      <w:pPr>
        <w:widowControl/>
        <w:spacing w:line="360" w:lineRule="auto"/>
        <w:ind w:firstLine="480" w:firstLineChars="200"/>
        <w:jc w:val="left"/>
        <w:rPr>
          <w:sz w:val="24"/>
          <w:szCs w:val="24"/>
          <w:highlight w:val="none"/>
        </w:rPr>
      </w:pPr>
      <w:r>
        <w:rPr>
          <w:rFonts w:hint="eastAsia"/>
          <w:sz w:val="24"/>
          <w:szCs w:val="24"/>
          <w:highlight w:val="none"/>
        </w:rPr>
        <w:t>8.9.1 甲 乙双方约定 □不针对本项目额外购买保险 /□按以下方式购买保险:</w:t>
      </w:r>
      <w:r>
        <w:rPr>
          <w:rFonts w:hint="eastAsia"/>
          <w:sz w:val="24"/>
          <w:szCs w:val="24"/>
          <w:highlight w:val="none"/>
          <w:u w:val="single"/>
        </w:rPr>
        <w:t xml:space="preserve">                           </w:t>
      </w:r>
      <w:r>
        <w:rPr>
          <w:rFonts w:hint="eastAsia"/>
          <w:sz w:val="24"/>
          <w:szCs w:val="24"/>
          <w:highlight w:val="none"/>
        </w:rPr>
        <w:t>。</w:t>
      </w:r>
    </w:p>
    <w:p w14:paraId="3F4245AC">
      <w:pPr>
        <w:widowControl/>
        <w:spacing w:line="360" w:lineRule="auto"/>
        <w:ind w:firstLine="480" w:firstLineChars="200"/>
        <w:jc w:val="left"/>
        <w:rPr>
          <w:sz w:val="24"/>
          <w:szCs w:val="24"/>
          <w:highlight w:val="none"/>
        </w:rPr>
      </w:pPr>
      <w:r>
        <w:rPr>
          <w:rFonts w:hint="eastAsia"/>
          <w:sz w:val="24"/>
          <w:szCs w:val="24"/>
          <w:highlight w:val="none"/>
        </w:rPr>
        <w:t>8.9.2 甲乙双方应协商避免重复投保 ，并及时告知对方已有的或准备进行的相关项 目、财产和人员的投保情况。</w:t>
      </w:r>
    </w:p>
    <w:p w14:paraId="6662AC09">
      <w:pPr>
        <w:widowControl/>
        <w:spacing w:line="360" w:lineRule="auto"/>
        <w:ind w:firstLine="480" w:firstLineChars="200"/>
        <w:jc w:val="left"/>
        <w:rPr>
          <w:sz w:val="24"/>
          <w:szCs w:val="24"/>
          <w:highlight w:val="none"/>
        </w:rPr>
      </w:pPr>
      <w:r>
        <w:rPr>
          <w:rFonts w:hint="eastAsia"/>
          <w:sz w:val="24"/>
          <w:szCs w:val="24"/>
          <w:highlight w:val="none"/>
        </w:rPr>
        <w:t>8.10 本合同附件，以及以下文件材料为本合同不可分割的组成部分，与本合同正文具有同等法律效力：</w:t>
      </w:r>
    </w:p>
    <w:p w14:paraId="55C174FA">
      <w:pPr>
        <w:widowControl/>
        <w:spacing w:line="360" w:lineRule="auto"/>
        <w:ind w:firstLine="480" w:firstLineChars="200"/>
        <w:jc w:val="left"/>
        <w:rPr>
          <w:sz w:val="24"/>
          <w:szCs w:val="24"/>
          <w:highlight w:val="none"/>
        </w:rPr>
      </w:pPr>
      <w:r>
        <w:rPr>
          <w:rFonts w:hint="eastAsia"/>
          <w:sz w:val="24"/>
          <w:szCs w:val="24"/>
          <w:highlight w:val="none"/>
        </w:rPr>
        <w:t>□乙方联合体各方签署的关于本项目约定联合体成员之间责任义务的合同。</w:t>
      </w:r>
    </w:p>
    <w:p w14:paraId="1FD22F1D">
      <w:pPr>
        <w:widowControl/>
        <w:spacing w:line="360" w:lineRule="auto"/>
        <w:ind w:firstLine="480" w:firstLineChars="200"/>
        <w:jc w:val="left"/>
        <w:rPr>
          <w:sz w:val="24"/>
          <w:szCs w:val="24"/>
          <w:highlight w:val="none"/>
        </w:rPr>
      </w:pPr>
      <w:r>
        <w:rPr>
          <w:rFonts w:hint="eastAsia"/>
          <w:sz w:val="24"/>
          <w:szCs w:val="24"/>
          <w:highlight w:val="none"/>
        </w:rPr>
        <w:t xml:space="preserve">□ </w:t>
      </w:r>
      <w:r>
        <w:rPr>
          <w:rFonts w:hint="eastAsia"/>
          <w:sz w:val="24"/>
          <w:szCs w:val="24"/>
          <w:highlight w:val="none"/>
          <w:u w:val="single"/>
        </w:rPr>
        <w:t xml:space="preserve">                                     </w:t>
      </w:r>
      <w:r>
        <w:rPr>
          <w:rFonts w:hint="eastAsia"/>
          <w:sz w:val="24"/>
          <w:szCs w:val="24"/>
          <w:highlight w:val="none"/>
        </w:rPr>
        <w:t>。</w:t>
      </w:r>
    </w:p>
    <w:p w14:paraId="060DCC44">
      <w:pPr>
        <w:widowControl/>
        <w:spacing w:line="360" w:lineRule="auto"/>
        <w:ind w:firstLine="480" w:firstLineChars="200"/>
        <w:jc w:val="left"/>
        <w:rPr>
          <w:sz w:val="24"/>
          <w:szCs w:val="24"/>
          <w:highlight w:val="none"/>
        </w:rPr>
      </w:pPr>
      <w:r>
        <w:rPr>
          <w:rFonts w:hint="eastAsia"/>
          <w:sz w:val="24"/>
          <w:szCs w:val="24"/>
          <w:highlight w:val="none"/>
        </w:rPr>
        <w:t>……</w:t>
      </w:r>
    </w:p>
    <w:p w14:paraId="2C226AF7">
      <w:pPr>
        <w:widowControl/>
        <w:spacing w:line="360" w:lineRule="auto"/>
        <w:ind w:firstLine="480" w:firstLineChars="200"/>
        <w:jc w:val="left"/>
        <w:rPr>
          <w:sz w:val="24"/>
          <w:szCs w:val="24"/>
          <w:highlight w:val="none"/>
        </w:rPr>
      </w:pPr>
      <w:r>
        <w:rPr>
          <w:rFonts w:hint="eastAsia"/>
          <w:sz w:val="24"/>
          <w:szCs w:val="24"/>
          <w:highlight w:val="none"/>
        </w:rPr>
        <w:t>8.10.1 组成本合同的多个文件优先适用顺序为：</w:t>
      </w:r>
    </w:p>
    <w:p w14:paraId="077F6FB6">
      <w:pPr>
        <w:widowControl/>
        <w:spacing w:line="360" w:lineRule="auto"/>
        <w:ind w:firstLine="480" w:firstLineChars="200"/>
        <w:jc w:val="left"/>
        <w:rPr>
          <w:sz w:val="24"/>
          <w:szCs w:val="24"/>
          <w:highlight w:val="none"/>
        </w:rPr>
      </w:pPr>
      <w:r>
        <w:rPr>
          <w:rFonts w:hint="eastAsia"/>
          <w:sz w:val="24"/>
          <w:szCs w:val="24"/>
          <w:highlight w:val="none"/>
        </w:rPr>
        <w:t>（ 1 ）</w:t>
      </w:r>
      <w:r>
        <w:rPr>
          <w:rFonts w:hint="eastAsia"/>
          <w:sz w:val="24"/>
          <w:szCs w:val="24"/>
          <w:highlight w:val="none"/>
          <w:u w:val="single"/>
        </w:rPr>
        <w:t xml:space="preserve">                                             </w:t>
      </w:r>
      <w:r>
        <w:rPr>
          <w:rFonts w:hint="eastAsia"/>
          <w:sz w:val="24"/>
          <w:szCs w:val="24"/>
          <w:highlight w:val="none"/>
        </w:rPr>
        <w:t>。 （2）</w:t>
      </w:r>
      <w:r>
        <w:rPr>
          <w:rFonts w:hint="eastAsia"/>
          <w:sz w:val="24"/>
          <w:szCs w:val="24"/>
          <w:highlight w:val="none"/>
          <w:u w:val="single"/>
        </w:rPr>
        <w:t xml:space="preserve">                                              </w:t>
      </w:r>
      <w:r>
        <w:rPr>
          <w:rFonts w:hint="eastAsia"/>
          <w:sz w:val="24"/>
          <w:szCs w:val="24"/>
          <w:highlight w:val="none"/>
        </w:rPr>
        <w:t>。</w:t>
      </w:r>
    </w:p>
    <w:p w14:paraId="0ACA50E1">
      <w:pPr>
        <w:widowControl/>
        <w:spacing w:line="360" w:lineRule="auto"/>
        <w:ind w:firstLine="480" w:firstLineChars="200"/>
        <w:jc w:val="left"/>
        <w:rPr>
          <w:sz w:val="24"/>
          <w:szCs w:val="24"/>
          <w:highlight w:val="none"/>
        </w:rPr>
      </w:pPr>
      <w:r>
        <w:rPr>
          <w:rFonts w:hint="eastAsia"/>
          <w:sz w:val="24"/>
          <w:szCs w:val="24"/>
          <w:highlight w:val="none"/>
        </w:rPr>
        <w:t>……</w:t>
      </w:r>
    </w:p>
    <w:p w14:paraId="4915AB6E">
      <w:pPr>
        <w:widowControl/>
        <w:spacing w:line="360" w:lineRule="auto"/>
        <w:ind w:firstLine="480" w:firstLineChars="200"/>
        <w:jc w:val="left"/>
        <w:rPr>
          <w:sz w:val="24"/>
          <w:szCs w:val="24"/>
          <w:highlight w:val="none"/>
        </w:rPr>
      </w:pPr>
      <w:r>
        <w:rPr>
          <w:rFonts w:hint="eastAsia"/>
          <w:sz w:val="24"/>
          <w:szCs w:val="24"/>
          <w:highlight w:val="none"/>
        </w:rPr>
        <w:t xml:space="preserve">8.11 本合同经甲乙双方法定代表人或由其授权的委托代理人签名并加盖单位公章后生效。本合同正本一式 </w:t>
      </w:r>
      <w:r>
        <w:rPr>
          <w:rFonts w:hint="eastAsia"/>
          <w:sz w:val="24"/>
          <w:szCs w:val="24"/>
          <w:highlight w:val="none"/>
          <w:u w:val="single"/>
        </w:rPr>
        <w:t xml:space="preserve">     </w:t>
      </w:r>
      <w:r>
        <w:rPr>
          <w:rFonts w:hint="eastAsia"/>
          <w:sz w:val="24"/>
          <w:szCs w:val="24"/>
          <w:highlight w:val="none"/>
        </w:rPr>
        <w:t xml:space="preserve"> 份，双方各执 </w:t>
      </w:r>
      <w:r>
        <w:rPr>
          <w:rFonts w:hint="eastAsia"/>
          <w:sz w:val="24"/>
          <w:szCs w:val="24"/>
          <w:highlight w:val="none"/>
          <w:u w:val="single"/>
        </w:rPr>
        <w:t xml:space="preserve">     </w:t>
      </w:r>
      <w:r>
        <w:rPr>
          <w:rFonts w:hint="eastAsia"/>
          <w:sz w:val="24"/>
          <w:szCs w:val="24"/>
          <w:highlight w:val="none"/>
        </w:rPr>
        <w:t xml:space="preserve"> 份，副本一式 </w:t>
      </w:r>
      <w:r>
        <w:rPr>
          <w:rFonts w:hint="eastAsia"/>
          <w:sz w:val="24"/>
          <w:szCs w:val="24"/>
          <w:highlight w:val="none"/>
          <w:u w:val="single"/>
        </w:rPr>
        <w:t xml:space="preserve">     </w:t>
      </w:r>
      <w:r>
        <w:rPr>
          <w:rFonts w:hint="eastAsia"/>
          <w:sz w:val="24"/>
          <w:szCs w:val="24"/>
          <w:highlight w:val="none"/>
        </w:rPr>
        <w:t xml:space="preserve"> 份，双方各执 </w:t>
      </w:r>
      <w:r>
        <w:rPr>
          <w:rFonts w:hint="eastAsia"/>
          <w:sz w:val="24"/>
          <w:szCs w:val="24"/>
          <w:highlight w:val="none"/>
          <w:u w:val="single"/>
        </w:rPr>
        <w:t xml:space="preserve">     </w:t>
      </w:r>
      <w:r>
        <w:rPr>
          <w:rFonts w:hint="eastAsia"/>
          <w:sz w:val="24"/>
          <w:szCs w:val="24"/>
          <w:highlight w:val="none"/>
        </w:rPr>
        <w:t xml:space="preserve"> 份，具有同等法律效力。</w:t>
      </w:r>
    </w:p>
    <w:p w14:paraId="1EF6C1A5">
      <w:pPr>
        <w:widowControl/>
        <w:spacing w:line="360" w:lineRule="auto"/>
        <w:ind w:firstLine="480" w:firstLineChars="200"/>
        <w:jc w:val="left"/>
        <w:rPr>
          <w:sz w:val="24"/>
          <w:szCs w:val="24"/>
          <w:highlight w:val="none"/>
        </w:rPr>
      </w:pPr>
      <w:r>
        <w:rPr>
          <w:rFonts w:hint="eastAsia"/>
          <w:sz w:val="24"/>
          <w:szCs w:val="24"/>
          <w:highlight w:val="none"/>
        </w:rPr>
        <w:t>8.12 本合同未尽事宜，甲乙双方可另行以书面形式签订补充协议，补充协议与本合同存在冲突的，以补充协议为准。</w:t>
      </w:r>
    </w:p>
    <w:p w14:paraId="02299CBC">
      <w:pPr>
        <w:widowControl/>
        <w:spacing w:line="360" w:lineRule="auto"/>
        <w:ind w:firstLine="480" w:firstLineChars="200"/>
        <w:jc w:val="left"/>
        <w:rPr>
          <w:sz w:val="24"/>
          <w:szCs w:val="24"/>
          <w:highlight w:val="none"/>
        </w:rPr>
      </w:pPr>
      <w:r>
        <w:rPr>
          <w:rFonts w:hint="eastAsia"/>
          <w:sz w:val="24"/>
          <w:szCs w:val="24"/>
          <w:highlight w:val="none"/>
        </w:rPr>
        <w:t>（ 以下无正文）</w:t>
      </w:r>
    </w:p>
    <w:p w14:paraId="62AE8CD6">
      <w:pPr>
        <w:widowControl/>
        <w:spacing w:line="360" w:lineRule="auto"/>
        <w:ind w:firstLine="480" w:firstLineChars="200"/>
        <w:jc w:val="left"/>
        <w:rPr>
          <w:sz w:val="24"/>
          <w:szCs w:val="24"/>
          <w:highlight w:val="none"/>
        </w:rPr>
      </w:pPr>
    </w:p>
    <w:p w14:paraId="6F76B1A4">
      <w:pPr>
        <w:widowControl/>
        <w:spacing w:line="360" w:lineRule="auto"/>
        <w:ind w:firstLine="480" w:firstLineChars="200"/>
        <w:jc w:val="left"/>
        <w:rPr>
          <w:sz w:val="24"/>
          <w:szCs w:val="24"/>
          <w:highlight w:val="none"/>
        </w:rPr>
      </w:pPr>
    </w:p>
    <w:p w14:paraId="26A3CA2F">
      <w:pPr>
        <w:widowControl/>
        <w:spacing w:line="360" w:lineRule="auto"/>
        <w:ind w:firstLine="480" w:firstLineChars="200"/>
        <w:jc w:val="left"/>
        <w:rPr>
          <w:sz w:val="24"/>
          <w:szCs w:val="24"/>
          <w:highlight w:val="none"/>
        </w:rPr>
      </w:pPr>
    </w:p>
    <w:p w14:paraId="2280AEB6">
      <w:pPr>
        <w:widowControl/>
        <w:spacing w:line="360" w:lineRule="auto"/>
        <w:ind w:firstLine="480" w:firstLineChars="200"/>
        <w:jc w:val="left"/>
        <w:rPr>
          <w:sz w:val="24"/>
          <w:szCs w:val="24"/>
          <w:highlight w:val="none"/>
        </w:rPr>
      </w:pPr>
      <w:r>
        <w:rPr>
          <w:rFonts w:hint="eastAsia"/>
          <w:sz w:val="24"/>
          <w:szCs w:val="24"/>
          <w:highlight w:val="none"/>
        </w:rPr>
        <w:t>甲方（盖章）：</w:t>
      </w:r>
    </w:p>
    <w:p w14:paraId="00986E8D">
      <w:pPr>
        <w:widowControl/>
        <w:spacing w:line="360" w:lineRule="auto"/>
        <w:ind w:firstLine="480" w:firstLineChars="200"/>
        <w:jc w:val="left"/>
        <w:rPr>
          <w:sz w:val="24"/>
          <w:szCs w:val="24"/>
          <w:highlight w:val="none"/>
        </w:rPr>
      </w:pPr>
      <w:r>
        <w:rPr>
          <w:rFonts w:hint="eastAsia"/>
          <w:sz w:val="24"/>
          <w:szCs w:val="24"/>
          <w:highlight w:val="none"/>
        </w:rPr>
        <w:t>法定代表人 /  委托代理人（签名）：</w:t>
      </w:r>
    </w:p>
    <w:p w14:paraId="06AA59FA">
      <w:pPr>
        <w:widowControl/>
        <w:spacing w:line="360" w:lineRule="auto"/>
        <w:ind w:firstLine="480" w:firstLineChars="200"/>
        <w:jc w:val="left"/>
        <w:rPr>
          <w:sz w:val="24"/>
          <w:szCs w:val="24"/>
          <w:highlight w:val="none"/>
        </w:rPr>
      </w:pPr>
      <w:r>
        <w:rPr>
          <w:rFonts w:hint="eastAsia"/>
          <w:sz w:val="24"/>
          <w:szCs w:val="24"/>
          <w:highlight w:val="none"/>
        </w:rPr>
        <w:t>日期：</w:t>
      </w:r>
    </w:p>
    <w:p w14:paraId="72A1A341">
      <w:pPr>
        <w:widowControl/>
        <w:spacing w:line="360" w:lineRule="auto"/>
        <w:ind w:firstLine="480" w:firstLineChars="200"/>
        <w:jc w:val="left"/>
        <w:rPr>
          <w:sz w:val="24"/>
          <w:szCs w:val="24"/>
          <w:highlight w:val="none"/>
        </w:rPr>
      </w:pPr>
    </w:p>
    <w:p w14:paraId="75E10B89">
      <w:pPr>
        <w:widowControl/>
        <w:spacing w:line="360" w:lineRule="auto"/>
        <w:ind w:firstLine="480" w:firstLineChars="200"/>
        <w:jc w:val="left"/>
        <w:rPr>
          <w:sz w:val="24"/>
          <w:szCs w:val="24"/>
          <w:highlight w:val="none"/>
        </w:rPr>
      </w:pPr>
    </w:p>
    <w:p w14:paraId="18D6A985">
      <w:pPr>
        <w:widowControl/>
        <w:spacing w:line="360" w:lineRule="auto"/>
        <w:ind w:firstLine="480" w:firstLineChars="200"/>
        <w:jc w:val="left"/>
        <w:rPr>
          <w:sz w:val="24"/>
          <w:szCs w:val="24"/>
          <w:highlight w:val="none"/>
        </w:rPr>
      </w:pPr>
      <w:r>
        <w:rPr>
          <w:rFonts w:hint="eastAsia"/>
          <w:sz w:val="24"/>
          <w:szCs w:val="24"/>
          <w:highlight w:val="none"/>
        </w:rPr>
        <w:t>乙方（盖章）：</w:t>
      </w:r>
    </w:p>
    <w:p w14:paraId="4D394F67">
      <w:pPr>
        <w:widowControl/>
        <w:spacing w:line="360" w:lineRule="auto"/>
        <w:ind w:firstLine="480" w:firstLineChars="200"/>
        <w:jc w:val="left"/>
        <w:rPr>
          <w:sz w:val="24"/>
          <w:szCs w:val="24"/>
          <w:highlight w:val="none"/>
        </w:rPr>
      </w:pPr>
      <w:r>
        <w:rPr>
          <w:rFonts w:hint="eastAsia"/>
          <w:sz w:val="24"/>
          <w:szCs w:val="24"/>
          <w:highlight w:val="none"/>
        </w:rPr>
        <w:t>法定代表人 /  委托代理人（签名）：</w:t>
      </w:r>
    </w:p>
    <w:p w14:paraId="5B7DE993">
      <w:pPr>
        <w:widowControl/>
        <w:spacing w:line="360" w:lineRule="auto"/>
        <w:ind w:firstLine="480" w:firstLineChars="200"/>
        <w:jc w:val="left"/>
        <w:rPr>
          <w:sz w:val="24"/>
          <w:szCs w:val="24"/>
          <w:highlight w:val="none"/>
        </w:rPr>
      </w:pPr>
      <w:r>
        <w:rPr>
          <w:rFonts w:hint="eastAsia"/>
          <w:sz w:val="24"/>
          <w:szCs w:val="24"/>
          <w:highlight w:val="none"/>
        </w:rPr>
        <w:t>日期：</w:t>
      </w:r>
    </w:p>
    <w:p w14:paraId="07EAAE92">
      <w:pPr>
        <w:widowControl/>
        <w:jc w:val="left"/>
        <w:rPr>
          <w:rFonts w:hint="eastAsia" w:ascii="宋体" w:hAnsi="宋体" w:cs="宋体"/>
          <w:b/>
          <w:bCs/>
          <w:sz w:val="24"/>
          <w:szCs w:val="24"/>
          <w:highlight w:val="none"/>
        </w:rPr>
      </w:pPr>
      <w:r>
        <w:rPr>
          <w:rFonts w:hint="eastAsia"/>
          <w:b/>
          <w:bCs/>
          <w:sz w:val="24"/>
          <w:szCs w:val="24"/>
          <w:highlight w:val="none"/>
        </w:rPr>
        <w:br w:type="page"/>
      </w:r>
    </w:p>
    <w:p w14:paraId="5EB060D1">
      <w:pPr>
        <w:pStyle w:val="18"/>
        <w:tabs>
          <w:tab w:val="left" w:pos="901"/>
        </w:tabs>
        <w:spacing w:before="0" w:after="0" w:line="324" w:lineRule="auto"/>
        <w:jc w:val="center"/>
        <w:rPr>
          <w:rFonts w:hint="eastAsia"/>
          <w:b/>
          <w:bCs/>
          <w:highlight w:val="none"/>
        </w:rPr>
      </w:pPr>
      <w:r>
        <w:rPr>
          <w:rFonts w:hint="eastAsia"/>
          <w:b/>
          <w:bCs/>
          <w:highlight w:val="none"/>
        </w:rPr>
        <w:t>光伏合同能源管理协议</w:t>
      </w:r>
    </w:p>
    <w:bookmarkEnd w:id="226"/>
    <w:bookmarkEnd w:id="227"/>
    <w:bookmarkEnd w:id="228"/>
    <w:bookmarkEnd w:id="229"/>
    <w:bookmarkEnd w:id="230"/>
    <w:p w14:paraId="201DEB6C">
      <w:pPr>
        <w:spacing w:before="159" w:line="320" w:lineRule="exact"/>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甲方： </w:t>
      </w:r>
    </w:p>
    <w:p w14:paraId="2A2C3195">
      <w:pPr>
        <w:spacing w:line="320" w:lineRule="exact"/>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法定代表人： </w:t>
      </w:r>
    </w:p>
    <w:p w14:paraId="7D7748AD">
      <w:pPr>
        <w:spacing w:line="320" w:lineRule="exact"/>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地址： </w:t>
      </w:r>
    </w:p>
    <w:p w14:paraId="7C6A07E7">
      <w:pPr>
        <w:spacing w:line="320" w:lineRule="exact"/>
        <w:ind w:firstLine="480"/>
        <w:jc w:val="left"/>
        <w:rPr>
          <w:rFonts w:hint="eastAsia" w:ascii="宋体" w:hAnsi="宋体" w:cs="宋体"/>
          <w:bCs/>
          <w:sz w:val="24"/>
          <w:szCs w:val="24"/>
          <w:highlight w:val="none"/>
        </w:rPr>
      </w:pPr>
    </w:p>
    <w:p w14:paraId="268CF7E1">
      <w:pPr>
        <w:spacing w:line="320" w:lineRule="exact"/>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乙方： </w:t>
      </w:r>
    </w:p>
    <w:p w14:paraId="3DC2826A">
      <w:pPr>
        <w:spacing w:line="320" w:lineRule="exact"/>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法定代表人： </w:t>
      </w:r>
    </w:p>
    <w:p w14:paraId="1937E61B">
      <w:pPr>
        <w:spacing w:line="320" w:lineRule="exact"/>
        <w:ind w:firstLine="480"/>
        <w:jc w:val="left"/>
        <w:rPr>
          <w:rFonts w:hint="eastAsia" w:ascii="宋体" w:hAnsi="宋体" w:cs="宋体"/>
          <w:b/>
          <w:sz w:val="24"/>
          <w:szCs w:val="24"/>
          <w:highlight w:val="none"/>
        </w:rPr>
      </w:pPr>
      <w:r>
        <w:rPr>
          <w:rFonts w:hint="eastAsia" w:ascii="宋体" w:hAnsi="宋体" w:cs="宋体"/>
          <w:bCs/>
          <w:sz w:val="24"/>
          <w:szCs w:val="24"/>
          <w:highlight w:val="none"/>
        </w:rPr>
        <w:t xml:space="preserve">地址： </w:t>
      </w:r>
    </w:p>
    <w:p w14:paraId="15400A3F">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总则</w:t>
      </w:r>
    </w:p>
    <w:p w14:paraId="4F513134">
      <w:pPr>
        <w:numPr>
          <w:ilvl w:val="1"/>
          <w:numId w:val="3"/>
        </w:numPr>
        <w:tabs>
          <w:tab w:val="left" w:pos="1418"/>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本协议依照《中华人民共和国民法典》、</w:t>
      </w:r>
      <w:bookmarkStart w:id="238" w:name="OLE_LINK5"/>
      <w:r>
        <w:rPr>
          <w:rFonts w:hint="eastAsia" w:ascii="宋体" w:hAnsi="宋体" w:cs="宋体"/>
          <w:sz w:val="24"/>
          <w:szCs w:val="24"/>
          <w:highlight w:val="none"/>
        </w:rPr>
        <w:t>《合同能源管理技术通则</w:t>
      </w:r>
      <w:bookmarkEnd w:id="238"/>
      <w:r>
        <w:rPr>
          <w:rFonts w:hint="eastAsia" w:ascii="宋体" w:hAnsi="宋体" w:cs="宋体"/>
          <w:sz w:val="24"/>
          <w:szCs w:val="24"/>
          <w:highlight w:val="none"/>
        </w:rPr>
        <w:t>》（GB/T24915-2020）起草编制，在真实、充分地表达各自意愿的基础上，协议双方同意按“合同能源管理”模式签订本协议。</w:t>
      </w:r>
    </w:p>
    <w:p w14:paraId="553E56C6">
      <w:pPr>
        <w:numPr>
          <w:ilvl w:val="1"/>
          <w:numId w:val="3"/>
        </w:numPr>
        <w:tabs>
          <w:tab w:val="left" w:pos="1418"/>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甲方享有【</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】不动产所有权。双方同意，甲方提供场地、乙方于前述场地投资建设屋顶光伏电站（下称“光伏电站”），从          项目通过竣工验收后的次月一号开始，前10年（120个月）的光伏发电收益归属乙方所有，后15年（180个月）乙方按实际电价（以当月供电公司实际所供电价格为准）的</w:t>
      </w:r>
      <w:r>
        <w:rPr>
          <w:rFonts w:hint="eastAsia" w:ascii="宋体" w:hAnsi="宋体" w:cs="宋体"/>
          <w:sz w:val="24"/>
          <w:szCs w:val="24"/>
          <w:highlight w:val="none"/>
          <w:u w:val="single"/>
        </w:rPr>
        <w:t>9</w:t>
      </w:r>
      <w:r>
        <w:rPr>
          <w:rFonts w:hint="eastAsia" w:ascii="宋体" w:hAnsi="宋体" w:cs="宋体"/>
          <w:sz w:val="24"/>
          <w:szCs w:val="24"/>
          <w:highlight w:val="none"/>
        </w:rPr>
        <w:t>折将光伏发电电量出售给甲方，出售款项归属乙方所有。</w:t>
      </w:r>
    </w:p>
    <w:p w14:paraId="7D8799AF">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项目概况</w:t>
      </w:r>
    </w:p>
    <w:p w14:paraId="3BE0CC20">
      <w:pPr>
        <w:numPr>
          <w:ilvl w:val="1"/>
          <w:numId w:val="3"/>
        </w:numPr>
        <w:tabs>
          <w:tab w:val="left" w:pos="141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项目名称：【</w:t>
      </w:r>
      <w:r>
        <w:rPr>
          <w:rFonts w:hint="eastAsia" w:ascii="宋体" w:hAnsi="宋体" w:cs="宋体"/>
          <w:sz w:val="24"/>
          <w:szCs w:val="24"/>
          <w:highlight w:val="none"/>
          <w:u w:val="single"/>
        </w:rPr>
        <w:t xml:space="preserve">                          </w:t>
      </w:r>
      <w:r>
        <w:rPr>
          <w:rFonts w:hint="eastAsia" w:ascii="宋体" w:hAnsi="宋体" w:cs="宋体"/>
          <w:b/>
          <w:sz w:val="24"/>
          <w:szCs w:val="24"/>
          <w:highlight w:val="none"/>
        </w:rPr>
        <w:t>】</w:t>
      </w:r>
      <w:r>
        <w:rPr>
          <w:rFonts w:hint="eastAsia" w:ascii="宋体" w:hAnsi="宋体" w:cs="宋体"/>
          <w:sz w:val="24"/>
          <w:szCs w:val="24"/>
          <w:highlight w:val="none"/>
        </w:rPr>
        <w:t>(以下简称“项目”或“本项目”)。</w:t>
      </w:r>
    </w:p>
    <w:p w14:paraId="5279F48C">
      <w:pPr>
        <w:numPr>
          <w:ilvl w:val="1"/>
          <w:numId w:val="3"/>
        </w:numPr>
        <w:tabs>
          <w:tab w:val="left" w:pos="1418"/>
        </w:tabs>
        <w:spacing w:before="159"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项目建设方案</w:t>
      </w:r>
    </w:p>
    <w:p w14:paraId="11BFE853">
      <w:pPr>
        <w:numPr>
          <w:ilvl w:val="2"/>
          <w:numId w:val="3"/>
        </w:numPr>
        <w:tabs>
          <w:tab w:val="left" w:pos="1418"/>
          <w:tab w:val="left" w:pos="2268"/>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乙方依据本协议之约定，负责屋顶光伏电站的所有投资，乙方完成光伏电站设计、施工、建设。</w:t>
      </w:r>
    </w:p>
    <w:p w14:paraId="48B91844">
      <w:pPr>
        <w:numPr>
          <w:ilvl w:val="2"/>
          <w:numId w:val="3"/>
        </w:numPr>
        <w:tabs>
          <w:tab w:val="left" w:pos="1418"/>
          <w:tab w:val="left" w:pos="2268"/>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甲方依据本协议之约定，提供项目场地用于光伏电站建设，并对乙方工作提供必要的协助，包括但不限于提供项目场地所在建筑物的不动产权证、所在地块的土地使用权证、设计图纸、相关电气和负荷数据、配合乙方进行相关申请工作等。</w:t>
      </w:r>
    </w:p>
    <w:p w14:paraId="6A3460A9">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项目实施目标：替代部分公共电网向甲方供给电能，降低     能耗指标，项目建成后预计首年发电约【    】万kWh。</w:t>
      </w:r>
    </w:p>
    <w:p w14:paraId="25C75607">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项目实施期限</w:t>
      </w:r>
    </w:p>
    <w:p w14:paraId="16BCE9E1">
      <w:pPr>
        <w:numPr>
          <w:ilvl w:val="1"/>
          <w:numId w:val="3"/>
        </w:numPr>
        <w:tabs>
          <w:tab w:val="left" w:pos="141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本项目实施期限：自</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项目通过竣工验收后的次月一号开始，共计</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个月）。</w:t>
      </w:r>
    </w:p>
    <w:p w14:paraId="34BA6908">
      <w:pPr>
        <w:numPr>
          <w:ilvl w:val="1"/>
          <w:numId w:val="3"/>
        </w:numPr>
        <w:tabs>
          <w:tab w:val="left" w:pos="141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项目建设周期：乙方或乙方聘请的第三方进场施工后【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】个月。</w:t>
      </w:r>
    </w:p>
    <w:p w14:paraId="41D7AC16">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项目方案设计实施和项目的验收</w:t>
      </w:r>
    </w:p>
    <w:p w14:paraId="324EE691">
      <w:pPr>
        <w:numPr>
          <w:ilvl w:val="1"/>
          <w:numId w:val="3"/>
        </w:numPr>
        <w:tabs>
          <w:tab w:val="left" w:pos="1418"/>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乙方将聘请具备资质的设计单位承担项目工程建设的整体设计。</w:t>
      </w:r>
    </w:p>
    <w:p w14:paraId="372B1125">
      <w:pPr>
        <w:numPr>
          <w:ilvl w:val="1"/>
          <w:numId w:val="3"/>
        </w:numPr>
        <w:tabs>
          <w:tab w:val="left" w:pos="141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由于该项目属于国家分布式工程，项目验收由政府相关职能部门验收（与能源托管项目同步验收），因此乙方应尽合理的商业努力促使项目顺利通过政府相关职能部门验收，甲方应对验收工作予以配合协助。</w:t>
      </w:r>
    </w:p>
    <w:p w14:paraId="1A2382B7">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节能效益分享方式</w:t>
      </w:r>
    </w:p>
    <w:p w14:paraId="2DD56488">
      <w:pPr>
        <w:numPr>
          <w:ilvl w:val="1"/>
          <w:numId w:val="3"/>
        </w:numPr>
        <w:tabs>
          <w:tab w:val="left" w:pos="1418"/>
        </w:tabs>
        <w:spacing w:line="400" w:lineRule="exact"/>
        <w:ind w:left="0" w:firstLine="640"/>
        <w:jc w:val="left"/>
        <w:rPr>
          <w:rFonts w:hint="eastAsia" w:ascii="宋体" w:hAnsi="宋体" w:cs="宋体"/>
          <w:b/>
          <w:sz w:val="24"/>
          <w:szCs w:val="24"/>
          <w:highlight w:val="none"/>
        </w:rPr>
      </w:pPr>
      <w:bookmarkStart w:id="239" w:name="_Ref112790592"/>
      <w:r>
        <w:rPr>
          <w:rFonts w:hint="eastAsia" w:ascii="宋体" w:hAnsi="宋体" w:cs="宋体"/>
          <w:sz w:val="24"/>
          <w:szCs w:val="24"/>
          <w:highlight w:val="none"/>
        </w:rPr>
        <w:t>节能效益为本项目产生的节能量折合的市场价值。节能量的实际数据均以单元光伏电站出口双向电能计量表的计量为准；该双向电能计量表由电网公司/供电公司提供、安装、管理。节能效益分享期内，甲方优先使用本项目所产生电能，不足部分再从公共电网输入。</w:t>
      </w:r>
      <w:bookmarkEnd w:id="239"/>
    </w:p>
    <w:p w14:paraId="50C3800C">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后15年的节能效益分享方式为以下第【</w:t>
      </w:r>
      <w:r>
        <w:rPr>
          <w:rFonts w:hint="eastAsia" w:ascii="宋体" w:hAnsi="宋体" w:cs="宋体"/>
          <w:sz w:val="24"/>
          <w:szCs w:val="24"/>
          <w:highlight w:val="none"/>
          <w:u w:val="single"/>
        </w:rPr>
        <w:t xml:space="preserve"> （1） </w:t>
      </w:r>
      <w:r>
        <w:rPr>
          <w:rFonts w:hint="eastAsia" w:ascii="宋体" w:hAnsi="宋体" w:cs="宋体"/>
          <w:sz w:val="24"/>
          <w:szCs w:val="24"/>
          <w:highlight w:val="none"/>
        </w:rPr>
        <w:t>】种：</w:t>
      </w:r>
    </w:p>
    <w:p w14:paraId="0F272DC3">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（1）甲方支付乙方自用电费、乙方直接给予甲方电价折扣的方式，按实际基础电价的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折将光伏发电电量出售给甲方；</w:t>
      </w:r>
    </w:p>
    <w:p w14:paraId="61B0D79E">
      <w:pPr>
        <w:tabs>
          <w:tab w:val="left" w:pos="1418"/>
        </w:tabs>
        <w:spacing w:line="400" w:lineRule="exact"/>
        <w:ind w:firstLine="480"/>
        <w:jc w:val="left"/>
        <w:rPr>
          <w:rFonts w:hint="eastAsia" w:ascii="宋体" w:hAnsi="宋体" w:cs="宋体"/>
          <w:b/>
          <w:sz w:val="24"/>
          <w:szCs w:val="24"/>
          <w:highlight w:val="none"/>
        </w:rPr>
      </w:pPr>
      <w:r>
        <w:rPr>
          <w:rFonts w:hint="eastAsia" w:ascii="宋体" w:hAnsi="宋体" w:cs="宋体"/>
          <w:sz w:val="24"/>
          <w:szCs w:val="24"/>
          <w:highlight w:val="none"/>
        </w:rPr>
        <w:t>（2）甲方支付乙方自用电费、乙方支付甲方屋顶租赁费的方式。</w:t>
      </w:r>
    </w:p>
    <w:p w14:paraId="4940AA32">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节能量的计算公式：</w:t>
      </w:r>
    </w:p>
    <w:p w14:paraId="24D8DAA5">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项目节能量（kWh）=（单元1光伏电站出口送电电能计量表读数×单元1电能计量表倍率+单元2光伏电站出口送电电能计量表读数×单元2电能计量表倍率+……单元n光伏电站出口送电电能计量表读数×单元n电能计量表倍率）-光伏电站反送上公共电网的电量</w:t>
      </w:r>
    </w:p>
    <w:p w14:paraId="076C1DE8">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如涉及到光伏电站发电量反送上公共电网，则上电网部分的电量对应电费由乙方与当地供电公司结算，相关权益归乙方单独所有。</w:t>
      </w:r>
    </w:p>
    <w:p w14:paraId="28D28A0D">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效益分享期内，每月节能效益的计算公式如下：</w:t>
      </w:r>
    </w:p>
    <w:p w14:paraId="6FF98F1A">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甲方应支付给乙方的电费：自</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项目通过竣工验收后的次月一号起至效益分享期第</w:t>
      </w:r>
      <w:r>
        <w:rPr>
          <w:rFonts w:hint="eastAsia" w:ascii="宋体" w:hAnsi="宋体" w:cs="宋体"/>
          <w:sz w:val="24"/>
          <w:szCs w:val="24"/>
          <w:highlight w:val="none"/>
          <w:u w:val="single"/>
        </w:rPr>
        <w:t xml:space="preserve"> 10 </w:t>
      </w:r>
      <w:r>
        <w:rPr>
          <w:rFonts w:hint="eastAsia" w:ascii="宋体" w:hAnsi="宋体" w:cs="宋体"/>
          <w:sz w:val="24"/>
          <w:szCs w:val="24"/>
          <w:highlight w:val="none"/>
        </w:rPr>
        <w:t>年结束，甲方当月取得的电费核查联中的峰、平、谷电价×当月项目节能量（峰、平、谷时用电量分别计量），乙方享受节能效益中的【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】%。第</w:t>
      </w:r>
      <w:r>
        <w:rPr>
          <w:rFonts w:hint="eastAsia" w:ascii="宋体" w:hAnsi="宋体" w:cs="宋体"/>
          <w:sz w:val="24"/>
          <w:szCs w:val="24"/>
          <w:highlight w:val="none"/>
          <w:u w:val="single"/>
        </w:rPr>
        <w:t xml:space="preserve"> 11 </w:t>
      </w:r>
      <w:r>
        <w:rPr>
          <w:rFonts w:hint="eastAsia" w:ascii="宋体" w:hAnsi="宋体" w:cs="宋体"/>
          <w:sz w:val="24"/>
          <w:szCs w:val="24"/>
          <w:highlight w:val="none"/>
        </w:rPr>
        <w:t>年开始至效益分享期结束，甲方享受节能效益中的【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】%；乙方享受节能效益中的【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】%；即甲方使用乙方光伏电站所发的电，其价格和同期供电公司所供电价格相比优惠【</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5B42E8C6">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自</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项目通过竣工验收后的次月一号起，甲方使用本光伏项目所发电力的光伏结算电价以当月供电公司实际所供电价格为准。</w:t>
      </w:r>
    </w:p>
    <w:p w14:paraId="1466C08A">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效益分享期的前10年光伏发电量作为能源费用托管服务的收益；第11至25年，乙方应得的节能效益由甲方定期按以下方式支付给乙方： </w:t>
      </w:r>
    </w:p>
    <w:p w14:paraId="6FF3E85A">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每月最后一个工作日前甲乙双方共同抄录确认第5.1条所述双向电能计量表的电量记录，并由双方项目联系人共同签发节能量确认单（应一式二份，双方各留存一份）；甲方无正当理由不配合抄录或拒绝对节能量确认单进行确认的，乙方可自行抄录并录制视频固定，视为甲方认可节能量确认单。</w:t>
      </w:r>
    </w:p>
    <w:p w14:paraId="4D0F2D1B">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项目联系人</w:t>
      </w:r>
    </w:p>
    <w:p w14:paraId="0132CA18">
      <w:pPr>
        <w:tabs>
          <w:tab w:val="left" w:pos="1418"/>
          <w:tab w:val="left" w:pos="2268"/>
        </w:tabs>
        <w:spacing w:line="400" w:lineRule="exact"/>
        <w:ind w:left="420" w:firstLine="480"/>
        <w:jc w:val="left"/>
        <w:rPr>
          <w:rFonts w:hint="eastAsia" w:ascii="宋体" w:hAnsi="宋体" w:cs="宋体"/>
          <w:sz w:val="24"/>
          <w:szCs w:val="24"/>
          <w:highlight w:val="none"/>
        </w:rPr>
      </w:pPr>
      <w:r>
        <w:rPr>
          <w:rFonts w:hint="eastAsia" w:ascii="宋体" w:hAnsi="宋体" w:cs="宋体"/>
          <w:sz w:val="24"/>
          <w:szCs w:val="24"/>
          <w:highlight w:val="none"/>
        </w:rPr>
        <w:t>甲方项目联系人为：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253875FE">
      <w:pPr>
        <w:tabs>
          <w:tab w:val="left" w:pos="1418"/>
          <w:tab w:val="left" w:pos="2268"/>
        </w:tabs>
        <w:spacing w:line="400" w:lineRule="exact"/>
        <w:ind w:left="420" w:firstLine="480"/>
        <w:jc w:val="left"/>
        <w:rPr>
          <w:rFonts w:hint="eastAsia" w:ascii="宋体" w:hAnsi="宋体" w:cs="宋体"/>
          <w:sz w:val="24"/>
          <w:szCs w:val="24"/>
          <w:highlight w:val="none"/>
        </w:rPr>
      </w:pPr>
      <w:r>
        <w:rPr>
          <w:rFonts w:hint="eastAsia" w:ascii="宋体" w:hAnsi="宋体" w:cs="宋体"/>
          <w:sz w:val="24"/>
          <w:szCs w:val="24"/>
          <w:highlight w:val="none"/>
        </w:rPr>
        <w:t>乙方项目联系人为：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single"/>
        </w:rPr>
        <w:t xml:space="preserve">             。</w:t>
      </w:r>
    </w:p>
    <w:p w14:paraId="2DC63F0A">
      <w:pPr>
        <w:tabs>
          <w:tab w:val="left" w:pos="1418"/>
          <w:tab w:val="left" w:pos="2268"/>
        </w:tabs>
        <w:spacing w:line="400" w:lineRule="exact"/>
        <w:ind w:left="420" w:firstLine="480"/>
        <w:jc w:val="left"/>
        <w:rPr>
          <w:rFonts w:hint="eastAsia" w:ascii="宋体" w:hAnsi="宋体" w:cs="宋体"/>
          <w:sz w:val="24"/>
          <w:szCs w:val="24"/>
          <w:highlight w:val="none"/>
        </w:rPr>
      </w:pPr>
      <w:r>
        <w:rPr>
          <w:rFonts w:hint="eastAsia" w:ascii="宋体" w:hAnsi="宋体" w:cs="宋体"/>
          <w:sz w:val="24"/>
          <w:szCs w:val="24"/>
          <w:highlight w:val="none"/>
        </w:rPr>
        <w:t>任一方项目联系人变更的，该方应以书面方式提前五(5)日通知对方；未及时通知并影响本协议履行或造成损失的，责任方应承担相应的赔偿责任。</w:t>
      </w:r>
    </w:p>
    <w:p w14:paraId="2C15FD38">
      <w:pPr>
        <w:tabs>
          <w:tab w:val="left" w:pos="1418"/>
          <w:tab w:val="left" w:pos="2268"/>
        </w:tabs>
        <w:spacing w:line="400" w:lineRule="exact"/>
        <w:ind w:left="420" w:firstLine="480"/>
        <w:jc w:val="left"/>
        <w:rPr>
          <w:rFonts w:hint="eastAsia" w:ascii="宋体" w:hAnsi="宋体" w:cs="宋体"/>
          <w:sz w:val="24"/>
          <w:szCs w:val="24"/>
          <w:highlight w:val="none"/>
        </w:rPr>
      </w:pPr>
      <w:r>
        <w:rPr>
          <w:rFonts w:hint="eastAsia" w:ascii="宋体" w:hAnsi="宋体" w:cs="宋体"/>
          <w:sz w:val="24"/>
          <w:szCs w:val="24"/>
          <w:highlight w:val="none"/>
        </w:rPr>
        <w:t>项目联系人职责如下：</w:t>
      </w:r>
    </w:p>
    <w:p w14:paraId="5DCDACDA">
      <w:pPr>
        <w:tabs>
          <w:tab w:val="left" w:pos="1418"/>
          <w:tab w:val="left" w:pos="2268"/>
        </w:tabs>
        <w:spacing w:line="400" w:lineRule="exact"/>
        <w:ind w:left="420" w:firstLine="480"/>
        <w:jc w:val="left"/>
        <w:rPr>
          <w:rFonts w:hint="eastAsia" w:ascii="宋体" w:hAnsi="宋体" w:cs="宋体"/>
          <w:sz w:val="24"/>
          <w:szCs w:val="24"/>
          <w:highlight w:val="none"/>
        </w:rPr>
      </w:pPr>
      <w:r>
        <w:rPr>
          <w:rFonts w:hint="eastAsia" w:ascii="宋体" w:hAnsi="宋体" w:cs="宋体"/>
          <w:sz w:val="24"/>
          <w:szCs w:val="24"/>
          <w:highlight w:val="none"/>
        </w:rPr>
        <w:t>（1）负责协调项目工程进度、工程质量；</w:t>
      </w:r>
    </w:p>
    <w:p w14:paraId="2B53D08B">
      <w:pPr>
        <w:tabs>
          <w:tab w:val="left" w:pos="1418"/>
          <w:tab w:val="left" w:pos="2268"/>
        </w:tabs>
        <w:spacing w:line="400" w:lineRule="exact"/>
        <w:ind w:left="420" w:firstLine="480"/>
        <w:jc w:val="left"/>
        <w:rPr>
          <w:rFonts w:hint="eastAsia" w:ascii="宋体" w:hAnsi="宋体" w:cs="宋体"/>
          <w:sz w:val="24"/>
          <w:szCs w:val="24"/>
          <w:highlight w:val="none"/>
        </w:rPr>
      </w:pPr>
      <w:r>
        <w:rPr>
          <w:rFonts w:hint="eastAsia" w:ascii="宋体" w:hAnsi="宋体" w:cs="宋体"/>
          <w:sz w:val="24"/>
          <w:szCs w:val="24"/>
          <w:highlight w:val="none"/>
        </w:rPr>
        <w:t>（2）协调项目运营维护及节能量确认等相关事宜；</w:t>
      </w:r>
    </w:p>
    <w:p w14:paraId="6DBF72F4">
      <w:pPr>
        <w:tabs>
          <w:tab w:val="left" w:pos="1418"/>
          <w:tab w:val="left" w:pos="2268"/>
        </w:tabs>
        <w:spacing w:line="400" w:lineRule="exact"/>
        <w:ind w:left="420" w:firstLine="480"/>
        <w:jc w:val="left"/>
        <w:rPr>
          <w:rFonts w:hint="eastAsia" w:ascii="宋体" w:hAnsi="宋体" w:cs="宋体"/>
          <w:sz w:val="24"/>
          <w:szCs w:val="24"/>
          <w:highlight w:val="none"/>
        </w:rPr>
      </w:pPr>
      <w:r>
        <w:rPr>
          <w:rFonts w:hint="eastAsia" w:ascii="宋体" w:hAnsi="宋体" w:cs="宋体"/>
          <w:sz w:val="24"/>
          <w:szCs w:val="24"/>
          <w:highlight w:val="none"/>
        </w:rPr>
        <w:t>（3）甲乙双方共同赋予的其他职责。</w:t>
      </w:r>
    </w:p>
    <w:p w14:paraId="624B07C0">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在签发节能量确认单后，乙方应当根据确认的节能量计算出双方各自的节能收益、向甲方发出节能效益书面付款单，叙明付款金额，并提供相应的增值税发票（税率需和供电公司开票税率一致）。</w:t>
      </w:r>
    </w:p>
    <w:p w14:paraId="0BB2A69E">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甲方于收到上述付款单及电费发票之日起十（10）日内以电汇方式向乙方支付节能效益（节约的供电公司的电费）。如有拖欠，应承担相应违约责任。若甲方拖欠乙方应付电费的时间累计超过【3】个月，乙方有权单方解除本合同并主张第12.3条项下的权利。</w:t>
      </w:r>
    </w:p>
    <w:p w14:paraId="195AA246">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该项目在效益分享期的25年内所产生节能减排中的碳排放量，由乙方负责计量，碳权及收益归甲方所有。</w:t>
      </w:r>
    </w:p>
    <w:p w14:paraId="19F48182">
      <w:pPr>
        <w:numPr>
          <w:ilvl w:val="0"/>
          <w:numId w:val="3"/>
        </w:numPr>
        <w:spacing w:before="159" w:after="159" w:line="400" w:lineRule="exact"/>
        <w:ind w:left="0" w:firstLine="643"/>
        <w:jc w:val="left"/>
        <w:rPr>
          <w:rFonts w:hint="eastAsia" w:ascii="宋体" w:hAnsi="宋体" w:cs="宋体"/>
          <w:b/>
          <w:sz w:val="24"/>
          <w:szCs w:val="24"/>
          <w:highlight w:val="none"/>
        </w:rPr>
      </w:pPr>
      <w:bookmarkStart w:id="240" w:name="_Ref112790998"/>
      <w:r>
        <w:rPr>
          <w:rFonts w:hint="eastAsia" w:ascii="宋体" w:hAnsi="宋体" w:cs="宋体"/>
          <w:b/>
          <w:sz w:val="24"/>
          <w:szCs w:val="24"/>
          <w:highlight w:val="none"/>
        </w:rPr>
        <w:t>项目场地租赁</w:t>
      </w:r>
      <w:bookmarkEnd w:id="240"/>
    </w:p>
    <w:p w14:paraId="0ABC7659">
      <w:pPr>
        <w:numPr>
          <w:ilvl w:val="1"/>
          <w:numId w:val="3"/>
        </w:numPr>
        <w:tabs>
          <w:tab w:val="left" w:pos="1418"/>
        </w:tabs>
        <w:spacing w:line="400" w:lineRule="exact"/>
        <w:ind w:left="0" w:firstLine="640"/>
        <w:jc w:val="left"/>
        <w:rPr>
          <w:rFonts w:hint="eastAsia" w:ascii="宋体" w:hAnsi="宋体" w:cs="宋体"/>
          <w:sz w:val="24"/>
          <w:szCs w:val="24"/>
          <w:highlight w:val="none"/>
        </w:rPr>
      </w:pPr>
      <w:bookmarkStart w:id="241" w:name="_Ref112830117"/>
      <w:r>
        <w:rPr>
          <w:rFonts w:hint="eastAsia" w:ascii="宋体" w:hAnsi="宋体" w:cs="宋体"/>
          <w:sz w:val="24"/>
          <w:szCs w:val="24"/>
          <w:highlight w:val="none"/>
        </w:rPr>
        <w:t>租赁标的：甲方向乙方出租甲方合法持有的项目场地（“租赁标的”）用于乙方建设运营光伏电站。本合同期限内因光伏组件采光被遮挡以及租赁的部分项目场地等不再具备本项目使用条件的，甲方应向乙方提供符合本项目要求的同等面积项目场地用于本光伏电站。</w:t>
      </w:r>
    </w:p>
    <w:p w14:paraId="3257643E">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项目场地情况如下：位于【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】的建筑物屋顶约【</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】平方米，屋顶结构【</w:t>
      </w:r>
      <w:r>
        <w:rPr>
          <w:rFonts w:hint="eastAsia" w:ascii="宋体" w:hAnsi="宋体" w:cs="宋体"/>
          <w:sz w:val="24"/>
          <w:szCs w:val="24"/>
          <w:highlight w:val="none"/>
          <w:u w:val="single"/>
        </w:rPr>
        <w:t xml:space="preserve">     </w:t>
      </w:r>
      <w:r>
        <w:rPr>
          <w:rFonts w:hint="eastAsia" w:ascii="宋体" w:hAnsi="宋体" w:cs="宋体"/>
          <w:sz w:val="24"/>
          <w:szCs w:val="24"/>
          <w:highlight w:val="none"/>
        </w:rPr>
        <w:t>】。建筑物不动产权证号：【    】，土地使用权证号：【    】。（以下简称“项目场地”或“建筑物”）</w:t>
      </w:r>
      <w:bookmarkEnd w:id="241"/>
      <w:r>
        <w:rPr>
          <w:rFonts w:hint="eastAsia" w:ascii="宋体" w:hAnsi="宋体" w:cs="宋体"/>
          <w:sz w:val="24"/>
          <w:szCs w:val="24"/>
          <w:highlight w:val="none"/>
        </w:rPr>
        <w:t>。</w:t>
      </w:r>
    </w:p>
    <w:p w14:paraId="37ABE201">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租赁费：双方同意，项目场地租赁费为【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】元/月（含税），自本项目建设完成、并网发电之日的次月起算。</w:t>
      </w:r>
    </w:p>
    <w:p w14:paraId="4BEC6C90">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租赁期限</w:t>
      </w:r>
    </w:p>
    <w:p w14:paraId="2785BA72">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首期租赁期限为20年，自乙方或乙方聘请的第三方实际进场施工之日起计算（为免疑义，自进场施工之日起至项目建成、并网发电之月为免租期，租赁费自建设完成、并网发电之日的次月起算）。租赁期满前，乙方未书面提出不延续本协议租赁期限的，租赁期限自动延续至项目节能效益分享期届满之日，双方应签署与本协议条件相同的为期不少于5年的租赁协议，将租赁期限延续至项目节能效益分享期届满之日。节能效益分享期届满后，双方同意协商继续租赁、合作事宜，同等条件下，乙方具有优先权利。</w:t>
      </w:r>
    </w:p>
    <w:p w14:paraId="774576D0">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甲方同意，乙方对项目场地的可使用期限不低于光伏电站设计寿命期（寿命期为光伏电站建设完成、并网发电后25年）。甲方应确保乙方在电站设计寿命期内的场地使用权不受影响，如因场地租赁协议到期等或者因任何约定或法律、法规和强制性规定导致租赁期早于电站设计寿命期结束的，如乙方提出续签或者重签场地租赁协议的，甲方应当同意并且新协议的租赁条件应与本协议相同，续租赁时间最低应满足电站设计寿命期的要求。</w:t>
      </w:r>
    </w:p>
    <w:p w14:paraId="3366F8F2">
      <w:pPr>
        <w:numPr>
          <w:ilvl w:val="0"/>
          <w:numId w:val="3"/>
        </w:numPr>
        <w:spacing w:before="159" w:after="159" w:line="400" w:lineRule="exact"/>
        <w:ind w:left="0" w:firstLine="643"/>
        <w:jc w:val="left"/>
        <w:rPr>
          <w:rFonts w:hint="eastAsia" w:ascii="宋体" w:hAnsi="宋体" w:cs="宋体"/>
          <w:b/>
          <w:sz w:val="24"/>
          <w:szCs w:val="24"/>
          <w:highlight w:val="none"/>
        </w:rPr>
      </w:pPr>
      <w:bookmarkStart w:id="242" w:name="_Ref112835108"/>
      <w:r>
        <w:rPr>
          <w:rFonts w:hint="eastAsia" w:ascii="宋体" w:hAnsi="宋体" w:cs="宋体"/>
          <w:b/>
          <w:sz w:val="24"/>
          <w:szCs w:val="24"/>
          <w:highlight w:val="none"/>
        </w:rPr>
        <w:t xml:space="preserve"> 甲方的承诺与保证</w:t>
      </w:r>
      <w:bookmarkEnd w:id="242"/>
    </w:p>
    <w:p w14:paraId="2E21260E">
      <w:pPr>
        <w:numPr>
          <w:ilvl w:val="1"/>
          <w:numId w:val="3"/>
        </w:numPr>
        <w:tabs>
          <w:tab w:val="left" w:pos="141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甲方承诺：</w:t>
      </w:r>
    </w:p>
    <w:p w14:paraId="72DAD50A">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（1）甲方单独享有项目场地所涉整体建筑物及地块的不动产所有权，无任何权利限制（包括但不限于抵押权），无任何产权纠纷；</w:t>
      </w:r>
    </w:p>
    <w:p w14:paraId="099C11D1">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（2）甲方有权利将项目场地出租予乙方建设光伏电站、有权利签署并履行本协议；</w:t>
      </w:r>
    </w:p>
    <w:p w14:paraId="7726B9F4">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（3）甲方不存在任何可能影响本协议履行的纠纷、潜在纠纷或行政程序。</w:t>
      </w:r>
    </w:p>
    <w:p w14:paraId="6156CCC9">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甲方有义务向乙方提供下列文件，甲方承诺保证下述提供文件均为合法、真实有效的：</w:t>
      </w:r>
    </w:p>
    <w:p w14:paraId="4FA78DE8">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（1）甲方应向乙方出具主体资格证明文件，包括工商营业执照及其他法定主体资格证照等；</w:t>
      </w:r>
    </w:p>
    <w:p w14:paraId="1553873F">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2）甲方须向乙方提供项目场地不动产权证书、土地使用权证，及证明项目场地及相关建筑物系合法营建的凭证，包括但不限于建设工程规划许可证、建设工程施工许可证、土地使用权证、建设用地规划许可证等。</w:t>
      </w:r>
    </w:p>
    <w:p w14:paraId="180C5418">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（3）甲方须在项目开展设计工作前向乙方提供电气系统图、建筑结构图、生产负荷用电曲线等涉及施工设计的相关资料。纸质图纸至少提供1份，图纸应标注清晰，保证资料内容正确。</w:t>
      </w:r>
    </w:p>
    <w:p w14:paraId="1C581136">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自本协议生效至节能效益分享期届满，甲方承诺：自甲方知道或应当知道下列重大不利事件之日起5日内，甲方应及时将事件及相关具体情况书面通知乙方以求各方尽快达成处置方案：</w:t>
      </w:r>
    </w:p>
    <w:p w14:paraId="75DE9588">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（1）甲方建筑物被查封的；</w:t>
      </w:r>
    </w:p>
    <w:p w14:paraId="2C06E286">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（2）甲方出现经营困难，存在启动破产程序切实风险的；</w:t>
      </w:r>
    </w:p>
    <w:p w14:paraId="19EB441B">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（3）政府对建筑物作出征收方案或征收决定的；</w:t>
      </w:r>
    </w:p>
    <w:p w14:paraId="6AE6BD16">
      <w:pPr>
        <w:tabs>
          <w:tab w:val="left" w:pos="141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（4）法院以建筑物为标的作出执行裁定的。</w:t>
      </w:r>
    </w:p>
    <w:p w14:paraId="3A97A83F">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bookmarkStart w:id="243" w:name="_Ref112833156"/>
      <w:r>
        <w:rPr>
          <w:rFonts w:hint="eastAsia" w:ascii="宋体" w:hAnsi="宋体" w:cs="宋体"/>
          <w:sz w:val="24"/>
          <w:szCs w:val="24"/>
          <w:highlight w:val="none"/>
        </w:rPr>
        <w:t>自本协议生效至节能效益分享期届满，甲方保证按照如下约定保障乙方使用项目场地的权利不受影响，保证本协议的履行：</w:t>
      </w:r>
      <w:bookmarkEnd w:id="243"/>
    </w:p>
    <w:p w14:paraId="6C0BFBD3">
      <w:pPr>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（1）如甲方拟对项目场地设置抵押或其他权利限制的，甲方应事先以书面形式通知乙方。</w:t>
      </w:r>
    </w:p>
    <w:p w14:paraId="2B3CB6C0">
      <w:pPr>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（2）如抵押权人实现抵押权，或建筑物发生被拍卖、或变卖等情况的，甲方须及时告知乙方并积极协调妥善解决，力争促成乙方对项目场地的使用权不受影响、力争促成建筑物受让人继续履行本协议。</w:t>
      </w:r>
    </w:p>
    <w:p w14:paraId="6CC1717B">
      <w:pPr>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（3）如甲方拟向第三方转让建筑物的，甲方需提前3个月与乙方洽商，甲方需保证建筑物受让人认可本协议并同意继续履行本协议、概括承受本协议项下甲方的全部权利义务。</w:t>
      </w:r>
    </w:p>
    <w:p w14:paraId="22E3FA78">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如甲方违反本</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REF _Ref112835108 \r \h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第7节</w:t>
      </w:r>
      <w:r>
        <w:rPr>
          <w:rFonts w:hint="eastAsia" w:ascii="宋体" w:hAnsi="宋体" w:cs="宋体"/>
          <w:sz w:val="24"/>
          <w:szCs w:val="24"/>
          <w:highlight w:val="none"/>
        </w:rPr>
        <w:fldChar w:fldCharType="end"/>
      </w:r>
      <w:r>
        <w:rPr>
          <w:rFonts w:hint="eastAsia" w:ascii="宋体" w:hAnsi="宋体" w:cs="宋体"/>
          <w:sz w:val="24"/>
          <w:szCs w:val="24"/>
          <w:highlight w:val="none"/>
        </w:rPr>
        <w:t>之约定，甲方应依据本协议第</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REF _Ref112847708 \r \h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12.2</w:t>
      </w:r>
      <w:r>
        <w:rPr>
          <w:rFonts w:hint="eastAsia" w:ascii="宋体" w:hAnsi="宋体" w:cs="宋体"/>
          <w:sz w:val="24"/>
          <w:szCs w:val="24"/>
          <w:highlight w:val="none"/>
        </w:rPr>
        <w:fldChar w:fldCharType="end"/>
      </w:r>
      <w:r>
        <w:rPr>
          <w:rFonts w:hint="eastAsia" w:ascii="宋体" w:hAnsi="宋体" w:cs="宋体"/>
          <w:sz w:val="24"/>
          <w:szCs w:val="24"/>
          <w:highlight w:val="none"/>
        </w:rPr>
        <w:t>条及第</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REF _Ref113263883 \r \h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12.3</w:t>
      </w:r>
      <w:r>
        <w:rPr>
          <w:rFonts w:hint="eastAsia" w:ascii="宋体" w:hAnsi="宋体" w:cs="宋体"/>
          <w:sz w:val="24"/>
          <w:szCs w:val="24"/>
          <w:highlight w:val="none"/>
        </w:rPr>
        <w:fldChar w:fldCharType="end"/>
      </w:r>
      <w:r>
        <w:rPr>
          <w:rFonts w:hint="eastAsia" w:ascii="宋体" w:hAnsi="宋体" w:cs="宋体"/>
          <w:sz w:val="24"/>
          <w:szCs w:val="24"/>
          <w:highlight w:val="none"/>
        </w:rPr>
        <w:t>条之约定向乙方赔偿全部损失</w:t>
      </w:r>
    </w:p>
    <w:p w14:paraId="4E7AD46F">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项目场地维护与项目建设</w:t>
      </w:r>
    </w:p>
    <w:p w14:paraId="44C05647">
      <w:pPr>
        <w:numPr>
          <w:ilvl w:val="1"/>
          <w:numId w:val="3"/>
        </w:numPr>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项目场地维护</w:t>
      </w:r>
    </w:p>
    <w:p w14:paraId="74B8E9D7">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甲方按本协议约定向乙方提供项目场地，供乙方建设光伏电站，乙方在甲方屋顶安装光伏发电设备工程开工前，甲方应在乙方的参与下对屋顶状况进行全面检查，进行必要的修补和清理，对于存在隐患的部分屋面（尤其是防水、防漏、加固处理）其结构或构筑物进行检修或更换，该检修或更换费用由甲方承担。甲方向乙方交付建筑屋顶时，双方即时签订屋顶、场地租赁物交接清单（标明详细地址、栋号、房屋层数、屋顶面积、屋顶结构形式、屋顶使用情况、屋顶质量情况、地面设备占地位置及面积、交接时间、交验人员等）。</w:t>
      </w:r>
    </w:p>
    <w:p w14:paraId="6A34495C">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本项目竣工验收后，由乙方原因造成的屋面损坏、漏水，由乙方负责屋面维修、维护发生的费用由乙方负责，维修过程中甲方需积极配合；非乙方原因造成的屋面损坏、老化、漏水等情况，由甲方负责维修、维护发生的费用由甲方负责。维修过程中，甲乙双方开会协商，共同制定维修方案，以保证电站正常运行为前提。</w:t>
      </w:r>
    </w:p>
    <w:p w14:paraId="6C259BC5">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在协议履行期间，如屋面型材和屋顶结构因设计标准导致使用寿命低于节能效益分享期的（屋顶不符合电站建设要求），甲方应在屋顶产生缺陷不满足电站安装要求时起【30】日内更换新屋面或维修完毕，必要时更换新的屋顶结构，以保证甲乙双方的生产经营安全，屋顶改造工作由甲方负责，由此产生的屋顶防水等全部维修、改造费用由甲方承担。</w:t>
      </w:r>
    </w:p>
    <w:p w14:paraId="06828982">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bookmarkStart w:id="244" w:name="_Ref112837917"/>
      <w:r>
        <w:rPr>
          <w:rFonts w:hint="eastAsia" w:ascii="宋体" w:hAnsi="宋体" w:cs="宋体"/>
          <w:sz w:val="24"/>
          <w:szCs w:val="24"/>
          <w:highlight w:val="none"/>
        </w:rPr>
        <w:t>甲方应于本协议签订后【30】日内，将与本项目及项目场地有关的内部规章制度和特殊安全规定要求书面告知乙方、乙方的工作人员及乙方聘请的第三方。</w:t>
      </w:r>
      <w:bookmarkEnd w:id="244"/>
    </w:p>
    <w:p w14:paraId="61CDEECA">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甲方应为乙方的施工、后期运维检测修理提供必要的条件和协助，包括但不限于：</w:t>
      </w:r>
    </w:p>
    <w:p w14:paraId="1FB622DA">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免费为乙方提供光伏电站安装所需的其现有的电缆井通道、设备房、设备存放区域、项目所需电气设备安装的空间、配电房、电缆等光伏电站建设配合条件。</w:t>
      </w:r>
    </w:p>
    <w:p w14:paraId="36D793E0">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甲方按设计方案提供建筑屋面作为电站建设平台，并为乙方施工提供必要的条件，如施工用水、用电和临时施工场地以及项目试运条件等。所发生的费用据实统计，该等费用由乙方负担。</w:t>
      </w:r>
    </w:p>
    <w:p w14:paraId="62A494E6">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甲方为乙方维护、检测、修理项目设施和设备提供便利，应为乙方办理长期进厂工作证件，保证乙方经甲方同意后合理地接触与本项目有关的设施和设备；如设备发生故障、损坏或丢失，甲方在得知此情况后应及时通知乙方，配合乙方对设备进行维修和监管、查明损失原因和处理索赔事宜。</w:t>
      </w:r>
    </w:p>
    <w:p w14:paraId="731E08ED">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屋顶改造、拆除：</w:t>
      </w:r>
    </w:p>
    <w:p w14:paraId="6F7FE5FE">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除本协议另有约定外，自本协议生效至节能效益分享期届满，甲方不得自行将屋顶维修改造或拆除更换。如果确实需要维修改造，甲方需提前【60】日通知乙方，并由甲方承担维修改造费用，同时甲方不得改变项目场地继续安装光伏电站的用途、形式及使用面积。如果确实需要拆除更换，甲方需提前【60】日通知乙方，并由甲方承担拆除更换费用，同时甲方必须提供其他相同面积的项目场地用于乙方重新安装光伏电站。</w:t>
      </w:r>
    </w:p>
    <w:p w14:paraId="6D7DE3B2">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甲方维修改造或拆除更换屋顶的，甲方应当承担乙方拆除、重新安装项目光伏电站设备的全部费用。节能效益分享期内，甲方维修改造或拆除更换屋顶期间累计不应超过【2】个月。否则，甲方对因维修改造或拆除更换屋顶导致乙方因实际减少组件导致的节能效益损失进行赔偿，实际减少组件的发电量按近【12】个月月均发电量对应实际组件比例进行计算，自本协议签订起不足12个月的，以全部实际发电月份进行计算。由于不可抗因素造成，从不可抗因素消除后计算。</w:t>
      </w:r>
    </w:p>
    <w:p w14:paraId="285B3B3D">
      <w:pPr>
        <w:numPr>
          <w:ilvl w:val="1"/>
          <w:numId w:val="3"/>
        </w:numPr>
        <w:tabs>
          <w:tab w:val="left" w:pos="1418"/>
        </w:tabs>
        <w:spacing w:before="159"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如果因为政府原因需要拆迁，拆迁方案以甲方和征收部门确认为准，如乙方有异议的，可向甲方提出，由甲方与征收部门沟通，但不得因此阻挠拆迁方案的实施，所有电站相关补贴、赔偿等权益归属乙方。如因甲方原因导致乙方无法依法获得相应拆迁补偿款等款项的，甲方应积极为乙方争取，否则承担相关赔偿责任。若该等补偿款被支付至甲方，则甲方应在收到上述款项后【15】日内一次性全额支付给乙方，逾期支付的，甲方应每天按照逾期未付款项的【万分之五】向乙方支付违约金。</w:t>
      </w:r>
    </w:p>
    <w:p w14:paraId="1ACBC28D">
      <w:pPr>
        <w:numPr>
          <w:ilvl w:val="1"/>
          <w:numId w:val="3"/>
        </w:numPr>
        <w:tabs>
          <w:tab w:val="left" w:pos="141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甲方应协助乙方办理本项目实施所必需的政府的许可文件、环评批复和电网接入批复等。</w:t>
      </w:r>
    </w:p>
    <w:p w14:paraId="664DFBD9">
      <w:pPr>
        <w:numPr>
          <w:ilvl w:val="1"/>
          <w:numId w:val="3"/>
        </w:numPr>
        <w:tabs>
          <w:tab w:val="left" w:pos="141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甲方应及时协助乙方完成项目的试运行和验收，甲方同样认可国家相关部门出具的该项目验收文件。</w:t>
      </w:r>
    </w:p>
    <w:p w14:paraId="7FFB1FF2">
      <w:pPr>
        <w:numPr>
          <w:ilvl w:val="1"/>
          <w:numId w:val="3"/>
        </w:numPr>
        <w:tabs>
          <w:tab w:val="left" w:pos="141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为保障电力安全，在协议履行期间，甲乙双方因履行本协议发生任何争议或纠纷，在争议或纠纷未最终解决之前，甲方不得采取任何措施妨碍乙方光伏电站的正常运行、维护，不得阻碍乙方人员正常履行工作职责。</w:t>
      </w:r>
    </w:p>
    <w:p w14:paraId="1DDDCE4A">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乙方的承诺与保证</w:t>
      </w:r>
    </w:p>
    <w:p w14:paraId="34DBB7DC">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甲方全力配合乙方办理本项目实施所必需的各项政府部门审批、许可文件、竣工验收和电网接入批复，共同推动项目早日开工和顺利验收，所需费用由乙方承担。</w:t>
      </w:r>
    </w:p>
    <w:p w14:paraId="1904F645">
      <w:pPr>
        <w:numPr>
          <w:ilvl w:val="1"/>
          <w:numId w:val="3"/>
        </w:numPr>
        <w:tabs>
          <w:tab w:val="left" w:pos="1560"/>
        </w:tabs>
        <w:spacing w:line="400" w:lineRule="exact"/>
        <w:ind w:left="0" w:firstLine="640"/>
        <w:rPr>
          <w:rFonts w:hint="eastAsia" w:ascii="宋体" w:hAnsi="宋体" w:cs="宋体"/>
          <w:b/>
          <w:sz w:val="24"/>
          <w:szCs w:val="24"/>
          <w:highlight w:val="none"/>
        </w:rPr>
      </w:pPr>
      <w:r>
        <w:rPr>
          <w:rFonts w:hint="eastAsia" w:ascii="宋体" w:hAnsi="宋体" w:cs="宋体"/>
          <w:sz w:val="24"/>
          <w:szCs w:val="24"/>
          <w:highlight w:val="none"/>
        </w:rPr>
        <w:t>乙方应严格按照项目方案文件规定的技术标准和要求以及本协议的规定，如《民用建筑太阳能光伏系统应用技术规范》，并聘请有国家认可资质的设计单位按时完成本项目的方案设计，设计单位的资质至少需要国家认可的在新能源乙级以上资质。乙方应将设计方案提交给甲方，并获得甲方同意后方可实施。乙方按设计方案按期完成项目建设，做好项目运营以及维护管理。</w:t>
      </w:r>
    </w:p>
    <w:p w14:paraId="34848882">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乙方应当确保其工作人员和其聘请的第三方严格遵守甲方依据第</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REF _Ref112837917 \r \h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7.2</w:t>
      </w:r>
      <w:r>
        <w:rPr>
          <w:rFonts w:hint="eastAsia" w:ascii="宋体" w:hAnsi="宋体" w:cs="宋体"/>
          <w:sz w:val="24"/>
          <w:szCs w:val="24"/>
          <w:highlight w:val="none"/>
        </w:rPr>
        <w:fldChar w:fldCharType="end"/>
      </w:r>
      <w:r>
        <w:rPr>
          <w:rFonts w:hint="eastAsia" w:ascii="宋体" w:hAnsi="宋体" w:cs="宋体"/>
          <w:sz w:val="24"/>
          <w:szCs w:val="24"/>
          <w:highlight w:val="none"/>
        </w:rPr>
        <w:t>条提供的内部规章制度和特殊安全规定，并听从甲方合理的现场指挥。</w:t>
      </w:r>
    </w:p>
    <w:p w14:paraId="1A2228D0">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乙方在进行项目建设时应以不改变和破坏甲方屋顶原有附属设施（包括但不限于采光带、通风、排烟设备等）的位置及功能为准则，但是乙方在设计方案中列明且设计方案经甲方同意的除外。</w:t>
      </w:r>
    </w:p>
    <w:p w14:paraId="09199005">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乙方应在项目建设实施之前对所施工的甲方屋顶与甲方相关人员共同进行全面防水检查。如需修缮的，甲方负责对需要修缮的部位进行封胶修缮处理，所产生的费用由甲方承担。</w:t>
      </w:r>
    </w:p>
    <w:p w14:paraId="733BF137">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设备的安装和调试应符合国家、行业或企业有关施工管理条例和与项目相对应的技术标准规范要求以及甲方合理的施工、管理要求。</w:t>
      </w:r>
    </w:p>
    <w:p w14:paraId="76000A83">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在接到甲方关于项目运行故障的通知之后，乙方应在24小时内快速响应，进场抢修，及时完成相关维修或设备更换。</w:t>
      </w:r>
    </w:p>
    <w:p w14:paraId="0E39B940">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项目建成后应建立健全项目运行维护管理制度，乙方应严格执行。</w:t>
      </w:r>
    </w:p>
    <w:p w14:paraId="56D3E3C2">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项目建成后，在项目运行期内，项目设备所涉及的检修维护和故障处理工作全部由乙方负责，发生的维护费用也全部由乙方负责。</w:t>
      </w:r>
    </w:p>
    <w:p w14:paraId="40CFE7F6">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系统的接入性能应满足国网公司技术规定要求，保证甲方用户侧电气设备的安全运行；系统应设置足够的防雷设施，防止雷电感应及雷电波侵入对用户侧电气设备造成危害。</w:t>
      </w:r>
    </w:p>
    <w:p w14:paraId="2766DB8A">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在项目竣工后，由国家相关部门负责组织验收，乙方应确保项目建设施工的质量合格。</w:t>
      </w:r>
    </w:p>
    <w:p w14:paraId="310AAC66">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乙方应保证与项目相关的设备、设施的运行符合国家法律法规及产业政策要求，保证与项目相关的设备、设施连续稳定运行且运行状况良好。</w:t>
      </w:r>
    </w:p>
    <w:p w14:paraId="4466752B">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乙方保证项目所产生的电量优先供应甲方。</w:t>
      </w:r>
    </w:p>
    <w:p w14:paraId="17C0728B">
      <w:pPr>
        <w:numPr>
          <w:ilvl w:val="1"/>
          <w:numId w:val="3"/>
        </w:numPr>
        <w:tabs>
          <w:tab w:val="left" w:pos="141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乙方（包括乙方员工、承包商、代理人等）原因引起的甲方/第三方财产损坏或人身伤害的,乙方应承担损失。</w:t>
      </w:r>
    </w:p>
    <w:p w14:paraId="0E7118EE">
      <w:pPr>
        <w:numPr>
          <w:ilvl w:val="1"/>
          <w:numId w:val="3"/>
        </w:numPr>
        <w:tabs>
          <w:tab w:val="left" w:pos="1560"/>
        </w:tabs>
        <w:spacing w:line="400" w:lineRule="exact"/>
        <w:ind w:left="0" w:firstLine="640"/>
        <w:jc w:val="left"/>
        <w:rPr>
          <w:rFonts w:hint="eastAsia" w:ascii="宋体" w:hAnsi="宋体" w:cs="宋体"/>
          <w:b/>
          <w:sz w:val="24"/>
          <w:szCs w:val="24"/>
          <w:highlight w:val="none"/>
        </w:rPr>
      </w:pPr>
      <w:bookmarkStart w:id="245" w:name="_Hlk179372646"/>
      <w:r>
        <w:rPr>
          <w:rFonts w:hint="eastAsia" w:ascii="宋体" w:hAnsi="宋体" w:cs="宋体"/>
          <w:sz w:val="24"/>
          <w:szCs w:val="24"/>
          <w:highlight w:val="none"/>
        </w:rPr>
        <w:t>光伏电站变更与设立他项权利:</w:t>
      </w:r>
    </w:p>
    <w:p w14:paraId="4B24C095">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本协议履行期间，乙方不得将光伏电站所有权转移给第三方；</w:t>
      </w:r>
    </w:p>
    <w:p w14:paraId="4870B98E">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本协议履行期间，乙方不得对光伏电站设立抵押权，质押权等一切有碍于甲方行使本合同权利的行为。</w:t>
      </w:r>
    </w:p>
    <w:p w14:paraId="4B2F9EF0">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如乙方违反上述条款的，甲方自知道上述行为发生之日有权立即解除本合同，并要求乙方赔偿给甲方造成的一切损失</w:t>
      </w:r>
    </w:p>
    <w:bookmarkEnd w:id="245"/>
    <w:p w14:paraId="3150FB9E">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廉洁保证：乙方不得为达到交易目的或为履行协议而向甲方人员提供、给付不正当利益或达成不正当利益的分成；不得为谋取不正当利益诱使甲方人员接受或共同编造虚假议价数据、价格；不得诱使甲方人员暗中或默认将协议权利义务转让给第三方；不得以任何手段利诱甲方关系人员违背职务，或影响交易价格、交易达成，或损害甲方利益。</w:t>
      </w:r>
    </w:p>
    <w:p w14:paraId="0F105C55">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项目的更改</w:t>
      </w:r>
    </w:p>
    <w:p w14:paraId="43905066">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如在项目的建设期间出现乙方无法预料的情况，从而导致原有项目方案需要修改时，则乙方有权对原有项目方案进行修改并实施修改的方案，应事先告知甲方并获得甲方认可同意，并且修改前提是不会对原有项目方案设定的主要节能目标和技术指标造成重大不利影响。</w:t>
      </w:r>
    </w:p>
    <w:p w14:paraId="65FCAF46">
      <w:pPr>
        <w:tabs>
          <w:tab w:val="left" w:pos="1560"/>
        </w:tabs>
        <w:spacing w:line="400" w:lineRule="exact"/>
        <w:ind w:firstLine="480"/>
        <w:jc w:val="left"/>
        <w:rPr>
          <w:rFonts w:hint="eastAsia" w:ascii="宋体" w:hAnsi="宋体" w:cs="宋体"/>
          <w:b/>
          <w:sz w:val="24"/>
          <w:szCs w:val="24"/>
          <w:highlight w:val="none"/>
        </w:rPr>
      </w:pPr>
      <w:r>
        <w:rPr>
          <w:rFonts w:hint="eastAsia" w:ascii="宋体" w:hAnsi="宋体" w:cs="宋体"/>
          <w:sz w:val="24"/>
          <w:szCs w:val="24"/>
          <w:highlight w:val="none"/>
        </w:rPr>
        <w:t>在此情况下，乙方应出具项目修改方案，对原有项目进行修改而产生的所有费用由乙方承担，但若该情况的出现是由于甲方原因造成的除外。</w:t>
      </w:r>
    </w:p>
    <w:p w14:paraId="25B1A04A">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在本项目运行期间，乙方有权为优化项目方案、提高节能效益对项目进行改造，但应事先告知甲方并获得甲方认可同意，签署改造包括但不限于对相关设备或设施进行添加、替换、去除、改造，或者是对相关操作、维护程序和方法进行修改。所有的改造费用由乙方承担。</w:t>
      </w:r>
    </w:p>
    <w:p w14:paraId="11CE31D5">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在本项目运行期间，甲方如需拆除、更换、更改、添加或移动现有设备、设施、场地，甲方应事先征得乙方同意，各方共同协调，将对乙方产生的不利影响降到最小。相应费用由甲方自行承担。</w:t>
      </w:r>
    </w:p>
    <w:p w14:paraId="303609B4">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甲方每个自然月用电消纳比，是指甲方当月实际使用光伏电站所发电量与当月光伏电站所发全部电量之比。甲乙双方一致同意，本合同期限内甲方月用电消纳比不得低于【50】%。若甲方连续【3】个月或累计【6】个月的用电消纳比低于该比例且乙方因此面临电网处罚或关停电站时，乙方有权选择主张以下的权利：将本项目由“自发自用、余电上网”模式变更为“全额上网”模式或将相关电能供应给任何第三方（包括但不限于电网公司），甲方须配合乙方办理变更手续并承担该变更所需的全部费用；变更模式后本合同项下的项目场地租赁条款仍然有效。</w:t>
      </w:r>
    </w:p>
    <w:p w14:paraId="2CF0FDBC">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资产所有权、后续收益权以及风险责任</w:t>
      </w:r>
    </w:p>
    <w:p w14:paraId="5197AB51">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本项目下的所有由乙方采购并安装的设备、设施和仪器等固定资产（简称“项目资产”）的所有权属于乙方。25年（300个月）后项目资产无偿移交给甲方。</w:t>
      </w:r>
    </w:p>
    <w:p w14:paraId="3D55207E">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任何情形下，甲方转让项目场地或设定权利限制的，均仅限于项目场地本身，而不得及于乙方所有的项目资产，且甲方不以任何理由主张项目资产的留置权。</w:t>
      </w:r>
    </w:p>
    <w:p w14:paraId="524C8745">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项目资产清单作为乙方项目资产凭证，在项目完成建设、并网发电后一（1）个月内由乙方提供给甲方并经甲方书面确认，资产清单必须与现场实际实物相符。</w:t>
      </w:r>
    </w:p>
    <w:p w14:paraId="59C55DB9">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项目资产清单内容包括设备、设施、辅助设备设施的名称、型号、购入时间及质保期等。</w:t>
      </w:r>
    </w:p>
    <w:p w14:paraId="5AC8E796">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除本协议另有约定外，项目资产的所有权不因任何一方违约或者本协议的提前解除而转移。</w:t>
      </w:r>
    </w:p>
    <w:p w14:paraId="49E0EA4A">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在本项目运行期间，项目资产非因甲方过错而遭受损失、被窃、人为损坏的风险责任由乙方承担。</w:t>
      </w:r>
    </w:p>
    <w:p w14:paraId="7F337F9F">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在本项目运行期间，出现以下任一情况（因气象部门认定的重特大自然灾害造成的情况或者其他经认定的不可抗力因素除外）：</w:t>
      </w:r>
    </w:p>
    <w:p w14:paraId="61C0726A">
      <w:pPr>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（1）乙方资产设备或部件的故障、损坏或其他非正常运转行为造成的甲方线路失电、设备损坏等；</w:t>
      </w:r>
    </w:p>
    <w:p w14:paraId="6099FEBC">
      <w:pPr>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（2）由于乙方设施原因，造成所使用的建筑、屋面损坏或渗漏、固体坠落等；</w:t>
      </w:r>
    </w:p>
    <w:p w14:paraId="34FAB71C">
      <w:pPr>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（3）由于乙方设施原因、操作及维护程序和方法不规范等原因造成甲方、乙方或第三方人员人身伤害的；</w:t>
      </w:r>
    </w:p>
    <w:p w14:paraId="34BD9CE6">
      <w:pPr>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出现以上任一情况并由此造成甲方、乙方或相关第三方财产损失、人身伤害等，由此而产生的所有损失均由乙方承担。若由此引起相关第三方向甲方提出法律诉讼赔偿请求，乙方承诺协助甲方应诉；若法院或仲裁判决（或裁决）由甲方向受害者进行赔偿的，乙方将无条件将甲方已支付的赔偿费用，全额支付给甲方。乙方应于赔偿金额确定后十五（15）日内向受害方或甲方支付全额赔偿款。但如该等损失是由甲方故意或者过失造成的，则乙方不承担责任；由第三方故意或者过失造成的，由第三方承担责任、乙方不承担责任。</w:t>
      </w:r>
    </w:p>
    <w:p w14:paraId="2B7ACBCD">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违约责任</w:t>
      </w:r>
    </w:p>
    <w:p w14:paraId="247942F3">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如甲方未按照本协议的规定及时向乙方支付款项，则每逾期一天，按逾期未付款项的0.03%向乙方支付滞纳金。</w:t>
      </w:r>
    </w:p>
    <w:p w14:paraId="35417516">
      <w:pPr>
        <w:numPr>
          <w:ilvl w:val="1"/>
          <w:numId w:val="3"/>
        </w:numPr>
        <w:tabs>
          <w:tab w:val="left" w:pos="1560"/>
        </w:tabs>
        <w:spacing w:line="400" w:lineRule="exact"/>
        <w:ind w:left="0" w:firstLine="640"/>
        <w:jc w:val="left"/>
        <w:rPr>
          <w:rFonts w:hint="eastAsia" w:ascii="宋体" w:hAnsi="宋体" w:cs="宋体"/>
          <w:b/>
          <w:sz w:val="24"/>
          <w:szCs w:val="24"/>
          <w:highlight w:val="none"/>
        </w:rPr>
      </w:pPr>
      <w:bookmarkStart w:id="246" w:name="_Ref112847708"/>
      <w:r>
        <w:rPr>
          <w:rFonts w:hint="eastAsia" w:ascii="宋体" w:hAnsi="宋体" w:cs="宋体"/>
          <w:sz w:val="24"/>
          <w:szCs w:val="24"/>
          <w:highlight w:val="none"/>
        </w:rPr>
        <w:t>如一方违反本协议约定，造成对方损失的，则应赔偿损失；若该违约构成根本违约的，则另一方有权以书面通知方式单方解除协议，并要求赔偿损失。</w:t>
      </w:r>
      <w:bookmarkEnd w:id="246"/>
    </w:p>
    <w:p w14:paraId="119588EA">
      <w:pPr>
        <w:numPr>
          <w:ilvl w:val="1"/>
          <w:numId w:val="3"/>
        </w:numPr>
        <w:tabs>
          <w:tab w:val="left" w:pos="1560"/>
        </w:tabs>
        <w:spacing w:line="400" w:lineRule="exact"/>
        <w:ind w:left="0" w:firstLine="640"/>
        <w:jc w:val="left"/>
        <w:rPr>
          <w:rFonts w:hint="eastAsia" w:ascii="宋体" w:hAnsi="宋体" w:cs="宋体"/>
          <w:b/>
          <w:sz w:val="24"/>
          <w:szCs w:val="24"/>
          <w:highlight w:val="none"/>
        </w:rPr>
      </w:pPr>
      <w:bookmarkStart w:id="247" w:name="_Ref113263883"/>
      <w:r>
        <w:rPr>
          <w:rFonts w:hint="eastAsia" w:ascii="宋体" w:hAnsi="宋体" w:cs="宋体"/>
          <w:sz w:val="24"/>
          <w:szCs w:val="24"/>
          <w:highlight w:val="none"/>
        </w:rPr>
        <w:t>如甲方违反本协议之约定、致使本协议无法继续履行的，甲方应赔偿乙方全部损失额作为违约金，前述乙方全部损失=项目残值+乙方18个月电费收益，其中：</w:t>
      </w:r>
      <w:bookmarkEnd w:id="247"/>
    </w:p>
    <w:p w14:paraId="4640C292">
      <w:pPr>
        <w:tabs>
          <w:tab w:val="left" w:pos="1418"/>
          <w:tab w:val="left" w:pos="226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（1）甲方应向乙方支付项目设备残值，支付全部赔偿款后，项目全部设备归甲方所有。届时的项目设备残值计算公式为：</w:t>
      </w:r>
    </w:p>
    <w:p w14:paraId="7FC58F04">
      <w:pPr>
        <w:tabs>
          <w:tab w:val="left" w:pos="1418"/>
          <w:tab w:val="left" w:pos="226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项目全部设备残值=（项目全部设备采购价/项目节能效益分享期）*（项目节能效益分享期-已经履行的效益分享期）</w:t>
      </w:r>
    </w:p>
    <w:p w14:paraId="07EFF4BA">
      <w:pPr>
        <w:tabs>
          <w:tab w:val="left" w:pos="1418"/>
          <w:tab w:val="left" w:pos="2268"/>
        </w:tabs>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（2）乙方18个月电费收益按项目终止前已供电（含甲方及电网公司供电）所涉之月平均电费计算。如节能效益分享期不足一个月的，则月平均电费按日平均电费*30计。</w:t>
      </w:r>
    </w:p>
    <w:p w14:paraId="08EB4108">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除本协议另有约定外，一方违约后，另一方应采取适当措施，防止损失的扩大，否则不能就扩大部分的损失要求赔偿。</w:t>
      </w:r>
    </w:p>
    <w:p w14:paraId="03660F52">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违约方违约除应承担相应违约责任外，另一方向违约方主张权利所产生的费用亦由违约方承担。</w:t>
      </w:r>
    </w:p>
    <w:p w14:paraId="161B09AB">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如乙方违反本协议之约定、致使本协议无法继续履行的，乙方应赔偿甲方全部损失额作为违约金，前述甲方全部损失=剩余合同期内，甲方根据合同所可能享受到的全部用电优惠。同时项目全部设备均归甲方所有，甲方可以任意处置。</w:t>
      </w:r>
    </w:p>
    <w:p w14:paraId="6E59D74E">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不可抗力</w:t>
      </w:r>
    </w:p>
    <w:p w14:paraId="111D17BE">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不可抗力指不能预见、不能避免且不能克服的客观情况。如地震、水灾、战争、暴乱等。</w:t>
      </w:r>
    </w:p>
    <w:p w14:paraId="35BB6E65">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如果一方（“受影响方”）由于不可抗力事件的发生，无法履行协议下的义务，受影响方就必须在知晓不可抗力的有关事件的五（5）日内向另一方（“非影响方”）提交书面通知，提供不可抗力事件的细节。</w:t>
      </w:r>
    </w:p>
    <w:p w14:paraId="0EDB0A36">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受影响方必须采取一切合理的措施，以消除或减轻不可抗力事件有关的影响。</w:t>
      </w:r>
    </w:p>
    <w:p w14:paraId="12708137">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在不可抗力事件持续期间，受影响方的履行义务暂时中止，相应的义务履行期限相应顺延，受影响方不应承担相应责任。在不可抗力事件结束后，受影响方应该尽快恢复履行本协议下的义务。</w:t>
      </w:r>
    </w:p>
    <w:p w14:paraId="3EC99E51">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如果因为不可抗力事件的影响，受影响方不能履行本协议项下的任何义务，而且非影响方在收到不可抗力通知后，受影响方的不能履行义务持续时间达六十（60）个连续日，且在此期间，各方没有能够谈判达成一项彼此可以接受的替代方式来执行本协议下的项目，任何一方可向另一方提供书面通知，解除本协议，而不用承担任何责任。</w:t>
      </w:r>
    </w:p>
    <w:p w14:paraId="0A03F533">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保密</w:t>
      </w:r>
    </w:p>
    <w:p w14:paraId="17B19929">
      <w:pPr>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双方同意，本协议内容、本协议履行情况（包括但不限于光伏电站发电量、相关经济数据等）、相对方为履行本协议披露的任何信息等均为保密信息。未经相对方同意，任一方不得向第三方披露保密信息，但是向其员工、雇员、顾问、会计师及律师等负有保密义务的人员披露除外。</w:t>
      </w:r>
    </w:p>
    <w:p w14:paraId="3B3C2897">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协议解除</w:t>
      </w:r>
    </w:p>
    <w:p w14:paraId="6D01A2DB">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本协议可经由甲乙双方协商一致后书面解除。</w:t>
      </w:r>
    </w:p>
    <w:p w14:paraId="4ADFEE2E">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本协议可依照“不可抗力”的规定解除。</w:t>
      </w:r>
    </w:p>
    <w:p w14:paraId="4305B801">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本协议解除后，本项目应当终止实施。除本协议另有约定外，无论到期终止还是提前解除，项目资产由乙方负责拆除、取回，并将现场恢复原状后向甲方交付，甲方应对乙方提供必要的协助，如乙方未在甲方要求的时间内拆除、取回项目资产的，则上述资产视为乙方丢弃物，资产所有权归属甲方，甲方有权任意处置，现场恢复原状所产生的一切费用均由乙方承担，甲方垫付后有权向乙方追偿。</w:t>
      </w:r>
    </w:p>
    <w:p w14:paraId="6770F780">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本协议的解除不影响任意一方根据本协议或者相关的法律法规向其他方寻求赔偿的权利，也不影响任何一方在协议解除前到期的付款义务的履行。</w:t>
      </w:r>
    </w:p>
    <w:p w14:paraId="22BCDFF2">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侵权责任及保险</w:t>
      </w:r>
    </w:p>
    <w:p w14:paraId="17503B1C">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人身和财产损害和赔偿：</w:t>
      </w:r>
    </w:p>
    <w:p w14:paraId="5D708C75">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如果在履行本协议的过程中，因一方的工作人员或受其指派的第三方人员（以上合称“侵权方”）的故意或者是过失而导致另一方的工作人员、或者是任何第三方的人身或者是财产损害，侵权方应当为此负责。如果另一方因此受到其工作人员或者是该第三方的赔偿请求，则侵权方应当负责为另一方抗辩，并赔偿另一方由此而产生的所有费用和损失。</w:t>
      </w:r>
    </w:p>
    <w:p w14:paraId="2CB93062">
      <w:pPr>
        <w:numPr>
          <w:ilvl w:val="2"/>
          <w:numId w:val="3"/>
        </w:numPr>
        <w:tabs>
          <w:tab w:val="left" w:pos="1418"/>
          <w:tab w:val="left" w:pos="2268"/>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受损害或伤害的一方对损害或伤害的发生也有过错时，应当根据其过错程度承担相应的责任，并适当减轻造成损害或伤害一方的责任。</w:t>
      </w:r>
    </w:p>
    <w:p w14:paraId="78DAA147">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施工安全方面的相关要求在乙方施工进场前由甲方提供。</w:t>
      </w:r>
    </w:p>
    <w:p w14:paraId="526ADD06">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保险：本项目的财产保险由乙方负责购买。</w:t>
      </w:r>
    </w:p>
    <w:p w14:paraId="7218210F">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如项目由乙方在当地成立全资项目公司实施，各方同意乙方在本合同项下的权利、义务均由该项目公司继承，甲方同意以本协议相同条款与乙方在当地成立的项目公司重新签署协议。</w:t>
      </w:r>
    </w:p>
    <w:p w14:paraId="00A5D77C">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争议解决</w:t>
      </w:r>
    </w:p>
    <w:p w14:paraId="1B6C82C4">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因本协议的履行、解释、违约、终止、中止、效力等引起的任何争议、纠纷，本协议各方应友好协商解决。</w:t>
      </w:r>
    </w:p>
    <w:p w14:paraId="33CE8CB3">
      <w:pPr>
        <w:numPr>
          <w:ilvl w:val="1"/>
          <w:numId w:val="3"/>
        </w:numPr>
        <w:tabs>
          <w:tab w:val="left" w:pos="1560"/>
        </w:tabs>
        <w:spacing w:line="400" w:lineRule="exact"/>
        <w:ind w:left="0" w:firstLine="640"/>
        <w:jc w:val="left"/>
        <w:rPr>
          <w:rFonts w:hint="eastAsia" w:ascii="宋体" w:hAnsi="宋体" w:cs="宋体"/>
          <w:b/>
          <w:sz w:val="24"/>
          <w:szCs w:val="24"/>
          <w:highlight w:val="none"/>
        </w:rPr>
      </w:pPr>
      <w:r>
        <w:rPr>
          <w:rFonts w:hint="eastAsia" w:ascii="宋体" w:hAnsi="宋体" w:cs="宋体"/>
          <w:sz w:val="24"/>
          <w:szCs w:val="24"/>
          <w:highlight w:val="none"/>
        </w:rPr>
        <w:t>如不能协商解决，向项目所在地人民法院提起诉讼。</w:t>
      </w:r>
    </w:p>
    <w:p w14:paraId="0C813376">
      <w:pPr>
        <w:numPr>
          <w:ilvl w:val="0"/>
          <w:numId w:val="3"/>
        </w:numPr>
        <w:spacing w:before="159" w:after="159" w:line="400" w:lineRule="exact"/>
        <w:ind w:left="0" w:firstLine="643"/>
        <w:jc w:val="left"/>
        <w:rPr>
          <w:rFonts w:hint="eastAsia" w:ascii="宋体" w:hAnsi="宋体" w:cs="宋体"/>
          <w:b/>
          <w:sz w:val="24"/>
          <w:szCs w:val="24"/>
          <w:highlight w:val="none"/>
        </w:rPr>
      </w:pPr>
      <w:r>
        <w:rPr>
          <w:rFonts w:hint="eastAsia" w:ascii="宋体" w:hAnsi="宋体" w:cs="宋体"/>
          <w:b/>
          <w:sz w:val="24"/>
          <w:szCs w:val="24"/>
          <w:highlight w:val="none"/>
        </w:rPr>
        <w:t>其他</w:t>
      </w:r>
    </w:p>
    <w:p w14:paraId="5333D7B0">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双方确认，本协议系双方慎重协商后达成的完全合意，并非任何一方单方面制作或者提供的格式合同，其条款亦非格式条款。</w:t>
      </w:r>
    </w:p>
    <w:p w14:paraId="37B2734A">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协议自双方盖章之日起且项目经过乙方上级单位批准后生效。协议文本一式肆份，具有同等法律效力，双方各执贰份。</w:t>
      </w:r>
    </w:p>
    <w:p w14:paraId="09027FFD">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本协议具有排他性，如本协议与双方之前所签订的框架协议、双方沟通记录等内容不一致的，以本协议为准；本协议未尽事宜，双方可另行签订补充协议，补充协议与本协议具有同等法律效力。</w:t>
      </w:r>
    </w:p>
    <w:p w14:paraId="3E6E006F">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如因当地发改委的备案要求，项目由乙方在当地成立全资项目公司实施，双方同意乙方在本合同项下的权利、义务均由该项目公司继承，甲方同意以本协议相同条款与乙方在当地成立的项目公司重新签署协议。</w:t>
      </w:r>
    </w:p>
    <w:p w14:paraId="0B42BF58">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本子合同未涵盖之处以本项目招标文件、框架协议约定为准，双方约定招标文件、框架协议、子合同不一致处以最高标准执行。</w:t>
      </w:r>
    </w:p>
    <w:p w14:paraId="20F870CF">
      <w:pPr>
        <w:numPr>
          <w:ilvl w:val="1"/>
          <w:numId w:val="3"/>
        </w:numPr>
        <w:tabs>
          <w:tab w:val="left" w:pos="1560"/>
        </w:tabs>
        <w:spacing w:line="400" w:lineRule="exact"/>
        <w:ind w:left="0" w:firstLine="640"/>
        <w:jc w:val="left"/>
        <w:rPr>
          <w:rFonts w:hint="eastAsia" w:ascii="宋体" w:hAnsi="宋体" w:cs="宋体"/>
          <w:sz w:val="24"/>
          <w:szCs w:val="24"/>
          <w:highlight w:val="none"/>
        </w:rPr>
      </w:pPr>
      <w:r>
        <w:rPr>
          <w:rFonts w:hint="eastAsia" w:ascii="宋体" w:hAnsi="宋体" w:cs="宋体"/>
          <w:sz w:val="24"/>
          <w:szCs w:val="24"/>
          <w:highlight w:val="none"/>
        </w:rPr>
        <w:t>本协议由甲乙双方于</w:t>
      </w:r>
      <w:r>
        <w:rPr>
          <w:rFonts w:hint="eastAsia" w:ascii="宋体" w:hAnsi="宋体" w:cs="宋体"/>
          <w:sz w:val="24"/>
          <w:szCs w:val="24"/>
          <w:highlight w:val="none"/>
          <w:u w:val="single"/>
        </w:rPr>
        <w:t xml:space="preserve"> 2026年    月      日</w:t>
      </w:r>
      <w:r>
        <w:rPr>
          <w:rFonts w:hint="eastAsia" w:ascii="宋体" w:hAnsi="宋体" w:cs="宋体"/>
          <w:sz w:val="24"/>
          <w:szCs w:val="24"/>
          <w:highlight w:val="none"/>
        </w:rPr>
        <w:t>在</w:t>
      </w:r>
      <w:r>
        <w:rPr>
          <w:rFonts w:hint="eastAsia" w:ascii="宋体" w:hAnsi="宋体" w:cs="宋体"/>
          <w:sz w:val="24"/>
          <w:szCs w:val="24"/>
          <w:highlight w:val="none"/>
          <w:u w:val="single"/>
        </w:rPr>
        <w:t xml:space="preserve">    </w:t>
      </w:r>
      <w:r>
        <w:rPr>
          <w:rFonts w:hint="eastAsia" w:ascii="宋体" w:hAnsi="宋体" w:cs="宋体"/>
          <w:sz w:val="24"/>
          <w:szCs w:val="24"/>
          <w:highlight w:val="none"/>
        </w:rPr>
        <w:t>签订。</w:t>
      </w:r>
    </w:p>
    <w:p w14:paraId="3959BAEE">
      <w:pPr>
        <w:tabs>
          <w:tab w:val="left" w:pos="1560"/>
        </w:tabs>
        <w:spacing w:before="319" w:line="320" w:lineRule="exact"/>
        <w:ind w:firstLine="480"/>
        <w:rPr>
          <w:rFonts w:hint="eastAsia" w:ascii="宋体" w:hAnsi="宋体" w:cs="宋体"/>
          <w:sz w:val="24"/>
          <w:szCs w:val="24"/>
          <w:highlight w:val="none"/>
        </w:rPr>
      </w:pPr>
      <w:r>
        <w:rPr>
          <w:rFonts w:hint="eastAsia" w:ascii="宋体" w:hAnsi="宋体" w:cs="宋体"/>
          <w:sz w:val="24"/>
          <w:szCs w:val="24"/>
          <w:highlight w:val="none"/>
        </w:rPr>
        <w:t>（以下无正文）</w:t>
      </w:r>
    </w:p>
    <w:p w14:paraId="31DE8EC0">
      <w:pPr>
        <w:tabs>
          <w:tab w:val="left" w:pos="1560"/>
        </w:tabs>
        <w:spacing w:line="32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甲方：（盖章）                                   乙方：（盖章）</w:t>
      </w:r>
    </w:p>
    <w:p w14:paraId="237A3294">
      <w:pPr>
        <w:tabs>
          <w:tab w:val="left" w:pos="1560"/>
        </w:tabs>
        <w:spacing w:line="32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法定代表人或代理人签字/签章：         法定代表人或代理人签字/签章：     </w:t>
      </w:r>
    </w:p>
    <w:p w14:paraId="4B8F8200">
      <w:pPr>
        <w:tabs>
          <w:tab w:val="left" w:pos="1560"/>
        </w:tabs>
        <w:spacing w:line="32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经办人：                                 经办人：                 </w:t>
      </w:r>
    </w:p>
    <w:p w14:paraId="6B2A18A6">
      <w:pPr>
        <w:tabs>
          <w:tab w:val="left" w:pos="1560"/>
        </w:tabs>
        <w:spacing w:line="32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地址：                                   地址：                  </w:t>
      </w:r>
    </w:p>
    <w:p w14:paraId="11909BCD">
      <w:pPr>
        <w:tabs>
          <w:tab w:val="left" w:pos="1560"/>
        </w:tabs>
        <w:spacing w:line="32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邮政编码：                               邮政编码：              </w:t>
      </w:r>
    </w:p>
    <w:p w14:paraId="128CCFA3">
      <w:pPr>
        <w:tabs>
          <w:tab w:val="left" w:pos="1560"/>
        </w:tabs>
        <w:spacing w:line="32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电话：                                   电话：                  </w:t>
      </w:r>
    </w:p>
    <w:p w14:paraId="58802061">
      <w:pPr>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p>
    <w:p w14:paraId="1E58B708">
      <w:pPr>
        <w:jc w:val="left"/>
        <w:rPr>
          <w:rFonts w:hint="eastAsia" w:ascii="宋体" w:hAnsi="宋体"/>
          <w:sz w:val="44"/>
          <w:szCs w:val="44"/>
          <w:highlight w:val="none"/>
        </w:rPr>
      </w:pPr>
    </w:p>
    <w:p w14:paraId="7213B284">
      <w:pPr>
        <w:jc w:val="left"/>
        <w:rPr>
          <w:rFonts w:hint="eastAsia" w:ascii="宋体" w:hAnsi="宋体"/>
          <w:sz w:val="44"/>
          <w:szCs w:val="44"/>
          <w:highlight w:val="none"/>
        </w:rPr>
      </w:pPr>
      <w:r>
        <w:rPr>
          <w:rFonts w:ascii="宋体" w:hAnsi="宋体"/>
          <w:sz w:val="44"/>
          <w:szCs w:val="44"/>
          <w:highlight w:val="none"/>
        </w:rPr>
        <w:br w:type="page"/>
      </w:r>
    </w:p>
    <w:p w14:paraId="4A21DB7F">
      <w:pPr>
        <w:jc w:val="center"/>
        <w:rPr>
          <w:rFonts w:hint="eastAsia" w:ascii="宋体" w:hAnsi="宋体"/>
          <w:sz w:val="44"/>
          <w:szCs w:val="44"/>
          <w:highlight w:val="none"/>
        </w:rPr>
      </w:pPr>
      <w:r>
        <w:rPr>
          <w:rFonts w:ascii="宋体" w:hAnsi="宋体"/>
          <w:sz w:val="44"/>
          <w:szCs w:val="44"/>
          <w:highlight w:val="none"/>
        </w:rPr>
        <w:t>政府采购合同履约验收书（参考格式）</w:t>
      </w:r>
    </w:p>
    <w:p w14:paraId="6FE4126B">
      <w:pPr>
        <w:spacing w:line="560" w:lineRule="exact"/>
        <w:ind w:firstLine="600"/>
        <w:jc w:val="left"/>
        <w:rPr>
          <w:rFonts w:hint="eastAsia" w:ascii="宋体" w:hAnsi="宋体"/>
          <w:sz w:val="24"/>
          <w:szCs w:val="24"/>
          <w:highlight w:val="none"/>
        </w:rPr>
      </w:pPr>
      <w:r>
        <w:rPr>
          <w:rFonts w:ascii="宋体" w:hAnsi="宋体"/>
          <w:sz w:val="24"/>
          <w:szCs w:val="24"/>
          <w:highlight w:val="none"/>
        </w:rPr>
        <w:t>根据政府采购合同（编号：          ）的约定，我单位组织对</w:t>
      </w:r>
      <w:r>
        <w:rPr>
          <w:rFonts w:hint="eastAsia" w:ascii="宋体" w:hAnsi="宋体"/>
          <w:sz w:val="24"/>
          <w:szCs w:val="24"/>
          <w:highlight w:val="none"/>
          <w:u w:val="single"/>
        </w:rPr>
        <w:t xml:space="preserve">            </w:t>
      </w:r>
      <w:r>
        <w:rPr>
          <w:rFonts w:ascii="宋体" w:hAnsi="宋体"/>
          <w:sz w:val="24"/>
          <w:szCs w:val="24"/>
          <w:highlight w:val="none"/>
        </w:rPr>
        <w:t>项目中标（成交）供应商</w:t>
      </w:r>
      <w:r>
        <w:rPr>
          <w:rFonts w:ascii="宋体" w:hAnsi="宋体"/>
          <w:sz w:val="24"/>
          <w:szCs w:val="24"/>
          <w:highlight w:val="none"/>
          <w:u w:val="single"/>
        </w:rPr>
        <w:t>（公司名称）</w:t>
      </w:r>
      <w:r>
        <w:rPr>
          <w:rFonts w:ascii="宋体" w:hAnsi="宋体"/>
          <w:sz w:val="24"/>
          <w:szCs w:val="24"/>
          <w:highlight w:val="none"/>
        </w:rPr>
        <w:t>提供的货物（工程、服务）进行了履约验收，验收情况如下：</w:t>
      </w:r>
    </w:p>
    <w:tbl>
      <w:tblPr>
        <w:tblStyle w:val="22"/>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8"/>
        <w:gridCol w:w="3030"/>
        <w:gridCol w:w="1750"/>
        <w:gridCol w:w="2644"/>
      </w:tblGrid>
      <w:tr w14:paraId="77F6D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vAlign w:val="center"/>
          </w:tcPr>
          <w:p w14:paraId="7823BFAA">
            <w:pPr>
              <w:spacing w:line="360" w:lineRule="exact"/>
              <w:jc w:val="center"/>
              <w:rPr>
                <w:rFonts w:hint="eastAsia" w:ascii="宋体" w:hAnsi="宋体"/>
                <w:sz w:val="24"/>
                <w:szCs w:val="24"/>
                <w:highlight w:val="none"/>
              </w:rPr>
            </w:pPr>
            <w:r>
              <w:rPr>
                <w:rFonts w:ascii="宋体" w:hAnsi="宋体"/>
                <w:sz w:val="24"/>
                <w:szCs w:val="24"/>
                <w:highlight w:val="none"/>
              </w:rPr>
              <w:t>项目名称</w:t>
            </w:r>
          </w:p>
        </w:tc>
        <w:tc>
          <w:tcPr>
            <w:tcW w:w="3030" w:type="dxa"/>
            <w:vAlign w:val="center"/>
          </w:tcPr>
          <w:p w14:paraId="14676364">
            <w:pPr>
              <w:spacing w:line="360" w:lineRule="exact"/>
              <w:jc w:val="center"/>
              <w:rPr>
                <w:rFonts w:hint="eastAsia" w:ascii="宋体" w:hAnsi="宋体"/>
                <w:sz w:val="24"/>
                <w:szCs w:val="24"/>
                <w:highlight w:val="none"/>
              </w:rPr>
            </w:pPr>
          </w:p>
        </w:tc>
        <w:tc>
          <w:tcPr>
            <w:tcW w:w="1750" w:type="dxa"/>
            <w:vAlign w:val="center"/>
          </w:tcPr>
          <w:p w14:paraId="4136EB46">
            <w:pPr>
              <w:spacing w:line="360" w:lineRule="exact"/>
              <w:jc w:val="center"/>
              <w:rPr>
                <w:rFonts w:hint="eastAsia" w:ascii="宋体" w:hAnsi="宋体"/>
                <w:sz w:val="24"/>
                <w:szCs w:val="24"/>
                <w:highlight w:val="none"/>
              </w:rPr>
            </w:pPr>
            <w:r>
              <w:rPr>
                <w:rFonts w:ascii="宋体" w:hAnsi="宋体"/>
                <w:sz w:val="24"/>
                <w:szCs w:val="24"/>
                <w:highlight w:val="none"/>
              </w:rPr>
              <w:t>项目地点</w:t>
            </w:r>
          </w:p>
        </w:tc>
        <w:tc>
          <w:tcPr>
            <w:tcW w:w="2644" w:type="dxa"/>
            <w:vAlign w:val="center"/>
          </w:tcPr>
          <w:p w14:paraId="261B7BA6">
            <w:pPr>
              <w:spacing w:line="360" w:lineRule="exact"/>
              <w:jc w:val="center"/>
              <w:rPr>
                <w:rFonts w:hint="eastAsia" w:ascii="宋体" w:hAnsi="宋体"/>
                <w:sz w:val="24"/>
                <w:szCs w:val="24"/>
                <w:highlight w:val="none"/>
              </w:rPr>
            </w:pPr>
          </w:p>
        </w:tc>
      </w:tr>
      <w:tr w14:paraId="1D7A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vAlign w:val="center"/>
          </w:tcPr>
          <w:p w14:paraId="76EDA365">
            <w:pPr>
              <w:spacing w:line="360" w:lineRule="exact"/>
              <w:jc w:val="center"/>
              <w:rPr>
                <w:rFonts w:hint="eastAsia" w:ascii="宋体" w:hAnsi="宋体"/>
                <w:sz w:val="24"/>
                <w:szCs w:val="24"/>
                <w:highlight w:val="none"/>
              </w:rPr>
            </w:pPr>
            <w:r>
              <w:rPr>
                <w:rFonts w:ascii="宋体" w:hAnsi="宋体"/>
                <w:sz w:val="24"/>
                <w:szCs w:val="24"/>
                <w:highlight w:val="none"/>
              </w:rPr>
              <w:t>预算金额</w:t>
            </w:r>
          </w:p>
        </w:tc>
        <w:tc>
          <w:tcPr>
            <w:tcW w:w="3030" w:type="dxa"/>
            <w:vAlign w:val="center"/>
          </w:tcPr>
          <w:p w14:paraId="585EF95E">
            <w:pPr>
              <w:spacing w:line="360" w:lineRule="exact"/>
              <w:jc w:val="center"/>
              <w:rPr>
                <w:rFonts w:hint="eastAsia" w:ascii="宋体" w:hAnsi="宋体"/>
                <w:sz w:val="24"/>
                <w:szCs w:val="24"/>
                <w:highlight w:val="none"/>
              </w:rPr>
            </w:pPr>
          </w:p>
        </w:tc>
        <w:tc>
          <w:tcPr>
            <w:tcW w:w="1750" w:type="dxa"/>
            <w:vAlign w:val="center"/>
          </w:tcPr>
          <w:p w14:paraId="51B41E7A">
            <w:pPr>
              <w:spacing w:line="360" w:lineRule="exact"/>
              <w:jc w:val="center"/>
              <w:rPr>
                <w:rFonts w:hint="eastAsia" w:ascii="宋体" w:hAnsi="宋体"/>
                <w:sz w:val="24"/>
                <w:szCs w:val="24"/>
                <w:highlight w:val="none"/>
              </w:rPr>
            </w:pPr>
            <w:r>
              <w:rPr>
                <w:rFonts w:ascii="宋体" w:hAnsi="宋体"/>
                <w:sz w:val="24"/>
                <w:szCs w:val="24"/>
                <w:highlight w:val="none"/>
              </w:rPr>
              <w:t>承接单位</w:t>
            </w:r>
          </w:p>
        </w:tc>
        <w:tc>
          <w:tcPr>
            <w:tcW w:w="2644" w:type="dxa"/>
            <w:vAlign w:val="center"/>
          </w:tcPr>
          <w:p w14:paraId="14D97CCF">
            <w:pPr>
              <w:spacing w:line="360" w:lineRule="exact"/>
              <w:jc w:val="left"/>
              <w:rPr>
                <w:rFonts w:hint="eastAsia" w:ascii="宋体" w:hAnsi="宋体"/>
                <w:sz w:val="24"/>
                <w:szCs w:val="24"/>
                <w:highlight w:val="none"/>
              </w:rPr>
            </w:pPr>
          </w:p>
        </w:tc>
      </w:tr>
      <w:tr w14:paraId="552F5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vAlign w:val="center"/>
          </w:tcPr>
          <w:p w14:paraId="125DACD4">
            <w:pPr>
              <w:spacing w:line="360" w:lineRule="exact"/>
              <w:jc w:val="center"/>
              <w:rPr>
                <w:rFonts w:hint="eastAsia" w:ascii="宋体" w:hAnsi="宋体"/>
                <w:sz w:val="24"/>
                <w:szCs w:val="24"/>
                <w:highlight w:val="none"/>
              </w:rPr>
            </w:pPr>
            <w:r>
              <w:rPr>
                <w:rFonts w:ascii="宋体" w:hAnsi="宋体"/>
                <w:sz w:val="24"/>
                <w:szCs w:val="24"/>
                <w:highlight w:val="none"/>
              </w:rPr>
              <w:t>合同时间</w:t>
            </w:r>
          </w:p>
        </w:tc>
        <w:tc>
          <w:tcPr>
            <w:tcW w:w="3030" w:type="dxa"/>
            <w:vAlign w:val="center"/>
          </w:tcPr>
          <w:p w14:paraId="15221E06">
            <w:pPr>
              <w:spacing w:line="360" w:lineRule="exact"/>
              <w:jc w:val="center"/>
              <w:rPr>
                <w:rFonts w:hint="eastAsia" w:ascii="宋体" w:hAnsi="宋体"/>
                <w:sz w:val="24"/>
                <w:szCs w:val="24"/>
                <w:highlight w:val="none"/>
              </w:rPr>
            </w:pPr>
          </w:p>
        </w:tc>
        <w:tc>
          <w:tcPr>
            <w:tcW w:w="1750" w:type="dxa"/>
            <w:vAlign w:val="center"/>
          </w:tcPr>
          <w:p w14:paraId="1A1F6562">
            <w:pPr>
              <w:spacing w:line="360" w:lineRule="exact"/>
              <w:jc w:val="center"/>
              <w:rPr>
                <w:rFonts w:hint="eastAsia" w:ascii="宋体" w:hAnsi="宋体"/>
                <w:sz w:val="24"/>
                <w:szCs w:val="24"/>
                <w:highlight w:val="none"/>
              </w:rPr>
            </w:pPr>
            <w:r>
              <w:rPr>
                <w:rFonts w:ascii="宋体" w:hAnsi="宋体"/>
                <w:sz w:val="24"/>
                <w:szCs w:val="24"/>
                <w:highlight w:val="none"/>
              </w:rPr>
              <w:t>项目开始时间</w:t>
            </w:r>
          </w:p>
        </w:tc>
        <w:tc>
          <w:tcPr>
            <w:tcW w:w="2644" w:type="dxa"/>
            <w:vAlign w:val="center"/>
          </w:tcPr>
          <w:p w14:paraId="17F311A1">
            <w:pPr>
              <w:spacing w:line="360" w:lineRule="exact"/>
              <w:jc w:val="center"/>
              <w:rPr>
                <w:rFonts w:hint="eastAsia" w:ascii="宋体" w:hAnsi="宋体"/>
                <w:sz w:val="24"/>
                <w:szCs w:val="24"/>
                <w:highlight w:val="none"/>
              </w:rPr>
            </w:pPr>
          </w:p>
        </w:tc>
      </w:tr>
      <w:tr w14:paraId="6911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vAlign w:val="center"/>
          </w:tcPr>
          <w:p w14:paraId="7C5D6F66">
            <w:pPr>
              <w:spacing w:line="360" w:lineRule="exact"/>
              <w:jc w:val="center"/>
              <w:rPr>
                <w:rFonts w:hint="eastAsia" w:ascii="宋体" w:hAnsi="宋体"/>
                <w:sz w:val="24"/>
                <w:szCs w:val="24"/>
                <w:highlight w:val="none"/>
              </w:rPr>
            </w:pPr>
            <w:r>
              <w:rPr>
                <w:rFonts w:ascii="宋体" w:hAnsi="宋体"/>
                <w:sz w:val="24"/>
                <w:szCs w:val="24"/>
                <w:highlight w:val="none"/>
              </w:rPr>
              <w:t>项目结束时间</w:t>
            </w:r>
          </w:p>
        </w:tc>
        <w:tc>
          <w:tcPr>
            <w:tcW w:w="3030" w:type="dxa"/>
            <w:vAlign w:val="center"/>
          </w:tcPr>
          <w:p w14:paraId="727F7CBE">
            <w:pPr>
              <w:spacing w:line="360" w:lineRule="exact"/>
              <w:jc w:val="center"/>
              <w:rPr>
                <w:rFonts w:hint="eastAsia" w:ascii="宋体" w:hAnsi="宋体"/>
                <w:sz w:val="24"/>
                <w:szCs w:val="24"/>
                <w:highlight w:val="none"/>
              </w:rPr>
            </w:pPr>
          </w:p>
        </w:tc>
        <w:tc>
          <w:tcPr>
            <w:tcW w:w="1750" w:type="dxa"/>
            <w:vAlign w:val="center"/>
          </w:tcPr>
          <w:p w14:paraId="208BE336">
            <w:pPr>
              <w:spacing w:line="360" w:lineRule="exact"/>
              <w:jc w:val="center"/>
              <w:rPr>
                <w:rFonts w:hint="eastAsia" w:ascii="宋体" w:hAnsi="宋体"/>
                <w:sz w:val="24"/>
                <w:szCs w:val="24"/>
                <w:highlight w:val="none"/>
              </w:rPr>
            </w:pPr>
            <w:r>
              <w:rPr>
                <w:rFonts w:ascii="宋体" w:hAnsi="宋体"/>
                <w:sz w:val="24"/>
                <w:szCs w:val="24"/>
                <w:highlight w:val="none"/>
              </w:rPr>
              <w:t>项目联系人</w:t>
            </w:r>
          </w:p>
        </w:tc>
        <w:tc>
          <w:tcPr>
            <w:tcW w:w="2644" w:type="dxa"/>
            <w:vAlign w:val="center"/>
          </w:tcPr>
          <w:p w14:paraId="61C4F615">
            <w:pPr>
              <w:spacing w:line="360" w:lineRule="exact"/>
              <w:jc w:val="center"/>
              <w:rPr>
                <w:rFonts w:hint="eastAsia" w:ascii="宋体" w:hAnsi="宋体"/>
                <w:sz w:val="24"/>
                <w:szCs w:val="24"/>
                <w:highlight w:val="none"/>
              </w:rPr>
            </w:pPr>
          </w:p>
        </w:tc>
      </w:tr>
      <w:tr w14:paraId="51A93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2" w:type="dxa"/>
            <w:gridSpan w:val="4"/>
          </w:tcPr>
          <w:p w14:paraId="186768A3">
            <w:pPr>
              <w:jc w:val="center"/>
              <w:rPr>
                <w:rFonts w:hint="eastAsia" w:ascii="宋体" w:hAnsi="宋体"/>
                <w:b/>
                <w:bCs/>
                <w:sz w:val="24"/>
                <w:szCs w:val="24"/>
                <w:highlight w:val="none"/>
              </w:rPr>
            </w:pPr>
            <w:r>
              <w:rPr>
                <w:rFonts w:ascii="宋体" w:hAnsi="宋体"/>
                <w:b/>
                <w:bCs/>
                <w:sz w:val="24"/>
                <w:szCs w:val="24"/>
                <w:highlight w:val="none"/>
              </w:rPr>
              <w:t>验收情况和验收意见</w:t>
            </w:r>
          </w:p>
          <w:p w14:paraId="059481F3">
            <w:pPr>
              <w:rPr>
                <w:rFonts w:hint="eastAsia" w:ascii="宋体" w:hAnsi="宋体"/>
                <w:sz w:val="24"/>
                <w:szCs w:val="24"/>
                <w:highlight w:val="none"/>
              </w:rPr>
            </w:pPr>
            <w:r>
              <w:rPr>
                <w:rFonts w:ascii="宋体" w:hAnsi="宋体"/>
                <w:sz w:val="24"/>
                <w:szCs w:val="24"/>
                <w:highlight w:val="none"/>
              </w:rPr>
              <w:t>（可另附）</w:t>
            </w:r>
          </w:p>
          <w:p w14:paraId="6FFB0312">
            <w:pPr>
              <w:rPr>
                <w:rFonts w:hint="eastAsia" w:ascii="宋体" w:hAnsi="宋体"/>
                <w:sz w:val="24"/>
                <w:szCs w:val="24"/>
                <w:highlight w:val="none"/>
              </w:rPr>
            </w:pPr>
          </w:p>
          <w:p w14:paraId="335321F4">
            <w:pPr>
              <w:rPr>
                <w:rFonts w:hint="eastAsia" w:ascii="宋体" w:hAnsi="宋体"/>
                <w:sz w:val="24"/>
                <w:szCs w:val="24"/>
                <w:highlight w:val="none"/>
              </w:rPr>
            </w:pPr>
          </w:p>
          <w:p w14:paraId="27196FE2">
            <w:pPr>
              <w:rPr>
                <w:rFonts w:hint="eastAsia" w:ascii="宋体" w:hAnsi="宋体"/>
                <w:sz w:val="24"/>
                <w:szCs w:val="24"/>
                <w:highlight w:val="none"/>
              </w:rPr>
            </w:pPr>
          </w:p>
          <w:p w14:paraId="7F574B64">
            <w:pPr>
              <w:ind w:firstLine="420"/>
              <w:rPr>
                <w:rFonts w:hint="eastAsia" w:ascii="宋体" w:hAnsi="宋体"/>
                <w:sz w:val="24"/>
                <w:szCs w:val="24"/>
                <w:highlight w:val="none"/>
              </w:rPr>
            </w:pPr>
          </w:p>
        </w:tc>
      </w:tr>
      <w:tr w14:paraId="0135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32" w:type="dxa"/>
            <w:gridSpan w:val="4"/>
          </w:tcPr>
          <w:p w14:paraId="21480C5E">
            <w:pPr>
              <w:jc w:val="left"/>
              <w:rPr>
                <w:rFonts w:hint="eastAsia" w:ascii="宋体" w:hAnsi="宋体"/>
                <w:sz w:val="24"/>
                <w:szCs w:val="24"/>
                <w:highlight w:val="none"/>
              </w:rPr>
            </w:pPr>
            <w:r>
              <w:rPr>
                <w:rFonts w:ascii="宋体" w:hAnsi="宋体"/>
                <w:sz w:val="24"/>
                <w:szCs w:val="24"/>
                <w:highlight w:val="none"/>
              </w:rPr>
              <w:t>验收小组（签字）：</w:t>
            </w:r>
          </w:p>
          <w:p w14:paraId="5DD7D42E">
            <w:pPr>
              <w:jc w:val="left"/>
              <w:rPr>
                <w:rFonts w:hint="eastAsia" w:ascii="宋体" w:hAnsi="宋体"/>
                <w:sz w:val="24"/>
                <w:szCs w:val="24"/>
                <w:highlight w:val="none"/>
              </w:rPr>
            </w:pPr>
          </w:p>
          <w:p w14:paraId="0E223334">
            <w:pPr>
              <w:jc w:val="left"/>
              <w:rPr>
                <w:rFonts w:hint="eastAsia" w:ascii="宋体" w:hAnsi="宋体"/>
                <w:sz w:val="24"/>
                <w:szCs w:val="24"/>
                <w:highlight w:val="none"/>
              </w:rPr>
            </w:pPr>
          </w:p>
          <w:p w14:paraId="4F4FA48F">
            <w:pPr>
              <w:jc w:val="left"/>
              <w:rPr>
                <w:rFonts w:hint="eastAsia" w:ascii="宋体" w:hAnsi="宋体"/>
                <w:sz w:val="24"/>
                <w:szCs w:val="24"/>
                <w:highlight w:val="none"/>
              </w:rPr>
            </w:pPr>
          </w:p>
          <w:p w14:paraId="0D3B8412">
            <w:pPr>
              <w:jc w:val="left"/>
              <w:rPr>
                <w:rFonts w:hint="eastAsia" w:ascii="宋体" w:hAnsi="宋体"/>
                <w:sz w:val="24"/>
                <w:szCs w:val="24"/>
                <w:highlight w:val="none"/>
              </w:rPr>
            </w:pPr>
            <w:r>
              <w:rPr>
                <w:rFonts w:ascii="宋体" w:hAnsi="宋体"/>
                <w:sz w:val="24"/>
                <w:szCs w:val="24"/>
                <w:highlight w:val="none"/>
              </w:rPr>
              <w:br w:type="textWrapping"/>
            </w:r>
            <w:r>
              <w:rPr>
                <w:rFonts w:ascii="宋体" w:hAnsi="宋体"/>
                <w:sz w:val="24"/>
                <w:szCs w:val="24"/>
                <w:highlight w:val="none"/>
              </w:rPr>
              <w:t>　　　　　                              年    月    日</w:t>
            </w:r>
          </w:p>
        </w:tc>
      </w:tr>
      <w:tr w14:paraId="3C5C4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32" w:type="dxa"/>
            <w:gridSpan w:val="4"/>
          </w:tcPr>
          <w:p w14:paraId="19DEF6EA">
            <w:pPr>
              <w:jc w:val="left"/>
              <w:rPr>
                <w:rFonts w:hint="eastAsia" w:ascii="宋体" w:hAnsi="宋体"/>
                <w:sz w:val="24"/>
                <w:szCs w:val="24"/>
                <w:highlight w:val="none"/>
              </w:rPr>
            </w:pPr>
            <w:r>
              <w:rPr>
                <w:rFonts w:ascii="宋体" w:hAnsi="宋体"/>
                <w:sz w:val="24"/>
                <w:szCs w:val="24"/>
                <w:highlight w:val="none"/>
              </w:rPr>
              <w:t>供应商确认意见（签章）：</w:t>
            </w:r>
          </w:p>
          <w:p w14:paraId="03A345D6">
            <w:pPr>
              <w:jc w:val="left"/>
              <w:rPr>
                <w:rFonts w:hint="eastAsia" w:ascii="宋体" w:hAnsi="宋体"/>
                <w:sz w:val="24"/>
                <w:szCs w:val="24"/>
                <w:highlight w:val="none"/>
              </w:rPr>
            </w:pPr>
          </w:p>
          <w:p w14:paraId="6E329E92">
            <w:pPr>
              <w:jc w:val="left"/>
              <w:rPr>
                <w:rFonts w:hint="eastAsia" w:ascii="宋体" w:hAnsi="宋体"/>
                <w:sz w:val="24"/>
                <w:szCs w:val="24"/>
                <w:highlight w:val="none"/>
              </w:rPr>
            </w:pPr>
          </w:p>
          <w:p w14:paraId="2DB9237B">
            <w:pPr>
              <w:jc w:val="left"/>
              <w:rPr>
                <w:rFonts w:hint="eastAsia" w:ascii="宋体" w:hAnsi="宋体"/>
                <w:sz w:val="24"/>
                <w:szCs w:val="24"/>
                <w:highlight w:val="none"/>
              </w:rPr>
            </w:pPr>
          </w:p>
          <w:p w14:paraId="0C4FB6F6">
            <w:pPr>
              <w:jc w:val="left"/>
              <w:rPr>
                <w:rFonts w:hint="eastAsia" w:ascii="宋体" w:hAnsi="宋体"/>
                <w:sz w:val="24"/>
                <w:szCs w:val="24"/>
                <w:highlight w:val="none"/>
              </w:rPr>
            </w:pPr>
            <w:r>
              <w:rPr>
                <w:rFonts w:ascii="宋体" w:hAnsi="宋体"/>
                <w:sz w:val="24"/>
                <w:szCs w:val="24"/>
                <w:highlight w:val="none"/>
              </w:rPr>
              <w:br w:type="textWrapping"/>
            </w:r>
            <w:r>
              <w:rPr>
                <w:rFonts w:ascii="宋体" w:hAnsi="宋体"/>
                <w:sz w:val="24"/>
                <w:szCs w:val="24"/>
                <w:highlight w:val="none"/>
              </w:rPr>
              <w:t>　　　　　                              年    月    日</w:t>
            </w:r>
          </w:p>
        </w:tc>
      </w:tr>
      <w:tr w14:paraId="5F280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jc w:val="center"/>
        </w:trPr>
        <w:tc>
          <w:tcPr>
            <w:tcW w:w="9132" w:type="dxa"/>
            <w:gridSpan w:val="4"/>
          </w:tcPr>
          <w:p w14:paraId="7222BB41">
            <w:pPr>
              <w:jc w:val="left"/>
              <w:rPr>
                <w:rFonts w:hint="eastAsia" w:ascii="宋体" w:hAnsi="宋体"/>
                <w:sz w:val="24"/>
                <w:szCs w:val="24"/>
                <w:highlight w:val="none"/>
              </w:rPr>
            </w:pPr>
            <w:r>
              <w:rPr>
                <w:rFonts w:ascii="宋体" w:hAnsi="宋体"/>
                <w:sz w:val="24"/>
                <w:szCs w:val="24"/>
                <w:highlight w:val="none"/>
              </w:rPr>
              <w:t>采购人确认意见（签章）：</w:t>
            </w:r>
          </w:p>
          <w:p w14:paraId="022D77C7">
            <w:pPr>
              <w:jc w:val="left"/>
              <w:rPr>
                <w:rFonts w:hint="eastAsia" w:ascii="宋体" w:hAnsi="宋体"/>
                <w:sz w:val="24"/>
                <w:szCs w:val="24"/>
                <w:highlight w:val="none"/>
              </w:rPr>
            </w:pPr>
          </w:p>
          <w:p w14:paraId="4206E336">
            <w:pPr>
              <w:jc w:val="left"/>
              <w:rPr>
                <w:rFonts w:hint="eastAsia" w:ascii="宋体" w:hAnsi="宋体"/>
                <w:sz w:val="24"/>
                <w:szCs w:val="24"/>
                <w:highlight w:val="none"/>
              </w:rPr>
            </w:pPr>
          </w:p>
          <w:p w14:paraId="31E775ED">
            <w:pPr>
              <w:jc w:val="left"/>
              <w:rPr>
                <w:rFonts w:hint="eastAsia" w:ascii="宋体" w:hAnsi="宋体"/>
                <w:sz w:val="24"/>
                <w:szCs w:val="24"/>
                <w:highlight w:val="none"/>
              </w:rPr>
            </w:pPr>
          </w:p>
          <w:p w14:paraId="30776B10">
            <w:pPr>
              <w:jc w:val="left"/>
              <w:rPr>
                <w:rFonts w:hint="eastAsia" w:ascii="宋体" w:hAnsi="宋体"/>
                <w:sz w:val="24"/>
                <w:szCs w:val="24"/>
                <w:highlight w:val="none"/>
              </w:rPr>
            </w:pPr>
            <w:r>
              <w:rPr>
                <w:rFonts w:ascii="宋体" w:hAnsi="宋体"/>
                <w:sz w:val="24"/>
                <w:szCs w:val="24"/>
                <w:highlight w:val="none"/>
              </w:rPr>
              <w:t>　　</w:t>
            </w:r>
            <w:r>
              <w:rPr>
                <w:rFonts w:ascii="宋体" w:hAnsi="宋体"/>
                <w:sz w:val="24"/>
                <w:szCs w:val="24"/>
                <w:highlight w:val="none"/>
              </w:rPr>
              <w:br w:type="textWrapping"/>
            </w:r>
            <w:r>
              <w:rPr>
                <w:rFonts w:ascii="宋体" w:hAnsi="宋体"/>
                <w:sz w:val="24"/>
                <w:szCs w:val="24"/>
                <w:highlight w:val="none"/>
              </w:rPr>
              <w:t>　　　　　                              年    月    日</w:t>
            </w:r>
          </w:p>
        </w:tc>
      </w:tr>
    </w:tbl>
    <w:p w14:paraId="23E4C9AF">
      <w:pPr>
        <w:spacing w:line="520" w:lineRule="exact"/>
        <w:jc w:val="center"/>
        <w:outlineLvl w:val="0"/>
        <w:rPr>
          <w:b/>
          <w:sz w:val="24"/>
          <w:szCs w:val="24"/>
          <w:highlight w:val="none"/>
        </w:rPr>
        <w:sectPr>
          <w:footerReference r:id="rId7" w:type="default"/>
          <w:pgSz w:w="11906" w:h="16838"/>
          <w:pgMar w:top="1474" w:right="1474" w:bottom="1474" w:left="1474" w:header="851" w:footer="907" w:gutter="0"/>
          <w:pgNumType w:fmt="numberInDash"/>
          <w:cols w:space="720" w:num="1"/>
          <w:docGrid w:linePitch="360" w:charSpace="0"/>
        </w:sectPr>
      </w:pPr>
    </w:p>
    <w:p w14:paraId="2A64C5AC">
      <w:pPr>
        <w:spacing w:line="520" w:lineRule="exact"/>
        <w:jc w:val="center"/>
        <w:outlineLvl w:val="0"/>
        <w:rPr>
          <w:rFonts w:hint="eastAsia" w:ascii="宋体" w:hAnsi="宋体" w:cs="宋体"/>
          <w:b/>
          <w:sz w:val="72"/>
          <w:szCs w:val="72"/>
          <w:highlight w:val="none"/>
        </w:rPr>
      </w:pPr>
      <w:bookmarkStart w:id="248" w:name="_Toc1834838393"/>
      <w:r>
        <w:rPr>
          <w:rFonts w:hint="eastAsia"/>
          <w:b/>
          <w:sz w:val="44"/>
          <w:szCs w:val="44"/>
          <w:highlight w:val="none"/>
        </w:rPr>
        <w:t>第六章 投标文件及格式</w:t>
      </w:r>
      <w:bookmarkEnd w:id="208"/>
      <w:bookmarkEnd w:id="209"/>
      <w:bookmarkEnd w:id="248"/>
    </w:p>
    <w:p w14:paraId="67449A4E">
      <w:pPr>
        <w:pStyle w:val="18"/>
        <w:spacing w:beforeAutospacing="0" w:afterAutospacing="0"/>
        <w:jc w:val="center"/>
        <w:rPr>
          <w:rFonts w:hint="eastAsia"/>
          <w:b/>
          <w:sz w:val="72"/>
          <w:szCs w:val="72"/>
          <w:highlight w:val="none"/>
        </w:rPr>
      </w:pPr>
    </w:p>
    <w:p w14:paraId="7256579C">
      <w:pPr>
        <w:pStyle w:val="18"/>
        <w:spacing w:beforeAutospacing="0" w:afterAutospacing="0"/>
        <w:jc w:val="center"/>
        <w:rPr>
          <w:rFonts w:hint="eastAsia"/>
          <w:highlight w:val="none"/>
        </w:rPr>
      </w:pPr>
      <w:r>
        <w:rPr>
          <w:rFonts w:hint="eastAsia"/>
          <w:b/>
          <w:sz w:val="72"/>
          <w:szCs w:val="72"/>
          <w:highlight w:val="none"/>
        </w:rPr>
        <w:t>投  标  文  件</w:t>
      </w:r>
    </w:p>
    <w:p w14:paraId="0F8E01EE">
      <w:pPr>
        <w:pStyle w:val="18"/>
        <w:spacing w:beforeAutospacing="0" w:afterAutospacing="0"/>
        <w:jc w:val="center"/>
        <w:rPr>
          <w:rFonts w:hint="eastAsia"/>
          <w:highlight w:val="none"/>
        </w:rPr>
      </w:pPr>
      <w:r>
        <w:rPr>
          <w:highlight w:val="none"/>
        </w:rPr>
        <w:t> </w:t>
      </w:r>
    </w:p>
    <w:p w14:paraId="5732949D">
      <w:pPr>
        <w:pStyle w:val="18"/>
        <w:spacing w:beforeAutospacing="0" w:afterAutospacing="0"/>
        <w:jc w:val="center"/>
        <w:rPr>
          <w:rFonts w:hint="eastAsia"/>
          <w:highlight w:val="none"/>
        </w:rPr>
      </w:pPr>
      <w:r>
        <w:rPr>
          <w:highlight w:val="none"/>
        </w:rPr>
        <w:t> </w:t>
      </w:r>
    </w:p>
    <w:p w14:paraId="16F1756E">
      <w:pPr>
        <w:pStyle w:val="18"/>
        <w:spacing w:beforeAutospacing="0" w:afterAutospacing="0"/>
        <w:jc w:val="center"/>
        <w:rPr>
          <w:rFonts w:hint="eastAsia"/>
          <w:highlight w:val="none"/>
        </w:rPr>
      </w:pPr>
      <w:r>
        <w:rPr>
          <w:highlight w:val="none"/>
        </w:rPr>
        <w:t> </w:t>
      </w:r>
    </w:p>
    <w:p w14:paraId="42C76310">
      <w:pPr>
        <w:pStyle w:val="18"/>
        <w:spacing w:beforeAutospacing="0" w:afterAutospacing="0"/>
        <w:jc w:val="center"/>
        <w:rPr>
          <w:rFonts w:hint="eastAsia"/>
          <w:highlight w:val="none"/>
        </w:rPr>
      </w:pPr>
      <w:r>
        <w:rPr>
          <w:highlight w:val="none"/>
        </w:rPr>
        <w:t> </w:t>
      </w:r>
    </w:p>
    <w:p w14:paraId="54A0CB6A">
      <w:pPr>
        <w:pStyle w:val="18"/>
        <w:spacing w:beforeAutospacing="0" w:afterAutospacing="0"/>
        <w:jc w:val="center"/>
        <w:rPr>
          <w:rFonts w:hint="eastAsia"/>
          <w:highlight w:val="none"/>
        </w:rPr>
      </w:pPr>
      <w:r>
        <w:rPr>
          <w:highlight w:val="none"/>
        </w:rPr>
        <w:t> </w:t>
      </w:r>
    </w:p>
    <w:p w14:paraId="2837C20C">
      <w:pPr>
        <w:pStyle w:val="18"/>
        <w:spacing w:beforeAutospacing="0" w:afterAutospacing="0"/>
        <w:ind w:firstLine="1084"/>
        <w:jc w:val="both"/>
        <w:rPr>
          <w:rFonts w:hint="eastAsia"/>
          <w:highlight w:val="none"/>
        </w:rPr>
      </w:pPr>
      <w:r>
        <w:rPr>
          <w:rFonts w:hint="eastAsia"/>
          <w:b/>
          <w:sz w:val="36"/>
          <w:szCs w:val="36"/>
          <w:highlight w:val="none"/>
        </w:rPr>
        <w:t>项目 名 称：</w:t>
      </w:r>
      <w:r>
        <w:rPr>
          <w:rFonts w:hint="eastAsia"/>
          <w:b/>
          <w:sz w:val="36"/>
          <w:szCs w:val="36"/>
          <w:highlight w:val="none"/>
          <w:u w:val="single"/>
        </w:rPr>
        <w:t xml:space="preserve">               </w:t>
      </w:r>
    </w:p>
    <w:p w14:paraId="41DF93A3">
      <w:pPr>
        <w:pStyle w:val="18"/>
        <w:spacing w:beforeAutospacing="0" w:afterAutospacing="0"/>
        <w:ind w:firstLine="1084"/>
        <w:jc w:val="both"/>
        <w:rPr>
          <w:rFonts w:hint="eastAsia"/>
          <w:highlight w:val="none"/>
        </w:rPr>
      </w:pPr>
      <w:r>
        <w:rPr>
          <w:rFonts w:hint="eastAsia"/>
          <w:b/>
          <w:sz w:val="36"/>
          <w:szCs w:val="36"/>
          <w:highlight w:val="none"/>
        </w:rPr>
        <w:t>项目 编 号：</w:t>
      </w:r>
      <w:r>
        <w:rPr>
          <w:rFonts w:hint="eastAsia"/>
          <w:b/>
          <w:sz w:val="36"/>
          <w:szCs w:val="36"/>
          <w:highlight w:val="none"/>
          <w:u w:val="single"/>
        </w:rPr>
        <w:t xml:space="preserve">               </w:t>
      </w:r>
    </w:p>
    <w:p w14:paraId="7E1F19F4">
      <w:pPr>
        <w:pStyle w:val="18"/>
        <w:spacing w:beforeAutospacing="0" w:afterAutospacing="0"/>
        <w:jc w:val="both"/>
        <w:rPr>
          <w:rFonts w:hint="eastAsia"/>
          <w:highlight w:val="none"/>
        </w:rPr>
      </w:pPr>
      <w:r>
        <w:rPr>
          <w:rFonts w:hint="eastAsia"/>
          <w:b/>
          <w:sz w:val="36"/>
          <w:szCs w:val="36"/>
          <w:highlight w:val="none"/>
        </w:rPr>
        <w:t>   投标人名称 ：</w:t>
      </w:r>
      <w:r>
        <w:rPr>
          <w:rFonts w:hint="eastAsia"/>
          <w:b/>
          <w:sz w:val="36"/>
          <w:szCs w:val="36"/>
          <w:highlight w:val="none"/>
          <w:u w:val="single"/>
        </w:rPr>
        <w:t xml:space="preserve">（加盖CA电子公章）        </w:t>
      </w:r>
    </w:p>
    <w:p w14:paraId="4DB834AA">
      <w:pPr>
        <w:pStyle w:val="18"/>
        <w:spacing w:beforeAutospacing="0" w:afterAutospacing="0"/>
        <w:jc w:val="both"/>
        <w:rPr>
          <w:rFonts w:hint="eastAsia"/>
          <w:highlight w:val="none"/>
        </w:rPr>
      </w:pPr>
      <w:r>
        <w:rPr>
          <w:rFonts w:hint="eastAsia"/>
          <w:b/>
          <w:sz w:val="36"/>
          <w:szCs w:val="36"/>
          <w:highlight w:val="none"/>
        </w:rPr>
        <w:t>   日   期 ：</w:t>
      </w:r>
      <w:r>
        <w:rPr>
          <w:rFonts w:hint="eastAsia"/>
          <w:b/>
          <w:sz w:val="36"/>
          <w:szCs w:val="36"/>
          <w:highlight w:val="none"/>
          <w:u w:val="single"/>
        </w:rPr>
        <w:t>                     </w:t>
      </w:r>
    </w:p>
    <w:p w14:paraId="415916A3">
      <w:pPr>
        <w:spacing w:line="480" w:lineRule="exact"/>
        <w:jc w:val="center"/>
        <w:rPr>
          <w:rFonts w:hint="eastAsia" w:ascii="宋体" w:hAnsi="宋体" w:cs="Segoe UI"/>
          <w:b/>
          <w:bCs/>
          <w:sz w:val="32"/>
          <w:szCs w:val="32"/>
          <w:highlight w:val="none"/>
        </w:rPr>
        <w:sectPr>
          <w:pgSz w:w="11906" w:h="16838"/>
          <w:pgMar w:top="1474" w:right="1474" w:bottom="1474" w:left="1474" w:header="851" w:footer="907" w:gutter="0"/>
          <w:cols w:space="720" w:num="1"/>
          <w:docGrid w:linePitch="360" w:charSpace="0"/>
        </w:sectPr>
      </w:pPr>
    </w:p>
    <w:p w14:paraId="5F6809EB">
      <w:pPr>
        <w:pStyle w:val="18"/>
        <w:spacing w:beforeAutospacing="0" w:afterAutospacing="0" w:line="0" w:lineRule="atLeast"/>
        <w:jc w:val="center"/>
        <w:rPr>
          <w:rFonts w:hint="eastAsia"/>
          <w:highlight w:val="none"/>
        </w:rPr>
      </w:pPr>
      <w:r>
        <w:rPr>
          <w:rFonts w:hint="eastAsia"/>
          <w:b/>
          <w:sz w:val="32"/>
          <w:szCs w:val="32"/>
          <w:highlight w:val="none"/>
        </w:rPr>
        <w:t>投标文件目录</w:t>
      </w:r>
    </w:p>
    <w:p w14:paraId="6359C444">
      <w:pPr>
        <w:pStyle w:val="18"/>
        <w:spacing w:beforeAutospacing="0" w:afterAutospacing="0" w:line="0" w:lineRule="atLeast"/>
        <w:jc w:val="center"/>
        <w:rPr>
          <w:rFonts w:hint="eastAsia"/>
          <w:highlight w:val="none"/>
        </w:rPr>
      </w:pPr>
      <w:r>
        <w:rPr>
          <w:highlight w:val="none"/>
        </w:rPr>
        <w:t> </w:t>
      </w:r>
    </w:p>
    <w:p w14:paraId="19F338F4">
      <w:pPr>
        <w:pStyle w:val="18"/>
        <w:spacing w:beforeAutospacing="0" w:afterAutospacing="0" w:line="360" w:lineRule="auto"/>
        <w:ind w:left="482"/>
        <w:jc w:val="both"/>
        <w:rPr>
          <w:rFonts w:hint="eastAsia"/>
          <w:iCs/>
          <w:highlight w:val="none"/>
        </w:rPr>
      </w:pPr>
      <w:r>
        <w:rPr>
          <w:rFonts w:hint="eastAsia"/>
          <w:iCs/>
          <w:highlight w:val="none"/>
        </w:rPr>
        <w:t>一、法人或者其他组织的营业执照等证明文件，自然人的身份证明</w:t>
      </w:r>
    </w:p>
    <w:p w14:paraId="028122F9">
      <w:pPr>
        <w:pStyle w:val="18"/>
        <w:spacing w:beforeAutospacing="0" w:afterAutospacing="0" w:line="360" w:lineRule="auto"/>
        <w:ind w:left="482"/>
        <w:jc w:val="both"/>
        <w:rPr>
          <w:rFonts w:hint="eastAsia"/>
          <w:iCs/>
          <w:highlight w:val="none"/>
        </w:rPr>
      </w:pPr>
      <w:r>
        <w:rPr>
          <w:rFonts w:hint="eastAsia"/>
          <w:iCs/>
          <w:highlight w:val="none"/>
        </w:rPr>
        <w:t>二、上一年度的财务报表（至少提供资产负债表、利润表、现金流量表，投标人成立不满一年无需提供）</w:t>
      </w:r>
    </w:p>
    <w:p w14:paraId="0E3E6BF4">
      <w:pPr>
        <w:pStyle w:val="18"/>
        <w:spacing w:beforeAutospacing="0" w:afterAutospacing="0" w:line="360" w:lineRule="auto"/>
        <w:ind w:left="482"/>
        <w:jc w:val="both"/>
        <w:rPr>
          <w:rFonts w:hint="eastAsia"/>
          <w:iCs/>
          <w:highlight w:val="none"/>
        </w:rPr>
      </w:pPr>
      <w:r>
        <w:rPr>
          <w:rFonts w:hint="eastAsia"/>
          <w:iCs/>
          <w:highlight w:val="non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5455A5ED">
      <w:pPr>
        <w:pStyle w:val="18"/>
        <w:spacing w:beforeAutospacing="0" w:afterAutospacing="0" w:line="360" w:lineRule="auto"/>
        <w:ind w:left="482"/>
        <w:jc w:val="both"/>
        <w:rPr>
          <w:rFonts w:hint="eastAsia"/>
          <w:iCs/>
          <w:highlight w:val="none"/>
        </w:rPr>
      </w:pPr>
      <w:r>
        <w:rPr>
          <w:rFonts w:hint="eastAsia"/>
          <w:iCs/>
          <w:highlight w:val="none"/>
        </w:rPr>
        <w:t>四、具备履行合同所必需的设备和专业技术能力的书面声明</w:t>
      </w:r>
    </w:p>
    <w:p w14:paraId="23FBDB98">
      <w:pPr>
        <w:pStyle w:val="18"/>
        <w:spacing w:beforeAutospacing="0" w:afterAutospacing="0" w:line="360" w:lineRule="auto"/>
        <w:ind w:left="482"/>
        <w:jc w:val="both"/>
        <w:rPr>
          <w:rFonts w:hint="eastAsia"/>
          <w:iCs/>
          <w:highlight w:val="none"/>
        </w:rPr>
      </w:pPr>
      <w:r>
        <w:rPr>
          <w:rFonts w:hint="eastAsia"/>
          <w:iCs/>
          <w:highlight w:val="none"/>
        </w:rPr>
        <w:t>五、参加政府采购活动前 3 年内在经营活动中没有重大违法记录的书面声明</w:t>
      </w:r>
    </w:p>
    <w:p w14:paraId="458AB6AB">
      <w:pPr>
        <w:pStyle w:val="18"/>
        <w:spacing w:beforeAutospacing="0" w:afterAutospacing="0" w:line="360" w:lineRule="auto"/>
        <w:ind w:left="482"/>
        <w:jc w:val="both"/>
        <w:rPr>
          <w:rFonts w:hint="eastAsia"/>
          <w:iCs/>
          <w:highlight w:val="none"/>
        </w:rPr>
      </w:pPr>
      <w:r>
        <w:rPr>
          <w:rFonts w:hint="eastAsia"/>
          <w:iCs/>
          <w:highlight w:val="none"/>
        </w:rPr>
        <w:t>六、法人授权书</w:t>
      </w:r>
    </w:p>
    <w:p w14:paraId="0739734C">
      <w:pPr>
        <w:pStyle w:val="18"/>
        <w:spacing w:beforeAutospacing="0" w:afterAutospacing="0" w:line="360" w:lineRule="auto"/>
        <w:ind w:left="482"/>
        <w:jc w:val="both"/>
        <w:rPr>
          <w:rFonts w:hint="eastAsia"/>
          <w:iCs/>
          <w:highlight w:val="none"/>
        </w:rPr>
      </w:pPr>
      <w:r>
        <w:rPr>
          <w:rFonts w:hint="eastAsia"/>
          <w:iCs/>
          <w:highlight w:val="none"/>
        </w:rPr>
        <w:t>七、投标函</w:t>
      </w:r>
    </w:p>
    <w:p w14:paraId="66DB613B">
      <w:pPr>
        <w:pStyle w:val="18"/>
        <w:spacing w:beforeAutospacing="0" w:afterAutospacing="0" w:line="360" w:lineRule="auto"/>
        <w:ind w:left="482"/>
        <w:jc w:val="both"/>
        <w:rPr>
          <w:rFonts w:hint="eastAsia"/>
          <w:iCs/>
          <w:highlight w:val="none"/>
        </w:rPr>
      </w:pPr>
      <w:r>
        <w:rPr>
          <w:rFonts w:hint="eastAsia"/>
          <w:iCs/>
          <w:highlight w:val="none"/>
        </w:rPr>
        <w:t>八、联合体协议书（如有）</w:t>
      </w:r>
    </w:p>
    <w:p w14:paraId="62BFEF7A">
      <w:pPr>
        <w:pStyle w:val="18"/>
        <w:spacing w:beforeAutospacing="0" w:afterAutospacing="0" w:line="360" w:lineRule="auto"/>
        <w:ind w:left="482"/>
        <w:jc w:val="both"/>
        <w:rPr>
          <w:rFonts w:hint="eastAsia"/>
          <w:iCs/>
          <w:highlight w:val="none"/>
        </w:rPr>
      </w:pPr>
      <w:r>
        <w:rPr>
          <w:rFonts w:hint="eastAsia"/>
          <w:iCs/>
          <w:highlight w:val="none"/>
        </w:rPr>
        <w:t>九、小微企业声明函</w:t>
      </w:r>
    </w:p>
    <w:p w14:paraId="1E9E0C24">
      <w:pPr>
        <w:pStyle w:val="18"/>
        <w:spacing w:beforeAutospacing="0" w:afterAutospacing="0" w:line="360" w:lineRule="auto"/>
        <w:ind w:left="482"/>
        <w:jc w:val="both"/>
        <w:rPr>
          <w:rFonts w:hint="eastAsia"/>
          <w:iCs/>
          <w:highlight w:val="none"/>
        </w:rPr>
      </w:pPr>
      <w:r>
        <w:rPr>
          <w:rFonts w:hint="eastAsia"/>
          <w:iCs/>
          <w:highlight w:val="none"/>
        </w:rPr>
        <w:t>十、残疾人福利性单位声明函（如有）</w:t>
      </w:r>
    </w:p>
    <w:p w14:paraId="34632FDC">
      <w:pPr>
        <w:pStyle w:val="18"/>
        <w:spacing w:beforeAutospacing="0" w:afterAutospacing="0" w:line="360" w:lineRule="auto"/>
        <w:ind w:left="482"/>
        <w:jc w:val="both"/>
        <w:rPr>
          <w:rFonts w:hint="eastAsia"/>
          <w:iCs/>
          <w:highlight w:val="none"/>
        </w:rPr>
      </w:pPr>
      <w:r>
        <w:rPr>
          <w:rFonts w:hint="eastAsia"/>
          <w:iCs/>
          <w:highlight w:val="none"/>
        </w:rPr>
        <w:t>十一、投标清单报价表</w:t>
      </w:r>
    </w:p>
    <w:p w14:paraId="7D5AB6D1">
      <w:pPr>
        <w:pStyle w:val="18"/>
        <w:spacing w:beforeAutospacing="0" w:afterAutospacing="0" w:line="360" w:lineRule="auto"/>
        <w:ind w:left="482"/>
        <w:jc w:val="both"/>
        <w:rPr>
          <w:rFonts w:hint="eastAsia"/>
          <w:iCs/>
          <w:highlight w:val="none"/>
        </w:rPr>
      </w:pPr>
      <w:r>
        <w:rPr>
          <w:rFonts w:hint="eastAsia"/>
          <w:iCs/>
          <w:highlight w:val="none"/>
        </w:rPr>
        <w:t>十二、商务要求响应及偏离表</w:t>
      </w:r>
    </w:p>
    <w:p w14:paraId="5240F464">
      <w:pPr>
        <w:pStyle w:val="18"/>
        <w:spacing w:beforeAutospacing="0" w:afterAutospacing="0" w:line="360" w:lineRule="auto"/>
        <w:ind w:left="482"/>
        <w:jc w:val="both"/>
        <w:rPr>
          <w:rFonts w:hint="eastAsia"/>
          <w:iCs/>
          <w:highlight w:val="none"/>
        </w:rPr>
      </w:pPr>
      <w:r>
        <w:rPr>
          <w:rFonts w:hint="eastAsia"/>
          <w:iCs/>
          <w:highlight w:val="none"/>
        </w:rPr>
        <w:t>十三、开标一览表</w:t>
      </w:r>
    </w:p>
    <w:p w14:paraId="69C90C01">
      <w:pPr>
        <w:pStyle w:val="18"/>
        <w:spacing w:beforeAutospacing="0" w:afterAutospacing="0" w:line="360" w:lineRule="auto"/>
        <w:ind w:left="482"/>
        <w:jc w:val="both"/>
        <w:rPr>
          <w:rFonts w:hint="eastAsia"/>
          <w:iCs/>
          <w:highlight w:val="none"/>
        </w:rPr>
      </w:pPr>
      <w:r>
        <w:rPr>
          <w:rFonts w:hint="eastAsia"/>
          <w:iCs/>
          <w:highlight w:val="none"/>
        </w:rPr>
        <w:t>十四、技术方案、服务承诺、培训承诺等</w:t>
      </w:r>
    </w:p>
    <w:p w14:paraId="1CC65736">
      <w:pPr>
        <w:pStyle w:val="18"/>
        <w:spacing w:beforeAutospacing="0" w:afterAutospacing="0" w:line="360" w:lineRule="auto"/>
        <w:ind w:left="480"/>
        <w:jc w:val="both"/>
        <w:rPr>
          <w:rFonts w:hint="eastAsia"/>
          <w:iCs/>
          <w:highlight w:val="none"/>
        </w:rPr>
      </w:pPr>
      <w:r>
        <w:rPr>
          <w:rFonts w:hint="eastAsia"/>
          <w:iCs/>
          <w:highlight w:val="none"/>
        </w:rPr>
        <w:t>十五、盐城市政府采购事前信用承诺书</w:t>
      </w:r>
    </w:p>
    <w:p w14:paraId="2400CF4F">
      <w:pPr>
        <w:spacing w:line="360" w:lineRule="auto"/>
        <w:jc w:val="center"/>
        <w:rPr>
          <w:rFonts w:hint="eastAsia" w:ascii="宋体" w:hAnsi="宋体" w:cs="Segoe UI"/>
          <w:b/>
          <w:bCs/>
          <w:sz w:val="24"/>
          <w:szCs w:val="24"/>
          <w:highlight w:val="none"/>
        </w:rPr>
      </w:pPr>
    </w:p>
    <w:p w14:paraId="4DF70856">
      <w:pPr>
        <w:spacing w:line="480" w:lineRule="exact"/>
        <w:jc w:val="center"/>
        <w:rPr>
          <w:rFonts w:hint="eastAsia" w:ascii="宋体" w:hAnsi="宋体" w:cs="Segoe UI"/>
          <w:b/>
          <w:bCs/>
          <w:sz w:val="32"/>
          <w:szCs w:val="32"/>
          <w:highlight w:val="none"/>
        </w:rPr>
      </w:pPr>
    </w:p>
    <w:p w14:paraId="32A968F6">
      <w:pPr>
        <w:spacing w:line="480" w:lineRule="exact"/>
        <w:jc w:val="center"/>
        <w:rPr>
          <w:rFonts w:hint="eastAsia" w:ascii="宋体" w:hAnsi="宋体" w:cs="Segoe UI"/>
          <w:b/>
          <w:bCs/>
          <w:sz w:val="32"/>
          <w:szCs w:val="32"/>
          <w:highlight w:val="none"/>
        </w:rPr>
      </w:pPr>
    </w:p>
    <w:p w14:paraId="5A5BF71E">
      <w:pPr>
        <w:spacing w:line="480" w:lineRule="exact"/>
        <w:jc w:val="center"/>
        <w:rPr>
          <w:rFonts w:hint="eastAsia" w:ascii="宋体" w:hAnsi="宋体" w:cs="Segoe UI"/>
          <w:b/>
          <w:bCs/>
          <w:sz w:val="32"/>
          <w:szCs w:val="32"/>
          <w:highlight w:val="none"/>
        </w:rPr>
      </w:pPr>
    </w:p>
    <w:p w14:paraId="06D84DE9">
      <w:pPr>
        <w:spacing w:line="520" w:lineRule="exact"/>
        <w:jc w:val="center"/>
        <w:rPr>
          <w:rFonts w:hint="eastAsia" w:ascii="黑体" w:hAnsi="黑体" w:eastAsia="黑体" w:cs="黑体"/>
          <w:b/>
          <w:sz w:val="36"/>
          <w:szCs w:val="36"/>
          <w:highlight w:val="none"/>
        </w:rPr>
      </w:pPr>
    </w:p>
    <w:p w14:paraId="6B9A48C6">
      <w:pPr>
        <w:pStyle w:val="18"/>
        <w:spacing w:beforeAutospacing="0" w:afterAutospacing="0" w:line="0" w:lineRule="atLeast"/>
        <w:ind w:firstLine="480"/>
        <w:jc w:val="center"/>
        <w:rPr>
          <w:rFonts w:hint="eastAsia" w:ascii="黑体" w:hAnsi="黑体" w:eastAsia="黑体" w:cs="黑体"/>
          <w:b/>
          <w:sz w:val="36"/>
          <w:szCs w:val="36"/>
          <w:highlight w:val="none"/>
        </w:rPr>
      </w:pPr>
    </w:p>
    <w:p w14:paraId="68AC9832">
      <w:pPr>
        <w:pStyle w:val="18"/>
        <w:spacing w:beforeAutospacing="0" w:afterAutospacing="0" w:line="0" w:lineRule="atLeast"/>
        <w:ind w:firstLine="480"/>
        <w:jc w:val="center"/>
        <w:rPr>
          <w:rFonts w:hint="eastAsia" w:ascii="黑体" w:hAnsi="黑体" w:eastAsia="黑体" w:cs="黑体"/>
          <w:b/>
          <w:sz w:val="36"/>
          <w:szCs w:val="36"/>
          <w:highlight w:val="none"/>
        </w:rPr>
      </w:pPr>
    </w:p>
    <w:p w14:paraId="5282C720">
      <w:pPr>
        <w:pStyle w:val="18"/>
        <w:spacing w:beforeAutospacing="0" w:afterAutospacing="0" w:line="0" w:lineRule="atLeast"/>
        <w:ind w:firstLine="480"/>
        <w:jc w:val="center"/>
        <w:rPr>
          <w:rFonts w:hint="eastAsia" w:ascii="黑体" w:hAnsi="黑体" w:eastAsia="黑体" w:cs="黑体"/>
          <w:b/>
          <w:sz w:val="36"/>
          <w:szCs w:val="36"/>
          <w:highlight w:val="none"/>
        </w:rPr>
      </w:pPr>
    </w:p>
    <w:p w14:paraId="76F16BAA">
      <w:pPr>
        <w:pStyle w:val="18"/>
        <w:spacing w:beforeAutospacing="0" w:afterAutospacing="0" w:line="0" w:lineRule="atLeast"/>
        <w:ind w:firstLine="480"/>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t>（一）法人或者其他组织的营业执照等证明文件，自然人的身份证明</w:t>
      </w:r>
    </w:p>
    <w:p w14:paraId="2D953390">
      <w:pPr>
        <w:pStyle w:val="18"/>
        <w:spacing w:beforeAutospacing="0" w:afterAutospacing="0" w:line="0" w:lineRule="atLeast"/>
        <w:ind w:firstLine="480"/>
        <w:jc w:val="center"/>
        <w:rPr>
          <w:rFonts w:hint="eastAsia" w:ascii="黑体" w:hAnsi="黑体" w:eastAsia="黑体" w:cs="黑体"/>
          <w:b/>
          <w:sz w:val="36"/>
          <w:szCs w:val="36"/>
          <w:highlight w:val="none"/>
        </w:rPr>
        <w:sectPr>
          <w:pgSz w:w="11906" w:h="16838"/>
          <w:pgMar w:top="1474" w:right="1474" w:bottom="1474" w:left="1474" w:header="851" w:footer="907" w:gutter="0"/>
          <w:cols w:space="720" w:num="1"/>
          <w:docGrid w:linePitch="360" w:charSpace="0"/>
        </w:sectPr>
      </w:pPr>
    </w:p>
    <w:p w14:paraId="7FAED011">
      <w:pPr>
        <w:pStyle w:val="18"/>
        <w:spacing w:beforeAutospacing="0" w:afterAutospacing="0" w:line="0" w:lineRule="atLeast"/>
        <w:jc w:val="center"/>
        <w:rPr>
          <w:rFonts w:hint="eastAsia" w:ascii="黑体" w:hAnsi="黑体" w:eastAsia="黑体" w:cs="黑体"/>
          <w:b/>
          <w:sz w:val="36"/>
          <w:szCs w:val="36"/>
          <w:highlight w:val="none"/>
        </w:rPr>
        <w:sectPr>
          <w:pgSz w:w="11906" w:h="16838"/>
          <w:pgMar w:top="1474" w:right="1474" w:bottom="1474" w:left="1474" w:header="851" w:footer="907" w:gutter="0"/>
          <w:cols w:space="720" w:num="1"/>
          <w:docGrid w:linePitch="360" w:charSpace="0"/>
        </w:sectPr>
      </w:pPr>
      <w:r>
        <w:rPr>
          <w:rFonts w:hint="eastAsia" w:ascii="黑体" w:hAnsi="黑体" w:eastAsia="黑体" w:cs="黑体"/>
          <w:b/>
          <w:sz w:val="36"/>
          <w:szCs w:val="36"/>
          <w:highlight w:val="none"/>
        </w:rPr>
        <w:t>（二）上一年度的财务报表（投标人成立不满一年不需提供）</w:t>
      </w:r>
    </w:p>
    <w:p w14:paraId="5F40F5FF">
      <w:pPr>
        <w:pStyle w:val="18"/>
        <w:spacing w:beforeAutospacing="0" w:afterAutospacing="0"/>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t>（三）依法缴纳税收和社会保障资金的相关材料</w:t>
      </w:r>
    </w:p>
    <w:p w14:paraId="33B408BE">
      <w:pPr>
        <w:pStyle w:val="12"/>
        <w:spacing w:before="120" w:after="120" w:line="440" w:lineRule="exact"/>
        <w:jc w:val="center"/>
        <w:rPr>
          <w:rFonts w:hint="eastAsia" w:ascii="黑体" w:hAnsi="黑体" w:eastAsia="黑体" w:cs="黑体"/>
          <w:b/>
          <w:sz w:val="36"/>
          <w:szCs w:val="36"/>
          <w:highlight w:val="none"/>
        </w:rPr>
        <w:sectPr>
          <w:pgSz w:w="11906" w:h="16838"/>
          <w:pgMar w:top="1474" w:right="1474" w:bottom="1474" w:left="1474" w:header="851" w:footer="907" w:gutter="0"/>
          <w:cols w:space="720" w:num="1"/>
          <w:docGrid w:linePitch="360" w:charSpace="0"/>
        </w:sectPr>
      </w:pPr>
    </w:p>
    <w:p w14:paraId="7EB2529F">
      <w:pPr>
        <w:pStyle w:val="18"/>
        <w:spacing w:beforeAutospacing="0" w:afterAutospacing="0"/>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t>（四）具备履行合同所必需的设备和专业技术能力的书面声明</w:t>
      </w:r>
    </w:p>
    <w:p w14:paraId="12C3672E">
      <w:pPr>
        <w:pStyle w:val="12"/>
        <w:spacing w:before="120" w:after="120" w:line="440" w:lineRule="exact"/>
        <w:jc w:val="center"/>
        <w:rPr>
          <w:rFonts w:hint="eastAsia" w:ascii="黑体" w:hAnsi="黑体" w:eastAsia="黑体" w:cs="黑体"/>
          <w:b/>
          <w:sz w:val="36"/>
          <w:szCs w:val="36"/>
          <w:highlight w:val="none"/>
        </w:rPr>
      </w:pPr>
    </w:p>
    <w:p w14:paraId="697DDA16">
      <w:pPr>
        <w:pStyle w:val="18"/>
        <w:spacing w:beforeAutospacing="0" w:afterAutospacing="0" w:line="500" w:lineRule="exact"/>
        <w:ind w:firstLine="492"/>
        <w:jc w:val="both"/>
        <w:rPr>
          <w:rFonts w:hint="eastAsia"/>
          <w:highlight w:val="none"/>
        </w:rPr>
      </w:pPr>
      <w:r>
        <w:rPr>
          <w:rFonts w:hint="eastAsia"/>
          <w:highlight w:val="none"/>
        </w:rPr>
        <w:t>我单位郑重声明：我单位具备履行本项采购合同所必需的设备和专业技术能力，为履行本项采购合同我公司具备如下主要设备和主要专业技术能力：</w:t>
      </w:r>
    </w:p>
    <w:p w14:paraId="146F07B4">
      <w:pPr>
        <w:pStyle w:val="18"/>
        <w:spacing w:beforeAutospacing="0" w:afterAutospacing="0" w:line="500" w:lineRule="exact"/>
        <w:ind w:firstLine="492"/>
        <w:jc w:val="both"/>
        <w:rPr>
          <w:rFonts w:hint="eastAsia"/>
          <w:highlight w:val="none"/>
        </w:rPr>
      </w:pPr>
      <w:r>
        <w:rPr>
          <w:rFonts w:hint="eastAsia"/>
          <w:highlight w:val="none"/>
        </w:rPr>
        <w:t>主要设备有：</w:t>
      </w:r>
      <w:r>
        <w:rPr>
          <w:rFonts w:hint="eastAsia"/>
          <w:highlight w:val="none"/>
          <w:u w:val="single"/>
        </w:rPr>
        <w:t xml:space="preserve">  </w:t>
      </w:r>
      <w:r>
        <w:rPr>
          <w:rFonts w:hint="eastAsia"/>
          <w:highlight w:val="none"/>
        </w:rPr>
        <w:t>。</w:t>
      </w:r>
    </w:p>
    <w:p w14:paraId="46C9077A">
      <w:pPr>
        <w:pStyle w:val="18"/>
        <w:spacing w:beforeAutospacing="0" w:afterAutospacing="0" w:line="500" w:lineRule="exact"/>
        <w:ind w:firstLine="480"/>
        <w:jc w:val="both"/>
        <w:rPr>
          <w:rFonts w:hint="eastAsia"/>
          <w:highlight w:val="none"/>
        </w:rPr>
      </w:pPr>
      <w:r>
        <w:rPr>
          <w:rFonts w:hint="eastAsia"/>
          <w:highlight w:val="none"/>
        </w:rPr>
        <w:t>主要专业技术能力有：</w:t>
      </w:r>
      <w:r>
        <w:rPr>
          <w:rFonts w:hint="eastAsia"/>
          <w:highlight w:val="none"/>
          <w:u w:val="single"/>
        </w:rPr>
        <w:t xml:space="preserve">   </w:t>
      </w:r>
      <w:r>
        <w:rPr>
          <w:rFonts w:hint="eastAsia"/>
          <w:highlight w:val="none"/>
        </w:rPr>
        <w:t>。</w:t>
      </w:r>
    </w:p>
    <w:p w14:paraId="12ADD611">
      <w:pPr>
        <w:spacing w:line="500" w:lineRule="exact"/>
        <w:jc w:val="right"/>
        <w:rPr>
          <w:rFonts w:hint="eastAsia" w:ascii="宋体" w:hAnsi="宋体"/>
          <w:bCs/>
          <w:sz w:val="24"/>
          <w:highlight w:val="none"/>
        </w:rPr>
      </w:pPr>
      <w:r>
        <w:rPr>
          <w:rFonts w:hint="eastAsia" w:ascii="宋体" w:hAnsi="宋体"/>
          <w:bCs/>
          <w:sz w:val="24"/>
          <w:highlight w:val="none"/>
        </w:rPr>
        <w:t>投标人名称（公章）：</w:t>
      </w:r>
    </w:p>
    <w:p w14:paraId="7750990A">
      <w:pPr>
        <w:spacing w:line="500" w:lineRule="exact"/>
        <w:jc w:val="right"/>
        <w:rPr>
          <w:rFonts w:hint="eastAsia" w:ascii="宋体" w:hAnsi="宋体"/>
          <w:bCs/>
          <w:sz w:val="24"/>
          <w:highlight w:val="none"/>
        </w:rPr>
      </w:pPr>
      <w:r>
        <w:rPr>
          <w:rFonts w:hint="eastAsia" w:ascii="宋体" w:hAnsi="宋体"/>
          <w:bCs/>
          <w:sz w:val="24"/>
          <w:highlight w:val="none"/>
        </w:rPr>
        <w:t xml:space="preserve">                                      授权代表签字：</w:t>
      </w:r>
    </w:p>
    <w:p w14:paraId="7FA9953C">
      <w:pPr>
        <w:spacing w:line="500" w:lineRule="exact"/>
        <w:jc w:val="right"/>
        <w:rPr>
          <w:rFonts w:hint="eastAsia" w:ascii="宋体" w:hAnsi="宋体"/>
          <w:bCs/>
          <w:sz w:val="24"/>
          <w:highlight w:val="none"/>
        </w:rPr>
      </w:pPr>
      <w:r>
        <w:rPr>
          <w:rFonts w:hint="eastAsia" w:ascii="宋体" w:hAnsi="宋体"/>
          <w:bCs/>
          <w:sz w:val="24"/>
          <w:highlight w:val="none"/>
        </w:rPr>
        <w:t xml:space="preserve">                                      日期：</w:t>
      </w:r>
      <w:r>
        <w:rPr>
          <w:rFonts w:hint="eastAsia" w:ascii="宋体" w:hAnsi="宋体"/>
          <w:bCs/>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xml:space="preserve">    </w:t>
      </w:r>
      <w:r>
        <w:rPr>
          <w:rFonts w:hint="eastAsia" w:ascii="宋体" w:hAnsi="宋体"/>
          <w:bCs/>
          <w:sz w:val="24"/>
          <w:highlight w:val="none"/>
        </w:rPr>
        <w:t>月</w:t>
      </w:r>
      <w:r>
        <w:rPr>
          <w:rFonts w:hint="eastAsia" w:ascii="宋体" w:hAnsi="宋体"/>
          <w:bCs/>
          <w:sz w:val="24"/>
          <w:highlight w:val="none"/>
          <w:u w:val="single"/>
        </w:rPr>
        <w:t xml:space="preserve">    </w:t>
      </w:r>
      <w:r>
        <w:rPr>
          <w:rFonts w:hint="eastAsia" w:ascii="宋体" w:hAnsi="宋体"/>
          <w:bCs/>
          <w:sz w:val="24"/>
          <w:highlight w:val="none"/>
        </w:rPr>
        <w:t>日</w:t>
      </w:r>
    </w:p>
    <w:p w14:paraId="1D68E01D">
      <w:pPr>
        <w:pStyle w:val="12"/>
        <w:spacing w:before="120" w:after="120" w:line="440" w:lineRule="exact"/>
        <w:jc w:val="center"/>
        <w:rPr>
          <w:rFonts w:hint="eastAsia" w:ascii="黑体" w:hAnsi="黑体" w:eastAsia="黑体" w:cs="黑体"/>
          <w:b/>
          <w:sz w:val="36"/>
          <w:szCs w:val="36"/>
          <w:highlight w:val="none"/>
        </w:rPr>
      </w:pPr>
    </w:p>
    <w:p w14:paraId="45C07133">
      <w:pPr>
        <w:pStyle w:val="12"/>
        <w:spacing w:before="120" w:after="120" w:line="440" w:lineRule="exact"/>
        <w:jc w:val="center"/>
        <w:rPr>
          <w:rFonts w:hint="eastAsia" w:ascii="黑体" w:hAnsi="黑体" w:eastAsia="黑体" w:cs="黑体"/>
          <w:b/>
          <w:sz w:val="36"/>
          <w:szCs w:val="36"/>
          <w:highlight w:val="none"/>
        </w:rPr>
      </w:pPr>
    </w:p>
    <w:p w14:paraId="61043B44">
      <w:pPr>
        <w:pStyle w:val="12"/>
        <w:spacing w:before="120" w:after="120" w:line="440" w:lineRule="exact"/>
        <w:jc w:val="center"/>
        <w:rPr>
          <w:rFonts w:hint="eastAsia" w:ascii="黑体" w:hAnsi="黑体" w:eastAsia="黑体" w:cs="黑体"/>
          <w:b/>
          <w:sz w:val="36"/>
          <w:szCs w:val="36"/>
          <w:highlight w:val="none"/>
        </w:rPr>
      </w:pPr>
    </w:p>
    <w:p w14:paraId="068EDA69">
      <w:pPr>
        <w:pStyle w:val="12"/>
        <w:spacing w:before="120" w:after="120" w:line="440" w:lineRule="exact"/>
        <w:jc w:val="center"/>
        <w:rPr>
          <w:rFonts w:hint="eastAsia" w:ascii="黑体" w:hAnsi="黑体" w:eastAsia="黑体" w:cs="黑体"/>
          <w:b/>
          <w:sz w:val="36"/>
          <w:szCs w:val="36"/>
          <w:highlight w:val="none"/>
        </w:rPr>
      </w:pPr>
    </w:p>
    <w:p w14:paraId="62EFA0C1">
      <w:pPr>
        <w:pStyle w:val="12"/>
        <w:spacing w:before="120" w:after="120" w:line="440" w:lineRule="exact"/>
        <w:jc w:val="center"/>
        <w:rPr>
          <w:rFonts w:hint="eastAsia" w:ascii="黑体" w:hAnsi="黑体" w:eastAsia="黑体" w:cs="黑体"/>
          <w:b/>
          <w:sz w:val="36"/>
          <w:szCs w:val="36"/>
          <w:highlight w:val="none"/>
        </w:rPr>
      </w:pPr>
    </w:p>
    <w:p w14:paraId="34E15DE0">
      <w:pPr>
        <w:pStyle w:val="12"/>
        <w:spacing w:before="120" w:after="120" w:line="440" w:lineRule="exact"/>
        <w:jc w:val="center"/>
        <w:rPr>
          <w:rFonts w:hint="eastAsia" w:ascii="黑体" w:hAnsi="黑体" w:eastAsia="黑体" w:cs="黑体"/>
          <w:b/>
          <w:sz w:val="36"/>
          <w:szCs w:val="36"/>
          <w:highlight w:val="none"/>
        </w:rPr>
      </w:pPr>
    </w:p>
    <w:p w14:paraId="589D8581">
      <w:pPr>
        <w:pStyle w:val="12"/>
        <w:spacing w:before="120" w:after="120" w:line="440" w:lineRule="exact"/>
        <w:jc w:val="center"/>
        <w:rPr>
          <w:rFonts w:hint="eastAsia" w:ascii="黑体" w:hAnsi="黑体" w:eastAsia="黑体" w:cs="黑体"/>
          <w:b/>
          <w:sz w:val="36"/>
          <w:szCs w:val="36"/>
          <w:highlight w:val="none"/>
        </w:rPr>
      </w:pPr>
    </w:p>
    <w:p w14:paraId="126E1969">
      <w:pPr>
        <w:pStyle w:val="12"/>
        <w:spacing w:before="120" w:after="120" w:line="440" w:lineRule="exact"/>
        <w:jc w:val="center"/>
        <w:rPr>
          <w:rFonts w:hint="eastAsia" w:ascii="黑体" w:hAnsi="黑体" w:eastAsia="黑体" w:cs="黑体"/>
          <w:b/>
          <w:sz w:val="36"/>
          <w:szCs w:val="36"/>
          <w:highlight w:val="none"/>
        </w:rPr>
      </w:pPr>
    </w:p>
    <w:p w14:paraId="55481D55">
      <w:pPr>
        <w:pStyle w:val="12"/>
        <w:spacing w:before="120" w:after="120" w:line="440" w:lineRule="exact"/>
        <w:jc w:val="center"/>
        <w:rPr>
          <w:rFonts w:hint="eastAsia" w:ascii="黑体" w:hAnsi="黑体" w:eastAsia="黑体" w:cs="黑体"/>
          <w:b/>
          <w:sz w:val="36"/>
          <w:szCs w:val="36"/>
          <w:highlight w:val="none"/>
        </w:rPr>
      </w:pPr>
    </w:p>
    <w:p w14:paraId="5039B788">
      <w:pPr>
        <w:pStyle w:val="12"/>
        <w:spacing w:before="120" w:after="120" w:line="440" w:lineRule="exact"/>
        <w:jc w:val="center"/>
        <w:rPr>
          <w:rFonts w:hint="eastAsia" w:ascii="黑体" w:hAnsi="黑体" w:eastAsia="黑体" w:cs="黑体"/>
          <w:b/>
          <w:sz w:val="36"/>
          <w:szCs w:val="36"/>
          <w:highlight w:val="none"/>
        </w:rPr>
      </w:pPr>
    </w:p>
    <w:p w14:paraId="463BF45B">
      <w:pPr>
        <w:pStyle w:val="12"/>
        <w:spacing w:before="120" w:after="120" w:line="440" w:lineRule="exact"/>
        <w:jc w:val="center"/>
        <w:rPr>
          <w:rFonts w:hint="eastAsia" w:ascii="黑体" w:hAnsi="黑体" w:eastAsia="黑体" w:cs="黑体"/>
          <w:b/>
          <w:sz w:val="36"/>
          <w:szCs w:val="36"/>
          <w:highlight w:val="none"/>
        </w:rPr>
      </w:pPr>
    </w:p>
    <w:p w14:paraId="3FFB953E">
      <w:pPr>
        <w:pStyle w:val="12"/>
        <w:spacing w:before="120" w:after="120" w:line="440" w:lineRule="exact"/>
        <w:jc w:val="center"/>
        <w:rPr>
          <w:rFonts w:hint="eastAsia" w:ascii="黑体" w:hAnsi="黑体" w:eastAsia="黑体" w:cs="黑体"/>
          <w:b/>
          <w:sz w:val="36"/>
          <w:szCs w:val="36"/>
          <w:highlight w:val="none"/>
        </w:rPr>
      </w:pPr>
    </w:p>
    <w:p w14:paraId="50BDA125">
      <w:pPr>
        <w:pStyle w:val="12"/>
        <w:spacing w:before="120" w:after="120" w:line="440" w:lineRule="exact"/>
        <w:jc w:val="center"/>
        <w:rPr>
          <w:rFonts w:hint="eastAsia" w:ascii="黑体" w:hAnsi="黑体" w:eastAsia="黑体" w:cs="黑体"/>
          <w:b/>
          <w:sz w:val="36"/>
          <w:szCs w:val="36"/>
          <w:highlight w:val="none"/>
        </w:rPr>
      </w:pPr>
    </w:p>
    <w:p w14:paraId="72F2EDCF">
      <w:pPr>
        <w:pStyle w:val="12"/>
        <w:spacing w:before="120" w:after="120" w:line="440" w:lineRule="exact"/>
        <w:jc w:val="center"/>
        <w:rPr>
          <w:rFonts w:hint="eastAsia" w:ascii="黑体" w:hAnsi="黑体" w:eastAsia="黑体" w:cs="黑体"/>
          <w:b/>
          <w:sz w:val="36"/>
          <w:szCs w:val="36"/>
          <w:highlight w:val="none"/>
        </w:rPr>
      </w:pPr>
    </w:p>
    <w:p w14:paraId="4292AE85">
      <w:pPr>
        <w:pStyle w:val="12"/>
        <w:spacing w:before="120" w:after="120" w:line="440" w:lineRule="exact"/>
        <w:jc w:val="center"/>
        <w:rPr>
          <w:rFonts w:hint="eastAsia" w:ascii="黑体" w:hAnsi="黑体" w:eastAsia="黑体" w:cs="黑体"/>
          <w:b/>
          <w:sz w:val="36"/>
          <w:szCs w:val="36"/>
          <w:highlight w:val="none"/>
        </w:rPr>
        <w:sectPr>
          <w:pgSz w:w="11906" w:h="16838"/>
          <w:pgMar w:top="1474" w:right="1474" w:bottom="1474" w:left="1474" w:header="851" w:footer="907" w:gutter="0"/>
          <w:cols w:space="720" w:num="1"/>
          <w:docGrid w:linePitch="360" w:charSpace="0"/>
        </w:sectPr>
      </w:pPr>
    </w:p>
    <w:p w14:paraId="1227BA73">
      <w:pPr>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t>（五）参加政府采购活动前 3 年内在经营活动中没有重大违法记录的书面声明</w:t>
      </w:r>
    </w:p>
    <w:p w14:paraId="3391C0DE">
      <w:pPr>
        <w:spacing w:line="460" w:lineRule="exact"/>
        <w:rPr>
          <w:rFonts w:hint="eastAsia" w:ascii="宋体" w:hAnsi="宋体"/>
          <w:b/>
          <w:bCs/>
          <w:sz w:val="44"/>
          <w:szCs w:val="44"/>
          <w:highlight w:val="none"/>
        </w:rPr>
      </w:pPr>
      <w:r>
        <w:rPr>
          <w:rFonts w:hint="eastAsia" w:ascii="宋体" w:hAnsi="宋体"/>
          <w:b/>
          <w:bCs/>
          <w:sz w:val="24"/>
          <w:highlight w:val="none"/>
        </w:rPr>
        <w:t xml:space="preserve">                       </w:t>
      </w:r>
      <w:r>
        <w:rPr>
          <w:rFonts w:hint="eastAsia" w:ascii="宋体" w:hAnsi="宋体"/>
          <w:b/>
          <w:bCs/>
          <w:sz w:val="44"/>
          <w:szCs w:val="44"/>
          <w:highlight w:val="none"/>
        </w:rPr>
        <w:t xml:space="preserve">   </w:t>
      </w:r>
    </w:p>
    <w:p w14:paraId="1A51EBA1">
      <w:pPr>
        <w:spacing w:line="460" w:lineRule="exact"/>
        <w:rPr>
          <w:rFonts w:hint="eastAsia" w:ascii="宋体" w:hAnsi="宋体"/>
          <w:b/>
          <w:bCs/>
          <w:sz w:val="44"/>
          <w:szCs w:val="44"/>
          <w:highlight w:val="none"/>
        </w:rPr>
      </w:pPr>
      <w:r>
        <w:rPr>
          <w:rFonts w:hint="eastAsia" w:ascii="宋体" w:hAnsi="宋体"/>
          <w:b/>
          <w:bCs/>
          <w:sz w:val="44"/>
          <w:szCs w:val="44"/>
          <w:highlight w:val="none"/>
        </w:rPr>
        <w:t xml:space="preserve">                   声  明</w:t>
      </w:r>
    </w:p>
    <w:p w14:paraId="7A9AEBBA">
      <w:pPr>
        <w:spacing w:line="460" w:lineRule="exact"/>
        <w:ind w:firstLine="420"/>
        <w:rPr>
          <w:rFonts w:hint="eastAsia" w:ascii="宋体" w:hAnsi="宋体"/>
          <w:bCs/>
          <w:sz w:val="24"/>
          <w:highlight w:val="none"/>
        </w:rPr>
      </w:pPr>
      <w:r>
        <w:rPr>
          <w:rFonts w:hint="eastAsia" w:ascii="宋体" w:hAnsi="宋体"/>
          <w:bCs/>
          <w:sz w:val="24"/>
          <w:highlight w:val="none"/>
        </w:rPr>
        <w:t>我公司郑重声明：参加本次政府采购活动前 3 年内，我公司在经营活动中没有因违法经营受到刑事处罚或者责令停产停业、吊销许可证或者执照、较大数额罚款等行政处罚。</w:t>
      </w:r>
    </w:p>
    <w:p w14:paraId="6F9B6851">
      <w:pPr>
        <w:spacing w:line="460" w:lineRule="exact"/>
        <w:rPr>
          <w:rFonts w:hint="eastAsia" w:ascii="宋体" w:hAnsi="宋体"/>
          <w:bCs/>
          <w:sz w:val="24"/>
          <w:highlight w:val="none"/>
        </w:rPr>
      </w:pPr>
    </w:p>
    <w:p w14:paraId="7F55AD20">
      <w:pPr>
        <w:spacing w:line="460" w:lineRule="exact"/>
        <w:rPr>
          <w:rFonts w:hint="eastAsia" w:ascii="宋体" w:hAnsi="宋体"/>
          <w:bCs/>
          <w:sz w:val="24"/>
          <w:highlight w:val="none"/>
        </w:rPr>
      </w:pPr>
      <w:r>
        <w:rPr>
          <w:rFonts w:hint="eastAsia" w:ascii="宋体" w:hAnsi="宋体"/>
          <w:bCs/>
          <w:sz w:val="24"/>
          <w:highlight w:val="none"/>
        </w:rPr>
        <w:t xml:space="preserve">                                      投标人名称（公章）：</w:t>
      </w:r>
    </w:p>
    <w:p w14:paraId="5A4D19F2">
      <w:pPr>
        <w:spacing w:line="460" w:lineRule="exact"/>
        <w:rPr>
          <w:rFonts w:hint="eastAsia" w:ascii="宋体" w:hAnsi="宋体"/>
          <w:bCs/>
          <w:sz w:val="24"/>
          <w:highlight w:val="none"/>
        </w:rPr>
      </w:pPr>
      <w:r>
        <w:rPr>
          <w:rFonts w:hint="eastAsia" w:ascii="宋体" w:hAnsi="宋体"/>
          <w:bCs/>
          <w:sz w:val="24"/>
          <w:highlight w:val="none"/>
        </w:rPr>
        <w:t xml:space="preserve">                                      授权代表签字：</w:t>
      </w:r>
    </w:p>
    <w:p w14:paraId="0DFE6BFC">
      <w:pPr>
        <w:spacing w:line="460" w:lineRule="exact"/>
        <w:rPr>
          <w:rFonts w:hint="eastAsia" w:ascii="宋体" w:hAnsi="宋体"/>
          <w:bCs/>
          <w:sz w:val="24"/>
          <w:highlight w:val="none"/>
        </w:rPr>
      </w:pPr>
      <w:r>
        <w:rPr>
          <w:rFonts w:hint="eastAsia" w:ascii="宋体" w:hAnsi="宋体"/>
          <w:bCs/>
          <w:sz w:val="24"/>
          <w:highlight w:val="none"/>
        </w:rPr>
        <w:t xml:space="preserve">                                      日期：</w:t>
      </w:r>
      <w:r>
        <w:rPr>
          <w:rFonts w:hint="eastAsia" w:ascii="宋体" w:hAnsi="宋体"/>
          <w:bCs/>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xml:space="preserve">    </w:t>
      </w:r>
      <w:r>
        <w:rPr>
          <w:rFonts w:hint="eastAsia" w:ascii="宋体" w:hAnsi="宋体"/>
          <w:bCs/>
          <w:sz w:val="24"/>
          <w:highlight w:val="none"/>
        </w:rPr>
        <w:t>月</w:t>
      </w:r>
      <w:r>
        <w:rPr>
          <w:rFonts w:hint="eastAsia" w:ascii="宋体" w:hAnsi="宋体"/>
          <w:bCs/>
          <w:sz w:val="24"/>
          <w:highlight w:val="none"/>
          <w:u w:val="single"/>
        </w:rPr>
        <w:t xml:space="preserve">    </w:t>
      </w:r>
      <w:r>
        <w:rPr>
          <w:rFonts w:hint="eastAsia" w:ascii="宋体" w:hAnsi="宋体"/>
          <w:bCs/>
          <w:sz w:val="24"/>
          <w:highlight w:val="none"/>
        </w:rPr>
        <w:t>日</w:t>
      </w:r>
    </w:p>
    <w:p w14:paraId="76758ACD">
      <w:pPr>
        <w:spacing w:line="360" w:lineRule="auto"/>
        <w:ind w:left="1446" w:hanging="1446"/>
        <w:jc w:val="center"/>
        <w:rPr>
          <w:rFonts w:hint="eastAsia" w:ascii="宋体" w:hAnsi="宋体"/>
          <w:b/>
          <w:sz w:val="36"/>
          <w:szCs w:val="36"/>
          <w:highlight w:val="none"/>
        </w:rPr>
      </w:pPr>
    </w:p>
    <w:p w14:paraId="5C7E12C6">
      <w:pPr>
        <w:spacing w:line="360" w:lineRule="auto"/>
        <w:ind w:left="1446" w:hanging="1446"/>
        <w:jc w:val="center"/>
        <w:rPr>
          <w:rFonts w:hint="eastAsia" w:ascii="宋体" w:hAnsi="宋体"/>
          <w:b/>
          <w:sz w:val="36"/>
          <w:szCs w:val="36"/>
          <w:highlight w:val="none"/>
        </w:rPr>
      </w:pPr>
    </w:p>
    <w:p w14:paraId="1B301223">
      <w:pPr>
        <w:spacing w:line="360" w:lineRule="auto"/>
        <w:ind w:left="1446" w:hanging="1446"/>
        <w:jc w:val="center"/>
        <w:rPr>
          <w:rFonts w:hint="eastAsia" w:ascii="宋体" w:hAnsi="宋体"/>
          <w:b/>
          <w:sz w:val="36"/>
          <w:szCs w:val="36"/>
          <w:highlight w:val="none"/>
        </w:rPr>
      </w:pPr>
    </w:p>
    <w:p w14:paraId="6247F919">
      <w:pPr>
        <w:pStyle w:val="20"/>
        <w:ind w:firstLine="361"/>
        <w:rPr>
          <w:rFonts w:hint="eastAsia" w:ascii="宋体" w:hAnsi="宋体"/>
          <w:b/>
          <w:sz w:val="36"/>
          <w:szCs w:val="36"/>
          <w:highlight w:val="none"/>
        </w:rPr>
      </w:pPr>
    </w:p>
    <w:p w14:paraId="21C90287">
      <w:pPr>
        <w:rPr>
          <w:rFonts w:hint="eastAsia" w:ascii="宋体" w:hAnsi="宋体"/>
          <w:b/>
          <w:sz w:val="36"/>
          <w:szCs w:val="36"/>
          <w:highlight w:val="none"/>
        </w:rPr>
      </w:pPr>
    </w:p>
    <w:p w14:paraId="4B3CC068">
      <w:pPr>
        <w:rPr>
          <w:rFonts w:hint="eastAsia" w:ascii="黑体" w:hAnsi="黑体" w:eastAsia="黑体" w:cs="黑体"/>
          <w:b/>
          <w:sz w:val="36"/>
          <w:szCs w:val="36"/>
          <w:highlight w:val="none"/>
        </w:rPr>
      </w:pPr>
    </w:p>
    <w:p w14:paraId="01CC7F5E">
      <w:pPr>
        <w:pStyle w:val="14"/>
        <w:rPr>
          <w:highlight w:val="none"/>
        </w:rPr>
      </w:pPr>
    </w:p>
    <w:p w14:paraId="2F2D0391">
      <w:pPr>
        <w:rPr>
          <w:highlight w:val="none"/>
        </w:rPr>
      </w:pPr>
    </w:p>
    <w:p w14:paraId="5CA0D540">
      <w:pPr>
        <w:pStyle w:val="14"/>
        <w:rPr>
          <w:highlight w:val="none"/>
        </w:rPr>
      </w:pPr>
    </w:p>
    <w:p w14:paraId="7CA8DB01">
      <w:pPr>
        <w:rPr>
          <w:highlight w:val="none"/>
        </w:rPr>
      </w:pPr>
    </w:p>
    <w:p w14:paraId="397BBC2F">
      <w:pPr>
        <w:pStyle w:val="14"/>
        <w:rPr>
          <w:highlight w:val="none"/>
        </w:rPr>
      </w:pPr>
    </w:p>
    <w:p w14:paraId="3072D4F1">
      <w:pPr>
        <w:rPr>
          <w:highlight w:val="none"/>
        </w:rPr>
      </w:pPr>
    </w:p>
    <w:p w14:paraId="5BB76625">
      <w:pPr>
        <w:pStyle w:val="14"/>
        <w:rPr>
          <w:highlight w:val="none"/>
        </w:rPr>
      </w:pPr>
    </w:p>
    <w:p w14:paraId="00623A1D">
      <w:pPr>
        <w:rPr>
          <w:highlight w:val="none"/>
        </w:rPr>
      </w:pPr>
    </w:p>
    <w:p w14:paraId="7B645F28">
      <w:pPr>
        <w:pStyle w:val="14"/>
        <w:rPr>
          <w:highlight w:val="none"/>
        </w:rPr>
      </w:pPr>
    </w:p>
    <w:p w14:paraId="3B660C94">
      <w:pPr>
        <w:rPr>
          <w:highlight w:val="none"/>
        </w:rPr>
      </w:pPr>
    </w:p>
    <w:p w14:paraId="693D420B">
      <w:pPr>
        <w:pStyle w:val="14"/>
        <w:rPr>
          <w:highlight w:val="none"/>
        </w:rPr>
      </w:pPr>
    </w:p>
    <w:p w14:paraId="4ABDE4B8">
      <w:pPr>
        <w:rPr>
          <w:highlight w:val="none"/>
        </w:rPr>
      </w:pPr>
    </w:p>
    <w:p w14:paraId="7A2EDC71">
      <w:pPr>
        <w:pStyle w:val="14"/>
        <w:rPr>
          <w:highlight w:val="none"/>
        </w:rPr>
      </w:pPr>
    </w:p>
    <w:p w14:paraId="4F2B30EA">
      <w:pPr>
        <w:rPr>
          <w:highlight w:val="none"/>
        </w:rPr>
      </w:pPr>
    </w:p>
    <w:p w14:paraId="13FD839A">
      <w:pPr>
        <w:pStyle w:val="14"/>
        <w:rPr>
          <w:highlight w:val="none"/>
        </w:rPr>
      </w:pPr>
    </w:p>
    <w:p w14:paraId="77191461">
      <w:pPr>
        <w:rPr>
          <w:highlight w:val="none"/>
        </w:rPr>
      </w:pPr>
    </w:p>
    <w:p w14:paraId="21DDBFFF">
      <w:pPr>
        <w:pStyle w:val="14"/>
        <w:rPr>
          <w:highlight w:val="none"/>
        </w:rPr>
      </w:pPr>
    </w:p>
    <w:p w14:paraId="4782C325">
      <w:pPr>
        <w:pStyle w:val="12"/>
        <w:spacing w:before="120" w:after="120" w:line="440" w:lineRule="exact"/>
        <w:rPr>
          <w:rFonts w:hint="eastAsia" w:hAnsi="宋体" w:cs="宋体"/>
          <w:b/>
          <w:sz w:val="36"/>
          <w:szCs w:val="36"/>
          <w:highlight w:val="none"/>
        </w:rPr>
      </w:pPr>
    </w:p>
    <w:p w14:paraId="474D4FDF">
      <w:pPr>
        <w:jc w:val="center"/>
        <w:rPr>
          <w:rFonts w:hint="eastAsia" w:ascii="黑体" w:hAnsi="黑体" w:eastAsia="黑体" w:cs="黑体"/>
          <w:b/>
          <w:sz w:val="36"/>
          <w:szCs w:val="36"/>
          <w:highlight w:val="none"/>
        </w:rPr>
        <w:sectPr>
          <w:pgSz w:w="11906" w:h="16838"/>
          <w:pgMar w:top="1474" w:right="1474" w:bottom="1474" w:left="1474" w:header="851" w:footer="907" w:gutter="0"/>
          <w:cols w:space="720" w:num="1"/>
          <w:docGrid w:linePitch="360" w:charSpace="0"/>
        </w:sectPr>
      </w:pPr>
    </w:p>
    <w:p w14:paraId="0707B7BE">
      <w:pPr>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t>（六）法定代表人身份证明书</w:t>
      </w:r>
    </w:p>
    <w:p w14:paraId="13A95E36">
      <w:pPr>
        <w:rPr>
          <w:rFonts w:hint="eastAsia" w:ascii="宋体" w:hAnsi="宋体"/>
          <w:sz w:val="32"/>
          <w:highlight w:val="none"/>
        </w:rPr>
      </w:pPr>
    </w:p>
    <w:p w14:paraId="54E35EA9">
      <w:pPr>
        <w:rPr>
          <w:rFonts w:hint="eastAsia" w:ascii="宋体" w:hAnsi="宋体"/>
          <w:sz w:val="24"/>
          <w:highlight w:val="none"/>
        </w:rPr>
      </w:pPr>
    </w:p>
    <w:p w14:paraId="670E1DFE">
      <w:pPr>
        <w:ind w:firstLine="960"/>
        <w:rPr>
          <w:rFonts w:hint="eastAsia" w:ascii="宋体" w:hAnsi="宋体"/>
          <w:sz w:val="24"/>
          <w:highlight w:val="none"/>
          <w:u w:val="single"/>
        </w:rPr>
      </w:pPr>
      <w:r>
        <w:rPr>
          <w:rFonts w:hint="eastAsia" w:ascii="宋体" w:hAnsi="宋体"/>
          <w:sz w:val="24"/>
          <w:highlight w:val="none"/>
        </w:rPr>
        <w:t>单位名称：</w:t>
      </w:r>
      <w:r>
        <w:rPr>
          <w:rFonts w:hint="eastAsia" w:ascii="宋体" w:hAnsi="宋体"/>
          <w:sz w:val="24"/>
          <w:highlight w:val="none"/>
          <w:u w:val="single"/>
        </w:rPr>
        <w:t xml:space="preserve">                                                  </w:t>
      </w:r>
    </w:p>
    <w:p w14:paraId="0C1D60FA">
      <w:pPr>
        <w:rPr>
          <w:rFonts w:hint="eastAsia" w:ascii="宋体" w:hAnsi="宋体"/>
          <w:sz w:val="24"/>
          <w:highlight w:val="none"/>
          <w:u w:val="single"/>
        </w:rPr>
      </w:pPr>
    </w:p>
    <w:p w14:paraId="1097BB5F">
      <w:pPr>
        <w:ind w:firstLine="960"/>
        <w:rPr>
          <w:rFonts w:hint="eastAsia" w:ascii="宋体" w:hAnsi="宋体"/>
          <w:sz w:val="24"/>
          <w:highlight w:val="none"/>
        </w:rPr>
      </w:pPr>
      <w:r>
        <w:rPr>
          <w:rFonts w:hint="eastAsia" w:ascii="宋体" w:hAnsi="宋体"/>
          <w:sz w:val="24"/>
          <w:highlight w:val="none"/>
        </w:rPr>
        <w:t>单位性质：</w:t>
      </w:r>
      <w:r>
        <w:rPr>
          <w:rFonts w:hint="eastAsia" w:ascii="宋体" w:hAnsi="宋体"/>
          <w:sz w:val="24"/>
          <w:highlight w:val="none"/>
          <w:u w:val="single"/>
        </w:rPr>
        <w:t xml:space="preserve">                                                 </w:t>
      </w:r>
      <w:r>
        <w:rPr>
          <w:rFonts w:hint="eastAsia" w:ascii="宋体" w:hAnsi="宋体"/>
          <w:sz w:val="24"/>
          <w:highlight w:val="none"/>
        </w:rPr>
        <w:t xml:space="preserve"> </w:t>
      </w:r>
    </w:p>
    <w:p w14:paraId="466CD04E">
      <w:pPr>
        <w:rPr>
          <w:rFonts w:hint="eastAsia" w:ascii="宋体" w:hAnsi="宋体"/>
          <w:sz w:val="24"/>
          <w:highlight w:val="none"/>
          <w:u w:val="single"/>
        </w:rPr>
      </w:pPr>
      <w:r>
        <w:rPr>
          <w:rFonts w:hint="eastAsia" w:ascii="宋体" w:hAnsi="宋体"/>
          <w:sz w:val="24"/>
          <w:highlight w:val="none"/>
        </w:rPr>
        <w:t xml:space="preserve">                          </w:t>
      </w:r>
    </w:p>
    <w:p w14:paraId="571A316D">
      <w:pPr>
        <w:ind w:firstLine="960"/>
        <w:rPr>
          <w:rFonts w:hint="eastAsia" w:ascii="宋体" w:hAnsi="宋体"/>
          <w:sz w:val="24"/>
          <w:highlight w:val="none"/>
          <w:u w:val="single"/>
        </w:rPr>
      </w:pPr>
      <w:r>
        <w:rPr>
          <w:rFonts w:hint="eastAsia" w:ascii="宋体" w:hAnsi="宋体"/>
          <w:sz w:val="24"/>
          <w:highlight w:val="none"/>
        </w:rPr>
        <w:t>地    址：</w:t>
      </w:r>
      <w:r>
        <w:rPr>
          <w:rFonts w:hint="eastAsia" w:ascii="宋体" w:hAnsi="宋体"/>
          <w:sz w:val="24"/>
          <w:highlight w:val="none"/>
          <w:u w:val="single"/>
        </w:rPr>
        <w:t xml:space="preserve">                                                 </w:t>
      </w:r>
    </w:p>
    <w:p w14:paraId="1FF1EDC7">
      <w:pPr>
        <w:rPr>
          <w:rFonts w:hint="eastAsia" w:ascii="宋体" w:hAnsi="宋体"/>
          <w:sz w:val="24"/>
          <w:highlight w:val="none"/>
          <w:u w:val="single"/>
        </w:rPr>
      </w:pPr>
    </w:p>
    <w:p w14:paraId="6D141C8E">
      <w:pPr>
        <w:ind w:firstLine="960"/>
        <w:rPr>
          <w:rFonts w:hint="eastAsia" w:ascii="宋体" w:hAnsi="宋体"/>
          <w:sz w:val="24"/>
          <w:highlight w:val="none"/>
        </w:rPr>
      </w:pPr>
      <w:r>
        <w:rPr>
          <w:rFonts w:hint="eastAsia" w:ascii="宋体" w:hAnsi="宋体"/>
          <w:sz w:val="24"/>
          <w:highlight w:val="none"/>
        </w:rPr>
        <w:t>成立时间：</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 xml:space="preserve">日 </w:t>
      </w:r>
    </w:p>
    <w:p w14:paraId="7ED5E205">
      <w:pPr>
        <w:rPr>
          <w:rFonts w:hint="eastAsia" w:ascii="宋体" w:hAnsi="宋体"/>
          <w:sz w:val="24"/>
          <w:highlight w:val="none"/>
        </w:rPr>
      </w:pPr>
      <w:r>
        <w:rPr>
          <w:rFonts w:hint="eastAsia" w:ascii="宋体" w:hAnsi="宋体"/>
          <w:sz w:val="24"/>
          <w:highlight w:val="none"/>
        </w:rPr>
        <w:t xml:space="preserve"> </w:t>
      </w:r>
    </w:p>
    <w:p w14:paraId="03E74283">
      <w:pPr>
        <w:ind w:firstLine="960"/>
        <w:rPr>
          <w:rFonts w:hint="eastAsia" w:ascii="宋体" w:hAnsi="宋体"/>
          <w:sz w:val="24"/>
          <w:highlight w:val="none"/>
          <w:u w:val="single"/>
        </w:rPr>
      </w:pPr>
      <w:r>
        <w:rPr>
          <w:rFonts w:hint="eastAsia" w:ascii="宋体" w:hAnsi="宋体"/>
          <w:sz w:val="24"/>
          <w:highlight w:val="none"/>
        </w:rPr>
        <w:t>经营期限：</w:t>
      </w:r>
      <w:r>
        <w:rPr>
          <w:rFonts w:hint="eastAsia" w:ascii="宋体" w:hAnsi="宋体"/>
          <w:sz w:val="24"/>
          <w:highlight w:val="none"/>
          <w:u w:val="single"/>
        </w:rPr>
        <w:t xml:space="preserve">                                        </w:t>
      </w:r>
    </w:p>
    <w:p w14:paraId="1155175C">
      <w:pPr>
        <w:rPr>
          <w:rFonts w:hint="eastAsia" w:ascii="宋体" w:hAnsi="宋体"/>
          <w:sz w:val="24"/>
          <w:highlight w:val="none"/>
          <w:u w:val="single"/>
        </w:rPr>
      </w:pPr>
    </w:p>
    <w:p w14:paraId="0DEA3AC3">
      <w:pPr>
        <w:ind w:left="3598" w:hanging="2760"/>
        <w:rPr>
          <w:rFonts w:hint="eastAsia" w:ascii="宋体" w:hAnsi="宋体"/>
          <w:sz w:val="24"/>
          <w:highlight w:val="none"/>
          <w:u w:val="single"/>
        </w:rPr>
      </w:pPr>
      <w:r>
        <w:rPr>
          <w:rFonts w:hint="eastAsia" w:ascii="宋体" w:hAnsi="宋体"/>
          <w:sz w:val="24"/>
          <w:highlight w:val="none"/>
        </w:rPr>
        <w:t>姓    名：</w:t>
      </w:r>
      <w:r>
        <w:rPr>
          <w:rFonts w:hint="eastAsia" w:ascii="宋体" w:hAnsi="宋体"/>
          <w:sz w:val="24"/>
          <w:highlight w:val="none"/>
          <w:u w:val="single"/>
        </w:rPr>
        <w:t xml:space="preserve">          </w:t>
      </w:r>
      <w:r>
        <w:rPr>
          <w:rFonts w:hint="eastAsia" w:ascii="宋体" w:hAnsi="宋体"/>
          <w:sz w:val="24"/>
          <w:highlight w:val="none"/>
        </w:rPr>
        <w:t xml:space="preserve"> 联系电话：</w:t>
      </w:r>
      <w:r>
        <w:rPr>
          <w:rFonts w:hint="eastAsia" w:ascii="宋体" w:hAnsi="宋体"/>
          <w:sz w:val="24"/>
          <w:highlight w:val="none"/>
          <w:u w:val="single"/>
        </w:rPr>
        <w:t xml:space="preserve">             </w:t>
      </w:r>
      <w:r>
        <w:rPr>
          <w:rFonts w:hint="eastAsia" w:ascii="宋体" w:hAnsi="宋体"/>
          <w:sz w:val="24"/>
          <w:highlight w:val="none"/>
        </w:rPr>
        <w:t xml:space="preserve"> 身份证号：</w:t>
      </w:r>
      <w:r>
        <w:rPr>
          <w:rFonts w:hint="eastAsia" w:ascii="宋体" w:hAnsi="宋体"/>
          <w:sz w:val="24"/>
          <w:highlight w:val="none"/>
          <w:u w:val="single"/>
        </w:rPr>
        <w:t xml:space="preserve">                      </w:t>
      </w:r>
    </w:p>
    <w:p w14:paraId="24DA0B15">
      <w:pPr>
        <w:rPr>
          <w:rFonts w:hint="eastAsia" w:ascii="宋体" w:hAnsi="宋体"/>
          <w:sz w:val="24"/>
          <w:highlight w:val="none"/>
        </w:rPr>
      </w:pPr>
    </w:p>
    <w:p w14:paraId="1075832F">
      <w:pPr>
        <w:ind w:firstLine="720"/>
        <w:rPr>
          <w:rFonts w:hint="eastAsia" w:ascii="宋体" w:hAnsi="宋体"/>
          <w:sz w:val="24"/>
          <w:highlight w:val="none"/>
        </w:rPr>
      </w:pPr>
      <w:r>
        <w:rPr>
          <w:rFonts w:hint="eastAsia" w:ascii="宋体" w:hAnsi="宋体"/>
          <w:sz w:val="24"/>
          <w:highlight w:val="none"/>
        </w:rPr>
        <w:t>系</w:t>
      </w:r>
      <w:r>
        <w:rPr>
          <w:rFonts w:hint="eastAsia" w:ascii="宋体" w:hAnsi="宋体"/>
          <w:sz w:val="24"/>
          <w:highlight w:val="none"/>
          <w:u w:val="single"/>
        </w:rPr>
        <w:t xml:space="preserve">                   （投标单位名称)</w:t>
      </w:r>
      <w:r>
        <w:rPr>
          <w:rFonts w:hint="eastAsia" w:ascii="宋体" w:hAnsi="宋体"/>
          <w:sz w:val="24"/>
          <w:highlight w:val="none"/>
        </w:rPr>
        <w:t>的法定代表人或单位负责人。</w:t>
      </w:r>
    </w:p>
    <w:p w14:paraId="57A2AEBE">
      <w:pPr>
        <w:rPr>
          <w:rFonts w:hint="eastAsia" w:ascii="宋体" w:hAnsi="宋体"/>
          <w:sz w:val="24"/>
          <w:highlight w:val="none"/>
        </w:rPr>
      </w:pPr>
    </w:p>
    <w:p w14:paraId="0A455BCE">
      <w:pPr>
        <w:rPr>
          <w:rFonts w:hint="eastAsia" w:ascii="宋体" w:hAnsi="宋体"/>
          <w:sz w:val="24"/>
          <w:highlight w:val="none"/>
        </w:rPr>
      </w:pPr>
      <w:r>
        <w:rPr>
          <w:rFonts w:hint="eastAsia" w:ascii="宋体" w:hAnsi="宋体"/>
          <w:sz w:val="24"/>
          <w:highlight w:val="none"/>
        </w:rPr>
        <w:t>特此证明。</w:t>
      </w:r>
    </w:p>
    <w:p w14:paraId="60510C3B">
      <w:pPr>
        <w:rPr>
          <w:rFonts w:hint="eastAsia" w:ascii="宋体" w:hAnsi="宋体"/>
          <w:sz w:val="24"/>
          <w:highlight w:val="none"/>
        </w:rPr>
      </w:pPr>
    </w:p>
    <w:p w14:paraId="5B1A5E39">
      <w:pPr>
        <w:ind w:firstLine="4440"/>
        <w:rPr>
          <w:rFonts w:hint="eastAsia" w:ascii="宋体" w:hAnsi="宋体"/>
          <w:sz w:val="24"/>
          <w:highlight w:val="none"/>
          <w:u w:val="single"/>
        </w:rPr>
      </w:pPr>
      <w:r>
        <w:rPr>
          <w:rFonts w:hint="eastAsia" w:ascii="宋体" w:hAnsi="宋体"/>
          <w:sz w:val="24"/>
          <w:highlight w:val="none"/>
        </w:rPr>
        <w:t>投标单位(公章) ：</w:t>
      </w:r>
      <w:r>
        <w:rPr>
          <w:rFonts w:hint="eastAsia" w:ascii="宋体" w:hAnsi="宋体"/>
          <w:sz w:val="24"/>
          <w:highlight w:val="none"/>
          <w:u w:val="single"/>
        </w:rPr>
        <w:t xml:space="preserve">                </w:t>
      </w:r>
    </w:p>
    <w:p w14:paraId="675DAF95">
      <w:pPr>
        <w:rPr>
          <w:rFonts w:hint="eastAsia" w:ascii="宋体" w:hAnsi="宋体"/>
          <w:sz w:val="24"/>
          <w:highlight w:val="none"/>
          <w:u w:val="single"/>
        </w:rPr>
      </w:pPr>
    </w:p>
    <w:p w14:paraId="7879AF76">
      <w:pPr>
        <w:rPr>
          <w:rFonts w:hint="eastAsia" w:ascii="宋体" w:hAnsi="宋体"/>
          <w:sz w:val="24"/>
          <w:highlight w:val="none"/>
          <w:u w:val="single"/>
        </w:rPr>
      </w:pPr>
    </w:p>
    <w:p w14:paraId="3569B1DE">
      <w:pPr>
        <w:ind w:firstLine="4440"/>
        <w:rPr>
          <w:rFonts w:hint="eastAsia" w:ascii="宋体" w:hAnsi="宋体"/>
          <w:sz w:val="24"/>
          <w:highlight w:val="none"/>
        </w:rPr>
      </w:pPr>
      <w:r>
        <w:rPr>
          <w:rFonts w:hint="eastAsia" w:ascii="宋体" w:hAnsi="宋体"/>
          <w:sz w:val="24"/>
          <w:highlight w:val="none"/>
        </w:rPr>
        <w:t>日期：</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w:t>
      </w:r>
    </w:p>
    <w:p w14:paraId="12F7B0C9">
      <w:pPr>
        <w:pStyle w:val="12"/>
        <w:spacing w:before="120" w:after="120" w:line="440" w:lineRule="exact"/>
        <w:ind w:firstLine="2530"/>
        <w:rPr>
          <w:rFonts w:hint="eastAsia" w:hAnsi="宋体" w:cs="宋体"/>
          <w:b/>
          <w:sz w:val="36"/>
          <w:szCs w:val="36"/>
          <w:highlight w:val="none"/>
        </w:rPr>
      </w:pPr>
      <w:r>
        <w:rPr>
          <w:rFonts w:hint="eastAsia" w:hAnsi="宋体" w:cs="宋体"/>
          <w:b/>
          <w:sz w:val="36"/>
          <w:szCs w:val="36"/>
          <w:highlight w:val="none"/>
        </w:rPr>
        <w:br w:type="page" w:clear="all"/>
      </w:r>
      <w:r>
        <w:rPr>
          <w:rFonts w:hint="eastAsia" w:hAnsi="宋体" w:cs="宋体"/>
          <w:b/>
          <w:sz w:val="36"/>
          <w:szCs w:val="36"/>
          <w:highlight w:val="none"/>
        </w:rPr>
        <w:t>法定代表人授权委托书</w:t>
      </w:r>
    </w:p>
    <w:p w14:paraId="449E80E8">
      <w:pPr>
        <w:rPr>
          <w:highlight w:val="none"/>
        </w:rPr>
      </w:pPr>
    </w:p>
    <w:p w14:paraId="293553EA">
      <w:pPr>
        <w:rPr>
          <w:highlight w:val="none"/>
        </w:rPr>
      </w:pPr>
    </w:p>
    <w:p w14:paraId="1ECDFE89">
      <w:pPr>
        <w:spacing w:line="500" w:lineRule="exact"/>
        <w:ind w:firstLine="480"/>
        <w:jc w:val="left"/>
        <w:rPr>
          <w:rFonts w:hint="eastAsia" w:ascii="宋体" w:hAnsi="宋体"/>
          <w:sz w:val="24"/>
          <w:highlight w:val="none"/>
        </w:rPr>
      </w:pPr>
      <w:r>
        <w:rPr>
          <w:rFonts w:hint="eastAsia" w:ascii="宋体" w:hAnsi="宋体"/>
          <w:sz w:val="24"/>
          <w:highlight w:val="none"/>
        </w:rPr>
        <w:t>本授权委托书声明：我</w:t>
      </w:r>
      <w:r>
        <w:rPr>
          <w:rFonts w:hint="eastAsia" w:ascii="宋体" w:hAnsi="宋体"/>
          <w:sz w:val="24"/>
          <w:highlight w:val="none"/>
          <w:u w:val="single"/>
        </w:rPr>
        <w:t>　　　　　</w:t>
      </w:r>
      <w:r>
        <w:rPr>
          <w:rFonts w:hint="eastAsia" w:ascii="宋体" w:hAnsi="宋体"/>
          <w:sz w:val="24"/>
          <w:highlight w:val="none"/>
        </w:rPr>
        <w:t>（姓名）系</w:t>
      </w:r>
      <w:r>
        <w:rPr>
          <w:rFonts w:hint="eastAsia" w:ascii="宋体" w:hAnsi="宋体"/>
          <w:sz w:val="24"/>
          <w:highlight w:val="none"/>
          <w:u w:val="single"/>
        </w:rPr>
        <w:t>　　　　　　</w:t>
      </w:r>
      <w:r>
        <w:rPr>
          <w:rFonts w:hint="eastAsia" w:ascii="宋体" w:hAnsi="宋体"/>
          <w:sz w:val="24"/>
          <w:highlight w:val="none"/>
        </w:rPr>
        <w:t>（投标人名称）的法定代表人或单位负责人，现授权委托</w:t>
      </w:r>
      <w:r>
        <w:rPr>
          <w:rFonts w:hint="eastAsia" w:ascii="宋体" w:hAnsi="宋体"/>
          <w:sz w:val="24"/>
          <w:highlight w:val="none"/>
          <w:u w:val="single"/>
        </w:rPr>
        <w:t>　　　　　　　　　</w:t>
      </w:r>
      <w:r>
        <w:rPr>
          <w:rFonts w:hint="eastAsia" w:ascii="宋体" w:hAnsi="宋体"/>
          <w:sz w:val="24"/>
          <w:highlight w:val="none"/>
        </w:rPr>
        <w:t>（单位名称）</w:t>
      </w:r>
      <w:r>
        <w:rPr>
          <w:rFonts w:hint="eastAsia" w:ascii="宋体" w:hAnsi="宋体"/>
          <w:sz w:val="24"/>
          <w:highlight w:val="none"/>
          <w:u w:val="single"/>
        </w:rPr>
        <w:t>　　　　</w:t>
      </w:r>
      <w:r>
        <w:rPr>
          <w:rFonts w:hint="eastAsia" w:ascii="宋体" w:hAnsi="宋体"/>
          <w:sz w:val="24"/>
          <w:highlight w:val="none"/>
        </w:rPr>
        <w:t>（姓名）为我的代理人，以本公司的名义参加</w:t>
      </w:r>
      <w:r>
        <w:rPr>
          <w:rFonts w:hint="eastAsia" w:ascii="宋体" w:hAnsi="宋体"/>
          <w:sz w:val="24"/>
          <w:highlight w:val="none"/>
          <w:u w:val="single"/>
        </w:rPr>
        <w:t>　　　　　　　　　　　　　　　　　</w:t>
      </w:r>
      <w:r>
        <w:rPr>
          <w:rFonts w:hint="eastAsia" w:ascii="宋体" w:hAnsi="宋体"/>
          <w:sz w:val="24"/>
          <w:highlight w:val="none"/>
        </w:rPr>
        <w:t>的投标活动。代理人在开标、评标、合同谈判等过程中所签署的一切文件和处理与之有关的一切事务，我均予以承认。</w:t>
      </w:r>
    </w:p>
    <w:p w14:paraId="2A4971B5">
      <w:pPr>
        <w:spacing w:line="500" w:lineRule="exact"/>
        <w:rPr>
          <w:rFonts w:hint="eastAsia" w:ascii="宋体" w:hAnsi="宋体"/>
          <w:sz w:val="24"/>
          <w:highlight w:val="none"/>
        </w:rPr>
      </w:pPr>
    </w:p>
    <w:p w14:paraId="445BD608">
      <w:pPr>
        <w:spacing w:line="500" w:lineRule="exact"/>
        <w:ind w:firstLine="480"/>
        <w:rPr>
          <w:rFonts w:hint="eastAsia" w:ascii="宋体" w:hAnsi="宋体"/>
          <w:sz w:val="24"/>
          <w:highlight w:val="none"/>
        </w:rPr>
      </w:pPr>
      <w:r>
        <w:rPr>
          <w:rFonts w:hint="eastAsia" w:ascii="宋体" w:hAnsi="宋体"/>
          <w:sz w:val="24"/>
          <w:highlight w:val="none"/>
        </w:rPr>
        <w:t>代理人无转委权，特此委托。</w:t>
      </w:r>
    </w:p>
    <w:p w14:paraId="7C99BB89">
      <w:pPr>
        <w:spacing w:line="500" w:lineRule="exact"/>
        <w:rPr>
          <w:rFonts w:hint="eastAsia" w:ascii="宋体" w:hAnsi="宋体"/>
          <w:sz w:val="24"/>
          <w:highlight w:val="none"/>
        </w:rPr>
      </w:pPr>
    </w:p>
    <w:p w14:paraId="325512D6">
      <w:pPr>
        <w:spacing w:line="500" w:lineRule="exact"/>
        <w:ind w:firstLine="480"/>
        <w:jc w:val="left"/>
        <w:rPr>
          <w:rFonts w:hint="eastAsia" w:ascii="宋体" w:hAnsi="宋体"/>
          <w:sz w:val="24"/>
          <w:highlight w:val="none"/>
        </w:rPr>
      </w:pPr>
      <w:r>
        <w:rPr>
          <w:rFonts w:hint="eastAsia" w:ascii="宋体" w:hAnsi="宋体"/>
          <w:sz w:val="24"/>
          <w:highlight w:val="none"/>
        </w:rPr>
        <w:t>代理人：　　　　      代理人联系电话（手机号）：　　     　　</w:t>
      </w:r>
    </w:p>
    <w:p w14:paraId="3F7352C9">
      <w:pPr>
        <w:spacing w:line="500" w:lineRule="exact"/>
        <w:ind w:firstLine="480"/>
        <w:jc w:val="left"/>
        <w:rPr>
          <w:rFonts w:hint="eastAsia" w:ascii="宋体" w:hAnsi="宋体"/>
          <w:sz w:val="24"/>
          <w:highlight w:val="none"/>
        </w:rPr>
      </w:pPr>
    </w:p>
    <w:p w14:paraId="0C33C01A">
      <w:pPr>
        <w:spacing w:line="500" w:lineRule="exact"/>
        <w:ind w:firstLine="480"/>
        <w:jc w:val="left"/>
        <w:rPr>
          <w:rFonts w:hint="eastAsia" w:ascii="宋体" w:hAnsi="宋体"/>
          <w:sz w:val="24"/>
          <w:highlight w:val="none"/>
        </w:rPr>
      </w:pPr>
      <w:r>
        <w:rPr>
          <w:rFonts w:hint="eastAsia" w:ascii="宋体" w:hAnsi="宋体"/>
          <w:sz w:val="24"/>
          <w:highlight w:val="none"/>
        </w:rPr>
        <w:t>投标人(法人印章)：</w:t>
      </w:r>
    </w:p>
    <w:p w14:paraId="1F9424A2">
      <w:pPr>
        <w:spacing w:line="500" w:lineRule="exact"/>
        <w:ind w:firstLine="480"/>
        <w:jc w:val="left"/>
        <w:rPr>
          <w:rFonts w:hint="eastAsia" w:ascii="宋体" w:hAnsi="宋体"/>
          <w:sz w:val="24"/>
          <w:highlight w:val="none"/>
        </w:rPr>
      </w:pPr>
    </w:p>
    <w:p w14:paraId="09F8BDF8">
      <w:pPr>
        <w:spacing w:line="500" w:lineRule="exact"/>
        <w:ind w:firstLine="480"/>
        <w:jc w:val="left"/>
        <w:rPr>
          <w:rFonts w:hint="eastAsia" w:ascii="宋体" w:hAnsi="宋体"/>
          <w:sz w:val="24"/>
          <w:highlight w:val="none"/>
        </w:rPr>
      </w:pPr>
      <w:r>
        <w:rPr>
          <w:rFonts w:hint="eastAsia" w:ascii="宋体" w:hAnsi="宋体"/>
          <w:sz w:val="24"/>
          <w:highlight w:val="none"/>
        </w:rPr>
        <w:t>法定代表人(印章或签字)：</w:t>
      </w:r>
    </w:p>
    <w:p w14:paraId="2E10959B">
      <w:pPr>
        <w:rPr>
          <w:rFonts w:hint="eastAsia" w:ascii="宋体" w:hAnsi="宋体"/>
          <w:sz w:val="24"/>
          <w:highlight w:val="none"/>
        </w:rPr>
      </w:pPr>
    </w:p>
    <w:p w14:paraId="062DDC27">
      <w:pPr>
        <w:spacing w:after="161" w:line="480" w:lineRule="exact"/>
        <w:jc w:val="right"/>
        <w:rPr>
          <w:rFonts w:hint="eastAsia" w:ascii="宋体" w:hAnsi="宋体"/>
          <w:sz w:val="24"/>
          <w:highlight w:val="none"/>
        </w:rPr>
      </w:pPr>
      <w:r>
        <w:rPr>
          <w:rFonts w:hint="eastAsia" w:ascii="宋体" w:hAnsi="宋体"/>
          <w:sz w:val="24"/>
          <w:highlight w:val="none"/>
        </w:rPr>
        <w:t>日期：</w:t>
      </w:r>
      <w:r>
        <w:rPr>
          <w:rFonts w:hint="eastAsia" w:ascii="宋体" w:hAnsi="宋体"/>
          <w:bCs/>
          <w:sz w:val="24"/>
          <w:highlight w:val="none"/>
        </w:rPr>
        <w:t xml:space="preserve">年  </w:t>
      </w:r>
      <w:r>
        <w:rPr>
          <w:rFonts w:ascii="宋体" w:hAnsi="宋体"/>
          <w:bCs/>
          <w:sz w:val="24"/>
          <w:highlight w:val="none"/>
        </w:rPr>
        <w:t xml:space="preserve">  </w:t>
      </w:r>
      <w:r>
        <w:rPr>
          <w:rFonts w:hint="eastAsia" w:ascii="宋体" w:hAnsi="宋体"/>
          <w:bCs/>
          <w:sz w:val="24"/>
          <w:highlight w:val="none"/>
        </w:rPr>
        <w:t>月   日</w:t>
      </w:r>
    </w:p>
    <w:p w14:paraId="6A60E2A7">
      <w:pPr>
        <w:rPr>
          <w:rFonts w:hint="eastAsia" w:ascii="宋体" w:hAnsi="宋体"/>
          <w:sz w:val="24"/>
          <w:highlight w:val="none"/>
        </w:rPr>
      </w:pPr>
      <w:r>
        <w:rPr>
          <w:rFonts w:hint="eastAsia" w:ascii="宋体" w:hAnsi="宋体"/>
          <w:sz w:val="24"/>
          <w:highlight w:val="none"/>
        </w:rPr>
        <w:t>附：</w:t>
      </w:r>
    </w:p>
    <w:tbl>
      <w:tblPr>
        <w:tblStyle w:val="22"/>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16C22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vAlign w:val="center"/>
          </w:tcPr>
          <w:p w14:paraId="4DBA6908">
            <w:pPr>
              <w:rPr>
                <w:rFonts w:hint="eastAsia" w:ascii="宋体" w:hAnsi="宋体"/>
                <w:sz w:val="24"/>
                <w:highlight w:val="none"/>
              </w:rPr>
            </w:pPr>
            <w:r>
              <w:rPr>
                <w:rFonts w:hint="eastAsia" w:ascii="宋体" w:hAnsi="宋体"/>
                <w:sz w:val="24"/>
                <w:highlight w:val="none"/>
              </w:rPr>
              <w:t>（代理人身份证扫描件粘贴处）</w:t>
            </w:r>
          </w:p>
        </w:tc>
      </w:tr>
    </w:tbl>
    <w:p w14:paraId="19B98676">
      <w:pPr>
        <w:spacing w:before="50" w:after="50"/>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br w:type="page" w:clear="all"/>
      </w:r>
      <w:r>
        <w:rPr>
          <w:rFonts w:hint="eastAsia" w:ascii="黑体" w:hAnsi="黑体" w:eastAsia="黑体" w:cs="黑体"/>
          <w:b/>
          <w:sz w:val="36"/>
          <w:szCs w:val="36"/>
          <w:highlight w:val="none"/>
        </w:rPr>
        <w:t>（七）投标函</w:t>
      </w:r>
    </w:p>
    <w:p w14:paraId="48786B4D">
      <w:pPr>
        <w:pStyle w:val="12"/>
        <w:spacing w:before="120" w:after="120" w:line="360" w:lineRule="auto"/>
        <w:rPr>
          <w:rFonts w:hint="eastAsia" w:hAnsi="宋体"/>
          <w:sz w:val="24"/>
          <w:szCs w:val="24"/>
          <w:highlight w:val="none"/>
          <w:u w:val="single"/>
        </w:rPr>
      </w:pPr>
      <w:r>
        <w:rPr>
          <w:rFonts w:hint="eastAsia" w:hAnsi="宋体"/>
          <w:sz w:val="24"/>
          <w:szCs w:val="24"/>
          <w:highlight w:val="none"/>
        </w:rPr>
        <w:t>采购人：</w:t>
      </w:r>
      <w:r>
        <w:rPr>
          <w:rFonts w:hint="eastAsia" w:hAnsi="宋体"/>
          <w:b/>
          <w:bCs/>
          <w:sz w:val="24"/>
          <w:szCs w:val="24"/>
          <w:highlight w:val="none"/>
          <w:u w:val="single"/>
        </w:rPr>
        <w:t xml:space="preserve"> </w:t>
      </w:r>
      <w:r>
        <w:rPr>
          <w:rFonts w:hAnsi="宋体"/>
          <w:b/>
          <w:bCs/>
          <w:sz w:val="24"/>
          <w:szCs w:val="24"/>
          <w:highlight w:val="none"/>
          <w:u w:val="single"/>
        </w:rPr>
        <w:t xml:space="preserve">                      </w:t>
      </w:r>
    </w:p>
    <w:p w14:paraId="287D9191">
      <w:pPr>
        <w:pStyle w:val="39"/>
        <w:spacing w:before="0" w:after="0"/>
        <w:rPr>
          <w:rFonts w:hint="eastAsia" w:ascii="宋体" w:hAnsi="宋体"/>
          <w:highlight w:val="none"/>
        </w:rPr>
      </w:pPr>
      <w:r>
        <w:rPr>
          <w:rFonts w:hint="eastAsia" w:ascii="宋体" w:hAnsi="宋体"/>
          <w:highlight w:val="none"/>
        </w:rPr>
        <w:t>根据贵方的</w:t>
      </w:r>
      <w:r>
        <w:rPr>
          <w:rFonts w:hint="eastAsia" w:ascii="宋体" w:hAnsi="宋体"/>
          <w:b/>
          <w:highlight w:val="none"/>
          <w:u w:val="single"/>
        </w:rPr>
        <w:t xml:space="preserve">           </w:t>
      </w:r>
      <w:r>
        <w:rPr>
          <w:rFonts w:hint="eastAsia" w:ascii="宋体" w:hAnsi="宋体"/>
          <w:highlight w:val="none"/>
        </w:rPr>
        <w:t>号招标文件，正式授权下述签字人____________(姓名)代表我方______________（投标人的名称），全权处理本次项目投标的有关事宜。</w:t>
      </w:r>
    </w:p>
    <w:p w14:paraId="7DF7B2F9">
      <w:pPr>
        <w:pStyle w:val="39"/>
        <w:spacing w:before="0" w:after="0"/>
        <w:rPr>
          <w:rFonts w:hint="eastAsia" w:ascii="宋体" w:hAnsi="宋体"/>
          <w:highlight w:val="none"/>
        </w:rPr>
      </w:pPr>
      <w:r>
        <w:rPr>
          <w:rFonts w:hint="eastAsia" w:ascii="宋体" w:hAnsi="宋体"/>
          <w:highlight w:val="none"/>
        </w:rPr>
        <w:t>据此函，__________签字人兹宣布同意如下：</w:t>
      </w:r>
    </w:p>
    <w:p w14:paraId="59F36D5C">
      <w:pPr>
        <w:pStyle w:val="39"/>
        <w:spacing w:before="0" w:after="0"/>
        <w:rPr>
          <w:rFonts w:hint="eastAsia" w:ascii="宋体" w:hAnsi="宋体"/>
          <w:highlight w:val="none"/>
        </w:rPr>
      </w:pPr>
      <w:r>
        <w:rPr>
          <w:rFonts w:hint="eastAsia" w:ascii="宋体" w:hAnsi="宋体"/>
          <w:highlight w:val="none"/>
        </w:rPr>
        <w:t>1.按招标文件规定的各项要求，向买方提供所需货物与服务。</w:t>
      </w:r>
    </w:p>
    <w:p w14:paraId="0A5B5D65">
      <w:pPr>
        <w:pStyle w:val="39"/>
        <w:spacing w:before="0" w:after="0"/>
        <w:rPr>
          <w:rFonts w:hint="eastAsia" w:ascii="宋体" w:hAnsi="宋体"/>
          <w:highlight w:val="none"/>
        </w:rPr>
      </w:pPr>
      <w:r>
        <w:rPr>
          <w:rFonts w:hint="eastAsia" w:ascii="宋体" w:hAnsi="宋体"/>
          <w:highlight w:val="none"/>
        </w:rPr>
        <w:t>2.我们完全理解贵方不一定将合同授予最低报价的投标人。</w:t>
      </w:r>
    </w:p>
    <w:p w14:paraId="6CE0D9A0">
      <w:pPr>
        <w:pStyle w:val="39"/>
        <w:spacing w:before="0" w:after="0"/>
        <w:rPr>
          <w:rFonts w:hint="eastAsia" w:ascii="宋体" w:hAnsi="宋体"/>
          <w:highlight w:val="none"/>
        </w:rPr>
      </w:pPr>
      <w:r>
        <w:rPr>
          <w:rFonts w:hint="eastAsia" w:ascii="宋体" w:hAnsi="宋体"/>
          <w:highlight w:val="none"/>
        </w:rPr>
        <w:t>3.我们已详细审核全部招标文件及其有效补充文件，我们知道必须放弃提出含糊不清或误解问题的权利。</w:t>
      </w:r>
    </w:p>
    <w:p w14:paraId="749F9684">
      <w:pPr>
        <w:pStyle w:val="39"/>
        <w:spacing w:before="0" w:after="0"/>
        <w:rPr>
          <w:rFonts w:hint="eastAsia" w:ascii="宋体" w:hAnsi="宋体"/>
          <w:highlight w:val="none"/>
        </w:rPr>
      </w:pPr>
      <w:r>
        <w:rPr>
          <w:rFonts w:hint="eastAsia" w:ascii="宋体" w:hAnsi="宋体"/>
          <w:highlight w:val="none"/>
        </w:rPr>
        <w:t>4.我们同意从规定的开标日期起遵循本投标文件，并在规定的投标有效期期满之前均具有约束力。</w:t>
      </w:r>
    </w:p>
    <w:p w14:paraId="1ACA9E97">
      <w:pPr>
        <w:pStyle w:val="39"/>
        <w:spacing w:before="0" w:after="0"/>
        <w:rPr>
          <w:rFonts w:hint="eastAsia" w:ascii="宋体" w:hAnsi="宋体"/>
          <w:highlight w:val="none"/>
        </w:rPr>
      </w:pPr>
      <w:r>
        <w:rPr>
          <w:rFonts w:hint="eastAsia" w:ascii="宋体" w:hAnsi="宋体"/>
          <w:highlight w:val="none"/>
        </w:rPr>
        <w:t>5.如果在开标后规定的投标有效期内撤回投标或中标后拒绝签订合同，则按照国家相关法律法规受到相应处罚。</w:t>
      </w:r>
    </w:p>
    <w:p w14:paraId="4C27E9B9">
      <w:pPr>
        <w:pStyle w:val="39"/>
        <w:spacing w:before="0" w:after="0"/>
        <w:rPr>
          <w:rFonts w:hint="eastAsia" w:ascii="宋体" w:hAnsi="宋体"/>
          <w:highlight w:val="none"/>
        </w:rPr>
      </w:pPr>
      <w:r>
        <w:rPr>
          <w:rFonts w:hint="eastAsia" w:ascii="宋体" w:hAnsi="宋体"/>
          <w:highlight w:val="none"/>
        </w:rPr>
        <w:t>6.同意向贵方提供贵方可能另外要求的与投标有关的任何证据或资料，并保证我方已提供和将要提供的文件是真实的、准确的。</w:t>
      </w:r>
    </w:p>
    <w:p w14:paraId="00B04BC4">
      <w:pPr>
        <w:pStyle w:val="39"/>
        <w:spacing w:before="0" w:after="0"/>
        <w:rPr>
          <w:rFonts w:hint="eastAsia" w:ascii="宋体" w:hAnsi="宋体"/>
          <w:highlight w:val="none"/>
        </w:rPr>
      </w:pPr>
      <w:r>
        <w:rPr>
          <w:rFonts w:hint="eastAsia" w:ascii="宋体" w:hAnsi="宋体"/>
          <w:highlight w:val="none"/>
        </w:rPr>
        <w:t>7.一旦我方中标,我方将根据招标文件的规定，严格履行合同的责任和义务,并保证在招标文件规定的时间内完成项目，交付买方验收、使用。</w:t>
      </w:r>
    </w:p>
    <w:p w14:paraId="060C5160">
      <w:pPr>
        <w:pStyle w:val="39"/>
        <w:spacing w:before="0" w:after="0"/>
        <w:ind w:left="425" w:firstLine="0"/>
        <w:rPr>
          <w:rFonts w:hint="eastAsia" w:ascii="宋体" w:hAnsi="宋体"/>
          <w:highlight w:val="none"/>
        </w:rPr>
      </w:pPr>
      <w:r>
        <w:rPr>
          <w:rFonts w:hint="eastAsia" w:ascii="宋体" w:hAnsi="宋体"/>
          <w:highlight w:val="none"/>
        </w:rPr>
        <w:t>8.与本投标有关的正式通讯地址为：</w:t>
      </w:r>
    </w:p>
    <w:p w14:paraId="17867234">
      <w:pPr>
        <w:pStyle w:val="39"/>
        <w:spacing w:before="0" w:after="0"/>
        <w:ind w:left="420"/>
        <w:rPr>
          <w:rFonts w:hint="eastAsia" w:ascii="宋体" w:hAnsi="宋体"/>
          <w:highlight w:val="none"/>
        </w:rPr>
      </w:pPr>
      <w:r>
        <w:rPr>
          <w:rFonts w:hint="eastAsia" w:ascii="宋体" w:hAnsi="宋体"/>
          <w:highlight w:val="none"/>
        </w:rPr>
        <w:t>地          址：</w:t>
      </w:r>
    </w:p>
    <w:p w14:paraId="4ACF7432">
      <w:pPr>
        <w:pStyle w:val="39"/>
        <w:spacing w:before="0" w:after="0"/>
        <w:ind w:left="420"/>
        <w:rPr>
          <w:rFonts w:hint="eastAsia" w:ascii="宋体" w:hAnsi="宋体"/>
          <w:highlight w:val="none"/>
        </w:rPr>
      </w:pPr>
      <w:r>
        <w:rPr>
          <w:rFonts w:hint="eastAsia" w:ascii="宋体" w:hAnsi="宋体"/>
          <w:highlight w:val="none"/>
        </w:rPr>
        <w:t>邮          编：</w:t>
      </w:r>
    </w:p>
    <w:p w14:paraId="7499C8DF">
      <w:pPr>
        <w:pStyle w:val="39"/>
        <w:spacing w:before="0" w:after="0"/>
        <w:ind w:left="420"/>
        <w:rPr>
          <w:rFonts w:hint="eastAsia" w:ascii="宋体" w:hAnsi="宋体"/>
          <w:highlight w:val="none"/>
        </w:rPr>
      </w:pPr>
      <w:r>
        <w:rPr>
          <w:rFonts w:hint="eastAsia" w:ascii="宋体" w:hAnsi="宋体"/>
          <w:highlight w:val="none"/>
        </w:rPr>
        <w:t>电          话：</w:t>
      </w:r>
    </w:p>
    <w:p w14:paraId="0BDC8CA5">
      <w:pPr>
        <w:pStyle w:val="39"/>
        <w:spacing w:before="0" w:after="0"/>
        <w:ind w:left="420"/>
        <w:rPr>
          <w:rFonts w:hint="eastAsia" w:ascii="宋体" w:hAnsi="宋体"/>
          <w:highlight w:val="none"/>
        </w:rPr>
      </w:pPr>
      <w:r>
        <w:rPr>
          <w:rFonts w:hint="eastAsia" w:ascii="宋体" w:hAnsi="宋体"/>
          <w:highlight w:val="none"/>
        </w:rPr>
        <w:t>传          真：</w:t>
      </w:r>
    </w:p>
    <w:p w14:paraId="790363B4">
      <w:pPr>
        <w:pStyle w:val="39"/>
        <w:spacing w:before="0" w:after="0"/>
        <w:ind w:left="420"/>
        <w:rPr>
          <w:rFonts w:hint="eastAsia" w:ascii="宋体" w:hAnsi="宋体"/>
          <w:highlight w:val="none"/>
        </w:rPr>
      </w:pPr>
      <w:r>
        <w:rPr>
          <w:rFonts w:hint="eastAsia" w:ascii="宋体" w:hAnsi="宋体"/>
          <w:highlight w:val="none"/>
        </w:rPr>
        <w:t>投标人开户行：</w:t>
      </w:r>
    </w:p>
    <w:p w14:paraId="066B6E60">
      <w:pPr>
        <w:pStyle w:val="39"/>
        <w:spacing w:before="0" w:after="0"/>
        <w:ind w:left="420"/>
        <w:rPr>
          <w:rFonts w:hint="eastAsia" w:ascii="宋体" w:hAnsi="宋体"/>
          <w:highlight w:val="none"/>
        </w:rPr>
      </w:pPr>
      <w:r>
        <w:rPr>
          <w:rFonts w:hint="eastAsia" w:ascii="宋体" w:hAnsi="宋体"/>
          <w:highlight w:val="none"/>
        </w:rPr>
        <w:t xml:space="preserve">账          户： </w:t>
      </w:r>
    </w:p>
    <w:p w14:paraId="12253BD1">
      <w:pPr>
        <w:pStyle w:val="39"/>
        <w:spacing w:before="0" w:after="0"/>
        <w:ind w:left="420"/>
        <w:rPr>
          <w:rFonts w:hint="eastAsia" w:ascii="宋体" w:hAnsi="宋体"/>
          <w:highlight w:val="none"/>
        </w:rPr>
      </w:pPr>
      <w:r>
        <w:rPr>
          <w:rFonts w:hint="eastAsia" w:ascii="宋体" w:hAnsi="宋体"/>
          <w:highlight w:val="none"/>
        </w:rPr>
        <w:t xml:space="preserve">投标人授权代表姓名（签字）： </w:t>
      </w:r>
    </w:p>
    <w:p w14:paraId="3F97E5D3">
      <w:pPr>
        <w:pStyle w:val="39"/>
        <w:spacing w:before="0" w:after="0"/>
        <w:ind w:left="420"/>
        <w:rPr>
          <w:rFonts w:hint="eastAsia" w:ascii="宋体" w:hAnsi="宋体"/>
          <w:highlight w:val="none"/>
        </w:rPr>
      </w:pPr>
      <w:r>
        <w:rPr>
          <w:rFonts w:hint="eastAsia" w:ascii="宋体" w:hAnsi="宋体"/>
          <w:highlight w:val="none"/>
        </w:rPr>
        <w:t xml:space="preserve">投标人名称（公章）： </w:t>
      </w:r>
    </w:p>
    <w:p w14:paraId="2F55DF03">
      <w:pPr>
        <w:pStyle w:val="39"/>
        <w:spacing w:before="0" w:after="0"/>
        <w:ind w:left="420"/>
        <w:rPr>
          <w:rFonts w:hint="eastAsia" w:ascii="宋体" w:hAnsi="宋体"/>
          <w:highlight w:val="none"/>
        </w:rPr>
      </w:pPr>
      <w:r>
        <w:rPr>
          <w:rFonts w:hint="eastAsia" w:ascii="宋体" w:hAnsi="宋体"/>
          <w:highlight w:val="none"/>
        </w:rPr>
        <w:t>日           期：________年____月____日</w:t>
      </w:r>
    </w:p>
    <w:p w14:paraId="10975BB8">
      <w:pPr>
        <w:spacing w:line="360" w:lineRule="auto"/>
        <w:jc w:val="center"/>
        <w:rPr>
          <w:rFonts w:hint="eastAsia" w:ascii="黑体" w:hAnsi="黑体" w:eastAsia="黑体" w:cs="黑体"/>
          <w:b/>
          <w:sz w:val="24"/>
          <w:szCs w:val="24"/>
          <w:highlight w:val="none"/>
        </w:rPr>
      </w:pPr>
    </w:p>
    <w:p w14:paraId="44164545">
      <w:pPr>
        <w:spacing w:before="50" w:after="50" w:line="360" w:lineRule="auto"/>
        <w:jc w:val="center"/>
        <w:rPr>
          <w:rFonts w:hint="eastAsia" w:ascii="黑体" w:hAnsi="黑体" w:eastAsia="黑体" w:cs="黑体"/>
          <w:b/>
          <w:sz w:val="24"/>
          <w:szCs w:val="24"/>
          <w:highlight w:val="none"/>
        </w:rPr>
        <w:sectPr>
          <w:pgSz w:w="11906" w:h="16838"/>
          <w:pgMar w:top="1474" w:right="1474" w:bottom="1474" w:left="1474" w:header="851" w:footer="907" w:gutter="0"/>
          <w:cols w:space="720" w:num="1"/>
          <w:docGrid w:linePitch="360" w:charSpace="0"/>
        </w:sectPr>
      </w:pPr>
    </w:p>
    <w:p w14:paraId="61306F06">
      <w:pPr>
        <w:spacing w:line="480" w:lineRule="auto"/>
        <w:jc w:val="center"/>
        <w:rPr>
          <w:rFonts w:hint="eastAsia" w:ascii="宋体" w:hAnsi="宋体" w:cs="宋体"/>
          <w:b/>
          <w:bCs/>
          <w:kern w:val="2"/>
          <w:sz w:val="32"/>
          <w:szCs w:val="32"/>
          <w:highlight w:val="none"/>
        </w:rPr>
      </w:pPr>
      <w:r>
        <w:rPr>
          <w:rFonts w:hint="eastAsia" w:ascii="黑体" w:hAnsi="黑体" w:eastAsia="黑体" w:cs="黑体"/>
          <w:b/>
          <w:sz w:val="36"/>
          <w:szCs w:val="36"/>
          <w:highlight w:val="none"/>
        </w:rPr>
        <w:t>（八）</w:t>
      </w:r>
      <w:r>
        <w:rPr>
          <w:rFonts w:hint="eastAsia" w:ascii="宋体" w:hAnsi="宋体" w:cs="宋体"/>
          <w:b/>
          <w:bCs/>
          <w:kern w:val="2"/>
          <w:sz w:val="32"/>
          <w:szCs w:val="32"/>
          <w:highlight w:val="none"/>
        </w:rPr>
        <w:t>联合体协议书（如有）</w:t>
      </w:r>
    </w:p>
    <w:p w14:paraId="6FC7DFF8">
      <w:pPr>
        <w:adjustRightInd w:val="0"/>
        <w:snapToGrid w:val="0"/>
        <w:spacing w:line="460" w:lineRule="exact"/>
        <w:jc w:val="left"/>
        <w:rPr>
          <w:rFonts w:hint="eastAsia" w:ascii="宋体" w:hAnsi="宋体" w:cs="宋体"/>
          <w:w w:val="90"/>
          <w:kern w:val="2"/>
          <w:sz w:val="30"/>
          <w:szCs w:val="30"/>
          <w:highlight w:val="none"/>
          <w:u w:val="single"/>
        </w:rPr>
      </w:pPr>
    </w:p>
    <w:p w14:paraId="66FFD067">
      <w:pPr>
        <w:spacing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u w:val="single"/>
        </w:rPr>
        <w:t>（所有成员单位名称）</w:t>
      </w:r>
      <w:r>
        <w:rPr>
          <w:rFonts w:hint="eastAsia" w:ascii="宋体" w:hAnsi="宋体" w:cs="宋体"/>
          <w:bCs/>
          <w:sz w:val="24"/>
          <w:szCs w:val="24"/>
          <w:highlight w:val="none"/>
        </w:rPr>
        <w:t>自愿组成</w:t>
      </w:r>
      <w:r>
        <w:rPr>
          <w:rFonts w:hint="eastAsia" w:ascii="宋体" w:hAnsi="宋体" w:cs="宋体"/>
          <w:bCs/>
          <w:sz w:val="24"/>
          <w:szCs w:val="24"/>
          <w:highlight w:val="none"/>
          <w:u w:val="single"/>
        </w:rPr>
        <w:t>（联合体名称）</w:t>
      </w:r>
      <w:r>
        <w:rPr>
          <w:rFonts w:hint="eastAsia" w:ascii="宋体" w:hAnsi="宋体" w:cs="宋体"/>
          <w:bCs/>
          <w:sz w:val="24"/>
          <w:szCs w:val="24"/>
          <w:highlight w:val="none"/>
        </w:rPr>
        <w:t xml:space="preserve">联合体，共同参加 </w:t>
      </w:r>
      <w:r>
        <w:rPr>
          <w:rFonts w:ascii="宋体" w:hAnsi="宋体" w:cs="宋体"/>
          <w:bCs/>
          <w:sz w:val="24"/>
          <w:szCs w:val="24"/>
          <w:highlight w:val="none"/>
          <w:u w:val="single"/>
        </w:rPr>
        <w:t xml:space="preserve">          </w:t>
      </w:r>
      <w:r>
        <w:rPr>
          <w:rFonts w:hint="eastAsia" w:ascii="宋体" w:hAnsi="宋体" w:cs="宋体"/>
          <w:bCs/>
          <w:sz w:val="24"/>
          <w:szCs w:val="24"/>
          <w:highlight w:val="none"/>
        </w:rPr>
        <w:t>（项目名称）投标。现就联合体投标事宜订立如下协议。</w:t>
      </w:r>
    </w:p>
    <w:p w14:paraId="1799DCBF">
      <w:pPr>
        <w:spacing w:line="360" w:lineRule="auto"/>
        <w:ind w:firstLine="480" w:firstLineChars="200"/>
        <w:rPr>
          <w:rFonts w:hint="eastAsia" w:ascii="宋体" w:hAnsi="宋体" w:cs="宋体"/>
          <w:bCs/>
          <w:sz w:val="24"/>
          <w:szCs w:val="24"/>
          <w:highlight w:val="none"/>
        </w:rPr>
      </w:pPr>
      <w:r>
        <w:rPr>
          <w:rFonts w:hint="eastAsia" w:ascii="宋体" w:hAnsi="宋体" w:cs="宋体"/>
          <w:bCs/>
          <w:sz w:val="24"/>
          <w:szCs w:val="24"/>
          <w:highlight w:val="none"/>
        </w:rPr>
        <w:t>1、</w:t>
      </w:r>
      <w:r>
        <w:rPr>
          <w:rFonts w:ascii="宋体" w:hAnsi="宋体" w:cs="宋体"/>
          <w:bCs/>
          <w:sz w:val="24"/>
          <w:szCs w:val="24"/>
          <w:highlight w:val="none"/>
        </w:rPr>
        <w:t xml:space="preserve"> </w:t>
      </w:r>
      <w:r>
        <w:rPr>
          <w:rFonts w:hint="eastAsia" w:ascii="宋体" w:hAnsi="宋体" w:cs="宋体"/>
          <w:bCs/>
          <w:sz w:val="24"/>
          <w:szCs w:val="24"/>
          <w:highlight w:val="none"/>
          <w:u w:val="single"/>
        </w:rPr>
        <w:t xml:space="preserve">（某成员单位名称） </w:t>
      </w:r>
      <w:r>
        <w:rPr>
          <w:rFonts w:ascii="宋体" w:hAnsi="宋体" w:cs="宋体"/>
          <w:bCs/>
          <w:sz w:val="24"/>
          <w:szCs w:val="24"/>
          <w:highlight w:val="none"/>
          <w:u w:val="single"/>
        </w:rPr>
        <w:t xml:space="preserve">    </w:t>
      </w:r>
      <w:r>
        <w:rPr>
          <w:rFonts w:hint="eastAsia" w:ascii="宋体" w:hAnsi="宋体" w:cs="宋体"/>
          <w:bCs/>
          <w:sz w:val="24"/>
          <w:szCs w:val="24"/>
          <w:highlight w:val="none"/>
        </w:rPr>
        <w:t>为</w:t>
      </w:r>
      <w:r>
        <w:rPr>
          <w:rFonts w:hint="eastAsia" w:ascii="宋体" w:hAnsi="宋体" w:cs="宋体"/>
          <w:bCs/>
          <w:sz w:val="24"/>
          <w:szCs w:val="24"/>
          <w:highlight w:val="none"/>
          <w:u w:val="single"/>
        </w:rPr>
        <w:t xml:space="preserve"> </w:t>
      </w:r>
      <w:r>
        <w:rPr>
          <w:rFonts w:ascii="宋体" w:hAnsi="宋体" w:cs="宋体"/>
          <w:bCs/>
          <w:sz w:val="24"/>
          <w:szCs w:val="24"/>
          <w:highlight w:val="none"/>
          <w:u w:val="single"/>
        </w:rPr>
        <w:t xml:space="preserve"> </w:t>
      </w:r>
      <w:r>
        <w:rPr>
          <w:rFonts w:hint="eastAsia" w:ascii="宋体" w:hAnsi="宋体" w:cs="宋体"/>
          <w:bCs/>
          <w:sz w:val="24"/>
          <w:szCs w:val="24"/>
          <w:highlight w:val="none"/>
          <w:u w:val="single"/>
        </w:rPr>
        <w:t xml:space="preserve"> </w:t>
      </w:r>
      <w:r>
        <w:rPr>
          <w:rFonts w:ascii="宋体" w:hAnsi="宋体" w:cs="宋体"/>
          <w:bCs/>
          <w:sz w:val="24"/>
          <w:szCs w:val="24"/>
          <w:highlight w:val="none"/>
          <w:u w:val="single"/>
        </w:rPr>
        <w:t xml:space="preserve">    </w:t>
      </w:r>
      <w:r>
        <w:rPr>
          <w:rFonts w:hint="eastAsia" w:ascii="宋体" w:hAnsi="宋体" w:cs="宋体"/>
          <w:bCs/>
          <w:sz w:val="24"/>
          <w:szCs w:val="24"/>
          <w:highlight w:val="none"/>
          <w:u w:val="single"/>
        </w:rPr>
        <w:t>（联合体名称）</w:t>
      </w:r>
      <w:r>
        <w:rPr>
          <w:rFonts w:hint="eastAsia" w:ascii="宋体" w:hAnsi="宋体" w:cs="宋体"/>
          <w:bCs/>
          <w:sz w:val="24"/>
          <w:szCs w:val="24"/>
          <w:highlight w:val="none"/>
        </w:rPr>
        <w:t>牵头人。</w:t>
      </w:r>
    </w:p>
    <w:p w14:paraId="5231616B">
      <w:pPr>
        <w:spacing w:line="360" w:lineRule="auto"/>
        <w:ind w:firstLine="480" w:firstLineChars="200"/>
        <w:rPr>
          <w:rFonts w:hint="eastAsia" w:ascii="宋体" w:hAnsi="宋体" w:cs="宋体"/>
          <w:bCs/>
          <w:sz w:val="24"/>
          <w:szCs w:val="20"/>
          <w:highlight w:val="none"/>
        </w:rPr>
      </w:pPr>
      <w:r>
        <w:rPr>
          <w:rFonts w:ascii="宋体" w:hAnsi="宋体" w:cs="宋体"/>
          <w:bCs/>
          <w:sz w:val="24"/>
          <w:szCs w:val="20"/>
          <w:highlight w:val="none"/>
        </w:rPr>
        <w:t>2</w:t>
      </w:r>
      <w:r>
        <w:rPr>
          <w:rFonts w:hint="eastAsia" w:ascii="宋体" w:hAnsi="宋体" w:cs="宋体"/>
          <w:bCs/>
          <w:sz w:val="24"/>
          <w:szCs w:val="20"/>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20A946C3">
      <w:pPr>
        <w:spacing w:line="360" w:lineRule="auto"/>
        <w:ind w:firstLine="480" w:firstLineChars="200"/>
        <w:rPr>
          <w:rFonts w:hint="eastAsia" w:ascii="宋体" w:hAnsi="宋体" w:cs="宋体"/>
          <w:bCs/>
          <w:sz w:val="24"/>
          <w:szCs w:val="20"/>
          <w:highlight w:val="none"/>
        </w:rPr>
      </w:pPr>
      <w:r>
        <w:rPr>
          <w:rFonts w:hint="eastAsia" w:ascii="宋体" w:hAnsi="宋体" w:cs="宋体"/>
          <w:bCs/>
          <w:sz w:val="24"/>
          <w:szCs w:val="20"/>
          <w:highlight w:val="none"/>
        </w:rPr>
        <w:t>3、联合体将严格按照招标文件的各项要求，递交投标文件，履行合同，并对外承担连带责任。</w:t>
      </w:r>
    </w:p>
    <w:p w14:paraId="1508ECA3">
      <w:pPr>
        <w:spacing w:line="360" w:lineRule="auto"/>
        <w:ind w:firstLine="480" w:firstLineChars="200"/>
        <w:rPr>
          <w:rFonts w:hint="eastAsia" w:ascii="宋体" w:hAnsi="宋体" w:cs="宋体"/>
          <w:bCs/>
          <w:sz w:val="24"/>
          <w:szCs w:val="20"/>
          <w:highlight w:val="none"/>
        </w:rPr>
      </w:pPr>
      <w:r>
        <w:rPr>
          <w:rFonts w:hint="eastAsia" w:ascii="宋体" w:hAnsi="宋体" w:cs="宋体"/>
          <w:bCs/>
          <w:sz w:val="24"/>
          <w:szCs w:val="20"/>
          <w:highlight w:val="none"/>
        </w:rPr>
        <w:t>4、联合体各成员单位内部的职责分工如下：</w:t>
      </w:r>
      <w:r>
        <w:rPr>
          <w:rFonts w:hint="eastAsia" w:ascii="宋体" w:hAnsi="宋体" w:cs="宋体"/>
          <w:bCs/>
          <w:sz w:val="24"/>
          <w:szCs w:val="20"/>
          <w:highlight w:val="none"/>
          <w:u w:val="single"/>
        </w:rPr>
        <w:t xml:space="preserve"> </w:t>
      </w:r>
      <w:r>
        <w:rPr>
          <w:rFonts w:ascii="宋体" w:hAnsi="宋体" w:cs="宋体"/>
          <w:bCs/>
          <w:sz w:val="24"/>
          <w:szCs w:val="20"/>
          <w:highlight w:val="none"/>
          <w:u w:val="single"/>
        </w:rPr>
        <w:t xml:space="preserve">                   </w:t>
      </w:r>
      <w:r>
        <w:rPr>
          <w:rFonts w:ascii="宋体" w:hAnsi="宋体" w:cs="宋体"/>
          <w:bCs/>
          <w:sz w:val="24"/>
          <w:szCs w:val="20"/>
          <w:highlight w:val="none"/>
        </w:rPr>
        <w:t xml:space="preserve"> </w:t>
      </w:r>
      <w:r>
        <w:rPr>
          <w:rFonts w:hint="eastAsia" w:ascii="宋体" w:hAnsi="宋体" w:cs="宋体"/>
          <w:bCs/>
          <w:sz w:val="24"/>
          <w:szCs w:val="20"/>
          <w:highlight w:val="none"/>
        </w:rPr>
        <w:t>。</w:t>
      </w:r>
    </w:p>
    <w:p w14:paraId="1ED3630F">
      <w:pPr>
        <w:spacing w:line="360" w:lineRule="auto"/>
        <w:ind w:firstLine="480" w:firstLineChars="200"/>
        <w:rPr>
          <w:rFonts w:hint="eastAsia" w:ascii="宋体" w:hAnsi="宋体" w:cs="宋体"/>
          <w:bCs/>
          <w:sz w:val="24"/>
          <w:szCs w:val="20"/>
          <w:highlight w:val="none"/>
        </w:rPr>
      </w:pPr>
      <w:r>
        <w:rPr>
          <w:rFonts w:hint="eastAsia" w:ascii="宋体" w:hAnsi="宋体" w:cs="宋体"/>
          <w:bCs/>
          <w:sz w:val="24"/>
          <w:szCs w:val="20"/>
          <w:highlight w:val="none"/>
        </w:rPr>
        <w:t>5、本协议书自签署之日起生效，合同履行完毕后自动失效。</w:t>
      </w:r>
    </w:p>
    <w:p w14:paraId="1DF7D567">
      <w:pPr>
        <w:spacing w:line="360" w:lineRule="auto"/>
        <w:ind w:firstLine="480" w:firstLineChars="200"/>
        <w:rPr>
          <w:rFonts w:hint="eastAsia" w:ascii="宋体" w:hAnsi="宋体" w:cs="宋体"/>
          <w:bCs/>
          <w:sz w:val="24"/>
          <w:szCs w:val="20"/>
          <w:highlight w:val="none"/>
        </w:rPr>
      </w:pPr>
      <w:r>
        <w:rPr>
          <w:rFonts w:hint="eastAsia" w:ascii="宋体" w:hAnsi="宋体" w:cs="宋体"/>
          <w:bCs/>
          <w:sz w:val="24"/>
          <w:szCs w:val="20"/>
          <w:highlight w:val="none"/>
        </w:rPr>
        <w:t>注：本协议书由委托代理人签字的，应附法定代表人签字的授权委托书。</w:t>
      </w:r>
    </w:p>
    <w:p w14:paraId="75BD57A6">
      <w:pPr>
        <w:spacing w:line="360" w:lineRule="auto"/>
        <w:ind w:firstLine="525"/>
        <w:rPr>
          <w:rFonts w:hint="eastAsia" w:ascii="宋体" w:hAnsi="宋体"/>
          <w:kern w:val="2"/>
          <w:szCs w:val="20"/>
          <w:highlight w:val="none"/>
        </w:rPr>
      </w:pPr>
      <w:r>
        <w:rPr>
          <w:rFonts w:hint="eastAsia" w:ascii="宋体" w:hAnsi="宋体"/>
          <w:kern w:val="2"/>
          <w:szCs w:val="20"/>
          <w:highlight w:val="none"/>
        </w:rPr>
        <w:t>牵头人名称：</w:t>
      </w:r>
      <w:r>
        <w:rPr>
          <w:rFonts w:hint="eastAsia" w:ascii="宋体" w:hAnsi="宋体"/>
          <w:kern w:val="2"/>
          <w:szCs w:val="20"/>
          <w:highlight w:val="none"/>
          <w:u w:val="single"/>
        </w:rPr>
        <w:t xml:space="preserve"> </w:t>
      </w:r>
      <w:r>
        <w:rPr>
          <w:rFonts w:ascii="宋体" w:hAnsi="宋体"/>
          <w:kern w:val="2"/>
          <w:szCs w:val="20"/>
          <w:highlight w:val="none"/>
          <w:u w:val="single"/>
        </w:rPr>
        <w:t xml:space="preserve">            </w:t>
      </w:r>
      <w:r>
        <w:rPr>
          <w:rFonts w:hint="eastAsia" w:ascii="宋体" w:hAnsi="宋体"/>
          <w:kern w:val="2"/>
          <w:szCs w:val="20"/>
          <w:highlight w:val="none"/>
        </w:rPr>
        <w:t>（盖单位章）</w:t>
      </w:r>
    </w:p>
    <w:p w14:paraId="42B6B202">
      <w:pPr>
        <w:spacing w:line="360" w:lineRule="auto"/>
        <w:ind w:firstLine="525"/>
        <w:rPr>
          <w:rFonts w:hint="eastAsia" w:ascii="宋体" w:hAnsi="宋体"/>
          <w:kern w:val="2"/>
          <w:szCs w:val="20"/>
          <w:highlight w:val="none"/>
        </w:rPr>
      </w:pPr>
      <w:r>
        <w:rPr>
          <w:rFonts w:hint="eastAsia" w:ascii="宋体" w:hAnsi="宋体"/>
          <w:kern w:val="2"/>
          <w:szCs w:val="20"/>
          <w:highlight w:val="none"/>
        </w:rPr>
        <w:t>法定代表人或其委托代理人：</w:t>
      </w:r>
      <w:r>
        <w:rPr>
          <w:rFonts w:hint="eastAsia" w:ascii="宋体" w:hAnsi="宋体"/>
          <w:kern w:val="2"/>
          <w:szCs w:val="20"/>
          <w:highlight w:val="none"/>
          <w:u w:val="single"/>
        </w:rPr>
        <w:t xml:space="preserve"> </w:t>
      </w:r>
      <w:r>
        <w:rPr>
          <w:rFonts w:ascii="宋体" w:hAnsi="宋体"/>
          <w:kern w:val="2"/>
          <w:szCs w:val="20"/>
          <w:highlight w:val="none"/>
          <w:u w:val="single"/>
        </w:rPr>
        <w:t xml:space="preserve">         </w:t>
      </w:r>
      <w:r>
        <w:rPr>
          <w:rFonts w:hint="eastAsia" w:ascii="宋体" w:hAnsi="宋体"/>
          <w:kern w:val="2"/>
          <w:szCs w:val="20"/>
          <w:highlight w:val="none"/>
        </w:rPr>
        <w:t>（签字）</w:t>
      </w:r>
    </w:p>
    <w:p w14:paraId="5072CCA6">
      <w:pPr>
        <w:spacing w:line="360" w:lineRule="auto"/>
        <w:ind w:firstLine="525"/>
        <w:rPr>
          <w:rFonts w:hint="eastAsia" w:ascii="宋体" w:hAnsi="宋体"/>
          <w:kern w:val="2"/>
          <w:szCs w:val="20"/>
          <w:highlight w:val="none"/>
        </w:rPr>
      </w:pPr>
      <w:r>
        <w:rPr>
          <w:rFonts w:hint="eastAsia" w:ascii="宋体" w:hAnsi="宋体"/>
          <w:kern w:val="2"/>
          <w:szCs w:val="20"/>
          <w:highlight w:val="none"/>
        </w:rPr>
        <w:t>成员一名称：</w:t>
      </w:r>
      <w:r>
        <w:rPr>
          <w:rFonts w:hint="eastAsia" w:ascii="宋体" w:hAnsi="宋体"/>
          <w:kern w:val="2"/>
          <w:szCs w:val="20"/>
          <w:highlight w:val="none"/>
          <w:u w:val="single"/>
        </w:rPr>
        <w:t xml:space="preserve"> </w:t>
      </w:r>
      <w:r>
        <w:rPr>
          <w:rFonts w:ascii="宋体" w:hAnsi="宋体"/>
          <w:kern w:val="2"/>
          <w:szCs w:val="20"/>
          <w:highlight w:val="none"/>
          <w:u w:val="single"/>
        </w:rPr>
        <w:t xml:space="preserve">            </w:t>
      </w:r>
      <w:r>
        <w:rPr>
          <w:rFonts w:hint="eastAsia" w:ascii="宋体" w:hAnsi="宋体"/>
          <w:kern w:val="2"/>
          <w:szCs w:val="20"/>
          <w:highlight w:val="none"/>
        </w:rPr>
        <w:t>（盖单位章）</w:t>
      </w:r>
    </w:p>
    <w:p w14:paraId="6EDF5E00">
      <w:pPr>
        <w:spacing w:line="360" w:lineRule="auto"/>
        <w:ind w:firstLine="525"/>
        <w:rPr>
          <w:rFonts w:hint="eastAsia" w:ascii="宋体" w:hAnsi="宋体"/>
          <w:kern w:val="2"/>
          <w:szCs w:val="20"/>
          <w:highlight w:val="none"/>
        </w:rPr>
      </w:pPr>
      <w:r>
        <w:rPr>
          <w:rFonts w:hint="eastAsia" w:ascii="宋体" w:hAnsi="宋体"/>
          <w:kern w:val="2"/>
          <w:szCs w:val="20"/>
          <w:highlight w:val="none"/>
        </w:rPr>
        <w:t xml:space="preserve">法定代表人或其委托代理人： </w:t>
      </w:r>
      <w:r>
        <w:rPr>
          <w:rFonts w:ascii="宋体" w:hAnsi="宋体"/>
          <w:kern w:val="2"/>
          <w:szCs w:val="20"/>
          <w:highlight w:val="none"/>
          <w:u w:val="single"/>
        </w:rPr>
        <w:t xml:space="preserve">        </w:t>
      </w:r>
      <w:r>
        <w:rPr>
          <w:rFonts w:hint="eastAsia" w:ascii="宋体" w:hAnsi="宋体"/>
          <w:kern w:val="2"/>
          <w:szCs w:val="20"/>
          <w:highlight w:val="none"/>
          <w:u w:val="single"/>
        </w:rPr>
        <w:t xml:space="preserve"> </w:t>
      </w:r>
      <w:r>
        <w:rPr>
          <w:rFonts w:hint="eastAsia" w:ascii="宋体" w:hAnsi="宋体"/>
          <w:kern w:val="2"/>
          <w:szCs w:val="20"/>
          <w:highlight w:val="none"/>
        </w:rPr>
        <w:t>（签字）</w:t>
      </w:r>
    </w:p>
    <w:p w14:paraId="477959E9">
      <w:pPr>
        <w:spacing w:line="420" w:lineRule="exact"/>
        <w:ind w:firstLine="210" w:firstLineChars="100"/>
        <w:jc w:val="right"/>
        <w:rPr>
          <w:rFonts w:hint="eastAsia" w:ascii="宋体" w:hAnsi="宋体"/>
          <w:kern w:val="2"/>
          <w:szCs w:val="20"/>
          <w:highlight w:val="none"/>
        </w:rPr>
      </w:pPr>
    </w:p>
    <w:p w14:paraId="42F7ACA2">
      <w:pPr>
        <w:spacing w:line="420" w:lineRule="exact"/>
        <w:ind w:firstLine="210" w:firstLineChars="100"/>
        <w:jc w:val="right"/>
        <w:rPr>
          <w:rFonts w:hint="eastAsia" w:ascii="宋体" w:hAnsi="宋体"/>
          <w:kern w:val="2"/>
          <w:szCs w:val="20"/>
          <w:highlight w:val="none"/>
        </w:rPr>
      </w:pPr>
      <w:r>
        <w:rPr>
          <w:rFonts w:hint="eastAsia" w:ascii="宋体" w:hAnsi="宋体"/>
          <w:kern w:val="2"/>
          <w:szCs w:val="20"/>
          <w:highlight w:val="none"/>
        </w:rPr>
        <w:t xml:space="preserve">年 </w:t>
      </w:r>
      <w:r>
        <w:rPr>
          <w:rFonts w:ascii="宋体" w:hAnsi="宋体"/>
          <w:kern w:val="2"/>
          <w:szCs w:val="20"/>
          <w:highlight w:val="none"/>
        </w:rPr>
        <w:t xml:space="preserve">   </w:t>
      </w:r>
      <w:r>
        <w:rPr>
          <w:rFonts w:hint="eastAsia" w:ascii="宋体" w:hAnsi="宋体"/>
          <w:kern w:val="2"/>
          <w:szCs w:val="20"/>
          <w:highlight w:val="none"/>
        </w:rPr>
        <w:t xml:space="preserve">月 </w:t>
      </w:r>
      <w:r>
        <w:rPr>
          <w:rFonts w:ascii="宋体" w:hAnsi="宋体"/>
          <w:kern w:val="2"/>
          <w:szCs w:val="20"/>
          <w:highlight w:val="none"/>
        </w:rPr>
        <w:t xml:space="preserve">   </w:t>
      </w:r>
      <w:r>
        <w:rPr>
          <w:rFonts w:hint="eastAsia" w:ascii="宋体" w:hAnsi="宋体"/>
          <w:kern w:val="2"/>
          <w:szCs w:val="20"/>
          <w:highlight w:val="none"/>
        </w:rPr>
        <w:t xml:space="preserve"> 日</w:t>
      </w:r>
    </w:p>
    <w:p w14:paraId="0449D055">
      <w:pPr>
        <w:spacing w:line="480" w:lineRule="auto"/>
        <w:rPr>
          <w:rFonts w:hint="eastAsia" w:hAnsi="宋体" w:cs="宋体"/>
          <w:sz w:val="24"/>
          <w:highlight w:val="none"/>
        </w:rPr>
        <w:sectPr>
          <w:pgSz w:w="11906" w:h="16838"/>
          <w:pgMar w:top="1247" w:right="1385" w:bottom="1134" w:left="1281" w:header="851" w:footer="992" w:gutter="0"/>
          <w:cols w:space="720" w:num="1"/>
          <w:docGrid w:type="linesAndChars" w:linePitch="312" w:charSpace="0"/>
        </w:sectPr>
      </w:pPr>
    </w:p>
    <w:p w14:paraId="3FB54B8D">
      <w:pPr>
        <w:widowControl/>
        <w:spacing w:line="500" w:lineRule="exact"/>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t>（九）中小企业声明函（服务）</w:t>
      </w:r>
    </w:p>
    <w:p w14:paraId="1BEF5623">
      <w:pPr>
        <w:spacing w:line="560" w:lineRule="exact"/>
        <w:rPr>
          <w:rFonts w:hint="eastAsia" w:ascii="宋体" w:hAnsi="宋体"/>
          <w:b/>
          <w:bCs/>
          <w:sz w:val="28"/>
          <w:szCs w:val="28"/>
          <w:highlight w:val="none"/>
        </w:rPr>
      </w:pPr>
    </w:p>
    <w:p w14:paraId="5FE0EA70">
      <w:pPr>
        <w:widowControl/>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9C9A169">
      <w:pPr>
        <w:widowControl/>
        <w:numPr>
          <w:ilvl w:val="0"/>
          <w:numId w:val="4"/>
        </w:numPr>
        <w:spacing w:line="360" w:lineRule="auto"/>
        <w:ind w:firstLine="480"/>
        <w:jc w:val="left"/>
        <w:rPr>
          <w:rFonts w:hint="eastAsia" w:ascii="宋体" w:hAnsi="宋体" w:cs="宋体"/>
          <w:sz w:val="24"/>
          <w:szCs w:val="24"/>
          <w:highlight w:val="none"/>
        </w:rPr>
      </w:pPr>
      <w:r>
        <w:rPr>
          <w:rFonts w:hint="eastAsia" w:ascii="宋体" w:hAnsi="宋体" w:cs="宋体"/>
          <w:i/>
          <w:iCs/>
          <w:sz w:val="24"/>
          <w:szCs w:val="24"/>
          <w:highlight w:val="none"/>
          <w:u w:val="single"/>
        </w:rPr>
        <w:t xml:space="preserve">（标的名称） </w:t>
      </w:r>
      <w:r>
        <w:rPr>
          <w:rFonts w:hint="eastAsia" w:ascii="宋体" w:hAnsi="宋体" w:cs="宋体"/>
          <w:sz w:val="24"/>
          <w:szCs w:val="24"/>
          <w:highlight w:val="none"/>
        </w:rPr>
        <w:t>，属于</w:t>
      </w:r>
      <w:r>
        <w:rPr>
          <w:rFonts w:hint="eastAsia" w:ascii="宋体" w:hAnsi="宋体" w:cs="宋体"/>
          <w:i/>
          <w:iCs/>
          <w:sz w:val="24"/>
          <w:szCs w:val="24"/>
          <w:highlight w:val="none"/>
          <w:u w:val="single"/>
        </w:rPr>
        <w:t>其他未列明</w:t>
      </w:r>
      <w:r>
        <w:rPr>
          <w:rFonts w:hint="eastAsia" w:ascii="宋体" w:hAnsi="宋体" w:cs="宋体"/>
          <w:sz w:val="24"/>
          <w:szCs w:val="24"/>
          <w:highlight w:val="none"/>
        </w:rPr>
        <w:t>行业；承接（承接）企业为</w:t>
      </w:r>
      <w:r>
        <w:rPr>
          <w:rFonts w:hint="eastAsia" w:ascii="宋体" w:hAnsi="宋体" w:cs="宋体"/>
          <w:i/>
          <w:iCs/>
          <w:sz w:val="24"/>
          <w:szCs w:val="24"/>
          <w:highlight w:val="none"/>
          <w:u w:val="single"/>
        </w:rPr>
        <w:t>（企业名称）</w:t>
      </w:r>
      <w:r>
        <w:rPr>
          <w:rFonts w:hint="eastAsia" w:ascii="宋体" w:hAnsi="宋体" w:cs="宋体"/>
          <w:sz w:val="24"/>
          <w:szCs w:val="24"/>
          <w:highlight w:val="none"/>
        </w:rPr>
        <w:t>，从业人员</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人，营业收入为</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万元，资产总额为</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万元，属于</w:t>
      </w:r>
      <w:r>
        <w:rPr>
          <w:rFonts w:hint="eastAsia" w:ascii="宋体" w:hAnsi="宋体" w:cs="宋体"/>
          <w:i/>
          <w:iCs/>
          <w:sz w:val="24"/>
          <w:szCs w:val="24"/>
          <w:highlight w:val="none"/>
          <w:u w:val="single"/>
        </w:rPr>
        <w:t>（中型企业、小型企业、微型企业）</w:t>
      </w:r>
      <w:r>
        <w:rPr>
          <w:rFonts w:hint="eastAsia" w:ascii="宋体" w:hAnsi="宋体" w:cs="宋体"/>
          <w:sz w:val="24"/>
          <w:szCs w:val="24"/>
          <w:highlight w:val="none"/>
        </w:rPr>
        <w:t>；</w:t>
      </w:r>
    </w:p>
    <w:p w14:paraId="18BAB6FB">
      <w:pPr>
        <w:widowControl/>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w:t>
      </w:r>
    </w:p>
    <w:p w14:paraId="68C54120">
      <w:pPr>
        <w:widowControl/>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以上企业，不属于大企业的分支机构，不存在控股股东为大企业的情形，也不存在与大企业的负责人为同一人的情形。</w:t>
      </w:r>
    </w:p>
    <w:p w14:paraId="74568B87">
      <w:pPr>
        <w:widowControl/>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本企业对上述声明内容的真实性负责。如有虚假，将依法承担相应责任。</w:t>
      </w:r>
    </w:p>
    <w:p w14:paraId="61D0CDAA">
      <w:pPr>
        <w:widowControl/>
        <w:spacing w:line="360" w:lineRule="auto"/>
        <w:ind w:firstLine="4080"/>
        <w:jc w:val="left"/>
        <w:rPr>
          <w:rFonts w:hint="eastAsia" w:ascii="宋体" w:hAnsi="宋体" w:cs="宋体"/>
          <w:sz w:val="24"/>
          <w:szCs w:val="24"/>
          <w:highlight w:val="none"/>
        </w:rPr>
      </w:pPr>
      <w:r>
        <w:rPr>
          <w:rFonts w:hint="eastAsia" w:ascii="宋体" w:hAnsi="宋体" w:cs="宋体"/>
          <w:sz w:val="24"/>
          <w:szCs w:val="24"/>
          <w:highlight w:val="none"/>
        </w:rPr>
        <w:t>企业名称（盖章）：</w:t>
      </w:r>
    </w:p>
    <w:p w14:paraId="29E7BD09">
      <w:pPr>
        <w:widowControl/>
        <w:spacing w:line="360" w:lineRule="auto"/>
        <w:ind w:firstLine="4080"/>
        <w:jc w:val="left"/>
        <w:rPr>
          <w:rFonts w:hint="eastAsia" w:ascii="宋体" w:hAnsi="宋体" w:cs="宋体"/>
          <w:sz w:val="24"/>
          <w:szCs w:val="24"/>
          <w:highlight w:val="none"/>
        </w:rPr>
      </w:pPr>
      <w:r>
        <w:rPr>
          <w:rFonts w:hint="eastAsia" w:ascii="宋体" w:hAnsi="宋体" w:cs="宋体"/>
          <w:sz w:val="24"/>
          <w:szCs w:val="24"/>
          <w:highlight w:val="none"/>
        </w:rPr>
        <w:t>日期：</w:t>
      </w:r>
    </w:p>
    <w:p w14:paraId="46E6A738">
      <w:pPr>
        <w:spacing w:line="360" w:lineRule="auto"/>
        <w:jc w:val="center"/>
        <w:rPr>
          <w:rFonts w:hint="eastAsia" w:ascii="宋体" w:hAnsi="宋体"/>
          <w:b/>
          <w:bCs/>
          <w:sz w:val="24"/>
          <w:szCs w:val="24"/>
          <w:highlight w:val="none"/>
        </w:rPr>
      </w:pPr>
      <w:r>
        <w:rPr>
          <w:rFonts w:hint="eastAsia" w:ascii="宋体" w:hAnsi="宋体"/>
          <w:b/>
          <w:bCs/>
          <w:sz w:val="24"/>
          <w:szCs w:val="24"/>
          <w:highlight w:val="none"/>
        </w:rPr>
        <w:t>从业人员、营业收入、资产总额填报上一年度数据，无上一年度数据的新成立企业可不填报。</w:t>
      </w:r>
    </w:p>
    <w:p w14:paraId="416BC707">
      <w:pPr>
        <w:spacing w:line="360" w:lineRule="auto"/>
        <w:jc w:val="center"/>
        <w:rPr>
          <w:rFonts w:hint="eastAsia" w:ascii="宋体" w:hAnsi="宋体" w:cs="宋体"/>
          <w:b/>
          <w:sz w:val="24"/>
          <w:szCs w:val="24"/>
          <w:highlight w:val="none"/>
        </w:rPr>
      </w:pPr>
    </w:p>
    <w:p w14:paraId="52449A6D">
      <w:pPr>
        <w:spacing w:line="360" w:lineRule="auto"/>
        <w:jc w:val="center"/>
        <w:rPr>
          <w:rFonts w:hint="eastAsia" w:ascii="宋体" w:hAnsi="宋体" w:cs="宋体"/>
          <w:b/>
          <w:sz w:val="24"/>
          <w:szCs w:val="24"/>
          <w:highlight w:val="none"/>
        </w:rPr>
      </w:pPr>
    </w:p>
    <w:p w14:paraId="6F37A357">
      <w:pPr>
        <w:spacing w:line="360" w:lineRule="auto"/>
        <w:jc w:val="center"/>
        <w:rPr>
          <w:rFonts w:hint="eastAsia" w:ascii="宋体" w:hAnsi="宋体" w:cs="宋体"/>
          <w:b/>
          <w:sz w:val="24"/>
          <w:szCs w:val="24"/>
          <w:highlight w:val="none"/>
        </w:rPr>
      </w:pPr>
    </w:p>
    <w:p w14:paraId="49B27070">
      <w:pPr>
        <w:spacing w:line="360" w:lineRule="auto"/>
        <w:jc w:val="center"/>
        <w:rPr>
          <w:rFonts w:hint="eastAsia" w:ascii="宋体" w:hAnsi="宋体" w:cs="宋体"/>
          <w:b/>
          <w:sz w:val="24"/>
          <w:szCs w:val="24"/>
          <w:highlight w:val="none"/>
        </w:rPr>
      </w:pPr>
    </w:p>
    <w:p w14:paraId="72CC2EAF">
      <w:pPr>
        <w:widowControl/>
        <w:spacing w:line="500" w:lineRule="exact"/>
        <w:jc w:val="center"/>
        <w:rPr>
          <w:rFonts w:hint="eastAsia" w:ascii="黑体" w:hAnsi="黑体" w:eastAsia="黑体" w:cs="黑体"/>
          <w:b/>
          <w:sz w:val="36"/>
          <w:szCs w:val="36"/>
          <w:highlight w:val="none"/>
        </w:rPr>
      </w:pPr>
    </w:p>
    <w:p w14:paraId="5DAB0882">
      <w:pPr>
        <w:widowControl/>
        <w:spacing w:line="500" w:lineRule="exact"/>
        <w:jc w:val="center"/>
        <w:rPr>
          <w:rFonts w:hint="eastAsia" w:ascii="黑体" w:hAnsi="黑体" w:eastAsia="黑体" w:cs="黑体"/>
          <w:b/>
          <w:sz w:val="36"/>
          <w:szCs w:val="36"/>
          <w:highlight w:val="none"/>
        </w:rPr>
      </w:pPr>
    </w:p>
    <w:p w14:paraId="1AA0B840">
      <w:pPr>
        <w:pageBreakBefore/>
        <w:widowControl/>
        <w:spacing w:line="500" w:lineRule="exact"/>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t>（十）残疾人福利性单位声明函（如有）</w:t>
      </w:r>
    </w:p>
    <w:p w14:paraId="2B46DCCB">
      <w:pPr>
        <w:spacing w:line="588" w:lineRule="exact"/>
        <w:rPr>
          <w:rFonts w:ascii="仿宋_GB2312" w:eastAsia="仿宋_GB2312"/>
          <w:b/>
          <w:spacing w:val="6"/>
          <w:sz w:val="30"/>
          <w:szCs w:val="30"/>
          <w:highlight w:val="none"/>
        </w:rPr>
      </w:pPr>
    </w:p>
    <w:p w14:paraId="336C1409">
      <w:pPr>
        <w:spacing w:line="360" w:lineRule="auto"/>
        <w:ind w:firstLine="504"/>
        <w:rPr>
          <w:rFonts w:hint="eastAsia" w:ascii="宋体" w:hAnsi="宋体" w:cs="宋体"/>
          <w:spacing w:val="6"/>
          <w:sz w:val="24"/>
          <w:szCs w:val="24"/>
          <w:highlight w:val="none"/>
        </w:rPr>
      </w:pPr>
      <w:r>
        <w:rPr>
          <w:rFonts w:hint="eastAsia" w:ascii="宋体" w:hAnsi="宋体" w:cs="宋体"/>
          <w:spacing w:val="6"/>
          <w:sz w:val="24"/>
          <w:szCs w:val="24"/>
          <w:highlight w:val="none"/>
        </w:rPr>
        <w:t>本单位郑重声明，根据《财政部 民政部 中国残疾人联合会关于促进残疾人就业政府采购政策的通知》（财库</w:t>
      </w:r>
      <w:r>
        <w:rPr>
          <w:rFonts w:hint="eastAsia" w:ascii="宋体" w:hAnsi="宋体" w:cs="宋体"/>
          <w:sz w:val="24"/>
          <w:szCs w:val="24"/>
          <w:highlight w:val="none"/>
        </w:rPr>
        <w:t>〔2017〕141</w:t>
      </w:r>
      <w:r>
        <w:rPr>
          <w:rFonts w:hint="eastAsia" w:ascii="宋体" w:hAnsi="宋体" w:cs="宋体"/>
          <w:spacing w:val="6"/>
          <w:sz w:val="24"/>
          <w:szCs w:val="24"/>
          <w:highlight w:val="none"/>
        </w:rPr>
        <w:t>号）的规定，本单位为符合条件的残疾人福利性单位，且本单位参加</w:t>
      </w:r>
      <w:r>
        <w:rPr>
          <w:rFonts w:hint="eastAsia" w:ascii="宋体" w:hAnsi="宋体" w:cs="宋体"/>
          <w:spacing w:val="6"/>
          <w:sz w:val="24"/>
          <w:szCs w:val="24"/>
          <w:highlight w:val="none"/>
          <w:u w:val="single"/>
        </w:rPr>
        <w:t xml:space="preserve"> </w:t>
      </w:r>
      <w:r>
        <w:rPr>
          <w:rFonts w:hint="eastAsia" w:hAnsi="宋体" w:cs="宋体"/>
          <w:b/>
          <w:bCs/>
          <w:sz w:val="24"/>
          <w:szCs w:val="24"/>
          <w:highlight w:val="none"/>
          <w:u w:val="single"/>
        </w:rPr>
        <w:t>盐城市大丰区机关事务服务中心</w:t>
      </w:r>
      <w:r>
        <w:rPr>
          <w:rFonts w:hint="eastAsia" w:ascii="宋体" w:hAnsi="宋体" w:cs="宋体"/>
          <w:b/>
          <w:bCs/>
          <w:sz w:val="24"/>
          <w:szCs w:val="24"/>
          <w:highlight w:val="none"/>
          <w:u w:val="single"/>
        </w:rPr>
        <w:t xml:space="preserve"> </w:t>
      </w:r>
      <w:r>
        <w:rPr>
          <w:rFonts w:hint="eastAsia" w:ascii="宋体" w:hAnsi="宋体" w:cs="宋体"/>
          <w:spacing w:val="6"/>
          <w:sz w:val="24"/>
          <w:szCs w:val="24"/>
          <w:highlight w:val="none"/>
        </w:rPr>
        <w:t>的</w:t>
      </w:r>
      <w:r>
        <w:rPr>
          <w:rFonts w:hint="eastAsia" w:ascii="宋体" w:hAnsi="宋体" w:cs="宋体"/>
          <w:spacing w:val="6"/>
          <w:sz w:val="24"/>
          <w:szCs w:val="24"/>
          <w:highlight w:val="none"/>
          <w:u w:val="single"/>
        </w:rPr>
        <w:t xml:space="preserve"> </w:t>
      </w:r>
      <w:r>
        <w:rPr>
          <w:rFonts w:hint="eastAsia" w:ascii="宋体" w:hAnsi="宋体" w:cs="宋体"/>
          <w:b/>
          <w:bCs/>
          <w:sz w:val="24"/>
          <w:szCs w:val="24"/>
          <w:highlight w:val="none"/>
          <w:u w:val="single"/>
        </w:rPr>
        <w:t>盐城市大丰区公共机构能源费用托管服务采购项目</w:t>
      </w:r>
      <w:r>
        <w:rPr>
          <w:rFonts w:hint="eastAsia" w:ascii="宋体" w:hAnsi="宋体" w:cs="宋体"/>
          <w:spacing w:val="6"/>
          <w:sz w:val="24"/>
          <w:szCs w:val="24"/>
          <w:highlight w:val="none"/>
        </w:rPr>
        <w:t>采购活动提供本单位制造的货物（由本单位承担工程/提供服务），或者提供其他残疾人福利性单位制造的货物（不包括使用非残疾人福利性单位注册商标的货物）。</w:t>
      </w:r>
    </w:p>
    <w:p w14:paraId="4CF58D82">
      <w:pPr>
        <w:spacing w:line="360" w:lineRule="auto"/>
        <w:ind w:firstLine="504"/>
        <w:rPr>
          <w:rFonts w:hint="eastAsia" w:ascii="宋体" w:hAnsi="宋体" w:cs="宋体"/>
          <w:spacing w:val="6"/>
          <w:sz w:val="24"/>
          <w:szCs w:val="24"/>
          <w:highlight w:val="none"/>
        </w:rPr>
      </w:pPr>
      <w:r>
        <w:rPr>
          <w:rFonts w:hint="eastAsia" w:ascii="宋体" w:hAnsi="宋体" w:cs="宋体"/>
          <w:spacing w:val="6"/>
          <w:sz w:val="24"/>
          <w:szCs w:val="24"/>
          <w:highlight w:val="none"/>
        </w:rPr>
        <w:t>本单位在本次政府采购活动中提供的残疾人福利单位产品报价合计为人民币（大写）</w:t>
      </w:r>
      <w:r>
        <w:rPr>
          <w:rFonts w:hint="eastAsia" w:ascii="宋体" w:hAnsi="宋体" w:cs="宋体"/>
          <w:spacing w:val="6"/>
          <w:sz w:val="24"/>
          <w:szCs w:val="24"/>
          <w:highlight w:val="none"/>
          <w:u w:val="single"/>
        </w:rPr>
        <w:t>      元整</w:t>
      </w:r>
      <w:r>
        <w:rPr>
          <w:rFonts w:hint="eastAsia" w:ascii="宋体" w:hAnsi="宋体" w:cs="宋体"/>
          <w:spacing w:val="6"/>
          <w:sz w:val="24"/>
          <w:szCs w:val="24"/>
          <w:highlight w:val="none"/>
        </w:rPr>
        <w:t>（￥</w:t>
      </w:r>
      <w:r>
        <w:rPr>
          <w:rFonts w:hint="eastAsia" w:ascii="宋体" w:hAnsi="宋体" w:cs="宋体"/>
          <w:spacing w:val="6"/>
          <w:sz w:val="24"/>
          <w:szCs w:val="24"/>
          <w:highlight w:val="none"/>
          <w:u w:val="single"/>
        </w:rPr>
        <w:t>：     </w:t>
      </w:r>
      <w:r>
        <w:rPr>
          <w:rFonts w:hint="eastAsia" w:ascii="宋体" w:hAnsi="宋体" w:cs="宋体"/>
          <w:spacing w:val="6"/>
          <w:sz w:val="24"/>
          <w:szCs w:val="24"/>
          <w:highlight w:val="none"/>
        </w:rPr>
        <w:t>）。</w:t>
      </w:r>
    </w:p>
    <w:p w14:paraId="302F6CEF">
      <w:pPr>
        <w:spacing w:line="360" w:lineRule="auto"/>
        <w:ind w:firstLine="504"/>
        <w:rPr>
          <w:rFonts w:hint="eastAsia" w:ascii="宋体" w:hAnsi="宋体" w:cs="宋体"/>
          <w:spacing w:val="6"/>
          <w:sz w:val="24"/>
          <w:szCs w:val="24"/>
          <w:highlight w:val="none"/>
        </w:rPr>
      </w:pPr>
      <w:r>
        <w:rPr>
          <w:rFonts w:hint="eastAsia" w:ascii="宋体" w:hAnsi="宋体" w:cs="宋体"/>
          <w:spacing w:val="6"/>
          <w:sz w:val="24"/>
          <w:szCs w:val="24"/>
          <w:highlight w:val="none"/>
        </w:rPr>
        <w:t>本单位对上述声明的真实性负责。如有虚假，将依法承担相应责任。</w:t>
      </w:r>
    </w:p>
    <w:p w14:paraId="0BD6B880">
      <w:pPr>
        <w:spacing w:line="360" w:lineRule="auto"/>
        <w:ind w:firstLine="504"/>
        <w:rPr>
          <w:rFonts w:hint="eastAsia" w:ascii="宋体" w:hAnsi="宋体" w:cs="宋体"/>
          <w:spacing w:val="6"/>
          <w:sz w:val="24"/>
          <w:szCs w:val="24"/>
          <w:highlight w:val="none"/>
        </w:rPr>
      </w:pPr>
    </w:p>
    <w:p w14:paraId="1FD46515">
      <w:pPr>
        <w:spacing w:line="360" w:lineRule="auto"/>
        <w:ind w:firstLine="504"/>
        <w:rPr>
          <w:rFonts w:hint="eastAsia" w:ascii="宋体" w:hAnsi="宋体" w:cs="宋体"/>
          <w:spacing w:val="6"/>
          <w:sz w:val="24"/>
          <w:szCs w:val="24"/>
          <w:highlight w:val="none"/>
        </w:rPr>
      </w:pPr>
      <w:r>
        <w:rPr>
          <w:rFonts w:hint="eastAsia" w:ascii="宋体" w:hAnsi="宋体" w:cs="宋体"/>
          <w:spacing w:val="6"/>
          <w:sz w:val="24"/>
          <w:szCs w:val="24"/>
          <w:highlight w:val="none"/>
        </w:rPr>
        <w:t>（备注：1、投标人如不提供此声明函，价格将不做相应扣除。2、中标投标人为残疾人福利单位的，此声明函将随中标结果同时公告，接受社会监督）</w:t>
      </w:r>
    </w:p>
    <w:p w14:paraId="0DEE36F2">
      <w:pPr>
        <w:spacing w:line="360" w:lineRule="auto"/>
        <w:ind w:firstLine="504"/>
        <w:rPr>
          <w:rFonts w:ascii="仿宋_GB2312" w:eastAsia="仿宋_GB2312"/>
          <w:spacing w:val="6"/>
          <w:sz w:val="24"/>
          <w:szCs w:val="24"/>
          <w:highlight w:val="none"/>
        </w:rPr>
      </w:pPr>
    </w:p>
    <w:p w14:paraId="332DD602">
      <w:pPr>
        <w:spacing w:line="360" w:lineRule="auto"/>
        <w:ind w:firstLine="504"/>
        <w:rPr>
          <w:rFonts w:ascii="仿宋_GB2312" w:eastAsia="仿宋_GB2312"/>
          <w:spacing w:val="6"/>
          <w:sz w:val="24"/>
          <w:szCs w:val="24"/>
          <w:highlight w:val="none"/>
        </w:rPr>
      </w:pPr>
    </w:p>
    <w:p w14:paraId="70E66E20">
      <w:pPr>
        <w:tabs>
          <w:tab w:val="left" w:pos="4860"/>
        </w:tabs>
        <w:spacing w:line="360" w:lineRule="auto"/>
        <w:ind w:right="1560" w:firstLine="504"/>
        <w:jc w:val="right"/>
        <w:rPr>
          <w:rFonts w:hint="eastAsia" w:ascii="宋体" w:hAnsi="宋体" w:cs="宋体"/>
          <w:spacing w:val="6"/>
          <w:sz w:val="24"/>
          <w:szCs w:val="24"/>
          <w:highlight w:val="none"/>
        </w:rPr>
      </w:pPr>
      <w:r>
        <w:rPr>
          <w:rFonts w:hint="eastAsia" w:ascii="宋体" w:hAnsi="宋体" w:cs="宋体"/>
          <w:spacing w:val="6"/>
          <w:sz w:val="24"/>
          <w:szCs w:val="24"/>
          <w:highlight w:val="none"/>
        </w:rPr>
        <w:t>授权代表亲笔签名：</w:t>
      </w:r>
    </w:p>
    <w:p w14:paraId="68EE0E87">
      <w:pPr>
        <w:spacing w:line="360" w:lineRule="auto"/>
        <w:ind w:right="286" w:firstLine="504"/>
        <w:jc w:val="right"/>
        <w:rPr>
          <w:rFonts w:hint="eastAsia" w:ascii="宋体" w:hAnsi="宋体" w:cs="宋体"/>
          <w:spacing w:val="6"/>
          <w:sz w:val="24"/>
          <w:szCs w:val="24"/>
          <w:highlight w:val="none"/>
        </w:rPr>
      </w:pPr>
      <w:r>
        <w:rPr>
          <w:rFonts w:hint="eastAsia" w:ascii="宋体" w:hAnsi="宋体" w:cs="宋体"/>
          <w:spacing w:val="6"/>
          <w:sz w:val="24"/>
          <w:szCs w:val="24"/>
          <w:highlight w:val="none"/>
        </w:rPr>
        <w:t>日期：________年____月____日</w:t>
      </w:r>
    </w:p>
    <w:p w14:paraId="0D5AA0DE">
      <w:pPr>
        <w:spacing w:line="360" w:lineRule="auto"/>
        <w:rPr>
          <w:sz w:val="24"/>
          <w:szCs w:val="24"/>
          <w:highlight w:val="none"/>
        </w:rPr>
      </w:pPr>
    </w:p>
    <w:p w14:paraId="56C5D6F0">
      <w:pPr>
        <w:spacing w:line="360" w:lineRule="auto"/>
        <w:ind w:firstLine="723"/>
        <w:rPr>
          <w:rFonts w:hint="eastAsia" w:ascii="宋体" w:hAnsi="宋体" w:cs="宋体"/>
          <w:b/>
          <w:sz w:val="24"/>
          <w:szCs w:val="24"/>
          <w:highlight w:val="none"/>
        </w:rPr>
      </w:pPr>
    </w:p>
    <w:p w14:paraId="23F2E197">
      <w:pPr>
        <w:widowControl/>
        <w:spacing w:line="360" w:lineRule="auto"/>
        <w:jc w:val="center"/>
        <w:rPr>
          <w:rFonts w:hint="eastAsia" w:ascii="黑体" w:hAnsi="黑体" w:eastAsia="黑体" w:cs="黑体"/>
          <w:b/>
          <w:sz w:val="36"/>
          <w:szCs w:val="36"/>
          <w:highlight w:val="none"/>
        </w:rPr>
      </w:pPr>
      <w:r>
        <w:rPr>
          <w:rFonts w:hint="eastAsia" w:ascii="宋体" w:hAnsi="宋体" w:cs="宋体"/>
          <w:b/>
          <w:sz w:val="24"/>
          <w:szCs w:val="24"/>
          <w:highlight w:val="none"/>
        </w:rPr>
        <w:br w:type="page" w:clear="all"/>
      </w:r>
      <w:r>
        <w:rPr>
          <w:rFonts w:hint="eastAsia" w:ascii="黑体" w:hAnsi="黑体" w:eastAsia="黑体" w:cs="黑体"/>
          <w:b/>
          <w:sz w:val="36"/>
          <w:szCs w:val="36"/>
          <w:highlight w:val="none"/>
        </w:rPr>
        <w:t>（十一）投标清单报价表</w:t>
      </w:r>
    </w:p>
    <w:p w14:paraId="3A27312C">
      <w:pPr>
        <w:spacing w:line="400" w:lineRule="exact"/>
        <w:rPr>
          <w:rFonts w:hint="eastAsia" w:ascii="宋体" w:hAnsi="宋体" w:cs="Angsana New"/>
          <w:sz w:val="24"/>
          <w:highlight w:val="none"/>
          <w:lang w:bidi="th-TH"/>
        </w:rPr>
      </w:pPr>
      <w:r>
        <w:rPr>
          <w:rFonts w:hint="eastAsia" w:ascii="宋体" w:hAnsi="宋体" w:cs="Angsana New"/>
          <w:sz w:val="24"/>
          <w:highlight w:val="none"/>
          <w:lang w:bidi="th-TH"/>
        </w:rPr>
        <w:t xml:space="preserve">                                               </w:t>
      </w:r>
    </w:p>
    <w:tbl>
      <w:tblPr>
        <w:tblStyle w:val="22"/>
        <w:tblW w:w="9643" w:type="dxa"/>
        <w:jc w:val="center"/>
        <w:tblLayout w:type="fixed"/>
        <w:tblCellMar>
          <w:top w:w="0" w:type="dxa"/>
          <w:left w:w="108" w:type="dxa"/>
          <w:bottom w:w="0" w:type="dxa"/>
          <w:right w:w="108" w:type="dxa"/>
        </w:tblCellMar>
      </w:tblPr>
      <w:tblGrid>
        <w:gridCol w:w="802"/>
        <w:gridCol w:w="3545"/>
        <w:gridCol w:w="951"/>
        <w:gridCol w:w="923"/>
        <w:gridCol w:w="1107"/>
        <w:gridCol w:w="898"/>
        <w:gridCol w:w="1417"/>
      </w:tblGrid>
      <w:tr w14:paraId="2E50A668">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vAlign w:val="center"/>
          </w:tcPr>
          <w:p w14:paraId="44E2BC91">
            <w:pPr>
              <w:spacing w:line="360" w:lineRule="auto"/>
              <w:ind w:right="-5"/>
              <w:jc w:val="center"/>
              <w:rPr>
                <w:rFonts w:hint="eastAsia" w:ascii="宋体" w:hAnsi="宋体" w:cs="宋体"/>
                <w:highlight w:val="none"/>
              </w:rPr>
            </w:pPr>
            <w:r>
              <w:rPr>
                <w:rFonts w:hint="eastAsia" w:ascii="宋体" w:hAnsi="宋体" w:cs="宋体"/>
                <w:highlight w:val="none"/>
              </w:rPr>
              <w:t>序号</w:t>
            </w:r>
          </w:p>
        </w:tc>
        <w:tc>
          <w:tcPr>
            <w:tcW w:w="3545" w:type="dxa"/>
            <w:tcBorders>
              <w:top w:val="single" w:color="auto" w:sz="4" w:space="0"/>
              <w:left w:val="single" w:color="auto" w:sz="4" w:space="0"/>
              <w:bottom w:val="single" w:color="auto" w:sz="4" w:space="0"/>
              <w:right w:val="single" w:color="auto" w:sz="6" w:space="0"/>
            </w:tcBorders>
            <w:vAlign w:val="center"/>
          </w:tcPr>
          <w:p w14:paraId="4A40F53C">
            <w:pPr>
              <w:spacing w:line="360" w:lineRule="auto"/>
              <w:ind w:right="-5"/>
              <w:jc w:val="center"/>
              <w:rPr>
                <w:rFonts w:hint="eastAsia" w:ascii="宋体" w:hAnsi="宋体" w:cs="宋体"/>
                <w:highlight w:val="none"/>
              </w:rPr>
            </w:pPr>
            <w:r>
              <w:rPr>
                <w:rFonts w:hint="eastAsia" w:ascii="宋体" w:hAnsi="宋体" w:cs="宋体"/>
                <w:highlight w:val="none"/>
              </w:rPr>
              <w:t>项目内容</w:t>
            </w:r>
          </w:p>
        </w:tc>
        <w:tc>
          <w:tcPr>
            <w:tcW w:w="951" w:type="dxa"/>
            <w:tcBorders>
              <w:top w:val="single" w:color="auto" w:sz="4" w:space="0"/>
              <w:left w:val="single" w:color="auto" w:sz="6" w:space="0"/>
              <w:bottom w:val="single" w:color="auto" w:sz="4" w:space="0"/>
              <w:right w:val="single" w:color="auto" w:sz="6" w:space="0"/>
            </w:tcBorders>
            <w:vAlign w:val="center"/>
          </w:tcPr>
          <w:p w14:paraId="4F37A257">
            <w:pPr>
              <w:spacing w:line="360" w:lineRule="auto"/>
              <w:ind w:right="-5"/>
              <w:jc w:val="center"/>
              <w:rPr>
                <w:rFonts w:hint="eastAsia" w:ascii="宋体" w:hAnsi="宋体" w:cs="宋体"/>
                <w:highlight w:val="none"/>
              </w:rPr>
            </w:pPr>
            <w:r>
              <w:rPr>
                <w:rFonts w:hint="eastAsia" w:ascii="宋体" w:hAnsi="宋体" w:cs="宋体"/>
                <w:highlight w:val="none"/>
              </w:rPr>
              <w:t>单位</w:t>
            </w:r>
          </w:p>
        </w:tc>
        <w:tc>
          <w:tcPr>
            <w:tcW w:w="923" w:type="dxa"/>
            <w:tcBorders>
              <w:top w:val="single" w:color="auto" w:sz="4" w:space="0"/>
              <w:left w:val="single" w:color="auto" w:sz="6" w:space="0"/>
              <w:bottom w:val="single" w:color="auto" w:sz="4" w:space="0"/>
              <w:right w:val="single" w:color="auto" w:sz="6" w:space="0"/>
            </w:tcBorders>
            <w:vAlign w:val="center"/>
          </w:tcPr>
          <w:p w14:paraId="3702BF27">
            <w:pPr>
              <w:spacing w:line="360" w:lineRule="auto"/>
              <w:ind w:right="-5"/>
              <w:jc w:val="center"/>
              <w:rPr>
                <w:rFonts w:hint="eastAsia" w:ascii="宋体" w:hAnsi="宋体" w:cs="宋体"/>
                <w:highlight w:val="none"/>
              </w:rPr>
            </w:pPr>
            <w:r>
              <w:rPr>
                <w:rFonts w:hint="eastAsia" w:ascii="宋体" w:hAnsi="宋体" w:cs="宋体"/>
                <w:highlight w:val="none"/>
              </w:rPr>
              <w:t>数量</w:t>
            </w:r>
          </w:p>
        </w:tc>
        <w:tc>
          <w:tcPr>
            <w:tcW w:w="1107" w:type="dxa"/>
            <w:tcBorders>
              <w:top w:val="single" w:color="auto" w:sz="4" w:space="0"/>
              <w:left w:val="single" w:color="auto" w:sz="6" w:space="0"/>
              <w:bottom w:val="single" w:color="auto" w:sz="4" w:space="0"/>
              <w:right w:val="single" w:color="auto" w:sz="6" w:space="0"/>
            </w:tcBorders>
            <w:vAlign w:val="center"/>
          </w:tcPr>
          <w:p w14:paraId="23BB1782">
            <w:pPr>
              <w:spacing w:line="360" w:lineRule="auto"/>
              <w:ind w:right="-5"/>
              <w:jc w:val="center"/>
              <w:rPr>
                <w:rFonts w:hint="eastAsia" w:ascii="宋体" w:hAnsi="宋体" w:cs="宋体"/>
                <w:highlight w:val="none"/>
              </w:rPr>
            </w:pPr>
            <w:r>
              <w:rPr>
                <w:rFonts w:hint="eastAsia" w:ascii="宋体" w:hAnsi="宋体" w:cs="宋体"/>
                <w:highlight w:val="none"/>
              </w:rPr>
              <w:t>单价</w:t>
            </w:r>
          </w:p>
        </w:tc>
        <w:tc>
          <w:tcPr>
            <w:tcW w:w="898" w:type="dxa"/>
            <w:tcBorders>
              <w:top w:val="single" w:color="auto" w:sz="4" w:space="0"/>
              <w:left w:val="single" w:color="auto" w:sz="6" w:space="0"/>
              <w:bottom w:val="single" w:color="auto" w:sz="4" w:space="0"/>
              <w:right w:val="single" w:color="auto" w:sz="6" w:space="0"/>
            </w:tcBorders>
            <w:vAlign w:val="center"/>
          </w:tcPr>
          <w:p w14:paraId="12DA93BC">
            <w:pPr>
              <w:spacing w:line="360" w:lineRule="auto"/>
              <w:ind w:right="-5"/>
              <w:jc w:val="center"/>
              <w:rPr>
                <w:rFonts w:hint="eastAsia" w:ascii="宋体" w:hAnsi="宋体" w:cs="宋体"/>
                <w:highlight w:val="none"/>
              </w:rPr>
            </w:pPr>
            <w:r>
              <w:rPr>
                <w:rFonts w:hint="eastAsia" w:ascii="宋体" w:hAnsi="宋体" w:cs="宋体"/>
                <w:highlight w:val="none"/>
              </w:rPr>
              <w:t>总价</w:t>
            </w:r>
          </w:p>
        </w:tc>
        <w:tc>
          <w:tcPr>
            <w:tcW w:w="1417" w:type="dxa"/>
            <w:tcBorders>
              <w:top w:val="single" w:color="auto" w:sz="4" w:space="0"/>
              <w:left w:val="single" w:color="auto" w:sz="6" w:space="0"/>
              <w:bottom w:val="single" w:color="auto" w:sz="4" w:space="0"/>
              <w:right w:val="single" w:color="auto" w:sz="4" w:space="0"/>
            </w:tcBorders>
            <w:vAlign w:val="center"/>
          </w:tcPr>
          <w:p w14:paraId="5DC80D05">
            <w:pPr>
              <w:spacing w:line="360" w:lineRule="auto"/>
              <w:ind w:right="-5"/>
              <w:jc w:val="center"/>
              <w:rPr>
                <w:rFonts w:hint="eastAsia" w:ascii="宋体" w:hAnsi="宋体" w:cs="宋体"/>
                <w:highlight w:val="none"/>
              </w:rPr>
            </w:pPr>
            <w:r>
              <w:rPr>
                <w:rFonts w:hint="eastAsia" w:ascii="宋体" w:hAnsi="宋体" w:cs="宋体"/>
                <w:highlight w:val="none"/>
              </w:rPr>
              <w:t>备注</w:t>
            </w:r>
          </w:p>
        </w:tc>
      </w:tr>
      <w:tr w14:paraId="4BBD4D36">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vAlign w:val="center"/>
          </w:tcPr>
          <w:p w14:paraId="196B5FF3">
            <w:pPr>
              <w:spacing w:line="360" w:lineRule="auto"/>
              <w:ind w:right="-5"/>
              <w:jc w:val="center"/>
              <w:rPr>
                <w:rFonts w:hint="eastAsia" w:ascii="宋体" w:hAnsi="宋体" w:cs="宋体"/>
                <w:highlight w:val="none"/>
              </w:rPr>
            </w:pPr>
          </w:p>
        </w:tc>
        <w:tc>
          <w:tcPr>
            <w:tcW w:w="3545" w:type="dxa"/>
            <w:tcBorders>
              <w:top w:val="single" w:color="auto" w:sz="4" w:space="0"/>
              <w:left w:val="single" w:color="auto" w:sz="4" w:space="0"/>
              <w:bottom w:val="single" w:color="auto" w:sz="4" w:space="0"/>
              <w:right w:val="single" w:color="auto" w:sz="6" w:space="0"/>
            </w:tcBorders>
            <w:vAlign w:val="center"/>
          </w:tcPr>
          <w:p w14:paraId="7BB377A4">
            <w:pPr>
              <w:spacing w:line="360" w:lineRule="auto"/>
              <w:ind w:right="-5"/>
              <w:jc w:val="center"/>
              <w:rPr>
                <w:rFonts w:hint="eastAsia" w:ascii="宋体" w:hAnsi="宋体" w:cs="宋体"/>
                <w:highlight w:val="none"/>
              </w:rPr>
            </w:pPr>
            <w:r>
              <w:rPr>
                <w:rFonts w:hint="eastAsia" w:ascii="宋体" w:hAnsi="宋体" w:cs="宋体"/>
                <w:sz w:val="24"/>
                <w:szCs w:val="24"/>
                <w:highlight w:val="none"/>
              </w:rPr>
              <w:t>盐城市大丰区公共机构能源费用托管服务采购项目</w:t>
            </w:r>
          </w:p>
        </w:tc>
        <w:tc>
          <w:tcPr>
            <w:tcW w:w="951" w:type="dxa"/>
            <w:tcBorders>
              <w:top w:val="single" w:color="auto" w:sz="4" w:space="0"/>
              <w:left w:val="single" w:color="auto" w:sz="6" w:space="0"/>
              <w:bottom w:val="single" w:color="auto" w:sz="4" w:space="0"/>
              <w:right w:val="single" w:color="auto" w:sz="6" w:space="0"/>
            </w:tcBorders>
            <w:vAlign w:val="center"/>
          </w:tcPr>
          <w:p w14:paraId="5B58398C">
            <w:pPr>
              <w:spacing w:line="360" w:lineRule="auto"/>
              <w:ind w:right="-5"/>
              <w:jc w:val="center"/>
              <w:rPr>
                <w:rFonts w:hint="eastAsia" w:ascii="宋体" w:hAnsi="宋体" w:cs="宋体"/>
                <w:highlight w:val="none"/>
              </w:rPr>
            </w:pPr>
            <w:r>
              <w:rPr>
                <w:rFonts w:hint="eastAsia" w:ascii="宋体" w:hAnsi="宋体" w:cs="宋体"/>
                <w:highlight w:val="none"/>
              </w:rPr>
              <w:t>项</w:t>
            </w:r>
          </w:p>
        </w:tc>
        <w:tc>
          <w:tcPr>
            <w:tcW w:w="923" w:type="dxa"/>
            <w:tcBorders>
              <w:top w:val="single" w:color="auto" w:sz="4" w:space="0"/>
              <w:left w:val="single" w:color="auto" w:sz="6" w:space="0"/>
              <w:bottom w:val="single" w:color="auto" w:sz="4" w:space="0"/>
              <w:right w:val="single" w:color="auto" w:sz="6" w:space="0"/>
            </w:tcBorders>
            <w:vAlign w:val="center"/>
          </w:tcPr>
          <w:p w14:paraId="478692B4">
            <w:pPr>
              <w:spacing w:line="360" w:lineRule="auto"/>
              <w:ind w:right="-5"/>
              <w:jc w:val="center"/>
              <w:rPr>
                <w:rFonts w:hint="eastAsia" w:ascii="宋体" w:hAnsi="宋体" w:cs="宋体"/>
                <w:highlight w:val="none"/>
              </w:rPr>
            </w:pPr>
            <w:r>
              <w:rPr>
                <w:rFonts w:hint="eastAsia" w:ascii="宋体" w:hAnsi="宋体" w:cs="宋体"/>
                <w:highlight w:val="none"/>
              </w:rPr>
              <w:t>1</w:t>
            </w:r>
          </w:p>
        </w:tc>
        <w:tc>
          <w:tcPr>
            <w:tcW w:w="1107" w:type="dxa"/>
            <w:tcBorders>
              <w:top w:val="single" w:color="auto" w:sz="4" w:space="0"/>
              <w:left w:val="single" w:color="auto" w:sz="6" w:space="0"/>
              <w:bottom w:val="single" w:color="auto" w:sz="4" w:space="0"/>
              <w:right w:val="single" w:color="auto" w:sz="6" w:space="0"/>
            </w:tcBorders>
          </w:tcPr>
          <w:p w14:paraId="4D59361E">
            <w:pPr>
              <w:spacing w:line="360" w:lineRule="auto"/>
              <w:ind w:right="-5"/>
              <w:jc w:val="center"/>
              <w:rPr>
                <w:rFonts w:hint="eastAsia" w:ascii="宋体" w:hAnsi="宋体" w:cs="宋体"/>
                <w:highlight w:val="none"/>
              </w:rPr>
            </w:pPr>
          </w:p>
        </w:tc>
        <w:tc>
          <w:tcPr>
            <w:tcW w:w="898" w:type="dxa"/>
            <w:tcBorders>
              <w:top w:val="single" w:color="auto" w:sz="4" w:space="0"/>
              <w:left w:val="single" w:color="auto" w:sz="6" w:space="0"/>
              <w:bottom w:val="single" w:color="auto" w:sz="4" w:space="0"/>
              <w:right w:val="single" w:color="auto" w:sz="6" w:space="0"/>
            </w:tcBorders>
          </w:tcPr>
          <w:p w14:paraId="5A4E049A">
            <w:pPr>
              <w:spacing w:line="360" w:lineRule="auto"/>
              <w:ind w:right="-5"/>
              <w:jc w:val="center"/>
              <w:rPr>
                <w:rFonts w:hint="eastAsia" w:ascii="宋体" w:hAnsi="宋体" w:cs="宋体"/>
                <w:highlight w:val="none"/>
              </w:rPr>
            </w:pPr>
          </w:p>
        </w:tc>
        <w:tc>
          <w:tcPr>
            <w:tcW w:w="1417" w:type="dxa"/>
            <w:tcBorders>
              <w:top w:val="single" w:color="auto" w:sz="4" w:space="0"/>
              <w:left w:val="single" w:color="auto" w:sz="6" w:space="0"/>
              <w:bottom w:val="single" w:color="auto" w:sz="4" w:space="0"/>
              <w:right w:val="single" w:color="auto" w:sz="4" w:space="0"/>
            </w:tcBorders>
          </w:tcPr>
          <w:p w14:paraId="1A5F7B82">
            <w:pPr>
              <w:spacing w:line="360" w:lineRule="auto"/>
              <w:ind w:right="-5"/>
              <w:jc w:val="center"/>
              <w:rPr>
                <w:rFonts w:hint="eastAsia" w:ascii="宋体" w:hAnsi="宋体" w:cs="宋体"/>
                <w:highlight w:val="none"/>
              </w:rPr>
            </w:pPr>
          </w:p>
        </w:tc>
      </w:tr>
      <w:tr w14:paraId="60EEEC5D">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3FAE2475">
            <w:pPr>
              <w:spacing w:line="360" w:lineRule="auto"/>
              <w:ind w:right="-5"/>
              <w:jc w:val="center"/>
              <w:rPr>
                <w:rFonts w:hint="eastAsia" w:ascii="宋体" w:hAnsi="宋体" w:cs="宋体"/>
                <w:highlight w:val="none"/>
              </w:rPr>
            </w:pPr>
          </w:p>
        </w:tc>
        <w:tc>
          <w:tcPr>
            <w:tcW w:w="3545" w:type="dxa"/>
            <w:tcBorders>
              <w:top w:val="single" w:color="auto" w:sz="4" w:space="0"/>
              <w:left w:val="single" w:color="auto" w:sz="4" w:space="0"/>
              <w:bottom w:val="single" w:color="auto" w:sz="4" w:space="0"/>
              <w:right w:val="single" w:color="auto" w:sz="6" w:space="0"/>
            </w:tcBorders>
          </w:tcPr>
          <w:p w14:paraId="3BA871A3">
            <w:pPr>
              <w:spacing w:line="360" w:lineRule="auto"/>
              <w:ind w:right="-5"/>
              <w:jc w:val="center"/>
              <w:rPr>
                <w:rFonts w:hint="eastAsia" w:ascii="宋体" w:hAnsi="宋体" w:cs="宋体"/>
                <w:highlight w:val="none"/>
              </w:rPr>
            </w:pPr>
          </w:p>
        </w:tc>
        <w:tc>
          <w:tcPr>
            <w:tcW w:w="951" w:type="dxa"/>
            <w:tcBorders>
              <w:top w:val="single" w:color="auto" w:sz="4" w:space="0"/>
              <w:left w:val="single" w:color="auto" w:sz="6" w:space="0"/>
              <w:bottom w:val="single" w:color="auto" w:sz="4" w:space="0"/>
              <w:right w:val="single" w:color="auto" w:sz="6" w:space="0"/>
            </w:tcBorders>
          </w:tcPr>
          <w:p w14:paraId="790496A1">
            <w:pPr>
              <w:spacing w:line="360" w:lineRule="auto"/>
              <w:ind w:right="-5"/>
              <w:jc w:val="center"/>
              <w:rPr>
                <w:rFonts w:hint="eastAsia" w:ascii="宋体" w:hAnsi="宋体" w:cs="宋体"/>
                <w:highlight w:val="none"/>
              </w:rPr>
            </w:pPr>
          </w:p>
        </w:tc>
        <w:tc>
          <w:tcPr>
            <w:tcW w:w="923" w:type="dxa"/>
            <w:tcBorders>
              <w:top w:val="single" w:color="auto" w:sz="4" w:space="0"/>
              <w:left w:val="single" w:color="auto" w:sz="6" w:space="0"/>
              <w:bottom w:val="single" w:color="auto" w:sz="4" w:space="0"/>
              <w:right w:val="single" w:color="auto" w:sz="6" w:space="0"/>
            </w:tcBorders>
          </w:tcPr>
          <w:p w14:paraId="03DCF937">
            <w:pPr>
              <w:spacing w:line="360" w:lineRule="auto"/>
              <w:ind w:right="-5"/>
              <w:jc w:val="center"/>
              <w:rPr>
                <w:rFonts w:hint="eastAsia" w:ascii="宋体" w:hAnsi="宋体" w:cs="宋体"/>
                <w:highlight w:val="none"/>
              </w:rPr>
            </w:pPr>
          </w:p>
        </w:tc>
        <w:tc>
          <w:tcPr>
            <w:tcW w:w="1107" w:type="dxa"/>
            <w:tcBorders>
              <w:top w:val="single" w:color="auto" w:sz="4" w:space="0"/>
              <w:left w:val="single" w:color="auto" w:sz="6" w:space="0"/>
              <w:bottom w:val="single" w:color="auto" w:sz="4" w:space="0"/>
              <w:right w:val="single" w:color="auto" w:sz="6" w:space="0"/>
            </w:tcBorders>
          </w:tcPr>
          <w:p w14:paraId="0B401C8D">
            <w:pPr>
              <w:spacing w:line="360" w:lineRule="auto"/>
              <w:ind w:right="-5"/>
              <w:jc w:val="center"/>
              <w:rPr>
                <w:rFonts w:hint="eastAsia" w:ascii="宋体" w:hAnsi="宋体" w:cs="宋体"/>
                <w:highlight w:val="none"/>
              </w:rPr>
            </w:pPr>
          </w:p>
        </w:tc>
        <w:tc>
          <w:tcPr>
            <w:tcW w:w="898" w:type="dxa"/>
            <w:tcBorders>
              <w:top w:val="single" w:color="auto" w:sz="4" w:space="0"/>
              <w:left w:val="single" w:color="auto" w:sz="6" w:space="0"/>
              <w:bottom w:val="single" w:color="auto" w:sz="4" w:space="0"/>
              <w:right w:val="single" w:color="auto" w:sz="6" w:space="0"/>
            </w:tcBorders>
          </w:tcPr>
          <w:p w14:paraId="3D71D19B">
            <w:pPr>
              <w:spacing w:line="360" w:lineRule="auto"/>
              <w:ind w:right="-5"/>
              <w:jc w:val="center"/>
              <w:rPr>
                <w:rFonts w:hint="eastAsia" w:ascii="宋体" w:hAnsi="宋体" w:cs="宋体"/>
                <w:highlight w:val="none"/>
              </w:rPr>
            </w:pPr>
          </w:p>
        </w:tc>
        <w:tc>
          <w:tcPr>
            <w:tcW w:w="1417" w:type="dxa"/>
            <w:tcBorders>
              <w:top w:val="single" w:color="auto" w:sz="4" w:space="0"/>
              <w:left w:val="single" w:color="auto" w:sz="6" w:space="0"/>
              <w:bottom w:val="single" w:color="auto" w:sz="4" w:space="0"/>
              <w:right w:val="single" w:color="auto" w:sz="4" w:space="0"/>
            </w:tcBorders>
          </w:tcPr>
          <w:p w14:paraId="64FB74C4">
            <w:pPr>
              <w:spacing w:line="360" w:lineRule="auto"/>
              <w:ind w:right="-5"/>
              <w:jc w:val="center"/>
              <w:rPr>
                <w:rFonts w:hint="eastAsia" w:ascii="宋体" w:hAnsi="宋体" w:cs="宋体"/>
                <w:highlight w:val="none"/>
              </w:rPr>
            </w:pPr>
          </w:p>
        </w:tc>
      </w:tr>
      <w:tr w14:paraId="6DF5EB14">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7E4C142C">
            <w:pPr>
              <w:spacing w:line="360" w:lineRule="auto"/>
              <w:ind w:right="-5"/>
              <w:jc w:val="center"/>
              <w:rPr>
                <w:rFonts w:hint="eastAsia" w:ascii="宋体" w:hAnsi="宋体" w:cs="宋体"/>
                <w:highlight w:val="none"/>
              </w:rPr>
            </w:pPr>
          </w:p>
        </w:tc>
        <w:tc>
          <w:tcPr>
            <w:tcW w:w="3545" w:type="dxa"/>
            <w:tcBorders>
              <w:top w:val="single" w:color="auto" w:sz="4" w:space="0"/>
              <w:left w:val="single" w:color="auto" w:sz="4" w:space="0"/>
              <w:bottom w:val="single" w:color="auto" w:sz="4" w:space="0"/>
              <w:right w:val="single" w:color="auto" w:sz="6" w:space="0"/>
            </w:tcBorders>
          </w:tcPr>
          <w:p w14:paraId="390739EE">
            <w:pPr>
              <w:spacing w:line="360" w:lineRule="auto"/>
              <w:ind w:right="-5"/>
              <w:jc w:val="center"/>
              <w:rPr>
                <w:rFonts w:hint="eastAsia" w:ascii="宋体" w:hAnsi="宋体" w:cs="宋体"/>
                <w:highlight w:val="none"/>
              </w:rPr>
            </w:pPr>
          </w:p>
        </w:tc>
        <w:tc>
          <w:tcPr>
            <w:tcW w:w="951" w:type="dxa"/>
            <w:tcBorders>
              <w:top w:val="single" w:color="auto" w:sz="4" w:space="0"/>
              <w:left w:val="single" w:color="auto" w:sz="6" w:space="0"/>
              <w:bottom w:val="single" w:color="auto" w:sz="4" w:space="0"/>
              <w:right w:val="single" w:color="auto" w:sz="6" w:space="0"/>
            </w:tcBorders>
          </w:tcPr>
          <w:p w14:paraId="171F879E">
            <w:pPr>
              <w:spacing w:line="360" w:lineRule="auto"/>
              <w:ind w:right="-5"/>
              <w:jc w:val="center"/>
              <w:rPr>
                <w:rFonts w:hint="eastAsia" w:ascii="宋体" w:hAnsi="宋体" w:cs="宋体"/>
                <w:highlight w:val="none"/>
              </w:rPr>
            </w:pPr>
          </w:p>
        </w:tc>
        <w:tc>
          <w:tcPr>
            <w:tcW w:w="923" w:type="dxa"/>
            <w:tcBorders>
              <w:top w:val="single" w:color="auto" w:sz="4" w:space="0"/>
              <w:left w:val="single" w:color="auto" w:sz="6" w:space="0"/>
              <w:bottom w:val="single" w:color="auto" w:sz="4" w:space="0"/>
              <w:right w:val="single" w:color="auto" w:sz="6" w:space="0"/>
            </w:tcBorders>
          </w:tcPr>
          <w:p w14:paraId="68AC2189">
            <w:pPr>
              <w:spacing w:line="360" w:lineRule="auto"/>
              <w:ind w:right="-5"/>
              <w:jc w:val="center"/>
              <w:rPr>
                <w:rFonts w:hint="eastAsia" w:ascii="宋体" w:hAnsi="宋体" w:cs="宋体"/>
                <w:highlight w:val="none"/>
              </w:rPr>
            </w:pPr>
          </w:p>
        </w:tc>
        <w:tc>
          <w:tcPr>
            <w:tcW w:w="1107" w:type="dxa"/>
            <w:tcBorders>
              <w:top w:val="single" w:color="auto" w:sz="4" w:space="0"/>
              <w:left w:val="single" w:color="auto" w:sz="6" w:space="0"/>
              <w:bottom w:val="single" w:color="auto" w:sz="4" w:space="0"/>
              <w:right w:val="single" w:color="auto" w:sz="6" w:space="0"/>
            </w:tcBorders>
          </w:tcPr>
          <w:p w14:paraId="0186F1DE">
            <w:pPr>
              <w:spacing w:line="360" w:lineRule="auto"/>
              <w:ind w:right="-5"/>
              <w:jc w:val="center"/>
              <w:rPr>
                <w:rFonts w:hint="eastAsia" w:ascii="宋体" w:hAnsi="宋体" w:cs="宋体"/>
                <w:highlight w:val="none"/>
              </w:rPr>
            </w:pPr>
          </w:p>
        </w:tc>
        <w:tc>
          <w:tcPr>
            <w:tcW w:w="898" w:type="dxa"/>
            <w:tcBorders>
              <w:top w:val="single" w:color="auto" w:sz="4" w:space="0"/>
              <w:left w:val="single" w:color="auto" w:sz="6" w:space="0"/>
              <w:bottom w:val="single" w:color="auto" w:sz="4" w:space="0"/>
              <w:right w:val="single" w:color="auto" w:sz="6" w:space="0"/>
            </w:tcBorders>
          </w:tcPr>
          <w:p w14:paraId="6584953F">
            <w:pPr>
              <w:spacing w:line="360" w:lineRule="auto"/>
              <w:ind w:right="-5"/>
              <w:jc w:val="center"/>
              <w:rPr>
                <w:rFonts w:hint="eastAsia" w:ascii="宋体" w:hAnsi="宋体" w:cs="宋体"/>
                <w:highlight w:val="none"/>
              </w:rPr>
            </w:pPr>
          </w:p>
        </w:tc>
        <w:tc>
          <w:tcPr>
            <w:tcW w:w="1417" w:type="dxa"/>
            <w:tcBorders>
              <w:top w:val="single" w:color="auto" w:sz="4" w:space="0"/>
              <w:left w:val="single" w:color="auto" w:sz="6" w:space="0"/>
              <w:bottom w:val="single" w:color="auto" w:sz="4" w:space="0"/>
              <w:right w:val="single" w:color="auto" w:sz="4" w:space="0"/>
            </w:tcBorders>
          </w:tcPr>
          <w:p w14:paraId="7440A747">
            <w:pPr>
              <w:spacing w:line="360" w:lineRule="auto"/>
              <w:ind w:right="-5"/>
              <w:jc w:val="center"/>
              <w:rPr>
                <w:rFonts w:hint="eastAsia" w:ascii="宋体" w:hAnsi="宋体" w:cs="宋体"/>
                <w:highlight w:val="none"/>
              </w:rPr>
            </w:pPr>
          </w:p>
        </w:tc>
      </w:tr>
      <w:tr w14:paraId="4169BDEE">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2ADE0240">
            <w:pPr>
              <w:spacing w:line="360" w:lineRule="auto"/>
              <w:ind w:right="-5"/>
              <w:jc w:val="center"/>
              <w:rPr>
                <w:rFonts w:hint="eastAsia" w:ascii="宋体" w:hAnsi="宋体" w:cs="宋体"/>
                <w:highlight w:val="none"/>
              </w:rPr>
            </w:pPr>
          </w:p>
        </w:tc>
        <w:tc>
          <w:tcPr>
            <w:tcW w:w="3545" w:type="dxa"/>
            <w:tcBorders>
              <w:top w:val="single" w:color="auto" w:sz="4" w:space="0"/>
              <w:left w:val="single" w:color="auto" w:sz="4" w:space="0"/>
              <w:bottom w:val="single" w:color="auto" w:sz="4" w:space="0"/>
              <w:right w:val="single" w:color="auto" w:sz="6" w:space="0"/>
            </w:tcBorders>
          </w:tcPr>
          <w:p w14:paraId="05A89746">
            <w:pPr>
              <w:spacing w:line="360" w:lineRule="auto"/>
              <w:ind w:right="-5"/>
              <w:jc w:val="center"/>
              <w:rPr>
                <w:rFonts w:hint="eastAsia" w:ascii="宋体" w:hAnsi="宋体" w:cs="宋体"/>
                <w:highlight w:val="none"/>
              </w:rPr>
            </w:pPr>
          </w:p>
        </w:tc>
        <w:tc>
          <w:tcPr>
            <w:tcW w:w="951" w:type="dxa"/>
            <w:tcBorders>
              <w:top w:val="single" w:color="auto" w:sz="4" w:space="0"/>
              <w:left w:val="single" w:color="auto" w:sz="6" w:space="0"/>
              <w:bottom w:val="single" w:color="auto" w:sz="4" w:space="0"/>
              <w:right w:val="single" w:color="auto" w:sz="6" w:space="0"/>
            </w:tcBorders>
          </w:tcPr>
          <w:p w14:paraId="1C94C47B">
            <w:pPr>
              <w:spacing w:line="360" w:lineRule="auto"/>
              <w:ind w:right="-5"/>
              <w:jc w:val="center"/>
              <w:rPr>
                <w:rFonts w:hint="eastAsia" w:ascii="宋体" w:hAnsi="宋体" w:cs="宋体"/>
                <w:highlight w:val="none"/>
              </w:rPr>
            </w:pPr>
          </w:p>
        </w:tc>
        <w:tc>
          <w:tcPr>
            <w:tcW w:w="923" w:type="dxa"/>
            <w:tcBorders>
              <w:top w:val="single" w:color="auto" w:sz="4" w:space="0"/>
              <w:left w:val="single" w:color="auto" w:sz="6" w:space="0"/>
              <w:bottom w:val="single" w:color="auto" w:sz="4" w:space="0"/>
              <w:right w:val="single" w:color="auto" w:sz="6" w:space="0"/>
            </w:tcBorders>
          </w:tcPr>
          <w:p w14:paraId="438A3FF2">
            <w:pPr>
              <w:spacing w:line="360" w:lineRule="auto"/>
              <w:ind w:right="-5"/>
              <w:jc w:val="center"/>
              <w:rPr>
                <w:rFonts w:hint="eastAsia" w:ascii="宋体" w:hAnsi="宋体" w:cs="宋体"/>
                <w:highlight w:val="none"/>
              </w:rPr>
            </w:pPr>
          </w:p>
        </w:tc>
        <w:tc>
          <w:tcPr>
            <w:tcW w:w="1107" w:type="dxa"/>
            <w:tcBorders>
              <w:top w:val="single" w:color="auto" w:sz="4" w:space="0"/>
              <w:left w:val="single" w:color="auto" w:sz="6" w:space="0"/>
              <w:bottom w:val="single" w:color="auto" w:sz="4" w:space="0"/>
              <w:right w:val="single" w:color="auto" w:sz="6" w:space="0"/>
            </w:tcBorders>
          </w:tcPr>
          <w:p w14:paraId="7FFFD87D">
            <w:pPr>
              <w:spacing w:line="360" w:lineRule="auto"/>
              <w:ind w:right="-5"/>
              <w:jc w:val="center"/>
              <w:rPr>
                <w:rFonts w:hint="eastAsia" w:ascii="宋体" w:hAnsi="宋体" w:cs="宋体"/>
                <w:highlight w:val="none"/>
              </w:rPr>
            </w:pPr>
          </w:p>
        </w:tc>
        <w:tc>
          <w:tcPr>
            <w:tcW w:w="898" w:type="dxa"/>
            <w:tcBorders>
              <w:top w:val="single" w:color="auto" w:sz="4" w:space="0"/>
              <w:left w:val="single" w:color="auto" w:sz="6" w:space="0"/>
              <w:bottom w:val="single" w:color="auto" w:sz="4" w:space="0"/>
              <w:right w:val="single" w:color="auto" w:sz="6" w:space="0"/>
            </w:tcBorders>
          </w:tcPr>
          <w:p w14:paraId="2AF49936">
            <w:pPr>
              <w:spacing w:line="360" w:lineRule="auto"/>
              <w:ind w:right="-5"/>
              <w:jc w:val="center"/>
              <w:rPr>
                <w:rFonts w:hint="eastAsia" w:ascii="宋体" w:hAnsi="宋体" w:cs="宋体"/>
                <w:highlight w:val="none"/>
              </w:rPr>
            </w:pPr>
          </w:p>
        </w:tc>
        <w:tc>
          <w:tcPr>
            <w:tcW w:w="1417" w:type="dxa"/>
            <w:tcBorders>
              <w:top w:val="single" w:color="auto" w:sz="4" w:space="0"/>
              <w:left w:val="single" w:color="auto" w:sz="6" w:space="0"/>
              <w:bottom w:val="single" w:color="auto" w:sz="4" w:space="0"/>
              <w:right w:val="single" w:color="auto" w:sz="4" w:space="0"/>
            </w:tcBorders>
          </w:tcPr>
          <w:p w14:paraId="1BD1CE33">
            <w:pPr>
              <w:spacing w:line="360" w:lineRule="auto"/>
              <w:ind w:right="-5"/>
              <w:jc w:val="center"/>
              <w:rPr>
                <w:rFonts w:hint="eastAsia" w:ascii="宋体" w:hAnsi="宋体" w:cs="宋体"/>
                <w:highlight w:val="none"/>
              </w:rPr>
            </w:pPr>
          </w:p>
        </w:tc>
      </w:tr>
      <w:tr w14:paraId="775B255D">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367E3154">
            <w:pPr>
              <w:spacing w:line="360" w:lineRule="auto"/>
              <w:ind w:right="-5"/>
              <w:jc w:val="center"/>
              <w:rPr>
                <w:rFonts w:hint="eastAsia" w:ascii="宋体" w:hAnsi="宋体" w:cs="宋体"/>
                <w:highlight w:val="none"/>
              </w:rPr>
            </w:pPr>
          </w:p>
        </w:tc>
        <w:tc>
          <w:tcPr>
            <w:tcW w:w="3545" w:type="dxa"/>
            <w:tcBorders>
              <w:top w:val="single" w:color="auto" w:sz="4" w:space="0"/>
              <w:left w:val="single" w:color="auto" w:sz="4" w:space="0"/>
              <w:bottom w:val="single" w:color="auto" w:sz="4" w:space="0"/>
              <w:right w:val="single" w:color="auto" w:sz="6" w:space="0"/>
            </w:tcBorders>
          </w:tcPr>
          <w:p w14:paraId="6F1347F4">
            <w:pPr>
              <w:spacing w:line="360" w:lineRule="auto"/>
              <w:ind w:right="-5"/>
              <w:jc w:val="center"/>
              <w:rPr>
                <w:rFonts w:hint="eastAsia" w:ascii="宋体" w:hAnsi="宋体" w:cs="宋体"/>
                <w:highlight w:val="none"/>
              </w:rPr>
            </w:pPr>
          </w:p>
        </w:tc>
        <w:tc>
          <w:tcPr>
            <w:tcW w:w="951" w:type="dxa"/>
            <w:tcBorders>
              <w:top w:val="single" w:color="auto" w:sz="4" w:space="0"/>
              <w:left w:val="single" w:color="auto" w:sz="6" w:space="0"/>
              <w:bottom w:val="single" w:color="auto" w:sz="4" w:space="0"/>
              <w:right w:val="single" w:color="auto" w:sz="6" w:space="0"/>
            </w:tcBorders>
          </w:tcPr>
          <w:p w14:paraId="1B580119">
            <w:pPr>
              <w:spacing w:line="360" w:lineRule="auto"/>
              <w:ind w:right="-5"/>
              <w:jc w:val="center"/>
              <w:rPr>
                <w:rFonts w:hint="eastAsia" w:ascii="宋体" w:hAnsi="宋体" w:cs="宋体"/>
                <w:highlight w:val="none"/>
              </w:rPr>
            </w:pPr>
          </w:p>
        </w:tc>
        <w:tc>
          <w:tcPr>
            <w:tcW w:w="923" w:type="dxa"/>
            <w:tcBorders>
              <w:top w:val="single" w:color="auto" w:sz="4" w:space="0"/>
              <w:left w:val="single" w:color="auto" w:sz="6" w:space="0"/>
              <w:bottom w:val="single" w:color="auto" w:sz="4" w:space="0"/>
              <w:right w:val="single" w:color="auto" w:sz="6" w:space="0"/>
            </w:tcBorders>
          </w:tcPr>
          <w:p w14:paraId="3DA89DD6">
            <w:pPr>
              <w:spacing w:line="360" w:lineRule="auto"/>
              <w:ind w:right="-5"/>
              <w:jc w:val="center"/>
              <w:rPr>
                <w:rFonts w:hint="eastAsia" w:ascii="宋体" w:hAnsi="宋体" w:cs="宋体"/>
                <w:highlight w:val="none"/>
              </w:rPr>
            </w:pPr>
          </w:p>
        </w:tc>
        <w:tc>
          <w:tcPr>
            <w:tcW w:w="1107" w:type="dxa"/>
            <w:tcBorders>
              <w:top w:val="single" w:color="auto" w:sz="4" w:space="0"/>
              <w:left w:val="single" w:color="auto" w:sz="6" w:space="0"/>
              <w:bottom w:val="single" w:color="auto" w:sz="4" w:space="0"/>
              <w:right w:val="single" w:color="auto" w:sz="6" w:space="0"/>
            </w:tcBorders>
          </w:tcPr>
          <w:p w14:paraId="639F8DC2">
            <w:pPr>
              <w:spacing w:line="360" w:lineRule="auto"/>
              <w:ind w:right="-5"/>
              <w:jc w:val="center"/>
              <w:rPr>
                <w:rFonts w:hint="eastAsia" w:ascii="宋体" w:hAnsi="宋体" w:cs="宋体"/>
                <w:highlight w:val="none"/>
              </w:rPr>
            </w:pPr>
          </w:p>
        </w:tc>
        <w:tc>
          <w:tcPr>
            <w:tcW w:w="898" w:type="dxa"/>
            <w:tcBorders>
              <w:top w:val="single" w:color="auto" w:sz="4" w:space="0"/>
              <w:left w:val="single" w:color="auto" w:sz="6" w:space="0"/>
              <w:bottom w:val="single" w:color="auto" w:sz="4" w:space="0"/>
              <w:right w:val="single" w:color="auto" w:sz="6" w:space="0"/>
            </w:tcBorders>
          </w:tcPr>
          <w:p w14:paraId="6A3BE0C6">
            <w:pPr>
              <w:spacing w:line="360" w:lineRule="auto"/>
              <w:ind w:right="-5"/>
              <w:jc w:val="center"/>
              <w:rPr>
                <w:rFonts w:hint="eastAsia" w:ascii="宋体" w:hAnsi="宋体" w:cs="宋体"/>
                <w:highlight w:val="none"/>
              </w:rPr>
            </w:pPr>
          </w:p>
        </w:tc>
        <w:tc>
          <w:tcPr>
            <w:tcW w:w="1417" w:type="dxa"/>
            <w:tcBorders>
              <w:top w:val="single" w:color="auto" w:sz="4" w:space="0"/>
              <w:left w:val="single" w:color="auto" w:sz="6" w:space="0"/>
              <w:bottom w:val="single" w:color="auto" w:sz="4" w:space="0"/>
              <w:right w:val="single" w:color="auto" w:sz="4" w:space="0"/>
            </w:tcBorders>
          </w:tcPr>
          <w:p w14:paraId="6437DCB7">
            <w:pPr>
              <w:spacing w:line="360" w:lineRule="auto"/>
              <w:ind w:right="-5"/>
              <w:jc w:val="center"/>
              <w:rPr>
                <w:rFonts w:hint="eastAsia" w:ascii="宋体" w:hAnsi="宋体" w:cs="宋体"/>
                <w:highlight w:val="none"/>
              </w:rPr>
            </w:pPr>
          </w:p>
        </w:tc>
      </w:tr>
      <w:tr w14:paraId="27D940D4">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5E4C697B">
            <w:pPr>
              <w:spacing w:line="360" w:lineRule="auto"/>
              <w:ind w:right="-5"/>
              <w:jc w:val="center"/>
              <w:rPr>
                <w:rFonts w:hint="eastAsia" w:ascii="宋体" w:hAnsi="宋体" w:cs="宋体"/>
                <w:highlight w:val="none"/>
              </w:rPr>
            </w:pPr>
          </w:p>
        </w:tc>
        <w:tc>
          <w:tcPr>
            <w:tcW w:w="3545" w:type="dxa"/>
            <w:tcBorders>
              <w:top w:val="single" w:color="auto" w:sz="4" w:space="0"/>
              <w:left w:val="single" w:color="auto" w:sz="4" w:space="0"/>
              <w:bottom w:val="single" w:color="auto" w:sz="4" w:space="0"/>
              <w:right w:val="single" w:color="auto" w:sz="6" w:space="0"/>
            </w:tcBorders>
          </w:tcPr>
          <w:p w14:paraId="09132066">
            <w:pPr>
              <w:spacing w:line="360" w:lineRule="auto"/>
              <w:ind w:right="-5"/>
              <w:jc w:val="center"/>
              <w:rPr>
                <w:rFonts w:hint="eastAsia" w:ascii="宋体" w:hAnsi="宋体" w:cs="宋体"/>
                <w:highlight w:val="none"/>
              </w:rPr>
            </w:pPr>
          </w:p>
        </w:tc>
        <w:tc>
          <w:tcPr>
            <w:tcW w:w="951" w:type="dxa"/>
            <w:tcBorders>
              <w:top w:val="single" w:color="auto" w:sz="4" w:space="0"/>
              <w:left w:val="single" w:color="auto" w:sz="6" w:space="0"/>
              <w:bottom w:val="single" w:color="auto" w:sz="4" w:space="0"/>
              <w:right w:val="single" w:color="auto" w:sz="6" w:space="0"/>
            </w:tcBorders>
          </w:tcPr>
          <w:p w14:paraId="5C850614">
            <w:pPr>
              <w:spacing w:line="360" w:lineRule="auto"/>
              <w:ind w:right="-5"/>
              <w:jc w:val="center"/>
              <w:rPr>
                <w:rFonts w:hint="eastAsia" w:ascii="宋体" w:hAnsi="宋体" w:cs="宋体"/>
                <w:highlight w:val="none"/>
              </w:rPr>
            </w:pPr>
          </w:p>
        </w:tc>
        <w:tc>
          <w:tcPr>
            <w:tcW w:w="923" w:type="dxa"/>
            <w:tcBorders>
              <w:top w:val="single" w:color="auto" w:sz="4" w:space="0"/>
              <w:left w:val="single" w:color="auto" w:sz="6" w:space="0"/>
              <w:bottom w:val="single" w:color="auto" w:sz="4" w:space="0"/>
              <w:right w:val="single" w:color="auto" w:sz="6" w:space="0"/>
            </w:tcBorders>
          </w:tcPr>
          <w:p w14:paraId="30642A3D">
            <w:pPr>
              <w:spacing w:line="360" w:lineRule="auto"/>
              <w:ind w:right="-5"/>
              <w:jc w:val="center"/>
              <w:rPr>
                <w:rFonts w:hint="eastAsia" w:ascii="宋体" w:hAnsi="宋体" w:cs="宋体"/>
                <w:highlight w:val="none"/>
              </w:rPr>
            </w:pPr>
          </w:p>
        </w:tc>
        <w:tc>
          <w:tcPr>
            <w:tcW w:w="1107" w:type="dxa"/>
            <w:tcBorders>
              <w:top w:val="single" w:color="auto" w:sz="4" w:space="0"/>
              <w:left w:val="single" w:color="auto" w:sz="6" w:space="0"/>
              <w:bottom w:val="single" w:color="auto" w:sz="4" w:space="0"/>
              <w:right w:val="single" w:color="auto" w:sz="6" w:space="0"/>
            </w:tcBorders>
          </w:tcPr>
          <w:p w14:paraId="5A45D7F5">
            <w:pPr>
              <w:spacing w:line="360" w:lineRule="auto"/>
              <w:ind w:right="-5"/>
              <w:jc w:val="center"/>
              <w:rPr>
                <w:rFonts w:hint="eastAsia" w:ascii="宋体" w:hAnsi="宋体" w:cs="宋体"/>
                <w:highlight w:val="none"/>
              </w:rPr>
            </w:pPr>
          </w:p>
        </w:tc>
        <w:tc>
          <w:tcPr>
            <w:tcW w:w="898" w:type="dxa"/>
            <w:tcBorders>
              <w:top w:val="single" w:color="auto" w:sz="4" w:space="0"/>
              <w:left w:val="single" w:color="auto" w:sz="6" w:space="0"/>
              <w:bottom w:val="single" w:color="auto" w:sz="4" w:space="0"/>
              <w:right w:val="single" w:color="auto" w:sz="6" w:space="0"/>
            </w:tcBorders>
          </w:tcPr>
          <w:p w14:paraId="09034D3C">
            <w:pPr>
              <w:spacing w:line="360" w:lineRule="auto"/>
              <w:ind w:right="-5"/>
              <w:jc w:val="center"/>
              <w:rPr>
                <w:rFonts w:hint="eastAsia" w:ascii="宋体" w:hAnsi="宋体" w:cs="宋体"/>
                <w:highlight w:val="none"/>
              </w:rPr>
            </w:pPr>
          </w:p>
        </w:tc>
        <w:tc>
          <w:tcPr>
            <w:tcW w:w="1417" w:type="dxa"/>
            <w:tcBorders>
              <w:top w:val="single" w:color="auto" w:sz="4" w:space="0"/>
              <w:left w:val="single" w:color="auto" w:sz="6" w:space="0"/>
              <w:bottom w:val="single" w:color="auto" w:sz="4" w:space="0"/>
              <w:right w:val="single" w:color="auto" w:sz="4" w:space="0"/>
            </w:tcBorders>
          </w:tcPr>
          <w:p w14:paraId="6BA06D2C">
            <w:pPr>
              <w:spacing w:line="360" w:lineRule="auto"/>
              <w:ind w:right="-5"/>
              <w:jc w:val="center"/>
              <w:rPr>
                <w:rFonts w:hint="eastAsia" w:ascii="宋体" w:hAnsi="宋体" w:cs="宋体"/>
                <w:highlight w:val="none"/>
              </w:rPr>
            </w:pPr>
          </w:p>
        </w:tc>
      </w:tr>
      <w:tr w14:paraId="32AF914E">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36A18AA3">
            <w:pPr>
              <w:spacing w:line="360" w:lineRule="auto"/>
              <w:ind w:right="-5"/>
              <w:jc w:val="center"/>
              <w:rPr>
                <w:rFonts w:hint="eastAsia" w:ascii="宋体" w:hAnsi="宋体" w:cs="宋体"/>
                <w:highlight w:val="none"/>
              </w:rPr>
            </w:pPr>
          </w:p>
        </w:tc>
        <w:tc>
          <w:tcPr>
            <w:tcW w:w="3545" w:type="dxa"/>
            <w:tcBorders>
              <w:top w:val="single" w:color="auto" w:sz="4" w:space="0"/>
              <w:left w:val="single" w:color="auto" w:sz="4" w:space="0"/>
              <w:bottom w:val="single" w:color="auto" w:sz="4" w:space="0"/>
              <w:right w:val="single" w:color="auto" w:sz="6" w:space="0"/>
            </w:tcBorders>
          </w:tcPr>
          <w:p w14:paraId="243017AB">
            <w:pPr>
              <w:spacing w:line="360" w:lineRule="auto"/>
              <w:ind w:right="-5"/>
              <w:jc w:val="center"/>
              <w:rPr>
                <w:rFonts w:hint="eastAsia" w:ascii="宋体" w:hAnsi="宋体" w:cs="宋体"/>
                <w:highlight w:val="none"/>
              </w:rPr>
            </w:pPr>
          </w:p>
        </w:tc>
        <w:tc>
          <w:tcPr>
            <w:tcW w:w="951" w:type="dxa"/>
            <w:tcBorders>
              <w:top w:val="single" w:color="auto" w:sz="4" w:space="0"/>
              <w:left w:val="single" w:color="auto" w:sz="6" w:space="0"/>
              <w:bottom w:val="single" w:color="auto" w:sz="4" w:space="0"/>
              <w:right w:val="single" w:color="auto" w:sz="6" w:space="0"/>
            </w:tcBorders>
          </w:tcPr>
          <w:p w14:paraId="3B6DB3F6">
            <w:pPr>
              <w:spacing w:line="360" w:lineRule="auto"/>
              <w:ind w:right="-5"/>
              <w:jc w:val="center"/>
              <w:rPr>
                <w:rFonts w:hint="eastAsia" w:ascii="宋体" w:hAnsi="宋体" w:cs="宋体"/>
                <w:highlight w:val="none"/>
              </w:rPr>
            </w:pPr>
          </w:p>
        </w:tc>
        <w:tc>
          <w:tcPr>
            <w:tcW w:w="923" w:type="dxa"/>
            <w:tcBorders>
              <w:top w:val="single" w:color="auto" w:sz="4" w:space="0"/>
              <w:left w:val="single" w:color="auto" w:sz="6" w:space="0"/>
              <w:bottom w:val="single" w:color="auto" w:sz="4" w:space="0"/>
              <w:right w:val="single" w:color="auto" w:sz="6" w:space="0"/>
            </w:tcBorders>
          </w:tcPr>
          <w:p w14:paraId="0523E25C">
            <w:pPr>
              <w:spacing w:line="360" w:lineRule="auto"/>
              <w:ind w:right="-5"/>
              <w:jc w:val="center"/>
              <w:rPr>
                <w:rFonts w:hint="eastAsia" w:ascii="宋体" w:hAnsi="宋体" w:cs="宋体"/>
                <w:highlight w:val="none"/>
              </w:rPr>
            </w:pPr>
          </w:p>
        </w:tc>
        <w:tc>
          <w:tcPr>
            <w:tcW w:w="1107" w:type="dxa"/>
            <w:tcBorders>
              <w:top w:val="single" w:color="auto" w:sz="4" w:space="0"/>
              <w:left w:val="single" w:color="auto" w:sz="6" w:space="0"/>
              <w:bottom w:val="single" w:color="auto" w:sz="4" w:space="0"/>
              <w:right w:val="single" w:color="auto" w:sz="6" w:space="0"/>
            </w:tcBorders>
          </w:tcPr>
          <w:p w14:paraId="51C5298B">
            <w:pPr>
              <w:spacing w:line="360" w:lineRule="auto"/>
              <w:ind w:right="-5"/>
              <w:jc w:val="center"/>
              <w:rPr>
                <w:rFonts w:hint="eastAsia" w:ascii="宋体" w:hAnsi="宋体" w:cs="宋体"/>
                <w:highlight w:val="none"/>
              </w:rPr>
            </w:pPr>
          </w:p>
        </w:tc>
        <w:tc>
          <w:tcPr>
            <w:tcW w:w="898" w:type="dxa"/>
            <w:tcBorders>
              <w:top w:val="single" w:color="auto" w:sz="4" w:space="0"/>
              <w:left w:val="single" w:color="auto" w:sz="6" w:space="0"/>
              <w:bottom w:val="single" w:color="auto" w:sz="4" w:space="0"/>
              <w:right w:val="single" w:color="auto" w:sz="6" w:space="0"/>
            </w:tcBorders>
          </w:tcPr>
          <w:p w14:paraId="633266F8">
            <w:pPr>
              <w:spacing w:line="360" w:lineRule="auto"/>
              <w:ind w:right="-5"/>
              <w:jc w:val="center"/>
              <w:rPr>
                <w:rFonts w:hint="eastAsia" w:ascii="宋体" w:hAnsi="宋体" w:cs="宋体"/>
                <w:highlight w:val="none"/>
              </w:rPr>
            </w:pPr>
          </w:p>
        </w:tc>
        <w:tc>
          <w:tcPr>
            <w:tcW w:w="1417" w:type="dxa"/>
            <w:tcBorders>
              <w:top w:val="single" w:color="auto" w:sz="4" w:space="0"/>
              <w:left w:val="single" w:color="auto" w:sz="6" w:space="0"/>
              <w:bottom w:val="single" w:color="auto" w:sz="4" w:space="0"/>
              <w:right w:val="single" w:color="auto" w:sz="4" w:space="0"/>
            </w:tcBorders>
          </w:tcPr>
          <w:p w14:paraId="24FA3A48">
            <w:pPr>
              <w:spacing w:line="360" w:lineRule="auto"/>
              <w:ind w:right="-5"/>
              <w:jc w:val="center"/>
              <w:rPr>
                <w:rFonts w:hint="eastAsia" w:ascii="宋体" w:hAnsi="宋体" w:cs="宋体"/>
                <w:highlight w:val="none"/>
              </w:rPr>
            </w:pPr>
          </w:p>
        </w:tc>
      </w:tr>
      <w:tr w14:paraId="772AE45A">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1EEB1644">
            <w:pPr>
              <w:spacing w:line="360" w:lineRule="auto"/>
              <w:ind w:right="-5"/>
              <w:jc w:val="center"/>
              <w:rPr>
                <w:rFonts w:hint="eastAsia" w:ascii="宋体" w:hAnsi="宋体" w:cs="宋体"/>
                <w:highlight w:val="none"/>
              </w:rPr>
            </w:pPr>
          </w:p>
        </w:tc>
        <w:tc>
          <w:tcPr>
            <w:tcW w:w="3545" w:type="dxa"/>
            <w:tcBorders>
              <w:top w:val="single" w:color="auto" w:sz="4" w:space="0"/>
              <w:left w:val="single" w:color="auto" w:sz="4" w:space="0"/>
              <w:bottom w:val="single" w:color="auto" w:sz="4" w:space="0"/>
              <w:right w:val="single" w:color="auto" w:sz="6" w:space="0"/>
            </w:tcBorders>
          </w:tcPr>
          <w:p w14:paraId="02B8CD48">
            <w:pPr>
              <w:spacing w:line="360" w:lineRule="auto"/>
              <w:ind w:right="-5"/>
              <w:jc w:val="center"/>
              <w:rPr>
                <w:rFonts w:hint="eastAsia" w:ascii="宋体" w:hAnsi="宋体" w:cs="宋体"/>
                <w:highlight w:val="none"/>
              </w:rPr>
            </w:pPr>
          </w:p>
        </w:tc>
        <w:tc>
          <w:tcPr>
            <w:tcW w:w="951" w:type="dxa"/>
            <w:tcBorders>
              <w:top w:val="single" w:color="auto" w:sz="4" w:space="0"/>
              <w:left w:val="single" w:color="auto" w:sz="6" w:space="0"/>
              <w:bottom w:val="single" w:color="auto" w:sz="4" w:space="0"/>
              <w:right w:val="single" w:color="auto" w:sz="6" w:space="0"/>
            </w:tcBorders>
          </w:tcPr>
          <w:p w14:paraId="34A050EC">
            <w:pPr>
              <w:spacing w:line="360" w:lineRule="auto"/>
              <w:ind w:right="-5"/>
              <w:jc w:val="center"/>
              <w:rPr>
                <w:rFonts w:hint="eastAsia" w:ascii="宋体" w:hAnsi="宋体" w:cs="宋体"/>
                <w:highlight w:val="none"/>
              </w:rPr>
            </w:pPr>
          </w:p>
        </w:tc>
        <w:tc>
          <w:tcPr>
            <w:tcW w:w="923" w:type="dxa"/>
            <w:tcBorders>
              <w:top w:val="single" w:color="auto" w:sz="4" w:space="0"/>
              <w:left w:val="single" w:color="auto" w:sz="6" w:space="0"/>
              <w:bottom w:val="single" w:color="auto" w:sz="4" w:space="0"/>
              <w:right w:val="single" w:color="auto" w:sz="6" w:space="0"/>
            </w:tcBorders>
          </w:tcPr>
          <w:p w14:paraId="2A5C8BC5">
            <w:pPr>
              <w:spacing w:line="360" w:lineRule="auto"/>
              <w:ind w:right="-5"/>
              <w:jc w:val="center"/>
              <w:rPr>
                <w:rFonts w:hint="eastAsia" w:ascii="宋体" w:hAnsi="宋体" w:cs="宋体"/>
                <w:highlight w:val="none"/>
              </w:rPr>
            </w:pPr>
          </w:p>
        </w:tc>
        <w:tc>
          <w:tcPr>
            <w:tcW w:w="1107" w:type="dxa"/>
            <w:tcBorders>
              <w:top w:val="single" w:color="auto" w:sz="4" w:space="0"/>
              <w:left w:val="single" w:color="auto" w:sz="6" w:space="0"/>
              <w:bottom w:val="single" w:color="auto" w:sz="4" w:space="0"/>
              <w:right w:val="single" w:color="auto" w:sz="6" w:space="0"/>
            </w:tcBorders>
          </w:tcPr>
          <w:p w14:paraId="750A1826">
            <w:pPr>
              <w:spacing w:line="360" w:lineRule="auto"/>
              <w:ind w:right="-5"/>
              <w:jc w:val="center"/>
              <w:rPr>
                <w:rFonts w:hint="eastAsia" w:ascii="宋体" w:hAnsi="宋体" w:cs="宋体"/>
                <w:highlight w:val="none"/>
              </w:rPr>
            </w:pPr>
          </w:p>
        </w:tc>
        <w:tc>
          <w:tcPr>
            <w:tcW w:w="898" w:type="dxa"/>
            <w:tcBorders>
              <w:top w:val="single" w:color="auto" w:sz="4" w:space="0"/>
              <w:left w:val="single" w:color="auto" w:sz="6" w:space="0"/>
              <w:bottom w:val="single" w:color="auto" w:sz="4" w:space="0"/>
              <w:right w:val="single" w:color="auto" w:sz="6" w:space="0"/>
            </w:tcBorders>
          </w:tcPr>
          <w:p w14:paraId="2FDEE9A1">
            <w:pPr>
              <w:spacing w:line="360" w:lineRule="auto"/>
              <w:ind w:right="-5"/>
              <w:jc w:val="center"/>
              <w:rPr>
                <w:rFonts w:hint="eastAsia" w:ascii="宋体" w:hAnsi="宋体" w:cs="宋体"/>
                <w:highlight w:val="none"/>
              </w:rPr>
            </w:pPr>
          </w:p>
        </w:tc>
        <w:tc>
          <w:tcPr>
            <w:tcW w:w="1417" w:type="dxa"/>
            <w:tcBorders>
              <w:top w:val="single" w:color="auto" w:sz="4" w:space="0"/>
              <w:left w:val="single" w:color="auto" w:sz="6" w:space="0"/>
              <w:bottom w:val="single" w:color="auto" w:sz="4" w:space="0"/>
              <w:right w:val="single" w:color="auto" w:sz="4" w:space="0"/>
            </w:tcBorders>
          </w:tcPr>
          <w:p w14:paraId="64DAD940">
            <w:pPr>
              <w:spacing w:line="360" w:lineRule="auto"/>
              <w:ind w:right="-5"/>
              <w:jc w:val="center"/>
              <w:rPr>
                <w:rFonts w:hint="eastAsia" w:ascii="宋体" w:hAnsi="宋体" w:cs="宋体"/>
                <w:highlight w:val="none"/>
              </w:rPr>
            </w:pPr>
          </w:p>
        </w:tc>
      </w:tr>
      <w:tr w14:paraId="1C3A7E8E">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2BCBADF0">
            <w:pPr>
              <w:spacing w:line="360" w:lineRule="auto"/>
              <w:ind w:right="-5"/>
              <w:jc w:val="center"/>
              <w:rPr>
                <w:rFonts w:hint="eastAsia" w:ascii="宋体" w:hAnsi="宋体" w:cs="宋体"/>
                <w:highlight w:val="none"/>
              </w:rPr>
            </w:pPr>
          </w:p>
        </w:tc>
        <w:tc>
          <w:tcPr>
            <w:tcW w:w="3545" w:type="dxa"/>
            <w:tcBorders>
              <w:top w:val="single" w:color="auto" w:sz="4" w:space="0"/>
              <w:left w:val="single" w:color="auto" w:sz="4" w:space="0"/>
              <w:bottom w:val="single" w:color="auto" w:sz="4" w:space="0"/>
              <w:right w:val="single" w:color="auto" w:sz="6" w:space="0"/>
            </w:tcBorders>
          </w:tcPr>
          <w:p w14:paraId="1D53A7A8">
            <w:pPr>
              <w:spacing w:line="360" w:lineRule="auto"/>
              <w:ind w:right="-5"/>
              <w:jc w:val="center"/>
              <w:rPr>
                <w:rFonts w:hint="eastAsia" w:ascii="宋体" w:hAnsi="宋体" w:cs="宋体"/>
                <w:highlight w:val="none"/>
              </w:rPr>
            </w:pPr>
          </w:p>
        </w:tc>
        <w:tc>
          <w:tcPr>
            <w:tcW w:w="951" w:type="dxa"/>
            <w:tcBorders>
              <w:top w:val="single" w:color="auto" w:sz="4" w:space="0"/>
              <w:left w:val="single" w:color="auto" w:sz="6" w:space="0"/>
              <w:bottom w:val="single" w:color="auto" w:sz="4" w:space="0"/>
              <w:right w:val="single" w:color="auto" w:sz="6" w:space="0"/>
            </w:tcBorders>
          </w:tcPr>
          <w:p w14:paraId="4331AA89">
            <w:pPr>
              <w:spacing w:line="360" w:lineRule="auto"/>
              <w:ind w:right="-5"/>
              <w:jc w:val="center"/>
              <w:rPr>
                <w:rFonts w:hint="eastAsia" w:ascii="宋体" w:hAnsi="宋体" w:cs="宋体"/>
                <w:highlight w:val="none"/>
              </w:rPr>
            </w:pPr>
          </w:p>
        </w:tc>
        <w:tc>
          <w:tcPr>
            <w:tcW w:w="923" w:type="dxa"/>
            <w:tcBorders>
              <w:top w:val="single" w:color="auto" w:sz="4" w:space="0"/>
              <w:left w:val="single" w:color="auto" w:sz="6" w:space="0"/>
              <w:bottom w:val="single" w:color="auto" w:sz="4" w:space="0"/>
              <w:right w:val="single" w:color="auto" w:sz="6" w:space="0"/>
            </w:tcBorders>
          </w:tcPr>
          <w:p w14:paraId="45B4C0F9">
            <w:pPr>
              <w:spacing w:line="360" w:lineRule="auto"/>
              <w:ind w:right="-5"/>
              <w:jc w:val="center"/>
              <w:rPr>
                <w:rFonts w:hint="eastAsia" w:ascii="宋体" w:hAnsi="宋体" w:cs="宋体"/>
                <w:highlight w:val="none"/>
              </w:rPr>
            </w:pPr>
          </w:p>
        </w:tc>
        <w:tc>
          <w:tcPr>
            <w:tcW w:w="1107" w:type="dxa"/>
            <w:tcBorders>
              <w:top w:val="single" w:color="auto" w:sz="4" w:space="0"/>
              <w:left w:val="single" w:color="auto" w:sz="6" w:space="0"/>
              <w:bottom w:val="single" w:color="auto" w:sz="4" w:space="0"/>
              <w:right w:val="single" w:color="auto" w:sz="6" w:space="0"/>
            </w:tcBorders>
          </w:tcPr>
          <w:p w14:paraId="0C7CFAA3">
            <w:pPr>
              <w:spacing w:line="360" w:lineRule="auto"/>
              <w:ind w:right="-5"/>
              <w:jc w:val="center"/>
              <w:rPr>
                <w:rFonts w:hint="eastAsia" w:ascii="宋体" w:hAnsi="宋体" w:cs="宋体"/>
                <w:highlight w:val="none"/>
              </w:rPr>
            </w:pPr>
          </w:p>
        </w:tc>
        <w:tc>
          <w:tcPr>
            <w:tcW w:w="898" w:type="dxa"/>
            <w:tcBorders>
              <w:top w:val="single" w:color="auto" w:sz="4" w:space="0"/>
              <w:left w:val="single" w:color="auto" w:sz="6" w:space="0"/>
              <w:bottom w:val="single" w:color="auto" w:sz="4" w:space="0"/>
              <w:right w:val="single" w:color="auto" w:sz="6" w:space="0"/>
            </w:tcBorders>
          </w:tcPr>
          <w:p w14:paraId="5171D342">
            <w:pPr>
              <w:spacing w:line="360" w:lineRule="auto"/>
              <w:ind w:right="-5"/>
              <w:jc w:val="center"/>
              <w:rPr>
                <w:rFonts w:hint="eastAsia" w:ascii="宋体" w:hAnsi="宋体" w:cs="宋体"/>
                <w:highlight w:val="none"/>
              </w:rPr>
            </w:pPr>
          </w:p>
        </w:tc>
        <w:tc>
          <w:tcPr>
            <w:tcW w:w="1417" w:type="dxa"/>
            <w:tcBorders>
              <w:top w:val="single" w:color="auto" w:sz="4" w:space="0"/>
              <w:left w:val="single" w:color="auto" w:sz="6" w:space="0"/>
              <w:bottom w:val="single" w:color="auto" w:sz="4" w:space="0"/>
              <w:right w:val="single" w:color="auto" w:sz="4" w:space="0"/>
            </w:tcBorders>
          </w:tcPr>
          <w:p w14:paraId="52B3C18A">
            <w:pPr>
              <w:spacing w:line="360" w:lineRule="auto"/>
              <w:ind w:right="-5"/>
              <w:jc w:val="center"/>
              <w:rPr>
                <w:rFonts w:hint="eastAsia" w:ascii="宋体" w:hAnsi="宋体" w:cs="宋体"/>
                <w:highlight w:val="none"/>
              </w:rPr>
            </w:pPr>
          </w:p>
        </w:tc>
      </w:tr>
      <w:tr w14:paraId="7152DA8D">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14ECBAF2">
            <w:pPr>
              <w:spacing w:line="360" w:lineRule="auto"/>
              <w:ind w:right="-5"/>
              <w:jc w:val="center"/>
              <w:rPr>
                <w:rFonts w:hint="eastAsia" w:ascii="宋体" w:hAnsi="宋体" w:cs="宋体"/>
                <w:highlight w:val="none"/>
              </w:rPr>
            </w:pPr>
          </w:p>
        </w:tc>
        <w:tc>
          <w:tcPr>
            <w:tcW w:w="3545" w:type="dxa"/>
            <w:tcBorders>
              <w:top w:val="single" w:color="auto" w:sz="4" w:space="0"/>
              <w:left w:val="single" w:color="auto" w:sz="4" w:space="0"/>
              <w:bottom w:val="single" w:color="auto" w:sz="4" w:space="0"/>
              <w:right w:val="single" w:color="auto" w:sz="6" w:space="0"/>
            </w:tcBorders>
          </w:tcPr>
          <w:p w14:paraId="2B0DBDBE">
            <w:pPr>
              <w:spacing w:line="360" w:lineRule="auto"/>
              <w:ind w:right="-5"/>
              <w:jc w:val="center"/>
              <w:rPr>
                <w:rFonts w:hint="eastAsia" w:ascii="宋体" w:hAnsi="宋体" w:cs="宋体"/>
                <w:highlight w:val="none"/>
              </w:rPr>
            </w:pPr>
          </w:p>
        </w:tc>
        <w:tc>
          <w:tcPr>
            <w:tcW w:w="951" w:type="dxa"/>
            <w:tcBorders>
              <w:top w:val="single" w:color="auto" w:sz="4" w:space="0"/>
              <w:left w:val="single" w:color="auto" w:sz="6" w:space="0"/>
              <w:bottom w:val="single" w:color="auto" w:sz="4" w:space="0"/>
              <w:right w:val="single" w:color="auto" w:sz="6" w:space="0"/>
            </w:tcBorders>
          </w:tcPr>
          <w:p w14:paraId="4A7C4592">
            <w:pPr>
              <w:spacing w:line="360" w:lineRule="auto"/>
              <w:ind w:right="-5"/>
              <w:jc w:val="center"/>
              <w:rPr>
                <w:rFonts w:hint="eastAsia" w:ascii="宋体" w:hAnsi="宋体" w:cs="宋体"/>
                <w:highlight w:val="none"/>
              </w:rPr>
            </w:pPr>
          </w:p>
        </w:tc>
        <w:tc>
          <w:tcPr>
            <w:tcW w:w="923" w:type="dxa"/>
            <w:tcBorders>
              <w:top w:val="single" w:color="auto" w:sz="4" w:space="0"/>
              <w:left w:val="single" w:color="auto" w:sz="6" w:space="0"/>
              <w:bottom w:val="single" w:color="auto" w:sz="4" w:space="0"/>
              <w:right w:val="single" w:color="auto" w:sz="6" w:space="0"/>
            </w:tcBorders>
          </w:tcPr>
          <w:p w14:paraId="6E233005">
            <w:pPr>
              <w:spacing w:line="360" w:lineRule="auto"/>
              <w:ind w:right="-5"/>
              <w:jc w:val="center"/>
              <w:rPr>
                <w:rFonts w:hint="eastAsia" w:ascii="宋体" w:hAnsi="宋体" w:cs="宋体"/>
                <w:highlight w:val="none"/>
              </w:rPr>
            </w:pPr>
          </w:p>
        </w:tc>
        <w:tc>
          <w:tcPr>
            <w:tcW w:w="1107" w:type="dxa"/>
            <w:tcBorders>
              <w:top w:val="single" w:color="auto" w:sz="4" w:space="0"/>
              <w:left w:val="single" w:color="auto" w:sz="6" w:space="0"/>
              <w:bottom w:val="single" w:color="auto" w:sz="4" w:space="0"/>
              <w:right w:val="single" w:color="auto" w:sz="6" w:space="0"/>
            </w:tcBorders>
          </w:tcPr>
          <w:p w14:paraId="0DC6C189">
            <w:pPr>
              <w:spacing w:line="360" w:lineRule="auto"/>
              <w:ind w:right="-5"/>
              <w:jc w:val="center"/>
              <w:rPr>
                <w:rFonts w:hint="eastAsia" w:ascii="宋体" w:hAnsi="宋体" w:cs="宋体"/>
                <w:highlight w:val="none"/>
              </w:rPr>
            </w:pPr>
          </w:p>
        </w:tc>
        <w:tc>
          <w:tcPr>
            <w:tcW w:w="898" w:type="dxa"/>
            <w:tcBorders>
              <w:top w:val="single" w:color="auto" w:sz="4" w:space="0"/>
              <w:left w:val="single" w:color="auto" w:sz="6" w:space="0"/>
              <w:bottom w:val="single" w:color="auto" w:sz="4" w:space="0"/>
              <w:right w:val="single" w:color="auto" w:sz="6" w:space="0"/>
            </w:tcBorders>
          </w:tcPr>
          <w:p w14:paraId="04FDECD6">
            <w:pPr>
              <w:spacing w:line="360" w:lineRule="auto"/>
              <w:ind w:right="-5"/>
              <w:jc w:val="center"/>
              <w:rPr>
                <w:rFonts w:hint="eastAsia" w:ascii="宋体" w:hAnsi="宋体" w:cs="宋体"/>
                <w:highlight w:val="none"/>
              </w:rPr>
            </w:pPr>
          </w:p>
        </w:tc>
        <w:tc>
          <w:tcPr>
            <w:tcW w:w="1417" w:type="dxa"/>
            <w:tcBorders>
              <w:top w:val="single" w:color="auto" w:sz="4" w:space="0"/>
              <w:left w:val="single" w:color="auto" w:sz="6" w:space="0"/>
              <w:bottom w:val="single" w:color="auto" w:sz="4" w:space="0"/>
              <w:right w:val="single" w:color="auto" w:sz="4" w:space="0"/>
            </w:tcBorders>
          </w:tcPr>
          <w:p w14:paraId="0DC29661">
            <w:pPr>
              <w:spacing w:line="360" w:lineRule="auto"/>
              <w:ind w:right="-5"/>
              <w:jc w:val="center"/>
              <w:rPr>
                <w:rFonts w:hint="eastAsia" w:ascii="宋体" w:hAnsi="宋体" w:cs="宋体"/>
                <w:highlight w:val="none"/>
              </w:rPr>
            </w:pPr>
          </w:p>
        </w:tc>
      </w:tr>
    </w:tbl>
    <w:p w14:paraId="375F648B">
      <w:pPr>
        <w:spacing w:line="360" w:lineRule="auto"/>
        <w:jc w:val="left"/>
        <w:rPr>
          <w:rFonts w:hint="eastAsia" w:ascii="宋体" w:hAnsi="宋体" w:cs="Angsana New"/>
          <w:sz w:val="24"/>
          <w:szCs w:val="24"/>
          <w:highlight w:val="none"/>
          <w:lang w:bidi="th-TH"/>
        </w:rPr>
      </w:pPr>
      <w:r>
        <w:rPr>
          <w:rFonts w:ascii="宋体" w:hAnsi="宋体" w:cs="Angsana New"/>
          <w:sz w:val="24"/>
          <w:szCs w:val="24"/>
          <w:highlight w:val="none"/>
          <w:lang w:bidi="th-TH"/>
        </w:rPr>
        <w:t>注：该报价已包含招标文件要求的全部服务内容及成本</w:t>
      </w:r>
    </w:p>
    <w:p w14:paraId="4DD9A0D1">
      <w:pPr>
        <w:spacing w:line="360" w:lineRule="auto"/>
        <w:ind w:firstLine="3840" w:firstLineChars="1600"/>
        <w:jc w:val="left"/>
        <w:rPr>
          <w:rFonts w:hint="eastAsia" w:ascii="宋体" w:hAnsi="宋体" w:cs="FangSong_GB2312-Identity-H"/>
          <w:sz w:val="24"/>
          <w:szCs w:val="24"/>
          <w:highlight w:val="none"/>
          <w:u w:val="single"/>
        </w:rPr>
      </w:pPr>
      <w:r>
        <w:rPr>
          <w:rFonts w:hint="eastAsia" w:ascii="宋体" w:hAnsi="宋体" w:cs="FangSong_GB2312-Identity-H"/>
          <w:sz w:val="24"/>
          <w:szCs w:val="24"/>
          <w:highlight w:val="none"/>
        </w:rPr>
        <w:t>投标人</w:t>
      </w:r>
      <w:r>
        <w:rPr>
          <w:rFonts w:ascii="宋体" w:hAnsi="宋体" w:cs="FangSong_GB2312-Identity-H"/>
          <w:sz w:val="24"/>
          <w:szCs w:val="24"/>
          <w:highlight w:val="none"/>
        </w:rPr>
        <w:t>(</w:t>
      </w:r>
      <w:r>
        <w:rPr>
          <w:rFonts w:hint="eastAsia" w:ascii="宋体" w:hAnsi="宋体" w:cs="FangSong_GB2312-Identity-H"/>
          <w:sz w:val="24"/>
          <w:szCs w:val="24"/>
          <w:highlight w:val="none"/>
        </w:rPr>
        <w:t>公章</w:t>
      </w:r>
      <w:r>
        <w:rPr>
          <w:rFonts w:ascii="宋体" w:hAnsi="宋体" w:cs="FangSong_GB2312-Identity-H"/>
          <w:sz w:val="24"/>
          <w:szCs w:val="24"/>
          <w:highlight w:val="none"/>
        </w:rPr>
        <w:t xml:space="preserve">) </w:t>
      </w:r>
      <w:r>
        <w:rPr>
          <w:rFonts w:hint="eastAsia" w:ascii="宋体" w:hAnsi="宋体" w:cs="FangSong_GB2312-Identity-H"/>
          <w:sz w:val="24"/>
          <w:szCs w:val="24"/>
          <w:highlight w:val="none"/>
        </w:rPr>
        <w:t>：</w:t>
      </w:r>
      <w:r>
        <w:rPr>
          <w:rFonts w:hint="eastAsia" w:ascii="宋体" w:hAnsi="宋体" w:cs="FangSong_GB2312-Identity-H"/>
          <w:sz w:val="24"/>
          <w:szCs w:val="24"/>
          <w:highlight w:val="none"/>
          <w:u w:val="single"/>
        </w:rPr>
        <w:t xml:space="preserve">                          </w:t>
      </w:r>
    </w:p>
    <w:p w14:paraId="2B961F58">
      <w:pPr>
        <w:spacing w:line="360" w:lineRule="auto"/>
        <w:ind w:firstLine="3780"/>
        <w:jc w:val="left"/>
        <w:rPr>
          <w:rFonts w:hint="eastAsia" w:ascii="宋体" w:hAnsi="宋体" w:cs="FangSong_GB2312-Identity-H"/>
          <w:sz w:val="24"/>
          <w:szCs w:val="24"/>
          <w:highlight w:val="none"/>
        </w:rPr>
      </w:pPr>
      <w:r>
        <w:rPr>
          <w:rFonts w:hint="eastAsia" w:ascii="宋体" w:hAnsi="宋体" w:cs="FangSong_GB2312-Identity-H"/>
          <w:sz w:val="24"/>
          <w:szCs w:val="24"/>
          <w:highlight w:val="none"/>
        </w:rPr>
        <w:t>法定代表人（或者负责人）</w:t>
      </w:r>
    </w:p>
    <w:p w14:paraId="17F489AC">
      <w:pPr>
        <w:spacing w:line="360" w:lineRule="auto"/>
        <w:ind w:firstLine="3780"/>
        <w:jc w:val="left"/>
        <w:rPr>
          <w:rFonts w:hint="eastAsia" w:ascii="宋体" w:hAnsi="宋体" w:cs="FangSong_GB2312-Identity-H"/>
          <w:sz w:val="24"/>
          <w:szCs w:val="24"/>
          <w:highlight w:val="none"/>
          <w:u w:val="single"/>
        </w:rPr>
      </w:pPr>
      <w:r>
        <w:rPr>
          <w:rFonts w:hint="eastAsia" w:ascii="宋体" w:hAnsi="宋体" w:cs="FangSong_GB2312-Identity-H"/>
          <w:sz w:val="24"/>
          <w:szCs w:val="24"/>
          <w:highlight w:val="none"/>
        </w:rPr>
        <w:t>或授权委托人（签字或盖章）：</w:t>
      </w:r>
      <w:r>
        <w:rPr>
          <w:rFonts w:hint="eastAsia" w:ascii="宋体" w:hAnsi="宋体" w:cs="FangSong_GB2312-Identity-H"/>
          <w:sz w:val="24"/>
          <w:szCs w:val="24"/>
          <w:highlight w:val="none"/>
          <w:u w:val="single"/>
        </w:rPr>
        <w:t xml:space="preserve">             </w:t>
      </w:r>
    </w:p>
    <w:p w14:paraId="6F44B637">
      <w:pPr>
        <w:pStyle w:val="12"/>
        <w:spacing w:before="120" w:after="120" w:line="360" w:lineRule="auto"/>
        <w:ind w:firstLine="3780"/>
        <w:jc w:val="left"/>
        <w:rPr>
          <w:rFonts w:hint="eastAsia" w:hAnsi="宋体" w:cs="Angsana New"/>
          <w:sz w:val="24"/>
          <w:szCs w:val="24"/>
          <w:highlight w:val="none"/>
          <w:u w:val="single"/>
          <w:lang w:bidi="th-TH"/>
        </w:rPr>
      </w:pPr>
      <w:r>
        <w:rPr>
          <w:rFonts w:hint="eastAsia" w:hAnsi="宋体" w:cs="FangSong_GB2312-Identity-H"/>
          <w:sz w:val="24"/>
          <w:szCs w:val="24"/>
          <w:highlight w:val="none"/>
        </w:rPr>
        <w:t>日       期：</w:t>
      </w:r>
      <w:r>
        <w:rPr>
          <w:rFonts w:hAnsi="宋体" w:cs="FangSong_GB2312-Identity-H"/>
          <w:sz w:val="24"/>
          <w:szCs w:val="24"/>
          <w:highlight w:val="none"/>
        </w:rPr>
        <w:t xml:space="preserve"> </w:t>
      </w:r>
      <w:r>
        <w:rPr>
          <w:rFonts w:hint="eastAsia" w:hAnsi="宋体" w:cs="FangSong_GB2312-Identity-H"/>
          <w:sz w:val="24"/>
          <w:szCs w:val="24"/>
          <w:highlight w:val="none"/>
          <w:u w:val="single"/>
        </w:rPr>
        <w:t xml:space="preserve">       </w:t>
      </w:r>
      <w:r>
        <w:rPr>
          <w:rFonts w:hint="eastAsia" w:hAnsi="宋体" w:cs="FangSong_GB2312-Identity-H"/>
          <w:sz w:val="24"/>
          <w:szCs w:val="24"/>
          <w:highlight w:val="none"/>
        </w:rPr>
        <w:t>年</w:t>
      </w:r>
      <w:r>
        <w:rPr>
          <w:rFonts w:hint="eastAsia" w:hAnsi="宋体" w:cs="FangSong_GB2312-Identity-H"/>
          <w:sz w:val="24"/>
          <w:szCs w:val="24"/>
          <w:highlight w:val="none"/>
          <w:u w:val="single"/>
        </w:rPr>
        <w:t xml:space="preserve">      </w:t>
      </w:r>
      <w:r>
        <w:rPr>
          <w:rFonts w:hint="eastAsia" w:hAnsi="宋体" w:cs="FangSong_GB2312-Identity-H"/>
          <w:sz w:val="24"/>
          <w:szCs w:val="24"/>
          <w:highlight w:val="none"/>
        </w:rPr>
        <w:t>月</w:t>
      </w:r>
      <w:r>
        <w:rPr>
          <w:rFonts w:hint="eastAsia" w:hAnsi="宋体" w:cs="FangSong_GB2312-Identity-H"/>
          <w:sz w:val="24"/>
          <w:szCs w:val="24"/>
          <w:highlight w:val="none"/>
          <w:u w:val="single"/>
        </w:rPr>
        <w:t xml:space="preserve">       </w:t>
      </w:r>
      <w:r>
        <w:rPr>
          <w:rFonts w:hint="eastAsia" w:hAnsi="宋体" w:cs="FangSong_GB2312-Identity-H"/>
          <w:sz w:val="24"/>
          <w:szCs w:val="24"/>
          <w:highlight w:val="none"/>
        </w:rPr>
        <w:t>日</w:t>
      </w:r>
    </w:p>
    <w:p w14:paraId="118FFDF0">
      <w:pPr>
        <w:spacing w:line="360" w:lineRule="auto"/>
        <w:jc w:val="center"/>
        <w:rPr>
          <w:rFonts w:hint="eastAsia" w:ascii="宋体" w:hAnsi="宋体" w:cs="Arial"/>
          <w:b/>
          <w:bCs/>
          <w:sz w:val="24"/>
          <w:szCs w:val="24"/>
          <w:highlight w:val="none"/>
        </w:rPr>
      </w:pPr>
    </w:p>
    <w:p w14:paraId="0F0DB9B8">
      <w:pPr>
        <w:pStyle w:val="14"/>
        <w:spacing w:line="360" w:lineRule="auto"/>
        <w:rPr>
          <w:sz w:val="24"/>
          <w:szCs w:val="24"/>
          <w:highlight w:val="none"/>
        </w:rPr>
      </w:pPr>
    </w:p>
    <w:p w14:paraId="6CC71F4F">
      <w:pPr>
        <w:rPr>
          <w:highlight w:val="none"/>
        </w:rPr>
      </w:pPr>
    </w:p>
    <w:p w14:paraId="33E5D3D7">
      <w:pPr>
        <w:pStyle w:val="14"/>
        <w:rPr>
          <w:highlight w:val="none"/>
        </w:rPr>
      </w:pPr>
    </w:p>
    <w:p w14:paraId="1FE358C0">
      <w:pPr>
        <w:rPr>
          <w:highlight w:val="none"/>
        </w:rPr>
      </w:pPr>
    </w:p>
    <w:p w14:paraId="05D5E333">
      <w:pPr>
        <w:pStyle w:val="14"/>
        <w:rPr>
          <w:highlight w:val="none"/>
        </w:rPr>
      </w:pPr>
    </w:p>
    <w:p w14:paraId="4DC61FA9">
      <w:pPr>
        <w:pStyle w:val="14"/>
        <w:rPr>
          <w:highlight w:val="none"/>
        </w:rPr>
      </w:pPr>
    </w:p>
    <w:p w14:paraId="6A31EEAA">
      <w:pPr>
        <w:rPr>
          <w:highlight w:val="none"/>
        </w:rPr>
      </w:pPr>
    </w:p>
    <w:p w14:paraId="52E8CF5B">
      <w:pPr>
        <w:pStyle w:val="14"/>
        <w:rPr>
          <w:highlight w:val="none"/>
        </w:rPr>
      </w:pPr>
    </w:p>
    <w:p w14:paraId="67FB34FD">
      <w:pPr>
        <w:pStyle w:val="18"/>
        <w:spacing w:beforeAutospacing="0" w:afterAutospacing="0"/>
        <w:jc w:val="center"/>
        <w:rPr>
          <w:rFonts w:hint="eastAsia" w:cs="Arial"/>
          <w:b/>
          <w:bCs/>
          <w:sz w:val="36"/>
          <w:szCs w:val="36"/>
          <w:highlight w:val="none"/>
        </w:rPr>
      </w:pPr>
    </w:p>
    <w:p w14:paraId="24A26228">
      <w:pPr>
        <w:pStyle w:val="18"/>
        <w:spacing w:beforeAutospacing="0" w:afterAutospacing="0"/>
        <w:jc w:val="center"/>
        <w:rPr>
          <w:rFonts w:hint="eastAsia" w:eastAsia="黑体" w:cs="Arial"/>
          <w:b/>
          <w:bCs/>
          <w:sz w:val="36"/>
          <w:szCs w:val="36"/>
          <w:highlight w:val="none"/>
        </w:rPr>
      </w:pPr>
      <w:r>
        <w:rPr>
          <w:rFonts w:hint="eastAsia" w:eastAsia="黑体" w:cs="Arial"/>
          <w:b/>
          <w:bCs/>
          <w:sz w:val="36"/>
          <w:szCs w:val="36"/>
          <w:highlight w:val="none"/>
        </w:rPr>
        <w:t>（十二）商务要求响应及技术要求响应偏离表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66481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vAlign w:val="center"/>
          </w:tcPr>
          <w:p w14:paraId="3EB64CC7">
            <w:pPr>
              <w:jc w:val="center"/>
              <w:rPr>
                <w:rFonts w:hint="eastAsia" w:ascii="宋体" w:hAnsi="宋体"/>
                <w:sz w:val="24"/>
                <w:szCs w:val="24"/>
                <w:highlight w:val="none"/>
              </w:rPr>
            </w:pPr>
            <w:r>
              <w:rPr>
                <w:rFonts w:hint="eastAsia" w:ascii="宋体" w:hAnsi="宋体"/>
                <w:sz w:val="24"/>
                <w:szCs w:val="24"/>
                <w:highlight w:val="none"/>
              </w:rPr>
              <w:t>序号</w:t>
            </w:r>
          </w:p>
        </w:tc>
        <w:tc>
          <w:tcPr>
            <w:tcW w:w="2852" w:type="dxa"/>
            <w:vAlign w:val="center"/>
          </w:tcPr>
          <w:p w14:paraId="220E242C">
            <w:pPr>
              <w:jc w:val="center"/>
              <w:rPr>
                <w:rFonts w:hint="eastAsia" w:ascii="宋体" w:hAnsi="宋体"/>
                <w:sz w:val="24"/>
                <w:szCs w:val="24"/>
                <w:highlight w:val="none"/>
              </w:rPr>
            </w:pPr>
            <w:r>
              <w:rPr>
                <w:rFonts w:hint="eastAsia" w:ascii="宋体" w:hAnsi="宋体"/>
                <w:sz w:val="24"/>
                <w:szCs w:val="24"/>
                <w:highlight w:val="none"/>
              </w:rPr>
              <w:t>招标要求</w:t>
            </w:r>
          </w:p>
        </w:tc>
        <w:tc>
          <w:tcPr>
            <w:tcW w:w="2852" w:type="dxa"/>
            <w:vAlign w:val="center"/>
          </w:tcPr>
          <w:p w14:paraId="646606A3">
            <w:pPr>
              <w:jc w:val="center"/>
              <w:rPr>
                <w:rFonts w:hint="eastAsia" w:ascii="宋体" w:hAnsi="宋体"/>
                <w:sz w:val="24"/>
                <w:szCs w:val="24"/>
                <w:highlight w:val="none"/>
              </w:rPr>
            </w:pPr>
            <w:r>
              <w:rPr>
                <w:rFonts w:hint="eastAsia" w:ascii="宋体" w:hAnsi="宋体"/>
                <w:sz w:val="24"/>
                <w:szCs w:val="24"/>
                <w:highlight w:val="none"/>
              </w:rPr>
              <w:t>投标响应</w:t>
            </w:r>
          </w:p>
        </w:tc>
        <w:tc>
          <w:tcPr>
            <w:tcW w:w="1308" w:type="dxa"/>
            <w:vAlign w:val="center"/>
          </w:tcPr>
          <w:p w14:paraId="4B10540B">
            <w:pPr>
              <w:jc w:val="center"/>
              <w:rPr>
                <w:rFonts w:hint="eastAsia" w:ascii="宋体" w:hAnsi="宋体"/>
                <w:sz w:val="24"/>
                <w:szCs w:val="24"/>
                <w:highlight w:val="none"/>
              </w:rPr>
            </w:pPr>
            <w:r>
              <w:rPr>
                <w:rFonts w:hint="eastAsia" w:ascii="宋体" w:hAnsi="宋体"/>
                <w:sz w:val="24"/>
                <w:szCs w:val="24"/>
                <w:highlight w:val="none"/>
              </w:rPr>
              <w:t>超出、符合或偏离</w:t>
            </w:r>
          </w:p>
        </w:tc>
        <w:tc>
          <w:tcPr>
            <w:tcW w:w="1173" w:type="dxa"/>
            <w:vAlign w:val="center"/>
          </w:tcPr>
          <w:p w14:paraId="3D5657D8">
            <w:pPr>
              <w:jc w:val="center"/>
              <w:rPr>
                <w:rFonts w:hint="eastAsia" w:ascii="宋体" w:hAnsi="宋体"/>
                <w:sz w:val="24"/>
                <w:szCs w:val="24"/>
                <w:highlight w:val="none"/>
              </w:rPr>
            </w:pPr>
            <w:r>
              <w:rPr>
                <w:rFonts w:hint="eastAsia" w:ascii="宋体" w:hAnsi="宋体"/>
                <w:sz w:val="24"/>
                <w:szCs w:val="24"/>
                <w:highlight w:val="none"/>
              </w:rPr>
              <w:t>原因</w:t>
            </w:r>
          </w:p>
        </w:tc>
      </w:tr>
      <w:tr w14:paraId="5728B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0A6EC67B">
            <w:pPr>
              <w:jc w:val="center"/>
              <w:rPr>
                <w:rFonts w:hint="eastAsia" w:ascii="宋体" w:hAnsi="宋体"/>
                <w:sz w:val="24"/>
                <w:szCs w:val="24"/>
                <w:highlight w:val="none"/>
              </w:rPr>
            </w:pPr>
          </w:p>
        </w:tc>
        <w:tc>
          <w:tcPr>
            <w:tcW w:w="2852" w:type="dxa"/>
          </w:tcPr>
          <w:p w14:paraId="6B965E1A">
            <w:pPr>
              <w:jc w:val="center"/>
              <w:rPr>
                <w:rFonts w:hint="eastAsia" w:ascii="宋体" w:hAnsi="宋体"/>
                <w:sz w:val="24"/>
                <w:szCs w:val="24"/>
                <w:highlight w:val="none"/>
              </w:rPr>
            </w:pPr>
          </w:p>
        </w:tc>
        <w:tc>
          <w:tcPr>
            <w:tcW w:w="2852" w:type="dxa"/>
          </w:tcPr>
          <w:p w14:paraId="31BFE487">
            <w:pPr>
              <w:jc w:val="center"/>
              <w:rPr>
                <w:rFonts w:hint="eastAsia" w:ascii="宋体" w:hAnsi="宋体"/>
                <w:sz w:val="24"/>
                <w:szCs w:val="24"/>
                <w:highlight w:val="none"/>
              </w:rPr>
            </w:pPr>
          </w:p>
        </w:tc>
        <w:tc>
          <w:tcPr>
            <w:tcW w:w="1308" w:type="dxa"/>
          </w:tcPr>
          <w:p w14:paraId="0B66E3D0">
            <w:pPr>
              <w:jc w:val="center"/>
              <w:rPr>
                <w:rFonts w:hint="eastAsia" w:ascii="宋体" w:hAnsi="宋体"/>
                <w:sz w:val="24"/>
                <w:szCs w:val="24"/>
                <w:highlight w:val="none"/>
              </w:rPr>
            </w:pPr>
          </w:p>
        </w:tc>
        <w:tc>
          <w:tcPr>
            <w:tcW w:w="1173" w:type="dxa"/>
          </w:tcPr>
          <w:p w14:paraId="32036E9C">
            <w:pPr>
              <w:jc w:val="center"/>
              <w:rPr>
                <w:rFonts w:hint="eastAsia" w:ascii="宋体" w:hAnsi="宋体"/>
                <w:sz w:val="24"/>
                <w:szCs w:val="24"/>
                <w:highlight w:val="none"/>
              </w:rPr>
            </w:pPr>
          </w:p>
        </w:tc>
      </w:tr>
      <w:tr w14:paraId="5C3F6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2E50BB2C">
            <w:pPr>
              <w:jc w:val="center"/>
              <w:rPr>
                <w:rFonts w:hint="eastAsia" w:ascii="宋体" w:hAnsi="宋体"/>
                <w:sz w:val="24"/>
                <w:szCs w:val="24"/>
                <w:highlight w:val="none"/>
              </w:rPr>
            </w:pPr>
          </w:p>
        </w:tc>
        <w:tc>
          <w:tcPr>
            <w:tcW w:w="2852" w:type="dxa"/>
          </w:tcPr>
          <w:p w14:paraId="299B1EFA">
            <w:pPr>
              <w:jc w:val="center"/>
              <w:rPr>
                <w:rFonts w:hint="eastAsia" w:ascii="宋体" w:hAnsi="宋体"/>
                <w:sz w:val="24"/>
                <w:szCs w:val="24"/>
                <w:highlight w:val="none"/>
              </w:rPr>
            </w:pPr>
          </w:p>
        </w:tc>
        <w:tc>
          <w:tcPr>
            <w:tcW w:w="2852" w:type="dxa"/>
          </w:tcPr>
          <w:p w14:paraId="7EEF70DB">
            <w:pPr>
              <w:jc w:val="center"/>
              <w:rPr>
                <w:rFonts w:hint="eastAsia" w:ascii="宋体" w:hAnsi="宋体"/>
                <w:sz w:val="24"/>
                <w:szCs w:val="24"/>
                <w:highlight w:val="none"/>
              </w:rPr>
            </w:pPr>
          </w:p>
        </w:tc>
        <w:tc>
          <w:tcPr>
            <w:tcW w:w="1308" w:type="dxa"/>
          </w:tcPr>
          <w:p w14:paraId="07CCBE2B">
            <w:pPr>
              <w:jc w:val="center"/>
              <w:rPr>
                <w:rFonts w:hint="eastAsia" w:ascii="宋体" w:hAnsi="宋体"/>
                <w:sz w:val="24"/>
                <w:szCs w:val="24"/>
                <w:highlight w:val="none"/>
              </w:rPr>
            </w:pPr>
          </w:p>
        </w:tc>
        <w:tc>
          <w:tcPr>
            <w:tcW w:w="1173" w:type="dxa"/>
          </w:tcPr>
          <w:p w14:paraId="5B7C6CBC">
            <w:pPr>
              <w:jc w:val="center"/>
              <w:rPr>
                <w:rFonts w:hint="eastAsia" w:ascii="宋体" w:hAnsi="宋体"/>
                <w:sz w:val="24"/>
                <w:szCs w:val="24"/>
                <w:highlight w:val="none"/>
              </w:rPr>
            </w:pPr>
          </w:p>
        </w:tc>
      </w:tr>
      <w:tr w14:paraId="290D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46201C60">
            <w:pPr>
              <w:jc w:val="center"/>
              <w:rPr>
                <w:rFonts w:hint="eastAsia" w:ascii="宋体" w:hAnsi="宋体"/>
                <w:sz w:val="24"/>
                <w:szCs w:val="24"/>
                <w:highlight w:val="none"/>
              </w:rPr>
            </w:pPr>
          </w:p>
        </w:tc>
        <w:tc>
          <w:tcPr>
            <w:tcW w:w="2852" w:type="dxa"/>
          </w:tcPr>
          <w:p w14:paraId="17AE4468">
            <w:pPr>
              <w:jc w:val="center"/>
              <w:rPr>
                <w:rFonts w:hint="eastAsia" w:ascii="宋体" w:hAnsi="宋体"/>
                <w:sz w:val="24"/>
                <w:szCs w:val="24"/>
                <w:highlight w:val="none"/>
              </w:rPr>
            </w:pPr>
          </w:p>
        </w:tc>
        <w:tc>
          <w:tcPr>
            <w:tcW w:w="2852" w:type="dxa"/>
          </w:tcPr>
          <w:p w14:paraId="33B92CDB">
            <w:pPr>
              <w:jc w:val="center"/>
              <w:rPr>
                <w:rFonts w:hint="eastAsia" w:ascii="宋体" w:hAnsi="宋体"/>
                <w:sz w:val="24"/>
                <w:szCs w:val="24"/>
                <w:highlight w:val="none"/>
              </w:rPr>
            </w:pPr>
          </w:p>
        </w:tc>
        <w:tc>
          <w:tcPr>
            <w:tcW w:w="1308" w:type="dxa"/>
          </w:tcPr>
          <w:p w14:paraId="5DFF31E3">
            <w:pPr>
              <w:jc w:val="center"/>
              <w:rPr>
                <w:rFonts w:hint="eastAsia" w:ascii="宋体" w:hAnsi="宋体"/>
                <w:sz w:val="24"/>
                <w:szCs w:val="24"/>
                <w:highlight w:val="none"/>
              </w:rPr>
            </w:pPr>
          </w:p>
        </w:tc>
        <w:tc>
          <w:tcPr>
            <w:tcW w:w="1173" w:type="dxa"/>
          </w:tcPr>
          <w:p w14:paraId="2106B783">
            <w:pPr>
              <w:jc w:val="center"/>
              <w:rPr>
                <w:rFonts w:hint="eastAsia" w:ascii="宋体" w:hAnsi="宋体"/>
                <w:sz w:val="24"/>
                <w:szCs w:val="24"/>
                <w:highlight w:val="none"/>
              </w:rPr>
            </w:pPr>
          </w:p>
        </w:tc>
      </w:tr>
      <w:tr w14:paraId="73B51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5B33ED07">
            <w:pPr>
              <w:jc w:val="center"/>
              <w:rPr>
                <w:rFonts w:hint="eastAsia" w:ascii="宋体" w:hAnsi="宋体"/>
                <w:sz w:val="24"/>
                <w:szCs w:val="24"/>
                <w:highlight w:val="none"/>
              </w:rPr>
            </w:pPr>
          </w:p>
        </w:tc>
        <w:tc>
          <w:tcPr>
            <w:tcW w:w="2852" w:type="dxa"/>
          </w:tcPr>
          <w:p w14:paraId="63E37FBB">
            <w:pPr>
              <w:jc w:val="center"/>
              <w:rPr>
                <w:rFonts w:hint="eastAsia" w:ascii="宋体" w:hAnsi="宋体"/>
                <w:sz w:val="24"/>
                <w:szCs w:val="24"/>
                <w:highlight w:val="none"/>
              </w:rPr>
            </w:pPr>
          </w:p>
        </w:tc>
        <w:tc>
          <w:tcPr>
            <w:tcW w:w="2852" w:type="dxa"/>
          </w:tcPr>
          <w:p w14:paraId="552A6BA3">
            <w:pPr>
              <w:jc w:val="center"/>
              <w:rPr>
                <w:rFonts w:hint="eastAsia" w:ascii="宋体" w:hAnsi="宋体"/>
                <w:sz w:val="24"/>
                <w:szCs w:val="24"/>
                <w:highlight w:val="none"/>
              </w:rPr>
            </w:pPr>
          </w:p>
        </w:tc>
        <w:tc>
          <w:tcPr>
            <w:tcW w:w="1308" w:type="dxa"/>
          </w:tcPr>
          <w:p w14:paraId="7BBDA642">
            <w:pPr>
              <w:jc w:val="center"/>
              <w:rPr>
                <w:rFonts w:hint="eastAsia" w:ascii="宋体" w:hAnsi="宋体"/>
                <w:sz w:val="24"/>
                <w:szCs w:val="24"/>
                <w:highlight w:val="none"/>
              </w:rPr>
            </w:pPr>
          </w:p>
        </w:tc>
        <w:tc>
          <w:tcPr>
            <w:tcW w:w="1173" w:type="dxa"/>
          </w:tcPr>
          <w:p w14:paraId="0EB90DBF">
            <w:pPr>
              <w:jc w:val="center"/>
              <w:rPr>
                <w:rFonts w:hint="eastAsia" w:ascii="宋体" w:hAnsi="宋体"/>
                <w:sz w:val="24"/>
                <w:szCs w:val="24"/>
                <w:highlight w:val="none"/>
              </w:rPr>
            </w:pPr>
          </w:p>
        </w:tc>
      </w:tr>
      <w:tr w14:paraId="69D87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414A4E4C">
            <w:pPr>
              <w:jc w:val="center"/>
              <w:rPr>
                <w:rFonts w:hint="eastAsia" w:ascii="宋体" w:hAnsi="宋体"/>
                <w:sz w:val="24"/>
                <w:szCs w:val="24"/>
                <w:highlight w:val="none"/>
              </w:rPr>
            </w:pPr>
          </w:p>
        </w:tc>
        <w:tc>
          <w:tcPr>
            <w:tcW w:w="2852" w:type="dxa"/>
          </w:tcPr>
          <w:p w14:paraId="18241092">
            <w:pPr>
              <w:jc w:val="center"/>
              <w:rPr>
                <w:rFonts w:hint="eastAsia" w:ascii="宋体" w:hAnsi="宋体"/>
                <w:sz w:val="24"/>
                <w:szCs w:val="24"/>
                <w:highlight w:val="none"/>
              </w:rPr>
            </w:pPr>
          </w:p>
        </w:tc>
        <w:tc>
          <w:tcPr>
            <w:tcW w:w="2852" w:type="dxa"/>
          </w:tcPr>
          <w:p w14:paraId="115F972F">
            <w:pPr>
              <w:jc w:val="center"/>
              <w:rPr>
                <w:rFonts w:hint="eastAsia" w:ascii="宋体" w:hAnsi="宋体"/>
                <w:sz w:val="24"/>
                <w:szCs w:val="24"/>
                <w:highlight w:val="none"/>
              </w:rPr>
            </w:pPr>
          </w:p>
        </w:tc>
        <w:tc>
          <w:tcPr>
            <w:tcW w:w="1308" w:type="dxa"/>
          </w:tcPr>
          <w:p w14:paraId="721902E0">
            <w:pPr>
              <w:jc w:val="center"/>
              <w:rPr>
                <w:rFonts w:hint="eastAsia" w:ascii="宋体" w:hAnsi="宋体"/>
                <w:sz w:val="24"/>
                <w:szCs w:val="24"/>
                <w:highlight w:val="none"/>
              </w:rPr>
            </w:pPr>
          </w:p>
        </w:tc>
        <w:tc>
          <w:tcPr>
            <w:tcW w:w="1173" w:type="dxa"/>
          </w:tcPr>
          <w:p w14:paraId="69660584">
            <w:pPr>
              <w:jc w:val="center"/>
              <w:rPr>
                <w:rFonts w:hint="eastAsia" w:ascii="宋体" w:hAnsi="宋体"/>
                <w:sz w:val="24"/>
                <w:szCs w:val="24"/>
                <w:highlight w:val="none"/>
              </w:rPr>
            </w:pPr>
          </w:p>
        </w:tc>
      </w:tr>
      <w:tr w14:paraId="0B315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4293AA1D">
            <w:pPr>
              <w:jc w:val="center"/>
              <w:rPr>
                <w:rFonts w:hint="eastAsia" w:ascii="宋体" w:hAnsi="宋体"/>
                <w:sz w:val="24"/>
                <w:szCs w:val="24"/>
                <w:highlight w:val="none"/>
              </w:rPr>
            </w:pPr>
          </w:p>
        </w:tc>
        <w:tc>
          <w:tcPr>
            <w:tcW w:w="2852" w:type="dxa"/>
          </w:tcPr>
          <w:p w14:paraId="753CE0F2">
            <w:pPr>
              <w:jc w:val="center"/>
              <w:rPr>
                <w:rFonts w:hint="eastAsia" w:ascii="宋体" w:hAnsi="宋体"/>
                <w:sz w:val="24"/>
                <w:szCs w:val="24"/>
                <w:highlight w:val="none"/>
              </w:rPr>
            </w:pPr>
          </w:p>
        </w:tc>
        <w:tc>
          <w:tcPr>
            <w:tcW w:w="2852" w:type="dxa"/>
          </w:tcPr>
          <w:p w14:paraId="65D5AD7D">
            <w:pPr>
              <w:jc w:val="center"/>
              <w:rPr>
                <w:rFonts w:hint="eastAsia" w:ascii="宋体" w:hAnsi="宋体"/>
                <w:sz w:val="24"/>
                <w:szCs w:val="24"/>
                <w:highlight w:val="none"/>
              </w:rPr>
            </w:pPr>
          </w:p>
        </w:tc>
        <w:tc>
          <w:tcPr>
            <w:tcW w:w="1308" w:type="dxa"/>
          </w:tcPr>
          <w:p w14:paraId="46C3C050">
            <w:pPr>
              <w:jc w:val="center"/>
              <w:rPr>
                <w:rFonts w:hint="eastAsia" w:ascii="宋体" w:hAnsi="宋体"/>
                <w:sz w:val="24"/>
                <w:szCs w:val="24"/>
                <w:highlight w:val="none"/>
              </w:rPr>
            </w:pPr>
          </w:p>
        </w:tc>
        <w:tc>
          <w:tcPr>
            <w:tcW w:w="1173" w:type="dxa"/>
          </w:tcPr>
          <w:p w14:paraId="3FF058A5">
            <w:pPr>
              <w:jc w:val="center"/>
              <w:rPr>
                <w:rFonts w:hint="eastAsia" w:ascii="宋体" w:hAnsi="宋体"/>
                <w:sz w:val="24"/>
                <w:szCs w:val="24"/>
                <w:highlight w:val="none"/>
              </w:rPr>
            </w:pPr>
          </w:p>
        </w:tc>
      </w:tr>
      <w:tr w14:paraId="00B4B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1E71F30F">
            <w:pPr>
              <w:jc w:val="center"/>
              <w:rPr>
                <w:rFonts w:hint="eastAsia" w:ascii="宋体" w:hAnsi="宋体"/>
                <w:sz w:val="24"/>
                <w:szCs w:val="24"/>
                <w:highlight w:val="none"/>
              </w:rPr>
            </w:pPr>
          </w:p>
        </w:tc>
        <w:tc>
          <w:tcPr>
            <w:tcW w:w="2852" w:type="dxa"/>
          </w:tcPr>
          <w:p w14:paraId="34B89EE0">
            <w:pPr>
              <w:jc w:val="center"/>
              <w:rPr>
                <w:rFonts w:hint="eastAsia" w:ascii="宋体" w:hAnsi="宋体"/>
                <w:sz w:val="24"/>
                <w:szCs w:val="24"/>
                <w:highlight w:val="none"/>
              </w:rPr>
            </w:pPr>
          </w:p>
        </w:tc>
        <w:tc>
          <w:tcPr>
            <w:tcW w:w="2852" w:type="dxa"/>
          </w:tcPr>
          <w:p w14:paraId="5C0B1030">
            <w:pPr>
              <w:jc w:val="center"/>
              <w:rPr>
                <w:rFonts w:hint="eastAsia" w:ascii="宋体" w:hAnsi="宋体"/>
                <w:sz w:val="24"/>
                <w:szCs w:val="24"/>
                <w:highlight w:val="none"/>
              </w:rPr>
            </w:pPr>
          </w:p>
        </w:tc>
        <w:tc>
          <w:tcPr>
            <w:tcW w:w="1308" w:type="dxa"/>
          </w:tcPr>
          <w:p w14:paraId="2F59320C">
            <w:pPr>
              <w:jc w:val="center"/>
              <w:rPr>
                <w:rFonts w:hint="eastAsia" w:ascii="宋体" w:hAnsi="宋体"/>
                <w:sz w:val="24"/>
                <w:szCs w:val="24"/>
                <w:highlight w:val="none"/>
              </w:rPr>
            </w:pPr>
          </w:p>
        </w:tc>
        <w:tc>
          <w:tcPr>
            <w:tcW w:w="1173" w:type="dxa"/>
          </w:tcPr>
          <w:p w14:paraId="2CEFAD31">
            <w:pPr>
              <w:jc w:val="center"/>
              <w:rPr>
                <w:rFonts w:hint="eastAsia" w:ascii="宋体" w:hAnsi="宋体"/>
                <w:sz w:val="24"/>
                <w:szCs w:val="24"/>
                <w:highlight w:val="none"/>
              </w:rPr>
            </w:pPr>
          </w:p>
        </w:tc>
      </w:tr>
      <w:tr w14:paraId="14986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181F26EC">
            <w:pPr>
              <w:jc w:val="center"/>
              <w:rPr>
                <w:rFonts w:hint="eastAsia" w:ascii="宋体" w:hAnsi="宋体"/>
                <w:sz w:val="24"/>
                <w:szCs w:val="24"/>
                <w:highlight w:val="none"/>
              </w:rPr>
            </w:pPr>
          </w:p>
        </w:tc>
        <w:tc>
          <w:tcPr>
            <w:tcW w:w="2852" w:type="dxa"/>
          </w:tcPr>
          <w:p w14:paraId="0D255480">
            <w:pPr>
              <w:jc w:val="center"/>
              <w:rPr>
                <w:rFonts w:hint="eastAsia" w:ascii="宋体" w:hAnsi="宋体"/>
                <w:sz w:val="24"/>
                <w:szCs w:val="24"/>
                <w:highlight w:val="none"/>
              </w:rPr>
            </w:pPr>
          </w:p>
        </w:tc>
        <w:tc>
          <w:tcPr>
            <w:tcW w:w="2852" w:type="dxa"/>
          </w:tcPr>
          <w:p w14:paraId="6678219A">
            <w:pPr>
              <w:jc w:val="center"/>
              <w:rPr>
                <w:rFonts w:hint="eastAsia" w:ascii="宋体" w:hAnsi="宋体"/>
                <w:sz w:val="24"/>
                <w:szCs w:val="24"/>
                <w:highlight w:val="none"/>
              </w:rPr>
            </w:pPr>
          </w:p>
        </w:tc>
        <w:tc>
          <w:tcPr>
            <w:tcW w:w="1308" w:type="dxa"/>
          </w:tcPr>
          <w:p w14:paraId="1CC3C909">
            <w:pPr>
              <w:jc w:val="center"/>
              <w:rPr>
                <w:rFonts w:hint="eastAsia" w:ascii="宋体" w:hAnsi="宋体"/>
                <w:sz w:val="24"/>
                <w:szCs w:val="24"/>
                <w:highlight w:val="none"/>
              </w:rPr>
            </w:pPr>
          </w:p>
        </w:tc>
        <w:tc>
          <w:tcPr>
            <w:tcW w:w="1173" w:type="dxa"/>
          </w:tcPr>
          <w:p w14:paraId="1B752D4C">
            <w:pPr>
              <w:jc w:val="center"/>
              <w:rPr>
                <w:rFonts w:hint="eastAsia" w:ascii="宋体" w:hAnsi="宋体"/>
                <w:sz w:val="24"/>
                <w:szCs w:val="24"/>
                <w:highlight w:val="none"/>
              </w:rPr>
            </w:pPr>
          </w:p>
        </w:tc>
      </w:tr>
    </w:tbl>
    <w:p w14:paraId="6BAFDA3A">
      <w:pPr>
        <w:rPr>
          <w:rFonts w:hint="eastAsia" w:ascii="宋体" w:hAnsi="宋体"/>
          <w:sz w:val="24"/>
          <w:szCs w:val="24"/>
          <w:highlight w:val="none"/>
        </w:rPr>
      </w:pPr>
      <w:r>
        <w:rPr>
          <w:rFonts w:hint="eastAsia" w:ascii="宋体" w:hAnsi="宋体"/>
          <w:sz w:val="24"/>
          <w:szCs w:val="24"/>
          <w:highlight w:val="none"/>
        </w:rPr>
        <w:t>我方除上述条款以外，完全响应招标文件条款。</w:t>
      </w:r>
    </w:p>
    <w:p w14:paraId="3E3A20F0">
      <w:pPr>
        <w:spacing w:line="360" w:lineRule="auto"/>
        <w:rPr>
          <w:rFonts w:hint="eastAsia" w:ascii="宋体" w:hAnsi="宋体"/>
          <w:sz w:val="24"/>
          <w:szCs w:val="24"/>
          <w:highlight w:val="none"/>
        </w:rPr>
      </w:pPr>
    </w:p>
    <w:p w14:paraId="4EE5D20B">
      <w:pPr>
        <w:spacing w:line="360" w:lineRule="auto"/>
        <w:rPr>
          <w:rFonts w:hint="eastAsia" w:ascii="宋体" w:hAnsi="宋体"/>
          <w:sz w:val="24"/>
          <w:szCs w:val="24"/>
          <w:highlight w:val="none"/>
        </w:rPr>
      </w:pPr>
      <w:r>
        <w:rPr>
          <w:rFonts w:hint="eastAsia" w:ascii="宋体" w:hAnsi="宋体"/>
          <w:sz w:val="24"/>
          <w:szCs w:val="24"/>
          <w:highlight w:val="none"/>
        </w:rPr>
        <w:t>注：1、按照基本技术要求详细填列。</w:t>
      </w:r>
    </w:p>
    <w:p w14:paraId="32557C62">
      <w:pPr>
        <w:numPr>
          <w:ilvl w:val="0"/>
          <w:numId w:val="5"/>
        </w:numPr>
        <w:spacing w:line="360" w:lineRule="auto"/>
        <w:rPr>
          <w:rFonts w:hint="eastAsia" w:ascii="宋体" w:hAnsi="宋体"/>
          <w:sz w:val="24"/>
          <w:szCs w:val="24"/>
          <w:highlight w:val="none"/>
        </w:rPr>
      </w:pPr>
      <w:r>
        <w:rPr>
          <w:rFonts w:hint="eastAsia" w:ascii="宋体" w:hAnsi="宋体"/>
          <w:sz w:val="24"/>
          <w:szCs w:val="24"/>
          <w:highlight w:val="none"/>
        </w:rPr>
        <w:t>行数不够，可自行添加。</w:t>
      </w:r>
    </w:p>
    <w:p w14:paraId="44F75259">
      <w:pPr>
        <w:widowControl/>
        <w:spacing w:line="360" w:lineRule="auto"/>
        <w:ind w:firstLine="120"/>
        <w:jc w:val="left"/>
        <w:rPr>
          <w:sz w:val="24"/>
          <w:szCs w:val="24"/>
          <w:highlight w:val="none"/>
        </w:rPr>
      </w:pPr>
    </w:p>
    <w:p w14:paraId="64FE6B58">
      <w:pPr>
        <w:pStyle w:val="39"/>
        <w:ind w:firstLine="0"/>
        <w:rPr>
          <w:highlight w:val="none"/>
        </w:rPr>
      </w:pPr>
    </w:p>
    <w:p w14:paraId="5EC7A613">
      <w:pPr>
        <w:widowControl/>
        <w:spacing w:line="360" w:lineRule="auto"/>
        <w:ind w:firstLine="480"/>
        <w:jc w:val="left"/>
        <w:rPr>
          <w:sz w:val="24"/>
          <w:szCs w:val="24"/>
          <w:highlight w:val="none"/>
        </w:rPr>
      </w:pPr>
      <w:r>
        <w:rPr>
          <w:rFonts w:hint="eastAsia"/>
          <w:sz w:val="24"/>
          <w:szCs w:val="24"/>
          <w:highlight w:val="none"/>
        </w:rPr>
        <w:t xml:space="preserve">法定代表人或委托代理人： </w:t>
      </w:r>
      <w:r>
        <w:rPr>
          <w:rFonts w:hint="eastAsia"/>
          <w:sz w:val="24"/>
          <w:szCs w:val="24"/>
          <w:highlight w:val="none"/>
          <w:u w:val="single"/>
        </w:rPr>
        <w:t xml:space="preserve">                  </w:t>
      </w:r>
      <w:r>
        <w:rPr>
          <w:rFonts w:hint="eastAsia"/>
          <w:sz w:val="24"/>
          <w:szCs w:val="24"/>
          <w:highlight w:val="none"/>
        </w:rPr>
        <w:t>（盖章或签字）</w:t>
      </w:r>
    </w:p>
    <w:p w14:paraId="4BFE542F">
      <w:pPr>
        <w:spacing w:before="100" w:beforeAutospacing="1" w:after="100" w:afterAutospacing="1" w:line="360" w:lineRule="auto"/>
        <w:ind w:firstLine="480"/>
        <w:rPr>
          <w:sz w:val="24"/>
          <w:szCs w:val="24"/>
          <w:highlight w:val="none"/>
        </w:rPr>
      </w:pPr>
      <w:r>
        <w:rPr>
          <w:rFonts w:hint="eastAsia"/>
          <w:sz w:val="24"/>
          <w:szCs w:val="24"/>
          <w:highlight w:val="none"/>
        </w:rPr>
        <w:t xml:space="preserve">投标单位：   </w:t>
      </w:r>
      <w:r>
        <w:rPr>
          <w:rFonts w:hint="eastAsia"/>
          <w:sz w:val="24"/>
          <w:szCs w:val="24"/>
          <w:highlight w:val="none"/>
          <w:u w:val="single"/>
        </w:rPr>
        <w:t xml:space="preserve">                </w:t>
      </w:r>
      <w:r>
        <w:rPr>
          <w:rFonts w:hint="eastAsia"/>
          <w:sz w:val="24"/>
          <w:szCs w:val="24"/>
          <w:highlight w:val="none"/>
        </w:rPr>
        <w:t xml:space="preserve"> （全称并加盖公章）</w:t>
      </w:r>
    </w:p>
    <w:p w14:paraId="4C44993F">
      <w:pPr>
        <w:spacing w:before="100" w:beforeAutospacing="1" w:after="100" w:afterAutospacing="1" w:line="360" w:lineRule="auto"/>
        <w:ind w:firstLine="480"/>
        <w:jc w:val="right"/>
        <w:rPr>
          <w:sz w:val="24"/>
          <w:szCs w:val="24"/>
          <w:highlight w:val="none"/>
        </w:rPr>
        <w:sectPr>
          <w:pgSz w:w="11906" w:h="16838"/>
          <w:pgMar w:top="1474" w:right="1474" w:bottom="1474" w:left="1474" w:header="851" w:footer="907" w:gutter="0"/>
          <w:cols w:space="720" w:num="1"/>
          <w:docGrid w:linePitch="360" w:charSpace="0"/>
        </w:sectPr>
      </w:pPr>
      <w:r>
        <w:rPr>
          <w:rFonts w:hint="eastAsia"/>
          <w:sz w:val="24"/>
          <w:szCs w:val="24"/>
          <w:highlight w:val="none"/>
        </w:rPr>
        <w:t>年    月    日</w:t>
      </w:r>
    </w:p>
    <w:p w14:paraId="376E6EC6">
      <w:pPr>
        <w:pStyle w:val="18"/>
        <w:spacing w:beforeAutospacing="0" w:afterAutospacing="0"/>
        <w:jc w:val="center"/>
        <w:rPr>
          <w:rFonts w:hint="eastAsia" w:ascii="黑体" w:eastAsia="黑体" w:cs="黑体"/>
          <w:b/>
          <w:sz w:val="32"/>
          <w:szCs w:val="32"/>
          <w:highlight w:val="none"/>
        </w:rPr>
      </w:pPr>
      <w:r>
        <w:rPr>
          <w:rFonts w:hint="eastAsia" w:ascii="黑体" w:eastAsia="黑体" w:cs="黑体"/>
          <w:b/>
          <w:sz w:val="32"/>
          <w:szCs w:val="32"/>
          <w:highlight w:val="none"/>
        </w:rPr>
        <w:t>（十三）开标一览表</w:t>
      </w:r>
    </w:p>
    <w:p w14:paraId="2809E927">
      <w:pPr>
        <w:spacing w:line="480" w:lineRule="exact"/>
        <w:jc w:val="left"/>
        <w:rPr>
          <w:rFonts w:hint="eastAsia" w:ascii="宋体" w:hAnsi="宋体" w:cs="Segoe UI"/>
          <w:sz w:val="27"/>
          <w:szCs w:val="27"/>
          <w:highlight w:val="none"/>
        </w:rPr>
      </w:pPr>
    </w:p>
    <w:p w14:paraId="3ED6BB5C">
      <w:pPr>
        <w:spacing w:line="360" w:lineRule="auto"/>
        <w:ind w:firstLine="420"/>
        <w:jc w:val="left"/>
        <w:rPr>
          <w:rFonts w:hint="eastAsia" w:ascii="宋体" w:hAnsi="宋体" w:cs="Segoe UI"/>
          <w:sz w:val="24"/>
          <w:szCs w:val="24"/>
          <w:highlight w:val="none"/>
        </w:rPr>
      </w:pPr>
      <w:r>
        <w:rPr>
          <w:rFonts w:hint="eastAsia" w:ascii="宋体" w:hAnsi="宋体" w:cs="Segoe UI"/>
          <w:sz w:val="24"/>
          <w:szCs w:val="24"/>
          <w:highlight w:val="none"/>
        </w:rPr>
        <w:t>项目编号：</w:t>
      </w:r>
    </w:p>
    <w:p w14:paraId="64866747">
      <w:pPr>
        <w:widowControl/>
        <w:spacing w:before="100" w:beforeAutospacing="1" w:after="100" w:afterAutospacing="1" w:line="360" w:lineRule="auto"/>
        <w:ind w:firstLine="420"/>
        <w:jc w:val="left"/>
        <w:rPr>
          <w:rFonts w:hint="eastAsia" w:ascii="宋体" w:hAnsi="宋体" w:cs="Segoe UI"/>
          <w:sz w:val="24"/>
          <w:szCs w:val="24"/>
          <w:highlight w:val="none"/>
        </w:rPr>
      </w:pPr>
      <w:r>
        <w:rPr>
          <w:rFonts w:ascii="宋体" w:hAnsi="宋体" w:cs="Segoe UI"/>
          <w:sz w:val="24"/>
          <w:szCs w:val="24"/>
          <w:highlight w:val="none"/>
        </w:rPr>
        <w:t>货币单位：</w:t>
      </w:r>
      <w:r>
        <w:rPr>
          <w:rFonts w:hint="eastAsia" w:ascii="宋体" w:hAnsi="宋体" w:cs="Segoe UI"/>
          <w:sz w:val="24"/>
          <w:szCs w:val="24"/>
          <w:highlight w:val="none"/>
        </w:rPr>
        <w:t>元</w:t>
      </w:r>
    </w:p>
    <w:tbl>
      <w:tblPr>
        <w:tblStyle w:val="22"/>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190"/>
        <w:gridCol w:w="3095"/>
      </w:tblGrid>
      <w:tr w14:paraId="5674A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20" w:hRule="atLeast"/>
          <w:jc w:val="center"/>
        </w:trPr>
        <w:tc>
          <w:tcPr>
            <w:tcW w:w="6190" w:type="dxa"/>
            <w:vAlign w:val="center"/>
          </w:tcPr>
          <w:p w14:paraId="25DB52BD">
            <w:pPr>
              <w:widowControl/>
              <w:spacing w:before="100" w:beforeAutospacing="1" w:after="100" w:afterAutospacing="1" w:line="360" w:lineRule="auto"/>
              <w:jc w:val="center"/>
              <w:rPr>
                <w:rFonts w:hint="eastAsia" w:ascii="宋体" w:hAnsi="宋体" w:cs="Segoe UI"/>
                <w:sz w:val="24"/>
                <w:szCs w:val="24"/>
                <w:highlight w:val="none"/>
              </w:rPr>
            </w:pPr>
            <w:r>
              <w:rPr>
                <w:rFonts w:hint="eastAsia" w:ascii="宋体" w:hAnsi="宋体" w:cs="Segoe UI"/>
                <w:sz w:val="24"/>
                <w:szCs w:val="24"/>
                <w:highlight w:val="none"/>
              </w:rPr>
              <w:t>项目名称</w:t>
            </w:r>
          </w:p>
        </w:tc>
        <w:tc>
          <w:tcPr>
            <w:tcW w:w="3095" w:type="dxa"/>
            <w:vAlign w:val="center"/>
          </w:tcPr>
          <w:p w14:paraId="1FAE63FF">
            <w:pPr>
              <w:widowControl/>
              <w:spacing w:before="100" w:beforeAutospacing="1" w:after="100" w:afterAutospacing="1" w:line="360" w:lineRule="auto"/>
              <w:jc w:val="center"/>
              <w:rPr>
                <w:rFonts w:hint="eastAsia" w:ascii="宋体" w:hAnsi="宋体" w:cs="Segoe UI"/>
                <w:sz w:val="24"/>
                <w:szCs w:val="24"/>
                <w:highlight w:val="none"/>
              </w:rPr>
            </w:pPr>
            <w:r>
              <w:rPr>
                <w:rFonts w:hint="eastAsia" w:ascii="宋体" w:hAnsi="宋体" w:cs="Segoe UI"/>
                <w:sz w:val="24"/>
                <w:szCs w:val="24"/>
                <w:highlight w:val="none"/>
              </w:rPr>
              <w:t>报价</w:t>
            </w:r>
            <w:r>
              <w:rPr>
                <w:rFonts w:ascii="宋体" w:hAnsi="宋体" w:cs="Segoe UI"/>
                <w:sz w:val="24"/>
                <w:szCs w:val="24"/>
                <w:highlight w:val="none"/>
              </w:rPr>
              <w:t>（</w:t>
            </w:r>
            <w:r>
              <w:rPr>
                <w:rFonts w:hint="eastAsia" w:ascii="宋体" w:hAnsi="宋体" w:cs="Segoe UI"/>
                <w:sz w:val="24"/>
                <w:szCs w:val="24"/>
                <w:highlight w:val="none"/>
              </w:rPr>
              <w:t>元</w:t>
            </w:r>
            <w:r>
              <w:rPr>
                <w:rFonts w:ascii="宋体" w:hAnsi="宋体" w:cs="Segoe UI"/>
                <w:sz w:val="24"/>
                <w:szCs w:val="24"/>
                <w:highlight w:val="none"/>
              </w:rPr>
              <w:t>）</w:t>
            </w:r>
          </w:p>
        </w:tc>
      </w:tr>
      <w:tr w14:paraId="26659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7" w:hRule="atLeast"/>
          <w:jc w:val="center"/>
        </w:trPr>
        <w:tc>
          <w:tcPr>
            <w:tcW w:w="6190" w:type="dxa"/>
            <w:vAlign w:val="center"/>
          </w:tcPr>
          <w:p w14:paraId="0430C794">
            <w:pPr>
              <w:pStyle w:val="6"/>
              <w:ind w:firstLine="0"/>
              <w:jc w:val="center"/>
              <w:rPr>
                <w:rFonts w:hint="eastAsia" w:ascii="宋体" w:hAnsi="宋体" w:cs="Segoe UI"/>
                <w:sz w:val="24"/>
                <w:szCs w:val="24"/>
                <w:highlight w:val="none"/>
              </w:rPr>
            </w:pPr>
            <w:r>
              <w:rPr>
                <w:rFonts w:hint="eastAsia" w:ascii="宋体" w:hAnsi="宋体" w:cs="宋体"/>
                <w:sz w:val="24"/>
                <w:szCs w:val="24"/>
                <w:highlight w:val="none"/>
              </w:rPr>
              <w:t>盐城市大丰区公共机构能源费用托管服务采购项目</w:t>
            </w:r>
          </w:p>
        </w:tc>
        <w:tc>
          <w:tcPr>
            <w:tcW w:w="3095" w:type="dxa"/>
            <w:vAlign w:val="center"/>
          </w:tcPr>
          <w:p w14:paraId="53F95C09">
            <w:pPr>
              <w:widowControl/>
              <w:spacing w:before="100" w:beforeAutospacing="1" w:after="100" w:afterAutospacing="1" w:line="360" w:lineRule="auto"/>
              <w:ind w:right="240"/>
              <w:jc w:val="right"/>
              <w:rPr>
                <w:rFonts w:hint="eastAsia" w:ascii="宋体" w:hAnsi="宋体" w:cs="Segoe UI"/>
                <w:sz w:val="24"/>
                <w:szCs w:val="24"/>
                <w:highlight w:val="none"/>
              </w:rPr>
            </w:pPr>
          </w:p>
        </w:tc>
      </w:tr>
      <w:tr w14:paraId="3BAF8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9285" w:type="dxa"/>
            <w:gridSpan w:val="2"/>
            <w:vAlign w:val="center"/>
          </w:tcPr>
          <w:p w14:paraId="44A732AD">
            <w:pPr>
              <w:widowControl/>
              <w:spacing w:before="100" w:beforeAutospacing="1" w:after="100" w:afterAutospacing="1" w:line="360" w:lineRule="auto"/>
              <w:jc w:val="left"/>
              <w:rPr>
                <w:rFonts w:hint="eastAsia" w:ascii="宋体" w:hAnsi="宋体" w:cs="Segoe UI"/>
                <w:sz w:val="24"/>
                <w:szCs w:val="24"/>
                <w:highlight w:val="none"/>
              </w:rPr>
            </w:pPr>
            <w:r>
              <w:rPr>
                <w:rFonts w:ascii="宋体" w:hAnsi="宋体" w:cs="Segoe UI"/>
                <w:sz w:val="24"/>
                <w:szCs w:val="24"/>
                <w:highlight w:val="none"/>
              </w:rPr>
              <w:t>大写</w:t>
            </w:r>
            <w:r>
              <w:rPr>
                <w:rFonts w:hint="eastAsia" w:ascii="宋体" w:hAnsi="宋体" w:cs="Segoe UI"/>
                <w:sz w:val="24"/>
                <w:szCs w:val="24"/>
                <w:highlight w:val="none"/>
              </w:rPr>
              <w:t>：</w:t>
            </w:r>
          </w:p>
        </w:tc>
      </w:tr>
    </w:tbl>
    <w:p w14:paraId="2B971472">
      <w:pPr>
        <w:widowControl/>
        <w:spacing w:before="100" w:beforeAutospacing="1" w:after="100" w:afterAutospacing="1" w:line="360" w:lineRule="auto"/>
        <w:jc w:val="left"/>
        <w:rPr>
          <w:rFonts w:hint="eastAsia" w:ascii="宋体" w:hAnsi="宋体" w:cs="Segoe UI"/>
          <w:sz w:val="24"/>
          <w:szCs w:val="24"/>
          <w:highlight w:val="none"/>
        </w:rPr>
      </w:pPr>
      <w:r>
        <w:rPr>
          <w:rFonts w:hint="eastAsia" w:ascii="宋体" w:hAnsi="宋体" w:cs="Segoe UI"/>
          <w:sz w:val="24"/>
          <w:szCs w:val="24"/>
          <w:highlight w:val="none"/>
        </w:rPr>
        <w:t>注：当招标文件与系统不一致时，以系统版本为准。</w:t>
      </w:r>
    </w:p>
    <w:p w14:paraId="27ACBFDC">
      <w:pPr>
        <w:widowControl/>
        <w:spacing w:before="100" w:beforeAutospacing="1" w:after="100" w:afterAutospacing="1" w:line="360" w:lineRule="auto"/>
        <w:ind w:left="840" w:firstLine="720" w:firstLineChars="300"/>
        <w:jc w:val="left"/>
        <w:rPr>
          <w:rFonts w:hint="eastAsia" w:ascii="宋体" w:hAnsi="宋体" w:cs="Segoe UI"/>
          <w:sz w:val="24"/>
          <w:szCs w:val="24"/>
          <w:highlight w:val="none"/>
        </w:rPr>
      </w:pPr>
      <w:r>
        <w:rPr>
          <w:rFonts w:ascii="宋体" w:hAnsi="宋体" w:cs="Segoe UI"/>
          <w:sz w:val="24"/>
          <w:szCs w:val="24"/>
          <w:highlight w:val="none"/>
        </w:rPr>
        <w:t>投标人公章：</w:t>
      </w:r>
    </w:p>
    <w:p w14:paraId="71CB0DC1">
      <w:pPr>
        <w:widowControl/>
        <w:spacing w:before="100" w:beforeAutospacing="1" w:after="100" w:afterAutospacing="1" w:line="360" w:lineRule="auto"/>
        <w:ind w:left="840" w:firstLine="720" w:firstLineChars="300"/>
        <w:jc w:val="left"/>
        <w:rPr>
          <w:rFonts w:hint="eastAsia" w:ascii="宋体" w:hAnsi="宋体" w:cs="Segoe UI"/>
          <w:sz w:val="24"/>
          <w:szCs w:val="24"/>
          <w:highlight w:val="none"/>
        </w:rPr>
      </w:pPr>
      <w:r>
        <w:rPr>
          <w:rFonts w:ascii="宋体" w:hAnsi="宋体" w:cs="Segoe UI"/>
          <w:sz w:val="24"/>
          <w:szCs w:val="24"/>
          <w:highlight w:val="none"/>
        </w:rPr>
        <w:t>（电子签章）</w:t>
      </w:r>
    </w:p>
    <w:p w14:paraId="3461466C">
      <w:pPr>
        <w:spacing w:before="50" w:after="50" w:line="360" w:lineRule="auto"/>
        <w:jc w:val="center"/>
        <w:rPr>
          <w:rFonts w:hint="eastAsia" w:ascii="黑体" w:hAnsi="黑体" w:eastAsia="黑体" w:cs="黑体"/>
          <w:b/>
          <w:sz w:val="24"/>
          <w:szCs w:val="24"/>
          <w:highlight w:val="none"/>
        </w:rPr>
        <w:sectPr>
          <w:pgSz w:w="11906" w:h="16838"/>
          <w:pgMar w:top="1474" w:right="1474" w:bottom="1474" w:left="1474" w:header="851" w:footer="907" w:gutter="0"/>
          <w:cols w:space="720" w:num="1"/>
          <w:docGrid w:linePitch="360" w:charSpace="0"/>
        </w:sectPr>
      </w:pPr>
    </w:p>
    <w:p w14:paraId="18FFE5D3">
      <w:pPr>
        <w:spacing w:before="50" w:after="50"/>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t>（十四）依据评标办法用于评分的材料</w:t>
      </w:r>
    </w:p>
    <w:p w14:paraId="7402ECE2">
      <w:pPr>
        <w:spacing w:before="50" w:after="50"/>
        <w:jc w:val="center"/>
        <w:rPr>
          <w:rFonts w:hint="eastAsia" w:ascii="黑体" w:hAnsi="黑体" w:eastAsia="黑体" w:cs="黑体"/>
          <w:b/>
          <w:sz w:val="36"/>
          <w:szCs w:val="36"/>
          <w:highlight w:val="none"/>
        </w:rPr>
      </w:pPr>
    </w:p>
    <w:p w14:paraId="47ED5279">
      <w:pPr>
        <w:spacing w:before="50" w:after="50"/>
        <w:jc w:val="center"/>
        <w:rPr>
          <w:rFonts w:hint="eastAsia" w:ascii="黑体" w:hAnsi="黑体" w:eastAsia="黑体" w:cs="黑体"/>
          <w:b/>
          <w:sz w:val="36"/>
          <w:szCs w:val="36"/>
          <w:highlight w:val="none"/>
        </w:rPr>
      </w:pPr>
    </w:p>
    <w:p w14:paraId="6E2AEBEA">
      <w:pPr>
        <w:spacing w:before="50" w:after="50"/>
        <w:jc w:val="center"/>
        <w:rPr>
          <w:rFonts w:hint="eastAsia" w:ascii="黑体" w:hAnsi="黑体" w:eastAsia="黑体" w:cs="黑体"/>
          <w:b/>
          <w:sz w:val="36"/>
          <w:szCs w:val="36"/>
          <w:highlight w:val="none"/>
        </w:rPr>
      </w:pPr>
    </w:p>
    <w:p w14:paraId="720EFFA0">
      <w:pPr>
        <w:spacing w:before="50" w:after="50"/>
        <w:jc w:val="center"/>
        <w:rPr>
          <w:rFonts w:hint="eastAsia" w:ascii="黑体" w:hAnsi="黑体" w:eastAsia="黑体" w:cs="黑体"/>
          <w:b/>
          <w:sz w:val="36"/>
          <w:szCs w:val="36"/>
          <w:highlight w:val="none"/>
        </w:rPr>
      </w:pPr>
    </w:p>
    <w:p w14:paraId="0657F27F">
      <w:pPr>
        <w:spacing w:before="50" w:after="50"/>
        <w:jc w:val="center"/>
        <w:rPr>
          <w:rFonts w:hint="eastAsia" w:ascii="黑体" w:hAnsi="黑体" w:eastAsia="黑体" w:cs="黑体"/>
          <w:b/>
          <w:sz w:val="36"/>
          <w:szCs w:val="36"/>
          <w:highlight w:val="none"/>
        </w:rPr>
      </w:pPr>
    </w:p>
    <w:p w14:paraId="27C5C0DA">
      <w:pPr>
        <w:spacing w:before="50" w:after="50"/>
        <w:jc w:val="center"/>
        <w:rPr>
          <w:rFonts w:hint="eastAsia" w:ascii="黑体" w:hAnsi="黑体" w:eastAsia="黑体" w:cs="黑体"/>
          <w:b/>
          <w:sz w:val="36"/>
          <w:szCs w:val="36"/>
          <w:highlight w:val="none"/>
        </w:rPr>
      </w:pPr>
    </w:p>
    <w:p w14:paraId="129165CC">
      <w:pPr>
        <w:spacing w:before="50" w:after="50"/>
        <w:jc w:val="center"/>
        <w:rPr>
          <w:rFonts w:hint="eastAsia" w:ascii="黑体" w:hAnsi="黑体" w:eastAsia="黑体" w:cs="黑体"/>
          <w:b/>
          <w:sz w:val="36"/>
          <w:szCs w:val="36"/>
          <w:highlight w:val="none"/>
        </w:rPr>
      </w:pPr>
    </w:p>
    <w:p w14:paraId="06B962A5">
      <w:pPr>
        <w:spacing w:before="50" w:after="50"/>
        <w:jc w:val="center"/>
        <w:rPr>
          <w:rFonts w:hint="eastAsia" w:ascii="黑体" w:hAnsi="黑体" w:eastAsia="黑体" w:cs="黑体"/>
          <w:b/>
          <w:sz w:val="36"/>
          <w:szCs w:val="36"/>
          <w:highlight w:val="none"/>
        </w:rPr>
      </w:pPr>
    </w:p>
    <w:p w14:paraId="3DAC42FD">
      <w:pPr>
        <w:spacing w:before="50" w:after="50"/>
        <w:jc w:val="center"/>
        <w:rPr>
          <w:rFonts w:hint="eastAsia" w:ascii="黑体" w:hAnsi="黑体" w:eastAsia="黑体" w:cs="黑体"/>
          <w:b/>
          <w:sz w:val="36"/>
          <w:szCs w:val="36"/>
          <w:highlight w:val="none"/>
        </w:rPr>
      </w:pPr>
    </w:p>
    <w:p w14:paraId="64EBC4C2">
      <w:pPr>
        <w:spacing w:before="50" w:after="50"/>
        <w:jc w:val="center"/>
        <w:rPr>
          <w:rFonts w:hint="eastAsia" w:ascii="黑体" w:hAnsi="黑体" w:eastAsia="黑体" w:cs="黑体"/>
          <w:b/>
          <w:sz w:val="36"/>
          <w:szCs w:val="36"/>
          <w:highlight w:val="none"/>
        </w:rPr>
      </w:pPr>
    </w:p>
    <w:p w14:paraId="03D70F51">
      <w:pPr>
        <w:spacing w:before="50" w:after="50"/>
        <w:jc w:val="center"/>
        <w:rPr>
          <w:rFonts w:hint="eastAsia" w:ascii="黑体" w:hAnsi="黑体" w:eastAsia="黑体" w:cs="黑体"/>
          <w:b/>
          <w:sz w:val="36"/>
          <w:szCs w:val="36"/>
          <w:highlight w:val="none"/>
        </w:rPr>
      </w:pPr>
    </w:p>
    <w:p w14:paraId="56787232">
      <w:pPr>
        <w:spacing w:before="50" w:after="50"/>
        <w:jc w:val="center"/>
        <w:rPr>
          <w:rFonts w:hint="eastAsia" w:ascii="黑体" w:hAnsi="黑体" w:eastAsia="黑体" w:cs="黑体"/>
          <w:b/>
          <w:sz w:val="36"/>
          <w:szCs w:val="36"/>
          <w:highlight w:val="none"/>
        </w:rPr>
      </w:pPr>
    </w:p>
    <w:p w14:paraId="333A8689">
      <w:pPr>
        <w:spacing w:before="50" w:after="50"/>
        <w:jc w:val="center"/>
        <w:rPr>
          <w:rFonts w:hint="eastAsia" w:ascii="黑体" w:hAnsi="黑体" w:eastAsia="黑体" w:cs="黑体"/>
          <w:b/>
          <w:sz w:val="36"/>
          <w:szCs w:val="36"/>
          <w:highlight w:val="none"/>
        </w:rPr>
      </w:pPr>
    </w:p>
    <w:p w14:paraId="57DFC53A">
      <w:pPr>
        <w:spacing w:before="50" w:after="50"/>
        <w:jc w:val="center"/>
        <w:rPr>
          <w:rFonts w:hint="eastAsia" w:ascii="黑体" w:hAnsi="黑体" w:eastAsia="黑体" w:cs="黑体"/>
          <w:b/>
          <w:sz w:val="36"/>
          <w:szCs w:val="36"/>
          <w:highlight w:val="none"/>
        </w:rPr>
      </w:pPr>
    </w:p>
    <w:p w14:paraId="0633FA1E">
      <w:pPr>
        <w:spacing w:before="50" w:after="50"/>
        <w:jc w:val="center"/>
        <w:rPr>
          <w:rFonts w:hint="eastAsia" w:ascii="黑体" w:hAnsi="黑体" w:eastAsia="黑体" w:cs="黑体"/>
          <w:b/>
          <w:sz w:val="36"/>
          <w:szCs w:val="36"/>
          <w:highlight w:val="none"/>
        </w:rPr>
      </w:pPr>
    </w:p>
    <w:p w14:paraId="5ECC7A5A">
      <w:pPr>
        <w:spacing w:before="50" w:after="50"/>
        <w:jc w:val="center"/>
        <w:rPr>
          <w:rFonts w:hint="eastAsia" w:ascii="黑体" w:hAnsi="黑体" w:eastAsia="黑体" w:cs="黑体"/>
          <w:b/>
          <w:sz w:val="36"/>
          <w:szCs w:val="36"/>
          <w:highlight w:val="none"/>
        </w:rPr>
      </w:pPr>
    </w:p>
    <w:p w14:paraId="76C6FFE9">
      <w:pPr>
        <w:spacing w:before="50" w:after="50"/>
        <w:jc w:val="center"/>
        <w:rPr>
          <w:rFonts w:hint="eastAsia" w:ascii="黑体" w:hAnsi="黑体" w:eastAsia="黑体" w:cs="黑体"/>
          <w:b/>
          <w:sz w:val="36"/>
          <w:szCs w:val="36"/>
          <w:highlight w:val="none"/>
        </w:rPr>
      </w:pPr>
    </w:p>
    <w:p w14:paraId="616B9A3F">
      <w:pPr>
        <w:spacing w:before="50" w:after="50"/>
        <w:jc w:val="center"/>
        <w:rPr>
          <w:rFonts w:hint="eastAsia" w:ascii="黑体" w:hAnsi="黑体" w:eastAsia="黑体" w:cs="黑体"/>
          <w:b/>
          <w:sz w:val="36"/>
          <w:szCs w:val="36"/>
          <w:highlight w:val="none"/>
        </w:rPr>
      </w:pPr>
    </w:p>
    <w:p w14:paraId="0F9FE381">
      <w:pPr>
        <w:spacing w:before="50" w:after="50"/>
        <w:jc w:val="center"/>
        <w:rPr>
          <w:rFonts w:hint="eastAsia" w:ascii="黑体" w:hAnsi="黑体" w:eastAsia="黑体" w:cs="黑体"/>
          <w:b/>
          <w:sz w:val="36"/>
          <w:szCs w:val="36"/>
          <w:highlight w:val="none"/>
        </w:rPr>
      </w:pPr>
    </w:p>
    <w:p w14:paraId="266EDB80">
      <w:pPr>
        <w:spacing w:before="50" w:after="50"/>
        <w:jc w:val="center"/>
        <w:rPr>
          <w:rFonts w:hint="eastAsia" w:ascii="黑体" w:hAnsi="黑体" w:eastAsia="黑体" w:cs="黑体"/>
          <w:b/>
          <w:sz w:val="36"/>
          <w:szCs w:val="36"/>
          <w:highlight w:val="none"/>
        </w:rPr>
      </w:pPr>
    </w:p>
    <w:p w14:paraId="696E7F41">
      <w:pPr>
        <w:spacing w:before="50" w:after="50"/>
        <w:jc w:val="center"/>
        <w:rPr>
          <w:rFonts w:hint="eastAsia" w:ascii="黑体" w:hAnsi="黑体" w:eastAsia="黑体" w:cs="黑体"/>
          <w:b/>
          <w:sz w:val="36"/>
          <w:szCs w:val="36"/>
          <w:highlight w:val="none"/>
        </w:rPr>
      </w:pPr>
    </w:p>
    <w:p w14:paraId="40E17133">
      <w:pPr>
        <w:spacing w:before="50" w:after="50"/>
        <w:jc w:val="center"/>
        <w:rPr>
          <w:rFonts w:hint="eastAsia" w:ascii="黑体" w:hAnsi="黑体" w:eastAsia="黑体" w:cs="黑体"/>
          <w:b/>
          <w:sz w:val="36"/>
          <w:szCs w:val="36"/>
          <w:highlight w:val="none"/>
        </w:rPr>
      </w:pPr>
    </w:p>
    <w:p w14:paraId="39EEE4C8">
      <w:pPr>
        <w:spacing w:before="50" w:after="50"/>
        <w:jc w:val="center"/>
        <w:rPr>
          <w:rFonts w:hint="eastAsia" w:ascii="黑体" w:hAnsi="黑体" w:eastAsia="黑体" w:cs="黑体"/>
          <w:b/>
          <w:sz w:val="36"/>
          <w:szCs w:val="36"/>
          <w:highlight w:val="none"/>
        </w:rPr>
      </w:pPr>
    </w:p>
    <w:p w14:paraId="230D30FA">
      <w:pPr>
        <w:spacing w:before="50" w:after="50"/>
        <w:jc w:val="center"/>
        <w:rPr>
          <w:rFonts w:hint="eastAsia" w:ascii="黑体" w:hAnsi="黑体" w:eastAsia="黑体" w:cs="黑体"/>
          <w:b/>
          <w:sz w:val="36"/>
          <w:szCs w:val="36"/>
          <w:highlight w:val="none"/>
        </w:rPr>
      </w:pPr>
    </w:p>
    <w:p w14:paraId="16E86BAD">
      <w:pPr>
        <w:spacing w:before="50" w:after="50"/>
        <w:jc w:val="center"/>
        <w:rPr>
          <w:rFonts w:hint="eastAsia" w:ascii="黑体" w:hAnsi="黑体" w:eastAsia="黑体" w:cs="黑体"/>
          <w:b/>
          <w:sz w:val="36"/>
          <w:szCs w:val="36"/>
          <w:highlight w:val="none"/>
        </w:rPr>
      </w:pPr>
    </w:p>
    <w:p w14:paraId="7EB1304F">
      <w:pPr>
        <w:spacing w:before="50" w:after="50"/>
        <w:jc w:val="center"/>
        <w:rPr>
          <w:rFonts w:hint="eastAsia" w:ascii="黑体" w:hAnsi="黑体" w:eastAsia="黑体" w:cs="黑体"/>
          <w:b/>
          <w:sz w:val="36"/>
          <w:szCs w:val="36"/>
          <w:highlight w:val="none"/>
        </w:rPr>
      </w:pPr>
    </w:p>
    <w:p w14:paraId="13F4E9BA">
      <w:pPr>
        <w:spacing w:before="50" w:after="50"/>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rPr>
        <w:t>（十五）盐城市政府采购事前信用承诺书</w:t>
      </w:r>
    </w:p>
    <w:p w14:paraId="7C5D1537">
      <w:pPr>
        <w:widowControl/>
        <w:spacing w:line="360" w:lineRule="auto"/>
        <w:ind w:firstLine="480"/>
        <w:jc w:val="left"/>
        <w:rPr>
          <w:rFonts w:hint="eastAsia" w:ascii="宋体" w:hAnsi="宋体"/>
          <w:sz w:val="24"/>
          <w:szCs w:val="24"/>
          <w:highlight w:val="none"/>
        </w:rPr>
      </w:pPr>
      <w:r>
        <w:rPr>
          <w:rFonts w:hint="eastAsia" w:ascii="宋体" w:hAnsi="宋体"/>
          <w:sz w:val="24"/>
          <w:szCs w:val="24"/>
          <w:highlight w:val="none"/>
        </w:rPr>
        <w:t>为营造我市公开、公平、公正、诚实守信的政府采购交易环境，树立诚信守法的投标人形象，本人代表本单位作出以下承诺：</w:t>
      </w:r>
    </w:p>
    <w:p w14:paraId="5D02CE16">
      <w:pPr>
        <w:widowControl/>
        <w:spacing w:line="360" w:lineRule="auto"/>
        <w:jc w:val="left"/>
        <w:rPr>
          <w:rFonts w:hint="eastAsia" w:ascii="宋体" w:hAnsi="宋体"/>
          <w:sz w:val="24"/>
          <w:szCs w:val="24"/>
          <w:highlight w:val="none"/>
        </w:rPr>
      </w:pPr>
      <w:r>
        <w:rPr>
          <w:rFonts w:hint="eastAsia" w:ascii="宋体" w:hAnsi="宋体"/>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17033E9">
      <w:pPr>
        <w:widowControl/>
        <w:spacing w:line="360" w:lineRule="auto"/>
        <w:ind w:firstLine="480"/>
        <w:jc w:val="left"/>
        <w:rPr>
          <w:rFonts w:hint="eastAsia" w:ascii="宋体" w:hAnsi="宋体"/>
          <w:sz w:val="24"/>
          <w:szCs w:val="24"/>
          <w:highlight w:val="none"/>
        </w:rPr>
      </w:pPr>
      <w:r>
        <w:rPr>
          <w:rFonts w:hint="eastAsia" w:ascii="宋体" w:hAnsi="宋体"/>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C877454">
      <w:pPr>
        <w:widowControl/>
        <w:spacing w:line="360" w:lineRule="auto"/>
        <w:jc w:val="left"/>
        <w:rPr>
          <w:rFonts w:hint="eastAsia" w:ascii="宋体" w:hAnsi="宋体"/>
          <w:sz w:val="24"/>
          <w:szCs w:val="24"/>
          <w:highlight w:val="none"/>
        </w:rPr>
      </w:pPr>
      <w:r>
        <w:rPr>
          <w:rFonts w:hint="eastAsia" w:ascii="宋体" w:hAnsi="宋体"/>
          <w:sz w:val="24"/>
          <w:szCs w:val="24"/>
          <w:highlight w:val="none"/>
        </w:rPr>
        <w:t xml:space="preserve">   （三）严格依照国家和省、市关于政府采购的法律法规、规章、规范性文件，参加政府采购投标活动；积极履行社会责任，促进廉政建设； </w:t>
      </w:r>
    </w:p>
    <w:p w14:paraId="5544D8DC">
      <w:pPr>
        <w:widowControl/>
        <w:spacing w:line="360" w:lineRule="auto"/>
        <w:jc w:val="left"/>
        <w:rPr>
          <w:rFonts w:hint="eastAsia" w:ascii="宋体" w:hAnsi="宋体"/>
          <w:sz w:val="24"/>
          <w:szCs w:val="24"/>
          <w:highlight w:val="none"/>
        </w:rPr>
      </w:pPr>
      <w:r>
        <w:rPr>
          <w:rFonts w:hint="eastAsia" w:ascii="宋体" w:hAnsi="宋体"/>
          <w:sz w:val="24"/>
          <w:szCs w:val="24"/>
          <w:highlight w:val="none"/>
        </w:rPr>
        <w:t>   （四）严格遵守即时信息公示规定，及时维护和更新盐城市政府采购网中与本单位相关的信息；</w:t>
      </w:r>
    </w:p>
    <w:p w14:paraId="00AC95E3">
      <w:pPr>
        <w:widowControl/>
        <w:spacing w:line="360" w:lineRule="auto"/>
        <w:jc w:val="left"/>
        <w:rPr>
          <w:rFonts w:hint="eastAsia" w:ascii="宋体" w:hAnsi="宋体"/>
          <w:sz w:val="24"/>
          <w:szCs w:val="24"/>
          <w:highlight w:val="none"/>
        </w:rPr>
      </w:pPr>
      <w:r>
        <w:rPr>
          <w:rFonts w:hint="eastAsia" w:ascii="宋体" w:hAnsi="宋体"/>
          <w:sz w:val="24"/>
          <w:szCs w:val="24"/>
          <w:highlight w:val="none"/>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06E999F8">
      <w:pPr>
        <w:widowControl/>
        <w:spacing w:line="360" w:lineRule="auto"/>
        <w:jc w:val="left"/>
        <w:rPr>
          <w:rFonts w:hint="eastAsia" w:ascii="宋体" w:hAnsi="宋体"/>
          <w:sz w:val="24"/>
          <w:szCs w:val="24"/>
          <w:highlight w:val="none"/>
        </w:rPr>
      </w:pPr>
      <w:r>
        <w:rPr>
          <w:rFonts w:hint="eastAsia" w:ascii="宋体" w:hAnsi="宋体"/>
          <w:sz w:val="24"/>
          <w:szCs w:val="24"/>
          <w:highlight w:val="none"/>
        </w:rPr>
        <w:t>   （六）自觉接受政府、行业组织、社会公众、新闻舆论的监督；</w:t>
      </w:r>
    </w:p>
    <w:p w14:paraId="19D567D2">
      <w:pPr>
        <w:widowControl/>
        <w:spacing w:line="360" w:lineRule="auto"/>
        <w:ind w:firstLine="480"/>
        <w:jc w:val="left"/>
        <w:rPr>
          <w:rFonts w:hint="eastAsia" w:ascii="宋体" w:hAnsi="宋体"/>
          <w:sz w:val="24"/>
          <w:szCs w:val="24"/>
          <w:highlight w:val="none"/>
        </w:rPr>
      </w:pPr>
      <w:r>
        <w:rPr>
          <w:rFonts w:hint="eastAsia" w:ascii="宋体" w:hAnsi="宋体"/>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F569B6B">
      <w:pPr>
        <w:widowControl/>
        <w:spacing w:line="360" w:lineRule="auto"/>
        <w:jc w:val="left"/>
        <w:rPr>
          <w:rFonts w:hint="eastAsia" w:ascii="宋体" w:hAnsi="宋体"/>
          <w:sz w:val="24"/>
          <w:szCs w:val="24"/>
          <w:highlight w:val="none"/>
        </w:rPr>
      </w:pPr>
      <w:r>
        <w:rPr>
          <w:rFonts w:hint="eastAsia" w:ascii="宋体" w:hAnsi="宋体"/>
          <w:sz w:val="24"/>
          <w:szCs w:val="24"/>
          <w:highlight w:val="none"/>
        </w:rPr>
        <w:t>   （八）本人已认真阅读了上述承诺，并向本单位员工作了宣传教育。</w:t>
      </w:r>
    </w:p>
    <w:p w14:paraId="62445DBA">
      <w:pPr>
        <w:widowControl/>
        <w:spacing w:line="360" w:lineRule="auto"/>
        <w:jc w:val="left"/>
        <w:rPr>
          <w:rFonts w:hint="eastAsia" w:ascii="宋体" w:hAnsi="宋体"/>
          <w:sz w:val="24"/>
          <w:szCs w:val="24"/>
          <w:highlight w:val="none"/>
        </w:rPr>
      </w:pPr>
    </w:p>
    <w:p w14:paraId="36FB5B0E">
      <w:pPr>
        <w:widowControl/>
        <w:spacing w:line="360" w:lineRule="auto"/>
        <w:jc w:val="center"/>
        <w:rPr>
          <w:rFonts w:hint="eastAsia" w:ascii="宋体" w:hAnsi="宋体"/>
          <w:sz w:val="24"/>
          <w:szCs w:val="24"/>
          <w:highlight w:val="none"/>
        </w:rPr>
      </w:pPr>
      <w:r>
        <w:rPr>
          <w:rFonts w:hint="eastAsia" w:ascii="宋体" w:hAnsi="宋体"/>
          <w:sz w:val="24"/>
          <w:szCs w:val="24"/>
          <w:highlight w:val="none"/>
        </w:rPr>
        <w:t xml:space="preserve">                 法定代表人签名：</w:t>
      </w:r>
    </w:p>
    <w:p w14:paraId="13838B1A">
      <w:pPr>
        <w:widowControl/>
        <w:spacing w:line="360" w:lineRule="auto"/>
        <w:jc w:val="center"/>
        <w:rPr>
          <w:rFonts w:hint="eastAsia" w:ascii="宋体" w:hAnsi="宋体"/>
          <w:sz w:val="24"/>
          <w:szCs w:val="24"/>
          <w:highlight w:val="none"/>
        </w:rPr>
      </w:pPr>
      <w:r>
        <w:rPr>
          <w:rFonts w:hint="eastAsia" w:ascii="宋体" w:hAnsi="宋体"/>
          <w:sz w:val="24"/>
          <w:szCs w:val="24"/>
          <w:highlight w:val="none"/>
        </w:rPr>
        <w:t xml:space="preserve">                   单位名称（盖章）：</w:t>
      </w:r>
    </w:p>
    <w:p w14:paraId="7CC3E966">
      <w:pPr>
        <w:widowControl/>
        <w:spacing w:line="360" w:lineRule="auto"/>
        <w:jc w:val="center"/>
        <w:rPr>
          <w:rFonts w:hint="eastAsia" w:ascii="宋体" w:hAnsi="宋体"/>
          <w:sz w:val="24"/>
          <w:szCs w:val="24"/>
          <w:highlight w:val="none"/>
        </w:rPr>
      </w:pPr>
      <w:r>
        <w:rPr>
          <w:rFonts w:hint="eastAsia" w:ascii="宋体" w:hAnsi="宋体"/>
          <w:sz w:val="24"/>
          <w:szCs w:val="24"/>
          <w:highlight w:val="none"/>
        </w:rPr>
        <w:t xml:space="preserve">                      年    月    日</w:t>
      </w:r>
    </w:p>
    <w:p w14:paraId="689B65CF">
      <w:pPr>
        <w:pStyle w:val="21"/>
        <w:rPr>
          <w:rFonts w:hint="eastAsia"/>
          <w:sz w:val="24"/>
          <w:szCs w:val="24"/>
          <w:highlight w:val="none"/>
        </w:rPr>
      </w:pPr>
    </w:p>
    <w:p w14:paraId="0089284C">
      <w:pPr>
        <w:pStyle w:val="21"/>
        <w:rPr>
          <w:rFonts w:hint="eastAsia"/>
          <w:sz w:val="24"/>
          <w:szCs w:val="24"/>
          <w:highlight w:val="none"/>
        </w:rPr>
      </w:pPr>
    </w:p>
    <w:p w14:paraId="0AB303A2">
      <w:pPr>
        <w:rPr>
          <w:rFonts w:hint="eastAsia" w:ascii="宋体" w:hAnsi="宋体" w:cs="宋体"/>
          <w:highlight w:val="none"/>
        </w:rPr>
      </w:pPr>
    </w:p>
    <w:p w14:paraId="6AF3A69E">
      <w:pPr>
        <w:rPr>
          <w:highlight w:val="none"/>
        </w:rPr>
      </w:pPr>
    </w:p>
    <w:sectPr>
      <w:pgSz w:w="11906" w:h="16838"/>
      <w:pgMar w:top="1474" w:right="1474" w:bottom="1474" w:left="1474"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986E048-E9F1-4013-969A-7E6BDF4DED4E}"/>
  </w:font>
  <w:font w:name="黑体">
    <w:panose1 w:val="02010609060101010101"/>
    <w:charset w:val="86"/>
    <w:family w:val="auto"/>
    <w:pitch w:val="default"/>
    <w:sig w:usb0="800002BF" w:usb1="38CF7CFA" w:usb2="00000016" w:usb3="00000000" w:csb0="00040001" w:csb1="00000000"/>
    <w:embedRegular r:id="rId2" w:fontKey="{06972F67-59DC-4A64-A833-DB3483627E1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auto"/>
    <w:pitch w:val="default"/>
    <w:sig w:usb0="00000000" w:usb1="00000000" w:usb2="00000000" w:usb3="00000000" w:csb0="00040000" w:csb1="00000000"/>
    <w:embedRegular r:id="rId3" w:fontKey="{A13C7B3C-C7F8-4BA5-AD29-0BACC91FBC2E}"/>
  </w:font>
  <w:font w:name="仿宋">
    <w:panose1 w:val="02010609060101010101"/>
    <w:charset w:val="86"/>
    <w:family w:val="modern"/>
    <w:pitch w:val="default"/>
    <w:sig w:usb0="800002BF" w:usb1="38CF7CFA" w:usb2="00000016" w:usb3="00000000" w:csb0="00040001" w:csb1="00000000"/>
    <w:embedRegular r:id="rId4" w:fontKey="{0A0252C4-3652-4131-892F-F3B2554FA087}"/>
  </w:font>
  <w:font w:name="Segoe UI Symbol">
    <w:panose1 w:val="020B0502040204020203"/>
    <w:charset w:val="00"/>
    <w:family w:val="swiss"/>
    <w:pitch w:val="default"/>
    <w:sig w:usb0="800001E3" w:usb1="1200FFEF" w:usb2="00040000" w:usb3="04000000" w:csb0="00000001" w:csb1="40000000"/>
    <w:embedRegular r:id="rId5" w:fontKey="{1540597C-C049-4D27-BBE7-D60B47D8678D}"/>
  </w:font>
  <w:font w:name="___WRD_EMBED_SUB_45">
    <w:altName w:val="Noto Serif SC"/>
    <w:panose1 w:val="00000000000000000000"/>
    <w:charset w:val="00"/>
    <w:family w:val="auto"/>
    <w:pitch w:val="default"/>
    <w:sig w:usb0="00000000" w:usb1="00000000" w:usb2="00000012" w:usb3="00000000" w:csb0="00040001" w:csb1="00000000"/>
    <w:embedRegular r:id="rId6" w:fontKey="{81B76BBF-AD2A-4DBF-999A-17695B0BC212}"/>
  </w:font>
  <w:font w:name="Noto Serif SC">
    <w:panose1 w:val="02020200000000000000"/>
    <w:charset w:val="86"/>
    <w:family w:val="auto"/>
    <w:pitch w:val="default"/>
    <w:sig w:usb0="20000083" w:usb1="2ADF3C10" w:usb2="00000016" w:usb3="00000000" w:csb0="60060107" w:csb1="00000000"/>
  </w:font>
  <w:font w:name="Segoe UI">
    <w:panose1 w:val="020B0502040204020203"/>
    <w:charset w:val="00"/>
    <w:family w:val="swiss"/>
    <w:pitch w:val="default"/>
    <w:sig w:usb0="E4002EFF" w:usb1="C000E47F" w:usb2="00000009" w:usb3="00000000" w:csb0="200001FF" w:csb1="00000000"/>
    <w:embedRegular r:id="rId7" w:fontKey="{A08DD969-390B-4467-B221-25A193DB6AB4}"/>
  </w:font>
  <w:font w:name="Angsana New">
    <w:altName w:val="Times New Roman"/>
    <w:panose1 w:val="02020603050405020304"/>
    <w:charset w:val="00"/>
    <w:family w:val="roman"/>
    <w:pitch w:val="default"/>
    <w:sig w:usb0="00000000" w:usb1="00000000" w:usb2="00000000" w:usb3="00000000" w:csb0="00010001" w:csb1="00000000"/>
    <w:embedRegular r:id="rId8" w:fontKey="{7A1D9A36-E450-4116-AA3D-285B413FFA19}"/>
  </w:font>
  <w:font w:name="FangSong_GB2312-Identity-H">
    <w:altName w:val="等线"/>
    <w:panose1 w:val="00000000000000000000"/>
    <w:charset w:val="00"/>
    <w:family w:val="auto"/>
    <w:pitch w:val="default"/>
    <w:sig w:usb0="00000000" w:usb1="00000000" w:usb2="00000000" w:usb3="00000000" w:csb0="00040001" w:csb1="00000000"/>
    <w:embedRegular r:id="rId9" w:fontKey="{0D0ECBBB-B592-49CC-996F-8FE2E5F84298}"/>
  </w:font>
  <w:font w:name="等线">
    <w:panose1 w:val="02010600030101010101"/>
    <w:charset w:val="86"/>
    <w:family w:val="auto"/>
    <w:pitch w:val="default"/>
    <w:sig w:usb0="A00002BF" w:usb1="38CF7CFA" w:usb2="00000016" w:usb3="00000000" w:csb0="0004000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1C41C">
    <w:pPr>
      <w:pStyle w:val="14"/>
      <w:framePr w:wrap="around" w:vAnchor="text" w:hAnchor="margin" w:xAlign="center" w:y="1"/>
      <w:rPr>
        <w:rStyle w:val="26"/>
      </w:rPr>
    </w:pPr>
    <w:r>
      <w:fldChar w:fldCharType="begin"/>
    </w:r>
    <w:r>
      <w:rPr>
        <w:rStyle w:val="26"/>
        <w:sz w:val="21"/>
        <w:szCs w:val="21"/>
      </w:rPr>
      <w:instrText xml:space="preserve">PAGE  </w:instrText>
    </w:r>
    <w:r>
      <w:fldChar w:fldCharType="separate"/>
    </w:r>
    <w:r>
      <w:rPr>
        <w:rStyle w:val="26"/>
        <w:sz w:val="21"/>
        <w:szCs w:val="21"/>
      </w:rPr>
      <w:t>1</w:t>
    </w:r>
    <w:r>
      <w:fldChar w:fldCharType="end"/>
    </w:r>
  </w:p>
  <w:p w14:paraId="39BF82C7">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79316613"/>
      <w:docPartObj>
        <w:docPartGallery w:val="autotext"/>
      </w:docPartObj>
    </w:sdtPr>
    <w:sdtContent>
      <w:p w14:paraId="4375B5B6">
        <w:pPr>
          <w:pStyle w:val="14"/>
          <w:jc w:val="center"/>
        </w:pPr>
        <w:r>
          <w:fldChar w:fldCharType="begin"/>
        </w:r>
        <w:r>
          <w:instrText xml:space="preserve">PAGE   \* MERGEFORMAT</w:instrText>
        </w:r>
        <w:r>
          <w:fldChar w:fldCharType="separate"/>
        </w:r>
        <w:r>
          <w:rPr>
            <w:lang w:val="zh-CN"/>
          </w:rPr>
          <w:t>2</w:t>
        </w:r>
        <w:r>
          <w:fldChar w:fldCharType="end"/>
        </w:r>
      </w:p>
    </w:sdtContent>
  </w:sdt>
  <w:p w14:paraId="2BFD5161">
    <w:pPr>
      <w:spacing w:before="1" w:line="203" w:lineRule="auto"/>
      <w:rPr>
        <w:rFonts w:hint="eastAsia" w:ascii="仿宋" w:hAnsi="仿宋" w:eastAsia="仿宋" w:cs="仿宋"/>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068B4">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12719F2">
                          <w:pPr>
                            <w:pStyle w:val="14"/>
                          </w:pPr>
                          <w:r>
                            <w:fldChar w:fldCharType="begin"/>
                          </w:r>
                          <w:r>
                            <w:instrText xml:space="preserve"> PAGE  \* MERGEFORMAT </w:instrText>
                          </w:r>
                          <w:r>
                            <w:fldChar w:fldCharType="separate"/>
                          </w:r>
                          <w:r>
                            <w:t>121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C0CF88AgAAcQQAAA4AAAAAAAAAAQAgAAAAHwEAAGRycy9lMm9E&#10;b2MueG1sUEsFBgAAAAAGAAYAWQEAAM0FAAAAAA==&#10;">
              <v:fill on="f" focussize="0,0"/>
              <v:stroke on="f" weight="0.5pt"/>
              <v:imagedata o:title=""/>
              <o:lock v:ext="edit" aspectratio="f"/>
              <v:textbox inset="0mm,0mm,0mm,0mm" style="mso-fit-shape-to-text:t;">
                <w:txbxContent>
                  <w:p w14:paraId="012719F2">
                    <w:pPr>
                      <w:pStyle w:val="14"/>
                    </w:pPr>
                    <w:r>
                      <w:fldChar w:fldCharType="begin"/>
                    </w:r>
                    <w:r>
                      <w:instrText xml:space="preserve"> PAGE  \* MERGEFORMAT </w:instrText>
                    </w:r>
                    <w:r>
                      <w:fldChar w:fldCharType="separate"/>
                    </w:r>
                    <w:r>
                      <w:t>121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E0872">
    <w:pPr>
      <w:pStyle w:val="15"/>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64842">
    <w:pPr>
      <w:pStyle w:val="8"/>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B726C05"/>
    <w:multiLevelType w:val="multilevel"/>
    <w:tmpl w:val="FB726C0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DFD6ADB"/>
    <w:multiLevelType w:val="singleLevel"/>
    <w:tmpl w:val="FDFD6ADB"/>
    <w:lvl w:ilvl="0" w:tentative="0">
      <w:start w:val="7"/>
      <w:numFmt w:val="decimal"/>
      <w:lvlText w:val="%1."/>
      <w:lvlJc w:val="left"/>
      <w:pPr>
        <w:tabs>
          <w:tab w:val="left" w:pos="312"/>
        </w:tabs>
      </w:pPr>
    </w:lvl>
  </w:abstractNum>
  <w:abstractNum w:abstractNumId="3">
    <w:nsid w:val="03D62ECE"/>
    <w:multiLevelType w:val="multilevel"/>
    <w:tmpl w:val="03D62ECE"/>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4">
    <w:nsid w:val="0BDC2399"/>
    <w:multiLevelType w:val="multilevel"/>
    <w:tmpl w:val="0BDC2399"/>
    <w:lvl w:ilvl="0" w:tentative="0">
      <w:start w:val="1"/>
      <w:numFmt w:val="decimal"/>
      <w:lvlText w:val="第%1节"/>
      <w:lvlJc w:val="left"/>
      <w:pPr>
        <w:ind w:left="425" w:hanging="425"/>
      </w:pPr>
      <w:rPr>
        <w:rFonts w:hint="eastAsia"/>
      </w:rPr>
    </w:lvl>
    <w:lvl w:ilvl="1" w:tentative="0">
      <w:start w:val="1"/>
      <w:numFmt w:val="decimal"/>
      <w:suff w:val="space"/>
      <w:lvlText w:val="%1.%2"/>
      <w:lvlJc w:val="left"/>
      <w:pPr>
        <w:ind w:left="1418" w:hanging="567"/>
      </w:pPr>
      <w:rPr>
        <w:rFonts w:hint="eastAsia"/>
        <w:b w:val="0"/>
      </w:rPr>
    </w:lvl>
    <w:lvl w:ilvl="2" w:tentative="0">
      <w:start w:val="1"/>
      <w:numFmt w:val="decimal"/>
      <w:suff w:val="space"/>
      <w:lvlText w:val="%1.%2.%3"/>
      <w:lvlJc w:val="left"/>
      <w:pPr>
        <w:ind w:left="289" w:hanging="709"/>
      </w:pPr>
      <w:rPr>
        <w:rFonts w:hint="eastAsia"/>
        <w:b w:val="0"/>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E44"/>
    <w:rsid w:val="00000148"/>
    <w:rsid w:val="00002B51"/>
    <w:rsid w:val="00060683"/>
    <w:rsid w:val="00063396"/>
    <w:rsid w:val="000E4DFF"/>
    <w:rsid w:val="001230E1"/>
    <w:rsid w:val="00167E44"/>
    <w:rsid w:val="00180F76"/>
    <w:rsid w:val="00182C56"/>
    <w:rsid w:val="001906EA"/>
    <w:rsid w:val="0019282A"/>
    <w:rsid w:val="001C474F"/>
    <w:rsid w:val="001F4DCA"/>
    <w:rsid w:val="001F643C"/>
    <w:rsid w:val="00223CB1"/>
    <w:rsid w:val="00227421"/>
    <w:rsid w:val="0026439B"/>
    <w:rsid w:val="002A5123"/>
    <w:rsid w:val="002C7CCB"/>
    <w:rsid w:val="002D2BDD"/>
    <w:rsid w:val="002F7D58"/>
    <w:rsid w:val="00342D8A"/>
    <w:rsid w:val="0036477C"/>
    <w:rsid w:val="00375EDD"/>
    <w:rsid w:val="00383166"/>
    <w:rsid w:val="003A61BB"/>
    <w:rsid w:val="003D0E4A"/>
    <w:rsid w:val="003D55DB"/>
    <w:rsid w:val="004268AF"/>
    <w:rsid w:val="00432B15"/>
    <w:rsid w:val="004341A1"/>
    <w:rsid w:val="00487BB5"/>
    <w:rsid w:val="004A793B"/>
    <w:rsid w:val="004B0804"/>
    <w:rsid w:val="004D4AF6"/>
    <w:rsid w:val="004E5B8D"/>
    <w:rsid w:val="00503125"/>
    <w:rsid w:val="00515503"/>
    <w:rsid w:val="005354F1"/>
    <w:rsid w:val="0053593F"/>
    <w:rsid w:val="005407E7"/>
    <w:rsid w:val="00542B02"/>
    <w:rsid w:val="0056138B"/>
    <w:rsid w:val="0056676B"/>
    <w:rsid w:val="00582F43"/>
    <w:rsid w:val="005B09B1"/>
    <w:rsid w:val="005D64DF"/>
    <w:rsid w:val="005F2582"/>
    <w:rsid w:val="00603735"/>
    <w:rsid w:val="006334F3"/>
    <w:rsid w:val="006527BE"/>
    <w:rsid w:val="00676757"/>
    <w:rsid w:val="00692274"/>
    <w:rsid w:val="006A6A3F"/>
    <w:rsid w:val="00740250"/>
    <w:rsid w:val="00786B8F"/>
    <w:rsid w:val="007D3D30"/>
    <w:rsid w:val="008168D1"/>
    <w:rsid w:val="00882303"/>
    <w:rsid w:val="00895E7E"/>
    <w:rsid w:val="008D0F7C"/>
    <w:rsid w:val="009211DC"/>
    <w:rsid w:val="009317CA"/>
    <w:rsid w:val="00993E46"/>
    <w:rsid w:val="009E4B20"/>
    <w:rsid w:val="00A148CD"/>
    <w:rsid w:val="00A25AC8"/>
    <w:rsid w:val="00A40DC0"/>
    <w:rsid w:val="00A455F7"/>
    <w:rsid w:val="00A50171"/>
    <w:rsid w:val="00A90FD6"/>
    <w:rsid w:val="00AE7541"/>
    <w:rsid w:val="00B13647"/>
    <w:rsid w:val="00B1476D"/>
    <w:rsid w:val="00B14B71"/>
    <w:rsid w:val="00B16CEA"/>
    <w:rsid w:val="00B65809"/>
    <w:rsid w:val="00BB0139"/>
    <w:rsid w:val="00C30DFD"/>
    <w:rsid w:val="00C4140F"/>
    <w:rsid w:val="00C91FA3"/>
    <w:rsid w:val="00C94A44"/>
    <w:rsid w:val="00CB7D8E"/>
    <w:rsid w:val="00CC61E6"/>
    <w:rsid w:val="00CE022A"/>
    <w:rsid w:val="00D25CF2"/>
    <w:rsid w:val="00D57F5E"/>
    <w:rsid w:val="00D720B3"/>
    <w:rsid w:val="00D9109E"/>
    <w:rsid w:val="00DA01CA"/>
    <w:rsid w:val="00DA77B6"/>
    <w:rsid w:val="00DB76FF"/>
    <w:rsid w:val="00DB7E80"/>
    <w:rsid w:val="00DD1FEE"/>
    <w:rsid w:val="00DF6251"/>
    <w:rsid w:val="00EA216B"/>
    <w:rsid w:val="00EB06CA"/>
    <w:rsid w:val="00EC2131"/>
    <w:rsid w:val="00EC42FC"/>
    <w:rsid w:val="00F26E32"/>
    <w:rsid w:val="00F7007D"/>
    <w:rsid w:val="00F77E34"/>
    <w:rsid w:val="00F967A3"/>
    <w:rsid w:val="00FA590E"/>
    <w:rsid w:val="00FC2FA6"/>
    <w:rsid w:val="00FD4A8C"/>
    <w:rsid w:val="00FE1B0E"/>
    <w:rsid w:val="03B60F38"/>
    <w:rsid w:val="040E1B9A"/>
    <w:rsid w:val="04BA2023"/>
    <w:rsid w:val="07A01212"/>
    <w:rsid w:val="093541B5"/>
    <w:rsid w:val="0AD81455"/>
    <w:rsid w:val="14C97055"/>
    <w:rsid w:val="165969D1"/>
    <w:rsid w:val="19442CA4"/>
    <w:rsid w:val="19DE010A"/>
    <w:rsid w:val="2066082E"/>
    <w:rsid w:val="20A21BD8"/>
    <w:rsid w:val="22372AAE"/>
    <w:rsid w:val="23921DFC"/>
    <w:rsid w:val="262477ED"/>
    <w:rsid w:val="269D1B51"/>
    <w:rsid w:val="26C75D96"/>
    <w:rsid w:val="27FC7BF3"/>
    <w:rsid w:val="292B1965"/>
    <w:rsid w:val="298933DD"/>
    <w:rsid w:val="2D4B565F"/>
    <w:rsid w:val="2DED6B86"/>
    <w:rsid w:val="2E650419"/>
    <w:rsid w:val="33245397"/>
    <w:rsid w:val="3414542C"/>
    <w:rsid w:val="383C42BE"/>
    <w:rsid w:val="387174D3"/>
    <w:rsid w:val="3C161A9C"/>
    <w:rsid w:val="41BB11DF"/>
    <w:rsid w:val="42BF647C"/>
    <w:rsid w:val="43266AAA"/>
    <w:rsid w:val="475F23EE"/>
    <w:rsid w:val="483D4031"/>
    <w:rsid w:val="49FB31BE"/>
    <w:rsid w:val="4ABB6B0C"/>
    <w:rsid w:val="4E6734FB"/>
    <w:rsid w:val="4EE5778B"/>
    <w:rsid w:val="50852609"/>
    <w:rsid w:val="516D2A12"/>
    <w:rsid w:val="54854D66"/>
    <w:rsid w:val="5D715A07"/>
    <w:rsid w:val="5F0C64DE"/>
    <w:rsid w:val="5F5610A7"/>
    <w:rsid w:val="5FB007DD"/>
    <w:rsid w:val="5FF92B75"/>
    <w:rsid w:val="601B5D94"/>
    <w:rsid w:val="62FA23F9"/>
    <w:rsid w:val="63F209FC"/>
    <w:rsid w:val="6A1B5154"/>
    <w:rsid w:val="71983564"/>
    <w:rsid w:val="791B3704"/>
    <w:rsid w:val="7CFA6A6D"/>
    <w:rsid w:val="FBF5CD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4">
    <w:name w:val="heading 1"/>
    <w:next w:val="1"/>
    <w:qFormat/>
    <w:uiPriority w:val="0"/>
    <w:pPr>
      <w:keepNext/>
      <w:widowControl w:val="0"/>
      <w:jc w:val="center"/>
      <w:outlineLvl w:val="0"/>
    </w:pPr>
    <w:rPr>
      <w:rFonts w:ascii="楷体_GB2312" w:hAnsi="Times New Roman" w:eastAsia="楷体_GB2312" w:cs="Times New Roman"/>
      <w:sz w:val="28"/>
      <w:szCs w:val="28"/>
      <w:lang w:val="en-US" w:eastAsia="zh-CN" w:bidi="ar-SA"/>
    </w:rPr>
  </w:style>
  <w:style w:type="paragraph" w:styleId="5">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1"/>
    <w:basedOn w:val="3"/>
    <w:qFormat/>
    <w:uiPriority w:val="99"/>
    <w:pPr>
      <w:tabs>
        <w:tab w:val="left" w:pos="567"/>
      </w:tabs>
      <w:ind w:firstLine="420"/>
    </w:pPr>
  </w:style>
  <w:style w:type="paragraph" w:customStyle="1" w:styleId="3">
    <w:name w:val="正文文本1"/>
    <w:basedOn w:val="1"/>
    <w:qFormat/>
    <w:uiPriority w:val="0"/>
    <w:pPr>
      <w:tabs>
        <w:tab w:val="left" w:pos="567"/>
      </w:tabs>
      <w:spacing w:before="120" w:line="22" w:lineRule="atLeast"/>
    </w:pPr>
    <w:rPr>
      <w:rFonts w:ascii="宋体" w:hAnsi="宋体"/>
      <w:sz w:val="24"/>
    </w:rPr>
  </w:style>
  <w:style w:type="paragraph" w:styleId="6">
    <w:name w:val="Normal Indent"/>
    <w:qFormat/>
    <w:uiPriority w:val="0"/>
    <w:pPr>
      <w:widowControl w:val="0"/>
      <w:ind w:firstLine="420"/>
      <w:jc w:val="both"/>
    </w:pPr>
    <w:rPr>
      <w:rFonts w:ascii="Times New Roman" w:hAnsi="Times New Roman" w:eastAsia="宋体" w:cs="Times New Roman"/>
      <w:sz w:val="21"/>
      <w:szCs w:val="21"/>
      <w:lang w:val="en-US" w:eastAsia="zh-CN" w:bidi="ar-SA"/>
    </w:rPr>
  </w:style>
  <w:style w:type="paragraph" w:styleId="7">
    <w:name w:val="annotation text"/>
    <w:basedOn w:val="1"/>
    <w:link w:val="42"/>
    <w:qFormat/>
    <w:uiPriority w:val="0"/>
    <w:pPr>
      <w:jc w:val="left"/>
    </w:pPr>
  </w:style>
  <w:style w:type="paragraph" w:styleId="8">
    <w:name w:val="Body Text"/>
    <w:basedOn w:val="1"/>
    <w:qFormat/>
    <w:uiPriority w:val="0"/>
    <w:rPr>
      <w:rFonts w:ascii="楷体_GB2312" w:hAnsi="Arial" w:eastAsia="楷体_GB2312"/>
      <w:sz w:val="28"/>
      <w:szCs w:val="28"/>
    </w:rPr>
  </w:style>
  <w:style w:type="paragraph" w:styleId="9">
    <w:name w:val="Body Text Indent"/>
    <w:next w:val="10"/>
    <w:qFormat/>
    <w:uiPriority w:val="0"/>
    <w:pPr>
      <w:widowControl w:val="0"/>
      <w:ind w:firstLine="645"/>
      <w:jc w:val="both"/>
    </w:pPr>
    <w:rPr>
      <w:rFonts w:ascii="楷体_GB2312" w:hAnsi="Times New Roman" w:eastAsia="楷体_GB2312" w:cs="Times New Roman"/>
      <w:sz w:val="32"/>
      <w:szCs w:val="32"/>
      <w:lang w:val="en-US" w:eastAsia="zh-CN" w:bidi="ar-SA"/>
    </w:rPr>
  </w:style>
  <w:style w:type="paragraph" w:styleId="10">
    <w:name w:val="envelope return"/>
    <w:qFormat/>
    <w:uiPriority w:val="0"/>
    <w:pPr>
      <w:widowControl w:val="0"/>
      <w:jc w:val="both"/>
    </w:pPr>
    <w:rPr>
      <w:rFonts w:ascii="Arial" w:hAnsi="Arial" w:eastAsia="宋体" w:cs="Times New Roman"/>
      <w:sz w:val="21"/>
      <w:szCs w:val="21"/>
      <w:lang w:val="en-US" w:eastAsia="zh-CN" w:bidi="ar-SA"/>
    </w:rPr>
  </w:style>
  <w:style w:type="paragraph" w:styleId="11">
    <w:name w:val="index 4"/>
    <w:next w:val="1"/>
    <w:unhideWhenUsed/>
    <w:qFormat/>
    <w:uiPriority w:val="99"/>
    <w:pPr>
      <w:widowControl w:val="0"/>
      <w:spacing w:before="100" w:beforeAutospacing="1" w:after="100" w:afterAutospacing="1"/>
      <w:ind w:left="600"/>
      <w:jc w:val="both"/>
    </w:pPr>
    <w:rPr>
      <w:rFonts w:ascii="宋体" w:hAnsi="Times New Roman" w:eastAsia="宋体" w:cs="Times New Roman"/>
      <w:b/>
      <w:bCs/>
      <w:position w:val="-10"/>
      <w:sz w:val="24"/>
      <w:szCs w:val="22"/>
      <w:lang w:val="en-US" w:eastAsia="zh-CN" w:bidi="ar-SA"/>
    </w:rPr>
  </w:style>
  <w:style w:type="paragraph" w:styleId="12">
    <w:name w:val="Plain Text"/>
    <w:qFormat/>
    <w:uiPriority w:val="99"/>
    <w:pPr>
      <w:widowControl w:val="0"/>
      <w:jc w:val="both"/>
    </w:pPr>
    <w:rPr>
      <w:rFonts w:ascii="宋体" w:hAnsi="Courier New" w:eastAsia="宋体" w:cs="Times New Roman"/>
      <w:sz w:val="21"/>
      <w:szCs w:val="21"/>
      <w:lang w:val="en-US" w:eastAsia="zh-CN" w:bidi="ar-SA"/>
    </w:rPr>
  </w:style>
  <w:style w:type="paragraph" w:styleId="13">
    <w:name w:val="Balloon Text"/>
    <w:basedOn w:val="1"/>
    <w:link w:val="41"/>
    <w:qFormat/>
    <w:uiPriority w:val="0"/>
    <w:rPr>
      <w:sz w:val="18"/>
      <w:szCs w:val="18"/>
    </w:rPr>
  </w:style>
  <w:style w:type="paragraph" w:styleId="14">
    <w:name w:val="footer"/>
    <w:link w:val="46"/>
    <w:qFormat/>
    <w:uiPriority w:val="99"/>
    <w:pPr>
      <w:widowControl w:val="0"/>
      <w:tabs>
        <w:tab w:val="center" w:pos="4153"/>
        <w:tab w:val="right" w:pos="8306"/>
      </w:tabs>
    </w:pPr>
    <w:rPr>
      <w:rFonts w:ascii="Times New Roman" w:hAnsi="Times New Roman" w:eastAsia="宋体" w:cs="Times New Roman"/>
      <w:sz w:val="18"/>
      <w:szCs w:val="18"/>
      <w:lang w:val="en-US" w:eastAsia="zh-CN" w:bidi="ar-SA"/>
    </w:rPr>
  </w:style>
  <w:style w:type="paragraph" w:styleId="15">
    <w:name w:val="header"/>
    <w:qFormat/>
    <w:uiPriority w:val="0"/>
    <w:pPr>
      <w:widowControl w:val="0"/>
      <w:pBdr>
        <w:bottom w:val="single" w:color="auto" w:sz="6" w:space="1"/>
      </w:pBdr>
      <w:tabs>
        <w:tab w:val="center" w:pos="4153"/>
        <w:tab w:val="right" w:pos="8306"/>
      </w:tabs>
      <w:jc w:val="center"/>
    </w:pPr>
    <w:rPr>
      <w:rFonts w:ascii="Times New Roman" w:hAnsi="Times New Roman" w:eastAsia="宋体" w:cs="Times New Roman"/>
      <w:sz w:val="18"/>
      <w:szCs w:val="18"/>
      <w:lang w:val="en-US" w:eastAsia="zh-CN" w:bidi="ar-SA"/>
    </w:rPr>
  </w:style>
  <w:style w:type="paragraph" w:styleId="16">
    <w:name w:val="toc 1"/>
    <w:next w:val="1"/>
    <w:semiHidden/>
    <w:qFormat/>
    <w:uiPriority w:val="0"/>
    <w:pPr>
      <w:widowControl w:val="0"/>
      <w:tabs>
        <w:tab w:val="right" w:leader="dot" w:pos="8720"/>
      </w:tabs>
      <w:spacing w:before="120" w:after="120" w:line="400" w:lineRule="exact"/>
    </w:pPr>
    <w:rPr>
      <w:rFonts w:ascii="宋体" w:hAnsi="宋体" w:eastAsia="宋体" w:cs="Times New Roman"/>
      <w:caps/>
      <w:sz w:val="24"/>
      <w:szCs w:val="24"/>
      <w:lang w:val="en-US" w:eastAsia="zh-CN" w:bidi="ar-SA"/>
    </w:rPr>
  </w:style>
  <w:style w:type="paragraph" w:styleId="17">
    <w:name w:val="toc 2"/>
    <w:basedOn w:val="1"/>
    <w:next w:val="1"/>
    <w:qFormat/>
    <w:uiPriority w:val="0"/>
    <w:pPr>
      <w:ind w:left="420" w:leftChars="200"/>
    </w:pPr>
  </w:style>
  <w:style w:type="paragraph" w:styleId="18">
    <w:name w:val="Normal (Web)"/>
    <w:qFormat/>
    <w:uiPriority w:val="0"/>
    <w:pPr>
      <w:spacing w:before="100" w:beforeAutospacing="1" w:after="100" w:afterAutospacing="1"/>
    </w:pPr>
    <w:rPr>
      <w:rFonts w:ascii="宋体" w:hAnsi="宋体" w:eastAsia="宋体" w:cs="宋体"/>
      <w:sz w:val="24"/>
      <w:szCs w:val="24"/>
      <w:lang w:val="en-US" w:eastAsia="zh-CN" w:bidi="ar-SA"/>
    </w:rPr>
  </w:style>
  <w:style w:type="paragraph" w:styleId="19">
    <w:name w:val="annotation subject"/>
    <w:basedOn w:val="7"/>
    <w:next w:val="7"/>
    <w:link w:val="43"/>
    <w:qFormat/>
    <w:uiPriority w:val="0"/>
    <w:rPr>
      <w:b/>
      <w:bCs/>
    </w:rPr>
  </w:style>
  <w:style w:type="paragraph" w:styleId="20">
    <w:name w:val="Body Text First Indent"/>
    <w:qFormat/>
    <w:uiPriority w:val="0"/>
    <w:pPr>
      <w:widowControl w:val="0"/>
      <w:spacing w:line="360" w:lineRule="auto"/>
      <w:ind w:firstLine="200"/>
      <w:jc w:val="both"/>
    </w:pPr>
    <w:rPr>
      <w:rFonts w:ascii="仿宋_GB2312" w:hAnsi="Times New Roman" w:eastAsia="仿宋_GB2312" w:cs="Times New Roman"/>
      <w:sz w:val="30"/>
      <w:szCs w:val="30"/>
      <w:lang w:val="en-US" w:eastAsia="zh-CN" w:bidi="ar-SA"/>
    </w:rPr>
  </w:style>
  <w:style w:type="paragraph" w:styleId="21">
    <w:name w:val="Body Text First Indent 2"/>
    <w:qFormat/>
    <w:uiPriority w:val="0"/>
    <w:pPr>
      <w:widowControl w:val="0"/>
      <w:spacing w:line="360" w:lineRule="auto"/>
      <w:ind w:firstLine="420"/>
      <w:jc w:val="both"/>
    </w:pPr>
    <w:rPr>
      <w:rFonts w:ascii="宋体" w:hAnsi="宋体" w:eastAsia="宋体" w:cs="Times New Roman"/>
      <w:sz w:val="21"/>
      <w:lang w:val="en-US" w:eastAsia="zh-CN" w:bidi="ar-SA"/>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0"/>
    <w:rPr>
      <w:b/>
      <w:bCs/>
    </w:rPr>
  </w:style>
  <w:style w:type="character" w:styleId="26">
    <w:name w:val="page number"/>
    <w:qFormat/>
    <w:uiPriority w:val="0"/>
  </w:style>
  <w:style w:type="character" w:styleId="27">
    <w:name w:val="annotation reference"/>
    <w:qFormat/>
    <w:uiPriority w:val="0"/>
    <w:rPr>
      <w:sz w:val="21"/>
      <w:szCs w:val="21"/>
    </w:rPr>
  </w:style>
  <w:style w:type="paragraph" w:customStyle="1" w:styleId="28">
    <w:name w:val="正文首行缩进 21"/>
    <w:basedOn w:val="29"/>
    <w:next w:val="32"/>
    <w:qFormat/>
    <w:uiPriority w:val="99"/>
    <w:pPr>
      <w:spacing w:line="360" w:lineRule="auto"/>
      <w:ind w:firstLine="420"/>
    </w:pPr>
    <w:rPr>
      <w:rFonts w:ascii="宋体" w:hAnsi="宋体"/>
    </w:rPr>
  </w:style>
  <w:style w:type="paragraph" w:customStyle="1" w:styleId="29">
    <w:name w:val="正文文本缩进1"/>
    <w:basedOn w:val="1"/>
    <w:next w:val="30"/>
    <w:qFormat/>
    <w:uiPriority w:val="0"/>
    <w:pPr>
      <w:spacing w:after="120" w:line="274" w:lineRule="auto"/>
      <w:ind w:left="420" w:firstLine="200"/>
    </w:pPr>
    <w:rPr>
      <w:rFonts w:ascii="仿宋_GB2312" w:hAnsi="Calibri" w:eastAsia="仿宋_GB2312"/>
      <w:sz w:val="24"/>
      <w:szCs w:val="24"/>
    </w:rPr>
  </w:style>
  <w:style w:type="paragraph" w:customStyle="1" w:styleId="30">
    <w:name w:val="寄信人地址1"/>
    <w:basedOn w:val="31"/>
    <w:qFormat/>
    <w:uiPriority w:val="0"/>
    <w:rPr>
      <w:rFonts w:ascii="Arial" w:hAnsi="Arial"/>
    </w:rPr>
  </w:style>
  <w:style w:type="paragraph" w:customStyle="1" w:styleId="31">
    <w:name w:val="正文111"/>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
    <w:name w:val="正文缩进1"/>
    <w:qFormat/>
    <w:uiPriority w:val="0"/>
    <w:pPr>
      <w:widowControl w:val="0"/>
      <w:ind w:firstLine="420"/>
      <w:jc w:val="both"/>
    </w:pPr>
    <w:rPr>
      <w:rFonts w:ascii="Times New Roman" w:hAnsi="Times New Roman" w:eastAsia="宋体" w:cs="Times New Roman"/>
      <w:sz w:val="21"/>
      <w:szCs w:val="21"/>
      <w:lang w:val="en-US" w:eastAsia="zh-CN" w:bidi="ar-SA"/>
    </w:rPr>
  </w:style>
  <w:style w:type="paragraph" w:customStyle="1" w:styleId="33">
    <w:name w:val="Default"/>
    <w:qFormat/>
    <w:uiPriority w:val="0"/>
    <w:pPr>
      <w:widowControl w:val="0"/>
    </w:pPr>
    <w:rPr>
      <w:rFonts w:ascii="宋体" w:hAnsi="Calibri" w:eastAsia="宋体" w:cs="宋体"/>
      <w:color w:val="000000"/>
      <w:sz w:val="24"/>
      <w:szCs w:val="21"/>
      <w:lang w:val="en-US" w:eastAsia="zh-CN" w:bidi="ar-SA"/>
    </w:rPr>
  </w:style>
  <w:style w:type="paragraph" w:customStyle="1" w:styleId="34">
    <w:name w:val="标题 31"/>
    <w:next w:val="32"/>
    <w:qFormat/>
    <w:uiPriority w:val="0"/>
    <w:pPr>
      <w:keepNext/>
      <w:keepLines/>
      <w:widowControl w:val="0"/>
      <w:spacing w:before="260" w:after="260" w:line="416" w:lineRule="auto"/>
      <w:jc w:val="both"/>
      <w:outlineLvl w:val="2"/>
    </w:pPr>
    <w:rPr>
      <w:rFonts w:ascii="Times New Roman" w:hAnsi="Times New Roman" w:eastAsia="宋体" w:cs="Times New Roman"/>
      <w:b/>
      <w:bCs/>
      <w:sz w:val="32"/>
      <w:szCs w:val="32"/>
      <w:lang w:val="en-US" w:eastAsia="zh-CN" w:bidi="ar-SA"/>
    </w:rPr>
  </w:style>
  <w:style w:type="paragraph" w:customStyle="1" w:styleId="35">
    <w:name w:val="标题 41"/>
    <w:next w:val="32"/>
    <w:qFormat/>
    <w:uiPriority w:val="9"/>
    <w:pPr>
      <w:keepNext/>
      <w:keepLines/>
      <w:widowControl w:val="0"/>
      <w:spacing w:before="280" w:after="290" w:line="374" w:lineRule="auto"/>
      <w:jc w:val="both"/>
      <w:outlineLvl w:val="3"/>
    </w:pPr>
    <w:rPr>
      <w:rFonts w:ascii="Arial" w:hAnsi="Arial" w:eastAsia="黑体" w:cs="Arial"/>
      <w:b/>
      <w:bCs/>
      <w:sz w:val="28"/>
      <w:szCs w:val="28"/>
      <w:lang w:val="en-US" w:eastAsia="zh-CN" w:bidi="ar-SA"/>
    </w:rPr>
  </w:style>
  <w:style w:type="paragraph" w:customStyle="1" w:styleId="36">
    <w:name w:val="无间隔1"/>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37">
    <w:name w:val="font21"/>
    <w:qFormat/>
    <w:uiPriority w:val="0"/>
    <w:rPr>
      <w:rFonts w:hint="eastAsia" w:ascii="宋体" w:hAnsi="宋体" w:eastAsia="宋体" w:cs="宋体"/>
      <w:color w:val="000000"/>
      <w:sz w:val="21"/>
      <w:szCs w:val="21"/>
      <w:u w:val="none"/>
    </w:rPr>
  </w:style>
  <w:style w:type="paragraph" w:customStyle="1" w:styleId="38">
    <w:name w:val="TOC 71"/>
    <w:next w:val="1"/>
    <w:qFormat/>
    <w:uiPriority w:val="0"/>
    <w:pPr>
      <w:ind w:left="2550"/>
      <w:jc w:val="both"/>
    </w:pPr>
    <w:rPr>
      <w:rFonts w:ascii="Times New Roman" w:hAnsi="Times New Roman" w:eastAsia="宋体" w:cs="Times New Roman"/>
      <w:sz w:val="21"/>
      <w:szCs w:val="22"/>
      <w:lang w:val="en-US" w:eastAsia="zh-CN" w:bidi="ar-SA"/>
    </w:rPr>
  </w:style>
  <w:style w:type="paragraph" w:customStyle="1" w:styleId="39">
    <w:name w:val="普通正文"/>
    <w:qFormat/>
    <w:uiPriority w:val="0"/>
    <w:pPr>
      <w:widowControl w:val="0"/>
      <w:spacing w:before="120" w:after="120" w:line="360" w:lineRule="auto"/>
      <w:ind w:firstLine="480"/>
    </w:pPr>
    <w:rPr>
      <w:rFonts w:ascii="Arial" w:hAnsi="Arial" w:eastAsia="宋体" w:cs="Times New Roman"/>
      <w:sz w:val="24"/>
      <w:szCs w:val="24"/>
      <w:lang w:val="en-US" w:eastAsia="zh-CN" w:bidi="ar-SA"/>
    </w:rPr>
  </w:style>
  <w:style w:type="paragraph" w:styleId="40">
    <w:name w:val="List Paragraph"/>
    <w:basedOn w:val="1"/>
    <w:unhideWhenUsed/>
    <w:qFormat/>
    <w:uiPriority w:val="99"/>
    <w:pPr>
      <w:ind w:firstLine="420" w:firstLineChars="200"/>
    </w:pPr>
  </w:style>
  <w:style w:type="character" w:customStyle="1" w:styleId="41">
    <w:name w:val="批注框文本 字符"/>
    <w:basedOn w:val="24"/>
    <w:link w:val="13"/>
    <w:qFormat/>
    <w:uiPriority w:val="0"/>
    <w:rPr>
      <w:rFonts w:ascii="Times New Roman" w:hAnsi="Times New Roman" w:eastAsia="宋体" w:cs="Times New Roman"/>
      <w:sz w:val="18"/>
      <w:szCs w:val="18"/>
    </w:rPr>
  </w:style>
  <w:style w:type="character" w:customStyle="1" w:styleId="42">
    <w:name w:val="批注文字 字符"/>
    <w:basedOn w:val="24"/>
    <w:link w:val="7"/>
    <w:qFormat/>
    <w:uiPriority w:val="0"/>
    <w:rPr>
      <w:rFonts w:ascii="Times New Roman" w:hAnsi="Times New Roman" w:eastAsia="宋体" w:cs="Times New Roman"/>
      <w:sz w:val="21"/>
      <w:szCs w:val="21"/>
    </w:rPr>
  </w:style>
  <w:style w:type="character" w:customStyle="1" w:styleId="43">
    <w:name w:val="批注主题 字符"/>
    <w:basedOn w:val="42"/>
    <w:link w:val="19"/>
    <w:qFormat/>
    <w:uiPriority w:val="0"/>
    <w:rPr>
      <w:rFonts w:ascii="Times New Roman" w:hAnsi="Times New Roman" w:eastAsia="宋体" w:cs="Times New Roman"/>
      <w:b/>
      <w:bCs/>
      <w:sz w:val="21"/>
      <w:szCs w:val="21"/>
    </w:rPr>
  </w:style>
  <w:style w:type="table" w:customStyle="1" w:styleId="44">
    <w:name w:val="Table Normal"/>
    <w:semiHidden/>
    <w:unhideWhenUsed/>
    <w:qFormat/>
    <w:uiPriority w:val="0"/>
    <w:tblPr>
      <w:tblCellMar>
        <w:top w:w="0" w:type="dxa"/>
        <w:left w:w="0" w:type="dxa"/>
        <w:bottom w:w="0" w:type="dxa"/>
        <w:right w:w="0" w:type="dxa"/>
      </w:tblCellMar>
    </w:tblPr>
  </w:style>
  <w:style w:type="paragraph" w:customStyle="1" w:styleId="45">
    <w:name w:val="Table Text"/>
    <w:basedOn w:val="1"/>
    <w:semiHidden/>
    <w:qFormat/>
    <w:uiPriority w:val="0"/>
    <w:rPr>
      <w:rFonts w:ascii="Arial" w:hAnsi="Arial" w:eastAsia="Arial" w:cs="Arial"/>
      <w:lang w:eastAsia="en-US"/>
    </w:rPr>
  </w:style>
  <w:style w:type="character" w:customStyle="1" w:styleId="46">
    <w:name w:val="页脚 字符"/>
    <w:basedOn w:val="24"/>
    <w:link w:val="14"/>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113</Pages>
  <Words>15334</Words>
  <Characters>16488</Characters>
  <Lines>543</Lines>
  <Paragraphs>152</Paragraphs>
  <TotalTime>45</TotalTime>
  <ScaleCrop>false</ScaleCrop>
  <LinksUpToDate>false</LinksUpToDate>
  <CharactersWithSpaces>16701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2026-07-22T09:55:00Z</dcterms:created>
  <dc:creator>JXF</dc:creator>
  <cp:lastModifiedBy>.....</cp:lastModifiedBy>
  <dcterms:modified xsi:type="dcterms:W3CDTF">2026-07-24T08:27:17Z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eyJoZGlkIjoiZGM4OGE5Y2EzNDZlMTg4YmNlNzFiZTc2NDliOWMwNTgiLCJ1c2VySWQiOiIxODU2NTU2ODYxIn0=</vt:lpwstr>
  </property>
  <property fmtid="{D5CDD505-2E9C-101B-9397-08002B2CF9AE}" pid="4" name="ICV">
    <vt:lpwstr>4C4E8B6A4DC347B19009B6F632F5DD11_13</vt:lpwstr>
  </property>
</Properties>
</file>